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01324635"/>
        <w:docPartObj>
          <w:docPartGallery w:val="Cover Pages"/>
          <w:docPartUnique/>
        </w:docPartObj>
      </w:sdtPr>
      <w:sdtContent>
        <w:p w14:paraId="7011A80E" w14:textId="252775ED" w:rsidR="00EF4DFC" w:rsidRDefault="00EF4DFC">
          <w:r>
            <w:rPr>
              <w:noProof/>
            </w:rPr>
            <mc:AlternateContent>
              <mc:Choice Requires="wps">
                <w:drawing>
                  <wp:anchor distT="0" distB="0" distL="114300" distR="114300" simplePos="0" relativeHeight="251661312" behindDoc="0" locked="0" layoutInCell="0" allowOverlap="1" wp14:anchorId="5D07FA25" wp14:editId="50B3B44B">
                    <wp:simplePos x="0" y="0"/>
                    <wp:positionH relativeFrom="margin">
                      <wp:posOffset>-739140</wp:posOffset>
                    </wp:positionH>
                    <wp:positionV relativeFrom="page">
                      <wp:posOffset>30480</wp:posOffset>
                    </wp:positionV>
                    <wp:extent cx="7307580" cy="640080"/>
                    <wp:effectExtent l="19050" t="19050" r="26670" b="1016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07580" cy="640080"/>
                            </a:xfrm>
                            <a:prstGeom prst="rect">
                              <a:avLst/>
                            </a:prstGeom>
                            <a:solidFill>
                              <a:schemeClr val="tx1"/>
                            </a:solidFill>
                            <a:ln w="28575">
                              <a:solidFill>
                                <a:schemeClr val="bg2"/>
                              </a:solidFill>
                              <a:miter lim="800000"/>
                              <a:headEnd/>
                              <a:tailEnd/>
                            </a:ln>
                          </wps:spPr>
                          <wps:txbx>
                            <w:txbxContent>
                              <w:sdt>
                                <w:sdtPr>
                                  <w:rPr>
                                    <w:rFonts w:ascii="Times New Roman" w:hAnsi="Times New Roman" w:cs="Times New Roman"/>
                                    <w:b/>
                                    <w:bCs/>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630C8BAB" w14:textId="2F9D6C55" w:rsidR="00EF4DFC" w:rsidRDefault="000B5053" w:rsidP="0027097A">
                                    <w:pPr>
                                      <w:pStyle w:val="NoSpacing"/>
                                      <w:rPr>
                                        <w:color w:val="FFFFFF" w:themeColor="background1"/>
                                        <w:sz w:val="72"/>
                                        <w:szCs w:val="72"/>
                                      </w:rPr>
                                    </w:pPr>
                                    <w:r w:rsidRPr="0027097A">
                                      <w:rPr>
                                        <w:rFonts w:ascii="Times New Roman" w:hAnsi="Times New Roman" w:cs="Times New Roman"/>
                                        <w:b/>
                                        <w:bCs/>
                                        <w:color w:val="FFFFFF" w:themeColor="background1"/>
                                        <w:sz w:val="72"/>
                                        <w:szCs w:val="72"/>
                                      </w:rPr>
                                      <w:t>Strategic Management for Business (LCLM6001_LON)</w:t>
                                    </w:r>
                                  </w:p>
                                </w:sdtContent>
                              </w:sdt>
                            </w:txbxContent>
                          </wps:txbx>
                          <wps:bodyPr rot="0" vert="horz" wrap="square" lIns="182880" tIns="45720" rIns="182880" bIns="45720" anchor="ctr" anchorCtr="0" upright="1">
                            <a:spAutoFit/>
                          </wps:bodyPr>
                        </wps:wsp>
                      </a:graphicData>
                    </a:graphic>
                    <wp14:sizeRelH relativeFrom="page">
                      <wp14:pctWidth>0</wp14:pctWidth>
                    </wp14:sizeRelH>
                    <wp14:sizeRelV relativeFrom="page">
                      <wp14:pctHeight>7300</wp14:pctHeight>
                    </wp14:sizeRelV>
                  </wp:anchor>
                </w:drawing>
              </mc:Choice>
              <mc:Fallback>
                <w:pict>
                  <v:rect w14:anchorId="5D07FA25" id="Rectangle 16" o:spid="_x0000_s1026" style="position:absolute;margin-left:-58.2pt;margin-top:2.4pt;width:575.4pt;height:50.4pt;z-index:251661312;visibility:visible;mso-wrap-style:square;mso-width-percent:0;mso-height-percent:73;mso-wrap-distance-left:9pt;mso-wrap-distance-top:0;mso-wrap-distance-right:9pt;mso-wrap-distance-bottom:0;mso-position-horizontal:absolute;mso-position-horizontal-relative:margin;mso-position-vertical:absolute;mso-position-vertical-relative:page;mso-width-percent:0;mso-height-percent: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" o:allowincell="f" fillcolor="black [3213]" strokecolor="#e8e8e8 [3214]" strokeweight="2.25pt">
                    <v:textbox style="mso-fit-shape-to-text:t" inset="14.4pt,,14.4pt">
                      <w:txbxContent>
                        <w:sdt>
                          <w:sdtPr>
                            <w:rPr>
                              <w:rFonts w:ascii="Times New Roman" w:hAnsi="Times New Roman" w:cs="Times New Roman"/>
                              <w:b/>
                              <w:bCs/>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630C8BAB" w14:textId="2F9D6C55" w:rsidR="00EF4DFC" w:rsidRDefault="000B5053" w:rsidP="0027097A">
                              <w:pPr>
                                <w:pStyle w:val="NoSpacing"/>
                                <w:rPr>
                                  <w:color w:val="FFFFFF" w:themeColor="background1"/>
                                  <w:sz w:val="72"/>
                                  <w:szCs w:val="72"/>
                                </w:rPr>
                              </w:pPr>
                              <w:r w:rsidRPr="0027097A">
                                <w:rPr>
                                  <w:rFonts w:ascii="Times New Roman" w:hAnsi="Times New Roman" w:cs="Times New Roman"/>
                                  <w:b/>
                                  <w:bCs/>
                                  <w:color w:val="FFFFFF" w:themeColor="background1"/>
                                  <w:sz w:val="72"/>
                                  <w:szCs w:val="72"/>
                                </w:rPr>
                                <w:t>Strategic Management for Business (LCLM6001_LON)</w:t>
                              </w:r>
                            </w:p>
                          </w:sdtContent>
                        </w:sdt>
                      </w:txbxContent>
                    </v:textbox>
                    <w10:wrap anchorx="margin" anchory="page"/>
                  </v:rect>
                </w:pict>
              </mc:Fallback>
            </mc:AlternateContent>
          </w:r>
        </w:p>
        <w:p w14:paraId="7CD24839" w14:textId="30BC2597" w:rsidR="00794912" w:rsidRDefault="00086319">
          <w:r>
            <w:rPr>
              <w:noProof/>
            </w:rPr>
            <mc:AlternateContent>
              <mc:Choice Requires="wps">
                <w:drawing>
                  <wp:anchor distT="45720" distB="45720" distL="114300" distR="114300" simplePos="0" relativeHeight="251663360" behindDoc="0" locked="0" layoutInCell="1" allowOverlap="1" wp14:anchorId="6BC607CA" wp14:editId="4B573E29">
                    <wp:simplePos x="0" y="0"/>
                    <wp:positionH relativeFrom="margin">
                      <wp:posOffset>-820420</wp:posOffset>
                    </wp:positionH>
                    <wp:positionV relativeFrom="paragraph">
                      <wp:posOffset>8009890</wp:posOffset>
                    </wp:positionV>
                    <wp:extent cx="7360920" cy="1404620"/>
                    <wp:effectExtent l="0" t="0" r="11430" b="234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60920" cy="1404620"/>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72A80191" w14:textId="6AC4F3E6" w:rsidR="00086319" w:rsidRPr="00CF3387" w:rsidRDefault="00086319" w:rsidP="00086319">
                                <w:pPr>
                                  <w:rPr>
                                    <w:rFonts w:ascii="Times New Roman" w:hAnsi="Times New Roman" w:cs="Times New Roman"/>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F3387">
                                  <w:rPr>
                                    <w:rFonts w:ascii="Times New Roman" w:hAnsi="Times New Roman" w:cs="Times New Roman"/>
                                    <w:color w:val="000000" w:themeColor="text1"/>
                                    <w:lang w:val="pt-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Adney Adney Lima Do Sacramento Rompão (2317949</w:t>
                                </w:r>
                                <w:r>
                                  <w:rPr>
                                    <w:rFonts w:ascii="Times New Roman" w:hAnsi="Times New Roman" w:cs="Times New Roman"/>
                                    <w:color w:val="000000" w:themeColor="text1"/>
                                    <w:lang w:val="pt-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Pr="00CF3387">
                                  <w:rPr>
                                    <w:rFonts w:ascii="Times New Roman" w:hAnsi="Times New Roman" w:cs="Times New Roman"/>
                                    <w:color w:val="000000" w:themeColor="text1"/>
                                    <w:lang w:val="pt-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Lecturer: </w:t>
                                </w:r>
                                <w:r w:rsidRPr="00CF3387">
                                  <w:rPr>
                                    <w:rFonts w:ascii="Times New Roman" w:hAnsi="Times New Roman" w:cs="Times New Roman"/>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w:t>
                                </w:r>
                                <w:proofErr w:type="spellStart"/>
                                <w:r w:rsidR="00FA4C87">
                                  <w:rPr>
                                    <w:rFonts w:ascii="Times New Roman" w:hAnsi="Times New Roman" w:cs="Times New Roman"/>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w:t>
                                </w:r>
                                <w:r w:rsidR="00E74E8C">
                                  <w:rPr>
                                    <w:rFonts w:ascii="Times New Roman" w:hAnsi="Times New Roman" w:cs="Times New Roman"/>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aizu</w:t>
                                </w:r>
                                <w:proofErr w:type="spellEnd"/>
                                <w:r w:rsidR="00E74E8C">
                                  <w:rPr>
                                    <w:rFonts w:ascii="Times New Roman" w:hAnsi="Times New Roman" w:cs="Times New Roman"/>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Edu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BC607CA" id="_x0000_t202" coordsize="21600,21600" o:spt="202" path="m,l,21600r21600,l21600,xe">
                    <v:stroke joinstyle="miter"/>
                    <v:path gradientshapeok="t" o:connecttype="rect"/>
                  </v:shapetype>
                  <v:shape id="Text Box 2" o:spid="_x0000_s1027" type="#_x0000_t202" style="position:absolute;margin-left:-64.6pt;margin-top:630.7pt;width:579.6pt;height:110.6pt;z-index:25166336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" fillcolor="white [3201]" strokecolor="#156082 [3204]" strokeweight="1pt">
                    <v:textbox style="mso-fit-shape-to-text:t">
                      <w:txbxContent>
                        <w:p w14:paraId="72A80191" w14:textId="6AC4F3E6" w:rsidR="00086319" w:rsidRPr="00CF3387" w:rsidRDefault="00086319" w:rsidP="00086319">
                          <w:pPr>
                            <w:rPr>
                              <w:rFonts w:ascii="Times New Roman" w:hAnsi="Times New Roman" w:cs="Times New Roman"/>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F3387">
                            <w:rPr>
                              <w:rFonts w:ascii="Times New Roman" w:hAnsi="Times New Roman" w:cs="Times New Roman"/>
                              <w:color w:val="000000" w:themeColor="text1"/>
                              <w:lang w:val="pt-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Adney Adney Lima Do Sacramento Rompão (2317949</w:t>
                          </w:r>
                          <w:r>
                            <w:rPr>
                              <w:rFonts w:ascii="Times New Roman" w:hAnsi="Times New Roman" w:cs="Times New Roman"/>
                              <w:color w:val="000000" w:themeColor="text1"/>
                              <w:lang w:val="pt-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Pr="00CF3387">
                            <w:rPr>
                              <w:rFonts w:ascii="Times New Roman" w:hAnsi="Times New Roman" w:cs="Times New Roman"/>
                              <w:color w:val="000000" w:themeColor="text1"/>
                              <w:lang w:val="pt-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Lecturer: </w:t>
                          </w:r>
                          <w:r w:rsidRPr="00CF3387">
                            <w:rPr>
                              <w:rFonts w:ascii="Times New Roman" w:hAnsi="Times New Roman" w:cs="Times New Roman"/>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w:t>
                          </w:r>
                          <w:proofErr w:type="spellStart"/>
                          <w:r w:rsidR="00FA4C87">
                            <w:rPr>
                              <w:rFonts w:ascii="Times New Roman" w:hAnsi="Times New Roman" w:cs="Times New Roman"/>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w:t>
                          </w:r>
                          <w:r w:rsidR="00E74E8C">
                            <w:rPr>
                              <w:rFonts w:ascii="Times New Roman" w:hAnsi="Times New Roman" w:cs="Times New Roman"/>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aizu</w:t>
                          </w:r>
                          <w:proofErr w:type="spellEnd"/>
                          <w:r w:rsidR="00E74E8C">
                            <w:rPr>
                              <w:rFonts w:ascii="Times New Roman" w:hAnsi="Times New Roman" w:cs="Times New Roman"/>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Edu </w:t>
                          </w:r>
                        </w:p>
                      </w:txbxContent>
                    </v:textbox>
                    <w10:wrap type="square" anchorx="margin"/>
                  </v:shape>
                </w:pict>
              </mc:Fallback>
            </mc:AlternateContent>
          </w:r>
          <w:r w:rsidR="00EF4DFC">
            <w:rPr>
              <w:noProof/>
            </w:rPr>
            <w:drawing>
              <wp:anchor distT="0" distB="0" distL="114300" distR="114300" simplePos="0" relativeHeight="251660288" behindDoc="0" locked="0" layoutInCell="0" allowOverlap="1" wp14:anchorId="250BE39E" wp14:editId="5EE78361">
                <wp:simplePos x="0" y="0"/>
                <wp:positionH relativeFrom="page">
                  <wp:posOffset>373380</wp:posOffset>
                </wp:positionH>
                <wp:positionV relativeFrom="page">
                  <wp:posOffset>1386840</wp:posOffset>
                </wp:positionV>
                <wp:extent cx="7059295" cy="5532120"/>
                <wp:effectExtent l="209550" t="228600" r="198755" b="240030"/>
                <wp:wrapNone/>
                <wp:docPr id="464" name="Picture 1" descr="A picture of a train in a train station" title="Tr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8">
                          <a:extLst>
                            <a:ext uri="{28A0092B-C50C-407E-A947-70E740481C1C}">
                              <a14:useLocalDpi xmlns:a14="http://schemas.microsoft.com/office/drawing/2010/main" val="0"/>
                            </a:ext>
                          </a:extLst>
                        </a:blip>
                        <a:stretch>
                          <a:fillRect/>
                        </a:stretch>
                      </pic:blipFill>
                      <pic:spPr>
                        <a:xfrm>
                          <a:off x="0" y="0"/>
                          <a:ext cx="7059295" cy="5532120"/>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H relativeFrom="margin">
                  <wp14:pctWidth>0</wp14:pctWidth>
                </wp14:sizeRelH>
                <wp14:sizeRelV relativeFrom="margin">
                  <wp14:pctHeight>0</wp14:pctHeight>
                </wp14:sizeRelV>
              </wp:anchor>
            </w:drawing>
          </w:r>
          <w:r w:rsidR="00EF4DFC">
            <w:br w:type="page"/>
          </w:r>
        </w:p>
      </w:sdtContent>
    </w:sdt>
    <w:sdt>
      <w:sdtPr>
        <w:rPr>
          <w:rFonts w:asciiTheme="minorHAnsi" w:eastAsiaTheme="minorHAnsi" w:hAnsiTheme="minorHAnsi" w:cstheme="minorBidi"/>
          <w:color w:val="auto"/>
          <w:kern w:val="2"/>
          <w:sz w:val="24"/>
          <w:szCs w:val="24"/>
          <w:lang w:eastAsia="en-US"/>
          <w14:ligatures w14:val="standardContextual"/>
        </w:rPr>
        <w:id w:val="601311807"/>
        <w:docPartObj>
          <w:docPartGallery w:val="Table of Contents"/>
          <w:docPartUnique/>
        </w:docPartObj>
      </w:sdtPr>
      <w:sdtEndPr>
        <w:rPr>
          <w:b/>
          <w:bCs/>
        </w:rPr>
      </w:sdtEndPr>
      <w:sdtContent>
        <w:p w14:paraId="2582FF95" w14:textId="25ED0BD7" w:rsidR="002D44A9" w:rsidRDefault="002D44A9">
          <w:pPr>
            <w:pStyle w:val="TOCHeading"/>
          </w:pPr>
          <w:r>
            <w:t>Contents</w:t>
          </w:r>
        </w:p>
        <w:p w14:paraId="5D9BDCC2" w14:textId="54B5796D" w:rsidR="00A94B3D" w:rsidRDefault="002D44A9">
          <w:pPr>
            <w:pStyle w:val="TOC1"/>
            <w:tabs>
              <w:tab w:val="left" w:pos="480"/>
              <w:tab w:val="right" w:leader="dot" w:pos="9016"/>
            </w:tabs>
            <w:rPr>
              <w:rFonts w:eastAsiaTheme="minorEastAsia"/>
              <w:noProof/>
              <w:lang w:eastAsia="en-GB"/>
            </w:rPr>
          </w:pPr>
          <w:r>
            <w:fldChar w:fldCharType="begin"/>
          </w:r>
          <w:r>
            <w:instrText xml:space="preserve"> TOC \o "1-3" \h \z \u </w:instrText>
          </w:r>
          <w:r>
            <w:fldChar w:fldCharType="separate"/>
          </w:r>
          <w:hyperlink w:anchor="_Toc216970879" w:history="1">
            <w:r w:rsidR="00A94B3D" w:rsidRPr="00F34C9D">
              <w:rPr>
                <w:rStyle w:val="Hyperlink"/>
                <w:noProof/>
              </w:rPr>
              <w:t>1.</w:t>
            </w:r>
            <w:r w:rsidR="00A94B3D">
              <w:rPr>
                <w:rFonts w:eastAsiaTheme="minorEastAsia"/>
                <w:noProof/>
                <w:lang w:eastAsia="en-GB"/>
              </w:rPr>
              <w:tab/>
            </w:r>
            <w:r w:rsidR="00A94B3D" w:rsidRPr="00F34C9D">
              <w:rPr>
                <w:rStyle w:val="Hyperlink"/>
                <w:noProof/>
              </w:rPr>
              <w:t>Executive Summary</w:t>
            </w:r>
            <w:r w:rsidR="00A94B3D">
              <w:rPr>
                <w:noProof/>
                <w:webHidden/>
              </w:rPr>
              <w:tab/>
            </w:r>
            <w:r w:rsidR="00A94B3D">
              <w:rPr>
                <w:noProof/>
                <w:webHidden/>
              </w:rPr>
              <w:fldChar w:fldCharType="begin"/>
            </w:r>
            <w:r w:rsidR="00A94B3D">
              <w:rPr>
                <w:noProof/>
                <w:webHidden/>
              </w:rPr>
              <w:instrText xml:space="preserve"> PAGEREF _Toc216970879 \h </w:instrText>
            </w:r>
            <w:r w:rsidR="00A94B3D">
              <w:rPr>
                <w:noProof/>
                <w:webHidden/>
              </w:rPr>
            </w:r>
            <w:r w:rsidR="00A94B3D">
              <w:rPr>
                <w:noProof/>
                <w:webHidden/>
              </w:rPr>
              <w:fldChar w:fldCharType="separate"/>
            </w:r>
            <w:r w:rsidR="00A94B3D">
              <w:rPr>
                <w:noProof/>
                <w:webHidden/>
              </w:rPr>
              <w:t>2</w:t>
            </w:r>
            <w:r w:rsidR="00A94B3D">
              <w:rPr>
                <w:noProof/>
                <w:webHidden/>
              </w:rPr>
              <w:fldChar w:fldCharType="end"/>
            </w:r>
          </w:hyperlink>
        </w:p>
        <w:p w14:paraId="3F70E43B" w14:textId="0D630FC9" w:rsidR="00A94B3D" w:rsidRDefault="00A94B3D">
          <w:pPr>
            <w:pStyle w:val="TOC1"/>
            <w:tabs>
              <w:tab w:val="right" w:leader="dot" w:pos="9016"/>
            </w:tabs>
            <w:rPr>
              <w:rFonts w:eastAsiaTheme="minorEastAsia"/>
              <w:noProof/>
              <w:lang w:eastAsia="en-GB"/>
            </w:rPr>
          </w:pPr>
          <w:hyperlink w:anchor="_Toc216970880" w:history="1">
            <w:r w:rsidRPr="00F34C9D">
              <w:rPr>
                <w:rStyle w:val="Hyperlink"/>
                <w:noProof/>
              </w:rPr>
              <w:t>2. Introduction of  Fleximize Limited</w:t>
            </w:r>
            <w:r>
              <w:rPr>
                <w:noProof/>
                <w:webHidden/>
              </w:rPr>
              <w:tab/>
            </w:r>
            <w:r>
              <w:rPr>
                <w:noProof/>
                <w:webHidden/>
              </w:rPr>
              <w:fldChar w:fldCharType="begin"/>
            </w:r>
            <w:r>
              <w:rPr>
                <w:noProof/>
                <w:webHidden/>
              </w:rPr>
              <w:instrText xml:space="preserve"> PAGEREF _Toc216970880 \h </w:instrText>
            </w:r>
            <w:r>
              <w:rPr>
                <w:noProof/>
                <w:webHidden/>
              </w:rPr>
            </w:r>
            <w:r>
              <w:rPr>
                <w:noProof/>
                <w:webHidden/>
              </w:rPr>
              <w:fldChar w:fldCharType="separate"/>
            </w:r>
            <w:r>
              <w:rPr>
                <w:noProof/>
                <w:webHidden/>
              </w:rPr>
              <w:t>3</w:t>
            </w:r>
            <w:r>
              <w:rPr>
                <w:noProof/>
                <w:webHidden/>
              </w:rPr>
              <w:fldChar w:fldCharType="end"/>
            </w:r>
          </w:hyperlink>
        </w:p>
        <w:p w14:paraId="68F07888" w14:textId="2BADFF8F" w:rsidR="00A94B3D" w:rsidRDefault="00A94B3D">
          <w:pPr>
            <w:pStyle w:val="TOC1"/>
            <w:tabs>
              <w:tab w:val="right" w:leader="dot" w:pos="9016"/>
            </w:tabs>
            <w:rPr>
              <w:rFonts w:eastAsiaTheme="minorEastAsia"/>
              <w:noProof/>
              <w:lang w:eastAsia="en-GB"/>
            </w:rPr>
          </w:pPr>
          <w:hyperlink w:anchor="_Toc216970881" w:history="1">
            <w:r w:rsidRPr="00F34C9D">
              <w:rPr>
                <w:rStyle w:val="Hyperlink"/>
                <w:noProof/>
              </w:rPr>
              <w:t>3. Vision, Mission and Objectives</w:t>
            </w:r>
            <w:r>
              <w:rPr>
                <w:noProof/>
                <w:webHidden/>
              </w:rPr>
              <w:tab/>
            </w:r>
            <w:r>
              <w:rPr>
                <w:noProof/>
                <w:webHidden/>
              </w:rPr>
              <w:fldChar w:fldCharType="begin"/>
            </w:r>
            <w:r>
              <w:rPr>
                <w:noProof/>
                <w:webHidden/>
              </w:rPr>
              <w:instrText xml:space="preserve"> PAGEREF _Toc216970881 \h </w:instrText>
            </w:r>
            <w:r>
              <w:rPr>
                <w:noProof/>
                <w:webHidden/>
              </w:rPr>
            </w:r>
            <w:r>
              <w:rPr>
                <w:noProof/>
                <w:webHidden/>
              </w:rPr>
              <w:fldChar w:fldCharType="separate"/>
            </w:r>
            <w:r>
              <w:rPr>
                <w:noProof/>
                <w:webHidden/>
              </w:rPr>
              <w:t>4</w:t>
            </w:r>
            <w:r>
              <w:rPr>
                <w:noProof/>
                <w:webHidden/>
              </w:rPr>
              <w:fldChar w:fldCharType="end"/>
            </w:r>
          </w:hyperlink>
        </w:p>
        <w:p w14:paraId="6C4CF616" w14:textId="0CFB10BA" w:rsidR="00A94B3D" w:rsidRDefault="00A94B3D">
          <w:pPr>
            <w:pStyle w:val="TOC1"/>
            <w:tabs>
              <w:tab w:val="right" w:leader="dot" w:pos="9016"/>
            </w:tabs>
            <w:rPr>
              <w:rFonts w:eastAsiaTheme="minorEastAsia"/>
              <w:noProof/>
              <w:lang w:eastAsia="en-GB"/>
            </w:rPr>
          </w:pPr>
          <w:hyperlink w:anchor="_Toc216970882" w:history="1">
            <w:r w:rsidRPr="00F34C9D">
              <w:rPr>
                <w:rStyle w:val="Hyperlink"/>
                <w:noProof/>
              </w:rPr>
              <w:t>4. Fleximize Limited's competitive positioning (Internal / External environment).</w:t>
            </w:r>
            <w:r>
              <w:rPr>
                <w:noProof/>
                <w:webHidden/>
              </w:rPr>
              <w:tab/>
            </w:r>
            <w:r>
              <w:rPr>
                <w:noProof/>
                <w:webHidden/>
              </w:rPr>
              <w:fldChar w:fldCharType="begin"/>
            </w:r>
            <w:r>
              <w:rPr>
                <w:noProof/>
                <w:webHidden/>
              </w:rPr>
              <w:instrText xml:space="preserve"> PAGEREF _Toc216970882 \h </w:instrText>
            </w:r>
            <w:r>
              <w:rPr>
                <w:noProof/>
                <w:webHidden/>
              </w:rPr>
            </w:r>
            <w:r>
              <w:rPr>
                <w:noProof/>
                <w:webHidden/>
              </w:rPr>
              <w:fldChar w:fldCharType="separate"/>
            </w:r>
            <w:r>
              <w:rPr>
                <w:noProof/>
                <w:webHidden/>
              </w:rPr>
              <w:t>4</w:t>
            </w:r>
            <w:r>
              <w:rPr>
                <w:noProof/>
                <w:webHidden/>
              </w:rPr>
              <w:fldChar w:fldCharType="end"/>
            </w:r>
          </w:hyperlink>
        </w:p>
        <w:p w14:paraId="5F898D6C" w14:textId="78854C70" w:rsidR="00A94B3D" w:rsidRDefault="00A94B3D">
          <w:pPr>
            <w:pStyle w:val="TOC2"/>
            <w:tabs>
              <w:tab w:val="right" w:leader="dot" w:pos="9016"/>
            </w:tabs>
            <w:rPr>
              <w:rFonts w:eastAsiaTheme="minorEastAsia"/>
              <w:noProof/>
              <w:lang w:eastAsia="en-GB"/>
            </w:rPr>
          </w:pPr>
          <w:hyperlink w:anchor="_Toc216970883" w:history="1">
            <w:r w:rsidRPr="00F34C9D">
              <w:rPr>
                <w:rStyle w:val="Hyperlink"/>
                <w:noProof/>
              </w:rPr>
              <w:t>4.1 Internal Environment</w:t>
            </w:r>
            <w:r>
              <w:rPr>
                <w:noProof/>
                <w:webHidden/>
              </w:rPr>
              <w:tab/>
            </w:r>
            <w:r>
              <w:rPr>
                <w:noProof/>
                <w:webHidden/>
              </w:rPr>
              <w:fldChar w:fldCharType="begin"/>
            </w:r>
            <w:r>
              <w:rPr>
                <w:noProof/>
                <w:webHidden/>
              </w:rPr>
              <w:instrText xml:space="preserve"> PAGEREF _Toc216970883 \h </w:instrText>
            </w:r>
            <w:r>
              <w:rPr>
                <w:noProof/>
                <w:webHidden/>
              </w:rPr>
            </w:r>
            <w:r>
              <w:rPr>
                <w:noProof/>
                <w:webHidden/>
              </w:rPr>
              <w:fldChar w:fldCharType="separate"/>
            </w:r>
            <w:r>
              <w:rPr>
                <w:noProof/>
                <w:webHidden/>
              </w:rPr>
              <w:t>4</w:t>
            </w:r>
            <w:r>
              <w:rPr>
                <w:noProof/>
                <w:webHidden/>
              </w:rPr>
              <w:fldChar w:fldCharType="end"/>
            </w:r>
          </w:hyperlink>
        </w:p>
        <w:p w14:paraId="3B034393" w14:textId="1B30D623" w:rsidR="00A94B3D" w:rsidRDefault="00A94B3D">
          <w:pPr>
            <w:pStyle w:val="TOC2"/>
            <w:tabs>
              <w:tab w:val="right" w:leader="dot" w:pos="9016"/>
            </w:tabs>
            <w:rPr>
              <w:rFonts w:eastAsiaTheme="minorEastAsia"/>
              <w:noProof/>
              <w:lang w:eastAsia="en-GB"/>
            </w:rPr>
          </w:pPr>
          <w:hyperlink w:anchor="_Toc216970884" w:history="1">
            <w:r w:rsidRPr="00F34C9D">
              <w:rPr>
                <w:rStyle w:val="Hyperlink"/>
                <w:noProof/>
              </w:rPr>
              <w:t>4.1.2 Value chain</w:t>
            </w:r>
            <w:r>
              <w:rPr>
                <w:noProof/>
                <w:webHidden/>
              </w:rPr>
              <w:tab/>
            </w:r>
            <w:r>
              <w:rPr>
                <w:noProof/>
                <w:webHidden/>
              </w:rPr>
              <w:fldChar w:fldCharType="begin"/>
            </w:r>
            <w:r>
              <w:rPr>
                <w:noProof/>
                <w:webHidden/>
              </w:rPr>
              <w:instrText xml:space="preserve"> PAGEREF _Toc216970884 \h </w:instrText>
            </w:r>
            <w:r>
              <w:rPr>
                <w:noProof/>
                <w:webHidden/>
              </w:rPr>
            </w:r>
            <w:r>
              <w:rPr>
                <w:noProof/>
                <w:webHidden/>
              </w:rPr>
              <w:fldChar w:fldCharType="separate"/>
            </w:r>
            <w:r>
              <w:rPr>
                <w:noProof/>
                <w:webHidden/>
              </w:rPr>
              <w:t>6</w:t>
            </w:r>
            <w:r>
              <w:rPr>
                <w:noProof/>
                <w:webHidden/>
              </w:rPr>
              <w:fldChar w:fldCharType="end"/>
            </w:r>
          </w:hyperlink>
        </w:p>
        <w:p w14:paraId="074421FE" w14:textId="2D48290D" w:rsidR="00A94B3D" w:rsidRDefault="00A94B3D">
          <w:pPr>
            <w:pStyle w:val="TOC2"/>
            <w:tabs>
              <w:tab w:val="right" w:leader="dot" w:pos="9016"/>
            </w:tabs>
            <w:rPr>
              <w:rFonts w:eastAsiaTheme="minorEastAsia"/>
              <w:noProof/>
              <w:lang w:eastAsia="en-GB"/>
            </w:rPr>
          </w:pPr>
          <w:hyperlink w:anchor="_Toc216970885" w:history="1">
            <w:r w:rsidRPr="00F34C9D">
              <w:rPr>
                <w:rStyle w:val="Hyperlink"/>
                <w:noProof/>
              </w:rPr>
              <w:t>4.2 External environment</w:t>
            </w:r>
            <w:r>
              <w:rPr>
                <w:noProof/>
                <w:webHidden/>
              </w:rPr>
              <w:tab/>
            </w:r>
            <w:r>
              <w:rPr>
                <w:noProof/>
                <w:webHidden/>
              </w:rPr>
              <w:fldChar w:fldCharType="begin"/>
            </w:r>
            <w:r>
              <w:rPr>
                <w:noProof/>
                <w:webHidden/>
              </w:rPr>
              <w:instrText xml:space="preserve"> PAGEREF _Toc216970885 \h </w:instrText>
            </w:r>
            <w:r>
              <w:rPr>
                <w:noProof/>
                <w:webHidden/>
              </w:rPr>
            </w:r>
            <w:r>
              <w:rPr>
                <w:noProof/>
                <w:webHidden/>
              </w:rPr>
              <w:fldChar w:fldCharType="separate"/>
            </w:r>
            <w:r>
              <w:rPr>
                <w:noProof/>
                <w:webHidden/>
              </w:rPr>
              <w:t>6</w:t>
            </w:r>
            <w:r>
              <w:rPr>
                <w:noProof/>
                <w:webHidden/>
              </w:rPr>
              <w:fldChar w:fldCharType="end"/>
            </w:r>
          </w:hyperlink>
        </w:p>
        <w:p w14:paraId="5BD8BA9B" w14:textId="08F4BE50" w:rsidR="00A94B3D" w:rsidRDefault="00A94B3D">
          <w:pPr>
            <w:pStyle w:val="TOC2"/>
            <w:tabs>
              <w:tab w:val="right" w:leader="dot" w:pos="9016"/>
            </w:tabs>
            <w:rPr>
              <w:rFonts w:eastAsiaTheme="minorEastAsia"/>
              <w:noProof/>
              <w:lang w:eastAsia="en-GB"/>
            </w:rPr>
          </w:pPr>
          <w:hyperlink w:anchor="_Toc216970886" w:history="1">
            <w:r w:rsidRPr="00F34C9D">
              <w:rPr>
                <w:rStyle w:val="Hyperlink"/>
                <w:noProof/>
              </w:rPr>
              <w:t>4.2.1 PESTEL Analysis</w:t>
            </w:r>
            <w:r>
              <w:rPr>
                <w:noProof/>
                <w:webHidden/>
              </w:rPr>
              <w:tab/>
            </w:r>
            <w:r>
              <w:rPr>
                <w:noProof/>
                <w:webHidden/>
              </w:rPr>
              <w:fldChar w:fldCharType="begin"/>
            </w:r>
            <w:r>
              <w:rPr>
                <w:noProof/>
                <w:webHidden/>
              </w:rPr>
              <w:instrText xml:space="preserve"> PAGEREF _Toc216970886 \h </w:instrText>
            </w:r>
            <w:r>
              <w:rPr>
                <w:noProof/>
                <w:webHidden/>
              </w:rPr>
            </w:r>
            <w:r>
              <w:rPr>
                <w:noProof/>
                <w:webHidden/>
              </w:rPr>
              <w:fldChar w:fldCharType="separate"/>
            </w:r>
            <w:r>
              <w:rPr>
                <w:noProof/>
                <w:webHidden/>
              </w:rPr>
              <w:t>6</w:t>
            </w:r>
            <w:r>
              <w:rPr>
                <w:noProof/>
                <w:webHidden/>
              </w:rPr>
              <w:fldChar w:fldCharType="end"/>
            </w:r>
          </w:hyperlink>
        </w:p>
        <w:p w14:paraId="247BA207" w14:textId="17833F7D" w:rsidR="00A94B3D" w:rsidRDefault="00A94B3D">
          <w:pPr>
            <w:pStyle w:val="TOC2"/>
            <w:tabs>
              <w:tab w:val="right" w:leader="dot" w:pos="9016"/>
            </w:tabs>
            <w:rPr>
              <w:rFonts w:eastAsiaTheme="minorEastAsia"/>
              <w:noProof/>
              <w:lang w:eastAsia="en-GB"/>
            </w:rPr>
          </w:pPr>
          <w:hyperlink w:anchor="_Toc216970887" w:history="1">
            <w:r w:rsidRPr="00F34C9D">
              <w:rPr>
                <w:rStyle w:val="Hyperlink"/>
                <w:noProof/>
              </w:rPr>
              <w:t>4.3 Porter’s five forces</w:t>
            </w:r>
            <w:r>
              <w:rPr>
                <w:noProof/>
                <w:webHidden/>
              </w:rPr>
              <w:tab/>
            </w:r>
            <w:r>
              <w:rPr>
                <w:noProof/>
                <w:webHidden/>
              </w:rPr>
              <w:fldChar w:fldCharType="begin"/>
            </w:r>
            <w:r>
              <w:rPr>
                <w:noProof/>
                <w:webHidden/>
              </w:rPr>
              <w:instrText xml:space="preserve"> PAGEREF _Toc216970887 \h </w:instrText>
            </w:r>
            <w:r>
              <w:rPr>
                <w:noProof/>
                <w:webHidden/>
              </w:rPr>
            </w:r>
            <w:r>
              <w:rPr>
                <w:noProof/>
                <w:webHidden/>
              </w:rPr>
              <w:fldChar w:fldCharType="separate"/>
            </w:r>
            <w:r>
              <w:rPr>
                <w:noProof/>
                <w:webHidden/>
              </w:rPr>
              <w:t>7</w:t>
            </w:r>
            <w:r>
              <w:rPr>
                <w:noProof/>
                <w:webHidden/>
              </w:rPr>
              <w:fldChar w:fldCharType="end"/>
            </w:r>
          </w:hyperlink>
        </w:p>
        <w:p w14:paraId="3603B897" w14:textId="7EB389A8" w:rsidR="00A94B3D" w:rsidRDefault="00A94B3D">
          <w:pPr>
            <w:pStyle w:val="TOC1"/>
            <w:tabs>
              <w:tab w:val="right" w:leader="dot" w:pos="9016"/>
            </w:tabs>
            <w:rPr>
              <w:rFonts w:eastAsiaTheme="minorEastAsia"/>
              <w:noProof/>
              <w:lang w:eastAsia="en-GB"/>
            </w:rPr>
          </w:pPr>
          <w:hyperlink w:anchor="_Toc216970888" w:history="1">
            <w:r w:rsidRPr="00F34C9D">
              <w:rPr>
                <w:rStyle w:val="Hyperlink"/>
                <w:rFonts w:ascii="Arial" w:hAnsi="Arial" w:cs="Arial"/>
                <w:noProof/>
              </w:rPr>
              <w:t>5. Fleximize Limited in markets, Ansoff Matrix, new strategy</w:t>
            </w:r>
            <w:r>
              <w:rPr>
                <w:noProof/>
                <w:webHidden/>
              </w:rPr>
              <w:tab/>
            </w:r>
            <w:r>
              <w:rPr>
                <w:noProof/>
                <w:webHidden/>
              </w:rPr>
              <w:fldChar w:fldCharType="begin"/>
            </w:r>
            <w:r>
              <w:rPr>
                <w:noProof/>
                <w:webHidden/>
              </w:rPr>
              <w:instrText xml:space="preserve"> PAGEREF _Toc216970888 \h </w:instrText>
            </w:r>
            <w:r>
              <w:rPr>
                <w:noProof/>
                <w:webHidden/>
              </w:rPr>
            </w:r>
            <w:r>
              <w:rPr>
                <w:noProof/>
                <w:webHidden/>
              </w:rPr>
              <w:fldChar w:fldCharType="separate"/>
            </w:r>
            <w:r>
              <w:rPr>
                <w:noProof/>
                <w:webHidden/>
              </w:rPr>
              <w:t>8</w:t>
            </w:r>
            <w:r>
              <w:rPr>
                <w:noProof/>
                <w:webHidden/>
              </w:rPr>
              <w:fldChar w:fldCharType="end"/>
            </w:r>
          </w:hyperlink>
        </w:p>
        <w:p w14:paraId="47CD4EB9" w14:textId="5FBDE521" w:rsidR="00A94B3D" w:rsidRDefault="00A94B3D">
          <w:pPr>
            <w:pStyle w:val="TOC1"/>
            <w:tabs>
              <w:tab w:val="right" w:leader="dot" w:pos="9016"/>
            </w:tabs>
            <w:rPr>
              <w:rFonts w:eastAsiaTheme="minorEastAsia"/>
              <w:noProof/>
              <w:lang w:eastAsia="en-GB"/>
            </w:rPr>
          </w:pPr>
          <w:hyperlink w:anchor="_Toc216970889" w:history="1">
            <w:r w:rsidRPr="00F34C9D">
              <w:rPr>
                <w:rStyle w:val="Hyperlink"/>
                <w:rFonts w:ascii="Arial" w:hAnsi="Arial" w:cs="Arial"/>
                <w:noProof/>
              </w:rPr>
              <w:t>6. Stakeholder analysis and critical evaluation of expectations and power.</w:t>
            </w:r>
            <w:r>
              <w:rPr>
                <w:noProof/>
                <w:webHidden/>
              </w:rPr>
              <w:tab/>
            </w:r>
            <w:r>
              <w:rPr>
                <w:noProof/>
                <w:webHidden/>
              </w:rPr>
              <w:fldChar w:fldCharType="begin"/>
            </w:r>
            <w:r>
              <w:rPr>
                <w:noProof/>
                <w:webHidden/>
              </w:rPr>
              <w:instrText xml:space="preserve"> PAGEREF _Toc216970889 \h </w:instrText>
            </w:r>
            <w:r>
              <w:rPr>
                <w:noProof/>
                <w:webHidden/>
              </w:rPr>
            </w:r>
            <w:r>
              <w:rPr>
                <w:noProof/>
                <w:webHidden/>
              </w:rPr>
              <w:fldChar w:fldCharType="separate"/>
            </w:r>
            <w:r>
              <w:rPr>
                <w:noProof/>
                <w:webHidden/>
              </w:rPr>
              <w:t>11</w:t>
            </w:r>
            <w:r>
              <w:rPr>
                <w:noProof/>
                <w:webHidden/>
              </w:rPr>
              <w:fldChar w:fldCharType="end"/>
            </w:r>
          </w:hyperlink>
        </w:p>
        <w:p w14:paraId="2A51EF31" w14:textId="4D6DC882" w:rsidR="00A94B3D" w:rsidRDefault="00A94B3D">
          <w:pPr>
            <w:pStyle w:val="TOC2"/>
            <w:tabs>
              <w:tab w:val="right" w:leader="dot" w:pos="9016"/>
            </w:tabs>
            <w:rPr>
              <w:rFonts w:eastAsiaTheme="minorEastAsia"/>
              <w:noProof/>
              <w:lang w:eastAsia="en-GB"/>
            </w:rPr>
          </w:pPr>
          <w:hyperlink w:anchor="_Toc216970890" w:history="1">
            <w:r w:rsidRPr="00F34C9D">
              <w:rPr>
                <w:rStyle w:val="Hyperlink"/>
                <w:rFonts w:ascii="Arial" w:hAnsi="Arial" w:cs="Arial"/>
                <w:noProof/>
              </w:rPr>
              <w:t>6.1. RACI/responsible/accountable / consulted/informed)</w:t>
            </w:r>
            <w:r>
              <w:rPr>
                <w:noProof/>
                <w:webHidden/>
              </w:rPr>
              <w:tab/>
            </w:r>
            <w:r>
              <w:rPr>
                <w:noProof/>
                <w:webHidden/>
              </w:rPr>
              <w:fldChar w:fldCharType="begin"/>
            </w:r>
            <w:r>
              <w:rPr>
                <w:noProof/>
                <w:webHidden/>
              </w:rPr>
              <w:instrText xml:space="preserve"> PAGEREF _Toc216970890 \h </w:instrText>
            </w:r>
            <w:r>
              <w:rPr>
                <w:noProof/>
                <w:webHidden/>
              </w:rPr>
            </w:r>
            <w:r>
              <w:rPr>
                <w:noProof/>
                <w:webHidden/>
              </w:rPr>
              <w:fldChar w:fldCharType="separate"/>
            </w:r>
            <w:r>
              <w:rPr>
                <w:noProof/>
                <w:webHidden/>
              </w:rPr>
              <w:t>12</w:t>
            </w:r>
            <w:r>
              <w:rPr>
                <w:noProof/>
                <w:webHidden/>
              </w:rPr>
              <w:fldChar w:fldCharType="end"/>
            </w:r>
          </w:hyperlink>
        </w:p>
        <w:p w14:paraId="2451F86E" w14:textId="5140B29E" w:rsidR="00A94B3D" w:rsidRDefault="00A94B3D">
          <w:pPr>
            <w:pStyle w:val="TOC1"/>
            <w:tabs>
              <w:tab w:val="right" w:leader="dot" w:pos="9016"/>
            </w:tabs>
            <w:rPr>
              <w:rFonts w:eastAsiaTheme="minorEastAsia"/>
              <w:noProof/>
              <w:lang w:eastAsia="en-GB"/>
            </w:rPr>
          </w:pPr>
          <w:hyperlink w:anchor="_Toc216970891" w:history="1">
            <w:r w:rsidRPr="00F34C9D">
              <w:rPr>
                <w:rStyle w:val="Hyperlink"/>
                <w:rFonts w:ascii="Arial" w:hAnsi="Arial" w:cs="Arial"/>
                <w:noProof/>
              </w:rPr>
              <w:t>7. Critical evaluation &amp; Recommendation</w:t>
            </w:r>
            <w:r>
              <w:rPr>
                <w:noProof/>
                <w:webHidden/>
              </w:rPr>
              <w:tab/>
            </w:r>
            <w:r>
              <w:rPr>
                <w:noProof/>
                <w:webHidden/>
              </w:rPr>
              <w:fldChar w:fldCharType="begin"/>
            </w:r>
            <w:r>
              <w:rPr>
                <w:noProof/>
                <w:webHidden/>
              </w:rPr>
              <w:instrText xml:space="preserve"> PAGEREF _Toc216970891 \h </w:instrText>
            </w:r>
            <w:r>
              <w:rPr>
                <w:noProof/>
                <w:webHidden/>
              </w:rPr>
            </w:r>
            <w:r>
              <w:rPr>
                <w:noProof/>
                <w:webHidden/>
              </w:rPr>
              <w:fldChar w:fldCharType="separate"/>
            </w:r>
            <w:r>
              <w:rPr>
                <w:noProof/>
                <w:webHidden/>
              </w:rPr>
              <w:t>13</w:t>
            </w:r>
            <w:r>
              <w:rPr>
                <w:noProof/>
                <w:webHidden/>
              </w:rPr>
              <w:fldChar w:fldCharType="end"/>
            </w:r>
          </w:hyperlink>
        </w:p>
        <w:p w14:paraId="77B44E54" w14:textId="3F3EF27B" w:rsidR="00A94B3D" w:rsidRDefault="00A94B3D">
          <w:pPr>
            <w:pStyle w:val="TOC1"/>
            <w:tabs>
              <w:tab w:val="right" w:leader="dot" w:pos="9016"/>
            </w:tabs>
            <w:rPr>
              <w:rFonts w:eastAsiaTheme="minorEastAsia"/>
              <w:noProof/>
              <w:lang w:eastAsia="en-GB"/>
            </w:rPr>
          </w:pPr>
          <w:hyperlink w:anchor="_Toc216970892" w:history="1">
            <w:r w:rsidRPr="00F34C9D">
              <w:rPr>
                <w:rStyle w:val="Hyperlink"/>
                <w:rFonts w:ascii="Arial" w:hAnsi="Arial" w:cs="Arial"/>
                <w:noProof/>
              </w:rPr>
              <w:t>8. Key strategic recommendations for Fleximize  for future developments and implementation</w:t>
            </w:r>
            <w:r>
              <w:rPr>
                <w:noProof/>
                <w:webHidden/>
              </w:rPr>
              <w:tab/>
            </w:r>
            <w:r>
              <w:rPr>
                <w:noProof/>
                <w:webHidden/>
              </w:rPr>
              <w:fldChar w:fldCharType="begin"/>
            </w:r>
            <w:r>
              <w:rPr>
                <w:noProof/>
                <w:webHidden/>
              </w:rPr>
              <w:instrText xml:space="preserve"> PAGEREF _Toc216970892 \h </w:instrText>
            </w:r>
            <w:r>
              <w:rPr>
                <w:noProof/>
                <w:webHidden/>
              </w:rPr>
            </w:r>
            <w:r>
              <w:rPr>
                <w:noProof/>
                <w:webHidden/>
              </w:rPr>
              <w:fldChar w:fldCharType="separate"/>
            </w:r>
            <w:r>
              <w:rPr>
                <w:noProof/>
                <w:webHidden/>
              </w:rPr>
              <w:t>14</w:t>
            </w:r>
            <w:r>
              <w:rPr>
                <w:noProof/>
                <w:webHidden/>
              </w:rPr>
              <w:fldChar w:fldCharType="end"/>
            </w:r>
          </w:hyperlink>
        </w:p>
        <w:p w14:paraId="5B2DD976" w14:textId="492FF142" w:rsidR="00A94B3D" w:rsidRDefault="00A94B3D">
          <w:pPr>
            <w:pStyle w:val="TOC2"/>
            <w:tabs>
              <w:tab w:val="right" w:leader="dot" w:pos="9016"/>
            </w:tabs>
            <w:rPr>
              <w:rFonts w:eastAsiaTheme="minorEastAsia"/>
              <w:noProof/>
              <w:lang w:eastAsia="en-GB"/>
            </w:rPr>
          </w:pPr>
          <w:hyperlink w:anchor="_Toc216970893" w:history="1">
            <w:r w:rsidRPr="00F34C9D">
              <w:rPr>
                <w:rStyle w:val="Hyperlink"/>
                <w:rFonts w:ascii="Arial" w:hAnsi="Arial" w:cs="Arial"/>
                <w:noProof/>
              </w:rPr>
              <w:t>7.1 Implementation Challenges</w:t>
            </w:r>
            <w:r>
              <w:rPr>
                <w:noProof/>
                <w:webHidden/>
              </w:rPr>
              <w:tab/>
            </w:r>
            <w:r>
              <w:rPr>
                <w:noProof/>
                <w:webHidden/>
              </w:rPr>
              <w:fldChar w:fldCharType="begin"/>
            </w:r>
            <w:r>
              <w:rPr>
                <w:noProof/>
                <w:webHidden/>
              </w:rPr>
              <w:instrText xml:space="preserve"> PAGEREF _Toc216970893 \h </w:instrText>
            </w:r>
            <w:r>
              <w:rPr>
                <w:noProof/>
                <w:webHidden/>
              </w:rPr>
            </w:r>
            <w:r>
              <w:rPr>
                <w:noProof/>
                <w:webHidden/>
              </w:rPr>
              <w:fldChar w:fldCharType="separate"/>
            </w:r>
            <w:r>
              <w:rPr>
                <w:noProof/>
                <w:webHidden/>
              </w:rPr>
              <w:t>15</w:t>
            </w:r>
            <w:r>
              <w:rPr>
                <w:noProof/>
                <w:webHidden/>
              </w:rPr>
              <w:fldChar w:fldCharType="end"/>
            </w:r>
          </w:hyperlink>
        </w:p>
        <w:p w14:paraId="08FC61E8" w14:textId="7B9296AA" w:rsidR="00A94B3D" w:rsidRDefault="00A94B3D">
          <w:pPr>
            <w:pStyle w:val="TOC1"/>
            <w:tabs>
              <w:tab w:val="right" w:leader="dot" w:pos="9016"/>
            </w:tabs>
            <w:rPr>
              <w:rFonts w:eastAsiaTheme="minorEastAsia"/>
              <w:noProof/>
              <w:lang w:eastAsia="en-GB"/>
            </w:rPr>
          </w:pPr>
          <w:hyperlink w:anchor="_Toc216970894" w:history="1">
            <w:r w:rsidRPr="00F34C9D">
              <w:rPr>
                <w:rStyle w:val="Hyperlink"/>
                <w:rFonts w:ascii="Arial" w:hAnsi="Arial" w:cs="Arial"/>
                <w:noProof/>
              </w:rPr>
              <w:t>9. Conclusion</w:t>
            </w:r>
            <w:r>
              <w:rPr>
                <w:noProof/>
                <w:webHidden/>
              </w:rPr>
              <w:tab/>
            </w:r>
            <w:r>
              <w:rPr>
                <w:noProof/>
                <w:webHidden/>
              </w:rPr>
              <w:fldChar w:fldCharType="begin"/>
            </w:r>
            <w:r>
              <w:rPr>
                <w:noProof/>
                <w:webHidden/>
              </w:rPr>
              <w:instrText xml:space="preserve"> PAGEREF _Toc216970894 \h </w:instrText>
            </w:r>
            <w:r>
              <w:rPr>
                <w:noProof/>
                <w:webHidden/>
              </w:rPr>
            </w:r>
            <w:r>
              <w:rPr>
                <w:noProof/>
                <w:webHidden/>
              </w:rPr>
              <w:fldChar w:fldCharType="separate"/>
            </w:r>
            <w:r>
              <w:rPr>
                <w:noProof/>
                <w:webHidden/>
              </w:rPr>
              <w:t>16</w:t>
            </w:r>
            <w:r>
              <w:rPr>
                <w:noProof/>
                <w:webHidden/>
              </w:rPr>
              <w:fldChar w:fldCharType="end"/>
            </w:r>
          </w:hyperlink>
        </w:p>
        <w:p w14:paraId="5544B32F" w14:textId="57EE9EFE" w:rsidR="00A94B3D" w:rsidRDefault="00A94B3D">
          <w:pPr>
            <w:pStyle w:val="TOC1"/>
            <w:tabs>
              <w:tab w:val="right" w:leader="dot" w:pos="9016"/>
            </w:tabs>
            <w:rPr>
              <w:rFonts w:eastAsiaTheme="minorEastAsia"/>
              <w:noProof/>
              <w:lang w:eastAsia="en-GB"/>
            </w:rPr>
          </w:pPr>
          <w:hyperlink w:anchor="_Toc216970895" w:history="1">
            <w:r w:rsidRPr="00F34C9D">
              <w:rPr>
                <w:rStyle w:val="Hyperlink"/>
                <w:rFonts w:ascii="Arial" w:hAnsi="Arial" w:cs="Arial"/>
                <w:noProof/>
              </w:rPr>
              <w:t>10. References List</w:t>
            </w:r>
            <w:r>
              <w:rPr>
                <w:noProof/>
                <w:webHidden/>
              </w:rPr>
              <w:tab/>
            </w:r>
            <w:r>
              <w:rPr>
                <w:noProof/>
                <w:webHidden/>
              </w:rPr>
              <w:fldChar w:fldCharType="begin"/>
            </w:r>
            <w:r>
              <w:rPr>
                <w:noProof/>
                <w:webHidden/>
              </w:rPr>
              <w:instrText xml:space="preserve"> PAGEREF _Toc216970895 \h </w:instrText>
            </w:r>
            <w:r>
              <w:rPr>
                <w:noProof/>
                <w:webHidden/>
              </w:rPr>
            </w:r>
            <w:r>
              <w:rPr>
                <w:noProof/>
                <w:webHidden/>
              </w:rPr>
              <w:fldChar w:fldCharType="separate"/>
            </w:r>
            <w:r>
              <w:rPr>
                <w:noProof/>
                <w:webHidden/>
              </w:rPr>
              <w:t>17</w:t>
            </w:r>
            <w:r>
              <w:rPr>
                <w:noProof/>
                <w:webHidden/>
              </w:rPr>
              <w:fldChar w:fldCharType="end"/>
            </w:r>
          </w:hyperlink>
        </w:p>
        <w:p w14:paraId="2D93BA6A" w14:textId="479AEADD" w:rsidR="002D44A9" w:rsidRDefault="002D44A9">
          <w:r>
            <w:rPr>
              <w:b/>
              <w:bCs/>
            </w:rPr>
            <w:fldChar w:fldCharType="end"/>
          </w:r>
        </w:p>
      </w:sdtContent>
    </w:sdt>
    <w:p w14:paraId="65CF6C95" w14:textId="77777777" w:rsidR="004A45E8" w:rsidRDefault="004A45E8"/>
    <w:p w14:paraId="564AA03F" w14:textId="77777777" w:rsidR="004A45E8" w:rsidRDefault="004A45E8"/>
    <w:p w14:paraId="7D2B4E40" w14:textId="77777777" w:rsidR="004A45E8" w:rsidRDefault="004A45E8"/>
    <w:p w14:paraId="3FDA3B4D" w14:textId="77777777" w:rsidR="004A45E8" w:rsidRDefault="004A45E8"/>
    <w:p w14:paraId="541A8FCC" w14:textId="77777777" w:rsidR="004A45E8" w:rsidRDefault="004A45E8"/>
    <w:p w14:paraId="40FBA550" w14:textId="77777777" w:rsidR="004A45E8" w:rsidRDefault="004A45E8"/>
    <w:p w14:paraId="0B1CC914" w14:textId="77777777" w:rsidR="004A45E8" w:rsidRDefault="004A45E8"/>
    <w:p w14:paraId="35648467" w14:textId="77777777" w:rsidR="004A45E8" w:rsidRDefault="004A45E8"/>
    <w:p w14:paraId="44146457" w14:textId="77777777" w:rsidR="004A45E8" w:rsidRDefault="004A45E8"/>
    <w:p w14:paraId="779AA031" w14:textId="77777777" w:rsidR="004A45E8" w:rsidRDefault="004A45E8"/>
    <w:p w14:paraId="6926495C" w14:textId="142D020D" w:rsidR="00094608" w:rsidRPr="008E3D0D" w:rsidRDefault="004F47D1" w:rsidP="00604500">
      <w:pPr>
        <w:pStyle w:val="Heading1"/>
        <w:numPr>
          <w:ilvl w:val="0"/>
          <w:numId w:val="64"/>
        </w:numPr>
        <w:rPr>
          <w:rFonts w:ascii="Arial" w:hAnsi="Arial" w:cs="Arial"/>
        </w:rPr>
      </w:pPr>
      <w:bookmarkStart w:id="0" w:name="_Toc216970879"/>
      <w:r w:rsidRPr="008E3D0D">
        <w:rPr>
          <w:rFonts w:ascii="Arial" w:hAnsi="Arial" w:cs="Arial"/>
        </w:rPr>
        <w:lastRenderedPageBreak/>
        <w:t>Executive Summary</w:t>
      </w:r>
      <w:bookmarkEnd w:id="0"/>
    </w:p>
    <w:p w14:paraId="3B6B8B66" w14:textId="631BF4D6" w:rsidR="00D16EDD" w:rsidRPr="00D76C0F" w:rsidRDefault="00D16EDD" w:rsidP="00D76C0F">
      <w:pPr>
        <w:spacing w:line="276" w:lineRule="auto"/>
        <w:rPr>
          <w:rFonts w:ascii="Arial" w:hAnsi="Arial" w:cs="Arial"/>
          <w:sz w:val="22"/>
          <w:szCs w:val="22"/>
        </w:rPr>
      </w:pPr>
      <w:r w:rsidRPr="00D76C0F">
        <w:rPr>
          <w:rFonts w:ascii="Arial" w:hAnsi="Arial" w:cs="Arial"/>
          <w:sz w:val="22"/>
          <w:szCs w:val="22"/>
        </w:rPr>
        <w:t xml:space="preserve">This executive summary provides a strategic analysis of </w:t>
      </w:r>
      <w:r w:rsidRPr="00D76C0F">
        <w:rPr>
          <w:rFonts w:ascii="Arial" w:hAnsi="Arial" w:cs="Arial"/>
          <w:b/>
          <w:bCs/>
          <w:sz w:val="22"/>
          <w:szCs w:val="22"/>
        </w:rPr>
        <w:t>Fleximize Limited</w:t>
      </w:r>
      <w:r w:rsidRPr="00D76C0F">
        <w:rPr>
          <w:rFonts w:ascii="Arial" w:hAnsi="Arial" w:cs="Arial"/>
          <w:sz w:val="22"/>
          <w:szCs w:val="22"/>
        </w:rPr>
        <w:t>, a UK-based alternative finance provider specialising in flexible funding solutions for small and medium-sized enterprises (SMEs</w:t>
      </w:r>
      <w:r w:rsidR="009866E6" w:rsidRPr="00D76C0F">
        <w:rPr>
          <w:rFonts w:ascii="Arial" w:hAnsi="Arial" w:cs="Arial"/>
          <w:sz w:val="22"/>
          <w:szCs w:val="22"/>
        </w:rPr>
        <w:t>)</w:t>
      </w:r>
    </w:p>
    <w:p w14:paraId="27CF9C80" w14:textId="5518C13F" w:rsidR="00D16EDD" w:rsidRPr="00D76C0F" w:rsidRDefault="00D16EDD" w:rsidP="00D76C0F">
      <w:pPr>
        <w:spacing w:line="276" w:lineRule="auto"/>
        <w:rPr>
          <w:rFonts w:ascii="Arial" w:hAnsi="Arial" w:cs="Arial"/>
          <w:sz w:val="22"/>
          <w:szCs w:val="22"/>
        </w:rPr>
      </w:pPr>
      <w:r w:rsidRPr="00D76C0F">
        <w:rPr>
          <w:rFonts w:ascii="Arial" w:hAnsi="Arial" w:cs="Arial"/>
          <w:b/>
          <w:bCs/>
          <w:sz w:val="22"/>
          <w:szCs w:val="22"/>
        </w:rPr>
        <w:t>Introduction, Products, Services and Business Model</w:t>
      </w:r>
      <w:r w:rsidRPr="00D76C0F">
        <w:rPr>
          <w:rFonts w:ascii="Arial" w:hAnsi="Arial" w:cs="Arial"/>
          <w:sz w:val="22"/>
          <w:szCs w:val="22"/>
        </w:rPr>
        <w:br/>
        <w:t>Fleximize offers a range of products</w:t>
      </w:r>
      <w:r w:rsidR="009866E6" w:rsidRPr="00D76C0F">
        <w:rPr>
          <w:rFonts w:ascii="Arial" w:hAnsi="Arial" w:cs="Arial"/>
          <w:sz w:val="22"/>
          <w:szCs w:val="22"/>
        </w:rPr>
        <w:t>,</w:t>
      </w:r>
      <w:r w:rsidRPr="00D76C0F">
        <w:rPr>
          <w:rFonts w:ascii="Arial" w:hAnsi="Arial" w:cs="Arial"/>
          <w:sz w:val="22"/>
          <w:szCs w:val="22"/>
        </w:rPr>
        <w:t xml:space="preserve"> including </w:t>
      </w:r>
      <w:r w:rsidRPr="00D76C0F">
        <w:rPr>
          <w:rFonts w:ascii="Arial" w:hAnsi="Arial" w:cs="Arial"/>
          <w:b/>
          <w:bCs/>
          <w:sz w:val="22"/>
          <w:szCs w:val="22"/>
        </w:rPr>
        <w:t>flexible business loans, merchant cash advances, and revenue-based finance</w:t>
      </w:r>
      <w:r w:rsidRPr="00D76C0F">
        <w:rPr>
          <w:rFonts w:ascii="Arial" w:hAnsi="Arial" w:cs="Arial"/>
          <w:sz w:val="22"/>
          <w:szCs w:val="22"/>
        </w:rPr>
        <w:t xml:space="preserve">, characterised by features such as repayment holidays, top-ups, and early repayment options. Its business model is built on </w:t>
      </w:r>
      <w:r w:rsidRPr="00D76C0F">
        <w:rPr>
          <w:rFonts w:ascii="Arial" w:hAnsi="Arial" w:cs="Arial"/>
          <w:b/>
          <w:bCs/>
          <w:sz w:val="22"/>
          <w:szCs w:val="22"/>
        </w:rPr>
        <w:t>risk-based pricing</w:t>
      </w:r>
      <w:r w:rsidRPr="00D76C0F">
        <w:rPr>
          <w:rFonts w:ascii="Arial" w:hAnsi="Arial" w:cs="Arial"/>
          <w:sz w:val="22"/>
          <w:szCs w:val="22"/>
        </w:rPr>
        <w:t>, proprietary credit assessment technology, and a strong emphasis on relationship management</w:t>
      </w:r>
      <w:r w:rsidR="00F15AAD" w:rsidRPr="00D76C0F">
        <w:rPr>
          <w:rFonts w:ascii="Arial" w:hAnsi="Arial" w:cs="Arial"/>
          <w:sz w:val="22"/>
          <w:szCs w:val="22"/>
        </w:rPr>
        <w:t>.</w:t>
      </w:r>
    </w:p>
    <w:p w14:paraId="62B3A92C" w14:textId="2C6E0A98" w:rsidR="00D16EDD" w:rsidRPr="00D76C0F" w:rsidRDefault="00D16EDD" w:rsidP="00D76C0F">
      <w:pPr>
        <w:spacing w:line="276" w:lineRule="auto"/>
        <w:rPr>
          <w:rFonts w:ascii="Arial" w:hAnsi="Arial" w:cs="Arial"/>
          <w:sz w:val="22"/>
          <w:szCs w:val="22"/>
        </w:rPr>
      </w:pPr>
      <w:r w:rsidRPr="00D76C0F">
        <w:rPr>
          <w:rFonts w:ascii="Arial" w:hAnsi="Arial" w:cs="Arial"/>
          <w:b/>
          <w:bCs/>
          <w:sz w:val="22"/>
          <w:szCs w:val="22"/>
        </w:rPr>
        <w:t>Strategic Direction and Goals</w:t>
      </w:r>
      <w:r w:rsidRPr="00D76C0F">
        <w:rPr>
          <w:rFonts w:ascii="Arial" w:hAnsi="Arial" w:cs="Arial"/>
          <w:sz w:val="22"/>
          <w:szCs w:val="22"/>
        </w:rPr>
        <w:br/>
      </w:r>
      <w:proofErr w:type="spellStart"/>
      <w:r w:rsidRPr="00D76C0F">
        <w:rPr>
          <w:rFonts w:ascii="Arial" w:hAnsi="Arial" w:cs="Arial"/>
          <w:sz w:val="22"/>
          <w:szCs w:val="22"/>
        </w:rPr>
        <w:t>Fleximize’s</w:t>
      </w:r>
      <w:proofErr w:type="spellEnd"/>
      <w:r w:rsidRPr="00D76C0F">
        <w:rPr>
          <w:rFonts w:ascii="Arial" w:hAnsi="Arial" w:cs="Arial"/>
          <w:sz w:val="22"/>
          <w:szCs w:val="22"/>
        </w:rPr>
        <w:t xml:space="preserve"> strategic intent is reflected in a vision to </w:t>
      </w:r>
      <w:r w:rsidRPr="00D76C0F">
        <w:rPr>
          <w:rFonts w:ascii="Arial" w:hAnsi="Arial" w:cs="Arial"/>
          <w:i/>
          <w:iCs/>
          <w:sz w:val="22"/>
          <w:szCs w:val="22"/>
        </w:rPr>
        <w:t>empower SMEs with fair, flexible finance</w:t>
      </w:r>
      <w:r w:rsidRPr="00D76C0F">
        <w:rPr>
          <w:rFonts w:ascii="Arial" w:hAnsi="Arial" w:cs="Arial"/>
          <w:sz w:val="22"/>
          <w:szCs w:val="22"/>
        </w:rPr>
        <w:t xml:space="preserve"> and a mission centred on </w:t>
      </w:r>
      <w:r w:rsidRPr="00D76C0F">
        <w:rPr>
          <w:rFonts w:ascii="Arial" w:hAnsi="Arial" w:cs="Arial"/>
          <w:b/>
          <w:bCs/>
          <w:sz w:val="22"/>
          <w:szCs w:val="22"/>
        </w:rPr>
        <w:t>supporting sustainable business growth</w:t>
      </w:r>
      <w:r w:rsidRPr="00D76C0F">
        <w:rPr>
          <w:rFonts w:ascii="Arial" w:hAnsi="Arial" w:cs="Arial"/>
          <w:sz w:val="22"/>
          <w:szCs w:val="22"/>
        </w:rPr>
        <w:t>.</w:t>
      </w:r>
    </w:p>
    <w:p w14:paraId="216DF28D" w14:textId="6D21B60F" w:rsidR="00D16EDD" w:rsidRPr="00D76C0F" w:rsidRDefault="00D16EDD" w:rsidP="00D76C0F">
      <w:pPr>
        <w:spacing w:line="276" w:lineRule="auto"/>
        <w:rPr>
          <w:rFonts w:ascii="Arial" w:hAnsi="Arial" w:cs="Arial"/>
          <w:sz w:val="22"/>
          <w:szCs w:val="22"/>
        </w:rPr>
      </w:pPr>
      <w:r w:rsidRPr="00D76C0F">
        <w:rPr>
          <w:rFonts w:ascii="Arial" w:hAnsi="Arial" w:cs="Arial"/>
          <w:b/>
          <w:bCs/>
          <w:sz w:val="22"/>
          <w:szCs w:val="22"/>
        </w:rPr>
        <w:t>Competitive Positioning and Strategic Analysis</w:t>
      </w:r>
      <w:r w:rsidRPr="00D76C0F">
        <w:rPr>
          <w:rFonts w:ascii="Arial" w:hAnsi="Arial" w:cs="Arial"/>
          <w:sz w:val="22"/>
          <w:szCs w:val="22"/>
        </w:rPr>
        <w:br/>
        <w:t xml:space="preserve">Internally, a </w:t>
      </w:r>
      <w:r w:rsidRPr="00D76C0F">
        <w:rPr>
          <w:rFonts w:ascii="Arial" w:hAnsi="Arial" w:cs="Arial"/>
          <w:b/>
          <w:bCs/>
          <w:sz w:val="22"/>
          <w:szCs w:val="22"/>
        </w:rPr>
        <w:t>SWOT analysis</w:t>
      </w:r>
      <w:r w:rsidRPr="00D76C0F">
        <w:rPr>
          <w:rFonts w:ascii="Arial" w:hAnsi="Arial" w:cs="Arial"/>
          <w:sz w:val="22"/>
          <w:szCs w:val="22"/>
        </w:rPr>
        <w:t xml:space="preserve"> highlights </w:t>
      </w:r>
      <w:r w:rsidR="00174866" w:rsidRPr="00D76C0F">
        <w:rPr>
          <w:rFonts w:ascii="Arial" w:hAnsi="Arial" w:cs="Arial"/>
          <w:sz w:val="22"/>
          <w:szCs w:val="22"/>
        </w:rPr>
        <w:t xml:space="preserve">a </w:t>
      </w:r>
      <w:r w:rsidRPr="00D76C0F">
        <w:rPr>
          <w:rFonts w:ascii="Arial" w:hAnsi="Arial" w:cs="Arial"/>
          <w:sz w:val="22"/>
          <w:szCs w:val="22"/>
        </w:rPr>
        <w:t>strong brand reputation</w:t>
      </w:r>
      <w:r w:rsidR="00174866" w:rsidRPr="00D76C0F">
        <w:rPr>
          <w:rFonts w:ascii="Arial" w:hAnsi="Arial" w:cs="Arial"/>
          <w:sz w:val="22"/>
          <w:szCs w:val="22"/>
        </w:rPr>
        <w:t>.</w:t>
      </w:r>
      <w:r w:rsidRPr="00D76C0F">
        <w:rPr>
          <w:rFonts w:ascii="Arial" w:hAnsi="Arial" w:cs="Arial"/>
          <w:sz w:val="22"/>
          <w:szCs w:val="22"/>
        </w:rPr>
        <w:t xml:space="preserve"> Externally, </w:t>
      </w:r>
      <w:r w:rsidRPr="00D76C0F">
        <w:rPr>
          <w:rFonts w:ascii="Arial" w:hAnsi="Arial" w:cs="Arial"/>
          <w:b/>
          <w:bCs/>
          <w:sz w:val="22"/>
          <w:szCs w:val="22"/>
        </w:rPr>
        <w:t>PESTEL analysis</w:t>
      </w:r>
      <w:r w:rsidRPr="00D76C0F">
        <w:rPr>
          <w:rFonts w:ascii="Arial" w:hAnsi="Arial" w:cs="Arial"/>
          <w:sz w:val="22"/>
          <w:szCs w:val="22"/>
        </w:rPr>
        <w:t xml:space="preserve"> indicates </w:t>
      </w:r>
      <w:r w:rsidRPr="00D76C0F">
        <w:rPr>
          <w:rFonts w:ascii="Arial" w:hAnsi="Arial" w:cs="Arial"/>
          <w:b/>
          <w:bCs/>
          <w:sz w:val="22"/>
          <w:szCs w:val="22"/>
        </w:rPr>
        <w:t>Porter’s Five Forces</w:t>
      </w:r>
      <w:r w:rsidRPr="00D76C0F">
        <w:rPr>
          <w:rFonts w:ascii="Arial" w:hAnsi="Arial" w:cs="Arial"/>
          <w:sz w:val="22"/>
          <w:szCs w:val="22"/>
        </w:rPr>
        <w:t xml:space="preserve"> suggests moderate competitive rivalry, </w:t>
      </w:r>
    </w:p>
    <w:p w14:paraId="11FEBE7A" w14:textId="050D90F5" w:rsidR="00D16EDD" w:rsidRPr="00D76C0F" w:rsidRDefault="00D16EDD" w:rsidP="00D76C0F">
      <w:pPr>
        <w:spacing w:line="276" w:lineRule="auto"/>
        <w:rPr>
          <w:rFonts w:ascii="Arial" w:hAnsi="Arial" w:cs="Arial"/>
          <w:sz w:val="22"/>
          <w:szCs w:val="22"/>
        </w:rPr>
      </w:pPr>
      <w:r w:rsidRPr="00D76C0F">
        <w:rPr>
          <w:rFonts w:ascii="Arial" w:hAnsi="Arial" w:cs="Arial"/>
          <w:b/>
          <w:bCs/>
          <w:sz w:val="22"/>
          <w:szCs w:val="22"/>
        </w:rPr>
        <w:t>Strategic Growth and Ansoff Matrix</w:t>
      </w:r>
      <w:r w:rsidRPr="00D76C0F">
        <w:rPr>
          <w:rFonts w:ascii="Arial" w:hAnsi="Arial" w:cs="Arial"/>
          <w:sz w:val="22"/>
          <w:szCs w:val="22"/>
        </w:rPr>
        <w:br/>
        <w:t xml:space="preserve">Using the </w:t>
      </w:r>
      <w:r w:rsidRPr="00D76C0F">
        <w:rPr>
          <w:rFonts w:ascii="Arial" w:hAnsi="Arial" w:cs="Arial"/>
          <w:b/>
          <w:bCs/>
          <w:sz w:val="22"/>
          <w:szCs w:val="22"/>
        </w:rPr>
        <w:t>Ansoff Matrix</w:t>
      </w:r>
      <w:r w:rsidRPr="00D76C0F">
        <w:rPr>
          <w:rFonts w:ascii="Arial" w:hAnsi="Arial" w:cs="Arial"/>
          <w:sz w:val="22"/>
          <w:szCs w:val="22"/>
        </w:rPr>
        <w:t xml:space="preserve">, the most viable growth path lies in </w:t>
      </w:r>
      <w:r w:rsidRPr="00D76C0F">
        <w:rPr>
          <w:rFonts w:ascii="Arial" w:hAnsi="Arial" w:cs="Arial"/>
          <w:b/>
          <w:bCs/>
          <w:sz w:val="22"/>
          <w:szCs w:val="22"/>
        </w:rPr>
        <w:t>product development and market development</w:t>
      </w:r>
      <w:r w:rsidR="00F15AAD" w:rsidRPr="00D76C0F">
        <w:rPr>
          <w:rFonts w:ascii="Arial" w:hAnsi="Arial" w:cs="Arial"/>
          <w:b/>
          <w:bCs/>
          <w:sz w:val="22"/>
          <w:szCs w:val="22"/>
        </w:rPr>
        <w:t>.</w:t>
      </w:r>
      <w:r w:rsidR="00174866" w:rsidRPr="00D76C0F">
        <w:rPr>
          <w:rFonts w:ascii="Arial" w:hAnsi="Arial" w:cs="Arial"/>
          <w:sz w:val="22"/>
          <w:szCs w:val="22"/>
        </w:rPr>
        <w:t xml:space="preserve"> </w:t>
      </w:r>
      <w:r w:rsidRPr="00D76C0F">
        <w:rPr>
          <w:rFonts w:ascii="Arial" w:hAnsi="Arial" w:cs="Arial"/>
          <w:sz w:val="22"/>
          <w:szCs w:val="22"/>
        </w:rPr>
        <w:t xml:space="preserve">A proposed sustainable strategy is </w:t>
      </w:r>
      <w:r w:rsidRPr="00D76C0F">
        <w:rPr>
          <w:rFonts w:ascii="Arial" w:hAnsi="Arial" w:cs="Arial"/>
          <w:b/>
          <w:bCs/>
          <w:sz w:val="22"/>
          <w:szCs w:val="22"/>
        </w:rPr>
        <w:t>platform-based growth</w:t>
      </w:r>
      <w:r w:rsidRPr="00D76C0F">
        <w:rPr>
          <w:rFonts w:ascii="Arial" w:hAnsi="Arial" w:cs="Arial"/>
          <w:sz w:val="22"/>
          <w:szCs w:val="22"/>
        </w:rPr>
        <w:t xml:space="preserve">, leveraging data analytics and partnerships (e.g. with accounting software providers) </w:t>
      </w:r>
    </w:p>
    <w:p w14:paraId="74DE0B16" w14:textId="019F96B3" w:rsidR="00D16EDD" w:rsidRPr="00D76C0F" w:rsidRDefault="00D16EDD" w:rsidP="00D76C0F">
      <w:pPr>
        <w:spacing w:line="276" w:lineRule="auto"/>
        <w:rPr>
          <w:rFonts w:ascii="Arial" w:hAnsi="Arial" w:cs="Arial"/>
          <w:sz w:val="22"/>
          <w:szCs w:val="22"/>
        </w:rPr>
      </w:pPr>
      <w:r w:rsidRPr="00D76C0F">
        <w:rPr>
          <w:rFonts w:ascii="Arial" w:hAnsi="Arial" w:cs="Arial"/>
          <w:b/>
          <w:bCs/>
          <w:sz w:val="22"/>
          <w:szCs w:val="22"/>
        </w:rPr>
        <w:t>Governance and RACI Perspective</w:t>
      </w:r>
      <w:r w:rsidRPr="00D76C0F">
        <w:rPr>
          <w:rFonts w:ascii="Arial" w:hAnsi="Arial" w:cs="Arial"/>
          <w:sz w:val="22"/>
          <w:szCs w:val="22"/>
        </w:rPr>
        <w:br/>
        <w:t xml:space="preserve">From a RACI standpoint, the </w:t>
      </w:r>
      <w:r w:rsidRPr="00D76C0F">
        <w:rPr>
          <w:rFonts w:ascii="Arial" w:hAnsi="Arial" w:cs="Arial"/>
          <w:b/>
          <w:bCs/>
          <w:sz w:val="22"/>
          <w:szCs w:val="22"/>
        </w:rPr>
        <w:t>Board and CEO</w:t>
      </w:r>
      <w:r w:rsidRPr="00D76C0F">
        <w:rPr>
          <w:rFonts w:ascii="Arial" w:hAnsi="Arial" w:cs="Arial"/>
          <w:sz w:val="22"/>
          <w:szCs w:val="22"/>
        </w:rPr>
        <w:t xml:space="preserve"> are accountable for strategic direction, </w:t>
      </w:r>
      <w:r w:rsidRPr="00D76C0F">
        <w:rPr>
          <w:rFonts w:ascii="Arial" w:hAnsi="Arial" w:cs="Arial"/>
          <w:b/>
          <w:bCs/>
          <w:sz w:val="22"/>
          <w:szCs w:val="22"/>
        </w:rPr>
        <w:t>senior management</w:t>
      </w:r>
      <w:r w:rsidRPr="00D76C0F">
        <w:rPr>
          <w:rFonts w:ascii="Arial" w:hAnsi="Arial" w:cs="Arial"/>
          <w:sz w:val="22"/>
          <w:szCs w:val="22"/>
        </w:rPr>
        <w:t xml:space="preserve"> </w:t>
      </w:r>
      <w:r w:rsidR="00174866" w:rsidRPr="00D76C0F">
        <w:rPr>
          <w:rFonts w:ascii="Arial" w:hAnsi="Arial" w:cs="Arial"/>
          <w:sz w:val="22"/>
          <w:szCs w:val="22"/>
        </w:rPr>
        <w:t xml:space="preserve">is </w:t>
      </w:r>
      <w:r w:rsidRPr="00D76C0F">
        <w:rPr>
          <w:rFonts w:ascii="Arial" w:hAnsi="Arial" w:cs="Arial"/>
          <w:sz w:val="22"/>
          <w:szCs w:val="22"/>
        </w:rPr>
        <w:t xml:space="preserve">responsible for execution, </w:t>
      </w:r>
      <w:r w:rsidRPr="00D76C0F">
        <w:rPr>
          <w:rFonts w:ascii="Arial" w:hAnsi="Arial" w:cs="Arial"/>
          <w:b/>
          <w:bCs/>
          <w:sz w:val="22"/>
          <w:szCs w:val="22"/>
        </w:rPr>
        <w:t>risk and compliance teams</w:t>
      </w:r>
      <w:r w:rsidRPr="00D76C0F">
        <w:rPr>
          <w:rFonts w:ascii="Arial" w:hAnsi="Arial" w:cs="Arial"/>
          <w:sz w:val="22"/>
          <w:szCs w:val="22"/>
        </w:rPr>
        <w:t xml:space="preserve"> </w:t>
      </w:r>
      <w:r w:rsidR="00174866" w:rsidRPr="00D76C0F">
        <w:rPr>
          <w:rFonts w:ascii="Arial" w:hAnsi="Arial" w:cs="Arial"/>
          <w:sz w:val="22"/>
          <w:szCs w:val="22"/>
        </w:rPr>
        <w:t xml:space="preserve">are </w:t>
      </w:r>
      <w:r w:rsidRPr="00D76C0F">
        <w:rPr>
          <w:rFonts w:ascii="Arial" w:hAnsi="Arial" w:cs="Arial"/>
          <w:sz w:val="22"/>
          <w:szCs w:val="22"/>
        </w:rPr>
        <w:t xml:space="preserve">consulted throughout, and </w:t>
      </w:r>
      <w:r w:rsidRPr="00D76C0F">
        <w:rPr>
          <w:rFonts w:ascii="Arial" w:hAnsi="Arial" w:cs="Arial"/>
          <w:b/>
          <w:bCs/>
          <w:sz w:val="22"/>
          <w:szCs w:val="22"/>
        </w:rPr>
        <w:t>employees and funding partners</w:t>
      </w:r>
      <w:r w:rsidRPr="00D76C0F">
        <w:rPr>
          <w:rFonts w:ascii="Arial" w:hAnsi="Arial" w:cs="Arial"/>
          <w:sz w:val="22"/>
          <w:szCs w:val="22"/>
        </w:rPr>
        <w:t xml:space="preserve"> </w:t>
      </w:r>
      <w:r w:rsidR="00174866" w:rsidRPr="00D76C0F">
        <w:rPr>
          <w:rFonts w:ascii="Arial" w:hAnsi="Arial" w:cs="Arial"/>
          <w:sz w:val="22"/>
          <w:szCs w:val="22"/>
        </w:rPr>
        <w:t xml:space="preserve">are </w:t>
      </w:r>
      <w:r w:rsidRPr="00D76C0F">
        <w:rPr>
          <w:rFonts w:ascii="Arial" w:hAnsi="Arial" w:cs="Arial"/>
          <w:sz w:val="22"/>
          <w:szCs w:val="22"/>
        </w:rPr>
        <w:t>informed and engaged.</w:t>
      </w:r>
    </w:p>
    <w:p w14:paraId="376524E7" w14:textId="601FD1EC" w:rsidR="00094608" w:rsidRPr="00D76C0F" w:rsidRDefault="00D16EDD" w:rsidP="00D76C0F">
      <w:pPr>
        <w:spacing w:line="276" w:lineRule="auto"/>
        <w:rPr>
          <w:rFonts w:ascii="Arial" w:hAnsi="Arial" w:cs="Arial"/>
          <w:sz w:val="22"/>
          <w:szCs w:val="22"/>
        </w:rPr>
      </w:pPr>
      <w:r w:rsidRPr="00D76C0F">
        <w:rPr>
          <w:rFonts w:ascii="Arial" w:hAnsi="Arial" w:cs="Arial"/>
          <w:b/>
          <w:bCs/>
          <w:sz w:val="22"/>
          <w:szCs w:val="22"/>
        </w:rPr>
        <w:t>Evaluation, Recommendations and Challenges</w:t>
      </w:r>
      <w:r w:rsidRPr="00D76C0F">
        <w:rPr>
          <w:rFonts w:ascii="Arial" w:hAnsi="Arial" w:cs="Arial"/>
          <w:sz w:val="22"/>
          <w:szCs w:val="22"/>
        </w:rPr>
        <w:br/>
        <w:t xml:space="preserve">The most suitable, feasible, and acceptable strategic option is </w:t>
      </w:r>
      <w:r w:rsidRPr="00D76C0F">
        <w:rPr>
          <w:rFonts w:ascii="Arial" w:hAnsi="Arial" w:cs="Arial"/>
          <w:b/>
          <w:bCs/>
          <w:sz w:val="22"/>
          <w:szCs w:val="22"/>
        </w:rPr>
        <w:t>focused digital expansion with controlled geographic diversification</w:t>
      </w:r>
      <w:r w:rsidRPr="00D76C0F">
        <w:rPr>
          <w:rFonts w:ascii="Arial" w:hAnsi="Arial" w:cs="Arial"/>
          <w:sz w:val="22"/>
          <w:szCs w:val="22"/>
        </w:rPr>
        <w:t>.</w:t>
      </w:r>
    </w:p>
    <w:p w14:paraId="0A96FF9B" w14:textId="77777777" w:rsidR="00094608" w:rsidRDefault="00094608"/>
    <w:p w14:paraId="560999C8" w14:textId="77777777" w:rsidR="00094608" w:rsidRDefault="00094608"/>
    <w:p w14:paraId="1E5B5031" w14:textId="77777777" w:rsidR="00094608" w:rsidRDefault="00094608"/>
    <w:p w14:paraId="5D4CE73C" w14:textId="77777777" w:rsidR="00094608" w:rsidRDefault="00094608"/>
    <w:p w14:paraId="386FCB4C" w14:textId="77777777" w:rsidR="00D76C0F" w:rsidRDefault="00D76C0F"/>
    <w:p w14:paraId="150109D1" w14:textId="77777777" w:rsidR="00094608" w:rsidRDefault="00094608"/>
    <w:p w14:paraId="523BA97B" w14:textId="77777777" w:rsidR="009B6218" w:rsidRDefault="009B6218" w:rsidP="009B6218"/>
    <w:p w14:paraId="72798A57" w14:textId="1C909477" w:rsidR="00813A1B" w:rsidRPr="008E3D0D" w:rsidRDefault="00002D6F" w:rsidP="00604500">
      <w:pPr>
        <w:pStyle w:val="Heading1"/>
        <w:rPr>
          <w:rFonts w:ascii="Arial" w:hAnsi="Arial" w:cs="Arial"/>
          <w:sz w:val="22"/>
          <w:szCs w:val="22"/>
        </w:rPr>
      </w:pPr>
      <w:bookmarkStart w:id="1" w:name="_Toc216970880"/>
      <w:r w:rsidRPr="008E3D0D">
        <w:rPr>
          <w:rFonts w:ascii="Arial" w:hAnsi="Arial" w:cs="Arial"/>
        </w:rPr>
        <w:lastRenderedPageBreak/>
        <w:t>2.</w:t>
      </w:r>
      <w:r w:rsidR="00A7724F" w:rsidRPr="008E3D0D">
        <w:rPr>
          <w:rFonts w:ascii="Arial" w:hAnsi="Arial" w:cs="Arial"/>
        </w:rPr>
        <w:t xml:space="preserve"> Introduction</w:t>
      </w:r>
      <w:r w:rsidR="003B12CD" w:rsidRPr="008E3D0D">
        <w:rPr>
          <w:rFonts w:ascii="Arial" w:hAnsi="Arial" w:cs="Arial"/>
        </w:rPr>
        <w:t xml:space="preserve"> of </w:t>
      </w:r>
      <w:r w:rsidR="00A7724F" w:rsidRPr="008E3D0D">
        <w:rPr>
          <w:rFonts w:ascii="Arial" w:hAnsi="Arial" w:cs="Arial"/>
        </w:rPr>
        <w:t xml:space="preserve"> </w:t>
      </w:r>
      <w:r w:rsidR="00691943" w:rsidRPr="008E3D0D">
        <w:rPr>
          <w:rFonts w:ascii="Arial" w:hAnsi="Arial" w:cs="Arial"/>
        </w:rPr>
        <w:t>Fleximize Limited</w:t>
      </w:r>
      <w:bookmarkEnd w:id="1"/>
    </w:p>
    <w:p w14:paraId="1ED71381" w14:textId="61B37B67" w:rsidR="00002D6F" w:rsidRPr="00D76C0F" w:rsidRDefault="00BA4EAB" w:rsidP="00D76C0F">
      <w:pPr>
        <w:spacing w:line="276" w:lineRule="auto"/>
        <w:jc w:val="both"/>
        <w:rPr>
          <w:rFonts w:ascii="Arial" w:hAnsi="Arial" w:cs="Arial"/>
          <w:sz w:val="22"/>
          <w:szCs w:val="22"/>
        </w:rPr>
      </w:pPr>
      <w:r w:rsidRPr="00D76C0F">
        <w:rPr>
          <w:rFonts w:ascii="Arial" w:hAnsi="Arial" w:cs="Arial"/>
          <w:sz w:val="22"/>
          <w:szCs w:val="22"/>
        </w:rPr>
        <w:t xml:space="preserve">This report </w:t>
      </w:r>
      <w:r w:rsidR="00F97F09" w:rsidRPr="00D76C0F">
        <w:rPr>
          <w:rFonts w:ascii="Arial" w:hAnsi="Arial" w:cs="Arial"/>
          <w:sz w:val="22"/>
          <w:szCs w:val="22"/>
        </w:rPr>
        <w:t xml:space="preserve">will focus </w:t>
      </w:r>
      <w:r w:rsidR="001C6D2C" w:rsidRPr="00D76C0F">
        <w:rPr>
          <w:rFonts w:ascii="Arial" w:hAnsi="Arial" w:cs="Arial"/>
          <w:sz w:val="22"/>
          <w:szCs w:val="22"/>
        </w:rPr>
        <w:t>on</w:t>
      </w:r>
      <w:r w:rsidR="001A7FED" w:rsidRPr="00D76C0F">
        <w:rPr>
          <w:rFonts w:ascii="Arial" w:hAnsi="Arial" w:cs="Arial"/>
          <w:sz w:val="22"/>
          <w:szCs w:val="22"/>
        </w:rPr>
        <w:t xml:space="preserve"> </w:t>
      </w:r>
      <w:r w:rsidR="001369E7" w:rsidRPr="00D76C0F">
        <w:rPr>
          <w:rFonts w:ascii="Arial" w:hAnsi="Arial" w:cs="Arial"/>
          <w:sz w:val="22"/>
          <w:szCs w:val="22"/>
        </w:rPr>
        <w:t xml:space="preserve">Fleximize </w:t>
      </w:r>
      <w:r w:rsidR="001C6D2C" w:rsidRPr="00D76C0F">
        <w:rPr>
          <w:rFonts w:ascii="Arial" w:hAnsi="Arial" w:cs="Arial"/>
          <w:sz w:val="22"/>
          <w:szCs w:val="22"/>
        </w:rPr>
        <w:t>Limited's</w:t>
      </w:r>
      <w:r w:rsidR="001369E7" w:rsidRPr="00D76C0F">
        <w:rPr>
          <w:rFonts w:ascii="Arial" w:hAnsi="Arial" w:cs="Arial"/>
          <w:sz w:val="22"/>
          <w:szCs w:val="22"/>
        </w:rPr>
        <w:t xml:space="preserve"> </w:t>
      </w:r>
      <w:r w:rsidR="00EC0BB8" w:rsidRPr="00D76C0F">
        <w:rPr>
          <w:rFonts w:ascii="Arial" w:hAnsi="Arial" w:cs="Arial"/>
          <w:sz w:val="22"/>
          <w:szCs w:val="22"/>
        </w:rPr>
        <w:t>strategy</w:t>
      </w:r>
      <w:r w:rsidR="008F447B" w:rsidRPr="00D76C0F">
        <w:rPr>
          <w:rFonts w:ascii="Arial" w:hAnsi="Arial" w:cs="Arial"/>
          <w:sz w:val="22"/>
          <w:szCs w:val="22"/>
        </w:rPr>
        <w:t xml:space="preserve"> as </w:t>
      </w:r>
      <w:r w:rsidR="00EC0BB8" w:rsidRPr="00D76C0F">
        <w:rPr>
          <w:rFonts w:ascii="Arial" w:hAnsi="Arial" w:cs="Arial"/>
          <w:sz w:val="22"/>
          <w:szCs w:val="22"/>
        </w:rPr>
        <w:t>a medium-sized enterprise</w:t>
      </w:r>
      <w:r w:rsidR="00DB5548" w:rsidRPr="00D76C0F">
        <w:rPr>
          <w:rFonts w:ascii="Arial" w:hAnsi="Arial" w:cs="Arial"/>
          <w:sz w:val="22"/>
          <w:szCs w:val="22"/>
        </w:rPr>
        <w:t>,</w:t>
      </w:r>
      <w:r w:rsidR="001369E7" w:rsidRPr="00D76C0F">
        <w:rPr>
          <w:rFonts w:ascii="Arial" w:hAnsi="Arial" w:cs="Arial"/>
          <w:sz w:val="22"/>
          <w:szCs w:val="22"/>
        </w:rPr>
        <w:t xml:space="preserve"> </w:t>
      </w:r>
      <w:r w:rsidR="00DB5548" w:rsidRPr="00D76C0F">
        <w:rPr>
          <w:rFonts w:ascii="Arial" w:hAnsi="Arial" w:cs="Arial"/>
          <w:sz w:val="22"/>
          <w:szCs w:val="22"/>
        </w:rPr>
        <w:t>a</w:t>
      </w:r>
      <w:r w:rsidR="001369E7" w:rsidRPr="00D76C0F">
        <w:rPr>
          <w:rFonts w:ascii="Arial" w:hAnsi="Arial" w:cs="Arial"/>
          <w:sz w:val="22"/>
          <w:szCs w:val="22"/>
        </w:rPr>
        <w:t xml:space="preserve"> UK-based alternative lender established in 2014 to fill funding gaps faced by small and medium-sized enterprises (SMEs). The company presents itself as a flexible, customer-focused digital </w:t>
      </w:r>
      <w:r w:rsidR="00DF6D4C">
        <w:rPr>
          <w:rFonts w:ascii="Arial" w:hAnsi="Arial" w:cs="Arial"/>
          <w:sz w:val="22"/>
          <w:szCs w:val="22"/>
        </w:rPr>
        <w:t xml:space="preserve">lender, providing rapid access to finance for businesses that may be underserved by traditional methods </w:t>
      </w:r>
      <w:r w:rsidR="001369E7" w:rsidRPr="00D76C0F">
        <w:rPr>
          <w:rFonts w:ascii="Arial" w:hAnsi="Arial" w:cs="Arial"/>
          <w:sz w:val="22"/>
          <w:szCs w:val="22"/>
        </w:rPr>
        <w:t>banks (</w:t>
      </w:r>
      <w:proofErr w:type="spellStart"/>
      <w:r w:rsidR="001369E7" w:rsidRPr="00D76C0F">
        <w:rPr>
          <w:rFonts w:ascii="Arial" w:hAnsi="Arial" w:cs="Arial"/>
          <w:sz w:val="22"/>
          <w:szCs w:val="22"/>
        </w:rPr>
        <w:t>Fleximize</w:t>
      </w:r>
      <w:proofErr w:type="spellEnd"/>
      <w:r w:rsidR="001369E7" w:rsidRPr="00D76C0F">
        <w:rPr>
          <w:rFonts w:ascii="Arial" w:hAnsi="Arial" w:cs="Arial"/>
          <w:sz w:val="22"/>
          <w:szCs w:val="22"/>
        </w:rPr>
        <w:t>, 2023a). Since its inception, Fleximize has greatly expanded its lending portfolio, providing hundreds of millions of pounds to SMEs across various sectors (Fleximize, 2023b).</w:t>
      </w:r>
      <w:r w:rsidR="00F15AAD" w:rsidRPr="00D76C0F">
        <w:rPr>
          <w:rFonts w:ascii="Arial" w:hAnsi="Arial" w:cs="Arial"/>
          <w:sz w:val="22"/>
          <w:szCs w:val="22"/>
        </w:rPr>
        <w:t xml:space="preserve"> </w:t>
      </w:r>
      <w:r w:rsidR="00002D6F" w:rsidRPr="00D76C0F">
        <w:rPr>
          <w:rFonts w:ascii="Arial" w:hAnsi="Arial" w:cs="Arial"/>
          <w:sz w:val="22"/>
          <w:szCs w:val="22"/>
        </w:rPr>
        <w:t>focused on providing flexible business finance to small and medium-sized enterprises (SMEs). Companies House, 2025).</w:t>
      </w:r>
    </w:p>
    <w:p w14:paraId="3C13FD80" w14:textId="77777777" w:rsidR="00002D6F" w:rsidRPr="00D76C0F" w:rsidRDefault="00002D6F" w:rsidP="00D76C0F">
      <w:pPr>
        <w:spacing w:line="276" w:lineRule="auto"/>
        <w:rPr>
          <w:rFonts w:ascii="Arial" w:hAnsi="Arial" w:cs="Arial"/>
          <w:b/>
          <w:bCs/>
          <w:sz w:val="22"/>
          <w:szCs w:val="22"/>
        </w:rPr>
      </w:pPr>
      <w:r w:rsidRPr="00D76C0F">
        <w:rPr>
          <w:rFonts w:ascii="Arial" w:hAnsi="Arial" w:cs="Arial"/>
          <w:b/>
          <w:bCs/>
          <w:sz w:val="22"/>
          <w:szCs w:val="22"/>
        </w:rPr>
        <w:t>Products &amp; services</w:t>
      </w:r>
    </w:p>
    <w:p w14:paraId="65F0F5D5" w14:textId="6A41F83E" w:rsidR="00002D6F" w:rsidRPr="00D76C0F" w:rsidRDefault="006E08DE" w:rsidP="00D76C0F">
      <w:pPr>
        <w:spacing w:line="276" w:lineRule="auto"/>
        <w:rPr>
          <w:rFonts w:ascii="Arial" w:hAnsi="Arial" w:cs="Arial"/>
          <w:sz w:val="22"/>
          <w:szCs w:val="22"/>
        </w:rPr>
      </w:pPr>
      <w:proofErr w:type="spellStart"/>
      <w:r>
        <w:rPr>
          <w:rFonts w:ascii="Arial" w:hAnsi="Arial" w:cs="Arial"/>
          <w:sz w:val="22"/>
          <w:szCs w:val="22"/>
        </w:rPr>
        <w:t>Fleximize’s</w:t>
      </w:r>
      <w:proofErr w:type="spellEnd"/>
      <w:r>
        <w:rPr>
          <w:rFonts w:ascii="Arial" w:hAnsi="Arial" w:cs="Arial"/>
          <w:sz w:val="22"/>
          <w:szCs w:val="22"/>
        </w:rPr>
        <w:t xml:space="preserve"> main offering is term lending for SMEs, described as “business loans of £5,000 to £500,000”. Its flagship products are </w:t>
      </w:r>
      <w:proofErr w:type="spellStart"/>
      <w:r>
        <w:rPr>
          <w:rFonts w:ascii="Arial" w:hAnsi="Arial" w:cs="Arial"/>
          <w:sz w:val="22"/>
          <w:szCs w:val="22"/>
        </w:rPr>
        <w:t>Flexiloan</w:t>
      </w:r>
      <w:proofErr w:type="spellEnd"/>
      <w:r>
        <w:rPr>
          <w:rFonts w:ascii="Arial" w:hAnsi="Arial" w:cs="Arial"/>
          <w:sz w:val="22"/>
          <w:szCs w:val="22"/>
        </w:rPr>
        <w:t xml:space="preserve"> (generally for businesses trading for 12 or more months) and </w:t>
      </w:r>
      <w:proofErr w:type="spellStart"/>
      <w:r>
        <w:rPr>
          <w:rFonts w:ascii="Arial" w:hAnsi="Arial" w:cs="Arial"/>
          <w:sz w:val="22"/>
          <w:szCs w:val="22"/>
        </w:rPr>
        <w:t>Flexiloan</w:t>
      </w:r>
      <w:proofErr w:type="spellEnd"/>
      <w:r>
        <w:rPr>
          <w:rFonts w:ascii="Arial" w:hAnsi="Arial" w:cs="Arial"/>
          <w:sz w:val="22"/>
          <w:szCs w:val="22"/>
        </w:rPr>
        <w:t xml:space="preserve"> Lite (usually for businesses trading for 6 or more months), available on either a secured or unsecured basis (</w:t>
      </w:r>
      <w:proofErr w:type="spellStart"/>
      <w:r>
        <w:rPr>
          <w:rFonts w:ascii="Arial" w:hAnsi="Arial" w:cs="Arial"/>
          <w:sz w:val="22"/>
          <w:szCs w:val="22"/>
        </w:rPr>
        <w:t>Fleximize</w:t>
      </w:r>
      <w:proofErr w:type="spellEnd"/>
      <w:r>
        <w:rPr>
          <w:rFonts w:ascii="Arial" w:hAnsi="Arial" w:cs="Arial"/>
          <w:sz w:val="22"/>
          <w:szCs w:val="22"/>
        </w:rPr>
        <w:t xml:space="preserve">, 2025b). Throughout its loan range, </w:t>
      </w:r>
      <w:proofErr w:type="spellStart"/>
      <w:r>
        <w:rPr>
          <w:rFonts w:ascii="Arial" w:hAnsi="Arial" w:cs="Arial"/>
          <w:sz w:val="22"/>
          <w:szCs w:val="22"/>
        </w:rPr>
        <w:t>Fleximize</w:t>
      </w:r>
      <w:proofErr w:type="spellEnd"/>
      <w:r>
        <w:rPr>
          <w:rFonts w:ascii="Arial" w:hAnsi="Arial" w:cs="Arial"/>
          <w:sz w:val="22"/>
          <w:szCs w:val="22"/>
        </w:rPr>
        <w:t xml:space="preserve"> emphasises features such as top-ups, repayment holidays, and no early settlement fees (</w:t>
      </w:r>
      <w:proofErr w:type="spellStart"/>
      <w:r>
        <w:rPr>
          <w:rFonts w:ascii="Arial" w:hAnsi="Arial" w:cs="Arial"/>
          <w:sz w:val="22"/>
          <w:szCs w:val="22"/>
        </w:rPr>
        <w:t>Fleximize</w:t>
      </w:r>
      <w:proofErr w:type="spellEnd"/>
      <w:r>
        <w:rPr>
          <w:rFonts w:ascii="Arial" w:hAnsi="Arial" w:cs="Arial"/>
          <w:sz w:val="22"/>
          <w:szCs w:val="22"/>
        </w:rPr>
        <w:t>, 2025b).</w:t>
      </w:r>
    </w:p>
    <w:p w14:paraId="6813E084" w14:textId="77777777" w:rsidR="00002D6F" w:rsidRPr="00D76C0F" w:rsidRDefault="00002D6F" w:rsidP="00D76C0F">
      <w:pPr>
        <w:spacing w:line="276" w:lineRule="auto"/>
        <w:rPr>
          <w:rFonts w:ascii="Arial" w:hAnsi="Arial" w:cs="Arial"/>
          <w:b/>
          <w:bCs/>
          <w:sz w:val="22"/>
          <w:szCs w:val="22"/>
        </w:rPr>
      </w:pPr>
      <w:r w:rsidRPr="00D76C0F">
        <w:rPr>
          <w:rFonts w:ascii="Arial" w:hAnsi="Arial" w:cs="Arial"/>
          <w:b/>
          <w:bCs/>
          <w:sz w:val="22"/>
          <w:szCs w:val="22"/>
        </w:rPr>
        <w:t>Business model</w:t>
      </w:r>
    </w:p>
    <w:p w14:paraId="5D99169F" w14:textId="49F451CE" w:rsidR="00002D6F" w:rsidRPr="00D76C0F" w:rsidRDefault="006E08DE" w:rsidP="00D76C0F">
      <w:pPr>
        <w:spacing w:line="276" w:lineRule="auto"/>
        <w:rPr>
          <w:rFonts w:ascii="Arial" w:hAnsi="Arial" w:cs="Arial"/>
          <w:sz w:val="22"/>
          <w:szCs w:val="22"/>
        </w:rPr>
      </w:pPr>
      <w:proofErr w:type="spellStart"/>
      <w:r>
        <w:rPr>
          <w:rFonts w:ascii="Arial" w:hAnsi="Arial" w:cs="Arial"/>
          <w:sz w:val="22"/>
          <w:szCs w:val="22"/>
        </w:rPr>
        <w:t>Fleximize</w:t>
      </w:r>
      <w:proofErr w:type="spellEnd"/>
      <w:r>
        <w:rPr>
          <w:rFonts w:ascii="Arial" w:hAnsi="Arial" w:cs="Arial"/>
          <w:sz w:val="22"/>
          <w:szCs w:val="22"/>
        </w:rPr>
        <w:t xml:space="preserve"> follows a direct-to-business lending approach, attracting customers via its website and relationship-based support. It evaluates affordability and eligibility, then derives revenue mainly from interest (and any disclosed fees) over the agreed loan terms. Eligibility criteria focus on trading history and a maximum loan size tied to revenue (</w:t>
      </w:r>
      <w:proofErr w:type="spellStart"/>
      <w:r>
        <w:rPr>
          <w:rFonts w:ascii="Arial" w:hAnsi="Arial" w:cs="Arial"/>
          <w:sz w:val="22"/>
          <w:szCs w:val="22"/>
        </w:rPr>
        <w:t>Fleximize</w:t>
      </w:r>
      <w:proofErr w:type="spellEnd"/>
      <w:r>
        <w:rPr>
          <w:rFonts w:ascii="Arial" w:hAnsi="Arial" w:cs="Arial"/>
          <w:sz w:val="22"/>
          <w:szCs w:val="22"/>
        </w:rPr>
        <w:t>, 2025d).</w:t>
      </w:r>
    </w:p>
    <w:p w14:paraId="5505B677" w14:textId="77777777" w:rsidR="00002D6F" w:rsidRPr="00D76C0F" w:rsidRDefault="00002D6F" w:rsidP="00D76C0F">
      <w:pPr>
        <w:spacing w:line="276" w:lineRule="auto"/>
        <w:rPr>
          <w:rFonts w:ascii="Arial" w:hAnsi="Arial" w:cs="Arial"/>
          <w:b/>
          <w:bCs/>
          <w:sz w:val="22"/>
          <w:szCs w:val="22"/>
        </w:rPr>
      </w:pPr>
      <w:r w:rsidRPr="00D76C0F">
        <w:rPr>
          <w:rFonts w:ascii="Arial" w:hAnsi="Arial" w:cs="Arial"/>
          <w:b/>
          <w:bCs/>
          <w:sz w:val="22"/>
          <w:szCs w:val="22"/>
        </w:rPr>
        <w:t>Uniqueness</w:t>
      </w:r>
    </w:p>
    <w:p w14:paraId="2F9BEE8D" w14:textId="3DADDA88" w:rsidR="00E16CBD" w:rsidRPr="00D76C0F" w:rsidRDefault="008E3D0D" w:rsidP="00D76C0F">
      <w:pPr>
        <w:spacing w:line="276" w:lineRule="auto"/>
        <w:rPr>
          <w:rFonts w:ascii="Arial" w:hAnsi="Arial" w:cs="Arial"/>
          <w:sz w:val="22"/>
          <w:szCs w:val="22"/>
        </w:rPr>
      </w:pPr>
      <w:proofErr w:type="spellStart"/>
      <w:r w:rsidRPr="00D76C0F">
        <w:rPr>
          <w:rFonts w:ascii="Arial" w:hAnsi="Arial" w:cs="Arial"/>
          <w:sz w:val="22"/>
          <w:szCs w:val="22"/>
        </w:rPr>
        <w:t>Fleximize</w:t>
      </w:r>
      <w:proofErr w:type="spellEnd"/>
      <w:r w:rsidRPr="00D76C0F">
        <w:rPr>
          <w:rFonts w:ascii="Arial" w:hAnsi="Arial" w:cs="Arial"/>
          <w:sz w:val="22"/>
          <w:szCs w:val="22"/>
        </w:rPr>
        <w:t xml:space="preserve"> differentiates itself through a combination of fintech delivery and relationship management—highlighting a “personal touch” alongside streamlined digital processes (</w:t>
      </w:r>
      <w:proofErr w:type="spellStart"/>
      <w:r w:rsidRPr="00D76C0F">
        <w:rPr>
          <w:rFonts w:ascii="Arial" w:hAnsi="Arial" w:cs="Arial"/>
          <w:sz w:val="22"/>
          <w:szCs w:val="22"/>
        </w:rPr>
        <w:t>Fleximize</w:t>
      </w:r>
      <w:proofErr w:type="spellEnd"/>
      <w:r w:rsidRPr="00D76C0F">
        <w:rPr>
          <w:rFonts w:ascii="Arial" w:hAnsi="Arial" w:cs="Arial"/>
          <w:sz w:val="22"/>
          <w:szCs w:val="22"/>
        </w:rPr>
        <w:t>, 2025e). It also positions itself as an award-winning SME lender and highlights institutional backing and scale-up ambitions, signalling credibility and capacity to expand lending (</w:t>
      </w:r>
      <w:proofErr w:type="spellStart"/>
      <w:r w:rsidRPr="00D76C0F">
        <w:rPr>
          <w:rFonts w:ascii="Arial" w:hAnsi="Arial" w:cs="Arial"/>
          <w:sz w:val="22"/>
          <w:szCs w:val="22"/>
        </w:rPr>
        <w:t>Fleximize</w:t>
      </w:r>
      <w:proofErr w:type="spellEnd"/>
      <w:r w:rsidRPr="00D76C0F">
        <w:rPr>
          <w:rFonts w:ascii="Arial" w:hAnsi="Arial" w:cs="Arial"/>
          <w:sz w:val="22"/>
          <w:szCs w:val="22"/>
        </w:rPr>
        <w:t xml:space="preserve">, 2025a). </w:t>
      </w:r>
      <w:proofErr w:type="spellStart"/>
      <w:r w:rsidRPr="00D76C0F">
        <w:rPr>
          <w:rFonts w:ascii="Arial" w:hAnsi="Arial" w:cs="Arial"/>
          <w:sz w:val="22"/>
          <w:szCs w:val="22"/>
        </w:rPr>
        <w:t>Fleximize</w:t>
      </w:r>
      <w:proofErr w:type="spellEnd"/>
      <w:r w:rsidRPr="00D76C0F">
        <w:rPr>
          <w:rFonts w:ascii="Arial" w:hAnsi="Arial" w:cs="Arial"/>
          <w:sz w:val="22"/>
          <w:szCs w:val="22"/>
        </w:rPr>
        <w:t xml:space="preserve"> Limited’s strategic focus is on becoming a leading UK alternative finance provider for small and medium-sized enterprises (SMEs), particularly those underserved by traditional banks.</w:t>
      </w:r>
    </w:p>
    <w:p w14:paraId="465A7A08" w14:textId="77777777" w:rsidR="003C7795" w:rsidRDefault="003C7795" w:rsidP="00E16CBD">
      <w:pPr>
        <w:rPr>
          <w:b/>
          <w:bCs/>
        </w:rPr>
      </w:pPr>
    </w:p>
    <w:p w14:paraId="282DF882" w14:textId="77777777" w:rsidR="00D76C0F" w:rsidRDefault="00D76C0F" w:rsidP="00E16CBD">
      <w:pPr>
        <w:rPr>
          <w:b/>
          <w:bCs/>
        </w:rPr>
      </w:pPr>
    </w:p>
    <w:p w14:paraId="43E17646" w14:textId="77777777" w:rsidR="00D76C0F" w:rsidRDefault="00D76C0F" w:rsidP="00E16CBD">
      <w:pPr>
        <w:rPr>
          <w:b/>
          <w:bCs/>
        </w:rPr>
      </w:pPr>
    </w:p>
    <w:p w14:paraId="342683A9" w14:textId="77777777" w:rsidR="00D76C0F" w:rsidRDefault="00D76C0F" w:rsidP="00E16CBD">
      <w:pPr>
        <w:rPr>
          <w:b/>
          <w:bCs/>
        </w:rPr>
      </w:pPr>
    </w:p>
    <w:p w14:paraId="12364D6F" w14:textId="77777777" w:rsidR="003C7795" w:rsidRDefault="003C7795" w:rsidP="00E16CBD">
      <w:pPr>
        <w:rPr>
          <w:b/>
          <w:bCs/>
        </w:rPr>
      </w:pPr>
    </w:p>
    <w:p w14:paraId="40205B75" w14:textId="77777777" w:rsidR="00493159" w:rsidRDefault="00493159" w:rsidP="00E16CBD">
      <w:pPr>
        <w:rPr>
          <w:b/>
          <w:bCs/>
        </w:rPr>
      </w:pPr>
    </w:p>
    <w:p w14:paraId="222125E0" w14:textId="250BFC02" w:rsidR="00184E55" w:rsidRPr="007E2F1E" w:rsidRDefault="00184E55" w:rsidP="007E2F1E">
      <w:pPr>
        <w:pStyle w:val="Heading1"/>
      </w:pPr>
      <w:bookmarkStart w:id="2" w:name="_Toc216970881"/>
      <w:r>
        <w:lastRenderedPageBreak/>
        <w:t xml:space="preserve">3. </w:t>
      </w:r>
      <w:r w:rsidRPr="00184E55">
        <w:t>Vision, Mission and Objectives</w:t>
      </w:r>
      <w:bookmarkEnd w:id="2"/>
    </w:p>
    <w:p w14:paraId="0C1B66CD" w14:textId="36A2E467" w:rsidR="00E16CBD" w:rsidRPr="00D76C0F" w:rsidRDefault="00E16CBD" w:rsidP="00A6019F">
      <w:pPr>
        <w:spacing w:line="276" w:lineRule="auto"/>
        <w:jc w:val="both"/>
        <w:rPr>
          <w:rFonts w:ascii="Arial" w:hAnsi="Arial" w:cs="Arial"/>
          <w:b/>
          <w:bCs/>
          <w:sz w:val="22"/>
          <w:szCs w:val="22"/>
        </w:rPr>
      </w:pPr>
      <w:r w:rsidRPr="00D76C0F">
        <w:rPr>
          <w:rFonts w:ascii="Arial" w:hAnsi="Arial" w:cs="Arial"/>
          <w:b/>
          <w:bCs/>
          <w:sz w:val="22"/>
          <w:szCs w:val="22"/>
        </w:rPr>
        <w:t>Vision</w:t>
      </w:r>
    </w:p>
    <w:p w14:paraId="12437635" w14:textId="77777777" w:rsidR="00E16CBD" w:rsidRPr="00D76C0F" w:rsidRDefault="00E16CBD" w:rsidP="00A6019F">
      <w:pPr>
        <w:spacing w:line="276" w:lineRule="auto"/>
        <w:jc w:val="both"/>
        <w:rPr>
          <w:rFonts w:ascii="Arial" w:hAnsi="Arial" w:cs="Arial"/>
          <w:sz w:val="22"/>
          <w:szCs w:val="22"/>
        </w:rPr>
      </w:pPr>
      <w:proofErr w:type="spellStart"/>
      <w:r w:rsidRPr="00D76C0F">
        <w:rPr>
          <w:rFonts w:ascii="Arial" w:hAnsi="Arial" w:cs="Arial"/>
          <w:sz w:val="22"/>
          <w:szCs w:val="22"/>
        </w:rPr>
        <w:t>Fleximize’s</w:t>
      </w:r>
      <w:proofErr w:type="spellEnd"/>
      <w:r w:rsidRPr="00D76C0F">
        <w:rPr>
          <w:rFonts w:ascii="Arial" w:hAnsi="Arial" w:cs="Arial"/>
          <w:sz w:val="22"/>
          <w:szCs w:val="22"/>
        </w:rPr>
        <w:t xml:space="preserve"> implicit vision is to </w:t>
      </w:r>
      <w:r w:rsidRPr="00D76C0F">
        <w:rPr>
          <w:rFonts w:ascii="Arial" w:hAnsi="Arial" w:cs="Arial"/>
          <w:b/>
          <w:bCs/>
          <w:sz w:val="22"/>
          <w:szCs w:val="22"/>
        </w:rPr>
        <w:t>empower UK SMEs through accessible, flexible, and responsible finance</w:t>
      </w:r>
      <w:r w:rsidRPr="00D76C0F">
        <w:rPr>
          <w:rFonts w:ascii="Arial" w:hAnsi="Arial" w:cs="Arial"/>
          <w:sz w:val="22"/>
          <w:szCs w:val="22"/>
        </w:rPr>
        <w:t>. This vision aligns with the broader alternative finance sector’s aim of reducing the SME funding gap left by conventional lenders (British Business Bank, 2023). The company’s focus on flexibility—such as repayment holidays and loan top-ups—supports this long-term aspiration and reflects an understanding of SME cash-flow volatility (Fleximize, 2024a).</w:t>
      </w:r>
    </w:p>
    <w:p w14:paraId="411A776A" w14:textId="77777777" w:rsidR="00E16CBD" w:rsidRPr="00D76C0F" w:rsidRDefault="00E16CBD" w:rsidP="00A6019F">
      <w:pPr>
        <w:spacing w:line="276" w:lineRule="auto"/>
        <w:jc w:val="both"/>
        <w:rPr>
          <w:rFonts w:ascii="Arial" w:hAnsi="Arial" w:cs="Arial"/>
          <w:b/>
          <w:bCs/>
          <w:sz w:val="22"/>
          <w:szCs w:val="22"/>
        </w:rPr>
      </w:pPr>
      <w:r w:rsidRPr="00D76C0F">
        <w:rPr>
          <w:rFonts w:ascii="Arial" w:hAnsi="Arial" w:cs="Arial"/>
          <w:b/>
          <w:bCs/>
          <w:sz w:val="22"/>
          <w:szCs w:val="22"/>
        </w:rPr>
        <w:t>Mission</w:t>
      </w:r>
    </w:p>
    <w:p w14:paraId="2F640523" w14:textId="1C78087B" w:rsidR="00E16CBD" w:rsidRPr="00D76C0F" w:rsidRDefault="00E16CBD" w:rsidP="00A6019F">
      <w:pPr>
        <w:spacing w:line="276" w:lineRule="auto"/>
        <w:jc w:val="both"/>
        <w:rPr>
          <w:rFonts w:ascii="Arial" w:hAnsi="Arial" w:cs="Arial"/>
          <w:sz w:val="22"/>
          <w:szCs w:val="22"/>
        </w:rPr>
      </w:pPr>
      <w:r w:rsidRPr="00D76C0F">
        <w:rPr>
          <w:rFonts w:ascii="Arial" w:hAnsi="Arial" w:cs="Arial"/>
          <w:sz w:val="22"/>
          <w:szCs w:val="22"/>
        </w:rPr>
        <w:t xml:space="preserve">The company’s mission can be interpreted as </w:t>
      </w:r>
      <w:r w:rsidRPr="00D76C0F">
        <w:rPr>
          <w:rFonts w:ascii="Arial" w:hAnsi="Arial" w:cs="Arial"/>
          <w:b/>
          <w:bCs/>
          <w:sz w:val="22"/>
          <w:szCs w:val="22"/>
        </w:rPr>
        <w:t>delivering fast, flexible and relationship-led business finance using a combination of technology and human judgement</w:t>
      </w:r>
      <w:r w:rsidRPr="00D76C0F">
        <w:rPr>
          <w:rFonts w:ascii="Arial" w:hAnsi="Arial" w:cs="Arial"/>
          <w:sz w:val="22"/>
          <w:szCs w:val="22"/>
        </w:rPr>
        <w:t>. Fleximize consistently emphasises personalised customer support alongside digital processes, distinguishing it from purely automated fintech lenders (Fleximize, 2024b).</w:t>
      </w:r>
    </w:p>
    <w:p w14:paraId="2B25CB36" w14:textId="77777777" w:rsidR="00E16CBD" w:rsidRPr="00D76C0F" w:rsidRDefault="00E16CBD" w:rsidP="00A6019F">
      <w:pPr>
        <w:spacing w:line="276" w:lineRule="auto"/>
        <w:jc w:val="both"/>
        <w:rPr>
          <w:rFonts w:ascii="Arial" w:hAnsi="Arial" w:cs="Arial"/>
          <w:b/>
          <w:bCs/>
          <w:sz w:val="22"/>
          <w:szCs w:val="22"/>
        </w:rPr>
      </w:pPr>
      <w:r w:rsidRPr="00D76C0F">
        <w:rPr>
          <w:rFonts w:ascii="Arial" w:hAnsi="Arial" w:cs="Arial"/>
          <w:b/>
          <w:bCs/>
          <w:sz w:val="22"/>
          <w:szCs w:val="22"/>
        </w:rPr>
        <w:t>Strategic Objectives</w:t>
      </w:r>
    </w:p>
    <w:p w14:paraId="63F192A2" w14:textId="77777777" w:rsidR="00E16CBD" w:rsidRPr="00D76C0F" w:rsidRDefault="00E16CBD" w:rsidP="00A6019F">
      <w:pPr>
        <w:spacing w:line="276" w:lineRule="auto"/>
        <w:jc w:val="both"/>
        <w:rPr>
          <w:rFonts w:ascii="Arial" w:hAnsi="Arial" w:cs="Arial"/>
          <w:sz w:val="22"/>
          <w:szCs w:val="22"/>
        </w:rPr>
      </w:pPr>
      <w:proofErr w:type="spellStart"/>
      <w:r w:rsidRPr="00D76C0F">
        <w:rPr>
          <w:rFonts w:ascii="Arial" w:hAnsi="Arial" w:cs="Arial"/>
          <w:sz w:val="22"/>
          <w:szCs w:val="22"/>
        </w:rPr>
        <w:t>Fleximize’s</w:t>
      </w:r>
      <w:proofErr w:type="spellEnd"/>
      <w:r w:rsidRPr="00D76C0F">
        <w:rPr>
          <w:rFonts w:ascii="Arial" w:hAnsi="Arial" w:cs="Arial"/>
          <w:sz w:val="22"/>
          <w:szCs w:val="22"/>
        </w:rPr>
        <w:t xml:space="preserve"> strategic objectives appear to focus on:</w:t>
      </w:r>
    </w:p>
    <w:p w14:paraId="45933DA6" w14:textId="77777777" w:rsidR="00E16CBD" w:rsidRPr="00D76C0F" w:rsidRDefault="00E16CBD" w:rsidP="00A6019F">
      <w:pPr>
        <w:spacing w:line="276" w:lineRule="auto"/>
        <w:jc w:val="both"/>
        <w:rPr>
          <w:rFonts w:ascii="Arial" w:hAnsi="Arial" w:cs="Arial"/>
          <w:sz w:val="22"/>
          <w:szCs w:val="22"/>
        </w:rPr>
      </w:pPr>
      <w:r w:rsidRPr="00D76C0F">
        <w:rPr>
          <w:rFonts w:ascii="Arial" w:hAnsi="Arial" w:cs="Arial"/>
          <w:b/>
          <w:bCs/>
          <w:sz w:val="22"/>
          <w:szCs w:val="22"/>
        </w:rPr>
        <w:t>Growth in SME lending volumes</w:t>
      </w:r>
      <w:r w:rsidRPr="00D76C0F">
        <w:rPr>
          <w:rFonts w:ascii="Arial" w:hAnsi="Arial" w:cs="Arial"/>
          <w:sz w:val="22"/>
          <w:szCs w:val="22"/>
        </w:rPr>
        <w:t xml:space="preserve"> while maintaining credit quality.</w:t>
      </w:r>
    </w:p>
    <w:p w14:paraId="3CB0D941" w14:textId="77777777" w:rsidR="00E16CBD" w:rsidRPr="00D76C0F" w:rsidRDefault="00E16CBD" w:rsidP="00A6019F">
      <w:pPr>
        <w:spacing w:line="276" w:lineRule="auto"/>
        <w:jc w:val="both"/>
        <w:rPr>
          <w:rFonts w:ascii="Arial" w:hAnsi="Arial" w:cs="Arial"/>
          <w:sz w:val="22"/>
          <w:szCs w:val="22"/>
        </w:rPr>
      </w:pPr>
      <w:r w:rsidRPr="00D76C0F">
        <w:rPr>
          <w:rFonts w:ascii="Arial" w:hAnsi="Arial" w:cs="Arial"/>
          <w:b/>
          <w:bCs/>
          <w:sz w:val="22"/>
          <w:szCs w:val="22"/>
        </w:rPr>
        <w:t>Operational efficiency through digital platforms</w:t>
      </w:r>
      <w:r w:rsidRPr="00D76C0F">
        <w:rPr>
          <w:rFonts w:ascii="Arial" w:hAnsi="Arial" w:cs="Arial"/>
          <w:sz w:val="22"/>
          <w:szCs w:val="22"/>
        </w:rPr>
        <w:t>, enabling quicker decision-making.</w:t>
      </w:r>
    </w:p>
    <w:p w14:paraId="678B652F" w14:textId="77777777" w:rsidR="00E16CBD" w:rsidRPr="00D76C0F" w:rsidRDefault="00E16CBD" w:rsidP="00A6019F">
      <w:pPr>
        <w:spacing w:line="276" w:lineRule="auto"/>
        <w:jc w:val="both"/>
        <w:rPr>
          <w:rFonts w:ascii="Arial" w:hAnsi="Arial" w:cs="Arial"/>
          <w:sz w:val="22"/>
          <w:szCs w:val="22"/>
        </w:rPr>
      </w:pPr>
      <w:r w:rsidRPr="00D76C0F">
        <w:rPr>
          <w:rFonts w:ascii="Arial" w:hAnsi="Arial" w:cs="Arial"/>
          <w:b/>
          <w:bCs/>
          <w:sz w:val="22"/>
          <w:szCs w:val="22"/>
        </w:rPr>
        <w:t>Brand credibility and recognition</w:t>
      </w:r>
      <w:r w:rsidRPr="00D76C0F">
        <w:rPr>
          <w:rFonts w:ascii="Arial" w:hAnsi="Arial" w:cs="Arial"/>
          <w:sz w:val="22"/>
          <w:szCs w:val="22"/>
        </w:rPr>
        <w:t>, supported by industry awards and regulatory compliance.</w:t>
      </w:r>
    </w:p>
    <w:p w14:paraId="1BAB89ED" w14:textId="5121EF60" w:rsidR="00002D6F" w:rsidRPr="00D76C0F" w:rsidRDefault="00E16CBD" w:rsidP="00A6019F">
      <w:pPr>
        <w:spacing w:line="276" w:lineRule="auto"/>
        <w:jc w:val="both"/>
        <w:rPr>
          <w:rFonts w:ascii="Arial" w:hAnsi="Arial" w:cs="Arial"/>
          <w:sz w:val="22"/>
          <w:szCs w:val="22"/>
        </w:rPr>
      </w:pPr>
      <w:r w:rsidRPr="00D76C0F">
        <w:rPr>
          <w:rFonts w:ascii="Arial" w:hAnsi="Arial" w:cs="Arial"/>
          <w:sz w:val="22"/>
          <w:szCs w:val="22"/>
        </w:rPr>
        <w:t xml:space="preserve">These objectives align well with market opportunities identified by the British Business Bank (2023), which notes sustained demand for non-bank SME finance in the UK. </w:t>
      </w:r>
    </w:p>
    <w:p w14:paraId="2932F44C" w14:textId="105C6536" w:rsidR="003F67FD" w:rsidRDefault="00184E55" w:rsidP="003D1462">
      <w:pPr>
        <w:pStyle w:val="Heading1"/>
      </w:pPr>
      <w:bookmarkStart w:id="3" w:name="_Toc216970882"/>
      <w:r>
        <w:t xml:space="preserve">4. </w:t>
      </w:r>
      <w:r w:rsidR="00BC5A10">
        <w:t xml:space="preserve">Fleximize Limited's </w:t>
      </w:r>
      <w:r w:rsidR="00540EBA" w:rsidRPr="00540EBA">
        <w:t>competitive positioning (Internal / External environment).</w:t>
      </w:r>
      <w:bookmarkEnd w:id="3"/>
    </w:p>
    <w:p w14:paraId="4934A9FA" w14:textId="77777777" w:rsidR="00D76C0F" w:rsidRPr="00D76C0F" w:rsidRDefault="00D76C0F" w:rsidP="00D76C0F"/>
    <w:p w14:paraId="614A34A9" w14:textId="7C8554DE" w:rsidR="00DD32C5" w:rsidRPr="00E56E3A" w:rsidRDefault="00184E55" w:rsidP="008B69B1">
      <w:pPr>
        <w:pStyle w:val="Heading2"/>
      </w:pPr>
      <w:bookmarkStart w:id="4" w:name="_Toc216970883"/>
      <w:r>
        <w:t>4</w:t>
      </w:r>
      <w:r w:rsidR="00DD32C5" w:rsidRPr="00E56E3A">
        <w:t>.</w:t>
      </w:r>
      <w:r w:rsidR="008B69B1">
        <w:t>1</w:t>
      </w:r>
      <w:r w:rsidR="00DD32C5" w:rsidRPr="00E56E3A">
        <w:t xml:space="preserve"> Internal Environment</w:t>
      </w:r>
      <w:bookmarkEnd w:id="4"/>
    </w:p>
    <w:p w14:paraId="76D327C9" w14:textId="079E22EC" w:rsidR="00DD32C5" w:rsidRPr="003F76D1" w:rsidRDefault="00DD32C5" w:rsidP="0090212F">
      <w:pPr>
        <w:pStyle w:val="Heading2"/>
      </w:pPr>
      <w:r w:rsidRPr="00E56E3A">
        <w:t xml:space="preserve"> </w:t>
      </w:r>
      <w:r w:rsidR="0090212F">
        <w:t xml:space="preserve">4.1.1 </w:t>
      </w:r>
      <w:r w:rsidRPr="003F76D1">
        <w:t>SWOT analysis</w:t>
      </w:r>
    </w:p>
    <w:p w14:paraId="56BE11F8" w14:textId="77777777" w:rsidR="006C08D6" w:rsidRPr="003F76D1" w:rsidRDefault="006C08D6" w:rsidP="0090212F">
      <w:pPr>
        <w:spacing w:line="276" w:lineRule="auto"/>
        <w:jc w:val="both"/>
        <w:rPr>
          <w:rFonts w:ascii="Arial" w:hAnsi="Arial" w:cs="Arial"/>
          <w:sz w:val="22"/>
          <w:szCs w:val="22"/>
        </w:rPr>
      </w:pPr>
      <w:r w:rsidRPr="003F76D1">
        <w:rPr>
          <w:rFonts w:ascii="Arial" w:hAnsi="Arial" w:cs="Arial"/>
          <w:b/>
          <w:bCs/>
          <w:sz w:val="22"/>
          <w:szCs w:val="22"/>
        </w:rPr>
        <w:t>Strengths</w:t>
      </w:r>
    </w:p>
    <w:p w14:paraId="54C44A08" w14:textId="2B086D63" w:rsidR="006C08D6" w:rsidRPr="003F76D1" w:rsidRDefault="006C08D6" w:rsidP="0090212F">
      <w:pPr>
        <w:numPr>
          <w:ilvl w:val="0"/>
          <w:numId w:val="42"/>
        </w:numPr>
        <w:spacing w:line="276" w:lineRule="auto"/>
        <w:jc w:val="both"/>
        <w:rPr>
          <w:rFonts w:ascii="Arial" w:hAnsi="Arial" w:cs="Arial"/>
          <w:sz w:val="22"/>
          <w:szCs w:val="22"/>
        </w:rPr>
      </w:pPr>
      <w:r w:rsidRPr="003F76D1">
        <w:rPr>
          <w:rFonts w:ascii="Arial" w:hAnsi="Arial" w:cs="Arial"/>
          <w:b/>
          <w:bCs/>
          <w:sz w:val="22"/>
          <w:szCs w:val="22"/>
        </w:rPr>
        <w:t>Differentiated “flexibility” proposition</w:t>
      </w:r>
      <w:r w:rsidRPr="003F76D1">
        <w:rPr>
          <w:rFonts w:ascii="Arial" w:hAnsi="Arial" w:cs="Arial"/>
          <w:sz w:val="22"/>
          <w:szCs w:val="22"/>
        </w:rPr>
        <w:t xml:space="preserve">: products emphasise repayment holidays/top-ups after successful repayments and </w:t>
      </w:r>
      <w:r w:rsidRPr="003F76D1">
        <w:rPr>
          <w:rFonts w:ascii="Arial" w:hAnsi="Arial" w:cs="Arial"/>
          <w:b/>
          <w:bCs/>
          <w:sz w:val="22"/>
          <w:szCs w:val="22"/>
        </w:rPr>
        <w:t>no early settlement fees</w:t>
      </w:r>
      <w:r w:rsidRPr="003F76D1">
        <w:rPr>
          <w:rFonts w:ascii="Arial" w:hAnsi="Arial" w:cs="Arial"/>
          <w:sz w:val="22"/>
          <w:szCs w:val="22"/>
        </w:rPr>
        <w:t xml:space="preserve"> (“Penalty-Free Promise”), which can be attractive for cash-flow–volatile SMEs (Fleximize, 2022).</w:t>
      </w:r>
    </w:p>
    <w:p w14:paraId="0959072D" w14:textId="59549BE4" w:rsidR="006C08D6" w:rsidRPr="003F76D1" w:rsidRDefault="006C08D6" w:rsidP="0090212F">
      <w:pPr>
        <w:numPr>
          <w:ilvl w:val="0"/>
          <w:numId w:val="42"/>
        </w:numPr>
        <w:spacing w:line="276" w:lineRule="auto"/>
        <w:jc w:val="both"/>
        <w:rPr>
          <w:rFonts w:ascii="Arial" w:hAnsi="Arial" w:cs="Arial"/>
          <w:sz w:val="22"/>
          <w:szCs w:val="22"/>
        </w:rPr>
      </w:pPr>
      <w:r w:rsidRPr="003F76D1">
        <w:rPr>
          <w:rFonts w:ascii="Arial" w:hAnsi="Arial" w:cs="Arial"/>
          <w:b/>
          <w:bCs/>
          <w:sz w:val="22"/>
          <w:szCs w:val="22"/>
        </w:rPr>
        <w:t>Speed and digital journey</w:t>
      </w:r>
      <w:r w:rsidRPr="003F76D1">
        <w:rPr>
          <w:rFonts w:ascii="Arial" w:hAnsi="Arial" w:cs="Arial"/>
          <w:sz w:val="22"/>
          <w:szCs w:val="22"/>
        </w:rPr>
        <w:t xml:space="preserve">: online application and fast decisions position Fleximize against slower high-street processes (Fleximize, </w:t>
      </w:r>
      <w:r w:rsidR="00AF59BF" w:rsidRPr="003F76D1">
        <w:rPr>
          <w:rFonts w:ascii="Arial" w:hAnsi="Arial" w:cs="Arial"/>
          <w:sz w:val="22"/>
          <w:szCs w:val="22"/>
        </w:rPr>
        <w:t>2025</w:t>
      </w:r>
      <w:r w:rsidRPr="003F76D1">
        <w:rPr>
          <w:rFonts w:ascii="Arial" w:hAnsi="Arial" w:cs="Arial"/>
          <w:sz w:val="22"/>
          <w:szCs w:val="22"/>
        </w:rPr>
        <w:t>).</w:t>
      </w:r>
    </w:p>
    <w:p w14:paraId="3774FCE6" w14:textId="6F08C770" w:rsidR="006C08D6" w:rsidRPr="003F76D1" w:rsidRDefault="006C08D6" w:rsidP="0090212F">
      <w:pPr>
        <w:numPr>
          <w:ilvl w:val="0"/>
          <w:numId w:val="42"/>
        </w:numPr>
        <w:spacing w:line="276" w:lineRule="auto"/>
        <w:jc w:val="both"/>
        <w:rPr>
          <w:rFonts w:ascii="Arial" w:hAnsi="Arial" w:cs="Arial"/>
          <w:sz w:val="22"/>
          <w:szCs w:val="22"/>
        </w:rPr>
      </w:pPr>
      <w:r w:rsidRPr="003F76D1">
        <w:rPr>
          <w:rFonts w:ascii="Arial" w:hAnsi="Arial" w:cs="Arial"/>
          <w:b/>
          <w:bCs/>
          <w:sz w:val="22"/>
          <w:szCs w:val="22"/>
        </w:rPr>
        <w:t>Clear SME focus and underwriting rules-of-thumb</w:t>
      </w:r>
      <w:r w:rsidRPr="003F76D1">
        <w:rPr>
          <w:rFonts w:ascii="Arial" w:hAnsi="Arial" w:cs="Arial"/>
          <w:sz w:val="22"/>
          <w:szCs w:val="22"/>
        </w:rPr>
        <w:t xml:space="preserve"> (e.g., lending caps linked to turnover) reduce adverse selection and support scalable credit decisioning (Fleximize, </w:t>
      </w:r>
      <w:r w:rsidR="00AF59BF" w:rsidRPr="003F76D1">
        <w:rPr>
          <w:rFonts w:ascii="Arial" w:hAnsi="Arial" w:cs="Arial"/>
          <w:sz w:val="22"/>
          <w:szCs w:val="22"/>
        </w:rPr>
        <w:t>2025</w:t>
      </w:r>
      <w:r w:rsidRPr="003F76D1">
        <w:rPr>
          <w:rFonts w:ascii="Arial" w:hAnsi="Arial" w:cs="Arial"/>
          <w:sz w:val="22"/>
          <w:szCs w:val="22"/>
        </w:rPr>
        <w:t>).</w:t>
      </w:r>
    </w:p>
    <w:p w14:paraId="1E16DC32" w14:textId="77777777" w:rsidR="006C08D6" w:rsidRPr="003F76D1" w:rsidRDefault="006C08D6" w:rsidP="0090212F">
      <w:pPr>
        <w:spacing w:line="276" w:lineRule="auto"/>
        <w:jc w:val="both"/>
        <w:rPr>
          <w:rFonts w:ascii="Arial" w:hAnsi="Arial" w:cs="Arial"/>
          <w:sz w:val="22"/>
          <w:szCs w:val="22"/>
        </w:rPr>
      </w:pPr>
      <w:r w:rsidRPr="003F76D1">
        <w:rPr>
          <w:rFonts w:ascii="Arial" w:hAnsi="Arial" w:cs="Arial"/>
          <w:b/>
          <w:bCs/>
          <w:sz w:val="22"/>
          <w:szCs w:val="22"/>
        </w:rPr>
        <w:lastRenderedPageBreak/>
        <w:t>Weaknesses</w:t>
      </w:r>
    </w:p>
    <w:p w14:paraId="6E0A3F6E" w14:textId="77777777" w:rsidR="006C08D6" w:rsidRPr="003F76D1" w:rsidRDefault="006C08D6" w:rsidP="0090212F">
      <w:pPr>
        <w:numPr>
          <w:ilvl w:val="0"/>
          <w:numId w:val="43"/>
        </w:numPr>
        <w:spacing w:line="276" w:lineRule="auto"/>
        <w:jc w:val="both"/>
        <w:rPr>
          <w:rFonts w:ascii="Arial" w:hAnsi="Arial" w:cs="Arial"/>
          <w:sz w:val="22"/>
          <w:szCs w:val="22"/>
        </w:rPr>
      </w:pPr>
      <w:r w:rsidRPr="003F76D1">
        <w:rPr>
          <w:rFonts w:ascii="Arial" w:hAnsi="Arial" w:cs="Arial"/>
          <w:b/>
          <w:bCs/>
          <w:sz w:val="22"/>
          <w:szCs w:val="22"/>
        </w:rPr>
        <w:t>Concentration on UK SMEs</w:t>
      </w:r>
      <w:r w:rsidRPr="003F76D1">
        <w:rPr>
          <w:rFonts w:ascii="Arial" w:hAnsi="Arial" w:cs="Arial"/>
          <w:sz w:val="22"/>
          <w:szCs w:val="22"/>
        </w:rPr>
        <w:t xml:space="preserve"> exposes the business to cyclical SME distress and policy shocks; demand and repayment capacity are sensitive to macro conditions (British Business Bank, 2024).</w:t>
      </w:r>
    </w:p>
    <w:p w14:paraId="1A3053ED" w14:textId="77777777" w:rsidR="006C08D6" w:rsidRPr="003F76D1" w:rsidRDefault="006C08D6" w:rsidP="0090212F">
      <w:pPr>
        <w:numPr>
          <w:ilvl w:val="0"/>
          <w:numId w:val="43"/>
        </w:numPr>
        <w:spacing w:line="276" w:lineRule="auto"/>
        <w:jc w:val="both"/>
        <w:rPr>
          <w:rFonts w:ascii="Arial" w:hAnsi="Arial" w:cs="Arial"/>
          <w:sz w:val="22"/>
          <w:szCs w:val="22"/>
        </w:rPr>
      </w:pPr>
      <w:r w:rsidRPr="003F76D1">
        <w:rPr>
          <w:rFonts w:ascii="Arial" w:hAnsi="Arial" w:cs="Arial"/>
          <w:b/>
          <w:bCs/>
          <w:sz w:val="22"/>
          <w:szCs w:val="22"/>
        </w:rPr>
        <w:t>Reliance on personal guarantees/collections capability</w:t>
      </w:r>
      <w:r w:rsidRPr="003F76D1">
        <w:rPr>
          <w:rFonts w:ascii="Arial" w:hAnsi="Arial" w:cs="Arial"/>
          <w:sz w:val="22"/>
          <w:szCs w:val="22"/>
        </w:rPr>
        <w:t xml:space="preserve"> can create reputational and conduct risk in a sector under increasing scrutiny (FCA, 2024a).</w:t>
      </w:r>
    </w:p>
    <w:p w14:paraId="4B107367" w14:textId="235DFC80" w:rsidR="006C08D6" w:rsidRPr="003F76D1" w:rsidRDefault="006C08D6" w:rsidP="0090212F">
      <w:pPr>
        <w:numPr>
          <w:ilvl w:val="0"/>
          <w:numId w:val="43"/>
        </w:numPr>
        <w:spacing w:line="276" w:lineRule="auto"/>
        <w:jc w:val="both"/>
        <w:rPr>
          <w:rFonts w:ascii="Arial" w:hAnsi="Arial" w:cs="Arial"/>
          <w:sz w:val="22"/>
          <w:szCs w:val="22"/>
        </w:rPr>
      </w:pPr>
      <w:r w:rsidRPr="003F76D1">
        <w:rPr>
          <w:rFonts w:ascii="Arial" w:hAnsi="Arial" w:cs="Arial"/>
          <w:b/>
          <w:bCs/>
          <w:sz w:val="22"/>
          <w:szCs w:val="22"/>
        </w:rPr>
        <w:t>Funding dependency</w:t>
      </w:r>
      <w:r w:rsidRPr="003F76D1">
        <w:rPr>
          <w:rFonts w:ascii="Arial" w:hAnsi="Arial" w:cs="Arial"/>
          <w:sz w:val="22"/>
          <w:szCs w:val="22"/>
        </w:rPr>
        <w:t xml:space="preserve"> (typical for non-bank lenders) can increase </w:t>
      </w:r>
      <w:r w:rsidR="00765A1B" w:rsidRPr="003F76D1">
        <w:rPr>
          <w:rFonts w:ascii="Arial" w:hAnsi="Arial" w:cs="Arial"/>
          <w:sz w:val="22"/>
          <w:szCs w:val="22"/>
        </w:rPr>
        <w:t xml:space="preserve">the </w:t>
      </w:r>
      <w:r w:rsidRPr="003F76D1">
        <w:rPr>
          <w:rFonts w:ascii="Arial" w:hAnsi="Arial" w:cs="Arial"/>
          <w:sz w:val="22"/>
          <w:szCs w:val="22"/>
        </w:rPr>
        <w:t>cost of capital and constrain growth versus deposit-funded banks, especially in volatile rate environments (British Business Bank, 2025).</w:t>
      </w:r>
    </w:p>
    <w:p w14:paraId="51281B1F" w14:textId="77777777" w:rsidR="006C08D6" w:rsidRPr="003F76D1" w:rsidRDefault="006C08D6" w:rsidP="0090212F">
      <w:pPr>
        <w:spacing w:line="276" w:lineRule="auto"/>
        <w:jc w:val="both"/>
        <w:rPr>
          <w:rFonts w:ascii="Arial" w:hAnsi="Arial" w:cs="Arial"/>
          <w:sz w:val="22"/>
          <w:szCs w:val="22"/>
        </w:rPr>
      </w:pPr>
      <w:r w:rsidRPr="003F76D1">
        <w:rPr>
          <w:rFonts w:ascii="Arial" w:hAnsi="Arial" w:cs="Arial"/>
          <w:b/>
          <w:bCs/>
          <w:sz w:val="22"/>
          <w:szCs w:val="22"/>
        </w:rPr>
        <w:t>Opportunities</w:t>
      </w:r>
    </w:p>
    <w:p w14:paraId="0AA552E6" w14:textId="77777777" w:rsidR="006C08D6" w:rsidRPr="003F76D1" w:rsidRDefault="006C08D6" w:rsidP="0090212F">
      <w:pPr>
        <w:numPr>
          <w:ilvl w:val="0"/>
          <w:numId w:val="44"/>
        </w:numPr>
        <w:spacing w:line="276" w:lineRule="auto"/>
        <w:jc w:val="both"/>
        <w:rPr>
          <w:rFonts w:ascii="Arial" w:hAnsi="Arial" w:cs="Arial"/>
          <w:sz w:val="22"/>
          <w:szCs w:val="22"/>
        </w:rPr>
      </w:pPr>
      <w:r w:rsidRPr="003F76D1">
        <w:rPr>
          <w:rFonts w:ascii="Arial" w:hAnsi="Arial" w:cs="Arial"/>
          <w:b/>
          <w:bCs/>
          <w:sz w:val="22"/>
          <w:szCs w:val="22"/>
        </w:rPr>
        <w:t>Structural shift away from “big five” banks</w:t>
      </w:r>
      <w:r w:rsidRPr="003F76D1">
        <w:rPr>
          <w:rFonts w:ascii="Arial" w:hAnsi="Arial" w:cs="Arial"/>
          <w:sz w:val="22"/>
          <w:szCs w:val="22"/>
        </w:rPr>
        <w:t>: UK SME lending has diversified, with challenger/specialist players increasing share—creating whitespace for digital lenders with strong propositions (British Business Bank, 2025).</w:t>
      </w:r>
    </w:p>
    <w:p w14:paraId="036A04D8" w14:textId="77777777" w:rsidR="006C08D6" w:rsidRPr="003F76D1" w:rsidRDefault="006C08D6" w:rsidP="0090212F">
      <w:pPr>
        <w:numPr>
          <w:ilvl w:val="0"/>
          <w:numId w:val="44"/>
        </w:numPr>
        <w:spacing w:line="276" w:lineRule="auto"/>
        <w:jc w:val="both"/>
        <w:rPr>
          <w:rFonts w:ascii="Arial" w:hAnsi="Arial" w:cs="Arial"/>
          <w:sz w:val="22"/>
          <w:szCs w:val="22"/>
        </w:rPr>
      </w:pPr>
      <w:r w:rsidRPr="003F76D1">
        <w:rPr>
          <w:rFonts w:ascii="Arial" w:hAnsi="Arial" w:cs="Arial"/>
          <w:b/>
          <w:bCs/>
          <w:sz w:val="22"/>
          <w:szCs w:val="22"/>
        </w:rPr>
        <w:t>Policy focus on improving SME access to finance</w:t>
      </w:r>
      <w:r w:rsidRPr="003F76D1">
        <w:rPr>
          <w:rFonts w:ascii="Arial" w:hAnsi="Arial" w:cs="Arial"/>
          <w:sz w:val="22"/>
          <w:szCs w:val="22"/>
        </w:rPr>
        <w:t xml:space="preserve"> could expand awareness, improve market standards, and support alternative providers who can evidence fair outcomes (UK Government/DBT, 2025).</w:t>
      </w:r>
    </w:p>
    <w:p w14:paraId="15488A4B" w14:textId="77777777" w:rsidR="006C08D6" w:rsidRPr="003F76D1" w:rsidRDefault="006C08D6" w:rsidP="0090212F">
      <w:pPr>
        <w:numPr>
          <w:ilvl w:val="0"/>
          <w:numId w:val="44"/>
        </w:numPr>
        <w:spacing w:line="276" w:lineRule="auto"/>
        <w:jc w:val="both"/>
        <w:rPr>
          <w:rFonts w:ascii="Arial" w:hAnsi="Arial" w:cs="Arial"/>
          <w:sz w:val="22"/>
          <w:szCs w:val="22"/>
        </w:rPr>
      </w:pPr>
      <w:r w:rsidRPr="003F76D1">
        <w:rPr>
          <w:rFonts w:ascii="Arial" w:hAnsi="Arial" w:cs="Arial"/>
          <w:b/>
          <w:bCs/>
          <w:sz w:val="22"/>
          <w:szCs w:val="22"/>
        </w:rPr>
        <w:t>Data-driven underwriting (e.g., bank transaction data/Open Banking)</w:t>
      </w:r>
      <w:r w:rsidRPr="003F76D1">
        <w:rPr>
          <w:rFonts w:ascii="Arial" w:hAnsi="Arial" w:cs="Arial"/>
          <w:sz w:val="22"/>
          <w:szCs w:val="22"/>
        </w:rPr>
        <w:t xml:space="preserve"> can improve risk pricing and approvals for “thin file” but viable SMEs (inference consistent with sector trends cited by British Business Bank, 2024).</w:t>
      </w:r>
    </w:p>
    <w:p w14:paraId="1AEE1F16" w14:textId="77777777" w:rsidR="006C08D6" w:rsidRPr="003F76D1" w:rsidRDefault="006C08D6" w:rsidP="0090212F">
      <w:pPr>
        <w:spacing w:line="276" w:lineRule="auto"/>
        <w:jc w:val="both"/>
        <w:rPr>
          <w:rFonts w:ascii="Arial" w:hAnsi="Arial" w:cs="Arial"/>
          <w:sz w:val="22"/>
          <w:szCs w:val="22"/>
        </w:rPr>
      </w:pPr>
      <w:r w:rsidRPr="003F76D1">
        <w:rPr>
          <w:rFonts w:ascii="Arial" w:hAnsi="Arial" w:cs="Arial"/>
          <w:b/>
          <w:bCs/>
          <w:sz w:val="22"/>
          <w:szCs w:val="22"/>
        </w:rPr>
        <w:t>Threats</w:t>
      </w:r>
    </w:p>
    <w:p w14:paraId="3C2B5F8A" w14:textId="77777777" w:rsidR="006C08D6" w:rsidRPr="003F76D1" w:rsidRDefault="006C08D6" w:rsidP="0090212F">
      <w:pPr>
        <w:numPr>
          <w:ilvl w:val="0"/>
          <w:numId w:val="45"/>
        </w:numPr>
        <w:spacing w:line="276" w:lineRule="auto"/>
        <w:jc w:val="both"/>
        <w:rPr>
          <w:rFonts w:ascii="Arial" w:hAnsi="Arial" w:cs="Arial"/>
          <w:sz w:val="22"/>
          <w:szCs w:val="22"/>
        </w:rPr>
      </w:pPr>
      <w:r w:rsidRPr="003F76D1">
        <w:rPr>
          <w:rFonts w:ascii="Arial" w:hAnsi="Arial" w:cs="Arial"/>
          <w:b/>
          <w:bCs/>
          <w:sz w:val="22"/>
          <w:szCs w:val="22"/>
        </w:rPr>
        <w:t>Intensifying competition</w:t>
      </w:r>
      <w:r w:rsidRPr="003F76D1">
        <w:rPr>
          <w:rFonts w:ascii="Arial" w:hAnsi="Arial" w:cs="Arial"/>
          <w:sz w:val="22"/>
          <w:szCs w:val="22"/>
        </w:rPr>
        <w:t xml:space="preserve"> from challenger banks, specialist lenders and platforms targeting the same “growth/working capital” SME segment (British Business Bank, 2025).</w:t>
      </w:r>
    </w:p>
    <w:p w14:paraId="66FD1516" w14:textId="77777777" w:rsidR="006C08D6" w:rsidRPr="003F76D1" w:rsidRDefault="006C08D6" w:rsidP="0090212F">
      <w:pPr>
        <w:numPr>
          <w:ilvl w:val="0"/>
          <w:numId w:val="45"/>
        </w:numPr>
        <w:spacing w:line="276" w:lineRule="auto"/>
        <w:jc w:val="both"/>
        <w:rPr>
          <w:rFonts w:ascii="Arial" w:hAnsi="Arial" w:cs="Arial"/>
          <w:sz w:val="22"/>
          <w:szCs w:val="22"/>
        </w:rPr>
      </w:pPr>
      <w:r w:rsidRPr="003F76D1">
        <w:rPr>
          <w:rFonts w:ascii="Arial" w:hAnsi="Arial" w:cs="Arial"/>
          <w:b/>
          <w:bCs/>
          <w:sz w:val="22"/>
          <w:szCs w:val="22"/>
        </w:rPr>
        <w:t>Conduct/regulatory tightening</w:t>
      </w:r>
      <w:r w:rsidRPr="003F76D1">
        <w:rPr>
          <w:rFonts w:ascii="Arial" w:hAnsi="Arial" w:cs="Arial"/>
          <w:sz w:val="22"/>
          <w:szCs w:val="22"/>
        </w:rPr>
        <w:t xml:space="preserve"> around treatment of small business borrowers and personal guarantees increases compliance cost and may change product design (FCA, 2022; FCA, 2024a).</w:t>
      </w:r>
    </w:p>
    <w:p w14:paraId="763F7BFC" w14:textId="3DE5378A" w:rsidR="00444F6A" w:rsidRPr="003F76D1" w:rsidRDefault="006C08D6" w:rsidP="0090212F">
      <w:pPr>
        <w:numPr>
          <w:ilvl w:val="0"/>
          <w:numId w:val="45"/>
        </w:numPr>
        <w:spacing w:line="276" w:lineRule="auto"/>
        <w:jc w:val="both"/>
        <w:rPr>
          <w:rFonts w:ascii="Arial" w:hAnsi="Arial" w:cs="Arial"/>
          <w:sz w:val="22"/>
          <w:szCs w:val="22"/>
        </w:rPr>
      </w:pPr>
      <w:r w:rsidRPr="003F76D1">
        <w:rPr>
          <w:rFonts w:ascii="Arial" w:hAnsi="Arial" w:cs="Arial"/>
          <w:b/>
          <w:bCs/>
          <w:sz w:val="22"/>
          <w:szCs w:val="22"/>
        </w:rPr>
        <w:t>Economic uncertainty and borrowing costs</w:t>
      </w:r>
      <w:r w:rsidRPr="003F76D1">
        <w:rPr>
          <w:rFonts w:ascii="Arial" w:hAnsi="Arial" w:cs="Arial"/>
          <w:sz w:val="22"/>
          <w:szCs w:val="22"/>
        </w:rPr>
        <w:t xml:space="preserve"> can depress demand and increase impairments (British Business Bank, 2024).</w:t>
      </w:r>
    </w:p>
    <w:p w14:paraId="1F0F7D67" w14:textId="77777777" w:rsidR="00A6019F" w:rsidRPr="002C6060" w:rsidRDefault="00A6019F" w:rsidP="003F76D1"/>
    <w:p w14:paraId="60F9C964" w14:textId="3679D847" w:rsidR="00A6019F" w:rsidRPr="00444F6A" w:rsidRDefault="00444136" w:rsidP="003F76D1">
      <w:pPr>
        <w:pStyle w:val="Heading2"/>
      </w:pPr>
      <w:bookmarkStart w:id="5" w:name="_Toc216970884"/>
      <w:r>
        <w:t>4</w:t>
      </w:r>
      <w:r w:rsidR="00A249C9">
        <w:t xml:space="preserve">.1.2 </w:t>
      </w:r>
      <w:r w:rsidR="006C08D6" w:rsidRPr="002C6060">
        <w:t>Value chain</w:t>
      </w:r>
      <w:bookmarkEnd w:id="5"/>
      <w:r w:rsidR="006C08D6" w:rsidRPr="002C6060">
        <w:t xml:space="preserve"> </w:t>
      </w:r>
    </w:p>
    <w:p w14:paraId="7E2A45D5" w14:textId="77777777" w:rsidR="006C08D6" w:rsidRPr="003F76D1" w:rsidRDefault="006C08D6" w:rsidP="000F486F">
      <w:pPr>
        <w:numPr>
          <w:ilvl w:val="0"/>
          <w:numId w:val="46"/>
        </w:numPr>
        <w:spacing w:line="276" w:lineRule="auto"/>
        <w:jc w:val="both"/>
        <w:rPr>
          <w:rFonts w:ascii="Arial" w:hAnsi="Arial" w:cs="Arial"/>
          <w:sz w:val="22"/>
          <w:szCs w:val="22"/>
        </w:rPr>
      </w:pPr>
      <w:r w:rsidRPr="003F76D1">
        <w:rPr>
          <w:rFonts w:ascii="Arial" w:hAnsi="Arial" w:cs="Arial"/>
          <w:b/>
          <w:bCs/>
          <w:sz w:val="22"/>
          <w:szCs w:val="22"/>
        </w:rPr>
        <w:t>Funding (inbound “capital supply”)</w:t>
      </w:r>
      <w:r w:rsidRPr="003F76D1">
        <w:rPr>
          <w:rFonts w:ascii="Arial" w:hAnsi="Arial" w:cs="Arial"/>
          <w:sz w:val="22"/>
          <w:szCs w:val="22"/>
        </w:rPr>
        <w:t>: secure competitively priced funding lines/credit facilities (key cost driver). Non-bank lenders typically compete on risk-adjusted pricing vs funding cost—so funding access becomes a strategic capability (British Business Bank, 2025).</w:t>
      </w:r>
    </w:p>
    <w:p w14:paraId="36C605CC" w14:textId="77777777" w:rsidR="006C08D6" w:rsidRPr="003F76D1" w:rsidRDefault="006C08D6" w:rsidP="000F486F">
      <w:pPr>
        <w:numPr>
          <w:ilvl w:val="0"/>
          <w:numId w:val="46"/>
        </w:numPr>
        <w:spacing w:line="276" w:lineRule="auto"/>
        <w:jc w:val="both"/>
        <w:rPr>
          <w:rFonts w:ascii="Arial" w:hAnsi="Arial" w:cs="Arial"/>
          <w:sz w:val="22"/>
          <w:szCs w:val="22"/>
        </w:rPr>
      </w:pPr>
      <w:r w:rsidRPr="003F76D1">
        <w:rPr>
          <w:rFonts w:ascii="Arial" w:hAnsi="Arial" w:cs="Arial"/>
          <w:b/>
          <w:bCs/>
          <w:sz w:val="22"/>
          <w:szCs w:val="22"/>
        </w:rPr>
        <w:t>Origination &amp; marketing</w:t>
      </w:r>
      <w:r w:rsidRPr="003F76D1">
        <w:rPr>
          <w:rFonts w:ascii="Arial" w:hAnsi="Arial" w:cs="Arial"/>
          <w:sz w:val="22"/>
          <w:szCs w:val="22"/>
        </w:rPr>
        <w:t xml:space="preserve">: digital acquisition (brand, SEO/content, direct) and potential </w:t>
      </w:r>
      <w:r w:rsidRPr="003F76D1">
        <w:rPr>
          <w:rFonts w:ascii="Arial" w:hAnsi="Arial" w:cs="Arial"/>
          <w:b/>
          <w:bCs/>
          <w:sz w:val="22"/>
          <w:szCs w:val="22"/>
        </w:rPr>
        <w:t>intermediary/broker</w:t>
      </w:r>
      <w:r w:rsidRPr="003F76D1">
        <w:rPr>
          <w:rFonts w:ascii="Arial" w:hAnsi="Arial" w:cs="Arial"/>
          <w:sz w:val="22"/>
          <w:szCs w:val="22"/>
        </w:rPr>
        <w:t xml:space="preserve"> referrals (sector-wide importance of intermediaries noted in UK policy discussion on SME access and market functioning) (UK Government/DBT, 2025).</w:t>
      </w:r>
    </w:p>
    <w:p w14:paraId="65D9420B" w14:textId="77777777" w:rsidR="006C08D6" w:rsidRPr="003F76D1" w:rsidRDefault="006C08D6" w:rsidP="000F486F">
      <w:pPr>
        <w:numPr>
          <w:ilvl w:val="0"/>
          <w:numId w:val="46"/>
        </w:numPr>
        <w:spacing w:line="276" w:lineRule="auto"/>
        <w:jc w:val="both"/>
        <w:rPr>
          <w:rFonts w:ascii="Arial" w:hAnsi="Arial" w:cs="Arial"/>
          <w:sz w:val="22"/>
          <w:szCs w:val="22"/>
        </w:rPr>
      </w:pPr>
      <w:r w:rsidRPr="003F76D1">
        <w:rPr>
          <w:rFonts w:ascii="Arial" w:hAnsi="Arial" w:cs="Arial"/>
          <w:b/>
          <w:bCs/>
          <w:sz w:val="22"/>
          <w:szCs w:val="22"/>
        </w:rPr>
        <w:lastRenderedPageBreak/>
        <w:t>Credit assessment &amp; underwriting</w:t>
      </w:r>
      <w:r w:rsidRPr="003F76D1">
        <w:rPr>
          <w:rFonts w:ascii="Arial" w:hAnsi="Arial" w:cs="Arial"/>
          <w:sz w:val="22"/>
          <w:szCs w:val="22"/>
        </w:rPr>
        <w:t>: standardised eligibility (e.g., trading history/turnover thresholds and limits linked to revenue) supports scalable decisions and unit economics (Fleximize, n.d.).</w:t>
      </w:r>
    </w:p>
    <w:p w14:paraId="5AC77F27" w14:textId="77777777" w:rsidR="006C08D6" w:rsidRPr="003F76D1" w:rsidRDefault="006C08D6" w:rsidP="000F486F">
      <w:pPr>
        <w:numPr>
          <w:ilvl w:val="0"/>
          <w:numId w:val="46"/>
        </w:numPr>
        <w:spacing w:line="276" w:lineRule="auto"/>
        <w:jc w:val="both"/>
        <w:rPr>
          <w:rFonts w:ascii="Arial" w:hAnsi="Arial" w:cs="Arial"/>
          <w:sz w:val="22"/>
          <w:szCs w:val="22"/>
        </w:rPr>
      </w:pPr>
      <w:r w:rsidRPr="003F76D1">
        <w:rPr>
          <w:rFonts w:ascii="Arial" w:hAnsi="Arial" w:cs="Arial"/>
          <w:b/>
          <w:bCs/>
          <w:sz w:val="22"/>
          <w:szCs w:val="22"/>
        </w:rPr>
        <w:t>Product design</w:t>
      </w:r>
      <w:r w:rsidRPr="003F76D1">
        <w:rPr>
          <w:rFonts w:ascii="Arial" w:hAnsi="Arial" w:cs="Arial"/>
          <w:sz w:val="22"/>
          <w:szCs w:val="22"/>
        </w:rPr>
        <w:t>: “built-in flexibility” (top-ups, repayment holidays, no early settlement fees) is the core differentiator—creating perceived value beyond headline rate (Fleximize, 2022).</w:t>
      </w:r>
    </w:p>
    <w:p w14:paraId="3265EF3C" w14:textId="77777777" w:rsidR="006C08D6" w:rsidRPr="003F76D1" w:rsidRDefault="006C08D6" w:rsidP="000F486F">
      <w:pPr>
        <w:numPr>
          <w:ilvl w:val="0"/>
          <w:numId w:val="46"/>
        </w:numPr>
        <w:spacing w:line="276" w:lineRule="auto"/>
        <w:jc w:val="both"/>
        <w:rPr>
          <w:rFonts w:ascii="Arial" w:hAnsi="Arial" w:cs="Arial"/>
          <w:sz w:val="22"/>
          <w:szCs w:val="22"/>
        </w:rPr>
      </w:pPr>
      <w:r w:rsidRPr="003F76D1">
        <w:rPr>
          <w:rFonts w:ascii="Arial" w:hAnsi="Arial" w:cs="Arial"/>
          <w:b/>
          <w:bCs/>
          <w:sz w:val="22"/>
          <w:szCs w:val="22"/>
        </w:rPr>
        <w:t>Servicing</w:t>
      </w:r>
      <w:r w:rsidRPr="003F76D1">
        <w:rPr>
          <w:rFonts w:ascii="Arial" w:hAnsi="Arial" w:cs="Arial"/>
          <w:sz w:val="22"/>
          <w:szCs w:val="22"/>
        </w:rPr>
        <w:t>: account management, payment processing, customer support, and proactive management of restructures—important as regulators press for fair treatment of struggling borrowers (FCA, 2022).</w:t>
      </w:r>
    </w:p>
    <w:p w14:paraId="0B979223" w14:textId="77777777" w:rsidR="006C08D6" w:rsidRPr="003F76D1" w:rsidRDefault="006C08D6" w:rsidP="000F486F">
      <w:pPr>
        <w:numPr>
          <w:ilvl w:val="0"/>
          <w:numId w:val="46"/>
        </w:numPr>
        <w:spacing w:line="276" w:lineRule="auto"/>
        <w:jc w:val="both"/>
        <w:rPr>
          <w:rFonts w:ascii="Arial" w:hAnsi="Arial" w:cs="Arial"/>
          <w:sz w:val="22"/>
          <w:szCs w:val="22"/>
        </w:rPr>
      </w:pPr>
      <w:r w:rsidRPr="003F76D1">
        <w:rPr>
          <w:rFonts w:ascii="Arial" w:hAnsi="Arial" w:cs="Arial"/>
          <w:b/>
          <w:bCs/>
          <w:sz w:val="22"/>
          <w:szCs w:val="22"/>
        </w:rPr>
        <w:t>Collections &amp; recoveries</w:t>
      </w:r>
      <w:r w:rsidRPr="003F76D1">
        <w:rPr>
          <w:rFonts w:ascii="Arial" w:hAnsi="Arial" w:cs="Arial"/>
          <w:sz w:val="22"/>
          <w:szCs w:val="22"/>
        </w:rPr>
        <w:t>: effectiveness and fairness in arrears/PG enforcement influence loss rates and reputation (FCA, 2024a).</w:t>
      </w:r>
    </w:p>
    <w:p w14:paraId="50CE0B2D" w14:textId="6C85800A" w:rsidR="006C08D6" w:rsidRPr="003F76D1" w:rsidRDefault="006C08D6" w:rsidP="000F486F">
      <w:pPr>
        <w:numPr>
          <w:ilvl w:val="0"/>
          <w:numId w:val="46"/>
        </w:numPr>
        <w:spacing w:line="276" w:lineRule="auto"/>
        <w:jc w:val="both"/>
        <w:rPr>
          <w:rFonts w:ascii="Arial" w:hAnsi="Arial" w:cs="Arial"/>
          <w:sz w:val="22"/>
          <w:szCs w:val="22"/>
        </w:rPr>
      </w:pPr>
      <w:r w:rsidRPr="003F76D1">
        <w:rPr>
          <w:rFonts w:ascii="Arial" w:hAnsi="Arial" w:cs="Arial"/>
          <w:b/>
          <w:bCs/>
          <w:sz w:val="22"/>
          <w:szCs w:val="22"/>
        </w:rPr>
        <w:t>Technology &amp; analytics (support activities)</w:t>
      </w:r>
      <w:r w:rsidRPr="003F76D1">
        <w:rPr>
          <w:rFonts w:ascii="Arial" w:hAnsi="Arial" w:cs="Arial"/>
          <w:sz w:val="22"/>
          <w:szCs w:val="22"/>
        </w:rPr>
        <w:t xml:space="preserve">: decision engines, fraud controls, and portfolio analytics enable faster approvals and tighter risk control; also </w:t>
      </w:r>
      <w:r w:rsidR="005C3FA5" w:rsidRPr="003F76D1">
        <w:rPr>
          <w:rFonts w:ascii="Arial" w:hAnsi="Arial" w:cs="Arial"/>
          <w:sz w:val="22"/>
          <w:szCs w:val="22"/>
        </w:rPr>
        <w:t>improve</w:t>
      </w:r>
      <w:r w:rsidRPr="003F76D1">
        <w:rPr>
          <w:rFonts w:ascii="Arial" w:hAnsi="Arial" w:cs="Arial"/>
          <w:sz w:val="22"/>
          <w:szCs w:val="22"/>
        </w:rPr>
        <w:t xml:space="preserve"> customer experience.</w:t>
      </w:r>
    </w:p>
    <w:p w14:paraId="67B8548C" w14:textId="1C5062A2" w:rsidR="00A6019F" w:rsidRPr="000F486F" w:rsidRDefault="0026153A" w:rsidP="000F486F">
      <w:pPr>
        <w:pStyle w:val="Heading2"/>
        <w:rPr>
          <w:rFonts w:ascii="Arial" w:hAnsi="Arial" w:cs="Arial"/>
        </w:rPr>
      </w:pPr>
      <w:bookmarkStart w:id="6" w:name="_Toc216970885"/>
      <w:r w:rsidRPr="000F486F">
        <w:rPr>
          <w:rFonts w:ascii="Arial" w:hAnsi="Arial" w:cs="Arial"/>
        </w:rPr>
        <w:t>4.</w:t>
      </w:r>
      <w:r w:rsidR="00B17F7B" w:rsidRPr="000F486F">
        <w:rPr>
          <w:rFonts w:ascii="Arial" w:hAnsi="Arial" w:cs="Arial"/>
        </w:rPr>
        <w:t xml:space="preserve">2 </w:t>
      </w:r>
      <w:r w:rsidR="006C08D6" w:rsidRPr="000F486F">
        <w:rPr>
          <w:rFonts w:ascii="Arial" w:hAnsi="Arial" w:cs="Arial"/>
        </w:rPr>
        <w:t>External environment</w:t>
      </w:r>
      <w:bookmarkEnd w:id="6"/>
    </w:p>
    <w:p w14:paraId="5D3F2B80" w14:textId="5F1C00D8" w:rsidR="006C08D6" w:rsidRPr="000F486F" w:rsidRDefault="00360C4F" w:rsidP="00A33766">
      <w:pPr>
        <w:pStyle w:val="Heading2"/>
        <w:rPr>
          <w:rFonts w:ascii="Arial" w:hAnsi="Arial" w:cs="Arial"/>
        </w:rPr>
      </w:pPr>
      <w:bookmarkStart w:id="7" w:name="_Toc216970886"/>
      <w:r w:rsidRPr="000F486F">
        <w:rPr>
          <w:rFonts w:ascii="Arial" w:hAnsi="Arial" w:cs="Arial"/>
        </w:rPr>
        <w:t>4.</w:t>
      </w:r>
      <w:r w:rsidR="00B17F7B" w:rsidRPr="000F486F">
        <w:rPr>
          <w:rFonts w:ascii="Arial" w:hAnsi="Arial" w:cs="Arial"/>
        </w:rPr>
        <w:t>2</w:t>
      </w:r>
      <w:r w:rsidRPr="000F486F">
        <w:rPr>
          <w:rFonts w:ascii="Arial" w:hAnsi="Arial" w:cs="Arial"/>
        </w:rPr>
        <w:t xml:space="preserve">.1 </w:t>
      </w:r>
      <w:r w:rsidR="006C08D6" w:rsidRPr="000F486F">
        <w:rPr>
          <w:rFonts w:ascii="Arial" w:hAnsi="Arial" w:cs="Arial"/>
        </w:rPr>
        <w:t>PESTEL</w:t>
      </w:r>
      <w:r w:rsidR="0026153A" w:rsidRPr="000F486F">
        <w:rPr>
          <w:rFonts w:ascii="Arial" w:hAnsi="Arial" w:cs="Arial"/>
        </w:rPr>
        <w:t xml:space="preserve"> </w:t>
      </w:r>
      <w:r w:rsidRPr="000F486F">
        <w:rPr>
          <w:rFonts w:ascii="Arial" w:hAnsi="Arial" w:cs="Arial"/>
        </w:rPr>
        <w:t>A</w:t>
      </w:r>
      <w:r w:rsidR="0026153A" w:rsidRPr="000F486F">
        <w:rPr>
          <w:rFonts w:ascii="Arial" w:hAnsi="Arial" w:cs="Arial"/>
        </w:rPr>
        <w:t>nalysis</w:t>
      </w:r>
      <w:bookmarkEnd w:id="7"/>
      <w:r w:rsidR="0026153A" w:rsidRPr="000F486F">
        <w:rPr>
          <w:rFonts w:ascii="Arial" w:hAnsi="Arial" w:cs="Arial"/>
        </w:rPr>
        <w:t xml:space="preserve"> </w:t>
      </w:r>
    </w:p>
    <w:p w14:paraId="395A2C54" w14:textId="77777777" w:rsidR="00A6019F" w:rsidRDefault="00A6019F" w:rsidP="006C08D6">
      <w:pPr>
        <w:rPr>
          <w:b/>
          <w:bCs/>
        </w:rPr>
      </w:pPr>
    </w:p>
    <w:p w14:paraId="5B74AFA8" w14:textId="225F33FD" w:rsidR="006C08D6" w:rsidRPr="00E213F2" w:rsidRDefault="006C08D6" w:rsidP="00E213F2">
      <w:pPr>
        <w:spacing w:line="276" w:lineRule="auto"/>
        <w:jc w:val="both"/>
        <w:rPr>
          <w:rFonts w:ascii="Arial" w:hAnsi="Arial" w:cs="Arial"/>
          <w:sz w:val="22"/>
          <w:szCs w:val="22"/>
        </w:rPr>
      </w:pPr>
      <w:r w:rsidRPr="00E213F2">
        <w:rPr>
          <w:rFonts w:ascii="Arial" w:hAnsi="Arial" w:cs="Arial"/>
          <w:b/>
          <w:bCs/>
          <w:sz w:val="22"/>
          <w:szCs w:val="22"/>
        </w:rPr>
        <w:t>Political</w:t>
      </w:r>
    </w:p>
    <w:p w14:paraId="268397ED" w14:textId="77777777" w:rsidR="006C08D6" w:rsidRPr="00E213F2" w:rsidRDefault="006C08D6" w:rsidP="00E213F2">
      <w:pPr>
        <w:numPr>
          <w:ilvl w:val="0"/>
          <w:numId w:val="47"/>
        </w:numPr>
        <w:spacing w:line="276" w:lineRule="auto"/>
        <w:jc w:val="both"/>
        <w:rPr>
          <w:rFonts w:ascii="Arial" w:hAnsi="Arial" w:cs="Arial"/>
          <w:sz w:val="22"/>
          <w:szCs w:val="22"/>
        </w:rPr>
      </w:pPr>
      <w:r w:rsidRPr="00E213F2">
        <w:rPr>
          <w:rFonts w:ascii="Arial" w:hAnsi="Arial" w:cs="Arial"/>
          <w:sz w:val="22"/>
          <w:szCs w:val="22"/>
        </w:rPr>
        <w:t>Government and public bodies are actively examining SME finance access and broker/lender market functioning; this can raise standards but also increase scrutiny and reporting expectations (UK Government/DBT, 2025).</w:t>
      </w:r>
    </w:p>
    <w:p w14:paraId="2E8AB27C" w14:textId="77777777" w:rsidR="00A6019F" w:rsidRPr="00E213F2" w:rsidRDefault="00A6019F" w:rsidP="00E213F2">
      <w:pPr>
        <w:spacing w:line="276" w:lineRule="auto"/>
        <w:jc w:val="both"/>
        <w:rPr>
          <w:rFonts w:ascii="Arial" w:hAnsi="Arial" w:cs="Arial"/>
          <w:b/>
          <w:bCs/>
          <w:sz w:val="22"/>
          <w:szCs w:val="22"/>
        </w:rPr>
      </w:pPr>
    </w:p>
    <w:p w14:paraId="5B608F1D" w14:textId="77777777" w:rsidR="00A6019F" w:rsidRPr="00E213F2" w:rsidRDefault="00A6019F" w:rsidP="00E213F2">
      <w:pPr>
        <w:spacing w:line="276" w:lineRule="auto"/>
        <w:jc w:val="both"/>
        <w:rPr>
          <w:rFonts w:ascii="Arial" w:hAnsi="Arial" w:cs="Arial"/>
          <w:b/>
          <w:bCs/>
          <w:sz w:val="22"/>
          <w:szCs w:val="22"/>
        </w:rPr>
      </w:pPr>
    </w:p>
    <w:p w14:paraId="2168150C" w14:textId="19EE05C8" w:rsidR="006C08D6" w:rsidRPr="00E213F2" w:rsidRDefault="006C08D6" w:rsidP="00E213F2">
      <w:pPr>
        <w:spacing w:line="276" w:lineRule="auto"/>
        <w:jc w:val="both"/>
        <w:rPr>
          <w:rFonts w:ascii="Arial" w:hAnsi="Arial" w:cs="Arial"/>
          <w:sz w:val="22"/>
          <w:szCs w:val="22"/>
        </w:rPr>
      </w:pPr>
      <w:r w:rsidRPr="00E213F2">
        <w:rPr>
          <w:rFonts w:ascii="Arial" w:hAnsi="Arial" w:cs="Arial"/>
          <w:b/>
          <w:bCs/>
          <w:sz w:val="22"/>
          <w:szCs w:val="22"/>
        </w:rPr>
        <w:t>Economic</w:t>
      </w:r>
    </w:p>
    <w:p w14:paraId="30FC3ECF" w14:textId="3FCFD886" w:rsidR="006C08D6" w:rsidRPr="00E213F2" w:rsidRDefault="005C3FA5" w:rsidP="00E213F2">
      <w:pPr>
        <w:numPr>
          <w:ilvl w:val="0"/>
          <w:numId w:val="48"/>
        </w:numPr>
        <w:spacing w:line="276" w:lineRule="auto"/>
        <w:jc w:val="both"/>
        <w:rPr>
          <w:rFonts w:ascii="Arial" w:hAnsi="Arial" w:cs="Arial"/>
          <w:sz w:val="22"/>
          <w:szCs w:val="22"/>
        </w:rPr>
      </w:pPr>
      <w:r w:rsidRPr="00E213F2">
        <w:rPr>
          <w:rFonts w:ascii="Arial" w:hAnsi="Arial" w:cs="Arial"/>
          <w:sz w:val="22"/>
          <w:szCs w:val="22"/>
        </w:rPr>
        <w:t>higher borrowing costs and uncertainty influence UK SME lending volumes and demand</w:t>
      </w:r>
      <w:r w:rsidR="006C08D6" w:rsidRPr="00E213F2">
        <w:rPr>
          <w:rFonts w:ascii="Arial" w:hAnsi="Arial" w:cs="Arial"/>
          <w:sz w:val="22"/>
          <w:szCs w:val="22"/>
        </w:rPr>
        <w:t>; bank lending flows fell in 2023, reflecting tighter conditions (British Business Bank, 2024). This environment can increase arrears risk while also pushing SMEs toward specialist lenders.</w:t>
      </w:r>
    </w:p>
    <w:p w14:paraId="58024FAF" w14:textId="77777777" w:rsidR="006C08D6" w:rsidRPr="00E213F2" w:rsidRDefault="006C08D6" w:rsidP="00E213F2">
      <w:pPr>
        <w:spacing w:line="276" w:lineRule="auto"/>
        <w:jc w:val="both"/>
        <w:rPr>
          <w:rFonts w:ascii="Arial" w:hAnsi="Arial" w:cs="Arial"/>
          <w:sz w:val="22"/>
          <w:szCs w:val="22"/>
        </w:rPr>
      </w:pPr>
      <w:r w:rsidRPr="00E213F2">
        <w:rPr>
          <w:rFonts w:ascii="Arial" w:hAnsi="Arial" w:cs="Arial"/>
          <w:b/>
          <w:bCs/>
          <w:sz w:val="22"/>
          <w:szCs w:val="22"/>
        </w:rPr>
        <w:t>Social</w:t>
      </w:r>
    </w:p>
    <w:p w14:paraId="6BB7C729" w14:textId="77777777" w:rsidR="006C08D6" w:rsidRPr="00E213F2" w:rsidRDefault="006C08D6" w:rsidP="00E213F2">
      <w:pPr>
        <w:numPr>
          <w:ilvl w:val="0"/>
          <w:numId w:val="49"/>
        </w:numPr>
        <w:spacing w:line="276" w:lineRule="auto"/>
        <w:jc w:val="both"/>
        <w:rPr>
          <w:rFonts w:ascii="Arial" w:hAnsi="Arial" w:cs="Arial"/>
          <w:sz w:val="22"/>
          <w:szCs w:val="22"/>
        </w:rPr>
      </w:pPr>
      <w:r w:rsidRPr="00E213F2">
        <w:rPr>
          <w:rFonts w:ascii="Arial" w:hAnsi="Arial" w:cs="Arial"/>
          <w:sz w:val="22"/>
          <w:szCs w:val="22"/>
        </w:rPr>
        <w:t>SMEs value speed, transparency and flexibility in repayment structures; trust and fair treatment matter more as media and stakeholder focus rises on outcomes for small business borrowers (FCA, 2022).</w:t>
      </w:r>
    </w:p>
    <w:p w14:paraId="046060E4" w14:textId="77777777" w:rsidR="006C08D6" w:rsidRPr="00E213F2" w:rsidRDefault="006C08D6" w:rsidP="00E213F2">
      <w:pPr>
        <w:spacing w:line="276" w:lineRule="auto"/>
        <w:jc w:val="both"/>
        <w:rPr>
          <w:rFonts w:ascii="Arial" w:hAnsi="Arial" w:cs="Arial"/>
          <w:sz w:val="22"/>
          <w:szCs w:val="22"/>
        </w:rPr>
      </w:pPr>
      <w:r w:rsidRPr="00E213F2">
        <w:rPr>
          <w:rFonts w:ascii="Arial" w:hAnsi="Arial" w:cs="Arial"/>
          <w:b/>
          <w:bCs/>
          <w:sz w:val="22"/>
          <w:szCs w:val="22"/>
        </w:rPr>
        <w:t>Technological</w:t>
      </w:r>
    </w:p>
    <w:p w14:paraId="0071BB03" w14:textId="77777777" w:rsidR="006C08D6" w:rsidRPr="00E213F2" w:rsidRDefault="006C08D6" w:rsidP="00E213F2">
      <w:pPr>
        <w:numPr>
          <w:ilvl w:val="0"/>
          <w:numId w:val="50"/>
        </w:numPr>
        <w:spacing w:line="276" w:lineRule="auto"/>
        <w:jc w:val="both"/>
        <w:rPr>
          <w:rFonts w:ascii="Arial" w:hAnsi="Arial" w:cs="Arial"/>
          <w:sz w:val="22"/>
          <w:szCs w:val="22"/>
        </w:rPr>
      </w:pPr>
      <w:r w:rsidRPr="00E213F2">
        <w:rPr>
          <w:rFonts w:ascii="Arial" w:hAnsi="Arial" w:cs="Arial"/>
          <w:sz w:val="22"/>
          <w:szCs w:val="22"/>
        </w:rPr>
        <w:t>Digital underwriting and data access (e.g., transaction-level data) support faster decisions and potentially better risk segmentation—key to competing with banks and other fintech lenders (British Business Bank, 2024).</w:t>
      </w:r>
    </w:p>
    <w:p w14:paraId="37B4AA1A" w14:textId="77777777" w:rsidR="00E213F2" w:rsidRDefault="00E213F2" w:rsidP="00E213F2">
      <w:pPr>
        <w:spacing w:line="276" w:lineRule="auto"/>
        <w:jc w:val="both"/>
        <w:rPr>
          <w:rFonts w:ascii="Arial" w:hAnsi="Arial" w:cs="Arial"/>
          <w:b/>
          <w:bCs/>
          <w:sz w:val="22"/>
          <w:szCs w:val="22"/>
        </w:rPr>
      </w:pPr>
    </w:p>
    <w:p w14:paraId="26200DB3" w14:textId="0270AD4A" w:rsidR="006C08D6" w:rsidRPr="00E213F2" w:rsidRDefault="006C08D6" w:rsidP="00E213F2">
      <w:pPr>
        <w:spacing w:line="276" w:lineRule="auto"/>
        <w:jc w:val="both"/>
        <w:rPr>
          <w:rFonts w:ascii="Arial" w:hAnsi="Arial" w:cs="Arial"/>
          <w:sz w:val="22"/>
          <w:szCs w:val="22"/>
        </w:rPr>
      </w:pPr>
      <w:r w:rsidRPr="00E213F2">
        <w:rPr>
          <w:rFonts w:ascii="Arial" w:hAnsi="Arial" w:cs="Arial"/>
          <w:b/>
          <w:bCs/>
          <w:sz w:val="22"/>
          <w:szCs w:val="22"/>
        </w:rPr>
        <w:lastRenderedPageBreak/>
        <w:t>Environmental</w:t>
      </w:r>
    </w:p>
    <w:p w14:paraId="36BA5AEE" w14:textId="77777777" w:rsidR="006C08D6" w:rsidRPr="00E213F2" w:rsidRDefault="006C08D6" w:rsidP="00E213F2">
      <w:pPr>
        <w:numPr>
          <w:ilvl w:val="0"/>
          <w:numId w:val="51"/>
        </w:numPr>
        <w:spacing w:line="276" w:lineRule="auto"/>
        <w:jc w:val="both"/>
        <w:rPr>
          <w:rFonts w:ascii="Arial" w:hAnsi="Arial" w:cs="Arial"/>
          <w:sz w:val="22"/>
          <w:szCs w:val="22"/>
        </w:rPr>
      </w:pPr>
      <w:r w:rsidRPr="00E213F2">
        <w:rPr>
          <w:rFonts w:ascii="Arial" w:hAnsi="Arial" w:cs="Arial"/>
          <w:sz w:val="22"/>
          <w:szCs w:val="22"/>
        </w:rPr>
        <w:t>SME and investor attention to ESG is increasing; lenders may face pressure to evidence responsible lending and support greener investment, potentially creating niche products or preferential pricing for eligible upgrades (British Business Bank, 2024).</w:t>
      </w:r>
    </w:p>
    <w:p w14:paraId="263F25B5" w14:textId="77777777" w:rsidR="006C08D6" w:rsidRPr="00E213F2" w:rsidRDefault="006C08D6" w:rsidP="00E213F2">
      <w:pPr>
        <w:spacing w:line="276" w:lineRule="auto"/>
        <w:jc w:val="both"/>
        <w:rPr>
          <w:rFonts w:ascii="Arial" w:hAnsi="Arial" w:cs="Arial"/>
          <w:sz w:val="22"/>
          <w:szCs w:val="22"/>
        </w:rPr>
      </w:pPr>
      <w:r w:rsidRPr="00E213F2">
        <w:rPr>
          <w:rFonts w:ascii="Arial" w:hAnsi="Arial" w:cs="Arial"/>
          <w:b/>
          <w:bCs/>
          <w:sz w:val="22"/>
          <w:szCs w:val="22"/>
        </w:rPr>
        <w:t>Legal</w:t>
      </w:r>
    </w:p>
    <w:p w14:paraId="5F964640" w14:textId="77777777" w:rsidR="006C08D6" w:rsidRPr="00E213F2" w:rsidRDefault="006C08D6" w:rsidP="00E213F2">
      <w:pPr>
        <w:numPr>
          <w:ilvl w:val="0"/>
          <w:numId w:val="52"/>
        </w:numPr>
        <w:spacing w:line="276" w:lineRule="auto"/>
        <w:jc w:val="both"/>
        <w:rPr>
          <w:rFonts w:ascii="Arial" w:hAnsi="Arial" w:cs="Arial"/>
          <w:sz w:val="22"/>
          <w:szCs w:val="22"/>
        </w:rPr>
      </w:pPr>
      <w:r w:rsidRPr="00E213F2">
        <w:rPr>
          <w:rFonts w:ascii="Arial" w:hAnsi="Arial" w:cs="Arial"/>
          <w:sz w:val="22"/>
          <w:szCs w:val="22"/>
        </w:rPr>
        <w:t xml:space="preserve">Ongoing FCA work on </w:t>
      </w:r>
      <w:r w:rsidRPr="00E213F2">
        <w:rPr>
          <w:rFonts w:ascii="Arial" w:hAnsi="Arial" w:cs="Arial"/>
          <w:b/>
          <w:bCs/>
          <w:sz w:val="22"/>
          <w:szCs w:val="22"/>
        </w:rPr>
        <w:t>personal guarantees</w:t>
      </w:r>
      <w:r w:rsidRPr="00E213F2">
        <w:rPr>
          <w:rFonts w:ascii="Arial" w:hAnsi="Arial" w:cs="Arial"/>
          <w:sz w:val="22"/>
          <w:szCs w:val="22"/>
        </w:rPr>
        <w:t xml:space="preserve"> in SME lending signals rising legal/conduct expectations and potential future policy change; firms need robust governance, disclosures and fair enforcement practices (FCA, 2024a). The FCA also stresses fair treatment in collections for small business borrowers (FCA, 2022).</w:t>
      </w:r>
    </w:p>
    <w:p w14:paraId="37B099CB" w14:textId="77777777" w:rsidR="005C3FA5" w:rsidRDefault="005C3FA5" w:rsidP="006C08D6">
      <w:pPr>
        <w:rPr>
          <w:b/>
          <w:bCs/>
        </w:rPr>
      </w:pPr>
    </w:p>
    <w:p w14:paraId="51286E37" w14:textId="77777777" w:rsidR="00ED671F" w:rsidRDefault="00ED671F" w:rsidP="006C08D6">
      <w:pPr>
        <w:rPr>
          <w:b/>
          <w:bCs/>
        </w:rPr>
      </w:pPr>
    </w:p>
    <w:p w14:paraId="2311F99E" w14:textId="3A2AD3FC" w:rsidR="006C08D6" w:rsidRPr="00E213F2" w:rsidRDefault="00CF1474" w:rsidP="00CF1474">
      <w:pPr>
        <w:pStyle w:val="Heading2"/>
        <w:rPr>
          <w:rFonts w:ascii="Arial" w:hAnsi="Arial" w:cs="Arial"/>
        </w:rPr>
      </w:pPr>
      <w:bookmarkStart w:id="8" w:name="_Toc216970887"/>
      <w:r w:rsidRPr="00E213F2">
        <w:rPr>
          <w:rFonts w:ascii="Arial" w:hAnsi="Arial" w:cs="Arial"/>
        </w:rPr>
        <w:t xml:space="preserve">4.3 </w:t>
      </w:r>
      <w:r w:rsidR="006C08D6" w:rsidRPr="00E213F2">
        <w:rPr>
          <w:rFonts w:ascii="Arial" w:hAnsi="Arial" w:cs="Arial"/>
        </w:rPr>
        <w:t>Porter’s five forces</w:t>
      </w:r>
      <w:bookmarkEnd w:id="8"/>
      <w:r w:rsidR="006C08D6" w:rsidRPr="00E213F2">
        <w:rPr>
          <w:rFonts w:ascii="Arial" w:hAnsi="Arial" w:cs="Arial"/>
        </w:rPr>
        <w:t xml:space="preserve"> </w:t>
      </w:r>
    </w:p>
    <w:p w14:paraId="03A1D940" w14:textId="77777777" w:rsidR="006C08D6" w:rsidRPr="006F1672" w:rsidRDefault="006C08D6" w:rsidP="006F1672">
      <w:pPr>
        <w:spacing w:line="276" w:lineRule="auto"/>
        <w:rPr>
          <w:rFonts w:ascii="Arial" w:hAnsi="Arial" w:cs="Arial"/>
          <w:sz w:val="22"/>
          <w:szCs w:val="22"/>
        </w:rPr>
      </w:pPr>
      <w:r w:rsidRPr="006F1672">
        <w:rPr>
          <w:rFonts w:ascii="Arial" w:hAnsi="Arial" w:cs="Arial"/>
          <w:b/>
          <w:bCs/>
          <w:sz w:val="22"/>
          <w:szCs w:val="22"/>
        </w:rPr>
        <w:t>1) Rivalry (High)</w:t>
      </w:r>
    </w:p>
    <w:p w14:paraId="73181E39" w14:textId="77777777" w:rsidR="006C08D6" w:rsidRPr="006F1672" w:rsidRDefault="006C08D6" w:rsidP="006F1672">
      <w:pPr>
        <w:numPr>
          <w:ilvl w:val="0"/>
          <w:numId w:val="53"/>
        </w:numPr>
        <w:spacing w:line="276" w:lineRule="auto"/>
        <w:rPr>
          <w:rFonts w:ascii="Arial" w:hAnsi="Arial" w:cs="Arial"/>
          <w:sz w:val="22"/>
          <w:szCs w:val="22"/>
        </w:rPr>
      </w:pPr>
      <w:r w:rsidRPr="006F1672">
        <w:rPr>
          <w:rFonts w:ascii="Arial" w:hAnsi="Arial" w:cs="Arial"/>
          <w:sz w:val="22"/>
          <w:szCs w:val="22"/>
        </w:rPr>
        <w:t>Competitive intensity is strong: challenger banks and specialist lenders have expanded share, increasing choice for SMEs and compressing margins in prime segments (British Business Bank, 2025). Differentiation on flexibility and service is therefore critical.</w:t>
      </w:r>
    </w:p>
    <w:p w14:paraId="7F4C76D3" w14:textId="77777777" w:rsidR="006C08D6" w:rsidRPr="006F1672" w:rsidRDefault="006C08D6" w:rsidP="006F1672">
      <w:pPr>
        <w:spacing w:line="276" w:lineRule="auto"/>
        <w:rPr>
          <w:rFonts w:ascii="Arial" w:hAnsi="Arial" w:cs="Arial"/>
          <w:sz w:val="22"/>
          <w:szCs w:val="22"/>
        </w:rPr>
      </w:pPr>
      <w:r w:rsidRPr="006F1672">
        <w:rPr>
          <w:rFonts w:ascii="Arial" w:hAnsi="Arial" w:cs="Arial"/>
          <w:b/>
          <w:bCs/>
          <w:sz w:val="22"/>
          <w:szCs w:val="22"/>
        </w:rPr>
        <w:t>2) Threat of new entrants (Medium)</w:t>
      </w:r>
    </w:p>
    <w:p w14:paraId="33778240" w14:textId="77777777" w:rsidR="006C08D6" w:rsidRPr="006F1672" w:rsidRDefault="006C08D6" w:rsidP="006F1672">
      <w:pPr>
        <w:numPr>
          <w:ilvl w:val="0"/>
          <w:numId w:val="54"/>
        </w:numPr>
        <w:spacing w:line="276" w:lineRule="auto"/>
        <w:rPr>
          <w:rFonts w:ascii="Arial" w:hAnsi="Arial" w:cs="Arial"/>
          <w:sz w:val="22"/>
          <w:szCs w:val="22"/>
        </w:rPr>
      </w:pPr>
      <w:r w:rsidRPr="006F1672">
        <w:rPr>
          <w:rFonts w:ascii="Arial" w:hAnsi="Arial" w:cs="Arial"/>
          <w:sz w:val="22"/>
          <w:szCs w:val="22"/>
        </w:rPr>
        <w:t xml:space="preserve">Tech lowers entry barriers for origination, but </w:t>
      </w:r>
      <w:r w:rsidRPr="006F1672">
        <w:rPr>
          <w:rFonts w:ascii="Arial" w:hAnsi="Arial" w:cs="Arial"/>
          <w:b/>
          <w:bCs/>
          <w:sz w:val="22"/>
          <w:szCs w:val="22"/>
        </w:rPr>
        <w:t>funding access</w:t>
      </w:r>
      <w:r w:rsidRPr="006F1672">
        <w:rPr>
          <w:rFonts w:ascii="Arial" w:hAnsi="Arial" w:cs="Arial"/>
          <w:sz w:val="22"/>
          <w:szCs w:val="22"/>
        </w:rPr>
        <w:t>, risk expertise, and compliance/collections capabilities are harder to replicate. As standards tighten around borrower treatment and guarantees, operational barriers rise (FCA, 2024a).</w:t>
      </w:r>
    </w:p>
    <w:p w14:paraId="7B58BC1F" w14:textId="77777777" w:rsidR="00A249C9" w:rsidRPr="006F1672" w:rsidRDefault="00A249C9" w:rsidP="006F1672">
      <w:pPr>
        <w:spacing w:line="276" w:lineRule="auto"/>
        <w:rPr>
          <w:rFonts w:ascii="Arial" w:hAnsi="Arial" w:cs="Arial"/>
          <w:sz w:val="22"/>
          <w:szCs w:val="22"/>
        </w:rPr>
      </w:pPr>
    </w:p>
    <w:p w14:paraId="0ACCA5FF" w14:textId="77777777" w:rsidR="006C08D6" w:rsidRPr="006F1672" w:rsidRDefault="006C08D6" w:rsidP="006F1672">
      <w:pPr>
        <w:spacing w:line="276" w:lineRule="auto"/>
        <w:rPr>
          <w:rFonts w:ascii="Arial" w:hAnsi="Arial" w:cs="Arial"/>
          <w:sz w:val="22"/>
          <w:szCs w:val="22"/>
        </w:rPr>
      </w:pPr>
      <w:r w:rsidRPr="006F1672">
        <w:rPr>
          <w:rFonts w:ascii="Arial" w:hAnsi="Arial" w:cs="Arial"/>
          <w:b/>
          <w:bCs/>
          <w:sz w:val="22"/>
          <w:szCs w:val="22"/>
        </w:rPr>
        <w:t>3) Bargaining power of buyers/borrowers (Medium–High)</w:t>
      </w:r>
    </w:p>
    <w:p w14:paraId="6808EBD2" w14:textId="77777777" w:rsidR="006C08D6" w:rsidRPr="006F1672" w:rsidRDefault="006C08D6" w:rsidP="006F1672">
      <w:pPr>
        <w:numPr>
          <w:ilvl w:val="0"/>
          <w:numId w:val="55"/>
        </w:numPr>
        <w:spacing w:line="276" w:lineRule="auto"/>
        <w:rPr>
          <w:rFonts w:ascii="Arial" w:hAnsi="Arial" w:cs="Arial"/>
          <w:sz w:val="22"/>
          <w:szCs w:val="22"/>
        </w:rPr>
      </w:pPr>
      <w:r w:rsidRPr="006F1672">
        <w:rPr>
          <w:rFonts w:ascii="Arial" w:hAnsi="Arial" w:cs="Arial"/>
          <w:sz w:val="22"/>
          <w:szCs w:val="22"/>
        </w:rPr>
        <w:t xml:space="preserve">SMEs can compare offers quickly via brokers/online channels, raising price sensitivity—especially for straightforward term loans. However, </w:t>
      </w:r>
      <w:proofErr w:type="spellStart"/>
      <w:r w:rsidRPr="006F1672">
        <w:rPr>
          <w:rFonts w:ascii="Arial" w:hAnsi="Arial" w:cs="Arial"/>
          <w:sz w:val="22"/>
          <w:szCs w:val="22"/>
        </w:rPr>
        <w:t>Fleximize’s</w:t>
      </w:r>
      <w:proofErr w:type="spellEnd"/>
      <w:r w:rsidRPr="006F1672">
        <w:rPr>
          <w:rFonts w:ascii="Arial" w:hAnsi="Arial" w:cs="Arial"/>
          <w:sz w:val="22"/>
          <w:szCs w:val="22"/>
        </w:rPr>
        <w:t xml:space="preserve"> “flexibility bundle” can reduce pure price comparability (Fleximize, 2022).</w:t>
      </w:r>
    </w:p>
    <w:p w14:paraId="394BBC5E" w14:textId="77777777" w:rsidR="006C08D6" w:rsidRPr="006F1672" w:rsidRDefault="006C08D6" w:rsidP="006F1672">
      <w:pPr>
        <w:spacing w:line="276" w:lineRule="auto"/>
        <w:rPr>
          <w:rFonts w:ascii="Arial" w:hAnsi="Arial" w:cs="Arial"/>
          <w:sz w:val="22"/>
          <w:szCs w:val="22"/>
        </w:rPr>
      </w:pPr>
      <w:r w:rsidRPr="006F1672">
        <w:rPr>
          <w:rFonts w:ascii="Arial" w:hAnsi="Arial" w:cs="Arial"/>
          <w:b/>
          <w:bCs/>
          <w:sz w:val="22"/>
          <w:szCs w:val="22"/>
        </w:rPr>
        <w:t>4) Threat of substitutes (Medium)</w:t>
      </w:r>
    </w:p>
    <w:p w14:paraId="29863D43" w14:textId="77777777" w:rsidR="006C08D6" w:rsidRPr="006F1672" w:rsidRDefault="006C08D6" w:rsidP="006F1672">
      <w:pPr>
        <w:numPr>
          <w:ilvl w:val="0"/>
          <w:numId w:val="56"/>
        </w:numPr>
        <w:spacing w:line="276" w:lineRule="auto"/>
        <w:rPr>
          <w:rFonts w:ascii="Arial" w:hAnsi="Arial" w:cs="Arial"/>
          <w:sz w:val="22"/>
          <w:szCs w:val="22"/>
        </w:rPr>
      </w:pPr>
      <w:r w:rsidRPr="006F1672">
        <w:rPr>
          <w:rFonts w:ascii="Arial" w:hAnsi="Arial" w:cs="Arial"/>
          <w:sz w:val="22"/>
          <w:szCs w:val="22"/>
        </w:rPr>
        <w:t>Substitutes include overdrafts, asset finance, credit cards, merchant cash advances, and government-backed schemes; use varies by purpose and collateral availability. Market reports show diversification in SME finance options (British Business Bank, 2024).</w:t>
      </w:r>
    </w:p>
    <w:p w14:paraId="1DE90863" w14:textId="77777777" w:rsidR="006C08D6" w:rsidRPr="006F1672" w:rsidRDefault="006C08D6" w:rsidP="006F1672">
      <w:pPr>
        <w:spacing w:line="276" w:lineRule="auto"/>
        <w:rPr>
          <w:rFonts w:ascii="Arial" w:hAnsi="Arial" w:cs="Arial"/>
          <w:sz w:val="22"/>
          <w:szCs w:val="22"/>
        </w:rPr>
      </w:pPr>
      <w:r w:rsidRPr="006F1672">
        <w:rPr>
          <w:rFonts w:ascii="Arial" w:hAnsi="Arial" w:cs="Arial"/>
          <w:b/>
          <w:bCs/>
          <w:sz w:val="22"/>
          <w:szCs w:val="22"/>
        </w:rPr>
        <w:t>5) Bargaining power of suppliers (Medium–High)</w:t>
      </w:r>
    </w:p>
    <w:p w14:paraId="4544EF85" w14:textId="23ACDFC5" w:rsidR="00540EBA" w:rsidRPr="00493159" w:rsidRDefault="006C08D6" w:rsidP="00540EBA">
      <w:pPr>
        <w:numPr>
          <w:ilvl w:val="0"/>
          <w:numId w:val="57"/>
        </w:numPr>
        <w:spacing w:line="276" w:lineRule="auto"/>
        <w:rPr>
          <w:rFonts w:ascii="Arial" w:hAnsi="Arial" w:cs="Arial"/>
          <w:sz w:val="22"/>
          <w:szCs w:val="22"/>
        </w:rPr>
      </w:pPr>
      <w:r w:rsidRPr="006F1672">
        <w:rPr>
          <w:rFonts w:ascii="Arial" w:hAnsi="Arial" w:cs="Arial"/>
          <w:sz w:val="22"/>
          <w:szCs w:val="22"/>
        </w:rPr>
        <w:t>Key suppliers include wholesale funders and, indirectly, intermediaries that control deal flow. Higher rates/credit risk can increase funding costs and tighten covenants, pressuring non-bank lenders more than deposit-funded banks (British Business Bank, 2025).</w:t>
      </w:r>
    </w:p>
    <w:p w14:paraId="315D923E" w14:textId="209CA9A0" w:rsidR="00540EBA" w:rsidRPr="00B675A7" w:rsidRDefault="00653F7D" w:rsidP="00D4544A">
      <w:pPr>
        <w:pStyle w:val="Heading1"/>
        <w:rPr>
          <w:rFonts w:ascii="Arial" w:hAnsi="Arial" w:cs="Arial"/>
        </w:rPr>
      </w:pPr>
      <w:bookmarkStart w:id="9" w:name="_Toc216970888"/>
      <w:r w:rsidRPr="00B675A7">
        <w:rPr>
          <w:rFonts w:ascii="Arial" w:hAnsi="Arial" w:cs="Arial"/>
        </w:rPr>
        <w:lastRenderedPageBreak/>
        <w:t xml:space="preserve">5. </w:t>
      </w:r>
      <w:r w:rsidR="00E574C6" w:rsidRPr="00B675A7">
        <w:rPr>
          <w:rFonts w:ascii="Arial" w:hAnsi="Arial" w:cs="Arial"/>
        </w:rPr>
        <w:t>Flexi</w:t>
      </w:r>
      <w:r w:rsidR="0022571C" w:rsidRPr="00B675A7">
        <w:rPr>
          <w:rFonts w:ascii="Arial" w:hAnsi="Arial" w:cs="Arial"/>
        </w:rPr>
        <w:t xml:space="preserve">mize </w:t>
      </w:r>
      <w:r w:rsidR="008971E4" w:rsidRPr="00B675A7">
        <w:rPr>
          <w:rFonts w:ascii="Arial" w:hAnsi="Arial" w:cs="Arial"/>
        </w:rPr>
        <w:t xml:space="preserve">Limited </w:t>
      </w:r>
      <w:r w:rsidRPr="00B675A7">
        <w:rPr>
          <w:rFonts w:ascii="Arial" w:hAnsi="Arial" w:cs="Arial"/>
        </w:rPr>
        <w:t>in markets</w:t>
      </w:r>
      <w:r w:rsidR="008971E4" w:rsidRPr="00B675A7">
        <w:rPr>
          <w:rFonts w:ascii="Arial" w:hAnsi="Arial" w:cs="Arial"/>
        </w:rPr>
        <w:t>,</w:t>
      </w:r>
      <w:r w:rsidRPr="00B675A7">
        <w:rPr>
          <w:rFonts w:ascii="Arial" w:hAnsi="Arial" w:cs="Arial"/>
        </w:rPr>
        <w:t xml:space="preserve"> </w:t>
      </w:r>
      <w:r w:rsidR="00DE32E0" w:rsidRPr="00B675A7">
        <w:rPr>
          <w:rFonts w:ascii="Arial" w:hAnsi="Arial" w:cs="Arial"/>
        </w:rPr>
        <w:t xml:space="preserve">Ansoff Matrix, </w:t>
      </w:r>
      <w:r w:rsidRPr="00B675A7">
        <w:rPr>
          <w:rFonts w:ascii="Arial" w:hAnsi="Arial" w:cs="Arial"/>
        </w:rPr>
        <w:t>new strategy</w:t>
      </w:r>
      <w:bookmarkEnd w:id="9"/>
      <w:r w:rsidRPr="00B675A7">
        <w:rPr>
          <w:rFonts w:ascii="Arial" w:hAnsi="Arial" w:cs="Arial"/>
        </w:rPr>
        <w:t xml:space="preserve"> </w:t>
      </w:r>
    </w:p>
    <w:p w14:paraId="3804C3B7" w14:textId="27A66C66" w:rsidR="00C22BD7" w:rsidRPr="008F4195" w:rsidRDefault="00C22BD7" w:rsidP="008F4195">
      <w:pPr>
        <w:spacing w:line="276" w:lineRule="auto"/>
        <w:jc w:val="both"/>
        <w:rPr>
          <w:rFonts w:ascii="Arial" w:hAnsi="Arial" w:cs="Arial"/>
          <w:sz w:val="22"/>
          <w:szCs w:val="22"/>
        </w:rPr>
      </w:pPr>
      <w:r w:rsidRPr="008F4195">
        <w:rPr>
          <w:rFonts w:ascii="Arial" w:hAnsi="Arial" w:cs="Arial"/>
          <w:sz w:val="22"/>
          <w:szCs w:val="22"/>
        </w:rPr>
        <w:t xml:space="preserve">Fleximize could increase its share within the UK SME lending market, where specialist lenders now provide approximately </w:t>
      </w:r>
      <w:r w:rsidRPr="008F4195">
        <w:rPr>
          <w:rFonts w:ascii="Arial" w:hAnsi="Arial" w:cs="Arial"/>
          <w:b/>
          <w:bCs/>
          <w:sz w:val="22"/>
          <w:szCs w:val="22"/>
        </w:rPr>
        <w:t>60%</w:t>
      </w:r>
      <w:r w:rsidRPr="008F4195">
        <w:rPr>
          <w:rFonts w:ascii="Arial" w:hAnsi="Arial" w:cs="Arial"/>
          <w:sz w:val="22"/>
          <w:szCs w:val="22"/>
        </w:rPr>
        <w:t xml:space="preserve"> of total SME lending—a structural shift favouring fintech providers (British Business Bank, 2024). </w:t>
      </w:r>
    </w:p>
    <w:p w14:paraId="6FFAE2A6" w14:textId="6FA4729E" w:rsidR="00C22BD7" w:rsidRPr="008F4195" w:rsidRDefault="00C22BD7" w:rsidP="008F4195">
      <w:pPr>
        <w:spacing w:line="276" w:lineRule="auto"/>
        <w:jc w:val="both"/>
        <w:rPr>
          <w:rFonts w:ascii="Arial" w:hAnsi="Arial" w:cs="Arial"/>
          <w:sz w:val="22"/>
          <w:szCs w:val="22"/>
        </w:rPr>
      </w:pPr>
      <w:r w:rsidRPr="008F4195">
        <w:rPr>
          <w:rFonts w:ascii="Arial" w:hAnsi="Arial" w:cs="Arial"/>
          <w:sz w:val="22"/>
          <w:szCs w:val="22"/>
        </w:rPr>
        <w:t xml:space="preserve">This strategy is low risk and aligns closely with </w:t>
      </w:r>
      <w:proofErr w:type="spellStart"/>
      <w:r w:rsidRPr="008F4195">
        <w:rPr>
          <w:rFonts w:ascii="Arial" w:hAnsi="Arial" w:cs="Arial"/>
          <w:sz w:val="22"/>
          <w:szCs w:val="22"/>
        </w:rPr>
        <w:t>Fleximize’s</w:t>
      </w:r>
      <w:proofErr w:type="spellEnd"/>
      <w:r w:rsidRPr="008F4195">
        <w:rPr>
          <w:rFonts w:ascii="Arial" w:hAnsi="Arial" w:cs="Arial"/>
          <w:sz w:val="22"/>
          <w:szCs w:val="22"/>
        </w:rPr>
        <w:t xml:space="preserve"> capabilities in technology-enabled lending and human-centred underwriting (Fleximize, 2024). </w:t>
      </w:r>
    </w:p>
    <w:p w14:paraId="31540992" w14:textId="0BC5827A" w:rsidR="00BA0B0A" w:rsidRPr="008F4195" w:rsidRDefault="00765A1B" w:rsidP="008F4195">
      <w:pPr>
        <w:spacing w:line="276" w:lineRule="auto"/>
        <w:jc w:val="both"/>
        <w:rPr>
          <w:rFonts w:ascii="Arial" w:hAnsi="Arial" w:cs="Arial"/>
          <w:sz w:val="22"/>
          <w:szCs w:val="22"/>
        </w:rPr>
      </w:pPr>
      <w:r w:rsidRPr="008F4195">
        <w:rPr>
          <w:rFonts w:ascii="Arial" w:hAnsi="Arial" w:cs="Arial"/>
          <w:sz w:val="22"/>
          <w:szCs w:val="22"/>
        </w:rPr>
        <w:t>Framework</w:t>
      </w:r>
      <w:r w:rsidR="00BA0B0A" w:rsidRPr="008F4195">
        <w:rPr>
          <w:rFonts w:ascii="Arial" w:hAnsi="Arial" w:cs="Arial"/>
          <w:sz w:val="22"/>
          <w:szCs w:val="22"/>
        </w:rPr>
        <w:t xml:space="preserve"> by analysing growth through </w:t>
      </w:r>
      <w:r w:rsidR="00BA0B0A" w:rsidRPr="008F4195">
        <w:rPr>
          <w:rFonts w:ascii="Arial" w:hAnsi="Arial" w:cs="Arial"/>
          <w:b/>
          <w:bCs/>
          <w:sz w:val="22"/>
          <w:szCs w:val="22"/>
        </w:rPr>
        <w:t>market penetration, product development, market development, and diversification</w:t>
      </w:r>
      <w:r w:rsidR="00BA0B0A" w:rsidRPr="008F4195">
        <w:rPr>
          <w:rFonts w:ascii="Arial" w:hAnsi="Arial" w:cs="Arial"/>
          <w:sz w:val="22"/>
          <w:szCs w:val="22"/>
        </w:rPr>
        <w:t xml:space="preserve"> (Johnson, Scholes &amp; Whittington, 2020). This section evaluates each option for Fleximize and proposes a </w:t>
      </w:r>
      <w:r w:rsidR="00BA0B0A" w:rsidRPr="008F4195">
        <w:rPr>
          <w:rFonts w:ascii="Arial" w:hAnsi="Arial" w:cs="Arial"/>
          <w:b/>
          <w:bCs/>
          <w:sz w:val="22"/>
          <w:szCs w:val="22"/>
        </w:rPr>
        <w:t>long-term sustainable strategy</w:t>
      </w:r>
      <w:r w:rsidR="00BA0B0A" w:rsidRPr="008F4195">
        <w:rPr>
          <w:rFonts w:ascii="Arial" w:hAnsi="Arial" w:cs="Arial"/>
          <w:sz w:val="22"/>
          <w:szCs w:val="22"/>
        </w:rPr>
        <w:t>.</w:t>
      </w:r>
    </w:p>
    <w:p w14:paraId="7FFFE7BF" w14:textId="77777777" w:rsidR="00BA0B0A" w:rsidRPr="008F4195" w:rsidRDefault="00BA0B0A" w:rsidP="008F4195">
      <w:pPr>
        <w:spacing w:line="276" w:lineRule="auto"/>
        <w:jc w:val="both"/>
        <w:rPr>
          <w:rFonts w:ascii="Arial" w:hAnsi="Arial" w:cs="Arial"/>
          <w:b/>
          <w:bCs/>
          <w:sz w:val="22"/>
          <w:szCs w:val="22"/>
        </w:rPr>
      </w:pPr>
      <w:r w:rsidRPr="008F4195">
        <w:rPr>
          <w:rFonts w:ascii="Arial" w:hAnsi="Arial" w:cs="Arial"/>
          <w:b/>
          <w:bCs/>
          <w:sz w:val="22"/>
          <w:szCs w:val="22"/>
        </w:rPr>
        <w:t>1. Market penetration (existing products, existing markets)</w:t>
      </w:r>
    </w:p>
    <w:p w14:paraId="176A960E" w14:textId="77777777" w:rsidR="00BA0B0A" w:rsidRPr="008F4195" w:rsidRDefault="00BA0B0A" w:rsidP="008F4195">
      <w:pPr>
        <w:spacing w:line="276" w:lineRule="auto"/>
        <w:jc w:val="both"/>
        <w:rPr>
          <w:rFonts w:ascii="Arial" w:hAnsi="Arial" w:cs="Arial"/>
          <w:sz w:val="22"/>
          <w:szCs w:val="22"/>
        </w:rPr>
      </w:pPr>
      <w:r w:rsidRPr="008F4195">
        <w:rPr>
          <w:rFonts w:ascii="Arial" w:hAnsi="Arial" w:cs="Arial"/>
          <w:sz w:val="22"/>
          <w:szCs w:val="22"/>
        </w:rPr>
        <w:t xml:space="preserve">Market penetration focuses on increasing share within </w:t>
      </w:r>
      <w:proofErr w:type="spellStart"/>
      <w:r w:rsidRPr="008F4195">
        <w:rPr>
          <w:rFonts w:ascii="Arial" w:hAnsi="Arial" w:cs="Arial"/>
          <w:sz w:val="22"/>
          <w:szCs w:val="22"/>
        </w:rPr>
        <w:t>Fleximize’s</w:t>
      </w:r>
      <w:proofErr w:type="spellEnd"/>
      <w:r w:rsidRPr="008F4195">
        <w:rPr>
          <w:rFonts w:ascii="Arial" w:hAnsi="Arial" w:cs="Arial"/>
          <w:sz w:val="22"/>
          <w:szCs w:val="22"/>
        </w:rPr>
        <w:t xml:space="preserve"> current UK SME lending market. This could involve more aggressive digital marketing, stronger broker relationships, or price-based competition.</w:t>
      </w:r>
    </w:p>
    <w:p w14:paraId="465309E9" w14:textId="20ED67FE" w:rsidR="00BA0B0A" w:rsidRPr="008F4195" w:rsidRDefault="00BA0B0A" w:rsidP="008F4195">
      <w:pPr>
        <w:spacing w:line="276" w:lineRule="auto"/>
        <w:jc w:val="both"/>
        <w:rPr>
          <w:rFonts w:ascii="Arial" w:hAnsi="Arial" w:cs="Arial"/>
          <w:sz w:val="22"/>
          <w:szCs w:val="22"/>
        </w:rPr>
      </w:pPr>
      <w:r w:rsidRPr="008F4195">
        <w:rPr>
          <w:rFonts w:ascii="Arial" w:hAnsi="Arial" w:cs="Arial"/>
          <w:sz w:val="22"/>
          <w:szCs w:val="22"/>
        </w:rPr>
        <w:t xml:space="preserve">Fleximize already competes in a </w:t>
      </w:r>
      <w:r w:rsidRPr="008F4195">
        <w:rPr>
          <w:rFonts w:ascii="Arial" w:hAnsi="Arial" w:cs="Arial"/>
          <w:b/>
          <w:bCs/>
          <w:sz w:val="22"/>
          <w:szCs w:val="22"/>
        </w:rPr>
        <w:t>highly competitive UK SME finance market</w:t>
      </w:r>
      <w:r w:rsidRPr="008F4195">
        <w:rPr>
          <w:rFonts w:ascii="Arial" w:hAnsi="Arial" w:cs="Arial"/>
          <w:sz w:val="22"/>
          <w:szCs w:val="22"/>
        </w:rPr>
        <w:t xml:space="preserve"> characterised by challenger banks and fintech lenders (British Business Bank, 2025). </w:t>
      </w:r>
      <w:r w:rsidR="006779C8" w:rsidRPr="008F4195">
        <w:rPr>
          <w:rFonts w:ascii="Arial" w:hAnsi="Arial" w:cs="Arial"/>
          <w:sz w:val="22"/>
          <w:szCs w:val="22"/>
        </w:rPr>
        <w:t xml:space="preserve">While incremental growth could be realised through enhancing brand awareness and </w:t>
      </w:r>
      <w:r w:rsidRPr="008F4195">
        <w:rPr>
          <w:rFonts w:ascii="Arial" w:hAnsi="Arial" w:cs="Arial"/>
          <w:sz w:val="22"/>
          <w:szCs w:val="22"/>
        </w:rPr>
        <w:t xml:space="preserve">conversion rates, this approach risks </w:t>
      </w:r>
      <w:r w:rsidRPr="008F4195">
        <w:rPr>
          <w:rFonts w:ascii="Arial" w:hAnsi="Arial" w:cs="Arial"/>
          <w:b/>
          <w:bCs/>
          <w:sz w:val="22"/>
          <w:szCs w:val="22"/>
        </w:rPr>
        <w:t>margin compression</w:t>
      </w:r>
      <w:r w:rsidRPr="008F4195">
        <w:rPr>
          <w:rFonts w:ascii="Arial" w:hAnsi="Arial" w:cs="Arial"/>
          <w:sz w:val="22"/>
          <w:szCs w:val="22"/>
        </w:rPr>
        <w:t xml:space="preserve"> and rising customer acquisition costs. Moreover, SMEs have increasing bargaining power due to comparison platforms and broker-led distribution (British Business Bank, 2024).</w:t>
      </w:r>
    </w:p>
    <w:p w14:paraId="5898AC2C" w14:textId="5F1511A7" w:rsidR="00BA0B0A" w:rsidRPr="008F4195" w:rsidRDefault="00BA0B0A" w:rsidP="008F4195">
      <w:pPr>
        <w:spacing w:line="276" w:lineRule="auto"/>
        <w:jc w:val="both"/>
        <w:rPr>
          <w:rFonts w:ascii="Arial" w:hAnsi="Arial" w:cs="Arial"/>
          <w:sz w:val="22"/>
          <w:szCs w:val="22"/>
        </w:rPr>
      </w:pPr>
      <w:r w:rsidRPr="008F4195">
        <w:rPr>
          <w:rFonts w:ascii="Arial" w:hAnsi="Arial" w:cs="Arial"/>
          <w:b/>
          <w:bCs/>
          <w:sz w:val="22"/>
          <w:szCs w:val="22"/>
        </w:rPr>
        <w:t>2. Product development (new products, existing markets)</w:t>
      </w:r>
    </w:p>
    <w:p w14:paraId="7411F743" w14:textId="7EEC88C8" w:rsidR="00BA0B0A" w:rsidRPr="008F4195" w:rsidRDefault="006779C8" w:rsidP="008F4195">
      <w:pPr>
        <w:spacing w:line="276" w:lineRule="auto"/>
        <w:jc w:val="both"/>
        <w:rPr>
          <w:rFonts w:ascii="Arial" w:hAnsi="Arial" w:cs="Arial"/>
          <w:sz w:val="22"/>
          <w:szCs w:val="22"/>
        </w:rPr>
      </w:pPr>
      <w:r w:rsidRPr="008F4195">
        <w:rPr>
          <w:rFonts w:ascii="Arial" w:hAnsi="Arial" w:cs="Arial"/>
          <w:sz w:val="22"/>
          <w:szCs w:val="22"/>
        </w:rPr>
        <w:t>Product development would include introducing new financial products to current SME clients. Examples encompass revolving credit facilities, asset-backed lending, or sustainability-linked SME loans.</w:t>
      </w:r>
    </w:p>
    <w:p w14:paraId="7047B907" w14:textId="0A3EDC20" w:rsidR="00BA0B0A" w:rsidRPr="008F4195" w:rsidRDefault="00BA0B0A" w:rsidP="008F4195">
      <w:pPr>
        <w:spacing w:line="276" w:lineRule="auto"/>
        <w:jc w:val="both"/>
        <w:rPr>
          <w:rFonts w:ascii="Arial" w:hAnsi="Arial" w:cs="Arial"/>
          <w:sz w:val="22"/>
          <w:szCs w:val="22"/>
        </w:rPr>
      </w:pPr>
      <w:r w:rsidRPr="008F4195">
        <w:rPr>
          <w:rFonts w:ascii="Arial" w:hAnsi="Arial" w:cs="Arial"/>
          <w:sz w:val="22"/>
          <w:szCs w:val="22"/>
        </w:rPr>
        <w:t xml:space="preserve">UK SMEs increasingly seek </w:t>
      </w:r>
      <w:r w:rsidRPr="008F4195">
        <w:rPr>
          <w:rFonts w:ascii="Arial" w:hAnsi="Arial" w:cs="Arial"/>
          <w:b/>
          <w:bCs/>
          <w:sz w:val="22"/>
          <w:szCs w:val="22"/>
        </w:rPr>
        <w:t>tailored and flexible finance solutions</w:t>
      </w:r>
      <w:r w:rsidRPr="008F4195">
        <w:rPr>
          <w:rFonts w:ascii="Arial" w:hAnsi="Arial" w:cs="Arial"/>
          <w:sz w:val="22"/>
          <w:szCs w:val="22"/>
        </w:rPr>
        <w:t xml:space="preserve">, particularly during uncertain economic conditions (British Business Bank, 2024). </w:t>
      </w:r>
      <w:proofErr w:type="spellStart"/>
      <w:r w:rsidRPr="008F4195">
        <w:rPr>
          <w:rFonts w:ascii="Arial" w:hAnsi="Arial" w:cs="Arial"/>
          <w:sz w:val="22"/>
          <w:szCs w:val="22"/>
        </w:rPr>
        <w:t>Fleximize’s</w:t>
      </w:r>
      <w:proofErr w:type="spellEnd"/>
      <w:r w:rsidRPr="008F4195">
        <w:rPr>
          <w:rFonts w:ascii="Arial" w:hAnsi="Arial" w:cs="Arial"/>
          <w:sz w:val="22"/>
          <w:szCs w:val="22"/>
        </w:rPr>
        <w:t xml:space="preserve"> brand already emphasises flexibility (e.g., repayment holidays, no early settlement fees), which could be extended into </w:t>
      </w:r>
      <w:r w:rsidRPr="008F4195">
        <w:rPr>
          <w:rFonts w:ascii="Arial" w:hAnsi="Arial" w:cs="Arial"/>
          <w:b/>
          <w:bCs/>
          <w:sz w:val="22"/>
          <w:szCs w:val="22"/>
        </w:rPr>
        <w:t>green or growth-linked lending products</w:t>
      </w:r>
      <w:r w:rsidRPr="008F4195">
        <w:rPr>
          <w:rFonts w:ascii="Arial" w:hAnsi="Arial" w:cs="Arial"/>
          <w:sz w:val="22"/>
          <w:szCs w:val="22"/>
        </w:rPr>
        <w:t>. (OECD, 2023).</w:t>
      </w:r>
    </w:p>
    <w:p w14:paraId="48B43D53" w14:textId="09EFDB82" w:rsidR="00BA0B0A" w:rsidRPr="008F4195" w:rsidRDefault="00451AA5" w:rsidP="008F4195">
      <w:pPr>
        <w:spacing w:line="276" w:lineRule="auto"/>
        <w:jc w:val="both"/>
        <w:rPr>
          <w:rFonts w:ascii="Arial" w:hAnsi="Arial" w:cs="Arial"/>
          <w:sz w:val="22"/>
          <w:szCs w:val="22"/>
        </w:rPr>
      </w:pPr>
      <w:r w:rsidRPr="008F4195">
        <w:rPr>
          <w:rFonts w:ascii="Arial" w:hAnsi="Arial" w:cs="Arial"/>
          <w:sz w:val="22"/>
          <w:szCs w:val="22"/>
        </w:rPr>
        <w:t xml:space="preserve">However, developing new products increases operational complexity and regulatory challenges. </w:t>
      </w:r>
      <w:r w:rsidR="00765A1B" w:rsidRPr="008F4195">
        <w:rPr>
          <w:rFonts w:ascii="Arial" w:hAnsi="Arial" w:cs="Arial"/>
          <w:b/>
          <w:bCs/>
          <w:sz w:val="22"/>
          <w:szCs w:val="22"/>
        </w:rPr>
        <w:t>Oversight</w:t>
      </w:r>
      <w:r w:rsidR="00BA0B0A" w:rsidRPr="008F4195">
        <w:rPr>
          <w:rFonts w:ascii="Arial" w:hAnsi="Arial" w:cs="Arial"/>
          <w:b/>
          <w:bCs/>
          <w:sz w:val="22"/>
          <w:szCs w:val="22"/>
        </w:rPr>
        <w:t xml:space="preserve"> and risk management requirements</w:t>
      </w:r>
      <w:r w:rsidR="00BA0B0A" w:rsidRPr="008F4195">
        <w:rPr>
          <w:rFonts w:ascii="Arial" w:hAnsi="Arial" w:cs="Arial"/>
          <w:sz w:val="22"/>
          <w:szCs w:val="22"/>
        </w:rPr>
        <w:t>, especially for a non-bank lender (FCA, 2024).</w:t>
      </w:r>
    </w:p>
    <w:p w14:paraId="45A16D72" w14:textId="77777777" w:rsidR="00BA0B0A" w:rsidRPr="008F4195" w:rsidRDefault="00BA0B0A" w:rsidP="008F4195">
      <w:pPr>
        <w:spacing w:line="276" w:lineRule="auto"/>
        <w:jc w:val="both"/>
        <w:rPr>
          <w:rFonts w:ascii="Arial" w:hAnsi="Arial" w:cs="Arial"/>
          <w:b/>
          <w:bCs/>
          <w:sz w:val="22"/>
          <w:szCs w:val="22"/>
        </w:rPr>
      </w:pPr>
      <w:r w:rsidRPr="008F4195">
        <w:rPr>
          <w:rFonts w:ascii="Arial" w:hAnsi="Arial" w:cs="Arial"/>
          <w:b/>
          <w:bCs/>
          <w:sz w:val="22"/>
          <w:szCs w:val="22"/>
        </w:rPr>
        <w:t>3. Market development (existing products, new markets)</w:t>
      </w:r>
    </w:p>
    <w:p w14:paraId="5CF09584" w14:textId="77777777" w:rsidR="00BA0B0A" w:rsidRPr="008F4195" w:rsidRDefault="00BA0B0A" w:rsidP="008F4195">
      <w:pPr>
        <w:spacing w:line="276" w:lineRule="auto"/>
        <w:jc w:val="both"/>
        <w:rPr>
          <w:rFonts w:ascii="Arial" w:hAnsi="Arial" w:cs="Arial"/>
          <w:sz w:val="22"/>
          <w:szCs w:val="22"/>
        </w:rPr>
      </w:pPr>
      <w:r w:rsidRPr="008F4195">
        <w:rPr>
          <w:rFonts w:ascii="Arial" w:hAnsi="Arial" w:cs="Arial"/>
          <w:sz w:val="22"/>
          <w:szCs w:val="22"/>
        </w:rPr>
        <w:t xml:space="preserve">Market development involves offering </w:t>
      </w:r>
      <w:proofErr w:type="spellStart"/>
      <w:r w:rsidRPr="008F4195">
        <w:rPr>
          <w:rFonts w:ascii="Arial" w:hAnsi="Arial" w:cs="Arial"/>
          <w:sz w:val="22"/>
          <w:szCs w:val="22"/>
        </w:rPr>
        <w:t>Fleximize’s</w:t>
      </w:r>
      <w:proofErr w:type="spellEnd"/>
      <w:r w:rsidRPr="008F4195">
        <w:rPr>
          <w:rFonts w:ascii="Arial" w:hAnsi="Arial" w:cs="Arial"/>
          <w:sz w:val="22"/>
          <w:szCs w:val="22"/>
        </w:rPr>
        <w:t xml:space="preserve"> existing loan products to new geographic or customer segments. This could include:</w:t>
      </w:r>
    </w:p>
    <w:p w14:paraId="14A4C066" w14:textId="77777777" w:rsidR="00BA0B0A" w:rsidRPr="008F4195" w:rsidRDefault="00BA0B0A" w:rsidP="008F4195">
      <w:pPr>
        <w:spacing w:line="276" w:lineRule="auto"/>
        <w:jc w:val="both"/>
        <w:rPr>
          <w:rFonts w:ascii="Arial" w:hAnsi="Arial" w:cs="Arial"/>
          <w:sz w:val="22"/>
          <w:szCs w:val="22"/>
        </w:rPr>
      </w:pPr>
      <w:r w:rsidRPr="008F4195">
        <w:rPr>
          <w:rFonts w:ascii="Arial" w:hAnsi="Arial" w:cs="Arial"/>
          <w:sz w:val="22"/>
          <w:szCs w:val="22"/>
        </w:rPr>
        <w:t xml:space="preserve">Expansion into </w:t>
      </w:r>
      <w:r w:rsidRPr="008F4195">
        <w:rPr>
          <w:rFonts w:ascii="Arial" w:hAnsi="Arial" w:cs="Arial"/>
          <w:b/>
          <w:bCs/>
          <w:sz w:val="22"/>
          <w:szCs w:val="22"/>
        </w:rPr>
        <w:t>Northern Europe or Ireland</w:t>
      </w:r>
    </w:p>
    <w:p w14:paraId="0F75BB8F" w14:textId="77777777" w:rsidR="00BA0B0A" w:rsidRPr="008F4195" w:rsidRDefault="00BA0B0A" w:rsidP="008F4195">
      <w:pPr>
        <w:spacing w:line="276" w:lineRule="auto"/>
        <w:jc w:val="both"/>
        <w:rPr>
          <w:rFonts w:ascii="Arial" w:hAnsi="Arial" w:cs="Arial"/>
          <w:sz w:val="22"/>
          <w:szCs w:val="22"/>
        </w:rPr>
      </w:pPr>
      <w:r w:rsidRPr="008F4195">
        <w:rPr>
          <w:rFonts w:ascii="Arial" w:hAnsi="Arial" w:cs="Arial"/>
          <w:sz w:val="22"/>
          <w:szCs w:val="22"/>
        </w:rPr>
        <w:t xml:space="preserve">Targeting </w:t>
      </w:r>
      <w:r w:rsidRPr="008F4195">
        <w:rPr>
          <w:rFonts w:ascii="Arial" w:hAnsi="Arial" w:cs="Arial"/>
          <w:b/>
          <w:bCs/>
          <w:sz w:val="22"/>
          <w:szCs w:val="22"/>
        </w:rPr>
        <w:t>micro-SMEs, freelancers, or sole traders</w:t>
      </w:r>
    </w:p>
    <w:p w14:paraId="32A920C3" w14:textId="77777777" w:rsidR="00BA0B0A" w:rsidRPr="008F4195" w:rsidRDefault="00BA0B0A" w:rsidP="008F4195">
      <w:pPr>
        <w:spacing w:line="276" w:lineRule="auto"/>
        <w:jc w:val="both"/>
        <w:rPr>
          <w:rFonts w:ascii="Arial" w:hAnsi="Arial" w:cs="Arial"/>
          <w:sz w:val="22"/>
          <w:szCs w:val="22"/>
        </w:rPr>
      </w:pPr>
      <w:r w:rsidRPr="008F4195">
        <w:rPr>
          <w:rFonts w:ascii="Arial" w:hAnsi="Arial" w:cs="Arial"/>
          <w:sz w:val="22"/>
          <w:szCs w:val="22"/>
        </w:rPr>
        <w:t>Serving specific underbanked sectors (e.g., hospitality, care, creative industries)</w:t>
      </w:r>
    </w:p>
    <w:p w14:paraId="37FC179F" w14:textId="4E78A900" w:rsidR="00BA0B0A" w:rsidRPr="008F4195" w:rsidRDefault="00BA0B0A" w:rsidP="008F4195">
      <w:pPr>
        <w:spacing w:line="276" w:lineRule="auto"/>
        <w:jc w:val="both"/>
        <w:rPr>
          <w:rFonts w:ascii="Arial" w:hAnsi="Arial" w:cs="Arial"/>
          <w:sz w:val="22"/>
          <w:szCs w:val="22"/>
        </w:rPr>
      </w:pPr>
      <w:r w:rsidRPr="008F4195">
        <w:rPr>
          <w:rFonts w:ascii="Arial" w:hAnsi="Arial" w:cs="Arial"/>
          <w:sz w:val="22"/>
          <w:szCs w:val="22"/>
        </w:rPr>
        <w:lastRenderedPageBreak/>
        <w:t xml:space="preserve">The UK SME lending market is mature, while other European SME markets remain </w:t>
      </w:r>
      <w:r w:rsidRPr="008F4195">
        <w:rPr>
          <w:rFonts w:ascii="Arial" w:hAnsi="Arial" w:cs="Arial"/>
          <w:b/>
          <w:bCs/>
          <w:sz w:val="22"/>
          <w:szCs w:val="22"/>
        </w:rPr>
        <w:t>bank-</w:t>
      </w:r>
      <w:r w:rsidR="00146039" w:rsidRPr="008F4195">
        <w:rPr>
          <w:rFonts w:ascii="Arial" w:hAnsi="Arial" w:cs="Arial"/>
          <w:b/>
          <w:bCs/>
          <w:sz w:val="22"/>
          <w:szCs w:val="22"/>
        </w:rPr>
        <w:t>dominated and underserved, fostering an opportunity for digital lenders (OECD, 2023).</w:t>
      </w:r>
      <w:r w:rsidR="00CB3AED" w:rsidRPr="008F4195">
        <w:rPr>
          <w:rFonts w:ascii="Arial" w:hAnsi="Arial" w:cs="Arial"/>
          <w:b/>
          <w:bCs/>
          <w:sz w:val="22"/>
          <w:szCs w:val="22"/>
        </w:rPr>
        <w:t xml:space="preserve"> </w:t>
      </w:r>
      <w:r w:rsidRPr="008F4195">
        <w:rPr>
          <w:rFonts w:ascii="Arial" w:hAnsi="Arial" w:cs="Arial"/>
          <w:sz w:val="22"/>
          <w:szCs w:val="22"/>
        </w:rPr>
        <w:t xml:space="preserve">However, geographic expansion brings </w:t>
      </w:r>
      <w:r w:rsidRPr="008F4195">
        <w:rPr>
          <w:rFonts w:ascii="Arial" w:hAnsi="Arial" w:cs="Arial"/>
          <w:b/>
          <w:bCs/>
          <w:sz w:val="22"/>
          <w:szCs w:val="22"/>
        </w:rPr>
        <w:t>regulatory, legal, and funding risks</w:t>
      </w:r>
      <w:r w:rsidRPr="008F4195">
        <w:rPr>
          <w:rFonts w:ascii="Arial" w:hAnsi="Arial" w:cs="Arial"/>
          <w:sz w:val="22"/>
          <w:szCs w:val="22"/>
        </w:rPr>
        <w:t>, as lending regulations differ significantly across jurisdictions (Johnson et al., 2020).</w:t>
      </w:r>
    </w:p>
    <w:p w14:paraId="6A1B2F84" w14:textId="77777777" w:rsidR="00BA0B0A" w:rsidRPr="008F4195" w:rsidRDefault="00BA0B0A" w:rsidP="008F4195">
      <w:pPr>
        <w:spacing w:line="276" w:lineRule="auto"/>
        <w:jc w:val="both"/>
        <w:rPr>
          <w:rFonts w:ascii="Arial" w:hAnsi="Arial" w:cs="Arial"/>
          <w:b/>
          <w:bCs/>
          <w:sz w:val="22"/>
          <w:szCs w:val="22"/>
        </w:rPr>
      </w:pPr>
      <w:r w:rsidRPr="008F4195">
        <w:rPr>
          <w:rFonts w:ascii="Arial" w:hAnsi="Arial" w:cs="Arial"/>
          <w:b/>
          <w:bCs/>
          <w:sz w:val="22"/>
          <w:szCs w:val="22"/>
        </w:rPr>
        <w:t>4. Diversification (new products, new markets)</w:t>
      </w:r>
    </w:p>
    <w:p w14:paraId="2FFAD490" w14:textId="77777777" w:rsidR="00BA0B0A" w:rsidRPr="008F4195" w:rsidRDefault="00BA0B0A" w:rsidP="008F4195">
      <w:pPr>
        <w:spacing w:line="276" w:lineRule="auto"/>
        <w:jc w:val="both"/>
        <w:rPr>
          <w:rFonts w:ascii="Arial" w:hAnsi="Arial" w:cs="Arial"/>
          <w:sz w:val="22"/>
          <w:szCs w:val="22"/>
        </w:rPr>
      </w:pPr>
      <w:r w:rsidRPr="008F4195">
        <w:rPr>
          <w:rFonts w:ascii="Arial" w:hAnsi="Arial" w:cs="Arial"/>
          <w:sz w:val="22"/>
          <w:szCs w:val="22"/>
        </w:rPr>
        <w:t>Diversification is the riskiest strategy, involving entry into entirely new products and markets, such as consumer lending, embedded finance, or non-lending financial services.</w:t>
      </w:r>
    </w:p>
    <w:p w14:paraId="44B96A95" w14:textId="6FEDA0CD" w:rsidR="00BA0B0A" w:rsidRPr="008F4195" w:rsidRDefault="00BA0B0A" w:rsidP="008F4195">
      <w:pPr>
        <w:spacing w:line="276" w:lineRule="auto"/>
        <w:jc w:val="both"/>
        <w:rPr>
          <w:rFonts w:ascii="Arial" w:hAnsi="Arial" w:cs="Arial"/>
          <w:sz w:val="22"/>
          <w:szCs w:val="22"/>
        </w:rPr>
      </w:pPr>
      <w:r w:rsidRPr="008F4195">
        <w:rPr>
          <w:rFonts w:ascii="Arial" w:hAnsi="Arial" w:cs="Arial"/>
          <w:sz w:val="22"/>
          <w:szCs w:val="22"/>
        </w:rPr>
        <w:t xml:space="preserve">Given increased regulatory scrutiny of SME lending conduct and personal guarantees (FCA, 2024), diversification could distract management and dilute </w:t>
      </w:r>
      <w:proofErr w:type="spellStart"/>
      <w:r w:rsidRPr="008F4195">
        <w:rPr>
          <w:rFonts w:ascii="Arial" w:hAnsi="Arial" w:cs="Arial"/>
          <w:sz w:val="22"/>
          <w:szCs w:val="22"/>
        </w:rPr>
        <w:t>Fleximize’s</w:t>
      </w:r>
      <w:proofErr w:type="spellEnd"/>
      <w:r w:rsidRPr="008F4195">
        <w:rPr>
          <w:rFonts w:ascii="Arial" w:hAnsi="Arial" w:cs="Arial"/>
          <w:sz w:val="22"/>
          <w:szCs w:val="22"/>
        </w:rPr>
        <w:t xml:space="preserve"> core competencies</w:t>
      </w:r>
      <w:r w:rsidR="00BF055D" w:rsidRPr="008F4195">
        <w:rPr>
          <w:rFonts w:ascii="Arial" w:hAnsi="Arial" w:cs="Arial"/>
          <w:sz w:val="22"/>
          <w:szCs w:val="22"/>
        </w:rPr>
        <w:t>.</w:t>
      </w:r>
    </w:p>
    <w:p w14:paraId="3978A8D6" w14:textId="77777777" w:rsidR="00ED671F" w:rsidRPr="008F4195" w:rsidRDefault="00ED671F" w:rsidP="008F4195">
      <w:pPr>
        <w:spacing w:line="276" w:lineRule="auto"/>
        <w:jc w:val="both"/>
        <w:rPr>
          <w:rFonts w:ascii="Arial" w:hAnsi="Arial" w:cs="Arial"/>
          <w:b/>
          <w:bCs/>
          <w:sz w:val="22"/>
          <w:szCs w:val="22"/>
        </w:rPr>
      </w:pPr>
    </w:p>
    <w:p w14:paraId="32C3D9A9" w14:textId="77777777" w:rsidR="00ED671F" w:rsidRPr="008F4195" w:rsidRDefault="00ED671F" w:rsidP="008F4195">
      <w:pPr>
        <w:spacing w:line="276" w:lineRule="auto"/>
        <w:jc w:val="both"/>
        <w:rPr>
          <w:rFonts w:ascii="Arial" w:hAnsi="Arial" w:cs="Arial"/>
          <w:b/>
          <w:bCs/>
          <w:sz w:val="22"/>
          <w:szCs w:val="22"/>
        </w:rPr>
      </w:pPr>
    </w:p>
    <w:p w14:paraId="2C0449E2" w14:textId="64F1FEAB" w:rsidR="00BA0B0A" w:rsidRPr="008F4195" w:rsidRDefault="00BA0B0A" w:rsidP="008F4195">
      <w:pPr>
        <w:spacing w:line="276" w:lineRule="auto"/>
        <w:jc w:val="both"/>
        <w:rPr>
          <w:rFonts w:ascii="Arial" w:hAnsi="Arial" w:cs="Arial"/>
          <w:b/>
          <w:bCs/>
          <w:sz w:val="22"/>
          <w:szCs w:val="22"/>
        </w:rPr>
      </w:pPr>
      <w:r w:rsidRPr="008F4195">
        <w:rPr>
          <w:rFonts w:ascii="Arial" w:hAnsi="Arial" w:cs="Arial"/>
          <w:b/>
          <w:bCs/>
          <w:sz w:val="22"/>
          <w:szCs w:val="22"/>
        </w:rPr>
        <w:t>Proposed sustainable growth strategy: Product development through data-driven, sustainability-linked SME finance</w:t>
      </w:r>
    </w:p>
    <w:p w14:paraId="3B933945" w14:textId="77777777" w:rsidR="00BA0B0A" w:rsidRPr="008F4195" w:rsidRDefault="00BA0B0A" w:rsidP="008F4195">
      <w:pPr>
        <w:spacing w:line="276" w:lineRule="auto"/>
        <w:jc w:val="both"/>
        <w:rPr>
          <w:rFonts w:ascii="Arial" w:hAnsi="Arial" w:cs="Arial"/>
          <w:sz w:val="22"/>
          <w:szCs w:val="22"/>
        </w:rPr>
      </w:pPr>
      <w:r w:rsidRPr="008F4195">
        <w:rPr>
          <w:rFonts w:ascii="Arial" w:hAnsi="Arial" w:cs="Arial"/>
          <w:sz w:val="22"/>
          <w:szCs w:val="22"/>
        </w:rPr>
        <w:t xml:space="preserve">The most sustainable long-term strategy for Fleximize is </w:t>
      </w:r>
      <w:r w:rsidRPr="008F4195">
        <w:rPr>
          <w:rFonts w:ascii="Arial" w:hAnsi="Arial" w:cs="Arial"/>
          <w:b/>
          <w:bCs/>
          <w:sz w:val="22"/>
          <w:szCs w:val="22"/>
        </w:rPr>
        <w:t>product development</w:t>
      </w:r>
      <w:r w:rsidRPr="008F4195">
        <w:rPr>
          <w:rFonts w:ascii="Arial" w:hAnsi="Arial" w:cs="Arial"/>
          <w:sz w:val="22"/>
          <w:szCs w:val="22"/>
        </w:rPr>
        <w:t>, supported by selective market development over time.</w:t>
      </w:r>
    </w:p>
    <w:p w14:paraId="1A08E190" w14:textId="77777777" w:rsidR="00BA0B0A" w:rsidRPr="008F4195" w:rsidRDefault="00BA0B0A" w:rsidP="008F4195">
      <w:pPr>
        <w:spacing w:line="276" w:lineRule="auto"/>
        <w:jc w:val="both"/>
        <w:rPr>
          <w:rFonts w:ascii="Arial" w:hAnsi="Arial" w:cs="Arial"/>
          <w:b/>
          <w:bCs/>
          <w:sz w:val="22"/>
          <w:szCs w:val="22"/>
        </w:rPr>
      </w:pPr>
      <w:r w:rsidRPr="008F4195">
        <w:rPr>
          <w:rFonts w:ascii="Arial" w:hAnsi="Arial" w:cs="Arial"/>
          <w:b/>
          <w:bCs/>
          <w:sz w:val="22"/>
          <w:szCs w:val="22"/>
        </w:rPr>
        <w:t>Strategy outline</w:t>
      </w:r>
    </w:p>
    <w:p w14:paraId="61C20E74" w14:textId="77777777" w:rsidR="00BA0B0A" w:rsidRPr="008F4195" w:rsidRDefault="00BA0B0A" w:rsidP="008F4195">
      <w:pPr>
        <w:spacing w:line="276" w:lineRule="auto"/>
        <w:jc w:val="both"/>
        <w:rPr>
          <w:rFonts w:ascii="Arial" w:hAnsi="Arial" w:cs="Arial"/>
          <w:sz w:val="22"/>
          <w:szCs w:val="22"/>
        </w:rPr>
      </w:pPr>
      <w:r w:rsidRPr="008F4195">
        <w:rPr>
          <w:rFonts w:ascii="Arial" w:hAnsi="Arial" w:cs="Arial"/>
          <w:sz w:val="22"/>
          <w:szCs w:val="22"/>
        </w:rPr>
        <w:t xml:space="preserve">Fleximize should introduce </w:t>
      </w:r>
      <w:r w:rsidRPr="008F4195">
        <w:rPr>
          <w:rFonts w:ascii="Arial" w:hAnsi="Arial" w:cs="Arial"/>
          <w:b/>
          <w:bCs/>
          <w:sz w:val="22"/>
          <w:szCs w:val="22"/>
        </w:rPr>
        <w:t>data-driven, sustainability- and growth-linked SME lending products</w:t>
      </w:r>
      <w:r w:rsidRPr="008F4195">
        <w:rPr>
          <w:rFonts w:ascii="Arial" w:hAnsi="Arial" w:cs="Arial"/>
          <w:sz w:val="22"/>
          <w:szCs w:val="22"/>
        </w:rPr>
        <w:t xml:space="preserve"> within the UK, such as:</w:t>
      </w:r>
    </w:p>
    <w:p w14:paraId="6CB15A5F" w14:textId="77777777" w:rsidR="00BA0B0A" w:rsidRPr="008F4195" w:rsidRDefault="00BA0B0A" w:rsidP="008F4195">
      <w:pPr>
        <w:numPr>
          <w:ilvl w:val="0"/>
          <w:numId w:val="60"/>
        </w:numPr>
        <w:spacing w:line="276" w:lineRule="auto"/>
        <w:jc w:val="both"/>
        <w:rPr>
          <w:rFonts w:ascii="Arial" w:hAnsi="Arial" w:cs="Arial"/>
          <w:sz w:val="22"/>
          <w:szCs w:val="22"/>
        </w:rPr>
      </w:pPr>
      <w:r w:rsidRPr="008F4195">
        <w:rPr>
          <w:rFonts w:ascii="Arial" w:hAnsi="Arial" w:cs="Arial"/>
          <w:sz w:val="22"/>
          <w:szCs w:val="22"/>
        </w:rPr>
        <w:t xml:space="preserve">Loans with </w:t>
      </w:r>
      <w:r w:rsidRPr="008F4195">
        <w:rPr>
          <w:rFonts w:ascii="Arial" w:hAnsi="Arial" w:cs="Arial"/>
          <w:b/>
          <w:bCs/>
          <w:sz w:val="22"/>
          <w:szCs w:val="22"/>
        </w:rPr>
        <w:t>pricing incentives linked to revenue growth or ESG improvements</w:t>
      </w:r>
    </w:p>
    <w:p w14:paraId="6AE4CD5E" w14:textId="77777777" w:rsidR="00BA0B0A" w:rsidRPr="008F4195" w:rsidRDefault="00BA0B0A" w:rsidP="008F4195">
      <w:pPr>
        <w:numPr>
          <w:ilvl w:val="0"/>
          <w:numId w:val="60"/>
        </w:numPr>
        <w:spacing w:line="276" w:lineRule="auto"/>
        <w:jc w:val="both"/>
        <w:rPr>
          <w:rFonts w:ascii="Arial" w:hAnsi="Arial" w:cs="Arial"/>
          <w:sz w:val="22"/>
          <w:szCs w:val="22"/>
        </w:rPr>
      </w:pPr>
      <w:r w:rsidRPr="008F4195">
        <w:rPr>
          <w:rFonts w:ascii="Arial" w:hAnsi="Arial" w:cs="Arial"/>
          <w:sz w:val="22"/>
          <w:szCs w:val="22"/>
        </w:rPr>
        <w:t>Flexible finance for energy efficiency upgrades or digital transformation</w:t>
      </w:r>
    </w:p>
    <w:p w14:paraId="66A78DDA" w14:textId="77777777" w:rsidR="00BA0B0A" w:rsidRPr="008F4195" w:rsidRDefault="00BA0B0A" w:rsidP="008F4195">
      <w:pPr>
        <w:numPr>
          <w:ilvl w:val="0"/>
          <w:numId w:val="60"/>
        </w:numPr>
        <w:spacing w:line="276" w:lineRule="auto"/>
        <w:jc w:val="both"/>
        <w:rPr>
          <w:rFonts w:ascii="Arial" w:hAnsi="Arial" w:cs="Arial"/>
          <w:sz w:val="22"/>
          <w:szCs w:val="22"/>
        </w:rPr>
      </w:pPr>
      <w:r w:rsidRPr="008F4195">
        <w:rPr>
          <w:rFonts w:ascii="Arial" w:hAnsi="Arial" w:cs="Arial"/>
          <w:sz w:val="22"/>
          <w:szCs w:val="22"/>
        </w:rPr>
        <w:t>Enhanced use of Open Banking data to personalise terms and reduce credit risk</w:t>
      </w:r>
    </w:p>
    <w:p w14:paraId="44F9C407" w14:textId="4DAE9673" w:rsidR="00BA0B0A" w:rsidRPr="008F4195" w:rsidRDefault="00BA0B0A" w:rsidP="008F4195">
      <w:pPr>
        <w:spacing w:line="276" w:lineRule="auto"/>
        <w:jc w:val="both"/>
        <w:rPr>
          <w:rFonts w:ascii="Arial" w:hAnsi="Arial" w:cs="Arial"/>
          <w:b/>
          <w:bCs/>
          <w:sz w:val="22"/>
          <w:szCs w:val="22"/>
        </w:rPr>
      </w:pPr>
      <w:r w:rsidRPr="008F4195">
        <w:rPr>
          <w:rFonts w:ascii="Arial" w:hAnsi="Arial" w:cs="Arial"/>
          <w:b/>
          <w:bCs/>
          <w:sz w:val="22"/>
          <w:szCs w:val="22"/>
        </w:rPr>
        <w:t xml:space="preserve"> </w:t>
      </w:r>
      <w:r w:rsidR="00F4243C" w:rsidRPr="008F4195">
        <w:rPr>
          <w:rFonts w:ascii="Arial" w:hAnsi="Arial" w:cs="Arial"/>
          <w:b/>
          <w:bCs/>
          <w:sz w:val="22"/>
          <w:szCs w:val="22"/>
        </w:rPr>
        <w:t>S</w:t>
      </w:r>
      <w:r w:rsidRPr="008F4195">
        <w:rPr>
          <w:rFonts w:ascii="Arial" w:hAnsi="Arial" w:cs="Arial"/>
          <w:b/>
          <w:bCs/>
          <w:sz w:val="22"/>
          <w:szCs w:val="22"/>
        </w:rPr>
        <w:t>ustainable</w:t>
      </w:r>
      <w:r w:rsidR="00F4243C" w:rsidRPr="008F4195">
        <w:rPr>
          <w:rFonts w:ascii="Arial" w:hAnsi="Arial" w:cs="Arial"/>
          <w:b/>
          <w:bCs/>
          <w:sz w:val="22"/>
          <w:szCs w:val="22"/>
        </w:rPr>
        <w:t xml:space="preserve"> strategy </w:t>
      </w:r>
    </w:p>
    <w:p w14:paraId="3CE22699" w14:textId="77777777" w:rsidR="00BA0B0A" w:rsidRPr="008F4195" w:rsidRDefault="00BA0B0A" w:rsidP="00AB57C2">
      <w:pPr>
        <w:spacing w:line="276" w:lineRule="auto"/>
        <w:rPr>
          <w:rFonts w:ascii="Arial" w:hAnsi="Arial" w:cs="Arial"/>
          <w:sz w:val="22"/>
          <w:szCs w:val="22"/>
        </w:rPr>
      </w:pPr>
      <w:r w:rsidRPr="008F4195">
        <w:rPr>
          <w:rFonts w:ascii="Arial" w:hAnsi="Arial" w:cs="Arial"/>
          <w:b/>
          <w:bCs/>
          <w:sz w:val="22"/>
          <w:szCs w:val="22"/>
        </w:rPr>
        <w:t>Strategic fit with core capabilities</w:t>
      </w:r>
      <w:r w:rsidRPr="008F4195">
        <w:rPr>
          <w:rFonts w:ascii="Arial" w:hAnsi="Arial" w:cs="Arial"/>
          <w:sz w:val="22"/>
          <w:szCs w:val="22"/>
        </w:rPr>
        <w:br/>
        <w:t>Fleximize already competes on flexibility and digital speed. Product innovation builds on existing underwriting, servicing, and SME relationships rather than stretching into unfamiliar markets (Johnson et al., 2020).</w:t>
      </w:r>
    </w:p>
    <w:p w14:paraId="4AEF7E31" w14:textId="77777777" w:rsidR="00BA0B0A" w:rsidRPr="008F4195" w:rsidRDefault="00BA0B0A" w:rsidP="00AB57C2">
      <w:pPr>
        <w:spacing w:line="276" w:lineRule="auto"/>
        <w:rPr>
          <w:rFonts w:ascii="Arial" w:hAnsi="Arial" w:cs="Arial"/>
          <w:sz w:val="22"/>
          <w:szCs w:val="22"/>
        </w:rPr>
      </w:pPr>
      <w:r w:rsidRPr="008F4195">
        <w:rPr>
          <w:rFonts w:ascii="Arial" w:hAnsi="Arial" w:cs="Arial"/>
          <w:b/>
          <w:bCs/>
          <w:sz w:val="22"/>
          <w:szCs w:val="22"/>
        </w:rPr>
        <w:t>Defensible differentiation</w:t>
      </w:r>
      <w:r w:rsidRPr="008F4195">
        <w:rPr>
          <w:rFonts w:ascii="Arial" w:hAnsi="Arial" w:cs="Arial"/>
          <w:sz w:val="22"/>
          <w:szCs w:val="22"/>
        </w:rPr>
        <w:br/>
        <w:t>As rivalry intensifies, price competition alone is unsustainable. Value-added features (flexibility, ESG-linked incentives) reduce commoditisation and strengthen customer loyalty (Porter, 2008).</w:t>
      </w:r>
    </w:p>
    <w:p w14:paraId="60C909FF" w14:textId="77777777" w:rsidR="00BA0B0A" w:rsidRPr="008F4195" w:rsidRDefault="00BA0B0A" w:rsidP="00AB57C2">
      <w:pPr>
        <w:spacing w:line="276" w:lineRule="auto"/>
        <w:rPr>
          <w:rFonts w:ascii="Arial" w:hAnsi="Arial" w:cs="Arial"/>
          <w:sz w:val="22"/>
          <w:szCs w:val="22"/>
        </w:rPr>
      </w:pPr>
      <w:r w:rsidRPr="008F4195">
        <w:rPr>
          <w:rFonts w:ascii="Arial" w:hAnsi="Arial" w:cs="Arial"/>
          <w:b/>
          <w:bCs/>
          <w:sz w:val="22"/>
          <w:szCs w:val="22"/>
        </w:rPr>
        <w:t>Alignment with regulatory and societal trends</w:t>
      </w:r>
      <w:r w:rsidRPr="008F4195">
        <w:rPr>
          <w:rFonts w:ascii="Arial" w:hAnsi="Arial" w:cs="Arial"/>
          <w:sz w:val="22"/>
          <w:szCs w:val="22"/>
        </w:rPr>
        <w:br/>
        <w:t>UK regulators emphasise fair treatment and responsible lending (FCA, 2022; FCA, 2024). Sustainability-linked products support responsible finance narratives and reduce reputational risk.</w:t>
      </w:r>
    </w:p>
    <w:p w14:paraId="1B916091" w14:textId="77777777" w:rsidR="00BA0B0A" w:rsidRPr="008F4195" w:rsidRDefault="00BA0B0A" w:rsidP="00AB57C2">
      <w:pPr>
        <w:spacing w:line="276" w:lineRule="auto"/>
        <w:rPr>
          <w:rFonts w:ascii="Arial" w:hAnsi="Arial" w:cs="Arial"/>
          <w:sz w:val="22"/>
          <w:szCs w:val="22"/>
        </w:rPr>
      </w:pPr>
      <w:r w:rsidRPr="008F4195">
        <w:rPr>
          <w:rFonts w:ascii="Arial" w:hAnsi="Arial" w:cs="Arial"/>
          <w:b/>
          <w:bCs/>
          <w:sz w:val="22"/>
          <w:szCs w:val="22"/>
        </w:rPr>
        <w:t>Improved risk-adjusted returns</w:t>
      </w:r>
      <w:r w:rsidRPr="008F4195">
        <w:rPr>
          <w:rFonts w:ascii="Arial" w:hAnsi="Arial" w:cs="Arial"/>
          <w:sz w:val="22"/>
          <w:szCs w:val="22"/>
        </w:rPr>
        <w:br/>
        <w:t>Data-rich underwriting and performance-linked pricing can improve portfolio quality while supporting viable SMEs through economic cycles (British Business Bank, 2024).</w:t>
      </w:r>
    </w:p>
    <w:p w14:paraId="5380D90C" w14:textId="3B73DA7C" w:rsidR="00653F7D" w:rsidRPr="008F4195" w:rsidRDefault="00BA0B0A" w:rsidP="00AB57C2">
      <w:pPr>
        <w:spacing w:line="276" w:lineRule="auto"/>
        <w:rPr>
          <w:rFonts w:ascii="Arial" w:hAnsi="Arial" w:cs="Arial"/>
          <w:sz w:val="22"/>
          <w:szCs w:val="22"/>
        </w:rPr>
      </w:pPr>
      <w:r w:rsidRPr="008F4195">
        <w:rPr>
          <w:rFonts w:ascii="Arial" w:hAnsi="Arial" w:cs="Arial"/>
          <w:b/>
          <w:bCs/>
          <w:sz w:val="22"/>
          <w:szCs w:val="22"/>
        </w:rPr>
        <w:lastRenderedPageBreak/>
        <w:t>Platform for future market development</w:t>
      </w:r>
      <w:r w:rsidRPr="008F4195">
        <w:rPr>
          <w:rFonts w:ascii="Arial" w:hAnsi="Arial" w:cs="Arial"/>
          <w:sz w:val="22"/>
          <w:szCs w:val="22"/>
        </w:rPr>
        <w:br/>
        <w:t>Once proven domestically, these products can be scaled into selected European markets, lowering the risk of later market development.</w:t>
      </w:r>
    </w:p>
    <w:p w14:paraId="4F583D0B" w14:textId="77777777" w:rsidR="00CB5AF4" w:rsidRDefault="00CB5AF4" w:rsidP="00540EBA"/>
    <w:p w14:paraId="1AFFF538" w14:textId="77777777" w:rsidR="00EE7FFC" w:rsidRDefault="00EE7FFC" w:rsidP="00540EBA"/>
    <w:p w14:paraId="23C0F467" w14:textId="77777777" w:rsidR="00011608" w:rsidRPr="00B675A7" w:rsidRDefault="00011608" w:rsidP="00C46AB5">
      <w:pPr>
        <w:rPr>
          <w:rFonts w:ascii="Arial" w:hAnsi="Arial" w:cs="Arial"/>
        </w:rPr>
      </w:pPr>
      <w:bookmarkStart w:id="10" w:name="_Toc216970889"/>
      <w:r w:rsidRPr="00B675A7">
        <w:rPr>
          <w:rStyle w:val="Heading1Char"/>
          <w:rFonts w:ascii="Arial" w:hAnsi="Arial" w:cs="Arial"/>
        </w:rPr>
        <w:t>6</w:t>
      </w:r>
      <w:r w:rsidR="00920682" w:rsidRPr="00B675A7">
        <w:rPr>
          <w:rStyle w:val="Heading1Char"/>
          <w:rFonts w:ascii="Arial" w:hAnsi="Arial" w:cs="Arial"/>
        </w:rPr>
        <w:t xml:space="preserve">. </w:t>
      </w:r>
      <w:r w:rsidR="00C46AB5" w:rsidRPr="00B675A7">
        <w:rPr>
          <w:rStyle w:val="Heading1Char"/>
          <w:rFonts w:ascii="Arial" w:hAnsi="Arial" w:cs="Arial"/>
        </w:rPr>
        <w:t>Stakeholder analysis and critical evaluation of expectations and power</w:t>
      </w:r>
      <w:r w:rsidR="0005069E" w:rsidRPr="00B675A7">
        <w:rPr>
          <w:rStyle w:val="Heading1Char"/>
          <w:rFonts w:ascii="Arial" w:hAnsi="Arial" w:cs="Arial"/>
        </w:rPr>
        <w:t>.</w:t>
      </w:r>
      <w:bookmarkEnd w:id="10"/>
      <w:r w:rsidR="00C46AB5" w:rsidRPr="00B675A7">
        <w:rPr>
          <w:rFonts w:ascii="Arial" w:hAnsi="Arial" w:cs="Arial"/>
        </w:rPr>
        <w:t xml:space="preserve"> </w:t>
      </w:r>
    </w:p>
    <w:p w14:paraId="304E2432" w14:textId="29C272F5" w:rsidR="00C46AB5" w:rsidRPr="00CE6C5F" w:rsidRDefault="00C46AB5" w:rsidP="00CE6C5F">
      <w:pPr>
        <w:spacing w:line="276" w:lineRule="auto"/>
        <w:jc w:val="both"/>
        <w:rPr>
          <w:rFonts w:ascii="Arial" w:hAnsi="Arial" w:cs="Arial"/>
          <w:b/>
          <w:bCs/>
          <w:sz w:val="22"/>
          <w:szCs w:val="22"/>
        </w:rPr>
      </w:pPr>
      <w:r w:rsidRPr="00CE6C5F">
        <w:rPr>
          <w:rFonts w:ascii="Arial" w:hAnsi="Arial" w:cs="Arial"/>
          <w:sz w:val="22"/>
          <w:szCs w:val="22"/>
        </w:rPr>
        <w:t xml:space="preserve">Stakeholders are individuals or groups that can affect or are affected by the achievement of organisational objectives (Johnson et al., 2017). A structured stakeholder analysis helps managers understand differing expectations, assess stakeholder power, and identify a strategic option that is </w:t>
      </w:r>
      <w:r w:rsidRPr="00CE6C5F">
        <w:rPr>
          <w:rFonts w:ascii="Arial" w:hAnsi="Arial" w:cs="Arial"/>
          <w:b/>
          <w:bCs/>
          <w:sz w:val="22"/>
          <w:szCs w:val="22"/>
        </w:rPr>
        <w:t>suitable, feasible and acceptable (SAF)</w:t>
      </w:r>
      <w:r w:rsidRPr="00CE6C5F">
        <w:rPr>
          <w:rFonts w:ascii="Arial" w:hAnsi="Arial" w:cs="Arial"/>
          <w:sz w:val="22"/>
          <w:szCs w:val="22"/>
        </w:rPr>
        <w:t>.</w:t>
      </w:r>
    </w:p>
    <w:p w14:paraId="40CF6CAD" w14:textId="77777777" w:rsidR="00C46AB5" w:rsidRPr="00CE6C5F" w:rsidRDefault="00C46AB5" w:rsidP="00CE6C5F">
      <w:pPr>
        <w:spacing w:line="276" w:lineRule="auto"/>
        <w:jc w:val="both"/>
        <w:rPr>
          <w:rFonts w:ascii="Arial" w:hAnsi="Arial" w:cs="Arial"/>
          <w:b/>
          <w:bCs/>
          <w:sz w:val="22"/>
          <w:szCs w:val="22"/>
        </w:rPr>
      </w:pPr>
      <w:r w:rsidRPr="00CE6C5F">
        <w:rPr>
          <w:rFonts w:ascii="Arial" w:hAnsi="Arial" w:cs="Arial"/>
          <w:b/>
          <w:bCs/>
          <w:sz w:val="22"/>
          <w:szCs w:val="22"/>
        </w:rPr>
        <w:t>Identification of key stakeholders</w:t>
      </w:r>
    </w:p>
    <w:p w14:paraId="708912DE" w14:textId="5D34ABED" w:rsidR="00C46AB5" w:rsidRPr="00CE6C5F" w:rsidRDefault="00C46AB5" w:rsidP="00CE6C5F">
      <w:pPr>
        <w:spacing w:line="276" w:lineRule="auto"/>
        <w:jc w:val="both"/>
        <w:rPr>
          <w:rFonts w:ascii="Arial" w:hAnsi="Arial" w:cs="Arial"/>
          <w:sz w:val="22"/>
          <w:szCs w:val="22"/>
        </w:rPr>
      </w:pPr>
      <w:r w:rsidRPr="00CE6C5F">
        <w:rPr>
          <w:rFonts w:ascii="Arial" w:hAnsi="Arial" w:cs="Arial"/>
          <w:sz w:val="22"/>
          <w:szCs w:val="22"/>
        </w:rPr>
        <w:t xml:space="preserve">For most strategic change initiatives, the key stakeholders include shareholders, the board of directors, senior management, employees, customers, regulators, and suppliers. </w:t>
      </w:r>
    </w:p>
    <w:p w14:paraId="55A5CFAD" w14:textId="77777777" w:rsidR="00C46AB5" w:rsidRPr="00CE6C5F" w:rsidRDefault="00C46AB5" w:rsidP="00CE6C5F">
      <w:pPr>
        <w:spacing w:line="276" w:lineRule="auto"/>
        <w:jc w:val="both"/>
        <w:rPr>
          <w:rFonts w:ascii="Arial" w:hAnsi="Arial" w:cs="Arial"/>
          <w:b/>
          <w:bCs/>
          <w:sz w:val="22"/>
          <w:szCs w:val="22"/>
        </w:rPr>
      </w:pPr>
      <w:r w:rsidRPr="00CE6C5F">
        <w:rPr>
          <w:rFonts w:ascii="Arial" w:hAnsi="Arial" w:cs="Arial"/>
          <w:b/>
          <w:bCs/>
          <w:sz w:val="22"/>
          <w:szCs w:val="22"/>
        </w:rPr>
        <w:t>Stakeholder expectations and relative power</w:t>
      </w:r>
    </w:p>
    <w:p w14:paraId="551CF198" w14:textId="3622DDBC" w:rsidR="00C46AB5" w:rsidRPr="00CE6C5F" w:rsidRDefault="00C46AB5" w:rsidP="00CE6C5F">
      <w:pPr>
        <w:spacing w:line="276" w:lineRule="auto"/>
        <w:jc w:val="both"/>
        <w:rPr>
          <w:rFonts w:ascii="Arial" w:hAnsi="Arial" w:cs="Arial"/>
          <w:sz w:val="22"/>
          <w:szCs w:val="22"/>
        </w:rPr>
      </w:pPr>
      <w:r w:rsidRPr="00CE6C5F">
        <w:rPr>
          <w:rFonts w:ascii="Arial" w:hAnsi="Arial" w:cs="Arial"/>
          <w:b/>
          <w:bCs/>
          <w:sz w:val="22"/>
          <w:szCs w:val="22"/>
        </w:rPr>
        <w:t>Shareholders and the board of directors</w:t>
      </w:r>
      <w:r w:rsidRPr="00CE6C5F">
        <w:rPr>
          <w:rFonts w:ascii="Arial" w:hAnsi="Arial" w:cs="Arial"/>
          <w:sz w:val="22"/>
          <w:szCs w:val="22"/>
        </w:rPr>
        <w:t xml:space="preserve"> are high-power stakeholders due to their formal authority over governance, investment approval, and executive appointments. Their primary expectation is long-term value creation, risk management, and strategic alignment with organisational objectives (Johnson et al., 2017). </w:t>
      </w:r>
    </w:p>
    <w:p w14:paraId="526D3493" w14:textId="72A148B0" w:rsidR="00C46AB5" w:rsidRPr="00CE6C5F" w:rsidRDefault="00C46AB5" w:rsidP="00CE6C5F">
      <w:pPr>
        <w:spacing w:line="276" w:lineRule="auto"/>
        <w:jc w:val="both"/>
        <w:rPr>
          <w:rFonts w:ascii="Arial" w:hAnsi="Arial" w:cs="Arial"/>
          <w:sz w:val="22"/>
          <w:szCs w:val="22"/>
        </w:rPr>
      </w:pPr>
      <w:r w:rsidRPr="00CE6C5F">
        <w:rPr>
          <w:rFonts w:ascii="Arial" w:hAnsi="Arial" w:cs="Arial"/>
          <w:b/>
          <w:bCs/>
          <w:sz w:val="22"/>
          <w:szCs w:val="22"/>
        </w:rPr>
        <w:t>Senior management</w:t>
      </w:r>
      <w:r w:rsidRPr="00CE6C5F">
        <w:rPr>
          <w:rFonts w:ascii="Arial" w:hAnsi="Arial" w:cs="Arial"/>
          <w:sz w:val="22"/>
          <w:szCs w:val="22"/>
        </w:rPr>
        <w:t xml:space="preserve"> also holds high power and high interest, as they are responsible for translating strategy into operational reality. Their expectations include clarity of strategic direction, availability of resources, and organisational capability to implement change effectively (PMI, 2021). </w:t>
      </w:r>
    </w:p>
    <w:p w14:paraId="4286DBDF" w14:textId="259FAC7D" w:rsidR="00C46AB5" w:rsidRPr="00CE6C5F" w:rsidRDefault="00C46AB5" w:rsidP="00CE6C5F">
      <w:pPr>
        <w:spacing w:line="276" w:lineRule="auto"/>
        <w:jc w:val="both"/>
        <w:rPr>
          <w:rFonts w:ascii="Arial" w:hAnsi="Arial" w:cs="Arial"/>
          <w:sz w:val="22"/>
          <w:szCs w:val="22"/>
        </w:rPr>
      </w:pPr>
      <w:r w:rsidRPr="00CE6C5F">
        <w:rPr>
          <w:rFonts w:ascii="Arial" w:hAnsi="Arial" w:cs="Arial"/>
          <w:b/>
          <w:bCs/>
          <w:sz w:val="22"/>
          <w:szCs w:val="22"/>
        </w:rPr>
        <w:t>Employees and middle managers</w:t>
      </w:r>
      <w:r w:rsidRPr="00CE6C5F">
        <w:rPr>
          <w:rFonts w:ascii="Arial" w:hAnsi="Arial" w:cs="Arial"/>
          <w:sz w:val="22"/>
          <w:szCs w:val="22"/>
        </w:rPr>
        <w:t xml:space="preserve"> generally have medium formal power but </w:t>
      </w:r>
      <w:r w:rsidR="005B26ED" w:rsidRPr="00CE6C5F">
        <w:rPr>
          <w:rFonts w:ascii="Arial" w:hAnsi="Arial" w:cs="Arial"/>
          <w:sz w:val="22"/>
          <w:szCs w:val="22"/>
        </w:rPr>
        <w:t>strong</w:t>
      </w:r>
      <w:r w:rsidRPr="00CE6C5F">
        <w:rPr>
          <w:rFonts w:ascii="Arial" w:hAnsi="Arial" w:cs="Arial"/>
          <w:sz w:val="22"/>
          <w:szCs w:val="22"/>
        </w:rPr>
        <w:t xml:space="preserve"> collective influence, particularly in implementation-heavy strategies. Their expectations centre on job security, fair treatment, training, and manageable workloads. Research highlights that resistance from employees can significantly undermine feasibility, making their support critical for successful strategy execution (Bourne, 2016).</w:t>
      </w:r>
    </w:p>
    <w:p w14:paraId="4AADC623" w14:textId="77777777" w:rsidR="00C46AB5" w:rsidRPr="00CE6C5F" w:rsidRDefault="00C46AB5" w:rsidP="00CE6C5F">
      <w:pPr>
        <w:spacing w:line="276" w:lineRule="auto"/>
        <w:jc w:val="both"/>
        <w:rPr>
          <w:rFonts w:ascii="Arial" w:hAnsi="Arial" w:cs="Arial"/>
          <w:sz w:val="22"/>
          <w:szCs w:val="22"/>
        </w:rPr>
      </w:pPr>
      <w:r w:rsidRPr="00CE6C5F">
        <w:rPr>
          <w:rFonts w:ascii="Arial" w:hAnsi="Arial" w:cs="Arial"/>
          <w:b/>
          <w:bCs/>
          <w:sz w:val="22"/>
          <w:szCs w:val="22"/>
        </w:rPr>
        <w:t>Customers</w:t>
      </w:r>
      <w:r w:rsidRPr="00CE6C5F">
        <w:rPr>
          <w:rFonts w:ascii="Arial" w:hAnsi="Arial" w:cs="Arial"/>
          <w:sz w:val="22"/>
          <w:szCs w:val="22"/>
        </w:rPr>
        <w:t xml:space="preserve"> typically hold medium power but high interest. Their expectations relate to product or service quality, value for money, data protection, and ethical behaviour. In competitive or highly transparent markets, customer dissatisfaction can quickly damage organisational reputation and revenue, making customer acceptance crucial for strategic suitability (Pedrini and Ferri, 2018).</w:t>
      </w:r>
    </w:p>
    <w:p w14:paraId="07971B8A" w14:textId="77777777" w:rsidR="00C46AB5" w:rsidRPr="00CE6C5F" w:rsidRDefault="00C46AB5" w:rsidP="00CE6C5F">
      <w:pPr>
        <w:spacing w:line="276" w:lineRule="auto"/>
        <w:jc w:val="both"/>
        <w:rPr>
          <w:rFonts w:ascii="Arial" w:hAnsi="Arial" w:cs="Arial"/>
          <w:sz w:val="22"/>
          <w:szCs w:val="22"/>
        </w:rPr>
      </w:pPr>
      <w:r w:rsidRPr="00CE6C5F">
        <w:rPr>
          <w:rFonts w:ascii="Arial" w:hAnsi="Arial" w:cs="Arial"/>
          <w:b/>
          <w:bCs/>
          <w:sz w:val="22"/>
          <w:szCs w:val="22"/>
        </w:rPr>
        <w:t>Regulators and auditors</w:t>
      </w:r>
      <w:r w:rsidRPr="00CE6C5F">
        <w:rPr>
          <w:rFonts w:ascii="Arial" w:hAnsi="Arial" w:cs="Arial"/>
          <w:sz w:val="22"/>
          <w:szCs w:val="22"/>
        </w:rPr>
        <w:t xml:space="preserve"> are high-power stakeholders, particularly in regulated sectors such as finance, healthcare, and energy. Their expectations focus on compliance, transparency, and risk control. A strategy that fails to meet regulatory requirements may be infeasible regardless of its market potential (ISO, 2020).</w:t>
      </w:r>
    </w:p>
    <w:p w14:paraId="4B08230C" w14:textId="77777777" w:rsidR="00C46AB5" w:rsidRPr="00CE6C5F" w:rsidRDefault="00C46AB5" w:rsidP="00CE6C5F">
      <w:pPr>
        <w:spacing w:line="276" w:lineRule="auto"/>
        <w:jc w:val="both"/>
        <w:rPr>
          <w:rFonts w:ascii="Arial" w:hAnsi="Arial" w:cs="Arial"/>
          <w:sz w:val="22"/>
          <w:szCs w:val="22"/>
        </w:rPr>
      </w:pPr>
      <w:r w:rsidRPr="00CE6C5F">
        <w:rPr>
          <w:rFonts w:ascii="Arial" w:hAnsi="Arial" w:cs="Arial"/>
          <w:b/>
          <w:bCs/>
          <w:sz w:val="22"/>
          <w:szCs w:val="22"/>
        </w:rPr>
        <w:lastRenderedPageBreak/>
        <w:t>Suppliers and strategic partners</w:t>
      </w:r>
      <w:r w:rsidRPr="00CE6C5F">
        <w:rPr>
          <w:rFonts w:ascii="Arial" w:hAnsi="Arial" w:cs="Arial"/>
          <w:sz w:val="22"/>
          <w:szCs w:val="22"/>
        </w:rPr>
        <w:t xml:space="preserve"> usually have medium power, which can increase where there is dependency on specialist knowledge or technology. Their expectations include stable contracts, clear requirements, and long-term collaboration, influencing the feasibility of strategic options (PMI, 2021).</w:t>
      </w:r>
    </w:p>
    <w:p w14:paraId="123559C1" w14:textId="4ECD454E" w:rsidR="00C46AB5" w:rsidRPr="00CE6C5F" w:rsidRDefault="00C46AB5" w:rsidP="00CE6C5F">
      <w:pPr>
        <w:spacing w:line="276" w:lineRule="auto"/>
        <w:jc w:val="both"/>
        <w:rPr>
          <w:rFonts w:ascii="Arial" w:hAnsi="Arial" w:cs="Arial"/>
          <w:b/>
          <w:bCs/>
          <w:sz w:val="22"/>
          <w:szCs w:val="22"/>
        </w:rPr>
      </w:pPr>
      <w:r w:rsidRPr="00CE6C5F">
        <w:rPr>
          <w:rFonts w:ascii="Arial" w:hAnsi="Arial" w:cs="Arial"/>
          <w:b/>
          <w:bCs/>
          <w:sz w:val="22"/>
          <w:szCs w:val="22"/>
        </w:rPr>
        <w:t xml:space="preserve">Evaluation of stakeholders </w:t>
      </w:r>
    </w:p>
    <w:p w14:paraId="23C10526" w14:textId="5B20FC07" w:rsidR="00C46AB5" w:rsidRPr="00CE6C5F" w:rsidRDefault="00A94B3D" w:rsidP="00CE6C5F">
      <w:pPr>
        <w:spacing w:line="276" w:lineRule="auto"/>
        <w:jc w:val="both"/>
        <w:rPr>
          <w:rFonts w:ascii="Arial" w:hAnsi="Arial" w:cs="Arial"/>
          <w:sz w:val="22"/>
          <w:szCs w:val="22"/>
        </w:rPr>
      </w:pPr>
      <w:r w:rsidRPr="00CE6C5F">
        <w:rPr>
          <w:rFonts w:ascii="Arial" w:hAnsi="Arial" w:cs="Arial"/>
          <w:sz w:val="22"/>
          <w:szCs w:val="22"/>
        </w:rPr>
        <w:t>When stakeholder expectations clash, the SAF framework offers a systematic way to evaluate strategic options. Suitability requires that the strategy aligns with environmental conditions and stakeholder legitimacy, especially customer and regulatory expectations (Johnson et al., 2017). Feasibility depends on whether the organisation has the resources, capabilities, and stakeholder cooperation—particularly from employees and suppliers—to implement the strategy successfully (PMI, 2021). Acceptability concentrates on risk, returns, and stakeholder responses, especially those of shareholders and employees (Bourne, 2016).</w:t>
      </w:r>
    </w:p>
    <w:p w14:paraId="7ED155D0" w14:textId="2136705C" w:rsidR="00952BDA" w:rsidRPr="00CE6C5F" w:rsidRDefault="00A94B3D" w:rsidP="00CE6C5F">
      <w:pPr>
        <w:spacing w:line="276" w:lineRule="auto"/>
        <w:jc w:val="both"/>
        <w:rPr>
          <w:rFonts w:ascii="Arial" w:hAnsi="Arial" w:cs="Arial"/>
          <w:sz w:val="22"/>
          <w:szCs w:val="22"/>
        </w:rPr>
      </w:pPr>
      <w:r w:rsidRPr="00CE6C5F">
        <w:rPr>
          <w:rFonts w:ascii="Arial" w:hAnsi="Arial" w:cs="Arial"/>
          <w:sz w:val="22"/>
          <w:szCs w:val="22"/>
        </w:rPr>
        <w:t>Considering stakeholder power and expectations, the most suitable strategic option is often a phased or incremental implementation strategy in many change contexts. This approach balances shareholder demands for returns, employee needs for adjustment and training, and regulatory expectations for control and compliance. (Pedrini and Ferri, 2018; ISO, 2020)</w:t>
      </w:r>
    </w:p>
    <w:p w14:paraId="2B7FDF15" w14:textId="7054B452" w:rsidR="00920682" w:rsidRPr="00B675A7" w:rsidRDefault="00011608" w:rsidP="00C930B9">
      <w:pPr>
        <w:pStyle w:val="Heading2"/>
        <w:rPr>
          <w:rFonts w:ascii="Arial" w:hAnsi="Arial" w:cs="Arial"/>
        </w:rPr>
      </w:pPr>
      <w:bookmarkStart w:id="11" w:name="_Toc216970890"/>
      <w:r w:rsidRPr="00B675A7">
        <w:rPr>
          <w:rFonts w:ascii="Arial" w:hAnsi="Arial" w:cs="Arial"/>
        </w:rPr>
        <w:t>6</w:t>
      </w:r>
      <w:r w:rsidR="00C930B9" w:rsidRPr="00B675A7">
        <w:rPr>
          <w:rFonts w:ascii="Arial" w:hAnsi="Arial" w:cs="Arial"/>
        </w:rPr>
        <w:t>.</w:t>
      </w:r>
      <w:r w:rsidRPr="00B675A7">
        <w:rPr>
          <w:rFonts w:ascii="Arial" w:hAnsi="Arial" w:cs="Arial"/>
        </w:rPr>
        <w:t>1</w:t>
      </w:r>
      <w:r w:rsidR="00920682" w:rsidRPr="00B675A7">
        <w:rPr>
          <w:rFonts w:ascii="Arial" w:hAnsi="Arial" w:cs="Arial"/>
        </w:rPr>
        <w:t>. RACI/</w:t>
      </w:r>
      <w:r w:rsidR="00E329F5" w:rsidRPr="00B675A7">
        <w:rPr>
          <w:rFonts w:ascii="Arial" w:hAnsi="Arial" w:cs="Arial"/>
        </w:rPr>
        <w:t>responsible/accountable</w:t>
      </w:r>
      <w:r w:rsidR="00920682" w:rsidRPr="00B675A7">
        <w:rPr>
          <w:rFonts w:ascii="Arial" w:hAnsi="Arial" w:cs="Arial"/>
        </w:rPr>
        <w:t xml:space="preserve"> / </w:t>
      </w:r>
      <w:r w:rsidR="00E329F5" w:rsidRPr="00B675A7">
        <w:rPr>
          <w:rFonts w:ascii="Arial" w:hAnsi="Arial" w:cs="Arial"/>
        </w:rPr>
        <w:t>consulted/informed</w:t>
      </w:r>
      <w:r w:rsidR="00920682" w:rsidRPr="00B675A7">
        <w:rPr>
          <w:rFonts w:ascii="Arial" w:hAnsi="Arial" w:cs="Arial"/>
        </w:rPr>
        <w:t>)</w:t>
      </w:r>
      <w:bookmarkEnd w:id="11"/>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98"/>
        <w:gridCol w:w="1576"/>
        <w:gridCol w:w="1507"/>
        <w:gridCol w:w="2521"/>
        <w:gridCol w:w="1714"/>
      </w:tblGrid>
      <w:tr w:rsidR="00920682" w:rsidRPr="00A03379" w14:paraId="04A2C7E6" w14:textId="77777777" w:rsidTr="00A35312">
        <w:trPr>
          <w:tblHeader/>
          <w:tblCellSpacing w:w="15" w:type="dxa"/>
        </w:trPr>
        <w:tc>
          <w:tcPr>
            <w:tcW w:w="0" w:type="auto"/>
            <w:vAlign w:val="center"/>
            <w:hideMark/>
          </w:tcPr>
          <w:p w14:paraId="639DE432" w14:textId="77777777" w:rsidR="00920682" w:rsidRPr="00CE6C5F" w:rsidRDefault="00920682" w:rsidP="0043548C">
            <w:pPr>
              <w:rPr>
                <w:rFonts w:ascii="Arial" w:hAnsi="Arial" w:cs="Arial"/>
                <w:b/>
                <w:bCs/>
                <w:sz w:val="22"/>
                <w:szCs w:val="22"/>
              </w:rPr>
            </w:pPr>
            <w:r w:rsidRPr="00CE6C5F">
              <w:rPr>
                <w:rFonts w:ascii="Arial" w:hAnsi="Arial" w:cs="Arial"/>
                <w:b/>
                <w:bCs/>
                <w:sz w:val="22"/>
                <w:szCs w:val="22"/>
              </w:rPr>
              <w:t>Activity / Decision</w:t>
            </w:r>
          </w:p>
        </w:tc>
        <w:tc>
          <w:tcPr>
            <w:tcW w:w="0" w:type="auto"/>
            <w:vAlign w:val="center"/>
            <w:hideMark/>
          </w:tcPr>
          <w:p w14:paraId="3B483B84" w14:textId="77777777" w:rsidR="00920682" w:rsidRPr="00CE6C5F" w:rsidRDefault="00920682" w:rsidP="0043548C">
            <w:pPr>
              <w:rPr>
                <w:rFonts w:ascii="Arial" w:hAnsi="Arial" w:cs="Arial"/>
                <w:b/>
                <w:bCs/>
                <w:sz w:val="22"/>
                <w:szCs w:val="22"/>
              </w:rPr>
            </w:pPr>
            <w:r w:rsidRPr="00CE6C5F">
              <w:rPr>
                <w:rFonts w:ascii="Arial" w:hAnsi="Arial" w:cs="Arial"/>
                <w:b/>
                <w:bCs/>
                <w:sz w:val="22"/>
                <w:szCs w:val="22"/>
              </w:rPr>
              <w:t>Responsible (R)</w:t>
            </w:r>
          </w:p>
        </w:tc>
        <w:tc>
          <w:tcPr>
            <w:tcW w:w="0" w:type="auto"/>
            <w:vAlign w:val="center"/>
            <w:hideMark/>
          </w:tcPr>
          <w:p w14:paraId="5D1FF943" w14:textId="77777777" w:rsidR="00920682" w:rsidRPr="00CE6C5F" w:rsidRDefault="00920682" w:rsidP="0043548C">
            <w:pPr>
              <w:rPr>
                <w:rFonts w:ascii="Arial" w:hAnsi="Arial" w:cs="Arial"/>
                <w:b/>
                <w:bCs/>
                <w:sz w:val="22"/>
                <w:szCs w:val="22"/>
              </w:rPr>
            </w:pPr>
            <w:r w:rsidRPr="00CE6C5F">
              <w:rPr>
                <w:rFonts w:ascii="Arial" w:hAnsi="Arial" w:cs="Arial"/>
                <w:b/>
                <w:bCs/>
                <w:sz w:val="22"/>
                <w:szCs w:val="22"/>
              </w:rPr>
              <w:t>Accountable (A)</w:t>
            </w:r>
          </w:p>
        </w:tc>
        <w:tc>
          <w:tcPr>
            <w:tcW w:w="0" w:type="auto"/>
            <w:vAlign w:val="center"/>
            <w:hideMark/>
          </w:tcPr>
          <w:p w14:paraId="2EAA7607" w14:textId="77777777" w:rsidR="00920682" w:rsidRPr="00CE6C5F" w:rsidRDefault="00920682" w:rsidP="0043548C">
            <w:pPr>
              <w:rPr>
                <w:rFonts w:ascii="Arial" w:hAnsi="Arial" w:cs="Arial"/>
                <w:b/>
                <w:bCs/>
                <w:sz w:val="22"/>
                <w:szCs w:val="22"/>
              </w:rPr>
            </w:pPr>
            <w:r w:rsidRPr="00CE6C5F">
              <w:rPr>
                <w:rFonts w:ascii="Arial" w:hAnsi="Arial" w:cs="Arial"/>
                <w:b/>
                <w:bCs/>
                <w:sz w:val="22"/>
                <w:szCs w:val="22"/>
              </w:rPr>
              <w:t>Consulted (C)</w:t>
            </w:r>
          </w:p>
        </w:tc>
        <w:tc>
          <w:tcPr>
            <w:tcW w:w="0" w:type="auto"/>
            <w:vAlign w:val="center"/>
            <w:hideMark/>
          </w:tcPr>
          <w:p w14:paraId="5C7EB997" w14:textId="77777777" w:rsidR="00920682" w:rsidRPr="00CE6C5F" w:rsidRDefault="00920682" w:rsidP="0043548C">
            <w:pPr>
              <w:rPr>
                <w:rFonts w:ascii="Arial" w:hAnsi="Arial" w:cs="Arial"/>
                <w:b/>
                <w:bCs/>
                <w:sz w:val="22"/>
                <w:szCs w:val="22"/>
              </w:rPr>
            </w:pPr>
            <w:r w:rsidRPr="00CE6C5F">
              <w:rPr>
                <w:rFonts w:ascii="Arial" w:hAnsi="Arial" w:cs="Arial"/>
                <w:b/>
                <w:bCs/>
                <w:sz w:val="22"/>
                <w:szCs w:val="22"/>
              </w:rPr>
              <w:t>Informed (I)</w:t>
            </w:r>
          </w:p>
        </w:tc>
      </w:tr>
      <w:tr w:rsidR="00920682" w:rsidRPr="00A03379" w14:paraId="391F4285" w14:textId="77777777" w:rsidTr="00A35312">
        <w:trPr>
          <w:tblCellSpacing w:w="15" w:type="dxa"/>
        </w:trPr>
        <w:tc>
          <w:tcPr>
            <w:tcW w:w="0" w:type="auto"/>
            <w:vAlign w:val="center"/>
            <w:hideMark/>
          </w:tcPr>
          <w:p w14:paraId="73DB8790" w14:textId="77777777" w:rsidR="00920682" w:rsidRPr="00CE6C5F" w:rsidRDefault="00920682" w:rsidP="0043548C">
            <w:pPr>
              <w:rPr>
                <w:rFonts w:ascii="Arial" w:hAnsi="Arial" w:cs="Arial"/>
                <w:sz w:val="22"/>
                <w:szCs w:val="22"/>
              </w:rPr>
            </w:pPr>
            <w:r w:rsidRPr="00CE6C5F">
              <w:rPr>
                <w:rFonts w:ascii="Arial" w:hAnsi="Arial" w:cs="Arial"/>
                <w:sz w:val="22"/>
                <w:szCs w:val="22"/>
              </w:rPr>
              <w:t>Define new product offering (e.g. invoice finance)</w:t>
            </w:r>
          </w:p>
        </w:tc>
        <w:tc>
          <w:tcPr>
            <w:tcW w:w="0" w:type="auto"/>
            <w:vAlign w:val="center"/>
            <w:hideMark/>
          </w:tcPr>
          <w:p w14:paraId="47EC8451" w14:textId="77777777" w:rsidR="00920682" w:rsidRPr="00CE6C5F" w:rsidRDefault="00920682" w:rsidP="0043548C">
            <w:pPr>
              <w:rPr>
                <w:rFonts w:ascii="Arial" w:hAnsi="Arial" w:cs="Arial"/>
                <w:sz w:val="22"/>
                <w:szCs w:val="22"/>
              </w:rPr>
            </w:pPr>
            <w:r w:rsidRPr="00CE6C5F">
              <w:rPr>
                <w:rFonts w:ascii="Arial" w:hAnsi="Arial" w:cs="Arial"/>
                <w:sz w:val="22"/>
                <w:szCs w:val="22"/>
              </w:rPr>
              <w:t>Product &amp; Strategy team (CTO, CFO)</w:t>
            </w:r>
          </w:p>
        </w:tc>
        <w:tc>
          <w:tcPr>
            <w:tcW w:w="0" w:type="auto"/>
            <w:vAlign w:val="center"/>
            <w:hideMark/>
          </w:tcPr>
          <w:p w14:paraId="579CEB92" w14:textId="77777777" w:rsidR="00920682" w:rsidRPr="00CE6C5F" w:rsidRDefault="00920682" w:rsidP="0043548C">
            <w:pPr>
              <w:rPr>
                <w:rFonts w:ascii="Arial" w:hAnsi="Arial" w:cs="Arial"/>
                <w:sz w:val="22"/>
                <w:szCs w:val="22"/>
              </w:rPr>
            </w:pPr>
            <w:r w:rsidRPr="00CE6C5F">
              <w:rPr>
                <w:rFonts w:ascii="Arial" w:hAnsi="Arial" w:cs="Arial"/>
                <w:sz w:val="22"/>
                <w:szCs w:val="22"/>
              </w:rPr>
              <w:t>CEO / Board</w:t>
            </w:r>
          </w:p>
        </w:tc>
        <w:tc>
          <w:tcPr>
            <w:tcW w:w="0" w:type="auto"/>
            <w:vAlign w:val="center"/>
            <w:hideMark/>
          </w:tcPr>
          <w:p w14:paraId="3A061934" w14:textId="77777777" w:rsidR="00920682" w:rsidRPr="00CE6C5F" w:rsidRDefault="00920682" w:rsidP="0043548C">
            <w:pPr>
              <w:rPr>
                <w:rFonts w:ascii="Arial" w:hAnsi="Arial" w:cs="Arial"/>
                <w:sz w:val="22"/>
                <w:szCs w:val="22"/>
              </w:rPr>
            </w:pPr>
            <w:r w:rsidRPr="00CE6C5F">
              <w:rPr>
                <w:rFonts w:ascii="Arial" w:hAnsi="Arial" w:cs="Arial"/>
                <w:sz w:val="22"/>
                <w:szCs w:val="22"/>
              </w:rPr>
              <w:t>Legal &amp; Compliance, Risk team, Sales team</w:t>
            </w:r>
          </w:p>
        </w:tc>
        <w:tc>
          <w:tcPr>
            <w:tcW w:w="0" w:type="auto"/>
            <w:vAlign w:val="center"/>
            <w:hideMark/>
          </w:tcPr>
          <w:p w14:paraId="1701BF94" w14:textId="77777777" w:rsidR="00920682" w:rsidRPr="00CE6C5F" w:rsidRDefault="00920682" w:rsidP="0043548C">
            <w:pPr>
              <w:rPr>
                <w:rFonts w:ascii="Arial" w:hAnsi="Arial" w:cs="Arial"/>
                <w:sz w:val="22"/>
                <w:szCs w:val="22"/>
              </w:rPr>
            </w:pPr>
            <w:r w:rsidRPr="00CE6C5F">
              <w:rPr>
                <w:rFonts w:ascii="Arial" w:hAnsi="Arial" w:cs="Arial"/>
                <w:sz w:val="22"/>
                <w:szCs w:val="22"/>
              </w:rPr>
              <w:t>All staff, existing customers</w:t>
            </w:r>
          </w:p>
        </w:tc>
      </w:tr>
      <w:tr w:rsidR="00920682" w:rsidRPr="00A03379" w14:paraId="698AD90B" w14:textId="77777777" w:rsidTr="00A35312">
        <w:trPr>
          <w:tblCellSpacing w:w="15" w:type="dxa"/>
        </w:trPr>
        <w:tc>
          <w:tcPr>
            <w:tcW w:w="0" w:type="auto"/>
            <w:vAlign w:val="center"/>
            <w:hideMark/>
          </w:tcPr>
          <w:p w14:paraId="7F47B32B" w14:textId="260F84FF" w:rsidR="00920682" w:rsidRPr="00CE6C5F" w:rsidRDefault="00920682" w:rsidP="0043548C">
            <w:pPr>
              <w:rPr>
                <w:rFonts w:ascii="Arial" w:hAnsi="Arial" w:cs="Arial"/>
                <w:sz w:val="22"/>
                <w:szCs w:val="22"/>
              </w:rPr>
            </w:pPr>
            <w:r w:rsidRPr="00CE6C5F">
              <w:rPr>
                <w:rFonts w:ascii="Arial" w:hAnsi="Arial" w:cs="Arial"/>
                <w:sz w:val="22"/>
                <w:szCs w:val="22"/>
              </w:rPr>
              <w:t xml:space="preserve">Develop </w:t>
            </w:r>
            <w:r w:rsidR="00A0162E" w:rsidRPr="00CE6C5F">
              <w:rPr>
                <w:rFonts w:ascii="Arial" w:hAnsi="Arial" w:cs="Arial"/>
                <w:sz w:val="22"/>
                <w:szCs w:val="22"/>
              </w:rPr>
              <w:t xml:space="preserve">an </w:t>
            </w:r>
            <w:r w:rsidRPr="00CE6C5F">
              <w:rPr>
                <w:rFonts w:ascii="Arial" w:hAnsi="Arial" w:cs="Arial"/>
                <w:sz w:val="22"/>
                <w:szCs w:val="22"/>
              </w:rPr>
              <w:t xml:space="preserve">underwriting &amp; risk framework for </w:t>
            </w:r>
            <w:r w:rsidR="00A0162E" w:rsidRPr="00CE6C5F">
              <w:rPr>
                <w:rFonts w:ascii="Arial" w:hAnsi="Arial" w:cs="Arial"/>
                <w:sz w:val="22"/>
                <w:szCs w:val="22"/>
              </w:rPr>
              <w:t xml:space="preserve">a </w:t>
            </w:r>
            <w:r w:rsidRPr="00CE6C5F">
              <w:rPr>
                <w:rFonts w:ascii="Arial" w:hAnsi="Arial" w:cs="Arial"/>
                <w:sz w:val="22"/>
                <w:szCs w:val="22"/>
              </w:rPr>
              <w:t>new product</w:t>
            </w:r>
          </w:p>
        </w:tc>
        <w:tc>
          <w:tcPr>
            <w:tcW w:w="0" w:type="auto"/>
            <w:vAlign w:val="center"/>
            <w:hideMark/>
          </w:tcPr>
          <w:p w14:paraId="7CB16411" w14:textId="77777777" w:rsidR="00920682" w:rsidRPr="00CE6C5F" w:rsidRDefault="00920682" w:rsidP="0043548C">
            <w:pPr>
              <w:rPr>
                <w:rFonts w:ascii="Arial" w:hAnsi="Arial" w:cs="Arial"/>
                <w:sz w:val="22"/>
                <w:szCs w:val="22"/>
              </w:rPr>
            </w:pPr>
            <w:r w:rsidRPr="00CE6C5F">
              <w:rPr>
                <w:rFonts w:ascii="Arial" w:hAnsi="Arial" w:cs="Arial"/>
                <w:sz w:val="22"/>
                <w:szCs w:val="22"/>
              </w:rPr>
              <w:t>Risk &amp; Compliance team</w:t>
            </w:r>
          </w:p>
        </w:tc>
        <w:tc>
          <w:tcPr>
            <w:tcW w:w="0" w:type="auto"/>
            <w:vAlign w:val="center"/>
            <w:hideMark/>
          </w:tcPr>
          <w:p w14:paraId="3C58CC4C" w14:textId="77777777" w:rsidR="00920682" w:rsidRPr="00CE6C5F" w:rsidRDefault="00920682" w:rsidP="0043548C">
            <w:pPr>
              <w:rPr>
                <w:rFonts w:ascii="Arial" w:hAnsi="Arial" w:cs="Arial"/>
                <w:sz w:val="22"/>
                <w:szCs w:val="22"/>
              </w:rPr>
            </w:pPr>
            <w:r w:rsidRPr="00CE6C5F">
              <w:rPr>
                <w:rFonts w:ascii="Arial" w:hAnsi="Arial" w:cs="Arial"/>
                <w:sz w:val="22"/>
                <w:szCs w:val="22"/>
              </w:rPr>
              <w:t>CFO / Compliance Director</w:t>
            </w:r>
          </w:p>
        </w:tc>
        <w:tc>
          <w:tcPr>
            <w:tcW w:w="0" w:type="auto"/>
            <w:vAlign w:val="center"/>
            <w:hideMark/>
          </w:tcPr>
          <w:p w14:paraId="35A25DA5" w14:textId="79B699D2" w:rsidR="00920682" w:rsidRPr="00CE6C5F" w:rsidRDefault="00920682" w:rsidP="0043548C">
            <w:pPr>
              <w:rPr>
                <w:rFonts w:ascii="Arial" w:hAnsi="Arial" w:cs="Arial"/>
                <w:sz w:val="22"/>
                <w:szCs w:val="22"/>
              </w:rPr>
            </w:pPr>
            <w:r w:rsidRPr="00CE6C5F">
              <w:rPr>
                <w:rFonts w:ascii="Arial" w:hAnsi="Arial" w:cs="Arial"/>
                <w:sz w:val="22"/>
                <w:szCs w:val="22"/>
              </w:rPr>
              <w:t xml:space="preserve">External </w:t>
            </w:r>
            <w:r w:rsidR="00A0162E" w:rsidRPr="00CE6C5F">
              <w:rPr>
                <w:rFonts w:ascii="Arial" w:hAnsi="Arial" w:cs="Arial"/>
                <w:sz w:val="22"/>
                <w:szCs w:val="22"/>
              </w:rPr>
              <w:t>consultants/regulators</w:t>
            </w:r>
            <w:r w:rsidRPr="00CE6C5F">
              <w:rPr>
                <w:rFonts w:ascii="Arial" w:hAnsi="Arial" w:cs="Arial"/>
                <w:sz w:val="22"/>
                <w:szCs w:val="22"/>
              </w:rPr>
              <w:t xml:space="preserve"> (if necessary)</w:t>
            </w:r>
          </w:p>
        </w:tc>
        <w:tc>
          <w:tcPr>
            <w:tcW w:w="0" w:type="auto"/>
            <w:vAlign w:val="center"/>
            <w:hideMark/>
          </w:tcPr>
          <w:p w14:paraId="30EF5B35" w14:textId="77777777" w:rsidR="00920682" w:rsidRPr="00CE6C5F" w:rsidRDefault="00920682" w:rsidP="0043548C">
            <w:pPr>
              <w:rPr>
                <w:rFonts w:ascii="Arial" w:hAnsi="Arial" w:cs="Arial"/>
                <w:sz w:val="22"/>
                <w:szCs w:val="22"/>
              </w:rPr>
            </w:pPr>
            <w:r w:rsidRPr="00CE6C5F">
              <w:rPr>
                <w:rFonts w:ascii="Arial" w:hAnsi="Arial" w:cs="Arial"/>
                <w:sz w:val="22"/>
                <w:szCs w:val="22"/>
              </w:rPr>
              <w:t>Board, management, staff</w:t>
            </w:r>
          </w:p>
        </w:tc>
      </w:tr>
      <w:tr w:rsidR="00920682" w:rsidRPr="00A03379" w14:paraId="7EEB526C" w14:textId="77777777" w:rsidTr="00A35312">
        <w:trPr>
          <w:tblCellSpacing w:w="15" w:type="dxa"/>
        </w:trPr>
        <w:tc>
          <w:tcPr>
            <w:tcW w:w="0" w:type="auto"/>
            <w:vAlign w:val="center"/>
            <w:hideMark/>
          </w:tcPr>
          <w:p w14:paraId="0EB55E34" w14:textId="77777777" w:rsidR="00920682" w:rsidRPr="00CE6C5F" w:rsidRDefault="00920682" w:rsidP="0043548C">
            <w:pPr>
              <w:rPr>
                <w:rFonts w:ascii="Arial" w:hAnsi="Arial" w:cs="Arial"/>
                <w:sz w:val="22"/>
                <w:szCs w:val="22"/>
              </w:rPr>
            </w:pPr>
            <w:r w:rsidRPr="00CE6C5F">
              <w:rPr>
                <w:rFonts w:ascii="Arial" w:hAnsi="Arial" w:cs="Arial"/>
                <w:sz w:val="22"/>
                <w:szCs w:val="22"/>
              </w:rPr>
              <w:t>Launch pilot for new product</w:t>
            </w:r>
          </w:p>
        </w:tc>
        <w:tc>
          <w:tcPr>
            <w:tcW w:w="0" w:type="auto"/>
            <w:vAlign w:val="center"/>
            <w:hideMark/>
          </w:tcPr>
          <w:p w14:paraId="5EEBB73F" w14:textId="77777777" w:rsidR="00920682" w:rsidRPr="00CE6C5F" w:rsidRDefault="00920682" w:rsidP="0043548C">
            <w:pPr>
              <w:rPr>
                <w:rFonts w:ascii="Arial" w:hAnsi="Arial" w:cs="Arial"/>
                <w:sz w:val="22"/>
                <w:szCs w:val="22"/>
              </w:rPr>
            </w:pPr>
            <w:r w:rsidRPr="00CE6C5F">
              <w:rPr>
                <w:rFonts w:ascii="Arial" w:hAnsi="Arial" w:cs="Arial"/>
                <w:sz w:val="22"/>
                <w:szCs w:val="22"/>
              </w:rPr>
              <w:t>Product team + Operations</w:t>
            </w:r>
          </w:p>
        </w:tc>
        <w:tc>
          <w:tcPr>
            <w:tcW w:w="0" w:type="auto"/>
            <w:vAlign w:val="center"/>
            <w:hideMark/>
          </w:tcPr>
          <w:p w14:paraId="13E1DB3C" w14:textId="77777777" w:rsidR="00920682" w:rsidRPr="00CE6C5F" w:rsidRDefault="00920682" w:rsidP="0043548C">
            <w:pPr>
              <w:rPr>
                <w:rFonts w:ascii="Arial" w:hAnsi="Arial" w:cs="Arial"/>
                <w:sz w:val="22"/>
                <w:szCs w:val="22"/>
              </w:rPr>
            </w:pPr>
            <w:r w:rsidRPr="00CE6C5F">
              <w:rPr>
                <w:rFonts w:ascii="Arial" w:hAnsi="Arial" w:cs="Arial"/>
                <w:sz w:val="22"/>
                <w:szCs w:val="22"/>
              </w:rPr>
              <w:t>CEO / COO</w:t>
            </w:r>
          </w:p>
        </w:tc>
        <w:tc>
          <w:tcPr>
            <w:tcW w:w="0" w:type="auto"/>
            <w:vAlign w:val="center"/>
            <w:hideMark/>
          </w:tcPr>
          <w:p w14:paraId="5AA43D20" w14:textId="77777777" w:rsidR="00920682" w:rsidRPr="00CE6C5F" w:rsidRDefault="00920682" w:rsidP="0043548C">
            <w:pPr>
              <w:rPr>
                <w:rFonts w:ascii="Arial" w:hAnsi="Arial" w:cs="Arial"/>
                <w:sz w:val="22"/>
                <w:szCs w:val="22"/>
              </w:rPr>
            </w:pPr>
            <w:r w:rsidRPr="00CE6C5F">
              <w:rPr>
                <w:rFonts w:ascii="Arial" w:hAnsi="Arial" w:cs="Arial"/>
                <w:sz w:val="22"/>
                <w:szCs w:val="22"/>
              </w:rPr>
              <w:t>Sales / Relationship Managers, Customer feedback groups</w:t>
            </w:r>
          </w:p>
        </w:tc>
        <w:tc>
          <w:tcPr>
            <w:tcW w:w="0" w:type="auto"/>
            <w:vAlign w:val="center"/>
            <w:hideMark/>
          </w:tcPr>
          <w:p w14:paraId="69C9D488" w14:textId="77777777" w:rsidR="00920682" w:rsidRPr="00CE6C5F" w:rsidRDefault="00920682" w:rsidP="0043548C">
            <w:pPr>
              <w:rPr>
                <w:rFonts w:ascii="Arial" w:hAnsi="Arial" w:cs="Arial"/>
                <w:sz w:val="22"/>
                <w:szCs w:val="22"/>
              </w:rPr>
            </w:pPr>
            <w:r w:rsidRPr="00CE6C5F">
              <w:rPr>
                <w:rFonts w:ascii="Arial" w:hAnsi="Arial" w:cs="Arial"/>
                <w:sz w:val="22"/>
                <w:szCs w:val="22"/>
              </w:rPr>
              <w:t>Employees, existing customers, investors</w:t>
            </w:r>
          </w:p>
        </w:tc>
      </w:tr>
      <w:tr w:rsidR="00920682" w:rsidRPr="00A03379" w14:paraId="65EF1B8C" w14:textId="77777777" w:rsidTr="00A35312">
        <w:trPr>
          <w:tblCellSpacing w:w="15" w:type="dxa"/>
        </w:trPr>
        <w:tc>
          <w:tcPr>
            <w:tcW w:w="0" w:type="auto"/>
            <w:vAlign w:val="center"/>
            <w:hideMark/>
          </w:tcPr>
          <w:p w14:paraId="24C60474" w14:textId="5937C786" w:rsidR="00920682" w:rsidRPr="00CE6C5F" w:rsidRDefault="00920682" w:rsidP="0043548C">
            <w:pPr>
              <w:rPr>
                <w:rFonts w:ascii="Arial" w:hAnsi="Arial" w:cs="Arial"/>
                <w:sz w:val="22"/>
                <w:szCs w:val="22"/>
              </w:rPr>
            </w:pPr>
            <w:r w:rsidRPr="00CE6C5F">
              <w:rPr>
                <w:rFonts w:ascii="Arial" w:hAnsi="Arial" w:cs="Arial"/>
                <w:sz w:val="22"/>
                <w:szCs w:val="22"/>
              </w:rPr>
              <w:t>Monitor performance &amp; report metrics</w:t>
            </w:r>
            <w:r w:rsidR="005B26ED" w:rsidRPr="00CE6C5F">
              <w:rPr>
                <w:rFonts w:ascii="Arial" w:hAnsi="Arial" w:cs="Arial"/>
                <w:sz w:val="22"/>
                <w:szCs w:val="22"/>
              </w:rPr>
              <w:t>.</w:t>
            </w:r>
          </w:p>
        </w:tc>
        <w:tc>
          <w:tcPr>
            <w:tcW w:w="0" w:type="auto"/>
            <w:vAlign w:val="center"/>
            <w:hideMark/>
          </w:tcPr>
          <w:p w14:paraId="5BA59C7F" w14:textId="77777777" w:rsidR="00920682" w:rsidRPr="00CE6C5F" w:rsidRDefault="00920682" w:rsidP="0043548C">
            <w:pPr>
              <w:rPr>
                <w:rFonts w:ascii="Arial" w:hAnsi="Arial" w:cs="Arial"/>
                <w:sz w:val="22"/>
                <w:szCs w:val="22"/>
              </w:rPr>
            </w:pPr>
            <w:r w:rsidRPr="00CE6C5F">
              <w:rPr>
                <w:rFonts w:ascii="Arial" w:hAnsi="Arial" w:cs="Arial"/>
                <w:sz w:val="22"/>
                <w:szCs w:val="22"/>
              </w:rPr>
              <w:t>Risk &amp; Operations team</w:t>
            </w:r>
          </w:p>
        </w:tc>
        <w:tc>
          <w:tcPr>
            <w:tcW w:w="0" w:type="auto"/>
            <w:vAlign w:val="center"/>
            <w:hideMark/>
          </w:tcPr>
          <w:p w14:paraId="7B71A37A" w14:textId="77777777" w:rsidR="00920682" w:rsidRPr="00CE6C5F" w:rsidRDefault="00920682" w:rsidP="0043548C">
            <w:pPr>
              <w:rPr>
                <w:rFonts w:ascii="Arial" w:hAnsi="Arial" w:cs="Arial"/>
                <w:sz w:val="22"/>
                <w:szCs w:val="22"/>
              </w:rPr>
            </w:pPr>
            <w:r w:rsidRPr="00CE6C5F">
              <w:rPr>
                <w:rFonts w:ascii="Arial" w:hAnsi="Arial" w:cs="Arial"/>
                <w:sz w:val="22"/>
                <w:szCs w:val="22"/>
              </w:rPr>
              <w:t>CFO / COO</w:t>
            </w:r>
          </w:p>
        </w:tc>
        <w:tc>
          <w:tcPr>
            <w:tcW w:w="0" w:type="auto"/>
            <w:vAlign w:val="center"/>
            <w:hideMark/>
          </w:tcPr>
          <w:p w14:paraId="51997C60" w14:textId="77777777" w:rsidR="00920682" w:rsidRPr="00CE6C5F" w:rsidRDefault="00920682" w:rsidP="0043548C">
            <w:pPr>
              <w:rPr>
                <w:rFonts w:ascii="Arial" w:hAnsi="Arial" w:cs="Arial"/>
                <w:sz w:val="22"/>
                <w:szCs w:val="22"/>
              </w:rPr>
            </w:pPr>
            <w:r w:rsidRPr="00CE6C5F">
              <w:rPr>
                <w:rFonts w:ascii="Arial" w:hAnsi="Arial" w:cs="Arial"/>
                <w:sz w:val="22"/>
                <w:szCs w:val="22"/>
              </w:rPr>
              <w:t>Compliance, Finance, Board</w:t>
            </w:r>
          </w:p>
        </w:tc>
        <w:tc>
          <w:tcPr>
            <w:tcW w:w="0" w:type="auto"/>
            <w:vAlign w:val="center"/>
            <w:hideMark/>
          </w:tcPr>
          <w:p w14:paraId="08454EDD" w14:textId="77777777" w:rsidR="00920682" w:rsidRPr="00CE6C5F" w:rsidRDefault="00920682" w:rsidP="0043548C">
            <w:pPr>
              <w:rPr>
                <w:rFonts w:ascii="Arial" w:hAnsi="Arial" w:cs="Arial"/>
                <w:sz w:val="22"/>
                <w:szCs w:val="22"/>
              </w:rPr>
            </w:pPr>
            <w:r w:rsidRPr="00CE6C5F">
              <w:rPr>
                <w:rFonts w:ascii="Arial" w:hAnsi="Arial" w:cs="Arial"/>
                <w:sz w:val="22"/>
                <w:szCs w:val="22"/>
              </w:rPr>
              <w:t>Employees, investors</w:t>
            </w:r>
          </w:p>
        </w:tc>
      </w:tr>
      <w:tr w:rsidR="00920682" w:rsidRPr="00A03379" w14:paraId="1E950130" w14:textId="77777777" w:rsidTr="00A35312">
        <w:trPr>
          <w:tblCellSpacing w:w="15" w:type="dxa"/>
        </w:trPr>
        <w:tc>
          <w:tcPr>
            <w:tcW w:w="0" w:type="auto"/>
            <w:vAlign w:val="center"/>
            <w:hideMark/>
          </w:tcPr>
          <w:p w14:paraId="2100AA98" w14:textId="77777777" w:rsidR="00920682" w:rsidRPr="00CE6C5F" w:rsidRDefault="00920682" w:rsidP="0043548C">
            <w:pPr>
              <w:rPr>
                <w:rFonts w:ascii="Arial" w:hAnsi="Arial" w:cs="Arial"/>
                <w:sz w:val="22"/>
                <w:szCs w:val="22"/>
              </w:rPr>
            </w:pPr>
            <w:r w:rsidRPr="00CE6C5F">
              <w:rPr>
                <w:rFonts w:ascii="Arial" w:hAnsi="Arial" w:cs="Arial"/>
                <w:sz w:val="22"/>
                <w:szCs w:val="22"/>
              </w:rPr>
              <w:t>Scale-up / full rollout decision</w:t>
            </w:r>
          </w:p>
        </w:tc>
        <w:tc>
          <w:tcPr>
            <w:tcW w:w="0" w:type="auto"/>
            <w:vAlign w:val="center"/>
            <w:hideMark/>
          </w:tcPr>
          <w:p w14:paraId="319D4FCD" w14:textId="77777777" w:rsidR="00920682" w:rsidRPr="00CE6C5F" w:rsidRDefault="00920682" w:rsidP="0043548C">
            <w:pPr>
              <w:rPr>
                <w:rFonts w:ascii="Arial" w:hAnsi="Arial" w:cs="Arial"/>
                <w:sz w:val="22"/>
                <w:szCs w:val="22"/>
              </w:rPr>
            </w:pPr>
            <w:r w:rsidRPr="00CE6C5F">
              <w:rPr>
                <w:rFonts w:ascii="Arial" w:hAnsi="Arial" w:cs="Arial"/>
                <w:sz w:val="22"/>
                <w:szCs w:val="22"/>
              </w:rPr>
              <w:t>Board / Senior Management</w:t>
            </w:r>
          </w:p>
        </w:tc>
        <w:tc>
          <w:tcPr>
            <w:tcW w:w="0" w:type="auto"/>
            <w:vAlign w:val="center"/>
            <w:hideMark/>
          </w:tcPr>
          <w:p w14:paraId="7B0B495B" w14:textId="77777777" w:rsidR="00920682" w:rsidRPr="00CE6C5F" w:rsidRDefault="00920682" w:rsidP="0043548C">
            <w:pPr>
              <w:rPr>
                <w:rFonts w:ascii="Arial" w:hAnsi="Arial" w:cs="Arial"/>
                <w:sz w:val="22"/>
                <w:szCs w:val="22"/>
              </w:rPr>
            </w:pPr>
            <w:r w:rsidRPr="00CE6C5F">
              <w:rPr>
                <w:rFonts w:ascii="Arial" w:hAnsi="Arial" w:cs="Arial"/>
                <w:sz w:val="22"/>
                <w:szCs w:val="22"/>
              </w:rPr>
              <w:t>Board</w:t>
            </w:r>
          </w:p>
        </w:tc>
        <w:tc>
          <w:tcPr>
            <w:tcW w:w="0" w:type="auto"/>
            <w:vAlign w:val="center"/>
            <w:hideMark/>
          </w:tcPr>
          <w:p w14:paraId="7B0A18BF" w14:textId="77777777" w:rsidR="00920682" w:rsidRPr="00CE6C5F" w:rsidRDefault="00920682" w:rsidP="0043548C">
            <w:pPr>
              <w:rPr>
                <w:rFonts w:ascii="Arial" w:hAnsi="Arial" w:cs="Arial"/>
                <w:sz w:val="22"/>
                <w:szCs w:val="22"/>
              </w:rPr>
            </w:pPr>
            <w:r w:rsidRPr="00CE6C5F">
              <w:rPr>
                <w:rFonts w:ascii="Arial" w:hAnsi="Arial" w:cs="Arial"/>
                <w:sz w:val="22"/>
                <w:szCs w:val="22"/>
              </w:rPr>
              <w:t>Risk, Operations, Sales, Legal</w:t>
            </w:r>
          </w:p>
        </w:tc>
        <w:tc>
          <w:tcPr>
            <w:tcW w:w="0" w:type="auto"/>
            <w:vAlign w:val="center"/>
            <w:hideMark/>
          </w:tcPr>
          <w:p w14:paraId="4D645EC8" w14:textId="179C9933" w:rsidR="00920682" w:rsidRPr="00CE6C5F" w:rsidRDefault="00920682" w:rsidP="0043548C">
            <w:pPr>
              <w:rPr>
                <w:rFonts w:ascii="Arial" w:hAnsi="Arial" w:cs="Arial"/>
                <w:sz w:val="22"/>
                <w:szCs w:val="22"/>
              </w:rPr>
            </w:pPr>
            <w:r w:rsidRPr="00CE6C5F">
              <w:rPr>
                <w:rFonts w:ascii="Arial" w:hAnsi="Arial" w:cs="Arial"/>
                <w:sz w:val="22"/>
                <w:szCs w:val="22"/>
              </w:rPr>
              <w:t>All stakeholders (Employees, Customers, Public)</w:t>
            </w:r>
          </w:p>
        </w:tc>
      </w:tr>
    </w:tbl>
    <w:p w14:paraId="2DEA66E8" w14:textId="0258AB6F" w:rsidR="00920682" w:rsidRPr="00A03379" w:rsidRDefault="00920682" w:rsidP="00920682"/>
    <w:p w14:paraId="147AA59B" w14:textId="1E542507" w:rsidR="00920682" w:rsidRPr="00C21C09" w:rsidRDefault="00C930B9" w:rsidP="00336F43">
      <w:pPr>
        <w:pStyle w:val="Heading1"/>
        <w:rPr>
          <w:rFonts w:ascii="Arial" w:hAnsi="Arial" w:cs="Arial"/>
        </w:rPr>
      </w:pPr>
      <w:bookmarkStart w:id="12" w:name="_Toc216970891"/>
      <w:r w:rsidRPr="00C21C09">
        <w:rPr>
          <w:rFonts w:ascii="Arial" w:hAnsi="Arial" w:cs="Arial"/>
        </w:rPr>
        <w:t>7</w:t>
      </w:r>
      <w:r w:rsidR="00920682" w:rsidRPr="00C21C09">
        <w:rPr>
          <w:rFonts w:ascii="Arial" w:hAnsi="Arial" w:cs="Arial"/>
        </w:rPr>
        <w:t>. Critical evaluation &amp; Recommendation</w:t>
      </w:r>
      <w:bookmarkEnd w:id="12"/>
    </w:p>
    <w:p w14:paraId="5DDD0214" w14:textId="420C21D4" w:rsidR="00437D6F" w:rsidRPr="00CE6C5F" w:rsidRDefault="00437D6F" w:rsidP="00CE6C5F">
      <w:pPr>
        <w:spacing w:line="276" w:lineRule="auto"/>
        <w:jc w:val="both"/>
        <w:rPr>
          <w:rFonts w:ascii="Arial" w:hAnsi="Arial" w:cs="Arial"/>
          <w:sz w:val="22"/>
          <w:szCs w:val="22"/>
        </w:rPr>
      </w:pPr>
      <w:r w:rsidRPr="00CE6C5F">
        <w:rPr>
          <w:rFonts w:ascii="Arial" w:hAnsi="Arial" w:cs="Arial"/>
          <w:sz w:val="22"/>
          <w:szCs w:val="22"/>
        </w:rPr>
        <w:t xml:space="preserve">Using the </w:t>
      </w:r>
      <w:r w:rsidRPr="00CE6C5F">
        <w:rPr>
          <w:rFonts w:ascii="Arial" w:hAnsi="Arial" w:cs="Arial"/>
          <w:b/>
          <w:bCs/>
          <w:sz w:val="22"/>
          <w:szCs w:val="22"/>
        </w:rPr>
        <w:t>SAF (Suitability–Acceptability–Feasibility)</w:t>
      </w:r>
      <w:r w:rsidRPr="00CE6C5F">
        <w:rPr>
          <w:rFonts w:ascii="Arial" w:hAnsi="Arial" w:cs="Arial"/>
          <w:sz w:val="22"/>
          <w:szCs w:val="22"/>
        </w:rPr>
        <w:t xml:space="preserve"> lens, the most robust choice is typically a </w:t>
      </w:r>
      <w:r w:rsidRPr="00CE6C5F">
        <w:rPr>
          <w:rFonts w:ascii="Arial" w:hAnsi="Arial" w:cs="Arial"/>
          <w:b/>
          <w:bCs/>
          <w:sz w:val="22"/>
          <w:szCs w:val="22"/>
        </w:rPr>
        <w:t>phased combination</w:t>
      </w:r>
      <w:r w:rsidRPr="00CE6C5F">
        <w:rPr>
          <w:rFonts w:ascii="Arial" w:hAnsi="Arial" w:cs="Arial"/>
          <w:sz w:val="22"/>
          <w:szCs w:val="22"/>
        </w:rPr>
        <w:t xml:space="preserve">: </w:t>
      </w:r>
      <w:r w:rsidRPr="00CE6C5F">
        <w:rPr>
          <w:rFonts w:ascii="Arial" w:hAnsi="Arial" w:cs="Arial"/>
          <w:b/>
          <w:bCs/>
          <w:sz w:val="22"/>
          <w:szCs w:val="22"/>
        </w:rPr>
        <w:t>(1) digitally transform the core business first</w:t>
      </w:r>
      <w:r w:rsidRPr="00CE6C5F">
        <w:rPr>
          <w:rFonts w:ascii="Arial" w:hAnsi="Arial" w:cs="Arial"/>
          <w:sz w:val="22"/>
          <w:szCs w:val="22"/>
        </w:rPr>
        <w:t xml:space="preserve">, then </w:t>
      </w:r>
      <w:r w:rsidRPr="00CE6C5F">
        <w:rPr>
          <w:rFonts w:ascii="Arial" w:hAnsi="Arial" w:cs="Arial"/>
          <w:b/>
          <w:bCs/>
          <w:sz w:val="22"/>
          <w:szCs w:val="22"/>
        </w:rPr>
        <w:t>(2) scale via targeted ecosystem partnerships/platform plays</w:t>
      </w:r>
      <w:r w:rsidRPr="00CE6C5F">
        <w:rPr>
          <w:rFonts w:ascii="Arial" w:hAnsi="Arial" w:cs="Arial"/>
          <w:sz w:val="22"/>
          <w:szCs w:val="22"/>
        </w:rPr>
        <w:t xml:space="preserve">, while treating </w:t>
      </w:r>
      <w:r w:rsidRPr="00CE6C5F">
        <w:rPr>
          <w:rFonts w:ascii="Arial" w:hAnsi="Arial" w:cs="Arial"/>
          <w:b/>
          <w:bCs/>
          <w:sz w:val="22"/>
          <w:szCs w:val="22"/>
        </w:rPr>
        <w:t>(3) major geographic diversification</w:t>
      </w:r>
      <w:r w:rsidRPr="00CE6C5F">
        <w:rPr>
          <w:rFonts w:ascii="Arial" w:hAnsi="Arial" w:cs="Arial"/>
          <w:sz w:val="22"/>
          <w:szCs w:val="22"/>
        </w:rPr>
        <w:t xml:space="preserve"> as </w:t>
      </w:r>
      <w:r w:rsidR="00765A1B" w:rsidRPr="00CE6C5F">
        <w:rPr>
          <w:rFonts w:ascii="Arial" w:hAnsi="Arial" w:cs="Arial"/>
          <w:sz w:val="22"/>
          <w:szCs w:val="22"/>
        </w:rPr>
        <w:t xml:space="preserve">a </w:t>
      </w:r>
      <w:r w:rsidRPr="00CE6C5F">
        <w:rPr>
          <w:rFonts w:ascii="Arial" w:hAnsi="Arial" w:cs="Arial"/>
          <w:sz w:val="22"/>
          <w:szCs w:val="22"/>
        </w:rPr>
        <w:t>lower priority unless there is strong evidence of unmet demand and clear entry advantages.</w:t>
      </w:r>
    </w:p>
    <w:p w14:paraId="02A5ABE9" w14:textId="6E557942" w:rsidR="00437D6F" w:rsidRPr="00CE6C5F" w:rsidRDefault="00437D6F" w:rsidP="00CE6C5F">
      <w:pPr>
        <w:spacing w:line="276" w:lineRule="auto"/>
        <w:jc w:val="both"/>
        <w:rPr>
          <w:rFonts w:ascii="Arial" w:hAnsi="Arial" w:cs="Arial"/>
          <w:sz w:val="22"/>
          <w:szCs w:val="22"/>
        </w:rPr>
      </w:pPr>
      <w:r w:rsidRPr="00CE6C5F">
        <w:rPr>
          <w:rFonts w:ascii="Arial" w:hAnsi="Arial" w:cs="Arial"/>
          <w:b/>
          <w:bCs/>
          <w:sz w:val="22"/>
          <w:szCs w:val="22"/>
        </w:rPr>
        <w:t>Suitability.</w:t>
      </w:r>
      <w:r w:rsidRPr="00CE6C5F">
        <w:rPr>
          <w:rFonts w:ascii="Arial" w:hAnsi="Arial" w:cs="Arial"/>
          <w:sz w:val="22"/>
          <w:szCs w:val="22"/>
        </w:rPr>
        <w:t xml:space="preserve"> A core </w:t>
      </w:r>
      <w:r w:rsidRPr="00CE6C5F">
        <w:rPr>
          <w:rFonts w:ascii="Arial" w:hAnsi="Arial" w:cs="Arial"/>
          <w:b/>
          <w:bCs/>
          <w:sz w:val="22"/>
          <w:szCs w:val="22"/>
        </w:rPr>
        <w:t>digital transformation</w:t>
      </w:r>
      <w:r w:rsidRPr="00CE6C5F">
        <w:rPr>
          <w:rFonts w:ascii="Arial" w:hAnsi="Arial" w:cs="Arial"/>
          <w:sz w:val="22"/>
          <w:szCs w:val="22"/>
        </w:rPr>
        <w:t xml:space="preserve"> is usually the best strategic “fit” because it directly improves customer experience, speed, and cost-to-serve while strengthening the organisation’s ability to respond to external change (Teece, 2018). By contrast, </w:t>
      </w:r>
      <w:r w:rsidRPr="00CE6C5F">
        <w:rPr>
          <w:rFonts w:ascii="Arial" w:hAnsi="Arial" w:cs="Arial"/>
          <w:b/>
          <w:bCs/>
          <w:sz w:val="22"/>
          <w:szCs w:val="22"/>
        </w:rPr>
        <w:t>ecosystem/platform strategies</w:t>
      </w:r>
      <w:r w:rsidRPr="00CE6C5F">
        <w:rPr>
          <w:rFonts w:ascii="Arial" w:hAnsi="Arial" w:cs="Arial"/>
          <w:sz w:val="22"/>
          <w:szCs w:val="22"/>
        </w:rPr>
        <w:t xml:space="preserve"> can unlock new growth by expanding into adjacent products/services and leveraging partners (McKinsey &amp; Company, 2019). </w:t>
      </w:r>
      <w:r w:rsidRPr="00CE6C5F">
        <w:rPr>
          <w:rFonts w:ascii="Arial" w:hAnsi="Arial" w:cs="Arial"/>
          <w:b/>
          <w:bCs/>
          <w:sz w:val="22"/>
          <w:szCs w:val="22"/>
        </w:rPr>
        <w:t>Geographic expansion/diversification</w:t>
      </w:r>
      <w:r w:rsidRPr="00CE6C5F">
        <w:rPr>
          <w:rFonts w:ascii="Arial" w:hAnsi="Arial" w:cs="Arial"/>
          <w:sz w:val="22"/>
          <w:szCs w:val="22"/>
        </w:rPr>
        <w:t xml:space="preserve"> can be suitable for growth, but it often increases complexity and risk without fixing underlying capability gaps in the core.</w:t>
      </w:r>
    </w:p>
    <w:p w14:paraId="28C0B9AD" w14:textId="21B453AD" w:rsidR="00437D6F" w:rsidRPr="00CE6C5F" w:rsidRDefault="00437D6F" w:rsidP="00CE6C5F">
      <w:pPr>
        <w:spacing w:line="276" w:lineRule="auto"/>
        <w:jc w:val="both"/>
        <w:rPr>
          <w:rFonts w:ascii="Arial" w:hAnsi="Arial" w:cs="Arial"/>
          <w:sz w:val="22"/>
          <w:szCs w:val="22"/>
        </w:rPr>
      </w:pPr>
      <w:r w:rsidRPr="00CE6C5F">
        <w:rPr>
          <w:rFonts w:ascii="Arial" w:hAnsi="Arial" w:cs="Arial"/>
          <w:b/>
          <w:bCs/>
          <w:sz w:val="22"/>
          <w:szCs w:val="22"/>
        </w:rPr>
        <w:t>Acceptability.</w:t>
      </w:r>
      <w:r w:rsidRPr="00CE6C5F">
        <w:rPr>
          <w:rFonts w:ascii="Arial" w:hAnsi="Arial" w:cs="Arial"/>
          <w:sz w:val="22"/>
          <w:szCs w:val="22"/>
        </w:rPr>
        <w:t xml:space="preserve"> Digital transformation tends to be more acceptable to stakeholders if benefits are measurable (service levels, unit costs, retention) and risks are managed through governance and change leadership (BCG, 2024). Ecosystem moves can be attractive due to upside potential, but may face higher acceptability hurdles (profit-sharing, data/privacy concerns, control issues) and require clearer risk appetite and KPIs (McKinsey &amp; Company, 2019</w:t>
      </w:r>
    </w:p>
    <w:p w14:paraId="049FE5E4" w14:textId="0EDD0FC3" w:rsidR="00437D6F" w:rsidRPr="00CE6C5F" w:rsidRDefault="00437D6F" w:rsidP="00CE6C5F">
      <w:pPr>
        <w:spacing w:line="276" w:lineRule="auto"/>
        <w:jc w:val="both"/>
        <w:rPr>
          <w:rFonts w:ascii="Arial" w:hAnsi="Arial" w:cs="Arial"/>
          <w:sz w:val="22"/>
          <w:szCs w:val="22"/>
        </w:rPr>
      </w:pPr>
      <w:r w:rsidRPr="00CE6C5F">
        <w:rPr>
          <w:rFonts w:ascii="Arial" w:hAnsi="Arial" w:cs="Arial"/>
          <w:b/>
          <w:bCs/>
          <w:sz w:val="22"/>
          <w:szCs w:val="22"/>
        </w:rPr>
        <w:t>Feasibility.</w:t>
      </w:r>
      <w:r w:rsidRPr="00CE6C5F">
        <w:rPr>
          <w:rFonts w:ascii="Arial" w:hAnsi="Arial" w:cs="Arial"/>
          <w:sz w:val="22"/>
          <w:szCs w:val="22"/>
        </w:rPr>
        <w:t xml:space="preserve"> Core digital transformation is generally the most feasible because it builds on existing assets, data, processes, and customer relationships—provided leadership commits resources and addresses culture and skills (BCG, 2024). Ecosystem strategies demand more complex capabilities (partner management, API/data governance, modular architecture), so feasibility improves </w:t>
      </w:r>
      <w:r w:rsidRPr="00CE6C5F">
        <w:rPr>
          <w:rFonts w:ascii="Arial" w:hAnsi="Arial" w:cs="Arial"/>
          <w:b/>
          <w:bCs/>
          <w:sz w:val="22"/>
          <w:szCs w:val="22"/>
        </w:rPr>
        <w:t>after</w:t>
      </w:r>
      <w:r w:rsidRPr="00CE6C5F">
        <w:rPr>
          <w:rFonts w:ascii="Arial" w:hAnsi="Arial" w:cs="Arial"/>
          <w:sz w:val="22"/>
          <w:szCs w:val="22"/>
        </w:rPr>
        <w:t xml:space="preserve"> the core is digitised (McKinsey &amp; Company, 2019).</w:t>
      </w:r>
    </w:p>
    <w:p w14:paraId="0542FD40" w14:textId="77777777" w:rsidR="00437D6F" w:rsidRPr="00CE6C5F" w:rsidRDefault="00437D6F" w:rsidP="00CE6C5F">
      <w:pPr>
        <w:spacing w:line="276" w:lineRule="auto"/>
        <w:jc w:val="both"/>
        <w:rPr>
          <w:rFonts w:ascii="Arial" w:hAnsi="Arial" w:cs="Arial"/>
          <w:sz w:val="22"/>
          <w:szCs w:val="22"/>
        </w:rPr>
      </w:pPr>
      <w:r w:rsidRPr="00CE6C5F">
        <w:rPr>
          <w:rFonts w:ascii="Arial" w:hAnsi="Arial" w:cs="Arial"/>
          <w:b/>
          <w:bCs/>
          <w:sz w:val="22"/>
          <w:szCs w:val="22"/>
        </w:rPr>
        <w:t>Recommendation.</w:t>
      </w:r>
      <w:r w:rsidRPr="00CE6C5F">
        <w:rPr>
          <w:rFonts w:ascii="Arial" w:hAnsi="Arial" w:cs="Arial"/>
          <w:sz w:val="22"/>
          <w:szCs w:val="22"/>
        </w:rPr>
        <w:t xml:space="preserve"> Prioritise </w:t>
      </w:r>
      <w:r w:rsidRPr="00CE6C5F">
        <w:rPr>
          <w:rFonts w:ascii="Arial" w:hAnsi="Arial" w:cs="Arial"/>
          <w:b/>
          <w:bCs/>
          <w:sz w:val="22"/>
          <w:szCs w:val="22"/>
        </w:rPr>
        <w:t>Option 1 (core digital transformation)</w:t>
      </w:r>
      <w:r w:rsidRPr="00CE6C5F">
        <w:rPr>
          <w:rFonts w:ascii="Arial" w:hAnsi="Arial" w:cs="Arial"/>
          <w:sz w:val="22"/>
          <w:szCs w:val="22"/>
        </w:rPr>
        <w:t xml:space="preserve"> as the foundation, then pursue </w:t>
      </w:r>
      <w:r w:rsidRPr="00CE6C5F">
        <w:rPr>
          <w:rFonts w:ascii="Arial" w:hAnsi="Arial" w:cs="Arial"/>
          <w:b/>
          <w:bCs/>
          <w:sz w:val="22"/>
          <w:szCs w:val="22"/>
        </w:rPr>
        <w:t>Option 2 (selective ecosystem partnerships)</w:t>
      </w:r>
      <w:r w:rsidRPr="00CE6C5F">
        <w:rPr>
          <w:rFonts w:ascii="Arial" w:hAnsi="Arial" w:cs="Arial"/>
          <w:sz w:val="22"/>
          <w:szCs w:val="22"/>
        </w:rPr>
        <w:t xml:space="preserve"> once enabling capabilities and governance mature. Evaluate </w:t>
      </w:r>
      <w:r w:rsidRPr="00CE6C5F">
        <w:rPr>
          <w:rFonts w:ascii="Arial" w:hAnsi="Arial" w:cs="Arial"/>
          <w:b/>
          <w:bCs/>
          <w:sz w:val="22"/>
          <w:szCs w:val="22"/>
        </w:rPr>
        <w:t>Option 3 (geographic diversification)</w:t>
      </w:r>
      <w:r w:rsidRPr="00CE6C5F">
        <w:rPr>
          <w:rFonts w:ascii="Arial" w:hAnsi="Arial" w:cs="Arial"/>
          <w:sz w:val="22"/>
          <w:szCs w:val="22"/>
        </w:rPr>
        <w:t xml:space="preserve"> only after the first two options are delivering predictable cash flows and repeatable operating capabilities, consistent with SAF logic (Whittington et al., 2020).</w:t>
      </w:r>
    </w:p>
    <w:p w14:paraId="06D18F5B" w14:textId="77777777" w:rsidR="004862A8" w:rsidRPr="00CE6C5F" w:rsidRDefault="004862A8" w:rsidP="00CE6C5F">
      <w:pPr>
        <w:spacing w:line="276" w:lineRule="auto"/>
        <w:jc w:val="both"/>
        <w:rPr>
          <w:rFonts w:ascii="Arial" w:hAnsi="Arial" w:cs="Arial"/>
          <w:sz w:val="22"/>
          <w:szCs w:val="22"/>
        </w:rPr>
      </w:pPr>
    </w:p>
    <w:p w14:paraId="0876CF73" w14:textId="77777777" w:rsidR="00B65757" w:rsidRDefault="00B65757" w:rsidP="00E62E89"/>
    <w:p w14:paraId="1D8CF7C2" w14:textId="77777777" w:rsidR="00B65757" w:rsidRDefault="00B65757" w:rsidP="00E62E89"/>
    <w:p w14:paraId="260575F9" w14:textId="223FCCA0" w:rsidR="0049638B" w:rsidRPr="00C21C09" w:rsidRDefault="00AC5F05" w:rsidP="00AC5F05">
      <w:pPr>
        <w:pStyle w:val="Heading1"/>
        <w:rPr>
          <w:rFonts w:ascii="Arial" w:hAnsi="Arial" w:cs="Arial"/>
        </w:rPr>
      </w:pPr>
      <w:bookmarkStart w:id="13" w:name="_Toc216970892"/>
      <w:r w:rsidRPr="00C21C09">
        <w:rPr>
          <w:rFonts w:ascii="Arial" w:hAnsi="Arial" w:cs="Arial"/>
        </w:rPr>
        <w:t>8.</w:t>
      </w:r>
      <w:r w:rsidR="00953483" w:rsidRPr="00C21C09">
        <w:rPr>
          <w:rFonts w:ascii="Arial" w:hAnsi="Arial" w:cs="Arial"/>
        </w:rPr>
        <w:t xml:space="preserve"> </w:t>
      </w:r>
      <w:r w:rsidR="006D7ACF" w:rsidRPr="00C21C09">
        <w:rPr>
          <w:rFonts w:ascii="Arial" w:hAnsi="Arial" w:cs="Arial"/>
        </w:rPr>
        <w:t>Key</w:t>
      </w:r>
      <w:r w:rsidR="0049638B" w:rsidRPr="00C21C09">
        <w:rPr>
          <w:rFonts w:ascii="Arial" w:hAnsi="Arial" w:cs="Arial"/>
        </w:rPr>
        <w:t xml:space="preserve"> strategic recommendations for </w:t>
      </w:r>
      <w:r w:rsidR="006D790E" w:rsidRPr="00C21C09">
        <w:rPr>
          <w:rFonts w:ascii="Arial" w:hAnsi="Arial" w:cs="Arial"/>
        </w:rPr>
        <w:t xml:space="preserve">Fleximize </w:t>
      </w:r>
      <w:r w:rsidR="0049638B" w:rsidRPr="00C21C09">
        <w:rPr>
          <w:rFonts w:ascii="Arial" w:hAnsi="Arial" w:cs="Arial"/>
        </w:rPr>
        <w:t xml:space="preserve"> for future developments and implementation</w:t>
      </w:r>
      <w:bookmarkEnd w:id="13"/>
    </w:p>
    <w:p w14:paraId="0DDA8799" w14:textId="44A2DAF3" w:rsidR="00BB598F" w:rsidRPr="006322E5" w:rsidRDefault="006322E5" w:rsidP="006322E5">
      <w:pPr>
        <w:spacing w:line="276" w:lineRule="auto"/>
        <w:jc w:val="both"/>
        <w:rPr>
          <w:rFonts w:ascii="Arial" w:hAnsi="Arial" w:cs="Arial"/>
          <w:sz w:val="22"/>
          <w:szCs w:val="22"/>
        </w:rPr>
      </w:pPr>
      <w:r w:rsidRPr="006322E5">
        <w:rPr>
          <w:rFonts w:ascii="Arial" w:hAnsi="Arial" w:cs="Arial"/>
          <w:sz w:val="22"/>
          <w:szCs w:val="22"/>
        </w:rPr>
        <w:t xml:space="preserve">Recommendation. Prioritise Option 1 (core digital transformation) as the foundation, then pursue Option 2 (selective ecosystem partnerships) once enabling capabilities and governance mature. Evaluate Option 3 (geographic diversification) only after the first two </w:t>
      </w:r>
      <w:r w:rsidRPr="006322E5">
        <w:rPr>
          <w:rFonts w:ascii="Arial" w:hAnsi="Arial" w:cs="Arial"/>
          <w:sz w:val="22"/>
          <w:szCs w:val="22"/>
        </w:rPr>
        <w:lastRenderedPageBreak/>
        <w:t xml:space="preserve">options are delivering predictable cash flows and repeatable operating capabilities, consistent with SAF logic (Whittington et al., 2020). 1. Deepen “smart data” underwriting and monitoring. Build on Open Banking by expanding consented data sources (e.g., accounting, payments, tax, where available) to improve affordability, fraud detection, and early-warning signals. This enables faster decisions with tighter risk-based pricing and proactive collections for stressed borrowers (CFIT, 2024; Bank of England, 2024). 2. Broaden product and channel mix around SME cashflow needs. UK SMEs continue to face uncertain demand for borrowing and higher costs, so </w:t>
      </w:r>
      <w:proofErr w:type="spellStart"/>
      <w:r w:rsidRPr="006322E5">
        <w:rPr>
          <w:rFonts w:ascii="Arial" w:hAnsi="Arial" w:cs="Arial"/>
          <w:sz w:val="22"/>
          <w:szCs w:val="22"/>
        </w:rPr>
        <w:t>Fleximize</w:t>
      </w:r>
      <w:proofErr w:type="spellEnd"/>
      <w:r w:rsidRPr="006322E5">
        <w:rPr>
          <w:rFonts w:ascii="Arial" w:hAnsi="Arial" w:cs="Arial"/>
          <w:sz w:val="22"/>
          <w:szCs w:val="22"/>
        </w:rPr>
        <w:t xml:space="preserve"> should package flexible working-capital products with clearer use-cases (seasonality, inventory, VAT, late payments) and offer more “stepped” limits (start small, expand with performance). (British Business Bank, 2024; CFIT, 2024). 3. Strengthen funding resilience and unit economics. With bank lending flows and SME credit conditions fluctuating, </w:t>
      </w:r>
      <w:proofErr w:type="spellStart"/>
      <w:r w:rsidRPr="006322E5">
        <w:rPr>
          <w:rFonts w:ascii="Arial" w:hAnsi="Arial" w:cs="Arial"/>
          <w:sz w:val="22"/>
          <w:szCs w:val="22"/>
        </w:rPr>
        <w:t>Fleximize</w:t>
      </w:r>
      <w:proofErr w:type="spellEnd"/>
      <w:r w:rsidRPr="006322E5">
        <w:rPr>
          <w:rFonts w:ascii="Arial" w:hAnsi="Arial" w:cs="Arial"/>
          <w:sz w:val="22"/>
          <w:szCs w:val="22"/>
        </w:rPr>
        <w:t xml:space="preserve"> should diversify wholesale funding (multiple institutional lines, securitisation readiness where feasible) and align duration/price to funding costs to protect margin (British Business Bank, 2024; Bank of England, 2024). 4. Make “good outcomes” and trust a product feature. Even where SME lending sits partly outside retail conduct rules, expectations on fair value, transparency, and customer support are rising. </w:t>
      </w:r>
      <w:proofErr w:type="spellStart"/>
      <w:r w:rsidRPr="006322E5">
        <w:rPr>
          <w:rFonts w:ascii="Arial" w:hAnsi="Arial" w:cs="Arial"/>
          <w:sz w:val="22"/>
          <w:szCs w:val="22"/>
        </w:rPr>
        <w:t>Fleximize</w:t>
      </w:r>
      <w:proofErr w:type="spellEnd"/>
      <w:r w:rsidRPr="006322E5">
        <w:rPr>
          <w:rFonts w:ascii="Arial" w:hAnsi="Arial" w:cs="Arial"/>
          <w:sz w:val="22"/>
          <w:szCs w:val="22"/>
        </w:rPr>
        <w:t xml:space="preserve"> should adopt Consumer Duty-style disciplines—plain-language pricing, strong suitability/affordability checks, and robust forbearance pathways—as a competitive differentiator and to reduce reputational/regulatory risk (FCA, 2022; FCA, 2023).</w:t>
      </w:r>
    </w:p>
    <w:p w14:paraId="1472297C" w14:textId="77777777" w:rsidR="00B65757" w:rsidRDefault="00B65757" w:rsidP="00BB598F">
      <w:pPr>
        <w:rPr>
          <w:b/>
          <w:bCs/>
        </w:rPr>
      </w:pPr>
    </w:p>
    <w:p w14:paraId="1390B175" w14:textId="5AEC7F5C" w:rsidR="00BB598F" w:rsidRPr="00C21C09" w:rsidRDefault="00950566" w:rsidP="00950566">
      <w:pPr>
        <w:pStyle w:val="Heading2"/>
        <w:rPr>
          <w:rFonts w:ascii="Arial" w:hAnsi="Arial" w:cs="Arial"/>
        </w:rPr>
      </w:pPr>
      <w:bookmarkStart w:id="14" w:name="_Toc216970893"/>
      <w:r w:rsidRPr="00C21C09">
        <w:rPr>
          <w:rFonts w:ascii="Arial" w:hAnsi="Arial" w:cs="Arial"/>
        </w:rPr>
        <w:t>7.1 Implementation Challenges</w:t>
      </w:r>
      <w:bookmarkEnd w:id="14"/>
    </w:p>
    <w:p w14:paraId="30F483D0" w14:textId="53F42B88" w:rsidR="00BB598F" w:rsidRPr="00AB57C2" w:rsidRDefault="00195443" w:rsidP="009560C2">
      <w:pPr>
        <w:spacing w:line="276" w:lineRule="auto"/>
        <w:jc w:val="both"/>
        <w:rPr>
          <w:rFonts w:ascii="Arial" w:hAnsi="Arial" w:cs="Arial"/>
          <w:sz w:val="22"/>
          <w:szCs w:val="22"/>
        </w:rPr>
      </w:pPr>
      <w:r w:rsidRPr="00AB57C2">
        <w:rPr>
          <w:rFonts w:ascii="Arial" w:hAnsi="Arial" w:cs="Arial"/>
          <w:b/>
          <w:bCs/>
          <w:sz w:val="22"/>
          <w:szCs w:val="22"/>
        </w:rPr>
        <w:t xml:space="preserve">Data and model risk: </w:t>
      </w:r>
      <w:r w:rsidRPr="00AB57C2">
        <w:rPr>
          <w:rFonts w:ascii="Arial" w:hAnsi="Arial" w:cs="Arial"/>
          <w:sz w:val="22"/>
          <w:szCs w:val="22"/>
        </w:rPr>
        <w:t>integrating new data sources raises complexity, bias risk, explainability requirements, and governance overhead (CFIT, 2024).</w:t>
      </w:r>
    </w:p>
    <w:p w14:paraId="2F717FC8" w14:textId="0518E076" w:rsidR="00BB598F" w:rsidRPr="00AB57C2" w:rsidRDefault="00195443" w:rsidP="009560C2">
      <w:pPr>
        <w:spacing w:line="276" w:lineRule="auto"/>
        <w:jc w:val="both"/>
        <w:rPr>
          <w:rFonts w:ascii="Arial" w:hAnsi="Arial" w:cs="Arial"/>
          <w:sz w:val="22"/>
          <w:szCs w:val="22"/>
        </w:rPr>
      </w:pPr>
      <w:r w:rsidRPr="00AB57C2">
        <w:rPr>
          <w:rFonts w:ascii="Arial" w:hAnsi="Arial" w:cs="Arial"/>
          <w:b/>
          <w:bCs/>
          <w:sz w:val="22"/>
          <w:szCs w:val="22"/>
        </w:rPr>
        <w:t>Operational resilience and cyber/privacy</w:t>
      </w:r>
      <w:r w:rsidRPr="00AB57C2">
        <w:rPr>
          <w:rFonts w:ascii="Arial" w:hAnsi="Arial" w:cs="Arial"/>
          <w:sz w:val="22"/>
          <w:szCs w:val="22"/>
        </w:rPr>
        <w:t>: increased data-sharing amplifies risks related to security, consent management, and third-party dependencies (CFIT, 2024).</w:t>
      </w:r>
    </w:p>
    <w:p w14:paraId="303FDE7E" w14:textId="77777777" w:rsidR="00BB598F" w:rsidRPr="00AB57C2" w:rsidRDefault="00BB598F" w:rsidP="009560C2">
      <w:pPr>
        <w:spacing w:line="276" w:lineRule="auto"/>
        <w:jc w:val="both"/>
        <w:rPr>
          <w:rFonts w:ascii="Arial" w:hAnsi="Arial" w:cs="Arial"/>
          <w:sz w:val="22"/>
          <w:szCs w:val="22"/>
        </w:rPr>
      </w:pPr>
      <w:r w:rsidRPr="00AB57C2">
        <w:rPr>
          <w:rFonts w:ascii="Arial" w:hAnsi="Arial" w:cs="Arial"/>
          <w:b/>
          <w:bCs/>
          <w:sz w:val="22"/>
          <w:szCs w:val="22"/>
        </w:rPr>
        <w:t>Macro uncertainty and credit deterioration:</w:t>
      </w:r>
      <w:r w:rsidRPr="00AB57C2">
        <w:rPr>
          <w:rFonts w:ascii="Arial" w:hAnsi="Arial" w:cs="Arial"/>
          <w:sz w:val="22"/>
          <w:szCs w:val="22"/>
        </w:rPr>
        <w:t xml:space="preserve"> volatile SME revenues can weaken portfolio performance, requiring tighter monitoring and collections capacity (British Business Bank, 2024; Bank of England, 2024).</w:t>
      </w:r>
    </w:p>
    <w:p w14:paraId="12159175" w14:textId="7E9F8726" w:rsidR="00D92DA4" w:rsidRPr="00AB57C2" w:rsidRDefault="003E04D3" w:rsidP="009560C2">
      <w:pPr>
        <w:spacing w:line="276" w:lineRule="auto"/>
        <w:jc w:val="both"/>
        <w:rPr>
          <w:rFonts w:ascii="Arial" w:hAnsi="Arial" w:cs="Arial"/>
          <w:sz w:val="22"/>
          <w:szCs w:val="22"/>
        </w:rPr>
      </w:pPr>
      <w:r w:rsidRPr="00AB57C2">
        <w:rPr>
          <w:rFonts w:ascii="Arial" w:hAnsi="Arial" w:cs="Arial"/>
          <w:b/>
          <w:bCs/>
          <w:sz w:val="22"/>
          <w:szCs w:val="22"/>
        </w:rPr>
        <w:t xml:space="preserve">Regulatory and conduct expectations: </w:t>
      </w:r>
      <w:r w:rsidRPr="00AB57C2">
        <w:rPr>
          <w:rFonts w:ascii="Arial" w:hAnsi="Arial" w:cs="Arial"/>
          <w:sz w:val="22"/>
          <w:szCs w:val="22"/>
        </w:rPr>
        <w:t>integrating higher customer-outcome standards may increase costs and delay launches, but neglecting this can lead to greater enforcement and reputation risks (FCA, 2022; FCA, 2023).</w:t>
      </w:r>
    </w:p>
    <w:p w14:paraId="38A3341B" w14:textId="77777777" w:rsidR="00DF029D" w:rsidRDefault="00DF029D" w:rsidP="00DF029D">
      <w:pPr>
        <w:pStyle w:val="ListParagraph"/>
      </w:pPr>
    </w:p>
    <w:p w14:paraId="29CDD070" w14:textId="77777777" w:rsidR="002951AB" w:rsidRDefault="002951AB" w:rsidP="002951AB"/>
    <w:p w14:paraId="79ED3841" w14:textId="77777777" w:rsidR="00BB7BA9" w:rsidRDefault="00BB7BA9" w:rsidP="002951AB"/>
    <w:p w14:paraId="11F81884" w14:textId="524700CB" w:rsidR="00BB7BA9" w:rsidRPr="00BB7BA9" w:rsidRDefault="007B22D1" w:rsidP="00BB7BA9">
      <w:pPr>
        <w:pStyle w:val="Heading1"/>
        <w:rPr>
          <w:rFonts w:ascii="Arial" w:hAnsi="Arial" w:cs="Arial"/>
        </w:rPr>
      </w:pPr>
      <w:bookmarkStart w:id="15" w:name="_Toc216970894"/>
      <w:r>
        <w:rPr>
          <w:rFonts w:ascii="Arial" w:hAnsi="Arial" w:cs="Arial"/>
        </w:rPr>
        <w:t xml:space="preserve">9. </w:t>
      </w:r>
      <w:r w:rsidR="002951AB" w:rsidRPr="00C21C09">
        <w:rPr>
          <w:rFonts w:ascii="Arial" w:hAnsi="Arial" w:cs="Arial"/>
        </w:rPr>
        <w:t>Conclusion</w:t>
      </w:r>
      <w:bookmarkEnd w:id="15"/>
    </w:p>
    <w:p w14:paraId="6913480C" w14:textId="634D16EB" w:rsidR="00524CD0" w:rsidRPr="00AB57C2" w:rsidRDefault="00AB57C2" w:rsidP="00AB57C2">
      <w:pPr>
        <w:spacing w:line="276" w:lineRule="auto"/>
        <w:jc w:val="both"/>
        <w:rPr>
          <w:rFonts w:ascii="Arial" w:hAnsi="Arial" w:cs="Arial"/>
          <w:sz w:val="22"/>
          <w:szCs w:val="22"/>
        </w:rPr>
      </w:pPr>
      <w:r w:rsidRPr="00AB57C2">
        <w:rPr>
          <w:rFonts w:ascii="Arial" w:hAnsi="Arial" w:cs="Arial"/>
          <w:sz w:val="22"/>
          <w:szCs w:val="22"/>
        </w:rPr>
        <w:t xml:space="preserve">All organisations require a plan to achieve their Mission, Vision, and Strategy. A strategic analysis of </w:t>
      </w:r>
      <w:proofErr w:type="spellStart"/>
      <w:r w:rsidRPr="00AB57C2">
        <w:rPr>
          <w:rFonts w:ascii="Arial" w:hAnsi="Arial" w:cs="Arial"/>
          <w:sz w:val="22"/>
          <w:szCs w:val="22"/>
        </w:rPr>
        <w:t>Fleximize</w:t>
      </w:r>
      <w:proofErr w:type="spellEnd"/>
      <w:r w:rsidRPr="00AB57C2">
        <w:rPr>
          <w:rFonts w:ascii="Arial" w:hAnsi="Arial" w:cs="Arial"/>
          <w:sz w:val="22"/>
          <w:szCs w:val="22"/>
        </w:rPr>
        <w:t xml:space="preserve"> Limited shows that the company maintains a strong and defensible position within the UK alternative finance and SME lending market. Its customer-focused business model, technology-driven credit assessment, and relationship-oriented approach </w:t>
      </w:r>
      <w:r w:rsidRPr="00AB57C2">
        <w:rPr>
          <w:rFonts w:ascii="Arial" w:hAnsi="Arial" w:cs="Arial"/>
          <w:sz w:val="22"/>
          <w:szCs w:val="22"/>
        </w:rPr>
        <w:lastRenderedPageBreak/>
        <w:t xml:space="preserve">distinguish </w:t>
      </w:r>
      <w:proofErr w:type="spellStart"/>
      <w:r w:rsidRPr="00AB57C2">
        <w:rPr>
          <w:rFonts w:ascii="Arial" w:hAnsi="Arial" w:cs="Arial"/>
          <w:sz w:val="22"/>
          <w:szCs w:val="22"/>
        </w:rPr>
        <w:t>Fleximize</w:t>
      </w:r>
      <w:proofErr w:type="spellEnd"/>
      <w:r w:rsidRPr="00AB57C2">
        <w:rPr>
          <w:rFonts w:ascii="Arial" w:hAnsi="Arial" w:cs="Arial"/>
          <w:sz w:val="22"/>
          <w:szCs w:val="22"/>
        </w:rPr>
        <w:t xml:space="preserve"> from traditional banks and purely digital lenders. The review of its vision, mission, and objectives reveals consistency in strategy, with a clear focus on sustainable growth, SME empowerment, and responsible lending. Internal and external analyses (SWOT, Value Chain, PESTEL, and Porter’s Five Forces) indicate that although </w:t>
      </w:r>
      <w:proofErr w:type="spellStart"/>
      <w:r w:rsidRPr="00AB57C2">
        <w:rPr>
          <w:rFonts w:ascii="Arial" w:hAnsi="Arial" w:cs="Arial"/>
          <w:sz w:val="22"/>
          <w:szCs w:val="22"/>
        </w:rPr>
        <w:t>Fleximize</w:t>
      </w:r>
      <w:proofErr w:type="spellEnd"/>
      <w:r w:rsidRPr="00AB57C2">
        <w:rPr>
          <w:rFonts w:ascii="Arial" w:hAnsi="Arial" w:cs="Arial"/>
          <w:sz w:val="22"/>
          <w:szCs w:val="22"/>
        </w:rPr>
        <w:t xml:space="preserve"> benefits from strong brand recognition, operational flexibility, and innovative underwriting skills, it faces increasing competition, regulatory challenges, and macroeconomic uncertainties. Nonetheless, its competitive position remains robust due to high switching costs, strong customer relationships, and niche market focus. The evaluation of strategic growth options using the Ansoff Matrix suggests that market penetration and product development are the most suitable, achievable, and acceptable strategies for the medium to long term.</w:t>
      </w:r>
    </w:p>
    <w:p w14:paraId="5DBB59D0" w14:textId="77777777" w:rsidR="002159AD" w:rsidRDefault="002159AD" w:rsidP="002159AD"/>
    <w:p w14:paraId="52E8101D" w14:textId="77777777" w:rsidR="002159AD" w:rsidRDefault="002159AD" w:rsidP="002159AD"/>
    <w:p w14:paraId="5CC78C25" w14:textId="77777777" w:rsidR="002159AD" w:rsidRDefault="002159AD" w:rsidP="002159AD"/>
    <w:p w14:paraId="4D2E9D69" w14:textId="77777777" w:rsidR="002159AD" w:rsidRDefault="002159AD" w:rsidP="002159AD"/>
    <w:p w14:paraId="3C3B5A72" w14:textId="77777777" w:rsidR="00F20383" w:rsidRDefault="00F20383" w:rsidP="002159AD"/>
    <w:p w14:paraId="273A1AC5" w14:textId="77777777" w:rsidR="00F20383" w:rsidRDefault="00F20383" w:rsidP="002159AD"/>
    <w:p w14:paraId="5B881329" w14:textId="77777777" w:rsidR="00F20383" w:rsidRDefault="00F20383" w:rsidP="002159AD"/>
    <w:p w14:paraId="5A76ECBC" w14:textId="77777777" w:rsidR="002159AD" w:rsidRDefault="002159AD" w:rsidP="002159AD"/>
    <w:p w14:paraId="2B06EC44" w14:textId="77777777" w:rsidR="00A11F67" w:rsidRDefault="00A11F67" w:rsidP="002159AD"/>
    <w:p w14:paraId="52CAC0A8" w14:textId="77777777" w:rsidR="00A11F67" w:rsidRDefault="00A11F67" w:rsidP="002159AD"/>
    <w:p w14:paraId="0D7CEE91" w14:textId="77777777" w:rsidR="00A11F67" w:rsidRDefault="00A11F67" w:rsidP="002159AD"/>
    <w:p w14:paraId="5AACDEBF" w14:textId="77777777" w:rsidR="009B6228" w:rsidRDefault="009B6228" w:rsidP="002159AD"/>
    <w:p w14:paraId="15D958F1" w14:textId="77777777" w:rsidR="009B6228" w:rsidRDefault="009B6228" w:rsidP="002159AD"/>
    <w:p w14:paraId="3C015571" w14:textId="77777777" w:rsidR="009B6228" w:rsidRDefault="009B6228" w:rsidP="002159AD"/>
    <w:p w14:paraId="0B5337DF" w14:textId="77777777" w:rsidR="00AB57C2" w:rsidRDefault="00AB57C2" w:rsidP="002159AD"/>
    <w:p w14:paraId="091A79E7" w14:textId="77777777" w:rsidR="002159AD" w:rsidRDefault="002159AD" w:rsidP="002159AD"/>
    <w:p w14:paraId="2F34C242" w14:textId="36EF8C4B" w:rsidR="002159AD" w:rsidRPr="00C21C09" w:rsidRDefault="006F7192" w:rsidP="00A54B7D">
      <w:pPr>
        <w:pStyle w:val="Heading1"/>
        <w:rPr>
          <w:rFonts w:ascii="Arial" w:hAnsi="Arial" w:cs="Arial"/>
        </w:rPr>
      </w:pPr>
      <w:bookmarkStart w:id="16" w:name="_Toc216970895"/>
      <w:r w:rsidRPr="00C21C09">
        <w:rPr>
          <w:rFonts w:ascii="Arial" w:hAnsi="Arial" w:cs="Arial"/>
        </w:rPr>
        <w:t>10.</w:t>
      </w:r>
      <w:r w:rsidR="00A54B7D" w:rsidRPr="00C21C09">
        <w:rPr>
          <w:rFonts w:ascii="Arial" w:hAnsi="Arial" w:cs="Arial"/>
        </w:rPr>
        <w:t xml:space="preserve"> </w:t>
      </w:r>
      <w:r w:rsidR="00E67E12" w:rsidRPr="00C21C09">
        <w:rPr>
          <w:rFonts w:ascii="Arial" w:hAnsi="Arial" w:cs="Arial"/>
        </w:rPr>
        <w:t>References List</w:t>
      </w:r>
      <w:bookmarkEnd w:id="16"/>
      <w:r w:rsidR="008B6DDA" w:rsidRPr="00C21C09">
        <w:rPr>
          <w:rFonts w:ascii="Arial" w:hAnsi="Arial" w:cs="Arial"/>
        </w:rPr>
        <w:t xml:space="preserve"> </w:t>
      </w:r>
    </w:p>
    <w:p w14:paraId="59455366" w14:textId="77777777" w:rsidR="008B6DDA" w:rsidRPr="00E16308" w:rsidRDefault="008B6DDA" w:rsidP="00A54B7D">
      <w:r w:rsidRPr="00E16308">
        <w:t xml:space="preserve">Companies House (2024) </w:t>
      </w:r>
      <w:r w:rsidRPr="009B6228">
        <w:rPr>
          <w:i/>
          <w:iCs/>
        </w:rPr>
        <w:t>Fleximize Limited: Company Overview</w:t>
      </w:r>
      <w:r w:rsidRPr="00E16308">
        <w:t xml:space="preserve">. Available at: </w:t>
      </w:r>
      <w:hyperlink r:id="rId9" w:tgtFrame="_new" w:history="1">
        <w:r w:rsidRPr="00E16308">
          <w:rPr>
            <w:rStyle w:val="Hyperlink"/>
          </w:rPr>
          <w:t>https://www.gov.uk</w:t>
        </w:r>
      </w:hyperlink>
      <w:r w:rsidRPr="00E16308">
        <w:t xml:space="preserve"> (Accessed: 10 December 2025).</w:t>
      </w:r>
    </w:p>
    <w:p w14:paraId="539D4B77" w14:textId="571FCF3B" w:rsidR="008B6DDA" w:rsidRPr="00E16308" w:rsidRDefault="008B6DDA" w:rsidP="00A54B7D">
      <w:r w:rsidRPr="00E16308">
        <w:t>Elite Business (2023)</w:t>
      </w:r>
      <w:r w:rsidR="00F71C55">
        <w:t>.</w:t>
      </w:r>
      <w:r w:rsidRPr="00E16308">
        <w:t xml:space="preserve"> </w:t>
      </w:r>
      <w:r w:rsidRPr="009B6228">
        <w:rPr>
          <w:i/>
          <w:iCs/>
        </w:rPr>
        <w:t>Elite Business Awards: SME Finance Provider Recognition</w:t>
      </w:r>
      <w:r w:rsidRPr="00E16308">
        <w:t>. Available at: https://www.elitebusinessmagazine.co.uk (Accessed: 10 December 2025).</w:t>
      </w:r>
    </w:p>
    <w:p w14:paraId="54650525" w14:textId="3272BB3E" w:rsidR="008B6DDA" w:rsidRPr="00E16308" w:rsidRDefault="00F71C55" w:rsidP="009B6228">
      <w:r>
        <w:lastRenderedPageBreak/>
        <w:t xml:space="preserve">  </w:t>
      </w:r>
      <w:r w:rsidR="008B6DDA" w:rsidRPr="00E16308">
        <w:t xml:space="preserve">Financial Conduct Authority (FCA) (2023) </w:t>
      </w:r>
      <w:r w:rsidR="008B6DDA" w:rsidRPr="009B6228">
        <w:rPr>
          <w:i/>
          <w:iCs/>
        </w:rPr>
        <w:t xml:space="preserve">Financial Services Register: </w:t>
      </w:r>
      <w:r>
        <w:rPr>
          <w:i/>
          <w:iCs/>
        </w:rPr>
        <w:t>Fleximize Limited</w:t>
      </w:r>
      <w:r w:rsidR="008B6DDA" w:rsidRPr="00E16308">
        <w:t>. Available at: https://register.fca.org.uk (Accessed: 10 December 2025).</w:t>
      </w:r>
    </w:p>
    <w:p w14:paraId="42835261" w14:textId="77777777" w:rsidR="008B6DDA" w:rsidRPr="00E16308" w:rsidRDefault="008B6DDA" w:rsidP="009B6228">
      <w:r w:rsidRPr="00E16308">
        <w:t xml:space="preserve">Fleximize (2024a) </w:t>
      </w:r>
      <w:r w:rsidRPr="009B6228">
        <w:rPr>
          <w:i/>
          <w:iCs/>
        </w:rPr>
        <w:t xml:space="preserve">Business Loans: </w:t>
      </w:r>
      <w:proofErr w:type="spellStart"/>
      <w:r w:rsidRPr="009B6228">
        <w:rPr>
          <w:i/>
          <w:iCs/>
        </w:rPr>
        <w:t>Flexiloan</w:t>
      </w:r>
      <w:proofErr w:type="spellEnd"/>
      <w:r w:rsidRPr="009B6228">
        <w:rPr>
          <w:i/>
          <w:iCs/>
        </w:rPr>
        <w:t xml:space="preserve"> and </w:t>
      </w:r>
      <w:proofErr w:type="spellStart"/>
      <w:r w:rsidRPr="009B6228">
        <w:rPr>
          <w:i/>
          <w:iCs/>
        </w:rPr>
        <w:t>Flexiloan</w:t>
      </w:r>
      <w:proofErr w:type="spellEnd"/>
      <w:r w:rsidRPr="009B6228">
        <w:rPr>
          <w:i/>
          <w:iCs/>
        </w:rPr>
        <w:t xml:space="preserve"> Lite</w:t>
      </w:r>
      <w:r w:rsidRPr="00E16308">
        <w:t xml:space="preserve">. Available at: </w:t>
      </w:r>
      <w:hyperlink r:id="rId10" w:tgtFrame="_new" w:history="1">
        <w:r w:rsidRPr="00E16308">
          <w:rPr>
            <w:rStyle w:val="Hyperlink"/>
          </w:rPr>
          <w:t>https://www.fleximize.com</w:t>
        </w:r>
      </w:hyperlink>
      <w:r w:rsidRPr="00E16308">
        <w:t xml:space="preserve"> (Accessed: 10 December 2025).</w:t>
      </w:r>
    </w:p>
    <w:p w14:paraId="42FC2955" w14:textId="44A60624" w:rsidR="008B6DDA" w:rsidRPr="00E16308" w:rsidRDefault="008B6DDA" w:rsidP="00F71C55">
      <w:r w:rsidRPr="00E16308">
        <w:t>Fleximize (2024b)</w:t>
      </w:r>
      <w:r w:rsidR="00F71C55">
        <w:t>.</w:t>
      </w:r>
      <w:r w:rsidRPr="00E16308">
        <w:t xml:space="preserve"> </w:t>
      </w:r>
      <w:r w:rsidRPr="00F71C55">
        <w:rPr>
          <w:i/>
          <w:iCs/>
        </w:rPr>
        <w:t>Why Choose Fleximize Business Loans</w:t>
      </w:r>
      <w:r w:rsidR="00765A1B">
        <w:t>?</w:t>
      </w:r>
      <w:r w:rsidRPr="00E16308">
        <w:t xml:space="preserve"> Available at: </w:t>
      </w:r>
      <w:hyperlink r:id="rId11" w:tgtFrame="_new" w:history="1">
        <w:r w:rsidRPr="00E16308">
          <w:rPr>
            <w:rStyle w:val="Hyperlink"/>
          </w:rPr>
          <w:t>https://www.fleximize.com</w:t>
        </w:r>
      </w:hyperlink>
      <w:r w:rsidRPr="00E16308">
        <w:t xml:space="preserve"> (Accessed: 10 December 2025).</w:t>
      </w:r>
    </w:p>
    <w:p w14:paraId="5ECA7067" w14:textId="243E2FE1" w:rsidR="008B6DDA" w:rsidRPr="00E16308" w:rsidRDefault="008B6DDA" w:rsidP="00F71C55">
      <w:r w:rsidRPr="00E16308">
        <w:t>Fleximize (2024c)</w:t>
      </w:r>
      <w:r w:rsidR="00F71C55">
        <w:t>.</w:t>
      </w:r>
      <w:r w:rsidRPr="00E16308">
        <w:t xml:space="preserve"> </w:t>
      </w:r>
      <w:r w:rsidRPr="00F71C55">
        <w:rPr>
          <w:i/>
          <w:iCs/>
        </w:rPr>
        <w:t>How Our Lending Works</w:t>
      </w:r>
      <w:r w:rsidRPr="00E16308">
        <w:t xml:space="preserve">. Available at: </w:t>
      </w:r>
      <w:hyperlink r:id="rId12" w:tgtFrame="_new" w:history="1">
        <w:r w:rsidRPr="00E16308">
          <w:rPr>
            <w:rStyle w:val="Hyperlink"/>
          </w:rPr>
          <w:t>https://www.fleximize.com</w:t>
        </w:r>
      </w:hyperlink>
      <w:r w:rsidRPr="00E16308">
        <w:t xml:space="preserve"> (Accessed: 10 December 2025).</w:t>
      </w:r>
    </w:p>
    <w:p w14:paraId="5BF82236" w14:textId="0B2B72AB" w:rsidR="008B6DDA" w:rsidRDefault="008B6DDA" w:rsidP="00F71C55">
      <w:r w:rsidRPr="00E16308">
        <w:t xml:space="preserve">Fleximize (2024d) </w:t>
      </w:r>
      <w:r w:rsidRPr="00F71C55">
        <w:rPr>
          <w:i/>
          <w:iCs/>
        </w:rPr>
        <w:t>About Us</w:t>
      </w:r>
      <w:r w:rsidRPr="00E16308">
        <w:t xml:space="preserve">. Available at: </w:t>
      </w:r>
      <w:hyperlink r:id="rId13" w:tgtFrame="_new" w:history="1">
        <w:r w:rsidRPr="00E16308">
          <w:rPr>
            <w:rStyle w:val="Hyperlink"/>
          </w:rPr>
          <w:t>https://www.fleximize.com</w:t>
        </w:r>
      </w:hyperlink>
      <w:r w:rsidRPr="00E16308">
        <w:t xml:space="preserve"> (Accessed: 10 December 2025).</w:t>
      </w:r>
    </w:p>
    <w:p w14:paraId="4B1FAAE5" w14:textId="77777777" w:rsidR="000064C3" w:rsidRPr="00E16308" w:rsidRDefault="000064C3" w:rsidP="00F71C55">
      <w:r w:rsidRPr="00E16308">
        <w:t xml:space="preserve">British Business Bank (2023) </w:t>
      </w:r>
      <w:r w:rsidRPr="00F71C55">
        <w:rPr>
          <w:i/>
          <w:iCs/>
        </w:rPr>
        <w:t>Small Business Finance Markets Report 2023</w:t>
      </w:r>
      <w:r w:rsidRPr="00E16308">
        <w:t>. London: British Business Bank.</w:t>
      </w:r>
    </w:p>
    <w:p w14:paraId="0A590F7A" w14:textId="77777777" w:rsidR="006A5E01" w:rsidRDefault="000064C3" w:rsidP="00F71C55">
      <w:r w:rsidRPr="00E16308">
        <w:t xml:space="preserve">Fleximize (2024a) </w:t>
      </w:r>
      <w:r w:rsidRPr="00F71C55">
        <w:rPr>
          <w:i/>
          <w:iCs/>
        </w:rPr>
        <w:t>Business Loans and Flexible Features</w:t>
      </w:r>
      <w:r w:rsidRPr="00E16308">
        <w:t xml:space="preserve">. Available at: </w:t>
      </w:r>
      <w:hyperlink r:id="rId14" w:tgtFrame="_new" w:history="1">
        <w:r w:rsidRPr="00E16308">
          <w:rPr>
            <w:rStyle w:val="Hyperlink"/>
          </w:rPr>
          <w:t>https://www.fleximize.com</w:t>
        </w:r>
      </w:hyperlink>
      <w:r w:rsidRPr="00E16308">
        <w:t xml:space="preserve"> (Accessed: 10 December 2025).</w:t>
      </w:r>
    </w:p>
    <w:p w14:paraId="2C4A9097" w14:textId="0F07D7EB" w:rsidR="000064C3" w:rsidRDefault="000064C3" w:rsidP="00F71C55">
      <w:r w:rsidRPr="00E16308">
        <w:t>Fleximize (2024b)</w:t>
      </w:r>
      <w:r w:rsidR="00E36598">
        <w:t>.</w:t>
      </w:r>
      <w:r w:rsidRPr="00E16308">
        <w:t xml:space="preserve"> </w:t>
      </w:r>
      <w:r w:rsidRPr="00F71C55">
        <w:rPr>
          <w:i/>
          <w:iCs/>
        </w:rPr>
        <w:t>About Fleximize: Our Approach to SME Lending</w:t>
      </w:r>
      <w:r w:rsidRPr="00E16308">
        <w:t xml:space="preserve">. Available at: </w:t>
      </w:r>
      <w:hyperlink r:id="rId15" w:tgtFrame="_new" w:history="1">
        <w:r w:rsidRPr="00E16308">
          <w:rPr>
            <w:rStyle w:val="Hyperlink"/>
          </w:rPr>
          <w:t>https://www.fleximize.com</w:t>
        </w:r>
      </w:hyperlink>
      <w:r w:rsidRPr="00E16308">
        <w:t xml:space="preserve"> (Accessed: 10 December 2025).</w:t>
      </w:r>
    </w:p>
    <w:p w14:paraId="6251912A" w14:textId="77777777" w:rsidR="00F13152" w:rsidRPr="002C6060" w:rsidRDefault="00F13152" w:rsidP="006A5E01">
      <w:r w:rsidRPr="002C6060">
        <w:t xml:space="preserve">British Business Bank (2024) </w:t>
      </w:r>
      <w:r w:rsidRPr="002C6060">
        <w:rPr>
          <w:i/>
          <w:iCs/>
        </w:rPr>
        <w:t>Small Business Finance Markets Report 2024</w:t>
      </w:r>
      <w:r w:rsidRPr="002C6060">
        <w:t xml:space="preserve"> (and factsheet).</w:t>
      </w:r>
    </w:p>
    <w:p w14:paraId="6E3AE846" w14:textId="77777777" w:rsidR="00F13152" w:rsidRPr="002C6060" w:rsidRDefault="00F13152" w:rsidP="006A5E01">
      <w:r w:rsidRPr="002C6060">
        <w:t xml:space="preserve">British Business Bank (2025) </w:t>
      </w:r>
      <w:r w:rsidRPr="002C6060">
        <w:rPr>
          <w:i/>
          <w:iCs/>
        </w:rPr>
        <w:t>Small Business Finance Markets 2024/25</w:t>
      </w:r>
      <w:r w:rsidRPr="002C6060">
        <w:t xml:space="preserve"> (PDF).</w:t>
      </w:r>
    </w:p>
    <w:p w14:paraId="64EDB479" w14:textId="77777777" w:rsidR="00F13152" w:rsidRPr="002C6060" w:rsidRDefault="00F13152" w:rsidP="006A5E01">
      <w:r w:rsidRPr="002C6060">
        <w:t>FCA (2022) ‘FCA tells banks to improve treatment of struggling small business borrowers’ (press release, 12 July).</w:t>
      </w:r>
    </w:p>
    <w:p w14:paraId="0E31674B" w14:textId="77777777" w:rsidR="00F13152" w:rsidRPr="002C6060" w:rsidRDefault="00F13152" w:rsidP="006A5E01">
      <w:r w:rsidRPr="002C6060">
        <w:t>FCA (2024a) ‘FCA to investigate use of personal guarantees in certain small business lending’ (press release, 5 March).</w:t>
      </w:r>
    </w:p>
    <w:p w14:paraId="185459DA" w14:textId="77777777" w:rsidR="00F13152" w:rsidRPr="002C6060" w:rsidRDefault="00F13152" w:rsidP="006A5E01">
      <w:proofErr w:type="spellStart"/>
      <w:r w:rsidRPr="002C6060">
        <w:t>Fleximize</w:t>
      </w:r>
      <w:proofErr w:type="spellEnd"/>
      <w:r w:rsidRPr="002C6060">
        <w:t xml:space="preserve"> (2022) </w:t>
      </w:r>
      <w:proofErr w:type="spellStart"/>
      <w:r w:rsidRPr="002C6060">
        <w:rPr>
          <w:i/>
          <w:iCs/>
        </w:rPr>
        <w:t>Flexiloan</w:t>
      </w:r>
      <w:proofErr w:type="spellEnd"/>
      <w:r w:rsidRPr="002C6060">
        <w:rPr>
          <w:i/>
          <w:iCs/>
        </w:rPr>
        <w:t xml:space="preserve"> | Get Flexible Funding Up to £500k</w:t>
      </w:r>
      <w:r w:rsidRPr="002C6060">
        <w:t xml:space="preserve"> (product page).</w:t>
      </w:r>
    </w:p>
    <w:p w14:paraId="7EEECEDC" w14:textId="4494882D" w:rsidR="00F13152" w:rsidRDefault="00F13152" w:rsidP="00E36598">
      <w:r w:rsidRPr="002C6060">
        <w:t xml:space="preserve">UK Government / Department for Business and Trade (2025) </w:t>
      </w:r>
      <w:r w:rsidRPr="002C6060">
        <w:rPr>
          <w:i/>
          <w:iCs/>
        </w:rPr>
        <w:t>Government response to small business access to finance call for evidence</w:t>
      </w:r>
      <w:r w:rsidRPr="002C6060">
        <w:t xml:space="preserve"> (published </w:t>
      </w:r>
      <w:r w:rsidR="00E36598">
        <w:t>4 December</w:t>
      </w:r>
      <w:r w:rsidRPr="002C6060">
        <w:t>).</w:t>
      </w:r>
    </w:p>
    <w:p w14:paraId="00B7BFA9" w14:textId="14148058" w:rsidR="00D41319" w:rsidRDefault="0040384C" w:rsidP="00E36598">
      <w:r w:rsidRPr="00404F8B">
        <w:t xml:space="preserve">British Business Bank (2024) </w:t>
      </w:r>
      <w:r w:rsidRPr="00E36598">
        <w:rPr>
          <w:i/>
          <w:iCs/>
        </w:rPr>
        <w:t>Small Business Finance Markets Report 2024</w:t>
      </w:r>
      <w:r w:rsidRPr="00404F8B">
        <w:t>.</w:t>
      </w:r>
      <w:r w:rsidRPr="00404F8B">
        <w:br/>
        <w:t xml:space="preserve">British Business Bank (2025) </w:t>
      </w:r>
      <w:r w:rsidRPr="00E36598">
        <w:rPr>
          <w:i/>
          <w:iCs/>
        </w:rPr>
        <w:t>Small Business Finance Markets 2024/25</w:t>
      </w:r>
      <w:r w:rsidRPr="00404F8B">
        <w:t>.</w:t>
      </w:r>
      <w:r w:rsidRPr="00404F8B">
        <w:br/>
        <w:t xml:space="preserve">FCA (2022) </w:t>
      </w:r>
      <w:r w:rsidRPr="00E36598">
        <w:rPr>
          <w:i/>
          <w:iCs/>
        </w:rPr>
        <w:t>FCA tells banks to improve treatment of struggling small business borrowers</w:t>
      </w:r>
      <w:r w:rsidRPr="00404F8B">
        <w:t>.</w:t>
      </w:r>
      <w:r w:rsidRPr="00404F8B">
        <w:br/>
        <w:t xml:space="preserve">FCA (2024) </w:t>
      </w:r>
      <w:r w:rsidRPr="00E36598">
        <w:rPr>
          <w:i/>
          <w:iCs/>
        </w:rPr>
        <w:t>FCA to investigate the use of personal guarantees in small business lending</w:t>
      </w:r>
      <w:r w:rsidRPr="00404F8B">
        <w:t>.</w:t>
      </w:r>
      <w:r w:rsidRPr="00404F8B">
        <w:br/>
        <w:t xml:space="preserve">Johnson, G., Scholes, K. and Whittington, R. (2020) </w:t>
      </w:r>
      <w:r w:rsidRPr="00E36598">
        <w:rPr>
          <w:i/>
          <w:iCs/>
        </w:rPr>
        <w:t>Exploring Strategy</w:t>
      </w:r>
      <w:r w:rsidRPr="00404F8B">
        <w:t xml:space="preserve">, 12th </w:t>
      </w:r>
      <w:proofErr w:type="spellStart"/>
      <w:r w:rsidRPr="00404F8B">
        <w:t>edn</w:t>
      </w:r>
      <w:proofErr w:type="spellEnd"/>
      <w:r w:rsidRPr="00404F8B">
        <w:t>. Pearson.</w:t>
      </w:r>
      <w:r w:rsidRPr="00404F8B">
        <w:br/>
        <w:t xml:space="preserve">OECD (2023) </w:t>
      </w:r>
      <w:r w:rsidRPr="00E36598">
        <w:rPr>
          <w:i/>
          <w:iCs/>
        </w:rPr>
        <w:t>Financing SMEs and Entrepreneurs 2023: An OECD Scoreboard</w:t>
      </w:r>
      <w:r w:rsidRPr="00404F8B">
        <w:t>.</w:t>
      </w:r>
    </w:p>
    <w:p w14:paraId="0ADA49FD" w14:textId="4E725E0B" w:rsidR="00D41319" w:rsidRPr="00B96D12" w:rsidRDefault="00D41319" w:rsidP="00EB2F65">
      <w:r w:rsidRPr="00B96D12">
        <w:lastRenderedPageBreak/>
        <w:t>Bourne, L. (2016)</w:t>
      </w:r>
      <w:r w:rsidR="00EB2F65">
        <w:t>.</w:t>
      </w:r>
      <w:r w:rsidRPr="00B96D12">
        <w:t xml:space="preserve"> </w:t>
      </w:r>
      <w:r w:rsidRPr="00EB2F65">
        <w:rPr>
          <w:i/>
          <w:iCs/>
        </w:rPr>
        <w:t>Stakeholder Relationship Management: A Maturity Model for Organisational Implementation</w:t>
      </w:r>
      <w:r w:rsidRPr="00B96D12">
        <w:t xml:space="preserve">. 2nd </w:t>
      </w:r>
      <w:proofErr w:type="spellStart"/>
      <w:r w:rsidRPr="00B96D12">
        <w:t>edn</w:t>
      </w:r>
      <w:proofErr w:type="spellEnd"/>
      <w:r w:rsidRPr="00B96D12">
        <w:t>. Abingdon: Routledge.</w:t>
      </w:r>
    </w:p>
    <w:p w14:paraId="735512CC" w14:textId="77777777" w:rsidR="00D41319" w:rsidRPr="00B96D12" w:rsidRDefault="00D41319" w:rsidP="00D41319">
      <w:r w:rsidRPr="00B96D12">
        <w:t xml:space="preserve">ISO (2020) </w:t>
      </w:r>
      <w:r w:rsidRPr="00B96D12">
        <w:rPr>
          <w:i/>
          <w:iCs/>
        </w:rPr>
        <w:t>ISO 21502:2020 Project, programme and portfolio management — Guidance on project management</w:t>
      </w:r>
      <w:r w:rsidRPr="00B96D12">
        <w:t>. Geneva: International Organization for Standardization.</w:t>
      </w:r>
    </w:p>
    <w:p w14:paraId="21BF1C8A" w14:textId="7DCE2631" w:rsidR="00D41319" w:rsidRPr="00B96D12" w:rsidRDefault="00D41319" w:rsidP="00D41319">
      <w:r w:rsidRPr="00B96D12">
        <w:t xml:space="preserve">Johnson, G., Whittington, R., Scholes, K., Angwin, D. and </w:t>
      </w:r>
      <w:proofErr w:type="spellStart"/>
      <w:r w:rsidRPr="00B96D12">
        <w:t>Regnér</w:t>
      </w:r>
      <w:proofErr w:type="spellEnd"/>
      <w:r w:rsidRPr="00B96D12">
        <w:t>, P. (2017)</w:t>
      </w:r>
      <w:r w:rsidR="00EB2F65">
        <w:t>.</w:t>
      </w:r>
      <w:r w:rsidRPr="00B96D12">
        <w:t xml:space="preserve"> </w:t>
      </w:r>
      <w:r w:rsidRPr="00B96D12">
        <w:rPr>
          <w:i/>
          <w:iCs/>
        </w:rPr>
        <w:t>Exploring Strategy</w:t>
      </w:r>
      <w:r w:rsidRPr="00B96D12">
        <w:t xml:space="preserve">. 11th </w:t>
      </w:r>
      <w:proofErr w:type="spellStart"/>
      <w:r w:rsidRPr="00B96D12">
        <w:t>edn</w:t>
      </w:r>
      <w:proofErr w:type="spellEnd"/>
      <w:r w:rsidRPr="00B96D12">
        <w:t>. Harlow: Pearson Education.</w:t>
      </w:r>
    </w:p>
    <w:p w14:paraId="3BB69A7F" w14:textId="77777777" w:rsidR="00D41319" w:rsidRPr="00B96D12" w:rsidRDefault="00D41319" w:rsidP="00D41319">
      <w:r w:rsidRPr="00B96D12">
        <w:t xml:space="preserve">Pedrini, M. and Ferri, L.M. (2018) ‘Stakeholder management: a systematic literature review’, </w:t>
      </w:r>
      <w:r w:rsidRPr="00B96D12">
        <w:rPr>
          <w:i/>
          <w:iCs/>
        </w:rPr>
        <w:t>Corporate Governance: The International Journal of Business in Society</w:t>
      </w:r>
      <w:r w:rsidRPr="00B96D12">
        <w:t>, 19(1), pp. 44–59.</w:t>
      </w:r>
    </w:p>
    <w:p w14:paraId="14FC2B9B" w14:textId="6751D519" w:rsidR="00D41319" w:rsidRDefault="00D41319" w:rsidP="00EB2F65">
      <w:r w:rsidRPr="00B96D12">
        <w:t xml:space="preserve">Project Management Institute (PMI) (2021) </w:t>
      </w:r>
      <w:r w:rsidRPr="00EB2F65">
        <w:rPr>
          <w:i/>
          <w:iCs/>
        </w:rPr>
        <w:t>A Guide to the Project Management Body of Knowledge (PMBOK® Guide)</w:t>
      </w:r>
      <w:r w:rsidRPr="00B96D12">
        <w:t xml:space="preserve">. 7th </w:t>
      </w:r>
      <w:proofErr w:type="spellStart"/>
      <w:r w:rsidRPr="00B96D12">
        <w:t>edn</w:t>
      </w:r>
      <w:proofErr w:type="spellEnd"/>
      <w:r w:rsidRPr="00B96D12">
        <w:t>. Newtown Square, PA: PMI</w:t>
      </w:r>
    </w:p>
    <w:p w14:paraId="6926AD38" w14:textId="3DBD676E" w:rsidR="002F659F" w:rsidRPr="000265D9" w:rsidRDefault="002F659F" w:rsidP="00EB2F65">
      <w:r w:rsidRPr="000265D9">
        <w:t xml:space="preserve">BCG (2024) </w:t>
      </w:r>
      <w:r w:rsidRPr="00EB2F65">
        <w:rPr>
          <w:i/>
          <w:iCs/>
        </w:rPr>
        <w:t>Reaching Purpose-Driven Digital Transformation Success</w:t>
      </w:r>
      <w:r w:rsidRPr="000265D9">
        <w:t>. Boston Consulting Group. (</w:t>
      </w:r>
      <w:hyperlink r:id="rId16" w:tooltip="Reaching Purpose-Driven Digital Transformation Success" w:history="1">
        <w:r w:rsidRPr="000265D9">
          <w:rPr>
            <w:rStyle w:val="Hyperlink"/>
          </w:rPr>
          <w:t>BCG Global</w:t>
        </w:r>
      </w:hyperlink>
      <w:r w:rsidRPr="000265D9">
        <w:t>)</w:t>
      </w:r>
      <w:r w:rsidRPr="000265D9">
        <w:br/>
        <w:t>McKinsey &amp; Company (2019)</w:t>
      </w:r>
      <w:r w:rsidR="00EB2F65">
        <w:t>.</w:t>
      </w:r>
      <w:r w:rsidRPr="000265D9">
        <w:t xml:space="preserve"> </w:t>
      </w:r>
      <w:r w:rsidRPr="00EB2F65">
        <w:rPr>
          <w:i/>
          <w:iCs/>
        </w:rPr>
        <w:t>How the best companies create value from their ecosystems</w:t>
      </w:r>
      <w:r w:rsidRPr="000265D9">
        <w:t>. McKinsey &amp; Company. (</w:t>
      </w:r>
      <w:hyperlink r:id="rId17" w:tooltip="How the best companies create value from their ecosystems" w:history="1">
        <w:r w:rsidRPr="000265D9">
          <w:rPr>
            <w:rStyle w:val="Hyperlink"/>
          </w:rPr>
          <w:t>McKinsey &amp; Company</w:t>
        </w:r>
      </w:hyperlink>
      <w:r w:rsidRPr="000265D9">
        <w:t>)</w:t>
      </w:r>
      <w:r w:rsidRPr="000265D9">
        <w:br/>
        <w:t xml:space="preserve">Teece, D.J. (2018) ‘Business models and dynamic capabilities’, </w:t>
      </w:r>
      <w:r w:rsidRPr="00EB2F65">
        <w:rPr>
          <w:i/>
          <w:iCs/>
        </w:rPr>
        <w:t>Long Range Planning</w:t>
      </w:r>
      <w:r w:rsidRPr="000265D9">
        <w:t xml:space="preserve"> (working paper version). (</w:t>
      </w:r>
      <w:hyperlink r:id="rId18" w:tooltip="Business Models and Dynamic Capabilities by David Teece" w:history="1">
        <w:r w:rsidRPr="000265D9">
          <w:rPr>
            <w:rStyle w:val="Hyperlink"/>
          </w:rPr>
          <w:t>SSRN</w:t>
        </w:r>
      </w:hyperlink>
      <w:r w:rsidRPr="000265D9">
        <w:t>)</w:t>
      </w:r>
      <w:r w:rsidRPr="000265D9">
        <w:br/>
        <w:t xml:space="preserve">Whittington, R., Angwin, D., </w:t>
      </w:r>
      <w:proofErr w:type="spellStart"/>
      <w:r w:rsidRPr="000265D9">
        <w:t>Regnér</w:t>
      </w:r>
      <w:proofErr w:type="spellEnd"/>
      <w:r w:rsidRPr="000265D9">
        <w:t>, P., Johnson, G. and Scholes, K. (2020)</w:t>
      </w:r>
      <w:r w:rsidR="00EB2F65">
        <w:t>.</w:t>
      </w:r>
      <w:r w:rsidRPr="000265D9">
        <w:t xml:space="preserve"> </w:t>
      </w:r>
      <w:r w:rsidRPr="00EB2F65">
        <w:rPr>
          <w:i/>
          <w:iCs/>
        </w:rPr>
        <w:t>Exploring Strategy: Text and Cases</w:t>
      </w:r>
      <w:r w:rsidRPr="000265D9">
        <w:t xml:space="preserve">. 12th </w:t>
      </w:r>
      <w:proofErr w:type="spellStart"/>
      <w:r w:rsidRPr="000265D9">
        <w:t>edn</w:t>
      </w:r>
      <w:proofErr w:type="spellEnd"/>
      <w:r w:rsidRPr="000265D9">
        <w:t>. Pearson. (</w:t>
      </w:r>
      <w:hyperlink r:id="rId19" w:tooltip="Exploring Strategy (Text and Cases), 12th edition - Pearson" w:history="1">
        <w:r w:rsidRPr="000265D9">
          <w:rPr>
            <w:rStyle w:val="Hyperlink"/>
          </w:rPr>
          <w:t>pearson.com</w:t>
        </w:r>
      </w:hyperlink>
      <w:r w:rsidRPr="000265D9">
        <w:t>)</w:t>
      </w:r>
    </w:p>
    <w:p w14:paraId="6CC28893" w14:textId="2A99E64A" w:rsidR="002159AD" w:rsidRPr="003A2523" w:rsidRDefault="00E765D5" w:rsidP="002159AD">
      <w:pPr>
        <w:rPr>
          <w:i/>
          <w:iCs/>
        </w:rPr>
      </w:pPr>
      <w:r w:rsidRPr="00C63C8C">
        <w:t>Bank of England (2024)</w:t>
      </w:r>
      <w:r>
        <w:t>.</w:t>
      </w:r>
      <w:r w:rsidRPr="00C63C8C">
        <w:t xml:space="preserve"> </w:t>
      </w:r>
      <w:r w:rsidRPr="00054469">
        <w:rPr>
          <w:i/>
          <w:iCs/>
        </w:rPr>
        <w:t>Identifying barriers to productive investment and external finance: a survey of UK SMEs.</w:t>
      </w:r>
      <w:r w:rsidRPr="00C63C8C">
        <w:br/>
        <w:t xml:space="preserve">British Business Bank (2024) </w:t>
      </w:r>
      <w:r w:rsidRPr="00054469">
        <w:rPr>
          <w:i/>
          <w:iCs/>
        </w:rPr>
        <w:t>Small Business Finance Markets Report 2024 – Factsheet.</w:t>
      </w:r>
      <w:r w:rsidRPr="00C63C8C">
        <w:br/>
        <w:t xml:space="preserve">CFIT (2024) </w:t>
      </w:r>
      <w:r w:rsidRPr="00054469">
        <w:rPr>
          <w:i/>
          <w:iCs/>
        </w:rPr>
        <w:t>Smart Data: improving SME lending to drive economic growth (SME Finance Taskforce report).</w:t>
      </w:r>
      <w:r w:rsidRPr="00C63C8C">
        <w:br/>
        <w:t xml:space="preserve">Financial Conduct Authority (FCA) (2022) </w:t>
      </w:r>
      <w:r w:rsidRPr="00054469">
        <w:rPr>
          <w:i/>
          <w:iCs/>
        </w:rPr>
        <w:t>FG22/5: Final non-Handbook Guidance for firms on the Consumer Duty.</w:t>
      </w:r>
      <w:r w:rsidRPr="00C63C8C">
        <w:br/>
        <w:t xml:space="preserve">Financial Conduct Authority (FCA) (2023) </w:t>
      </w:r>
      <w:r w:rsidRPr="00054469">
        <w:rPr>
          <w:i/>
          <w:iCs/>
        </w:rPr>
        <w:t>Consumer Duty (final rules &amp; guidance resource page).</w:t>
      </w:r>
    </w:p>
    <w:p w14:paraId="7E12B4CD" w14:textId="77777777" w:rsidR="002159AD" w:rsidRDefault="002159AD" w:rsidP="002159AD"/>
    <w:sectPr w:rsidR="002159AD" w:rsidSect="00EF4DFC">
      <w:headerReference w:type="default" r:id="rId20"/>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DA0FC4" w14:textId="77777777" w:rsidR="00CF0C04" w:rsidRDefault="00CF0C04" w:rsidP="00E67E12">
      <w:pPr>
        <w:spacing w:after="0" w:line="240" w:lineRule="auto"/>
      </w:pPr>
      <w:r>
        <w:separator/>
      </w:r>
    </w:p>
  </w:endnote>
  <w:endnote w:type="continuationSeparator" w:id="0">
    <w:p w14:paraId="41CB2EB2" w14:textId="77777777" w:rsidR="00CF0C04" w:rsidRDefault="00CF0C04" w:rsidP="00E67E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1998245"/>
      <w:docPartObj>
        <w:docPartGallery w:val="Page Numbers (Bottom of Page)"/>
        <w:docPartUnique/>
      </w:docPartObj>
    </w:sdtPr>
    <w:sdtContent>
      <w:p w14:paraId="6B46F9A2" w14:textId="1ED738B7" w:rsidR="00731DBD" w:rsidRDefault="00731DBD">
        <w:pPr>
          <w:pStyle w:val="Footer"/>
          <w:jc w:val="right"/>
        </w:pPr>
        <w:r>
          <w:fldChar w:fldCharType="begin"/>
        </w:r>
        <w:r>
          <w:instrText>PAGE   \* MERGEFORMAT</w:instrText>
        </w:r>
        <w:r>
          <w:fldChar w:fldCharType="separate"/>
        </w:r>
        <w:r>
          <w:t>2</w:t>
        </w:r>
        <w:r>
          <w:fldChar w:fldCharType="end"/>
        </w:r>
      </w:p>
    </w:sdtContent>
  </w:sdt>
  <w:p w14:paraId="0D401CE2" w14:textId="77777777" w:rsidR="004B585A" w:rsidRDefault="004B58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D72D73" w14:textId="77777777" w:rsidR="00CF0C04" w:rsidRDefault="00CF0C04" w:rsidP="00E67E12">
      <w:pPr>
        <w:spacing w:after="0" w:line="240" w:lineRule="auto"/>
      </w:pPr>
      <w:r>
        <w:separator/>
      </w:r>
    </w:p>
  </w:footnote>
  <w:footnote w:type="continuationSeparator" w:id="0">
    <w:p w14:paraId="696D36D2" w14:textId="77777777" w:rsidR="00CF0C04" w:rsidRDefault="00CF0C04" w:rsidP="00E67E1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9C55E4" w14:textId="4F435291" w:rsidR="00B62E33" w:rsidRPr="00C93713" w:rsidRDefault="00ED6EC5">
    <w:pPr>
      <w:pStyle w:val="Header"/>
      <w:rPr>
        <w:rFonts w:ascii="Arial" w:hAnsi="Arial" w:cs="Arial"/>
        <w:sz w:val="22"/>
        <w:szCs w:val="22"/>
      </w:rPr>
    </w:pPr>
    <w:r w:rsidRPr="00C93713">
      <w:rPr>
        <w:rFonts w:ascii="Arial" w:hAnsi="Arial" w:cs="Arial"/>
        <w:sz w:val="22"/>
        <w:szCs w:val="22"/>
      </w:rPr>
      <w:t xml:space="preserve">Adney Sacramento         </w:t>
    </w:r>
    <w:r w:rsidR="004B585A" w:rsidRPr="00C93713">
      <w:rPr>
        <w:rFonts w:ascii="Arial" w:hAnsi="Arial" w:cs="Arial"/>
        <w:sz w:val="22"/>
        <w:szCs w:val="22"/>
      </w:rPr>
      <w:t xml:space="preserve">                                                  </w:t>
    </w:r>
    <w:r w:rsidR="009B07B9" w:rsidRPr="00C93713">
      <w:rPr>
        <w:rFonts w:ascii="Arial" w:hAnsi="Arial" w:cs="Arial"/>
        <w:sz w:val="22"/>
        <w:szCs w:val="22"/>
      </w:rPr>
      <w:t>Stra</w:t>
    </w:r>
    <w:r w:rsidR="00426115" w:rsidRPr="00C93713">
      <w:rPr>
        <w:rFonts w:ascii="Arial" w:hAnsi="Arial" w:cs="Arial"/>
        <w:sz w:val="22"/>
        <w:szCs w:val="22"/>
      </w:rPr>
      <w:t>tegic  Management for Business</w:t>
    </w:r>
    <w:r w:rsidR="004B585A" w:rsidRPr="00C93713">
      <w:rPr>
        <w:rFonts w:ascii="Arial" w:hAnsi="Arial" w:cs="Arial"/>
        <w:sz w:val="22"/>
        <w:szCs w:val="22"/>
      </w:rPr>
      <w:t xml:space="preserve">                                                        </w:t>
    </w:r>
    <w:r w:rsidRPr="00C93713">
      <w:rPr>
        <w:rFonts w:ascii="Arial" w:hAnsi="Arial" w:cs="Arial"/>
        <w:sz w:val="22"/>
        <w:szCs w:val="22"/>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3C7C4D"/>
    <w:multiLevelType w:val="multilevel"/>
    <w:tmpl w:val="AEB86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8C5EB1"/>
    <w:multiLevelType w:val="multilevel"/>
    <w:tmpl w:val="0C50D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170322"/>
    <w:multiLevelType w:val="multilevel"/>
    <w:tmpl w:val="C93C8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AD0BD1"/>
    <w:multiLevelType w:val="multilevel"/>
    <w:tmpl w:val="0FD25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D04838"/>
    <w:multiLevelType w:val="multilevel"/>
    <w:tmpl w:val="94D63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99728BA"/>
    <w:multiLevelType w:val="multilevel"/>
    <w:tmpl w:val="54525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B3D42EB"/>
    <w:multiLevelType w:val="multilevel"/>
    <w:tmpl w:val="F9E0A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CAE31C5"/>
    <w:multiLevelType w:val="multilevel"/>
    <w:tmpl w:val="2E9C6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CE71D8C"/>
    <w:multiLevelType w:val="multilevel"/>
    <w:tmpl w:val="7BB67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DDB367B"/>
    <w:multiLevelType w:val="multilevel"/>
    <w:tmpl w:val="72B64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2ED4F81"/>
    <w:multiLevelType w:val="multilevel"/>
    <w:tmpl w:val="86726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4BC1708"/>
    <w:multiLevelType w:val="multilevel"/>
    <w:tmpl w:val="84982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7B41821"/>
    <w:multiLevelType w:val="multilevel"/>
    <w:tmpl w:val="BB540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B14147E"/>
    <w:multiLevelType w:val="multilevel"/>
    <w:tmpl w:val="3A3684E8"/>
    <w:lvl w:ilvl="0">
      <w:start w:val="1"/>
      <w:numFmt w:val="bullet"/>
      <w:lvlText w:val=""/>
      <w:lvlJc w:val="left"/>
      <w:pPr>
        <w:tabs>
          <w:tab w:val="num" w:pos="720"/>
        </w:tabs>
        <w:ind w:left="720" w:hanging="360"/>
      </w:pPr>
      <w:rPr>
        <w:rFonts w:ascii="Symbol" w:hAnsi="Symbol" w:hint="default"/>
        <w:sz w:val="20"/>
      </w:rPr>
    </w:lvl>
    <w:lvl w:ilvl="1">
      <w:start w:val="8"/>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C343DB0"/>
    <w:multiLevelType w:val="hybridMultilevel"/>
    <w:tmpl w:val="D9D2DDC4"/>
    <w:lvl w:ilvl="0" w:tplc="0809000B">
      <w:start w:val="1"/>
      <w:numFmt w:val="bullet"/>
      <w:lvlText w:val=""/>
      <w:lvlJc w:val="left"/>
      <w:pPr>
        <w:ind w:left="780" w:hanging="360"/>
      </w:pPr>
      <w:rPr>
        <w:rFonts w:ascii="Wingdings" w:hAnsi="Wingdings" w:hint="default"/>
      </w:rPr>
    </w:lvl>
    <w:lvl w:ilvl="1" w:tplc="0809000B">
      <w:start w:val="1"/>
      <w:numFmt w:val="bullet"/>
      <w:lvlText w:val=""/>
      <w:lvlJc w:val="left"/>
      <w:pPr>
        <w:ind w:left="1500" w:hanging="360"/>
      </w:pPr>
      <w:rPr>
        <w:rFonts w:ascii="Wingdings" w:hAnsi="Wingdings"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5" w15:restartNumberingAfterBreak="0">
    <w:nsid w:val="1D962F0B"/>
    <w:multiLevelType w:val="multilevel"/>
    <w:tmpl w:val="FED4B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D9940CC"/>
    <w:multiLevelType w:val="multilevel"/>
    <w:tmpl w:val="192C2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0B1599F"/>
    <w:multiLevelType w:val="multilevel"/>
    <w:tmpl w:val="C4AC7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1A14CED"/>
    <w:multiLevelType w:val="multilevel"/>
    <w:tmpl w:val="C2FCF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2443149"/>
    <w:multiLevelType w:val="hybridMultilevel"/>
    <w:tmpl w:val="2626ECAC"/>
    <w:lvl w:ilvl="0" w:tplc="0809000B">
      <w:start w:val="1"/>
      <w:numFmt w:val="bullet"/>
      <w:lvlText w:val=""/>
      <w:lvlJc w:val="left"/>
      <w:pPr>
        <w:ind w:left="720" w:hanging="360"/>
      </w:pPr>
      <w:rPr>
        <w:rFonts w:ascii="Wingdings" w:hAnsi="Wingdings" w:hint="default"/>
      </w:rPr>
    </w:lvl>
    <w:lvl w:ilvl="1" w:tplc="1318BFBE">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33325F2"/>
    <w:multiLevelType w:val="hybridMultilevel"/>
    <w:tmpl w:val="3F08A2DC"/>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23F65D80"/>
    <w:multiLevelType w:val="multilevel"/>
    <w:tmpl w:val="8E06E6E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27633CA2"/>
    <w:multiLevelType w:val="multilevel"/>
    <w:tmpl w:val="AFD2C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7A8056E"/>
    <w:multiLevelType w:val="multilevel"/>
    <w:tmpl w:val="D9427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81277F8"/>
    <w:multiLevelType w:val="multilevel"/>
    <w:tmpl w:val="6CC652C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2B0A5A36"/>
    <w:multiLevelType w:val="multilevel"/>
    <w:tmpl w:val="2542D2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D5E27EE"/>
    <w:multiLevelType w:val="multilevel"/>
    <w:tmpl w:val="24785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F5332EC"/>
    <w:multiLevelType w:val="hybridMultilevel"/>
    <w:tmpl w:val="3F08A2DC"/>
    <w:lvl w:ilvl="0" w:tplc="FFFFFFFF">
      <w:start w:val="7"/>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322327BA"/>
    <w:multiLevelType w:val="multilevel"/>
    <w:tmpl w:val="A0EE3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39B6CC0"/>
    <w:multiLevelType w:val="multilevel"/>
    <w:tmpl w:val="A7B41BF4"/>
    <w:lvl w:ilvl="0">
      <w:start w:val="1"/>
      <w:numFmt w:val="bullet"/>
      <w:lvlText w:val=""/>
      <w:lvlJc w:val="left"/>
      <w:pPr>
        <w:tabs>
          <w:tab w:val="num" w:pos="720"/>
        </w:tabs>
        <w:ind w:left="720" w:hanging="360"/>
      </w:pPr>
      <w:rPr>
        <w:rFonts w:ascii="Symbol" w:hAnsi="Symbol" w:hint="default"/>
        <w:sz w:val="20"/>
      </w:rPr>
    </w:lvl>
    <w:lvl w:ilvl="1">
      <w:start w:val="9"/>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5A64F25"/>
    <w:multiLevelType w:val="hybridMultilevel"/>
    <w:tmpl w:val="DC4A96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36267F50"/>
    <w:multiLevelType w:val="multilevel"/>
    <w:tmpl w:val="08864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9FD578E"/>
    <w:multiLevelType w:val="multilevel"/>
    <w:tmpl w:val="7A1C2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AF05286"/>
    <w:multiLevelType w:val="hybridMultilevel"/>
    <w:tmpl w:val="236A0670"/>
    <w:lvl w:ilvl="0" w:tplc="786E7080">
      <w:start w:val="1"/>
      <w:numFmt w:val="decimal"/>
      <w:lvlText w:val="%1."/>
      <w:lvlJc w:val="left"/>
      <w:pPr>
        <w:ind w:left="644" w:hanging="360"/>
      </w:pPr>
      <w:rPr>
        <w:rFonts w:ascii="Arial" w:hAnsi="Arial" w:cs="Arial"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34" w15:restartNumberingAfterBreak="0">
    <w:nsid w:val="3DBD4F3C"/>
    <w:multiLevelType w:val="multilevel"/>
    <w:tmpl w:val="0CAA1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DE124B8"/>
    <w:multiLevelType w:val="multilevel"/>
    <w:tmpl w:val="A9C8F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E661CA3"/>
    <w:multiLevelType w:val="multilevel"/>
    <w:tmpl w:val="B7966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0937BD1"/>
    <w:multiLevelType w:val="multilevel"/>
    <w:tmpl w:val="82347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4BA53CA"/>
    <w:multiLevelType w:val="multilevel"/>
    <w:tmpl w:val="60A2A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7734E9C"/>
    <w:multiLevelType w:val="multilevel"/>
    <w:tmpl w:val="067C1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481D54DE"/>
    <w:multiLevelType w:val="multilevel"/>
    <w:tmpl w:val="00D2D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4B0A7D55"/>
    <w:multiLevelType w:val="multilevel"/>
    <w:tmpl w:val="D5A82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4B1526E6"/>
    <w:multiLevelType w:val="multilevel"/>
    <w:tmpl w:val="E7344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4C370DFE"/>
    <w:multiLevelType w:val="multilevel"/>
    <w:tmpl w:val="F6BAF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4E3A5E1E"/>
    <w:multiLevelType w:val="multilevel"/>
    <w:tmpl w:val="F60E180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4F4B2698"/>
    <w:multiLevelType w:val="multilevel"/>
    <w:tmpl w:val="BDA603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559A3631"/>
    <w:multiLevelType w:val="multilevel"/>
    <w:tmpl w:val="5DC82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576E5B39"/>
    <w:multiLevelType w:val="multilevel"/>
    <w:tmpl w:val="C172D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598C2171"/>
    <w:multiLevelType w:val="multilevel"/>
    <w:tmpl w:val="50764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5C8934FB"/>
    <w:multiLevelType w:val="multilevel"/>
    <w:tmpl w:val="8EEA4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5D153D81"/>
    <w:multiLevelType w:val="multilevel"/>
    <w:tmpl w:val="7B96C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5A2360A"/>
    <w:multiLevelType w:val="multilevel"/>
    <w:tmpl w:val="B48AA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67E04B5F"/>
    <w:multiLevelType w:val="multilevel"/>
    <w:tmpl w:val="88D60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69441682"/>
    <w:multiLevelType w:val="multilevel"/>
    <w:tmpl w:val="534AC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69EC56CD"/>
    <w:multiLevelType w:val="multilevel"/>
    <w:tmpl w:val="7E76FBC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6ABE4A7A"/>
    <w:multiLevelType w:val="multilevel"/>
    <w:tmpl w:val="BA40C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6BA97352"/>
    <w:multiLevelType w:val="multilevel"/>
    <w:tmpl w:val="BAF26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6F8061F2"/>
    <w:multiLevelType w:val="multilevel"/>
    <w:tmpl w:val="7E90C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716E5E60"/>
    <w:multiLevelType w:val="multilevel"/>
    <w:tmpl w:val="9FACFC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75940433"/>
    <w:multiLevelType w:val="multilevel"/>
    <w:tmpl w:val="B3125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7AF55B52"/>
    <w:multiLevelType w:val="multilevel"/>
    <w:tmpl w:val="42AC0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7B293633"/>
    <w:multiLevelType w:val="hybridMultilevel"/>
    <w:tmpl w:val="465E0134"/>
    <w:lvl w:ilvl="0" w:tplc="FF74C6A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7D186794"/>
    <w:multiLevelType w:val="multilevel"/>
    <w:tmpl w:val="D5628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7DFE580F"/>
    <w:multiLevelType w:val="multilevel"/>
    <w:tmpl w:val="EE98E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51265846">
    <w:abstractNumId w:val="30"/>
  </w:num>
  <w:num w:numId="2" w16cid:durableId="829757371">
    <w:abstractNumId w:val="20"/>
  </w:num>
  <w:num w:numId="3" w16cid:durableId="2134975693">
    <w:abstractNumId w:val="16"/>
  </w:num>
  <w:num w:numId="4" w16cid:durableId="245699846">
    <w:abstractNumId w:val="40"/>
  </w:num>
  <w:num w:numId="5" w16cid:durableId="1620840382">
    <w:abstractNumId w:val="28"/>
  </w:num>
  <w:num w:numId="6" w16cid:durableId="1491092762">
    <w:abstractNumId w:val="10"/>
  </w:num>
  <w:num w:numId="7" w16cid:durableId="506095129">
    <w:abstractNumId w:val="24"/>
  </w:num>
  <w:num w:numId="8" w16cid:durableId="1541359339">
    <w:abstractNumId w:val="2"/>
  </w:num>
  <w:num w:numId="9" w16cid:durableId="1238128035">
    <w:abstractNumId w:val="47"/>
  </w:num>
  <w:num w:numId="10" w16cid:durableId="406654270">
    <w:abstractNumId w:val="7"/>
  </w:num>
  <w:num w:numId="11" w16cid:durableId="2068529602">
    <w:abstractNumId w:val="36"/>
  </w:num>
  <w:num w:numId="12" w16cid:durableId="885604473">
    <w:abstractNumId w:val="53"/>
  </w:num>
  <w:num w:numId="13" w16cid:durableId="2131585499">
    <w:abstractNumId w:val="23"/>
  </w:num>
  <w:num w:numId="14" w16cid:durableId="999313983">
    <w:abstractNumId w:val="38"/>
  </w:num>
  <w:num w:numId="15" w16cid:durableId="646084319">
    <w:abstractNumId w:val="63"/>
  </w:num>
  <w:num w:numId="16" w16cid:durableId="2045864818">
    <w:abstractNumId w:val="3"/>
  </w:num>
  <w:num w:numId="17" w16cid:durableId="1474711427">
    <w:abstractNumId w:val="35"/>
  </w:num>
  <w:num w:numId="18" w16cid:durableId="1324622282">
    <w:abstractNumId w:val="11"/>
  </w:num>
  <w:num w:numId="19" w16cid:durableId="1455443413">
    <w:abstractNumId w:val="8"/>
  </w:num>
  <w:num w:numId="20" w16cid:durableId="126045395">
    <w:abstractNumId w:val="17"/>
  </w:num>
  <w:num w:numId="21" w16cid:durableId="1693532038">
    <w:abstractNumId w:val="4"/>
  </w:num>
  <w:num w:numId="22" w16cid:durableId="1379351783">
    <w:abstractNumId w:val="32"/>
  </w:num>
  <w:num w:numId="23" w16cid:durableId="459960015">
    <w:abstractNumId w:val="21"/>
  </w:num>
  <w:num w:numId="24" w16cid:durableId="1948729227">
    <w:abstractNumId w:val="60"/>
  </w:num>
  <w:num w:numId="25" w16cid:durableId="1324822979">
    <w:abstractNumId w:val="54"/>
  </w:num>
  <w:num w:numId="26" w16cid:durableId="1527478793">
    <w:abstractNumId w:val="43"/>
  </w:num>
  <w:num w:numId="27" w16cid:durableId="58670499">
    <w:abstractNumId w:val="55"/>
  </w:num>
  <w:num w:numId="28" w16cid:durableId="908425853">
    <w:abstractNumId w:val="42"/>
  </w:num>
  <w:num w:numId="29" w16cid:durableId="1657227232">
    <w:abstractNumId w:val="58"/>
  </w:num>
  <w:num w:numId="30" w16cid:durableId="1663464437">
    <w:abstractNumId w:val="25"/>
  </w:num>
  <w:num w:numId="31" w16cid:durableId="843938403">
    <w:abstractNumId w:val="44"/>
  </w:num>
  <w:num w:numId="32" w16cid:durableId="832142668">
    <w:abstractNumId w:val="18"/>
  </w:num>
  <w:num w:numId="33" w16cid:durableId="317805085">
    <w:abstractNumId w:val="15"/>
  </w:num>
  <w:num w:numId="34" w16cid:durableId="474027824">
    <w:abstractNumId w:val="56"/>
  </w:num>
  <w:num w:numId="35" w16cid:durableId="801772292">
    <w:abstractNumId w:val="31"/>
  </w:num>
  <w:num w:numId="36" w16cid:durableId="2106148191">
    <w:abstractNumId w:val="12"/>
  </w:num>
  <w:num w:numId="37" w16cid:durableId="843402029">
    <w:abstractNumId w:val="5"/>
  </w:num>
  <w:num w:numId="38" w16cid:durableId="1237864797">
    <w:abstractNumId w:val="14"/>
  </w:num>
  <w:num w:numId="39" w16cid:durableId="761725615">
    <w:abstractNumId w:val="19"/>
  </w:num>
  <w:num w:numId="40" w16cid:durableId="467600213">
    <w:abstractNumId w:val="61"/>
  </w:num>
  <w:num w:numId="41" w16cid:durableId="660626184">
    <w:abstractNumId w:val="6"/>
  </w:num>
  <w:num w:numId="42" w16cid:durableId="1065492577">
    <w:abstractNumId w:val="59"/>
  </w:num>
  <w:num w:numId="43" w16cid:durableId="401366880">
    <w:abstractNumId w:val="46"/>
  </w:num>
  <w:num w:numId="44" w16cid:durableId="1605307655">
    <w:abstractNumId w:val="34"/>
  </w:num>
  <w:num w:numId="45" w16cid:durableId="433406634">
    <w:abstractNumId w:val="1"/>
  </w:num>
  <w:num w:numId="46" w16cid:durableId="1812138507">
    <w:abstractNumId w:val="39"/>
  </w:num>
  <w:num w:numId="47" w16cid:durableId="1078820395">
    <w:abstractNumId w:val="52"/>
  </w:num>
  <w:num w:numId="48" w16cid:durableId="337465164">
    <w:abstractNumId w:val="0"/>
  </w:num>
  <w:num w:numId="49" w16cid:durableId="980353319">
    <w:abstractNumId w:val="41"/>
  </w:num>
  <w:num w:numId="50" w16cid:durableId="1164784578">
    <w:abstractNumId w:val="51"/>
  </w:num>
  <w:num w:numId="51" w16cid:durableId="1690570515">
    <w:abstractNumId w:val="49"/>
  </w:num>
  <w:num w:numId="52" w16cid:durableId="1564025039">
    <w:abstractNumId w:val="62"/>
  </w:num>
  <w:num w:numId="53" w16cid:durableId="1015963015">
    <w:abstractNumId w:val="48"/>
  </w:num>
  <w:num w:numId="54" w16cid:durableId="1916889419">
    <w:abstractNumId w:val="50"/>
  </w:num>
  <w:num w:numId="55" w16cid:durableId="1247422590">
    <w:abstractNumId w:val="29"/>
  </w:num>
  <w:num w:numId="56" w16cid:durableId="2086370924">
    <w:abstractNumId w:val="13"/>
  </w:num>
  <w:num w:numId="57" w16cid:durableId="1072384842">
    <w:abstractNumId w:val="37"/>
  </w:num>
  <w:num w:numId="58" w16cid:durableId="180317336">
    <w:abstractNumId w:val="9"/>
  </w:num>
  <w:num w:numId="59" w16cid:durableId="233010940">
    <w:abstractNumId w:val="26"/>
  </w:num>
  <w:num w:numId="60" w16cid:durableId="2003392713">
    <w:abstractNumId w:val="57"/>
  </w:num>
  <w:num w:numId="61" w16cid:durableId="1732925904">
    <w:abstractNumId w:val="45"/>
  </w:num>
  <w:num w:numId="62" w16cid:durableId="1193962660">
    <w:abstractNumId w:val="27"/>
  </w:num>
  <w:num w:numId="63" w16cid:durableId="286552368">
    <w:abstractNumId w:val="22"/>
  </w:num>
  <w:num w:numId="64" w16cid:durableId="1238055735">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20C6"/>
    <w:rsid w:val="00002D6F"/>
    <w:rsid w:val="000064C3"/>
    <w:rsid w:val="00011608"/>
    <w:rsid w:val="00012CDF"/>
    <w:rsid w:val="00013DAB"/>
    <w:rsid w:val="00023C8B"/>
    <w:rsid w:val="000300BC"/>
    <w:rsid w:val="00036423"/>
    <w:rsid w:val="00042A02"/>
    <w:rsid w:val="00044A2E"/>
    <w:rsid w:val="0005069E"/>
    <w:rsid w:val="00054469"/>
    <w:rsid w:val="00062176"/>
    <w:rsid w:val="00082579"/>
    <w:rsid w:val="00086319"/>
    <w:rsid w:val="00094608"/>
    <w:rsid w:val="000B5053"/>
    <w:rsid w:val="000D62E0"/>
    <w:rsid w:val="000F486F"/>
    <w:rsid w:val="0010065B"/>
    <w:rsid w:val="00105984"/>
    <w:rsid w:val="001105AD"/>
    <w:rsid w:val="00121C9A"/>
    <w:rsid w:val="001256FA"/>
    <w:rsid w:val="0013394C"/>
    <w:rsid w:val="001369E7"/>
    <w:rsid w:val="00140C13"/>
    <w:rsid w:val="00144649"/>
    <w:rsid w:val="00146039"/>
    <w:rsid w:val="0014666B"/>
    <w:rsid w:val="00151EAA"/>
    <w:rsid w:val="00154D89"/>
    <w:rsid w:val="00162D45"/>
    <w:rsid w:val="00174866"/>
    <w:rsid w:val="001767F7"/>
    <w:rsid w:val="0018119B"/>
    <w:rsid w:val="00184E55"/>
    <w:rsid w:val="00195443"/>
    <w:rsid w:val="001A0F4B"/>
    <w:rsid w:val="001A7FED"/>
    <w:rsid w:val="001B576F"/>
    <w:rsid w:val="001C1D19"/>
    <w:rsid w:val="001C6D2C"/>
    <w:rsid w:val="001D7B01"/>
    <w:rsid w:val="001F08EC"/>
    <w:rsid w:val="001F66D8"/>
    <w:rsid w:val="0021185E"/>
    <w:rsid w:val="002159AD"/>
    <w:rsid w:val="0022571C"/>
    <w:rsid w:val="0023399E"/>
    <w:rsid w:val="00250170"/>
    <w:rsid w:val="002524DD"/>
    <w:rsid w:val="002541C4"/>
    <w:rsid w:val="0026153A"/>
    <w:rsid w:val="00266D82"/>
    <w:rsid w:val="0027097A"/>
    <w:rsid w:val="00276447"/>
    <w:rsid w:val="00277F44"/>
    <w:rsid w:val="00292D6B"/>
    <w:rsid w:val="002951AB"/>
    <w:rsid w:val="002C26CC"/>
    <w:rsid w:val="002D44A9"/>
    <w:rsid w:val="002F659F"/>
    <w:rsid w:val="00307536"/>
    <w:rsid w:val="00312403"/>
    <w:rsid w:val="00336F43"/>
    <w:rsid w:val="00344F8A"/>
    <w:rsid w:val="00360C4F"/>
    <w:rsid w:val="00377CE3"/>
    <w:rsid w:val="003A2523"/>
    <w:rsid w:val="003B12CD"/>
    <w:rsid w:val="003C7795"/>
    <w:rsid w:val="003D1462"/>
    <w:rsid w:val="003E04D3"/>
    <w:rsid w:val="003F67FD"/>
    <w:rsid w:val="003F76D1"/>
    <w:rsid w:val="0040384C"/>
    <w:rsid w:val="004111E2"/>
    <w:rsid w:val="00426115"/>
    <w:rsid w:val="00434229"/>
    <w:rsid w:val="0043627F"/>
    <w:rsid w:val="00437D6F"/>
    <w:rsid w:val="00440066"/>
    <w:rsid w:val="0044052A"/>
    <w:rsid w:val="00444136"/>
    <w:rsid w:val="00444F6A"/>
    <w:rsid w:val="00450AB8"/>
    <w:rsid w:val="00451AA5"/>
    <w:rsid w:val="004615C3"/>
    <w:rsid w:val="00465A51"/>
    <w:rsid w:val="00466106"/>
    <w:rsid w:val="00471A68"/>
    <w:rsid w:val="004862A8"/>
    <w:rsid w:val="00493159"/>
    <w:rsid w:val="0049638B"/>
    <w:rsid w:val="004A45E8"/>
    <w:rsid w:val="004A5C6D"/>
    <w:rsid w:val="004B4625"/>
    <w:rsid w:val="004B585A"/>
    <w:rsid w:val="004F47D1"/>
    <w:rsid w:val="00501A9F"/>
    <w:rsid w:val="00524CD0"/>
    <w:rsid w:val="00532568"/>
    <w:rsid w:val="00535803"/>
    <w:rsid w:val="00540EBA"/>
    <w:rsid w:val="00555EE7"/>
    <w:rsid w:val="005563D4"/>
    <w:rsid w:val="00561752"/>
    <w:rsid w:val="005731E9"/>
    <w:rsid w:val="00573B74"/>
    <w:rsid w:val="005808E8"/>
    <w:rsid w:val="00597E48"/>
    <w:rsid w:val="005B26ED"/>
    <w:rsid w:val="005B4684"/>
    <w:rsid w:val="005B6444"/>
    <w:rsid w:val="005C3FA5"/>
    <w:rsid w:val="005C593B"/>
    <w:rsid w:val="005E22EE"/>
    <w:rsid w:val="005E40FD"/>
    <w:rsid w:val="005E690F"/>
    <w:rsid w:val="005F799C"/>
    <w:rsid w:val="00604500"/>
    <w:rsid w:val="006322E5"/>
    <w:rsid w:val="00650816"/>
    <w:rsid w:val="00653F7D"/>
    <w:rsid w:val="00660F9E"/>
    <w:rsid w:val="00674EB6"/>
    <w:rsid w:val="006779C8"/>
    <w:rsid w:val="00691943"/>
    <w:rsid w:val="006930D6"/>
    <w:rsid w:val="00694C67"/>
    <w:rsid w:val="006A0A41"/>
    <w:rsid w:val="006A5CBA"/>
    <w:rsid w:val="006A5E01"/>
    <w:rsid w:val="006C08D6"/>
    <w:rsid w:val="006C7042"/>
    <w:rsid w:val="006C7128"/>
    <w:rsid w:val="006D790E"/>
    <w:rsid w:val="006D7ACF"/>
    <w:rsid w:val="006E08DE"/>
    <w:rsid w:val="006F1672"/>
    <w:rsid w:val="006F3212"/>
    <w:rsid w:val="006F3EB8"/>
    <w:rsid w:val="006F7192"/>
    <w:rsid w:val="007317F2"/>
    <w:rsid w:val="00731DBD"/>
    <w:rsid w:val="00734650"/>
    <w:rsid w:val="007404E8"/>
    <w:rsid w:val="00760E42"/>
    <w:rsid w:val="00765A1B"/>
    <w:rsid w:val="00767009"/>
    <w:rsid w:val="00794912"/>
    <w:rsid w:val="007A1E49"/>
    <w:rsid w:val="007A43EF"/>
    <w:rsid w:val="007B0F9A"/>
    <w:rsid w:val="007B22D1"/>
    <w:rsid w:val="007B3B39"/>
    <w:rsid w:val="007C45FF"/>
    <w:rsid w:val="007C4E24"/>
    <w:rsid w:val="007C7AF9"/>
    <w:rsid w:val="007D7B4D"/>
    <w:rsid w:val="007E2F1E"/>
    <w:rsid w:val="007E7F7E"/>
    <w:rsid w:val="007F3EF6"/>
    <w:rsid w:val="00811E02"/>
    <w:rsid w:val="00813A1B"/>
    <w:rsid w:val="00814B8A"/>
    <w:rsid w:val="00826CFB"/>
    <w:rsid w:val="008324E7"/>
    <w:rsid w:val="00834B76"/>
    <w:rsid w:val="00860AA3"/>
    <w:rsid w:val="00876B23"/>
    <w:rsid w:val="00882889"/>
    <w:rsid w:val="008971E4"/>
    <w:rsid w:val="008B363C"/>
    <w:rsid w:val="008B69B1"/>
    <w:rsid w:val="008B6DDA"/>
    <w:rsid w:val="008E3D0D"/>
    <w:rsid w:val="008E6CB2"/>
    <w:rsid w:val="008F1624"/>
    <w:rsid w:val="008F3C24"/>
    <w:rsid w:val="008F4195"/>
    <w:rsid w:val="008F447B"/>
    <w:rsid w:val="008F5377"/>
    <w:rsid w:val="0090060D"/>
    <w:rsid w:val="0090212F"/>
    <w:rsid w:val="00920682"/>
    <w:rsid w:val="009352A3"/>
    <w:rsid w:val="00942E8A"/>
    <w:rsid w:val="00942F61"/>
    <w:rsid w:val="00950566"/>
    <w:rsid w:val="00952BDA"/>
    <w:rsid w:val="00953483"/>
    <w:rsid w:val="009560C2"/>
    <w:rsid w:val="00960970"/>
    <w:rsid w:val="00975CFC"/>
    <w:rsid w:val="009866E6"/>
    <w:rsid w:val="00990067"/>
    <w:rsid w:val="00990B69"/>
    <w:rsid w:val="0099447C"/>
    <w:rsid w:val="009A0A5E"/>
    <w:rsid w:val="009A5EB9"/>
    <w:rsid w:val="009B07B9"/>
    <w:rsid w:val="009B6218"/>
    <w:rsid w:val="009B6228"/>
    <w:rsid w:val="009E07E9"/>
    <w:rsid w:val="00A0162E"/>
    <w:rsid w:val="00A02987"/>
    <w:rsid w:val="00A11F67"/>
    <w:rsid w:val="00A17374"/>
    <w:rsid w:val="00A220C6"/>
    <w:rsid w:val="00A249C9"/>
    <w:rsid w:val="00A2672A"/>
    <w:rsid w:val="00A33766"/>
    <w:rsid w:val="00A35312"/>
    <w:rsid w:val="00A37ACE"/>
    <w:rsid w:val="00A40CAA"/>
    <w:rsid w:val="00A42919"/>
    <w:rsid w:val="00A47D64"/>
    <w:rsid w:val="00A54B7D"/>
    <w:rsid w:val="00A6019F"/>
    <w:rsid w:val="00A7724F"/>
    <w:rsid w:val="00A82F1D"/>
    <w:rsid w:val="00A83AA1"/>
    <w:rsid w:val="00A94B3D"/>
    <w:rsid w:val="00A9547E"/>
    <w:rsid w:val="00AA507B"/>
    <w:rsid w:val="00AB57C2"/>
    <w:rsid w:val="00AB7DC5"/>
    <w:rsid w:val="00AC2389"/>
    <w:rsid w:val="00AC5226"/>
    <w:rsid w:val="00AC5F05"/>
    <w:rsid w:val="00AC7505"/>
    <w:rsid w:val="00AD749E"/>
    <w:rsid w:val="00AF1A93"/>
    <w:rsid w:val="00AF2628"/>
    <w:rsid w:val="00AF29AA"/>
    <w:rsid w:val="00AF59BF"/>
    <w:rsid w:val="00B03C1A"/>
    <w:rsid w:val="00B17F7B"/>
    <w:rsid w:val="00B4354C"/>
    <w:rsid w:val="00B56D59"/>
    <w:rsid w:val="00B62E33"/>
    <w:rsid w:val="00B65757"/>
    <w:rsid w:val="00B675A7"/>
    <w:rsid w:val="00B719ED"/>
    <w:rsid w:val="00B94C1A"/>
    <w:rsid w:val="00BA0B0A"/>
    <w:rsid w:val="00BA4EAB"/>
    <w:rsid w:val="00BA6735"/>
    <w:rsid w:val="00BA6BC0"/>
    <w:rsid w:val="00BB1F64"/>
    <w:rsid w:val="00BB4F19"/>
    <w:rsid w:val="00BB598F"/>
    <w:rsid w:val="00BB7BA9"/>
    <w:rsid w:val="00BC4177"/>
    <w:rsid w:val="00BC5A10"/>
    <w:rsid w:val="00BE5C3B"/>
    <w:rsid w:val="00BF055D"/>
    <w:rsid w:val="00BF745F"/>
    <w:rsid w:val="00C06313"/>
    <w:rsid w:val="00C21C09"/>
    <w:rsid w:val="00C22BD7"/>
    <w:rsid w:val="00C244E6"/>
    <w:rsid w:val="00C26059"/>
    <w:rsid w:val="00C3026F"/>
    <w:rsid w:val="00C324F7"/>
    <w:rsid w:val="00C35DDB"/>
    <w:rsid w:val="00C46AB5"/>
    <w:rsid w:val="00C65DA1"/>
    <w:rsid w:val="00C851FD"/>
    <w:rsid w:val="00C866DA"/>
    <w:rsid w:val="00C930B9"/>
    <w:rsid w:val="00C93713"/>
    <w:rsid w:val="00C970C6"/>
    <w:rsid w:val="00CA1193"/>
    <w:rsid w:val="00CA7EB4"/>
    <w:rsid w:val="00CB3AED"/>
    <w:rsid w:val="00CB5AF4"/>
    <w:rsid w:val="00CC7095"/>
    <w:rsid w:val="00CE04C0"/>
    <w:rsid w:val="00CE6C5F"/>
    <w:rsid w:val="00CE77D4"/>
    <w:rsid w:val="00CF0C04"/>
    <w:rsid w:val="00CF132F"/>
    <w:rsid w:val="00CF1474"/>
    <w:rsid w:val="00D06A91"/>
    <w:rsid w:val="00D06B8D"/>
    <w:rsid w:val="00D161EC"/>
    <w:rsid w:val="00D16EDD"/>
    <w:rsid w:val="00D41319"/>
    <w:rsid w:val="00D4544A"/>
    <w:rsid w:val="00D51EEB"/>
    <w:rsid w:val="00D549BA"/>
    <w:rsid w:val="00D674D5"/>
    <w:rsid w:val="00D7575C"/>
    <w:rsid w:val="00D75BFC"/>
    <w:rsid w:val="00D76C0F"/>
    <w:rsid w:val="00D82B19"/>
    <w:rsid w:val="00D92DA4"/>
    <w:rsid w:val="00D94C13"/>
    <w:rsid w:val="00DB5548"/>
    <w:rsid w:val="00DB63E6"/>
    <w:rsid w:val="00DC2F39"/>
    <w:rsid w:val="00DD32C5"/>
    <w:rsid w:val="00DD4A96"/>
    <w:rsid w:val="00DE32E0"/>
    <w:rsid w:val="00DF029D"/>
    <w:rsid w:val="00DF6D4C"/>
    <w:rsid w:val="00E1110B"/>
    <w:rsid w:val="00E16CBD"/>
    <w:rsid w:val="00E213F2"/>
    <w:rsid w:val="00E235A2"/>
    <w:rsid w:val="00E329F5"/>
    <w:rsid w:val="00E34197"/>
    <w:rsid w:val="00E36598"/>
    <w:rsid w:val="00E511C5"/>
    <w:rsid w:val="00E539FF"/>
    <w:rsid w:val="00E5585B"/>
    <w:rsid w:val="00E574C6"/>
    <w:rsid w:val="00E577C7"/>
    <w:rsid w:val="00E62E89"/>
    <w:rsid w:val="00E673E0"/>
    <w:rsid w:val="00E67E12"/>
    <w:rsid w:val="00E74E8C"/>
    <w:rsid w:val="00E765D5"/>
    <w:rsid w:val="00E76836"/>
    <w:rsid w:val="00E84BE9"/>
    <w:rsid w:val="00EB2F65"/>
    <w:rsid w:val="00EB47B0"/>
    <w:rsid w:val="00EB53C3"/>
    <w:rsid w:val="00EC0BB8"/>
    <w:rsid w:val="00EC1D83"/>
    <w:rsid w:val="00EC41C9"/>
    <w:rsid w:val="00ED07E0"/>
    <w:rsid w:val="00ED1689"/>
    <w:rsid w:val="00ED4E09"/>
    <w:rsid w:val="00ED54B5"/>
    <w:rsid w:val="00ED671F"/>
    <w:rsid w:val="00ED6EC5"/>
    <w:rsid w:val="00EE258B"/>
    <w:rsid w:val="00EE6F87"/>
    <w:rsid w:val="00EE7C1B"/>
    <w:rsid w:val="00EE7FFC"/>
    <w:rsid w:val="00EF000F"/>
    <w:rsid w:val="00EF4DFC"/>
    <w:rsid w:val="00EF6701"/>
    <w:rsid w:val="00F11F99"/>
    <w:rsid w:val="00F13152"/>
    <w:rsid w:val="00F15AAD"/>
    <w:rsid w:val="00F20383"/>
    <w:rsid w:val="00F4243C"/>
    <w:rsid w:val="00F46096"/>
    <w:rsid w:val="00F5118E"/>
    <w:rsid w:val="00F61647"/>
    <w:rsid w:val="00F6216B"/>
    <w:rsid w:val="00F71C55"/>
    <w:rsid w:val="00F7475D"/>
    <w:rsid w:val="00F75492"/>
    <w:rsid w:val="00F76967"/>
    <w:rsid w:val="00F81A7F"/>
    <w:rsid w:val="00F97F09"/>
    <w:rsid w:val="00FA20C2"/>
    <w:rsid w:val="00FA4C87"/>
    <w:rsid w:val="00FC592A"/>
    <w:rsid w:val="00FC7769"/>
    <w:rsid w:val="00FD79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FB0EC0"/>
  <w15:chartTrackingRefBased/>
  <w15:docId w15:val="{394294B8-4B6C-42D0-A2AF-8C0E8B7ED6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20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220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220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220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220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220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20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20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20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20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220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20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20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20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20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20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20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20C6"/>
    <w:rPr>
      <w:rFonts w:eastAsiaTheme="majorEastAsia" w:cstheme="majorBidi"/>
      <w:color w:val="272727" w:themeColor="text1" w:themeTint="D8"/>
    </w:rPr>
  </w:style>
  <w:style w:type="paragraph" w:styleId="Title">
    <w:name w:val="Title"/>
    <w:basedOn w:val="Normal"/>
    <w:next w:val="Normal"/>
    <w:link w:val="TitleChar"/>
    <w:uiPriority w:val="10"/>
    <w:qFormat/>
    <w:rsid w:val="00A220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20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20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20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20C6"/>
    <w:pPr>
      <w:spacing w:before="160"/>
      <w:jc w:val="center"/>
    </w:pPr>
    <w:rPr>
      <w:i/>
      <w:iCs/>
      <w:color w:val="404040" w:themeColor="text1" w:themeTint="BF"/>
    </w:rPr>
  </w:style>
  <w:style w:type="character" w:customStyle="1" w:styleId="QuoteChar">
    <w:name w:val="Quote Char"/>
    <w:basedOn w:val="DefaultParagraphFont"/>
    <w:link w:val="Quote"/>
    <w:uiPriority w:val="29"/>
    <w:rsid w:val="00A220C6"/>
    <w:rPr>
      <w:i/>
      <w:iCs/>
      <w:color w:val="404040" w:themeColor="text1" w:themeTint="BF"/>
    </w:rPr>
  </w:style>
  <w:style w:type="paragraph" w:styleId="ListParagraph">
    <w:name w:val="List Paragraph"/>
    <w:basedOn w:val="Normal"/>
    <w:uiPriority w:val="34"/>
    <w:qFormat/>
    <w:rsid w:val="00A220C6"/>
    <w:pPr>
      <w:ind w:left="720"/>
      <w:contextualSpacing/>
    </w:pPr>
  </w:style>
  <w:style w:type="character" w:styleId="IntenseEmphasis">
    <w:name w:val="Intense Emphasis"/>
    <w:basedOn w:val="DefaultParagraphFont"/>
    <w:uiPriority w:val="21"/>
    <w:qFormat/>
    <w:rsid w:val="00A220C6"/>
    <w:rPr>
      <w:i/>
      <w:iCs/>
      <w:color w:val="0F4761" w:themeColor="accent1" w:themeShade="BF"/>
    </w:rPr>
  </w:style>
  <w:style w:type="paragraph" w:styleId="IntenseQuote">
    <w:name w:val="Intense Quote"/>
    <w:basedOn w:val="Normal"/>
    <w:next w:val="Normal"/>
    <w:link w:val="IntenseQuoteChar"/>
    <w:uiPriority w:val="30"/>
    <w:qFormat/>
    <w:rsid w:val="00A220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220C6"/>
    <w:rPr>
      <w:i/>
      <w:iCs/>
      <w:color w:val="0F4761" w:themeColor="accent1" w:themeShade="BF"/>
    </w:rPr>
  </w:style>
  <w:style w:type="character" w:styleId="IntenseReference">
    <w:name w:val="Intense Reference"/>
    <w:basedOn w:val="DefaultParagraphFont"/>
    <w:uiPriority w:val="32"/>
    <w:qFormat/>
    <w:rsid w:val="00A220C6"/>
    <w:rPr>
      <w:b/>
      <w:bCs/>
      <w:smallCaps/>
      <w:color w:val="0F4761" w:themeColor="accent1" w:themeShade="BF"/>
      <w:spacing w:val="5"/>
    </w:rPr>
  </w:style>
  <w:style w:type="paragraph" w:styleId="NoSpacing">
    <w:name w:val="No Spacing"/>
    <w:link w:val="NoSpacingChar"/>
    <w:uiPriority w:val="1"/>
    <w:qFormat/>
    <w:rsid w:val="00EF4DFC"/>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EF4DFC"/>
    <w:rPr>
      <w:rFonts w:eastAsiaTheme="minorEastAsia"/>
      <w:kern w:val="0"/>
      <w:sz w:val="22"/>
      <w:szCs w:val="22"/>
      <w:lang w:eastAsia="en-GB"/>
      <w14:ligatures w14:val="none"/>
    </w:rPr>
  </w:style>
  <w:style w:type="paragraph" w:styleId="Header">
    <w:name w:val="header"/>
    <w:basedOn w:val="Normal"/>
    <w:link w:val="HeaderChar"/>
    <w:uiPriority w:val="99"/>
    <w:unhideWhenUsed/>
    <w:rsid w:val="00E67E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7E12"/>
  </w:style>
  <w:style w:type="paragraph" w:styleId="Footer">
    <w:name w:val="footer"/>
    <w:basedOn w:val="Normal"/>
    <w:link w:val="FooterChar"/>
    <w:uiPriority w:val="99"/>
    <w:unhideWhenUsed/>
    <w:rsid w:val="00E67E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7E12"/>
  </w:style>
  <w:style w:type="character" w:styleId="Hyperlink">
    <w:name w:val="Hyperlink"/>
    <w:basedOn w:val="DefaultParagraphFont"/>
    <w:uiPriority w:val="99"/>
    <w:unhideWhenUsed/>
    <w:rsid w:val="00990B69"/>
    <w:rPr>
      <w:color w:val="467886" w:themeColor="hyperlink"/>
      <w:u w:val="single"/>
    </w:rPr>
  </w:style>
  <w:style w:type="paragraph" w:styleId="TOCHeading">
    <w:name w:val="TOC Heading"/>
    <w:basedOn w:val="Heading1"/>
    <w:next w:val="Normal"/>
    <w:uiPriority w:val="39"/>
    <w:unhideWhenUsed/>
    <w:qFormat/>
    <w:rsid w:val="002D44A9"/>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2D44A9"/>
    <w:pPr>
      <w:spacing w:after="100"/>
    </w:pPr>
  </w:style>
  <w:style w:type="paragraph" w:styleId="TOC2">
    <w:name w:val="toc 2"/>
    <w:basedOn w:val="Normal"/>
    <w:next w:val="Normal"/>
    <w:autoRedefine/>
    <w:uiPriority w:val="39"/>
    <w:unhideWhenUsed/>
    <w:rsid w:val="002D44A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leximize.com" TargetMode="External"/><Relationship Id="rId18" Type="http://schemas.openxmlformats.org/officeDocument/2006/relationships/hyperlink" Target="https://papers.ssrn.com/sol3/papers.cfm?abstract_id=5108136&amp;utm_source=chatgpt.com"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fleximize.com" TargetMode="External"/><Relationship Id="rId17" Type="http://schemas.openxmlformats.org/officeDocument/2006/relationships/hyperlink" Target="https://www.mckinsey.com/~/media/mckinsey/industries/financial%20services/our%20insights/how%20the%20best%20companies%20create%20value%20from%20their%20ecosystems/how-the-best-companies-create-value-from-their-ecosystems-final.pdf?utm_source=chatgpt.com" TargetMode="External"/><Relationship Id="rId2" Type="http://schemas.openxmlformats.org/officeDocument/2006/relationships/numbering" Target="numbering.xml"/><Relationship Id="rId16" Type="http://schemas.openxmlformats.org/officeDocument/2006/relationships/hyperlink" Target="https://www.bcg.com/publications/2024/reaching-purpose-driven-digital-transformation-success?utm_source=chatgpt.com"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leximize.com" TargetMode="External"/><Relationship Id="rId5" Type="http://schemas.openxmlformats.org/officeDocument/2006/relationships/webSettings" Target="webSettings.xml"/><Relationship Id="rId15" Type="http://schemas.openxmlformats.org/officeDocument/2006/relationships/hyperlink" Target="https://www.fleximize.com" TargetMode="External"/><Relationship Id="rId23" Type="http://schemas.openxmlformats.org/officeDocument/2006/relationships/theme" Target="theme/theme1.xml"/><Relationship Id="rId10" Type="http://schemas.openxmlformats.org/officeDocument/2006/relationships/hyperlink" Target="https://www.fleximize.com" TargetMode="External"/><Relationship Id="rId19" Type="http://schemas.openxmlformats.org/officeDocument/2006/relationships/hyperlink" Target="https://www.pearson.com/en-gb/subject-catalog/p/exploring-strategy-text-and-cases/P200000004559/9781292282503?srsltid=AfmBOop0G3iHX6s2VHHdESgQc_JCQsN46pI3cTYNFglcktcM_eUjVzGi&amp;utm_source=chatgpt.com" TargetMode="External"/><Relationship Id="rId4" Type="http://schemas.openxmlformats.org/officeDocument/2006/relationships/settings" Target="settings.xml"/><Relationship Id="rId9" Type="http://schemas.openxmlformats.org/officeDocument/2006/relationships/hyperlink" Target="https://www.gov.uk" TargetMode="External"/><Relationship Id="rId14" Type="http://schemas.openxmlformats.org/officeDocument/2006/relationships/hyperlink" Target="https://www.fleximize.co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A8F546-F299-4D68-8C43-B49A5F04CD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5307</Words>
  <Characters>30252</Characters>
  <Application>Microsoft Office Word</Application>
  <DocSecurity>0</DocSecurity>
  <Lines>252</Lines>
  <Paragraphs>70</Paragraphs>
  <ScaleCrop>false</ScaleCrop>
  <HeadingPairs>
    <vt:vector size="2" baseType="variant">
      <vt:variant>
        <vt:lpstr>Title</vt:lpstr>
      </vt:variant>
      <vt:variant>
        <vt:i4>1</vt:i4>
      </vt:variant>
    </vt:vector>
  </HeadingPairs>
  <TitlesOfParts>
    <vt:vector size="1" baseType="lpstr">
      <vt:lpstr>Strategic Management for Business (LCLM6001_LON)</vt:lpstr>
    </vt:vector>
  </TitlesOfParts>
  <Company/>
  <LinksUpToDate>false</LinksUpToDate>
  <CharactersWithSpaces>35489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for Business (LCLM6001_LON)</dc:title>
  <dc:subject/>
  <dc:creator>Adney Lima Do Sacramento Rompão (2317949)</dc:creator>
  <cp:keywords/>
  <dc:description/>
  <cp:lastModifiedBy>Adney Lima Do Sacramento Rompão (2317949)</cp:lastModifiedBy>
  <cp:revision>343</cp:revision>
  <dcterms:created xsi:type="dcterms:W3CDTF">2025-11-16T14:07:00Z</dcterms:created>
  <dcterms:modified xsi:type="dcterms:W3CDTF">2025-12-18T17:53:00Z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0cbc8109-66b2-483b-b415-7b25569ce001</vt:lpwstr>
  </property>
</Properties>
</file>