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35C06E" w14:textId="4679BBA9" w:rsidR="00AD65A9" w:rsidRDefault="00BD6375" w:rsidP="00461622">
      <w:pPr>
        <w:spacing w:line="240" w:lineRule="auto"/>
      </w:pPr>
      <w:r>
        <w:t xml:space="preserve">The concept of stigma has </w:t>
      </w:r>
      <w:r w:rsidR="004F30E6">
        <w:t>attracted copious amounts of</w:t>
      </w:r>
      <w:r>
        <w:t xml:space="preserve"> attention in </w:t>
      </w:r>
      <w:r w:rsidR="00F04CAF">
        <w:t>recent times, especially towards those individuals suffering from eating disorders. Stigma can be described as negative c</w:t>
      </w:r>
      <w:r w:rsidR="00AF21FC">
        <w:t xml:space="preserve">ognitions and discriminatory attitudes towards certain people (Link and Phelan, 2001). Stigma plays a major role in the distress, anxiety and alienation associated with eating disorder sufferers, and can be responsible for individuals refraining from treatment-seeking or disclosing their illness to close family or peers. With eating disorders increasing three-fold in the last 50 years and 1.6 million of the </w:t>
      </w:r>
      <w:r w:rsidR="004F30E6">
        <w:t>UK</w:t>
      </w:r>
      <w:r w:rsidR="00AF21FC">
        <w:t xml:space="preserve"> population suffering from some type of eating disorder, it is important to have strategies</w:t>
      </w:r>
      <w:r w:rsidR="00E54B37">
        <w:t xml:space="preserve"> in place</w:t>
      </w:r>
      <w:r w:rsidR="00AF21FC">
        <w:t xml:space="preserve"> to reduce the stigma around illnesses such as Anorexia and Bulimia. </w:t>
      </w:r>
      <w:r w:rsidR="00461622">
        <w:t xml:space="preserve">This contribution will critically review different types of interventions that are used to reduce the stigma of eating disorders. </w:t>
      </w:r>
    </w:p>
    <w:p w14:paraId="72226014" w14:textId="4845AB0D" w:rsidR="00AD65A9" w:rsidRDefault="00E54B37" w:rsidP="00461622">
      <w:pPr>
        <w:spacing w:line="240" w:lineRule="auto"/>
      </w:pPr>
      <w:r>
        <w:t>A well-known</w:t>
      </w:r>
      <w:r w:rsidR="00AD65A9">
        <w:t xml:space="preserve"> intervention to reduce eating disorder stigma is the </w:t>
      </w:r>
      <w:r w:rsidR="00194B93">
        <w:t>‘</w:t>
      </w:r>
      <w:r w:rsidR="007A23D5">
        <w:t>Education</w:t>
      </w:r>
      <w:r w:rsidR="00194B93">
        <w:t>’</w:t>
      </w:r>
      <w:r w:rsidR="007A23D5">
        <w:t xml:space="preserve"> intervention (Corrigan and Penn, 1999). The aim of this intervention is to give public knowledge about eating disorders and replacing their negative beliefs with more positive </w:t>
      </w:r>
      <w:r w:rsidR="0075369A">
        <w:t>ones</w:t>
      </w:r>
      <w:r w:rsidR="007A23D5">
        <w:t xml:space="preserve"> to reduce the stigma.</w:t>
      </w:r>
      <w:r w:rsidR="009356F2">
        <w:t xml:space="preserve"> </w:t>
      </w:r>
      <w:r w:rsidR="00194B93">
        <w:t xml:space="preserve">This is an approach that </w:t>
      </w:r>
      <w:r w:rsidR="0075369A">
        <w:t>government campaigns</w:t>
      </w:r>
      <w:r w:rsidR="00194B93">
        <w:t xml:space="preserve"> and </w:t>
      </w:r>
      <w:r>
        <w:t>charities</w:t>
      </w:r>
      <w:r w:rsidR="00194B93">
        <w:t xml:space="preserve"> use often, in the form of media</w:t>
      </w:r>
      <w:r w:rsidR="008B0F38">
        <w:t>,</w:t>
      </w:r>
      <w:r w:rsidR="00194B93">
        <w:t xml:space="preserve"> educational campaigns</w:t>
      </w:r>
      <w:r w:rsidR="008B0F38">
        <w:t xml:space="preserve"> and promoting contact between </w:t>
      </w:r>
      <w:r w:rsidR="005D5744">
        <w:t xml:space="preserve">the general public and those suffering from eating disorders. </w:t>
      </w:r>
      <w:r w:rsidR="0075369A">
        <w:t>A</w:t>
      </w:r>
      <w:r w:rsidR="009356F2">
        <w:t xml:space="preserve"> study conducted by Kakuma et al (2010) in South Africa, whereby data was collected on mental health campaigns, and all nine provinces had either government, non-government or a mix of both education campaigns to reduce the stigma eating disorder sufferers are exposed to. It was found that the education campaigns were successful in reducing stigma, not only for mental illness but also illness</w:t>
      </w:r>
      <w:r>
        <w:t xml:space="preserve"> suffering from stigmatization</w:t>
      </w:r>
      <w:r w:rsidR="009356F2">
        <w:t xml:space="preserve"> such as HIV and AIDS. To support, </w:t>
      </w:r>
      <w:proofErr w:type="spellStart"/>
      <w:r w:rsidR="009356F2">
        <w:t>Bannatyne</w:t>
      </w:r>
      <w:proofErr w:type="spellEnd"/>
      <w:r w:rsidR="009356F2">
        <w:t xml:space="preserve"> and Stapleton (2015) </w:t>
      </w:r>
      <w:r w:rsidR="00512B99">
        <w:t xml:space="preserve">compared two different educational campaigns in reducing eating disorder stigma. </w:t>
      </w:r>
      <w:r w:rsidR="00DD2C47">
        <w:t xml:space="preserve">All participants were Australian students, split into two groups, and results shown educational intervention scores for stigma were decreased after the study compared to the control group, supporting that Corrigan and Penn’s (1999) </w:t>
      </w:r>
      <w:r>
        <w:t>‘</w:t>
      </w:r>
      <w:r w:rsidR="00DD2C47">
        <w:t xml:space="preserve">Education </w:t>
      </w:r>
      <w:r>
        <w:t>I</w:t>
      </w:r>
      <w:r w:rsidR="00DD2C47">
        <w:t>ntervention</w:t>
      </w:r>
      <w:r>
        <w:t>’ strategy</w:t>
      </w:r>
      <w:r w:rsidR="00DD2C47">
        <w:t xml:space="preserve"> works. </w:t>
      </w:r>
    </w:p>
    <w:p w14:paraId="548E82F3" w14:textId="2E5D1C57" w:rsidR="00E54B37" w:rsidRDefault="00E54B37" w:rsidP="00461622">
      <w:pPr>
        <w:spacing w:line="240" w:lineRule="auto"/>
      </w:pPr>
      <w:r>
        <w:t xml:space="preserve">A further supporting study is that of Hwang et al (2011); Latino participants from ethnic minority communities in USA were questioned on their attitudes towards eating disorders and other mental health difficulties. </w:t>
      </w:r>
      <w:r w:rsidR="0043092A">
        <w:t>It was found that where there is increased knowledge within their communities, participants negative attitudes towards mental illness was lower</w:t>
      </w:r>
      <w:r w:rsidR="0075369A">
        <w:t>ed,</w:t>
      </w:r>
      <w:r w:rsidR="0043092A">
        <w:t xml:space="preserve"> therefore indicating that education is a mitigating factor in decreasing stigma of eating disorders. </w:t>
      </w:r>
    </w:p>
    <w:p w14:paraId="2BE34D3C" w14:textId="106418C0" w:rsidR="0043092A" w:rsidRDefault="0043092A" w:rsidP="00461622">
      <w:pPr>
        <w:spacing w:line="240" w:lineRule="auto"/>
      </w:pPr>
      <w:r>
        <w:t xml:space="preserve">Although education is a major step in </w:t>
      </w:r>
      <w:r w:rsidR="0075369A">
        <w:t xml:space="preserve">reducing </w:t>
      </w:r>
      <w:r>
        <w:t xml:space="preserve">stigmatization, Wolfe et al (1996) argues that certain types of education will </w:t>
      </w:r>
      <w:r w:rsidR="0075369A">
        <w:t xml:space="preserve">only </w:t>
      </w:r>
      <w:r>
        <w:t>work in certain settings, for example, information on reducing stigma towards eating disorders would be taught differently in schools versus an office environment. Wolfe et al (2000) suggest that for educational campaigns to work, the concerns of people whose attitude is trying to be adjusted must be listened to.</w:t>
      </w:r>
      <w:bookmarkStart w:id="0" w:name="_GoBack"/>
      <w:bookmarkEnd w:id="0"/>
    </w:p>
    <w:p w14:paraId="41C180B5" w14:textId="5A8413BF" w:rsidR="00F0226F" w:rsidRDefault="00E54B37" w:rsidP="00F0226F">
      <w:pPr>
        <w:spacing w:line="240" w:lineRule="auto"/>
      </w:pPr>
      <w:r>
        <w:t xml:space="preserve">An alternate intervention that was also introduced by Corrigan and Penn (1999) is ‘Contact Intervention’. </w:t>
      </w:r>
      <w:r w:rsidR="004F4D9C">
        <w:t xml:space="preserve">This </w:t>
      </w:r>
      <w:r>
        <w:t>strategy</w:t>
      </w:r>
      <w:r w:rsidR="004F4D9C">
        <w:t xml:space="preserve"> introduces the general public to sufferers of eating disorders in a bid to lessen their stigmatising attitudes</w:t>
      </w:r>
      <w:r w:rsidR="00F2425D">
        <w:t xml:space="preserve">, by </w:t>
      </w:r>
      <w:r w:rsidR="00F0226F">
        <w:t xml:space="preserve">encouraging empathy and </w:t>
      </w:r>
      <w:r w:rsidR="00F2425D">
        <w:t>familiarising themselves with eating disorders</w:t>
      </w:r>
      <w:r w:rsidR="004F4D9C">
        <w:t xml:space="preserve">. This can involve meeting with sufferers in person, via online group chats or watching personal narratives from the sufferer explaining what the disorder is like to </w:t>
      </w:r>
      <w:r w:rsidR="00BA1B21">
        <w:t>live with</w:t>
      </w:r>
      <w:r w:rsidR="004F4D9C">
        <w:t xml:space="preserve"> (amongst many other forms of contact). </w:t>
      </w:r>
      <w:r w:rsidR="00BA1B21">
        <w:t xml:space="preserve">However, a study conducted by </w:t>
      </w:r>
      <w:proofErr w:type="spellStart"/>
      <w:r w:rsidR="00BA1B21">
        <w:t>Ebetner</w:t>
      </w:r>
      <w:proofErr w:type="spellEnd"/>
      <w:r w:rsidR="00BA1B21">
        <w:t xml:space="preserve"> et al (2013) did not support this. Participants, who were all psychology undergraduates from Hawaii, were asked to read through five different vignettes of sufferers of eating disorders, and results shown that participants still shown negatives attitudes towards the sufferers; targets with Anorexia Nervosa were classified as ‘responsible for their condition’, whereas targets with Binge Eating Disorder were classified as ‘lacking self-discipline’</w:t>
      </w:r>
      <w:r w:rsidR="00F2425D">
        <w:t xml:space="preserve">. </w:t>
      </w:r>
      <w:proofErr w:type="gramStart"/>
      <w:r w:rsidR="00F0226F">
        <w:t>On the whole</w:t>
      </w:r>
      <w:proofErr w:type="gramEnd"/>
      <w:r w:rsidR="00F0226F">
        <w:t xml:space="preserve">, contact interventions are seen as </w:t>
      </w:r>
      <w:r>
        <w:t xml:space="preserve">one of </w:t>
      </w:r>
      <w:r w:rsidR="00F0226F">
        <w:t>the most powerful type of strategy for reducing stigma, although most of the studies into this type of intervention have an educational element also (Hart et al, 2012; Thompson-Brenner et al, 2010). To support, Corrigan et al (2012) found after conducting a meta-analysis that education interventions work better when contact</w:t>
      </w:r>
      <w:r>
        <w:t xml:space="preserve"> strategies</w:t>
      </w:r>
      <w:r w:rsidR="00F0226F">
        <w:t xml:space="preserve"> </w:t>
      </w:r>
      <w:r>
        <w:t>are</w:t>
      </w:r>
      <w:r w:rsidR="00F0226F">
        <w:t xml:space="preserve"> also used. This may be down to the fact that many negative stereotypical </w:t>
      </w:r>
      <w:r w:rsidR="00F0226F">
        <w:lastRenderedPageBreak/>
        <w:t xml:space="preserve">beliefs people hold towards sufferers of eating disorders are resilient to any change in their attitude unless </w:t>
      </w:r>
      <w:r w:rsidR="001D58E8">
        <w:t xml:space="preserve">contact is actual </w:t>
      </w:r>
      <w:r w:rsidR="00B271F4">
        <w:t>enforced,</w:t>
      </w:r>
      <w:r w:rsidR="001D58E8">
        <w:t xml:space="preserve"> so perspective can be gained.</w:t>
      </w:r>
      <w:r w:rsidR="00F0226F">
        <w:t xml:space="preserve"> </w:t>
      </w:r>
    </w:p>
    <w:p w14:paraId="52A8190C" w14:textId="4613A8FA" w:rsidR="005D243A" w:rsidRDefault="005D243A" w:rsidP="00F0226F">
      <w:pPr>
        <w:spacing w:line="240" w:lineRule="auto"/>
      </w:pPr>
      <w:r>
        <w:t>An</w:t>
      </w:r>
      <w:r w:rsidR="007052B4">
        <w:t xml:space="preserve"> alternative </w:t>
      </w:r>
      <w:r>
        <w:t>technique used to decrease stigmatization towards eating disorders is to alter the way the general public view eating disorders</w:t>
      </w:r>
      <w:r w:rsidR="007052B4">
        <w:t xml:space="preserve"> </w:t>
      </w:r>
      <w:r>
        <w:t xml:space="preserve">and is otherwise known as the </w:t>
      </w:r>
      <w:r w:rsidR="007052B4">
        <w:t>‘</w:t>
      </w:r>
      <w:r>
        <w:t>etiological approach</w:t>
      </w:r>
      <w:r w:rsidR="007052B4">
        <w:t>’</w:t>
      </w:r>
      <w:r>
        <w:t xml:space="preserve"> (</w:t>
      </w:r>
      <w:proofErr w:type="spellStart"/>
      <w:r>
        <w:t>Crisafulli</w:t>
      </w:r>
      <w:proofErr w:type="spellEnd"/>
      <w:r>
        <w:t xml:space="preserve">, 2008) and aims to </w:t>
      </w:r>
      <w:r w:rsidR="007052B4">
        <w:t>teach people two different theories of eating disorder</w:t>
      </w:r>
      <w:r w:rsidR="00E54B37">
        <w:t xml:space="preserve"> onset</w:t>
      </w:r>
      <w:r w:rsidR="007052B4">
        <w:t xml:space="preserve"> within the etiological approach; biological factors and social/environmental factors. A common view of people with eating disorders is that ‘should be able to control themselves’ or they are ‘attention seeking’ (Zheng et al, 2016) so the Biological approach of the Etiological theory attempts to teach people that the reason the sufferer has the eating disorder is through biological factors, in an effort to take away the personal blame and fault of the sufferer</w:t>
      </w:r>
      <w:r w:rsidR="00E54B37">
        <w:t>, and make it an illness that is not their own fault, which is easier to understand.</w:t>
      </w:r>
      <w:r w:rsidR="007052B4">
        <w:t xml:space="preserve"> </w:t>
      </w:r>
      <w:r w:rsidR="00D8402E">
        <w:t>On the other hand, the social/environmental factor of the Etiological approach aims to teach people that the fault of the eating disorder lies within cultural norms, past trauma experienced by the sufferer and the ‘thin-ideal’ of western cultures. Media has a large impact on people, especially on young women who view magazines, television programmes and models daily and witness every model being extremely thin and thought of as ideal in society. To support this, Phillips (2007) studied Body Mass Index of run</w:t>
      </w:r>
      <w:r w:rsidR="007F0C05">
        <w:t>-</w:t>
      </w:r>
      <w:r w:rsidR="00D8402E">
        <w:t xml:space="preserve">way models at an American </w:t>
      </w:r>
      <w:r w:rsidR="00F040E8">
        <w:t>Cat walk</w:t>
      </w:r>
      <w:r w:rsidR="00D8402E">
        <w:t xml:space="preserve"> show and found almost all of the models wore a size </w:t>
      </w:r>
      <w:r w:rsidR="007F0C05">
        <w:t>zero clothing</w:t>
      </w:r>
      <w:r w:rsidR="00D8402E">
        <w:t xml:space="preserve"> and had dangerously low Body Mass Index, what society would see as unhealthy,</w:t>
      </w:r>
      <w:r w:rsidR="007F0C05">
        <w:t xml:space="preserve"> and what would be classed as Anorexic;</w:t>
      </w:r>
      <w:r w:rsidR="00D8402E">
        <w:t xml:space="preserve"> but still the models were used to promote clothing worldwide for popular fashion brands. Women worldwide may look at this and see it as the beauty standard, and hence develop eating disorders such as Anorexia and Bulimia to keep in with this ideal (</w:t>
      </w:r>
      <w:proofErr w:type="spellStart"/>
      <w:r w:rsidR="00D8402E">
        <w:t>Bannatyne</w:t>
      </w:r>
      <w:proofErr w:type="spellEnd"/>
      <w:r w:rsidR="00D8402E">
        <w:t xml:space="preserve"> and Abel, 2015). </w:t>
      </w:r>
      <w:r w:rsidR="00C574E9">
        <w:t xml:space="preserve">This is the type of information that is relayed to the public in the etiological approach, </w:t>
      </w:r>
      <w:r w:rsidR="003E0BB2">
        <w:t>although not always affective; some view eating disorders as ‘most people can control eating so why can’t they?’ which is a individual difference that is not taken into account when researching eating disorders, however an eating disorder is a mental illness, which is often overlooked by the public and hence stigmatization occurs. Of the two approaches (biological and social/environmental) the biological approach is thought to be more effective than the other, because it is easier for people to understand that biological factors are a cause of an illness, rather than not being able to control social and environmental factors surrounding the eating disorder sufferer (</w:t>
      </w:r>
      <w:proofErr w:type="spellStart"/>
      <w:r w:rsidR="003E0BB2">
        <w:t>Crisafulli</w:t>
      </w:r>
      <w:proofErr w:type="spellEnd"/>
      <w:r w:rsidR="003E0BB2">
        <w:t>, 2008). To support this statement, studies into stigma towards different types of mental health disorders, show that illnesses such as Schizophrenia and Bipolar disorder are taken more seriously and are thought to have less personal blame than eating disorders, as they are thought of as serious mental health conditions that are out of the individual</w:t>
      </w:r>
      <w:r w:rsidR="00F060D4">
        <w:t>’</w:t>
      </w:r>
      <w:r w:rsidR="003E0BB2">
        <w:t>s control (</w:t>
      </w:r>
      <w:r w:rsidR="004F30E6">
        <w:t>Crisp, 2009)</w:t>
      </w:r>
    </w:p>
    <w:p w14:paraId="20FEBC6A" w14:textId="5B3BDD2F" w:rsidR="00F060D4" w:rsidRDefault="00E54B37" w:rsidP="00F0226F">
      <w:pPr>
        <w:spacing w:line="240" w:lineRule="auto"/>
      </w:pPr>
      <w:r>
        <w:t>However, there are drawbacks to the etiological approach; suggesting just one factor is the cause of the individuals eating disorder is deceptive, eating disorders are serious mental illnesses and for the most part of sufferers there are multiple causes, not just one factor that can be blamed (Levine, 2009).</w:t>
      </w:r>
    </w:p>
    <w:p w14:paraId="070A42B2" w14:textId="773F7DA2" w:rsidR="004F30E6" w:rsidRDefault="004F30E6" w:rsidP="00944C14">
      <w:pPr>
        <w:spacing w:line="240" w:lineRule="auto"/>
      </w:pPr>
      <w:r>
        <w:t>A fairly recent approach to reducing eating disorder stigma is a ‘Mindfulness based approach’, whereby techniques such as Cognitive Behavioural Therapy</w:t>
      </w:r>
      <w:r w:rsidR="00522D67">
        <w:t xml:space="preserve"> (CBT)</w:t>
      </w:r>
      <w:r>
        <w:t xml:space="preserve"> and guided self-help systems</w:t>
      </w:r>
      <w:r w:rsidR="00E54B37">
        <w:t xml:space="preserve"> are used in an attempt to lessen stigma effects; they are e</w:t>
      </w:r>
      <w:r w:rsidR="00522D67">
        <w:t xml:space="preserve">ffective in treating </w:t>
      </w:r>
      <w:r w:rsidR="00E54B37">
        <w:t xml:space="preserve">stigma for </w:t>
      </w:r>
      <w:r w:rsidR="00522D67">
        <w:t xml:space="preserve">disorders such as Binge Eating Disorder (BED) and Obesity, and also for distributing knowledge to the general public about how people can support </w:t>
      </w:r>
      <w:r w:rsidR="008838DF">
        <w:t>victims of eating disorders (Brownley et al, 2007; Wilson et al, 2010 and Murphy et al, 2010)</w:t>
      </w:r>
      <w:r w:rsidR="0043092A">
        <w:t xml:space="preserve">. Another contemporary strategy at decreasing stigma is religious treatment; Nadeem et al (2008) studied culturally relevant religious treatments and campaigns in USA and found that in communities that hold strong religious beliefs and have education available to them in their place of worship regarding eating disorders and other mental health illnesses shown </w:t>
      </w:r>
      <w:r w:rsidR="00944C14">
        <w:t>fewer</w:t>
      </w:r>
      <w:r w:rsidR="0043092A">
        <w:t xml:space="preserve"> negative attitudes towards sufferers.  </w:t>
      </w:r>
    </w:p>
    <w:p w14:paraId="47E5C3D4" w14:textId="709F4023" w:rsidR="00BA1B21" w:rsidRDefault="007239E1" w:rsidP="00461622">
      <w:pPr>
        <w:spacing w:line="240" w:lineRule="auto"/>
      </w:pPr>
      <w:r>
        <w:t xml:space="preserve">To Conclude, the interventions to reduce eating disorder stigma in this contribution are all varied and offer different strategies to help with the stigmatization of mentally ill individuals, from the </w:t>
      </w:r>
      <w:r>
        <w:lastRenderedPageBreak/>
        <w:t xml:space="preserve">etiological approach which attempts to teach the public of the causes of an eating disorder, to the contact methods to allow the public to empathise and perceive the suffering individual in a different way. However, they all have one thing in common; education. Although varied, each of these techniques at reducing stigma involves teaching the general public and healthcare professionals more about eating disorders. Compared to other mental disorders and the research gathered on them and the stigma they receive, eating disorders are still relatively new to the research scene. It is apparent that more studies need to be completed in the eating disorder and stigma area, so it will be more clear what interventions to reduce stigmatization are more affective and why. </w:t>
      </w:r>
    </w:p>
    <w:p w14:paraId="2AC28D9D" w14:textId="150A9DE5" w:rsidR="0064281C" w:rsidRDefault="0064281C" w:rsidP="007052B4">
      <w:pPr>
        <w:spacing w:line="240" w:lineRule="auto"/>
      </w:pPr>
    </w:p>
    <w:p w14:paraId="412C49D6" w14:textId="130BF8ED" w:rsidR="0064281C" w:rsidRDefault="0064281C" w:rsidP="0064281C">
      <w:pPr>
        <w:rPr>
          <w:u w:val="single"/>
        </w:rPr>
      </w:pPr>
      <w:r w:rsidRPr="0064281C">
        <w:rPr>
          <w:u w:val="single"/>
        </w:rPr>
        <w:t xml:space="preserve">References </w:t>
      </w:r>
    </w:p>
    <w:p w14:paraId="4D59556B" w14:textId="493119DA" w:rsidR="004F4D9C" w:rsidRDefault="004F4D9C" w:rsidP="0064281C">
      <w:pPr>
        <w:rPr>
          <w:u w:val="single"/>
        </w:rPr>
      </w:pPr>
      <w:proofErr w:type="spellStart"/>
      <w:r>
        <w:rPr>
          <w:rFonts w:ascii="Arial" w:hAnsi="Arial" w:cs="Arial"/>
          <w:color w:val="222222"/>
          <w:sz w:val="20"/>
          <w:szCs w:val="20"/>
        </w:rPr>
        <w:t>Bannatyne</w:t>
      </w:r>
      <w:proofErr w:type="spellEnd"/>
      <w:r>
        <w:rPr>
          <w:rFonts w:ascii="Arial" w:hAnsi="Arial" w:cs="Arial"/>
          <w:color w:val="222222"/>
          <w:sz w:val="20"/>
          <w:szCs w:val="20"/>
        </w:rPr>
        <w:t xml:space="preserve">, A., &amp; Stapleton, P. (2015). Educating medical students about anorexia nervosa: A potential method for reducing the volitional stigma associated with the disorder. </w:t>
      </w:r>
      <w:r>
        <w:rPr>
          <w:rFonts w:ascii="Arial" w:hAnsi="Arial" w:cs="Arial"/>
          <w:i/>
          <w:iCs/>
          <w:color w:val="222222"/>
          <w:sz w:val="20"/>
          <w:szCs w:val="20"/>
        </w:rPr>
        <w:t>Eating disorders</w:t>
      </w:r>
      <w:r>
        <w:rPr>
          <w:rFonts w:ascii="Arial" w:hAnsi="Arial" w:cs="Arial"/>
          <w:color w:val="222222"/>
          <w:sz w:val="20"/>
          <w:szCs w:val="20"/>
        </w:rPr>
        <w:t xml:space="preserve">, </w:t>
      </w:r>
      <w:r>
        <w:rPr>
          <w:rFonts w:ascii="Arial" w:hAnsi="Arial" w:cs="Arial"/>
          <w:i/>
          <w:iCs/>
          <w:color w:val="222222"/>
          <w:sz w:val="20"/>
          <w:szCs w:val="20"/>
        </w:rPr>
        <w:t>23</w:t>
      </w:r>
      <w:r>
        <w:rPr>
          <w:rFonts w:ascii="Arial" w:hAnsi="Arial" w:cs="Arial"/>
          <w:color w:val="222222"/>
          <w:sz w:val="20"/>
          <w:szCs w:val="20"/>
        </w:rPr>
        <w:t>(2), 115-133.</w:t>
      </w:r>
    </w:p>
    <w:p w14:paraId="740BE497" w14:textId="194DA2A4" w:rsidR="00627F2D" w:rsidRDefault="00627F2D" w:rsidP="0064281C">
      <w:pPr>
        <w:rPr>
          <w:rFonts w:ascii="Arial" w:hAnsi="Arial" w:cs="Arial"/>
          <w:color w:val="222222"/>
          <w:sz w:val="20"/>
          <w:szCs w:val="20"/>
        </w:rPr>
      </w:pPr>
      <w:r>
        <w:rPr>
          <w:rFonts w:ascii="Arial" w:hAnsi="Arial" w:cs="Arial"/>
          <w:color w:val="222222"/>
          <w:sz w:val="20"/>
          <w:szCs w:val="20"/>
        </w:rPr>
        <w:t xml:space="preserve">Corrigan, P. (2004). How stigma interferes with mental health care. </w:t>
      </w:r>
      <w:r>
        <w:rPr>
          <w:rFonts w:ascii="Arial" w:hAnsi="Arial" w:cs="Arial"/>
          <w:i/>
          <w:iCs/>
          <w:color w:val="222222"/>
          <w:sz w:val="20"/>
          <w:szCs w:val="20"/>
        </w:rPr>
        <w:t>American psychologist</w:t>
      </w:r>
      <w:r>
        <w:rPr>
          <w:rFonts w:ascii="Arial" w:hAnsi="Arial" w:cs="Arial"/>
          <w:color w:val="222222"/>
          <w:sz w:val="20"/>
          <w:szCs w:val="20"/>
        </w:rPr>
        <w:t xml:space="preserve">, </w:t>
      </w:r>
      <w:r>
        <w:rPr>
          <w:rFonts w:ascii="Arial" w:hAnsi="Arial" w:cs="Arial"/>
          <w:i/>
          <w:iCs/>
          <w:color w:val="222222"/>
          <w:sz w:val="20"/>
          <w:szCs w:val="20"/>
        </w:rPr>
        <w:t>59</w:t>
      </w:r>
      <w:r>
        <w:rPr>
          <w:rFonts w:ascii="Arial" w:hAnsi="Arial" w:cs="Arial"/>
          <w:color w:val="222222"/>
          <w:sz w:val="20"/>
          <w:szCs w:val="20"/>
        </w:rPr>
        <w:t>(7), 614.</w:t>
      </w:r>
    </w:p>
    <w:p w14:paraId="526530DD" w14:textId="0E635E1A" w:rsidR="00627F2D" w:rsidRDefault="00621826" w:rsidP="0064281C">
      <w:pPr>
        <w:rPr>
          <w:u w:val="single"/>
        </w:rPr>
      </w:pPr>
      <w:r>
        <w:rPr>
          <w:rFonts w:ascii="Arial" w:hAnsi="Arial" w:cs="Arial"/>
          <w:color w:val="222222"/>
          <w:sz w:val="20"/>
          <w:szCs w:val="20"/>
        </w:rPr>
        <w:t xml:space="preserve">Corrigan, P. W., &amp; Penn, D. L. (1999). Lessons from social psychology on discrediting psychiatric stigma. </w:t>
      </w:r>
      <w:r>
        <w:rPr>
          <w:rFonts w:ascii="Arial" w:hAnsi="Arial" w:cs="Arial"/>
          <w:i/>
          <w:iCs/>
          <w:color w:val="222222"/>
          <w:sz w:val="20"/>
          <w:szCs w:val="20"/>
        </w:rPr>
        <w:t>American Psychologist</w:t>
      </w:r>
      <w:r>
        <w:rPr>
          <w:rFonts w:ascii="Arial" w:hAnsi="Arial" w:cs="Arial"/>
          <w:color w:val="222222"/>
          <w:sz w:val="20"/>
          <w:szCs w:val="20"/>
        </w:rPr>
        <w:t xml:space="preserve">, </w:t>
      </w:r>
      <w:r>
        <w:rPr>
          <w:rFonts w:ascii="Arial" w:hAnsi="Arial" w:cs="Arial"/>
          <w:i/>
          <w:iCs/>
          <w:color w:val="222222"/>
          <w:sz w:val="20"/>
          <w:szCs w:val="20"/>
        </w:rPr>
        <w:t>54</w:t>
      </w:r>
      <w:r>
        <w:rPr>
          <w:rFonts w:ascii="Arial" w:hAnsi="Arial" w:cs="Arial"/>
          <w:color w:val="222222"/>
          <w:sz w:val="20"/>
          <w:szCs w:val="20"/>
        </w:rPr>
        <w:t>(9), 765.</w:t>
      </w:r>
    </w:p>
    <w:p w14:paraId="6678D3F6" w14:textId="53581B74" w:rsidR="00627F2D" w:rsidRDefault="00627F2D" w:rsidP="0064281C">
      <w:pPr>
        <w:rPr>
          <w:rFonts w:ascii="Arial" w:hAnsi="Arial" w:cs="Arial"/>
          <w:color w:val="222222"/>
          <w:sz w:val="20"/>
          <w:szCs w:val="20"/>
        </w:rPr>
      </w:pPr>
      <w:r>
        <w:rPr>
          <w:rFonts w:ascii="Arial" w:hAnsi="Arial" w:cs="Arial"/>
          <w:color w:val="222222"/>
          <w:sz w:val="20"/>
          <w:szCs w:val="20"/>
        </w:rPr>
        <w:t xml:space="preserve">Corrigan, P. W., Morris, S. B., Michaels, P. J., </w:t>
      </w:r>
      <w:proofErr w:type="spellStart"/>
      <w:r>
        <w:rPr>
          <w:rFonts w:ascii="Arial" w:hAnsi="Arial" w:cs="Arial"/>
          <w:color w:val="222222"/>
          <w:sz w:val="20"/>
          <w:szCs w:val="20"/>
        </w:rPr>
        <w:t>Rafacz</w:t>
      </w:r>
      <w:proofErr w:type="spellEnd"/>
      <w:r>
        <w:rPr>
          <w:rFonts w:ascii="Arial" w:hAnsi="Arial" w:cs="Arial"/>
          <w:color w:val="222222"/>
          <w:sz w:val="20"/>
          <w:szCs w:val="20"/>
        </w:rPr>
        <w:t xml:space="preserve">, J. D., &amp; </w:t>
      </w:r>
      <w:proofErr w:type="spellStart"/>
      <w:r>
        <w:rPr>
          <w:rFonts w:ascii="Arial" w:hAnsi="Arial" w:cs="Arial"/>
          <w:color w:val="222222"/>
          <w:sz w:val="20"/>
          <w:szCs w:val="20"/>
        </w:rPr>
        <w:t>Rüsch</w:t>
      </w:r>
      <w:proofErr w:type="spellEnd"/>
      <w:r>
        <w:rPr>
          <w:rFonts w:ascii="Arial" w:hAnsi="Arial" w:cs="Arial"/>
          <w:color w:val="222222"/>
          <w:sz w:val="20"/>
          <w:szCs w:val="20"/>
        </w:rPr>
        <w:t xml:space="preserve">, N. (2012). Challenging the public stigma of mental illness: a meta-analysis of outcome studies. </w:t>
      </w:r>
      <w:r>
        <w:rPr>
          <w:rFonts w:ascii="Arial" w:hAnsi="Arial" w:cs="Arial"/>
          <w:i/>
          <w:iCs/>
          <w:color w:val="222222"/>
          <w:sz w:val="20"/>
          <w:szCs w:val="20"/>
        </w:rPr>
        <w:t>Psychiatric services</w:t>
      </w:r>
      <w:r>
        <w:rPr>
          <w:rFonts w:ascii="Arial" w:hAnsi="Arial" w:cs="Arial"/>
          <w:color w:val="222222"/>
          <w:sz w:val="20"/>
          <w:szCs w:val="20"/>
        </w:rPr>
        <w:t xml:space="preserve">, </w:t>
      </w:r>
      <w:r>
        <w:rPr>
          <w:rFonts w:ascii="Arial" w:hAnsi="Arial" w:cs="Arial"/>
          <w:i/>
          <w:iCs/>
          <w:color w:val="222222"/>
          <w:sz w:val="20"/>
          <w:szCs w:val="20"/>
        </w:rPr>
        <w:t>63</w:t>
      </w:r>
      <w:r>
        <w:rPr>
          <w:rFonts w:ascii="Arial" w:hAnsi="Arial" w:cs="Arial"/>
          <w:color w:val="222222"/>
          <w:sz w:val="20"/>
          <w:szCs w:val="20"/>
        </w:rPr>
        <w:t>(10), 963-973.</w:t>
      </w:r>
    </w:p>
    <w:p w14:paraId="762212FE" w14:textId="0EC91287" w:rsidR="007052B4" w:rsidRDefault="007052B4" w:rsidP="0064281C">
      <w:pPr>
        <w:rPr>
          <w:u w:val="single"/>
        </w:rPr>
      </w:pPr>
      <w:proofErr w:type="spellStart"/>
      <w:r>
        <w:rPr>
          <w:rFonts w:ascii="Arial" w:hAnsi="Arial" w:cs="Arial"/>
          <w:color w:val="222222"/>
          <w:sz w:val="20"/>
          <w:szCs w:val="20"/>
        </w:rPr>
        <w:t>Crisafulli</w:t>
      </w:r>
      <w:proofErr w:type="spellEnd"/>
      <w:r>
        <w:rPr>
          <w:rFonts w:ascii="Arial" w:hAnsi="Arial" w:cs="Arial"/>
          <w:color w:val="222222"/>
          <w:sz w:val="20"/>
          <w:szCs w:val="20"/>
        </w:rPr>
        <w:t xml:space="preserve">, M. A., Von </w:t>
      </w:r>
      <w:proofErr w:type="spellStart"/>
      <w:r>
        <w:rPr>
          <w:rFonts w:ascii="Arial" w:hAnsi="Arial" w:cs="Arial"/>
          <w:color w:val="222222"/>
          <w:sz w:val="20"/>
          <w:szCs w:val="20"/>
        </w:rPr>
        <w:t>Holle</w:t>
      </w:r>
      <w:proofErr w:type="spellEnd"/>
      <w:r>
        <w:rPr>
          <w:rFonts w:ascii="Arial" w:hAnsi="Arial" w:cs="Arial"/>
          <w:color w:val="222222"/>
          <w:sz w:val="20"/>
          <w:szCs w:val="20"/>
        </w:rPr>
        <w:t xml:space="preserve">, A., &amp; </w:t>
      </w:r>
      <w:proofErr w:type="spellStart"/>
      <w:r>
        <w:rPr>
          <w:rFonts w:ascii="Arial" w:hAnsi="Arial" w:cs="Arial"/>
          <w:color w:val="222222"/>
          <w:sz w:val="20"/>
          <w:szCs w:val="20"/>
        </w:rPr>
        <w:t>Bulik</w:t>
      </w:r>
      <w:proofErr w:type="spellEnd"/>
      <w:r>
        <w:rPr>
          <w:rFonts w:ascii="Arial" w:hAnsi="Arial" w:cs="Arial"/>
          <w:color w:val="222222"/>
          <w:sz w:val="20"/>
          <w:szCs w:val="20"/>
        </w:rPr>
        <w:t xml:space="preserve">, C. M. (2008). Attitudes towards anorexia nervosa: The impact of framing on blame and stigma. </w:t>
      </w:r>
      <w:r>
        <w:rPr>
          <w:rFonts w:ascii="Arial" w:hAnsi="Arial" w:cs="Arial"/>
          <w:i/>
          <w:iCs/>
          <w:color w:val="222222"/>
          <w:sz w:val="20"/>
          <w:szCs w:val="20"/>
        </w:rPr>
        <w:t>International Journal of Eating Disorders</w:t>
      </w:r>
      <w:r>
        <w:rPr>
          <w:rFonts w:ascii="Arial" w:hAnsi="Arial" w:cs="Arial"/>
          <w:color w:val="222222"/>
          <w:sz w:val="20"/>
          <w:szCs w:val="20"/>
        </w:rPr>
        <w:t xml:space="preserve">, </w:t>
      </w:r>
      <w:r>
        <w:rPr>
          <w:rFonts w:ascii="Arial" w:hAnsi="Arial" w:cs="Arial"/>
          <w:i/>
          <w:iCs/>
          <w:color w:val="222222"/>
          <w:sz w:val="20"/>
          <w:szCs w:val="20"/>
        </w:rPr>
        <w:t>41</w:t>
      </w:r>
      <w:r>
        <w:rPr>
          <w:rFonts w:ascii="Arial" w:hAnsi="Arial" w:cs="Arial"/>
          <w:color w:val="222222"/>
          <w:sz w:val="20"/>
          <w:szCs w:val="20"/>
        </w:rPr>
        <w:t>(4), 333-339.</w:t>
      </w:r>
    </w:p>
    <w:p w14:paraId="32FA7FA5" w14:textId="52D87C90" w:rsidR="0064281C" w:rsidRDefault="0064281C" w:rsidP="0064281C">
      <w:pPr>
        <w:rPr>
          <w:rFonts w:ascii="Arial" w:hAnsi="Arial" w:cs="Arial"/>
          <w:color w:val="222222"/>
          <w:sz w:val="20"/>
          <w:szCs w:val="20"/>
        </w:rPr>
      </w:pPr>
      <w:r>
        <w:rPr>
          <w:rFonts w:ascii="Arial" w:hAnsi="Arial" w:cs="Arial"/>
          <w:color w:val="222222"/>
          <w:sz w:val="20"/>
          <w:szCs w:val="20"/>
        </w:rPr>
        <w:t xml:space="preserve">Crisp, A. H., Gelder, M. G., Rix, S., Meltzer, H. I., &amp; Rowlands, O. J. (2000). Stigmatisation of people with mental illnesses. </w:t>
      </w:r>
      <w:r>
        <w:rPr>
          <w:rFonts w:ascii="Arial" w:hAnsi="Arial" w:cs="Arial"/>
          <w:i/>
          <w:iCs/>
          <w:color w:val="222222"/>
          <w:sz w:val="20"/>
          <w:szCs w:val="20"/>
        </w:rPr>
        <w:t>The British journal of psychiatry</w:t>
      </w:r>
      <w:r>
        <w:rPr>
          <w:rFonts w:ascii="Arial" w:hAnsi="Arial" w:cs="Arial"/>
          <w:color w:val="222222"/>
          <w:sz w:val="20"/>
          <w:szCs w:val="20"/>
        </w:rPr>
        <w:t xml:space="preserve">, </w:t>
      </w:r>
      <w:r>
        <w:rPr>
          <w:rFonts w:ascii="Arial" w:hAnsi="Arial" w:cs="Arial"/>
          <w:i/>
          <w:iCs/>
          <w:color w:val="222222"/>
          <w:sz w:val="20"/>
          <w:szCs w:val="20"/>
        </w:rPr>
        <w:t>17</w:t>
      </w:r>
      <w:r>
        <w:rPr>
          <w:rFonts w:ascii="Arial" w:hAnsi="Arial" w:cs="Arial"/>
          <w:color w:val="222222"/>
          <w:sz w:val="20"/>
          <w:szCs w:val="20"/>
        </w:rPr>
        <w:t>(1), 4-7.</w:t>
      </w:r>
    </w:p>
    <w:p w14:paraId="562F9101" w14:textId="5FF8CFC2" w:rsidR="007052B4" w:rsidRDefault="007052B4" w:rsidP="0064281C">
      <w:pPr>
        <w:rPr>
          <w:rFonts w:ascii="Arial" w:hAnsi="Arial" w:cs="Arial"/>
          <w:color w:val="222222"/>
          <w:sz w:val="20"/>
          <w:szCs w:val="20"/>
        </w:rPr>
      </w:pPr>
      <w:proofErr w:type="spellStart"/>
      <w:r>
        <w:rPr>
          <w:rFonts w:ascii="Arial" w:hAnsi="Arial" w:cs="Arial"/>
          <w:color w:val="222222"/>
          <w:sz w:val="20"/>
          <w:szCs w:val="20"/>
        </w:rPr>
        <w:t>Doley</w:t>
      </w:r>
      <w:proofErr w:type="spellEnd"/>
      <w:r>
        <w:rPr>
          <w:rFonts w:ascii="Arial" w:hAnsi="Arial" w:cs="Arial"/>
          <w:color w:val="222222"/>
          <w:sz w:val="20"/>
          <w:szCs w:val="20"/>
        </w:rPr>
        <w:t xml:space="preserve">, J. R., Hart, L. M., Stukas, A. A., </w:t>
      </w:r>
      <w:proofErr w:type="spellStart"/>
      <w:r>
        <w:rPr>
          <w:rFonts w:ascii="Arial" w:hAnsi="Arial" w:cs="Arial"/>
          <w:color w:val="222222"/>
          <w:sz w:val="20"/>
          <w:szCs w:val="20"/>
        </w:rPr>
        <w:t>Petrovic</w:t>
      </w:r>
      <w:proofErr w:type="spellEnd"/>
      <w:r>
        <w:rPr>
          <w:rFonts w:ascii="Arial" w:hAnsi="Arial" w:cs="Arial"/>
          <w:color w:val="222222"/>
          <w:sz w:val="20"/>
          <w:szCs w:val="20"/>
        </w:rPr>
        <w:t xml:space="preserve">, K., </w:t>
      </w:r>
      <w:proofErr w:type="spellStart"/>
      <w:r>
        <w:rPr>
          <w:rFonts w:ascii="Arial" w:hAnsi="Arial" w:cs="Arial"/>
          <w:color w:val="222222"/>
          <w:sz w:val="20"/>
          <w:szCs w:val="20"/>
        </w:rPr>
        <w:t>Bouguettaya</w:t>
      </w:r>
      <w:proofErr w:type="spellEnd"/>
      <w:r>
        <w:rPr>
          <w:rFonts w:ascii="Arial" w:hAnsi="Arial" w:cs="Arial"/>
          <w:color w:val="222222"/>
          <w:sz w:val="20"/>
          <w:szCs w:val="20"/>
        </w:rPr>
        <w:t>, A., &amp; Paxton, S. J. (2017). Interventions to reduce the stigma of eating disorders: A systematic review and meta</w:t>
      </w:r>
      <w:r>
        <w:rPr>
          <w:rFonts w:ascii="Cambria Math" w:hAnsi="Cambria Math" w:cs="Cambria Math"/>
          <w:color w:val="222222"/>
          <w:sz w:val="20"/>
          <w:szCs w:val="20"/>
        </w:rPr>
        <w:t>‐</w:t>
      </w:r>
      <w:r>
        <w:rPr>
          <w:rFonts w:ascii="Arial" w:hAnsi="Arial" w:cs="Arial"/>
          <w:color w:val="222222"/>
          <w:sz w:val="20"/>
          <w:szCs w:val="20"/>
        </w:rPr>
        <w:t xml:space="preserve">analysis. </w:t>
      </w:r>
      <w:r>
        <w:rPr>
          <w:rFonts w:ascii="Arial" w:hAnsi="Arial" w:cs="Arial"/>
          <w:i/>
          <w:iCs/>
          <w:color w:val="222222"/>
          <w:sz w:val="20"/>
          <w:szCs w:val="20"/>
        </w:rPr>
        <w:t>International Journal of Eating Disorders</w:t>
      </w:r>
      <w:r>
        <w:rPr>
          <w:rFonts w:ascii="Arial" w:hAnsi="Arial" w:cs="Arial"/>
          <w:color w:val="222222"/>
          <w:sz w:val="20"/>
          <w:szCs w:val="20"/>
        </w:rPr>
        <w:t xml:space="preserve">, </w:t>
      </w:r>
      <w:r>
        <w:rPr>
          <w:rFonts w:ascii="Arial" w:hAnsi="Arial" w:cs="Arial"/>
          <w:i/>
          <w:iCs/>
          <w:color w:val="222222"/>
          <w:sz w:val="20"/>
          <w:szCs w:val="20"/>
        </w:rPr>
        <w:t>50</w:t>
      </w:r>
      <w:r>
        <w:rPr>
          <w:rFonts w:ascii="Arial" w:hAnsi="Arial" w:cs="Arial"/>
          <w:color w:val="222222"/>
          <w:sz w:val="20"/>
          <w:szCs w:val="20"/>
        </w:rPr>
        <w:t>(3), 210-230.</w:t>
      </w:r>
    </w:p>
    <w:p w14:paraId="57A45920" w14:textId="67CAD45E" w:rsidR="00BA1B21" w:rsidRDefault="00BA1B21" w:rsidP="0064281C">
      <w:pPr>
        <w:rPr>
          <w:rFonts w:ascii="Arial" w:hAnsi="Arial" w:cs="Arial"/>
          <w:color w:val="222222"/>
          <w:sz w:val="20"/>
          <w:szCs w:val="20"/>
        </w:rPr>
      </w:pPr>
      <w:proofErr w:type="spellStart"/>
      <w:r>
        <w:rPr>
          <w:rFonts w:ascii="Arial" w:hAnsi="Arial" w:cs="Arial"/>
          <w:color w:val="222222"/>
          <w:sz w:val="20"/>
          <w:szCs w:val="20"/>
        </w:rPr>
        <w:t>Ebneter</w:t>
      </w:r>
      <w:proofErr w:type="spellEnd"/>
      <w:r>
        <w:rPr>
          <w:rFonts w:ascii="Arial" w:hAnsi="Arial" w:cs="Arial"/>
          <w:color w:val="222222"/>
          <w:sz w:val="20"/>
          <w:szCs w:val="20"/>
        </w:rPr>
        <w:t xml:space="preserve">, D. S., &amp; </w:t>
      </w:r>
      <w:proofErr w:type="spellStart"/>
      <w:r>
        <w:rPr>
          <w:rFonts w:ascii="Arial" w:hAnsi="Arial" w:cs="Arial"/>
          <w:color w:val="222222"/>
          <w:sz w:val="20"/>
          <w:szCs w:val="20"/>
        </w:rPr>
        <w:t>Latner</w:t>
      </w:r>
      <w:proofErr w:type="spellEnd"/>
      <w:r>
        <w:rPr>
          <w:rFonts w:ascii="Arial" w:hAnsi="Arial" w:cs="Arial"/>
          <w:color w:val="222222"/>
          <w:sz w:val="20"/>
          <w:szCs w:val="20"/>
        </w:rPr>
        <w:t xml:space="preserve">, J. D. (2013). Stigmatizing attitudes differ across mental health disorders: a comparison of stigma across eating disorders, obesity, and major depressive disorder. </w:t>
      </w:r>
      <w:r>
        <w:rPr>
          <w:rFonts w:ascii="Arial" w:hAnsi="Arial" w:cs="Arial"/>
          <w:i/>
          <w:iCs/>
          <w:color w:val="222222"/>
          <w:sz w:val="20"/>
          <w:szCs w:val="20"/>
        </w:rPr>
        <w:t>The Journal of nervous and mental disease</w:t>
      </w:r>
      <w:r>
        <w:rPr>
          <w:rFonts w:ascii="Arial" w:hAnsi="Arial" w:cs="Arial"/>
          <w:color w:val="222222"/>
          <w:sz w:val="20"/>
          <w:szCs w:val="20"/>
        </w:rPr>
        <w:t xml:space="preserve">, </w:t>
      </w:r>
      <w:r>
        <w:rPr>
          <w:rFonts w:ascii="Arial" w:hAnsi="Arial" w:cs="Arial"/>
          <w:i/>
          <w:iCs/>
          <w:color w:val="222222"/>
          <w:sz w:val="20"/>
          <w:szCs w:val="20"/>
        </w:rPr>
        <w:t>201</w:t>
      </w:r>
      <w:r>
        <w:rPr>
          <w:rFonts w:ascii="Arial" w:hAnsi="Arial" w:cs="Arial"/>
          <w:color w:val="222222"/>
          <w:sz w:val="20"/>
          <w:szCs w:val="20"/>
        </w:rPr>
        <w:t>(4), 281-285.</w:t>
      </w:r>
    </w:p>
    <w:p w14:paraId="6B420212" w14:textId="6E55B414" w:rsidR="0043092A" w:rsidRDefault="0043092A" w:rsidP="0064281C">
      <w:pPr>
        <w:rPr>
          <w:rFonts w:ascii="Arial" w:hAnsi="Arial" w:cs="Arial"/>
          <w:color w:val="222222"/>
          <w:sz w:val="20"/>
          <w:szCs w:val="20"/>
        </w:rPr>
      </w:pPr>
      <w:r>
        <w:rPr>
          <w:rFonts w:ascii="Arial" w:hAnsi="Arial" w:cs="Arial"/>
          <w:color w:val="222222"/>
          <w:sz w:val="20"/>
          <w:szCs w:val="20"/>
        </w:rPr>
        <w:t xml:space="preserve">Hwang, W. C., &amp; </w:t>
      </w:r>
      <w:proofErr w:type="spellStart"/>
      <w:r>
        <w:rPr>
          <w:rFonts w:ascii="Arial" w:hAnsi="Arial" w:cs="Arial"/>
          <w:color w:val="222222"/>
          <w:sz w:val="20"/>
          <w:szCs w:val="20"/>
        </w:rPr>
        <w:t>Goto</w:t>
      </w:r>
      <w:proofErr w:type="spellEnd"/>
      <w:r>
        <w:rPr>
          <w:rFonts w:ascii="Arial" w:hAnsi="Arial" w:cs="Arial"/>
          <w:color w:val="222222"/>
          <w:sz w:val="20"/>
          <w:szCs w:val="20"/>
        </w:rPr>
        <w:t xml:space="preserve">, S. (2008). The impact of perceived racial discrimination on the mental health of Asian American and Latino college students. </w:t>
      </w:r>
      <w:r>
        <w:rPr>
          <w:rFonts w:ascii="Arial" w:hAnsi="Arial" w:cs="Arial"/>
          <w:i/>
          <w:iCs/>
          <w:color w:val="222222"/>
          <w:sz w:val="20"/>
          <w:szCs w:val="20"/>
        </w:rPr>
        <w:t>Cultural Diversity and Ethnic Minority Psychology</w:t>
      </w:r>
      <w:r>
        <w:rPr>
          <w:rFonts w:ascii="Arial" w:hAnsi="Arial" w:cs="Arial"/>
          <w:color w:val="222222"/>
          <w:sz w:val="20"/>
          <w:szCs w:val="20"/>
        </w:rPr>
        <w:t xml:space="preserve">, </w:t>
      </w:r>
      <w:r>
        <w:rPr>
          <w:rFonts w:ascii="Arial" w:hAnsi="Arial" w:cs="Arial"/>
          <w:i/>
          <w:iCs/>
          <w:color w:val="222222"/>
          <w:sz w:val="20"/>
          <w:szCs w:val="20"/>
        </w:rPr>
        <w:t>14</w:t>
      </w:r>
      <w:r>
        <w:rPr>
          <w:rFonts w:ascii="Arial" w:hAnsi="Arial" w:cs="Arial"/>
          <w:color w:val="222222"/>
          <w:sz w:val="20"/>
          <w:szCs w:val="20"/>
        </w:rPr>
        <w:t>(4), 326.</w:t>
      </w:r>
    </w:p>
    <w:p w14:paraId="07E0A666" w14:textId="6BF1993D" w:rsidR="00F060D4" w:rsidRDefault="00F060D4" w:rsidP="0064281C">
      <w:pPr>
        <w:rPr>
          <w:rFonts w:ascii="Arial" w:hAnsi="Arial" w:cs="Arial"/>
          <w:color w:val="222222"/>
          <w:sz w:val="20"/>
          <w:szCs w:val="20"/>
        </w:rPr>
      </w:pPr>
      <w:r>
        <w:rPr>
          <w:rFonts w:ascii="Arial" w:hAnsi="Arial" w:cs="Arial"/>
          <w:color w:val="222222"/>
          <w:sz w:val="20"/>
          <w:szCs w:val="20"/>
        </w:rPr>
        <w:t xml:space="preserve">Levine, M. P., &amp; </w:t>
      </w:r>
      <w:proofErr w:type="spellStart"/>
      <w:r>
        <w:rPr>
          <w:rFonts w:ascii="Arial" w:hAnsi="Arial" w:cs="Arial"/>
          <w:color w:val="222222"/>
          <w:sz w:val="20"/>
          <w:szCs w:val="20"/>
        </w:rPr>
        <w:t>Murnen</w:t>
      </w:r>
      <w:proofErr w:type="spellEnd"/>
      <w:r>
        <w:rPr>
          <w:rFonts w:ascii="Arial" w:hAnsi="Arial" w:cs="Arial"/>
          <w:color w:val="222222"/>
          <w:sz w:val="20"/>
          <w:szCs w:val="20"/>
        </w:rPr>
        <w:t xml:space="preserve">, S. K. (2009). “Everybody knows that mass media are/are not [pick one] a cause of eating disorders”: A critical review of evidence for a causal link between media, negative body image, and disordered eating in females. </w:t>
      </w:r>
      <w:r>
        <w:rPr>
          <w:rFonts w:ascii="Arial" w:hAnsi="Arial" w:cs="Arial"/>
          <w:i/>
          <w:iCs/>
          <w:color w:val="222222"/>
          <w:sz w:val="20"/>
          <w:szCs w:val="20"/>
        </w:rPr>
        <w:t>Journal of Social and Clinical Psychology</w:t>
      </w:r>
      <w:r>
        <w:rPr>
          <w:rFonts w:ascii="Arial" w:hAnsi="Arial" w:cs="Arial"/>
          <w:color w:val="222222"/>
          <w:sz w:val="20"/>
          <w:szCs w:val="20"/>
        </w:rPr>
        <w:t xml:space="preserve">, </w:t>
      </w:r>
      <w:r>
        <w:rPr>
          <w:rFonts w:ascii="Arial" w:hAnsi="Arial" w:cs="Arial"/>
          <w:i/>
          <w:iCs/>
          <w:color w:val="222222"/>
          <w:sz w:val="20"/>
          <w:szCs w:val="20"/>
        </w:rPr>
        <w:t>28</w:t>
      </w:r>
      <w:r>
        <w:rPr>
          <w:rFonts w:ascii="Arial" w:hAnsi="Arial" w:cs="Arial"/>
          <w:color w:val="222222"/>
          <w:sz w:val="20"/>
          <w:szCs w:val="20"/>
        </w:rPr>
        <w:t>(1), 9-42.</w:t>
      </w:r>
    </w:p>
    <w:p w14:paraId="6DDEBF80" w14:textId="59C3B18D" w:rsidR="00C574E9" w:rsidRDefault="00C574E9" w:rsidP="0064281C">
      <w:pPr>
        <w:rPr>
          <w:rFonts w:ascii="Arial" w:hAnsi="Arial" w:cs="Arial"/>
          <w:color w:val="222222"/>
          <w:sz w:val="20"/>
          <w:szCs w:val="20"/>
        </w:rPr>
      </w:pPr>
      <w:r>
        <w:rPr>
          <w:rFonts w:ascii="Arial" w:hAnsi="Arial" w:cs="Arial"/>
          <w:color w:val="222222"/>
          <w:sz w:val="20"/>
          <w:szCs w:val="20"/>
        </w:rPr>
        <w:t xml:space="preserve">Mears, A. (2010). Size zero high-end ethnic: Cultural production and the reproduction of culture in fashion </w:t>
      </w:r>
      <w:proofErr w:type="spellStart"/>
      <w:r>
        <w:rPr>
          <w:rFonts w:ascii="Arial" w:hAnsi="Arial" w:cs="Arial"/>
          <w:color w:val="222222"/>
          <w:sz w:val="20"/>
          <w:szCs w:val="20"/>
        </w:rPr>
        <w:t>modeling</w:t>
      </w:r>
      <w:proofErr w:type="spellEnd"/>
      <w:r>
        <w:rPr>
          <w:rFonts w:ascii="Arial" w:hAnsi="Arial" w:cs="Arial"/>
          <w:color w:val="222222"/>
          <w:sz w:val="20"/>
          <w:szCs w:val="20"/>
        </w:rPr>
        <w:t xml:space="preserve">. </w:t>
      </w:r>
      <w:r>
        <w:rPr>
          <w:rFonts w:ascii="Arial" w:hAnsi="Arial" w:cs="Arial"/>
          <w:i/>
          <w:iCs/>
          <w:color w:val="222222"/>
          <w:sz w:val="20"/>
          <w:szCs w:val="20"/>
        </w:rPr>
        <w:t>Poetics</w:t>
      </w:r>
      <w:r>
        <w:rPr>
          <w:rFonts w:ascii="Arial" w:hAnsi="Arial" w:cs="Arial"/>
          <w:color w:val="222222"/>
          <w:sz w:val="20"/>
          <w:szCs w:val="20"/>
        </w:rPr>
        <w:t xml:space="preserve">, </w:t>
      </w:r>
      <w:r>
        <w:rPr>
          <w:rFonts w:ascii="Arial" w:hAnsi="Arial" w:cs="Arial"/>
          <w:i/>
          <w:iCs/>
          <w:color w:val="222222"/>
          <w:sz w:val="20"/>
          <w:szCs w:val="20"/>
        </w:rPr>
        <w:t>38</w:t>
      </w:r>
      <w:r>
        <w:rPr>
          <w:rFonts w:ascii="Arial" w:hAnsi="Arial" w:cs="Arial"/>
          <w:color w:val="222222"/>
          <w:sz w:val="20"/>
          <w:szCs w:val="20"/>
        </w:rPr>
        <w:t>(1), 21-46.</w:t>
      </w:r>
    </w:p>
    <w:p w14:paraId="437F583F" w14:textId="31A3D1D5" w:rsidR="00944C14" w:rsidRDefault="00944C14" w:rsidP="0064281C">
      <w:pPr>
        <w:rPr>
          <w:rFonts w:ascii="Arial" w:hAnsi="Arial" w:cs="Arial"/>
          <w:color w:val="222222"/>
          <w:sz w:val="20"/>
          <w:szCs w:val="20"/>
        </w:rPr>
      </w:pPr>
      <w:r>
        <w:rPr>
          <w:rFonts w:ascii="Arial" w:hAnsi="Arial" w:cs="Arial"/>
          <w:color w:val="222222"/>
          <w:sz w:val="20"/>
          <w:szCs w:val="20"/>
        </w:rPr>
        <w:t xml:space="preserve">Nadeem, E., Lange, J. M., &amp; Miranda, J. (2008). Mental health care preferences among low-income and minority women. </w:t>
      </w:r>
      <w:r>
        <w:rPr>
          <w:rFonts w:ascii="Arial" w:hAnsi="Arial" w:cs="Arial"/>
          <w:i/>
          <w:iCs/>
          <w:color w:val="222222"/>
          <w:sz w:val="20"/>
          <w:szCs w:val="20"/>
        </w:rPr>
        <w:t>Archives of Women's Mental Health</w:t>
      </w:r>
      <w:r>
        <w:rPr>
          <w:rFonts w:ascii="Arial" w:hAnsi="Arial" w:cs="Arial"/>
          <w:color w:val="222222"/>
          <w:sz w:val="20"/>
          <w:szCs w:val="20"/>
        </w:rPr>
        <w:t xml:space="preserve">, </w:t>
      </w:r>
      <w:r>
        <w:rPr>
          <w:rFonts w:ascii="Arial" w:hAnsi="Arial" w:cs="Arial"/>
          <w:i/>
          <w:iCs/>
          <w:color w:val="222222"/>
          <w:sz w:val="20"/>
          <w:szCs w:val="20"/>
        </w:rPr>
        <w:t>11</w:t>
      </w:r>
      <w:r>
        <w:rPr>
          <w:rFonts w:ascii="Arial" w:hAnsi="Arial" w:cs="Arial"/>
          <w:color w:val="222222"/>
          <w:sz w:val="20"/>
          <w:szCs w:val="20"/>
        </w:rPr>
        <w:t>(2), 93.</w:t>
      </w:r>
    </w:p>
    <w:p w14:paraId="3A3C4BDE" w14:textId="20EAB193" w:rsidR="004F4D9C" w:rsidRPr="0064281C" w:rsidRDefault="004F4D9C" w:rsidP="0064281C">
      <w:pPr>
        <w:rPr>
          <w:u w:val="single"/>
        </w:rPr>
      </w:pPr>
      <w:r>
        <w:rPr>
          <w:rFonts w:ascii="Arial" w:hAnsi="Arial" w:cs="Arial"/>
          <w:color w:val="222222"/>
          <w:sz w:val="20"/>
          <w:szCs w:val="20"/>
        </w:rPr>
        <w:t xml:space="preserve">Reinke, R. R., Corrigan, P. W., Leonhard, C., Lundin, R. K., &amp; Kubiak, M. A. (2004). Examining two aspects of contact on the stigma of mental illness. </w:t>
      </w:r>
      <w:r>
        <w:rPr>
          <w:rFonts w:ascii="Arial" w:hAnsi="Arial" w:cs="Arial"/>
          <w:i/>
          <w:iCs/>
          <w:color w:val="222222"/>
          <w:sz w:val="20"/>
          <w:szCs w:val="20"/>
        </w:rPr>
        <w:t>Journal of social and clinical psychology</w:t>
      </w:r>
      <w:r>
        <w:rPr>
          <w:rFonts w:ascii="Arial" w:hAnsi="Arial" w:cs="Arial"/>
          <w:color w:val="222222"/>
          <w:sz w:val="20"/>
          <w:szCs w:val="20"/>
        </w:rPr>
        <w:t xml:space="preserve">, </w:t>
      </w:r>
      <w:r>
        <w:rPr>
          <w:rFonts w:ascii="Arial" w:hAnsi="Arial" w:cs="Arial"/>
          <w:i/>
          <w:iCs/>
          <w:color w:val="222222"/>
          <w:sz w:val="20"/>
          <w:szCs w:val="20"/>
        </w:rPr>
        <w:t>23</w:t>
      </w:r>
      <w:r>
        <w:rPr>
          <w:rFonts w:ascii="Arial" w:hAnsi="Arial" w:cs="Arial"/>
          <w:color w:val="222222"/>
          <w:sz w:val="20"/>
          <w:szCs w:val="20"/>
        </w:rPr>
        <w:t>(3), 377-389.</w:t>
      </w:r>
    </w:p>
    <w:sectPr w:rsidR="004F4D9C" w:rsidRPr="006428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81C"/>
    <w:rsid w:val="00073D51"/>
    <w:rsid w:val="000B3A47"/>
    <w:rsid w:val="00194B93"/>
    <w:rsid w:val="001D58E8"/>
    <w:rsid w:val="001F3C1B"/>
    <w:rsid w:val="003E0BB2"/>
    <w:rsid w:val="0043092A"/>
    <w:rsid w:val="00437738"/>
    <w:rsid w:val="00461622"/>
    <w:rsid w:val="00476362"/>
    <w:rsid w:val="004F30E6"/>
    <w:rsid w:val="004F4D9C"/>
    <w:rsid w:val="00511922"/>
    <w:rsid w:val="00512B99"/>
    <w:rsid w:val="00522D67"/>
    <w:rsid w:val="005D243A"/>
    <w:rsid w:val="005D5744"/>
    <w:rsid w:val="00621826"/>
    <w:rsid w:val="00627F2D"/>
    <w:rsid w:val="0064281C"/>
    <w:rsid w:val="007052B4"/>
    <w:rsid w:val="007239E1"/>
    <w:rsid w:val="0075369A"/>
    <w:rsid w:val="007A23D5"/>
    <w:rsid w:val="007F0C05"/>
    <w:rsid w:val="00852E76"/>
    <w:rsid w:val="008806AE"/>
    <w:rsid w:val="008838DF"/>
    <w:rsid w:val="008B0F38"/>
    <w:rsid w:val="00911AC3"/>
    <w:rsid w:val="009356F2"/>
    <w:rsid w:val="00944C14"/>
    <w:rsid w:val="009769F2"/>
    <w:rsid w:val="009B7614"/>
    <w:rsid w:val="00AD65A9"/>
    <w:rsid w:val="00AF21FC"/>
    <w:rsid w:val="00B271F4"/>
    <w:rsid w:val="00BA1B21"/>
    <w:rsid w:val="00BD6375"/>
    <w:rsid w:val="00C574E9"/>
    <w:rsid w:val="00D8402E"/>
    <w:rsid w:val="00DD2C47"/>
    <w:rsid w:val="00E14638"/>
    <w:rsid w:val="00E54B37"/>
    <w:rsid w:val="00F0226F"/>
    <w:rsid w:val="00F040E8"/>
    <w:rsid w:val="00F04CAF"/>
    <w:rsid w:val="00F060D4"/>
    <w:rsid w:val="00F24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E7F90"/>
  <w15:chartTrackingRefBased/>
  <w15:docId w15:val="{5C411E36-4825-440C-8317-3AC89F53E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F4D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8DA5A-34AE-486E-AA7C-1A0E9EE39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430</TotalTime>
  <Pages>3</Pages>
  <Words>1875</Words>
  <Characters>10693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Burgess</dc:creator>
  <cp:keywords/>
  <dc:description/>
  <cp:lastModifiedBy>Abigail Burgess</cp:lastModifiedBy>
  <cp:revision>25</cp:revision>
  <dcterms:created xsi:type="dcterms:W3CDTF">2018-12-04T11:12:00Z</dcterms:created>
  <dcterms:modified xsi:type="dcterms:W3CDTF">2018-12-11T22:31:00Z</dcterms:modified>
</cp:coreProperties>
</file>