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DA0BC1" w14:textId="736A2275" w:rsidR="3F71E93F" w:rsidRPr="00B711FC" w:rsidRDefault="3F71E93F" w:rsidP="00B711FC">
      <w:pPr>
        <w:spacing w:line="360" w:lineRule="auto"/>
        <w:jc w:val="both"/>
        <w:rPr>
          <w:rFonts w:ascii="Arial" w:eastAsia="Times New Roman" w:hAnsi="Arial" w:cs="Arial"/>
          <w:color w:val="000000" w:themeColor="text1"/>
          <w:sz w:val="24"/>
          <w:szCs w:val="24"/>
        </w:rPr>
      </w:pPr>
      <w:bookmarkStart w:id="0" w:name="_GoBack"/>
      <w:bookmarkEnd w:id="0"/>
    </w:p>
    <w:p w14:paraId="548E238D" w14:textId="72B47757" w:rsidR="3F71E93F" w:rsidRPr="00B711FC" w:rsidRDefault="3F71E93F" w:rsidP="00B711FC">
      <w:pPr>
        <w:spacing w:line="360" w:lineRule="auto"/>
        <w:jc w:val="both"/>
        <w:rPr>
          <w:rFonts w:ascii="Arial" w:eastAsia="Roboto" w:hAnsi="Arial" w:cs="Arial"/>
          <w:color w:val="1E1E1E"/>
          <w:sz w:val="25"/>
          <w:szCs w:val="25"/>
        </w:rPr>
      </w:pPr>
      <w:r w:rsidRPr="00B711FC">
        <w:rPr>
          <w:rFonts w:ascii="Arial" w:eastAsia="Times New Roman" w:hAnsi="Arial" w:cs="Arial"/>
          <w:color w:val="000000" w:themeColor="text1"/>
          <w:sz w:val="24"/>
          <w:szCs w:val="24"/>
        </w:rPr>
        <w:t xml:space="preserve">The United Nations Convention on the rights of the Child (UNCRC) is the most ratified treaty in human rights history and came into force in the UK in 1992 (UNICEF, 2022). It sets out the rights of every child including the right to protection from violence (article 19) and the right to a name and nationality (article 7). The articles are all equal, and no article takes precedent over another. The UNCRC contains 54 articles detailing these rights and they were made part of Welsh domestic law in 2004 (Welsh Government, 2022). Included in the 54 articles are articles 28 and 29 which outline the rights of children to education. Article 28 refers specifically to states that ratify the convention </w:t>
      </w:r>
      <w:proofErr w:type="spellStart"/>
      <w:r w:rsidRPr="00B711FC">
        <w:rPr>
          <w:rFonts w:ascii="Arial" w:eastAsia="Times New Roman" w:hAnsi="Arial" w:cs="Arial"/>
          <w:color w:val="000000" w:themeColor="text1"/>
          <w:sz w:val="24"/>
          <w:szCs w:val="24"/>
        </w:rPr>
        <w:t>recognise</w:t>
      </w:r>
      <w:proofErr w:type="spellEnd"/>
      <w:r w:rsidRPr="00B711FC">
        <w:rPr>
          <w:rFonts w:ascii="Arial" w:eastAsia="Times New Roman" w:hAnsi="Arial" w:cs="Arial"/>
          <w:color w:val="000000" w:themeColor="text1"/>
          <w:sz w:val="24"/>
          <w:szCs w:val="24"/>
        </w:rPr>
        <w:t xml:space="preserve"> the rights of children to education, whilst article 29 refers ensuring all children receive education of the highest possible standard and is directed to ensure children reach their potential (UNICEF, 2022). </w:t>
      </w:r>
    </w:p>
    <w:p w14:paraId="334C3913" w14:textId="65847800" w:rsidR="3F71E93F" w:rsidRPr="00B711FC" w:rsidRDefault="3F71E93F" w:rsidP="00B711FC">
      <w:pPr>
        <w:spacing w:line="360" w:lineRule="auto"/>
        <w:jc w:val="both"/>
        <w:rPr>
          <w:rFonts w:ascii="Arial" w:eastAsia="Times New Roman" w:hAnsi="Arial" w:cs="Arial"/>
          <w:color w:val="000000" w:themeColor="text1"/>
          <w:sz w:val="24"/>
          <w:szCs w:val="24"/>
        </w:rPr>
      </w:pPr>
      <w:r w:rsidRPr="00B711FC">
        <w:rPr>
          <w:rFonts w:ascii="Arial" w:eastAsia="Times New Roman" w:hAnsi="Arial" w:cs="Arial"/>
          <w:color w:val="000000" w:themeColor="text1"/>
          <w:sz w:val="24"/>
          <w:szCs w:val="24"/>
        </w:rPr>
        <w:t xml:space="preserve">As mentioned above, the UNCRC has been made part of Welsh domestic law, ensuring </w:t>
      </w:r>
      <w:proofErr w:type="gramStart"/>
      <w:r w:rsidRPr="00B711FC">
        <w:rPr>
          <w:rFonts w:ascii="Arial" w:eastAsia="Times New Roman" w:hAnsi="Arial" w:cs="Arial"/>
          <w:color w:val="000000" w:themeColor="text1"/>
          <w:sz w:val="24"/>
          <w:szCs w:val="24"/>
        </w:rPr>
        <w:t>that</w:t>
      </w:r>
      <w:proofErr w:type="gramEnd"/>
      <w:r w:rsidRPr="00B711FC">
        <w:rPr>
          <w:rFonts w:ascii="Arial" w:eastAsia="Times New Roman" w:hAnsi="Arial" w:cs="Arial"/>
          <w:color w:val="000000" w:themeColor="text1"/>
          <w:sz w:val="24"/>
          <w:szCs w:val="24"/>
        </w:rPr>
        <w:t xml:space="preserve"> all working in education in Wales have a statutory duty to adhere to the highest possible standards, for the benefit of the children. Alongside the articles of the UNCRC, numerous laws have been passed in Wales designed to ensure the standards of education are as high as possible. One example of such an act is the School Standards and </w:t>
      </w:r>
      <w:proofErr w:type="spellStart"/>
      <w:r w:rsidRPr="00B711FC">
        <w:rPr>
          <w:rFonts w:ascii="Arial" w:eastAsia="Times New Roman" w:hAnsi="Arial" w:cs="Arial"/>
          <w:color w:val="000000" w:themeColor="text1"/>
          <w:sz w:val="24"/>
          <w:szCs w:val="24"/>
        </w:rPr>
        <w:t>Organisation</w:t>
      </w:r>
      <w:proofErr w:type="spellEnd"/>
      <w:r w:rsidRPr="00B711FC">
        <w:rPr>
          <w:rFonts w:ascii="Arial" w:eastAsia="Times New Roman" w:hAnsi="Arial" w:cs="Arial"/>
          <w:color w:val="000000" w:themeColor="text1"/>
          <w:sz w:val="24"/>
          <w:szCs w:val="24"/>
        </w:rPr>
        <w:t xml:space="preserve"> Act (2013). This act-imposed requirements on schools in accordance with the bodies that they work with. It also gives guidance on factors that should be </w:t>
      </w:r>
      <w:bookmarkStart w:id="1" w:name="_Int_9aLJ2roV"/>
      <w:r w:rsidRPr="00B711FC">
        <w:rPr>
          <w:rFonts w:ascii="Arial" w:eastAsia="Times New Roman" w:hAnsi="Arial" w:cs="Arial"/>
          <w:color w:val="000000" w:themeColor="text1"/>
          <w:sz w:val="24"/>
          <w:szCs w:val="24"/>
        </w:rPr>
        <w:t>taken into account</w:t>
      </w:r>
      <w:bookmarkEnd w:id="1"/>
      <w:r w:rsidRPr="00B711FC">
        <w:rPr>
          <w:rFonts w:ascii="Arial" w:eastAsia="Times New Roman" w:hAnsi="Arial" w:cs="Arial"/>
          <w:color w:val="000000" w:themeColor="text1"/>
          <w:sz w:val="24"/>
          <w:szCs w:val="24"/>
        </w:rPr>
        <w:t xml:space="preserve"> by the bodies with the power to reconfigure school provision such as </w:t>
      </w:r>
      <w:proofErr w:type="spellStart"/>
      <w:r w:rsidRPr="00B711FC">
        <w:rPr>
          <w:rFonts w:ascii="Arial" w:eastAsia="Times New Roman" w:hAnsi="Arial" w:cs="Arial"/>
          <w:color w:val="000000" w:themeColor="text1"/>
          <w:sz w:val="24"/>
          <w:szCs w:val="24"/>
        </w:rPr>
        <w:t>Estyn</w:t>
      </w:r>
      <w:proofErr w:type="spellEnd"/>
      <w:r w:rsidRPr="00B711FC">
        <w:rPr>
          <w:rFonts w:ascii="Arial" w:eastAsia="Times New Roman" w:hAnsi="Arial" w:cs="Arial"/>
          <w:color w:val="000000" w:themeColor="text1"/>
          <w:sz w:val="24"/>
          <w:szCs w:val="24"/>
        </w:rPr>
        <w:t xml:space="preserve"> (Education Wales, 2018).</w:t>
      </w:r>
    </w:p>
    <w:p w14:paraId="53B8A63C" w14:textId="631A6254" w:rsidR="3F71E93F" w:rsidRPr="00B711FC" w:rsidRDefault="3F71E93F" w:rsidP="00B711FC">
      <w:pPr>
        <w:spacing w:line="360" w:lineRule="auto"/>
        <w:jc w:val="both"/>
        <w:rPr>
          <w:rFonts w:ascii="Arial" w:eastAsia="Times New Roman" w:hAnsi="Arial" w:cs="Arial"/>
          <w:color w:val="000000" w:themeColor="text1"/>
          <w:sz w:val="24"/>
          <w:szCs w:val="24"/>
        </w:rPr>
      </w:pPr>
      <w:r w:rsidRPr="00B711FC">
        <w:rPr>
          <w:rFonts w:ascii="Arial" w:eastAsia="Times New Roman" w:hAnsi="Arial" w:cs="Arial"/>
          <w:color w:val="000000" w:themeColor="text1"/>
          <w:sz w:val="24"/>
          <w:szCs w:val="24"/>
        </w:rPr>
        <w:t xml:space="preserve">This is one example of the guidance given to bodies that exist to ensure that education providers are giving the best possible provision to pupils and that they are meeting the statutory requirements required. In Wales, between </w:t>
      </w:r>
      <w:proofErr w:type="spellStart"/>
      <w:r w:rsidRPr="00B711FC">
        <w:rPr>
          <w:rFonts w:ascii="Arial" w:eastAsia="Times New Roman" w:hAnsi="Arial" w:cs="Arial"/>
          <w:color w:val="000000" w:themeColor="text1"/>
          <w:sz w:val="24"/>
          <w:szCs w:val="24"/>
        </w:rPr>
        <w:t>Estyn</w:t>
      </w:r>
      <w:proofErr w:type="spellEnd"/>
      <w:r w:rsidRPr="00B711FC">
        <w:rPr>
          <w:rFonts w:ascii="Arial" w:eastAsia="Times New Roman" w:hAnsi="Arial" w:cs="Arial"/>
          <w:color w:val="000000" w:themeColor="text1"/>
          <w:sz w:val="24"/>
          <w:szCs w:val="24"/>
        </w:rPr>
        <w:t xml:space="preserve"> and Care Inspectorate Wales (CIW) all education settings are inspected to ensure that they are currently meeting the statutory requirements for the provision of education, and to do this </w:t>
      </w:r>
      <w:proofErr w:type="spellStart"/>
      <w:r w:rsidRPr="00B711FC">
        <w:rPr>
          <w:rFonts w:ascii="Arial" w:eastAsia="Times New Roman" w:hAnsi="Arial" w:cs="Arial"/>
          <w:color w:val="000000" w:themeColor="text1"/>
          <w:sz w:val="24"/>
          <w:szCs w:val="24"/>
        </w:rPr>
        <w:t>Estyn</w:t>
      </w:r>
      <w:proofErr w:type="spellEnd"/>
      <w:r w:rsidRPr="00B711FC">
        <w:rPr>
          <w:rFonts w:ascii="Arial" w:eastAsia="Times New Roman" w:hAnsi="Arial" w:cs="Arial"/>
          <w:color w:val="000000" w:themeColor="text1"/>
          <w:sz w:val="24"/>
          <w:szCs w:val="24"/>
        </w:rPr>
        <w:t xml:space="preserve"> currently inspects 5 areas. These areas are Learning, Wellbeing and attitudes to learning, Teaching and learning experiences, Care and support and guidance and Leadership and management. According to their website, </w:t>
      </w:r>
      <w:proofErr w:type="spellStart"/>
      <w:r w:rsidRPr="00B711FC">
        <w:rPr>
          <w:rFonts w:ascii="Arial" w:eastAsia="Times New Roman" w:hAnsi="Arial" w:cs="Arial"/>
          <w:color w:val="000000" w:themeColor="text1"/>
          <w:sz w:val="24"/>
          <w:szCs w:val="24"/>
        </w:rPr>
        <w:t>Estyn</w:t>
      </w:r>
      <w:proofErr w:type="spellEnd"/>
      <w:r w:rsidRPr="00B711FC">
        <w:rPr>
          <w:rFonts w:ascii="Arial" w:eastAsia="Times New Roman" w:hAnsi="Arial" w:cs="Arial"/>
          <w:color w:val="000000" w:themeColor="text1"/>
          <w:sz w:val="24"/>
          <w:szCs w:val="24"/>
        </w:rPr>
        <w:t xml:space="preserve"> are committed to improving the quality of education and training and outcomes for all learners in Wales, with a final goal of </w:t>
      </w:r>
      <w:r w:rsidRPr="00B711FC">
        <w:rPr>
          <w:rFonts w:ascii="Arial" w:eastAsia="Times New Roman" w:hAnsi="Arial" w:cs="Arial"/>
          <w:color w:val="000000" w:themeColor="text1"/>
          <w:sz w:val="24"/>
          <w:szCs w:val="24"/>
        </w:rPr>
        <w:lastRenderedPageBreak/>
        <w:t>developing a self-improving and learning culture within schools meaning they have a significant influence on the direction of education in Wales.</w:t>
      </w:r>
    </w:p>
    <w:p w14:paraId="6690849A" w14:textId="7E31D8E8"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color w:val="000000" w:themeColor="text1"/>
          <w:sz w:val="24"/>
          <w:szCs w:val="24"/>
        </w:rPr>
        <w:t xml:space="preserve">One example of the influence </w:t>
      </w:r>
      <w:proofErr w:type="spellStart"/>
      <w:r w:rsidRPr="00B711FC">
        <w:rPr>
          <w:rFonts w:ascii="Arial" w:eastAsia="Times New Roman" w:hAnsi="Arial" w:cs="Arial"/>
          <w:color w:val="000000" w:themeColor="text1"/>
          <w:sz w:val="24"/>
          <w:szCs w:val="24"/>
        </w:rPr>
        <w:t>Estyn</w:t>
      </w:r>
      <w:proofErr w:type="spellEnd"/>
      <w:r w:rsidRPr="00B711FC">
        <w:rPr>
          <w:rFonts w:ascii="Arial" w:eastAsia="Times New Roman" w:hAnsi="Arial" w:cs="Arial"/>
          <w:color w:val="000000" w:themeColor="text1"/>
          <w:sz w:val="24"/>
          <w:szCs w:val="24"/>
        </w:rPr>
        <w:t xml:space="preserve"> has in education in Wales was its role in the introduction of the Literacy and Numeracy Framework in 2013 following its criticism of </w:t>
      </w:r>
      <w:r w:rsidRPr="00B711FC">
        <w:rPr>
          <w:rFonts w:ascii="Arial" w:eastAsia="Times New Roman" w:hAnsi="Arial" w:cs="Arial"/>
          <w:sz w:val="24"/>
          <w:szCs w:val="24"/>
        </w:rPr>
        <w:t>schools stating they were not doing enough to embed literacy and numeracy skills in different contexts within the curriculum (</w:t>
      </w:r>
      <w:proofErr w:type="spellStart"/>
      <w:r w:rsidRPr="00B711FC">
        <w:rPr>
          <w:rFonts w:ascii="Arial" w:eastAsia="Times New Roman" w:hAnsi="Arial" w:cs="Arial"/>
          <w:sz w:val="24"/>
          <w:szCs w:val="24"/>
        </w:rPr>
        <w:t>Grigg</w:t>
      </w:r>
      <w:proofErr w:type="spellEnd"/>
      <w:r w:rsidRPr="00B711FC">
        <w:rPr>
          <w:rFonts w:ascii="Arial" w:eastAsia="Times New Roman" w:hAnsi="Arial" w:cs="Arial"/>
          <w:sz w:val="24"/>
          <w:szCs w:val="24"/>
        </w:rPr>
        <w:t xml:space="preserve">, 2016, p. 13). This shows that the Welsh Government take </w:t>
      </w:r>
      <w:proofErr w:type="spellStart"/>
      <w:r w:rsidRPr="00B711FC">
        <w:rPr>
          <w:rFonts w:ascii="Arial" w:eastAsia="Times New Roman" w:hAnsi="Arial" w:cs="Arial"/>
          <w:sz w:val="24"/>
          <w:szCs w:val="24"/>
        </w:rPr>
        <w:t>Estyn’s</w:t>
      </w:r>
      <w:proofErr w:type="spellEnd"/>
      <w:r w:rsidRPr="00B711FC">
        <w:rPr>
          <w:rFonts w:ascii="Arial" w:eastAsia="Times New Roman" w:hAnsi="Arial" w:cs="Arial"/>
          <w:sz w:val="24"/>
          <w:szCs w:val="24"/>
        </w:rPr>
        <w:t xml:space="preserve"> recommendations and findings very seriously, meaning all education providers must ensure they meet their requirements. </w:t>
      </w:r>
    </w:p>
    <w:p w14:paraId="11A29F60" w14:textId="028A6F75" w:rsidR="3F71E93F" w:rsidRPr="00B711FC" w:rsidRDefault="3F71E93F" w:rsidP="00B711FC">
      <w:pPr>
        <w:spacing w:line="360" w:lineRule="auto"/>
        <w:jc w:val="both"/>
        <w:rPr>
          <w:rFonts w:ascii="Arial" w:eastAsia="Times New Roman" w:hAnsi="Arial" w:cs="Arial"/>
          <w:color w:val="000000" w:themeColor="text1"/>
          <w:sz w:val="24"/>
          <w:szCs w:val="24"/>
        </w:rPr>
      </w:pPr>
      <w:r w:rsidRPr="00B711FC">
        <w:rPr>
          <w:rFonts w:ascii="Arial" w:eastAsia="Times New Roman" w:hAnsi="Arial" w:cs="Arial"/>
          <w:color w:val="000000" w:themeColor="text1"/>
          <w:sz w:val="24"/>
          <w:szCs w:val="24"/>
        </w:rPr>
        <w:t xml:space="preserve">With regards to CIW, they are responsible for inspecting all settings in Wales that are </w:t>
      </w:r>
      <w:proofErr w:type="spellStart"/>
      <w:r w:rsidRPr="00B711FC">
        <w:rPr>
          <w:rFonts w:ascii="Arial" w:eastAsia="Times New Roman" w:hAnsi="Arial" w:cs="Arial"/>
          <w:color w:val="000000" w:themeColor="text1"/>
          <w:sz w:val="24"/>
          <w:szCs w:val="24"/>
        </w:rPr>
        <w:t>categorised</w:t>
      </w:r>
      <w:proofErr w:type="spellEnd"/>
      <w:r w:rsidRPr="00B711FC">
        <w:rPr>
          <w:rFonts w:ascii="Arial" w:eastAsia="Times New Roman" w:hAnsi="Arial" w:cs="Arial"/>
          <w:color w:val="000000" w:themeColor="text1"/>
          <w:sz w:val="24"/>
          <w:szCs w:val="24"/>
        </w:rPr>
        <w:t xml:space="preserve"> as care, ranging from adult care homes to pre</w:t>
      </w:r>
      <w:r w:rsidR="6A63096A" w:rsidRPr="00B711FC">
        <w:rPr>
          <w:rFonts w:ascii="Arial" w:eastAsia="Times New Roman" w:hAnsi="Arial" w:cs="Arial"/>
          <w:color w:val="000000" w:themeColor="text1"/>
          <w:sz w:val="24"/>
          <w:szCs w:val="24"/>
        </w:rPr>
        <w:t>school settings. According to their website they are the independent regulators of social care and childcare in Wales and inspect a range of settings from adult services such as care homes to child services such as non-maintained settings (Care Inspectorate Wales, 2022). They carry out functions on behalf of Welsh Government ministers and ensure that services meet legislative and statutory requirements. They also have the power to decide who can provide services and drive improvement in settings they find unsatisfactory.</w:t>
      </w:r>
    </w:p>
    <w:p w14:paraId="12D4D5EF" w14:textId="200C5B83"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color w:val="000000" w:themeColor="text1"/>
          <w:sz w:val="24"/>
          <w:szCs w:val="24"/>
        </w:rPr>
        <w:t>The national minimum standards set out by CIW are published in a document titled ‘</w:t>
      </w:r>
      <w:r w:rsidRPr="00B711FC">
        <w:rPr>
          <w:rFonts w:ascii="Arial" w:eastAsia="Times New Roman" w:hAnsi="Arial" w:cs="Arial"/>
          <w:sz w:val="24"/>
          <w:szCs w:val="24"/>
        </w:rPr>
        <w:t xml:space="preserve">National Minimum Standards for Regulated Childcare for children up to the age of 12 years.’ The document was published in 2012 but was revised in 2016 and considers other laws and policies passed by the Welsh Government such as the UNCRC, the Foundation Phase curriculum and other policies including those on play, the Welsh language and sustainability and the environment (Education Wales, 2016, p. 12-13). </w:t>
      </w:r>
    </w:p>
    <w:p w14:paraId="701AAAA2" w14:textId="0ECBFE86" w:rsidR="6A63096A" w:rsidRPr="00B711FC" w:rsidRDefault="6A63096A" w:rsidP="00B711FC">
      <w:pPr>
        <w:spacing w:line="360" w:lineRule="auto"/>
        <w:jc w:val="both"/>
        <w:rPr>
          <w:rFonts w:ascii="Arial" w:hAnsi="Arial" w:cs="Arial"/>
        </w:rPr>
      </w:pPr>
      <w:r w:rsidRPr="00B711FC">
        <w:rPr>
          <w:rFonts w:ascii="Arial" w:eastAsia="Times New Roman" w:hAnsi="Arial" w:cs="Arial"/>
          <w:sz w:val="24"/>
          <w:szCs w:val="24"/>
        </w:rPr>
        <w:t xml:space="preserve">The national minimum standards range from standards on leadership and management to the quality of care and the physical environments at the setting. The standards are comprehensive and give a clear expectation of what CIW would expect to see during an inspection. However, CIW are keen to point out that these standards are minimum, and state in order to provide quality childcare, the general expectation is that registered persons work toward ensuring that these basic standards are exceeded (Education Wales, 2016, p.4). </w:t>
      </w:r>
    </w:p>
    <w:p w14:paraId="64185E3C" w14:textId="4C919686"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lastRenderedPageBreak/>
        <w:t xml:space="preserve">Quality in the early years has been much more </w:t>
      </w:r>
      <w:proofErr w:type="spellStart"/>
      <w:r w:rsidRPr="00B711FC">
        <w:rPr>
          <w:rFonts w:ascii="Arial" w:eastAsia="Times New Roman" w:hAnsi="Arial" w:cs="Arial"/>
          <w:sz w:val="24"/>
          <w:szCs w:val="24"/>
        </w:rPr>
        <w:t>scrutinised</w:t>
      </w:r>
      <w:proofErr w:type="spellEnd"/>
      <w:r w:rsidRPr="00B711FC">
        <w:rPr>
          <w:rFonts w:ascii="Arial" w:eastAsia="Times New Roman" w:hAnsi="Arial" w:cs="Arial"/>
          <w:sz w:val="24"/>
          <w:szCs w:val="24"/>
        </w:rPr>
        <w:t xml:space="preserve"> in the UK since the turn of the century due to changing social contexts and a commitment to meeting political targets as a result of extensive literature and research on the benefits of early </w:t>
      </w:r>
      <w:proofErr w:type="gramStart"/>
      <w:r w:rsidRPr="00B711FC">
        <w:rPr>
          <w:rFonts w:ascii="Arial" w:eastAsia="Times New Roman" w:hAnsi="Arial" w:cs="Arial"/>
          <w:sz w:val="24"/>
          <w:szCs w:val="24"/>
        </w:rPr>
        <w:t>years</w:t>
      </w:r>
      <w:proofErr w:type="gramEnd"/>
      <w:r w:rsidRPr="00B711FC">
        <w:rPr>
          <w:rFonts w:ascii="Arial" w:eastAsia="Times New Roman" w:hAnsi="Arial" w:cs="Arial"/>
          <w:sz w:val="24"/>
          <w:szCs w:val="24"/>
        </w:rPr>
        <w:t xml:space="preserve"> education (</w:t>
      </w:r>
      <w:proofErr w:type="spellStart"/>
      <w:r w:rsidRPr="00B711FC">
        <w:rPr>
          <w:rFonts w:ascii="Arial" w:eastAsia="Times New Roman" w:hAnsi="Arial" w:cs="Arial"/>
          <w:sz w:val="24"/>
          <w:szCs w:val="24"/>
        </w:rPr>
        <w:t>Melhuish</w:t>
      </w:r>
      <w:proofErr w:type="spellEnd"/>
      <w:r w:rsidRPr="00B711FC">
        <w:rPr>
          <w:rFonts w:ascii="Arial" w:eastAsia="Times New Roman" w:hAnsi="Arial" w:cs="Arial"/>
          <w:sz w:val="24"/>
          <w:szCs w:val="24"/>
        </w:rPr>
        <w:t xml:space="preserve">, 2004, p. 9). </w:t>
      </w:r>
      <w:r w:rsidR="3F71E93F" w:rsidRPr="00B711FC">
        <w:rPr>
          <w:rFonts w:ascii="Arial" w:eastAsia="Times New Roman" w:hAnsi="Arial" w:cs="Arial"/>
          <w:sz w:val="24"/>
          <w:szCs w:val="24"/>
        </w:rPr>
        <w:t xml:space="preserve">There are many factors that make up the quality of early years settings, including how much the setting exceeds the minimum standards expected of them. One factor highlighted by </w:t>
      </w:r>
      <w:proofErr w:type="spellStart"/>
      <w:r w:rsidR="3F71E93F" w:rsidRPr="00B711FC">
        <w:rPr>
          <w:rFonts w:ascii="Arial" w:eastAsia="Times New Roman" w:hAnsi="Arial" w:cs="Arial"/>
          <w:sz w:val="24"/>
          <w:szCs w:val="24"/>
        </w:rPr>
        <w:t>Leana</w:t>
      </w:r>
      <w:proofErr w:type="spellEnd"/>
      <w:r w:rsidR="3F71E93F" w:rsidRPr="00B711FC">
        <w:rPr>
          <w:rFonts w:ascii="Arial" w:eastAsia="Times New Roman" w:hAnsi="Arial" w:cs="Arial"/>
          <w:sz w:val="24"/>
          <w:szCs w:val="24"/>
        </w:rPr>
        <w:t xml:space="preserve">, </w:t>
      </w:r>
      <w:proofErr w:type="spellStart"/>
      <w:r w:rsidR="3F71E93F" w:rsidRPr="00B711FC">
        <w:rPr>
          <w:rFonts w:ascii="Arial" w:eastAsia="Times New Roman" w:hAnsi="Arial" w:cs="Arial"/>
          <w:sz w:val="24"/>
          <w:szCs w:val="24"/>
        </w:rPr>
        <w:t>Appelbaum</w:t>
      </w:r>
      <w:proofErr w:type="spellEnd"/>
      <w:r w:rsidR="3F71E93F" w:rsidRPr="00B711FC">
        <w:rPr>
          <w:rFonts w:ascii="Arial" w:eastAsia="Times New Roman" w:hAnsi="Arial" w:cs="Arial"/>
          <w:sz w:val="24"/>
          <w:szCs w:val="24"/>
        </w:rPr>
        <w:t xml:space="preserve"> and </w:t>
      </w:r>
      <w:proofErr w:type="spellStart"/>
      <w:r w:rsidR="3F71E93F" w:rsidRPr="00B711FC">
        <w:rPr>
          <w:rFonts w:ascii="Arial" w:eastAsia="Times New Roman" w:hAnsi="Arial" w:cs="Arial"/>
          <w:sz w:val="24"/>
          <w:szCs w:val="24"/>
        </w:rPr>
        <w:t>Shevchuk</w:t>
      </w:r>
      <w:proofErr w:type="spellEnd"/>
      <w:r w:rsidR="3F71E93F" w:rsidRPr="00B711FC">
        <w:rPr>
          <w:rFonts w:ascii="Arial" w:eastAsia="Times New Roman" w:hAnsi="Arial" w:cs="Arial"/>
          <w:sz w:val="24"/>
          <w:szCs w:val="24"/>
        </w:rPr>
        <w:t xml:space="preserve"> (2009, p. 1188) is collaboration and teamwork. Their research showed a positive association between quality of provision and collaboration among staff and recommended further training for </w:t>
      </w:r>
      <w:bookmarkStart w:id="2" w:name="_Int_jNF1TQ30"/>
      <w:r w:rsidR="3F71E93F" w:rsidRPr="00B711FC">
        <w:rPr>
          <w:rFonts w:ascii="Arial" w:eastAsia="Times New Roman" w:hAnsi="Arial" w:cs="Arial"/>
          <w:sz w:val="24"/>
          <w:szCs w:val="24"/>
        </w:rPr>
        <w:t xml:space="preserve">early </w:t>
      </w:r>
      <w:proofErr w:type="gramStart"/>
      <w:r w:rsidR="3F71E93F" w:rsidRPr="00B711FC">
        <w:rPr>
          <w:rFonts w:ascii="Arial" w:eastAsia="Times New Roman" w:hAnsi="Arial" w:cs="Arial"/>
          <w:sz w:val="24"/>
          <w:szCs w:val="24"/>
        </w:rPr>
        <w:t>years</w:t>
      </w:r>
      <w:bookmarkEnd w:id="2"/>
      <w:proofErr w:type="gramEnd"/>
      <w:r w:rsidR="3F71E93F" w:rsidRPr="00B711FC">
        <w:rPr>
          <w:rFonts w:ascii="Arial" w:eastAsia="Times New Roman" w:hAnsi="Arial" w:cs="Arial"/>
          <w:sz w:val="24"/>
          <w:szCs w:val="24"/>
        </w:rPr>
        <w:t xml:space="preserve"> practitioners focusing on teamwork and joint decision making. This is reflected by the standard 14 of the national minimum standards that outlines minimum expectations on </w:t>
      </w:r>
      <w:proofErr w:type="spellStart"/>
      <w:r w:rsidR="3F71E93F" w:rsidRPr="00B711FC">
        <w:rPr>
          <w:rFonts w:ascii="Arial" w:eastAsia="Times New Roman" w:hAnsi="Arial" w:cs="Arial"/>
          <w:sz w:val="24"/>
          <w:szCs w:val="24"/>
        </w:rPr>
        <w:t>organisation</w:t>
      </w:r>
      <w:proofErr w:type="spellEnd"/>
      <w:r w:rsidR="3F71E93F" w:rsidRPr="00B711FC">
        <w:rPr>
          <w:rFonts w:ascii="Arial" w:eastAsia="Times New Roman" w:hAnsi="Arial" w:cs="Arial"/>
          <w:sz w:val="24"/>
          <w:szCs w:val="24"/>
        </w:rPr>
        <w:t xml:space="preserve"> within the setting. </w:t>
      </w:r>
    </w:p>
    <w:p w14:paraId="325A7A7A" w14:textId="40EDBEE5"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Similarly, research by </w:t>
      </w:r>
      <w:proofErr w:type="spellStart"/>
      <w:r w:rsidRPr="00B711FC">
        <w:rPr>
          <w:rFonts w:ascii="Arial" w:eastAsia="Times New Roman" w:hAnsi="Arial" w:cs="Arial"/>
          <w:sz w:val="24"/>
          <w:szCs w:val="24"/>
        </w:rPr>
        <w:t>Cottle</w:t>
      </w:r>
      <w:proofErr w:type="spellEnd"/>
      <w:r w:rsidRPr="00B711FC">
        <w:rPr>
          <w:rFonts w:ascii="Arial" w:eastAsia="Times New Roman" w:hAnsi="Arial" w:cs="Arial"/>
          <w:sz w:val="24"/>
          <w:szCs w:val="24"/>
        </w:rPr>
        <w:t xml:space="preserve"> and Alexander (2014, p. 654) suggests that the involvement of parents is another key factor in the quality of provision from a setting. The authors concluded that quality provision was impossible without positive relationships founded on mutual trust, shared values, and a common purpose. This is again reflected in the national minimum standards, with constant reference to the involvement of parents in decisions throughout standards but particularly within standard 6, titled ‘working in partnership with parents’ (Education Wales, 2016, p. 22). </w:t>
      </w:r>
    </w:p>
    <w:p w14:paraId="0F31DFA1" w14:textId="0544C1E0" w:rsidR="3F71E93F" w:rsidRPr="00B711FC" w:rsidRDefault="3F71E93F"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The literature mentioned explains the reasoning behind the standards being chosen as those in which settings are judged. For example, as research proves that parental involvement increases the quality of provision, it is essential that a setting has good involvement with parents as a minimum standard. However, </w:t>
      </w:r>
      <w:proofErr w:type="spellStart"/>
      <w:r w:rsidRPr="00B711FC">
        <w:rPr>
          <w:rFonts w:ascii="Arial" w:eastAsia="Times New Roman" w:hAnsi="Arial" w:cs="Arial"/>
          <w:sz w:val="24"/>
          <w:szCs w:val="24"/>
        </w:rPr>
        <w:t>Hoa</w:t>
      </w:r>
      <w:proofErr w:type="spellEnd"/>
      <w:r w:rsidRPr="00B711FC">
        <w:rPr>
          <w:rFonts w:ascii="Arial" w:eastAsia="Times New Roman" w:hAnsi="Arial" w:cs="Arial"/>
          <w:sz w:val="24"/>
          <w:szCs w:val="24"/>
        </w:rPr>
        <w:t xml:space="preserve">, Campbell-Barr, and Leeson (2010, p. 247) are somewhat critical of national minimum standards as a construct, arguing that </w:t>
      </w:r>
      <w:r w:rsidR="6A63096A" w:rsidRPr="00B711FC">
        <w:rPr>
          <w:rFonts w:ascii="Arial" w:eastAsia="Times New Roman" w:hAnsi="Arial" w:cs="Arial"/>
          <w:sz w:val="24"/>
          <w:szCs w:val="24"/>
        </w:rPr>
        <w:t xml:space="preserve">minimum standards work on the assumption that where structural quality exists, process quality will follow but there is not yet clear evidence that this is the case. </w:t>
      </w:r>
    </w:p>
    <w:p w14:paraId="13F0B74E" w14:textId="4DB4F60D" w:rsidR="3F71E93F" w:rsidRPr="00B711FC" w:rsidRDefault="3F71E93F"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However, CIW are committed to using the national minimum standards for the near future, therefore it is vital that settings are equipped to go above the minimum standard required in order to meet the expectation that basic standards are exceeded. To do this, early </w:t>
      </w:r>
      <w:r w:rsidRPr="00B711FC">
        <w:rPr>
          <w:rFonts w:ascii="Arial" w:eastAsia="Times New Roman" w:hAnsi="Arial" w:cs="Arial"/>
          <w:sz w:val="24"/>
          <w:szCs w:val="24"/>
        </w:rPr>
        <w:lastRenderedPageBreak/>
        <w:t xml:space="preserve">years settings have access to a number of quality assurance methods both official and research based to show that they are going above the minimum standards. </w:t>
      </w:r>
    </w:p>
    <w:p w14:paraId="5B630473" w14:textId="5FCB0FCC" w:rsidR="3F71E93F" w:rsidRPr="00B711FC" w:rsidRDefault="3F71E93F"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One such quality assurance method is the Quality for All (</w:t>
      </w:r>
      <w:proofErr w:type="spellStart"/>
      <w:r w:rsidRPr="00B711FC">
        <w:rPr>
          <w:rFonts w:ascii="Arial" w:eastAsia="Times New Roman" w:hAnsi="Arial" w:cs="Arial"/>
          <w:sz w:val="24"/>
          <w:szCs w:val="24"/>
        </w:rPr>
        <w:t>QfA</w:t>
      </w:r>
      <w:proofErr w:type="spellEnd"/>
      <w:r w:rsidRPr="00B711FC">
        <w:rPr>
          <w:rFonts w:ascii="Arial" w:eastAsia="Times New Roman" w:hAnsi="Arial" w:cs="Arial"/>
          <w:sz w:val="24"/>
          <w:szCs w:val="24"/>
        </w:rPr>
        <w:t xml:space="preserve">) mark which is awarded by Early Years Wales. According to their website, the </w:t>
      </w:r>
      <w:proofErr w:type="spellStart"/>
      <w:r w:rsidRPr="00B711FC">
        <w:rPr>
          <w:rFonts w:ascii="Arial" w:eastAsia="Times New Roman" w:hAnsi="Arial" w:cs="Arial"/>
          <w:sz w:val="24"/>
          <w:szCs w:val="24"/>
        </w:rPr>
        <w:t>QfA</w:t>
      </w:r>
      <w:proofErr w:type="spellEnd"/>
      <w:r w:rsidRPr="00B711FC">
        <w:rPr>
          <w:rFonts w:ascii="Arial" w:eastAsia="Times New Roman" w:hAnsi="Arial" w:cs="Arial"/>
          <w:sz w:val="24"/>
          <w:szCs w:val="24"/>
        </w:rPr>
        <w:t xml:space="preserve"> mark is available to any type of childcare service and includes written self-evaluations of the service and an assessment of practice (Early Years Wales, 2022). This award was previously known as the WPPA Quality for All Mark awarded by the Wales Pre-School Providers Association before they became known as </w:t>
      </w:r>
      <w:proofErr w:type="gramStart"/>
      <w:r w:rsidRPr="00B711FC">
        <w:rPr>
          <w:rFonts w:ascii="Arial" w:eastAsia="Times New Roman" w:hAnsi="Arial" w:cs="Arial"/>
          <w:sz w:val="24"/>
          <w:szCs w:val="24"/>
        </w:rPr>
        <w:t>Early</w:t>
      </w:r>
      <w:proofErr w:type="gramEnd"/>
      <w:r w:rsidRPr="00B711FC">
        <w:rPr>
          <w:rFonts w:ascii="Arial" w:eastAsia="Times New Roman" w:hAnsi="Arial" w:cs="Arial"/>
          <w:sz w:val="24"/>
          <w:szCs w:val="24"/>
        </w:rPr>
        <w:t xml:space="preserve"> years Wales. This mark of quality was </w:t>
      </w:r>
      <w:proofErr w:type="spellStart"/>
      <w:r w:rsidRPr="00B711FC">
        <w:rPr>
          <w:rFonts w:ascii="Arial" w:eastAsia="Times New Roman" w:hAnsi="Arial" w:cs="Arial"/>
          <w:sz w:val="24"/>
          <w:szCs w:val="24"/>
        </w:rPr>
        <w:t>recognised</w:t>
      </w:r>
      <w:proofErr w:type="spellEnd"/>
      <w:r w:rsidRPr="00B711FC">
        <w:rPr>
          <w:rFonts w:ascii="Arial" w:eastAsia="Times New Roman" w:hAnsi="Arial" w:cs="Arial"/>
          <w:sz w:val="24"/>
          <w:szCs w:val="24"/>
        </w:rPr>
        <w:t xml:space="preserve"> by CIW and was mentioned in inspection reports as a sign that the setting had aimed to achieve higher than national minimum standards. </w:t>
      </w:r>
    </w:p>
    <w:p w14:paraId="0EED5F59" w14:textId="5E67AF01"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Early Years Wales state that the </w:t>
      </w:r>
      <w:proofErr w:type="spellStart"/>
      <w:r w:rsidRPr="00B711FC">
        <w:rPr>
          <w:rFonts w:ascii="Arial" w:eastAsia="Times New Roman" w:hAnsi="Arial" w:cs="Arial"/>
          <w:sz w:val="24"/>
          <w:szCs w:val="24"/>
        </w:rPr>
        <w:t>QfA</w:t>
      </w:r>
      <w:proofErr w:type="spellEnd"/>
      <w:r w:rsidRPr="00B711FC">
        <w:rPr>
          <w:rFonts w:ascii="Arial" w:eastAsia="Times New Roman" w:hAnsi="Arial" w:cs="Arial"/>
          <w:sz w:val="24"/>
          <w:szCs w:val="24"/>
        </w:rPr>
        <w:t xml:space="preserve"> mark is proof that children and families are going to benefit from the provision offered by the setting awarded it. The mark shows the setting has high quality staff that care in safe environments where holistic development takes place (Early Years Wales, 2022). The quality assurance mark is given after a visit from an assessor that produces a report which can be shared with local authorities and parents which also contains recommendations for further improvement. Part of the process also includes an evaluation form for practitioners to fill in critically reflecting on the service they provide. </w:t>
      </w:r>
    </w:p>
    <w:p w14:paraId="549BE778" w14:textId="74452596"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The reasoning behind this is that critical reflection is now viewed as essential practice for education practitioners, but this was not always the case. Following work by Dewey in the 1930’s which was subsequently developed into the notion of the reflective practitioner by </w:t>
      </w:r>
      <w:proofErr w:type="spellStart"/>
      <w:r w:rsidRPr="00B711FC">
        <w:rPr>
          <w:rFonts w:ascii="Arial" w:eastAsia="Times New Roman" w:hAnsi="Arial" w:cs="Arial"/>
          <w:sz w:val="24"/>
          <w:szCs w:val="24"/>
        </w:rPr>
        <w:t>Schön</w:t>
      </w:r>
      <w:proofErr w:type="spellEnd"/>
      <w:r w:rsidRPr="00B711FC">
        <w:rPr>
          <w:rFonts w:ascii="Arial" w:eastAsia="Times New Roman" w:hAnsi="Arial" w:cs="Arial"/>
          <w:sz w:val="24"/>
          <w:szCs w:val="24"/>
        </w:rPr>
        <w:t xml:space="preserve"> in the 1980’s, reflection has now become a vital skill for practitioners to develop. It is now a vital part of training for new practitioners as reflection has acted as a catalyst in transforming practitioners from rigidly following curriculums into professionals able to </w:t>
      </w:r>
      <w:proofErr w:type="spellStart"/>
      <w:r w:rsidRPr="00B711FC">
        <w:rPr>
          <w:rFonts w:ascii="Arial" w:eastAsia="Times New Roman" w:hAnsi="Arial" w:cs="Arial"/>
          <w:sz w:val="24"/>
          <w:szCs w:val="24"/>
        </w:rPr>
        <w:t>analyse</w:t>
      </w:r>
      <w:proofErr w:type="spellEnd"/>
      <w:r w:rsidRPr="00B711FC">
        <w:rPr>
          <w:rFonts w:ascii="Arial" w:eastAsia="Times New Roman" w:hAnsi="Arial" w:cs="Arial"/>
          <w:sz w:val="24"/>
          <w:szCs w:val="24"/>
        </w:rPr>
        <w:t xml:space="preserve"> and adapt their provision accordingly (Liu, 2015, p.136). In addition to this, </w:t>
      </w:r>
      <w:proofErr w:type="spellStart"/>
      <w:r w:rsidRPr="00B711FC">
        <w:rPr>
          <w:rFonts w:ascii="Arial" w:eastAsia="Times New Roman" w:hAnsi="Arial" w:cs="Arial"/>
          <w:sz w:val="24"/>
          <w:szCs w:val="24"/>
        </w:rPr>
        <w:t>Shandomo</w:t>
      </w:r>
      <w:proofErr w:type="spellEnd"/>
      <w:r w:rsidRPr="00B711FC">
        <w:rPr>
          <w:rFonts w:ascii="Arial" w:eastAsia="Times New Roman" w:hAnsi="Arial" w:cs="Arial"/>
          <w:sz w:val="24"/>
          <w:szCs w:val="24"/>
        </w:rPr>
        <w:t xml:space="preserve"> (2010, p. 101) states that through the process of critical reflection, practitioners interpret and create new knowledge and actions from different experiences.</w:t>
      </w:r>
    </w:p>
    <w:p w14:paraId="02AC9CE0" w14:textId="4E58AB8E"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Therefore, by completing an honest self-evaluation in order to be awarded this mark, practitioners must engage in critical reflection which in turn has a positive impact on the quality of provision they provide. Consequently, applying for and being awarded a mark </w:t>
      </w:r>
      <w:r w:rsidRPr="00B711FC">
        <w:rPr>
          <w:rFonts w:ascii="Arial" w:eastAsia="Times New Roman" w:hAnsi="Arial" w:cs="Arial"/>
          <w:sz w:val="24"/>
          <w:szCs w:val="24"/>
        </w:rPr>
        <w:lastRenderedPageBreak/>
        <w:t xml:space="preserve">such as this is one way of showing that the setting has gone above the minimum required and the benefits extend to not only the children and families but the practitioner's professional development as well. </w:t>
      </w:r>
    </w:p>
    <w:p w14:paraId="2BCE068B" w14:textId="35C67EB2" w:rsidR="6A63096A" w:rsidRPr="00B711FC" w:rsidRDefault="6A63096A"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Another tool that is used to demonstrate the quality of an early years setting that has significant benefits is the use of SSTEW (Sustained Shared Thinking and Emotional Wellbeing) Scales. According to Howard </w:t>
      </w:r>
      <w:r w:rsidRPr="00B711FC">
        <w:rPr>
          <w:rFonts w:ascii="Arial" w:eastAsia="Times New Roman" w:hAnsi="Arial" w:cs="Arial"/>
          <w:i/>
          <w:iCs/>
          <w:sz w:val="24"/>
          <w:szCs w:val="24"/>
        </w:rPr>
        <w:t>et al</w:t>
      </w:r>
      <w:r w:rsidRPr="00B711FC">
        <w:rPr>
          <w:rFonts w:ascii="Arial" w:eastAsia="Times New Roman" w:hAnsi="Arial" w:cs="Arial"/>
          <w:sz w:val="24"/>
          <w:szCs w:val="24"/>
        </w:rPr>
        <w:t xml:space="preserve"> (2018, p. 2) quality is measured by considering process and structural aspects of quality. The process aspect is measured through attempting to capture the child's everyday experiences, or what it is like to be a child in that environment whilst the structural aspects apply more to regulated aspects such as </w:t>
      </w:r>
      <w:proofErr w:type="spellStart"/>
      <w:r w:rsidRPr="00B711FC">
        <w:rPr>
          <w:rFonts w:ascii="Arial" w:eastAsia="Times New Roman" w:hAnsi="Arial" w:cs="Arial"/>
          <w:sz w:val="24"/>
          <w:szCs w:val="24"/>
        </w:rPr>
        <w:t>organisation</w:t>
      </w:r>
      <w:proofErr w:type="spellEnd"/>
      <w:r w:rsidRPr="00B711FC">
        <w:rPr>
          <w:rFonts w:ascii="Arial" w:eastAsia="Times New Roman" w:hAnsi="Arial" w:cs="Arial"/>
          <w:sz w:val="24"/>
          <w:szCs w:val="24"/>
        </w:rPr>
        <w:t>, qualifications, and staffing ratios. This suggests that the quality of provision has more than the factors often considered to be most important, such as good documentation or meeting national standards, and the feelings of the children must be taken into account.</w:t>
      </w:r>
    </w:p>
    <w:p w14:paraId="2398E682" w14:textId="19952F94" w:rsidR="6A63096A" w:rsidRPr="00B711FC" w:rsidRDefault="00CAFC54"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Following this, according to Howard </w:t>
      </w:r>
      <w:r w:rsidRPr="00B711FC">
        <w:rPr>
          <w:rFonts w:ascii="Arial" w:eastAsia="Times New Roman" w:hAnsi="Arial" w:cs="Arial"/>
          <w:i/>
          <w:iCs/>
          <w:sz w:val="24"/>
          <w:szCs w:val="24"/>
        </w:rPr>
        <w:t xml:space="preserve">et al </w:t>
      </w:r>
      <w:r w:rsidRPr="00B711FC">
        <w:rPr>
          <w:rFonts w:ascii="Arial" w:eastAsia="Times New Roman" w:hAnsi="Arial" w:cs="Arial"/>
          <w:sz w:val="24"/>
          <w:szCs w:val="24"/>
        </w:rPr>
        <w:t xml:space="preserve">(2018, p. 2), in order to measure structural and process aspects, researchers often use Environment Rating Scales (ERS). ERS were developed to evaluate the process quality in settings for children (Clifford, </w:t>
      </w:r>
      <w:proofErr w:type="spellStart"/>
      <w:r w:rsidRPr="00B711FC">
        <w:rPr>
          <w:rFonts w:ascii="Arial" w:eastAsia="Times New Roman" w:hAnsi="Arial" w:cs="Arial"/>
          <w:sz w:val="24"/>
          <w:szCs w:val="24"/>
        </w:rPr>
        <w:t>Reszka</w:t>
      </w:r>
      <w:proofErr w:type="spellEnd"/>
      <w:r w:rsidRPr="00B711FC">
        <w:rPr>
          <w:rFonts w:ascii="Arial" w:eastAsia="Times New Roman" w:hAnsi="Arial" w:cs="Arial"/>
          <w:sz w:val="24"/>
          <w:szCs w:val="24"/>
        </w:rPr>
        <w:t xml:space="preserve"> and </w:t>
      </w:r>
      <w:proofErr w:type="spellStart"/>
      <w:r w:rsidRPr="00B711FC">
        <w:rPr>
          <w:rFonts w:ascii="Arial" w:eastAsia="Times New Roman" w:hAnsi="Arial" w:cs="Arial"/>
          <w:sz w:val="24"/>
          <w:szCs w:val="24"/>
        </w:rPr>
        <w:t>Rossbach</w:t>
      </w:r>
      <w:proofErr w:type="spellEnd"/>
      <w:r w:rsidRPr="00B711FC">
        <w:rPr>
          <w:rFonts w:ascii="Arial" w:eastAsia="Times New Roman" w:hAnsi="Arial" w:cs="Arial"/>
          <w:sz w:val="24"/>
          <w:szCs w:val="24"/>
        </w:rPr>
        <w:t xml:space="preserve">, 2010, p. 2). One example of a well-known ERS scale is the ECERS-R, which was designed to assist practitioners in examining environments used by early </w:t>
      </w:r>
      <w:proofErr w:type="gramStart"/>
      <w:r w:rsidRPr="00B711FC">
        <w:rPr>
          <w:rFonts w:ascii="Arial" w:eastAsia="Times New Roman" w:hAnsi="Arial" w:cs="Arial"/>
          <w:sz w:val="24"/>
          <w:szCs w:val="24"/>
        </w:rPr>
        <w:t>years</w:t>
      </w:r>
      <w:proofErr w:type="gramEnd"/>
      <w:r w:rsidRPr="00B711FC">
        <w:rPr>
          <w:rFonts w:ascii="Arial" w:eastAsia="Times New Roman" w:hAnsi="Arial" w:cs="Arial"/>
          <w:sz w:val="24"/>
          <w:szCs w:val="24"/>
        </w:rPr>
        <w:t xml:space="preserve"> children in order to improve the quality of provision. The scale was then divided into seven subscales designed to guide the observer to meaningful areas of interest in early childhood classrooms such as personal care routines and creative activities (Clifford, </w:t>
      </w:r>
      <w:proofErr w:type="spellStart"/>
      <w:r w:rsidRPr="00B711FC">
        <w:rPr>
          <w:rFonts w:ascii="Arial" w:eastAsia="Times New Roman" w:hAnsi="Arial" w:cs="Arial"/>
          <w:sz w:val="24"/>
          <w:szCs w:val="24"/>
        </w:rPr>
        <w:t>Reszka</w:t>
      </w:r>
      <w:proofErr w:type="spellEnd"/>
      <w:r w:rsidRPr="00B711FC">
        <w:rPr>
          <w:rFonts w:ascii="Arial" w:eastAsia="Times New Roman" w:hAnsi="Arial" w:cs="Arial"/>
          <w:sz w:val="24"/>
          <w:szCs w:val="24"/>
        </w:rPr>
        <w:t xml:space="preserve"> and </w:t>
      </w:r>
      <w:proofErr w:type="spellStart"/>
      <w:r w:rsidRPr="00B711FC">
        <w:rPr>
          <w:rFonts w:ascii="Arial" w:eastAsia="Times New Roman" w:hAnsi="Arial" w:cs="Arial"/>
          <w:sz w:val="24"/>
          <w:szCs w:val="24"/>
        </w:rPr>
        <w:t>Rossbach</w:t>
      </w:r>
      <w:proofErr w:type="spellEnd"/>
      <w:r w:rsidRPr="00B711FC">
        <w:rPr>
          <w:rFonts w:ascii="Arial" w:eastAsia="Times New Roman" w:hAnsi="Arial" w:cs="Arial"/>
          <w:sz w:val="24"/>
          <w:szCs w:val="24"/>
        </w:rPr>
        <w:t xml:space="preserve">, 2010, p. 2). </w:t>
      </w:r>
    </w:p>
    <w:p w14:paraId="26C35FD4" w14:textId="5B16AC80" w:rsidR="3F71E93F" w:rsidRPr="00B711FC" w:rsidRDefault="00CAFC54"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The SSTEW scale is a form of ERS that combines sustained shared thinking (SST) and the emotional wellbeing of the children. It compromises five domains that include building trust, extending communication and language development, supporting emotional wellbeing, supporting learning and critical thinking, and assessing learning and language, which are then assessed depending on the quality of child/staff interactions (</w:t>
      </w:r>
      <w:proofErr w:type="spellStart"/>
      <w:r w:rsidRPr="00B711FC">
        <w:rPr>
          <w:rFonts w:ascii="Arial" w:eastAsia="Times New Roman" w:hAnsi="Arial" w:cs="Arial"/>
          <w:sz w:val="24"/>
          <w:szCs w:val="24"/>
        </w:rPr>
        <w:t>Melhuish</w:t>
      </w:r>
      <w:proofErr w:type="spellEnd"/>
      <w:r w:rsidRPr="00B711FC">
        <w:rPr>
          <w:rFonts w:ascii="Arial" w:eastAsia="Times New Roman" w:hAnsi="Arial" w:cs="Arial"/>
          <w:sz w:val="24"/>
          <w:szCs w:val="24"/>
        </w:rPr>
        <w:t xml:space="preserve"> and Gardiner, 2019, p. 4).</w:t>
      </w:r>
    </w:p>
    <w:p w14:paraId="22FDE3BF" w14:textId="35D741FB" w:rsidR="3F71E93F" w:rsidRPr="00B711FC" w:rsidRDefault="00CAFC54"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 The SST refers to an interaction where two or more individuals work together to solve a problem or evaluate an activity, but as it also includes emotional wellbeing the scale </w:t>
      </w:r>
      <w:proofErr w:type="spellStart"/>
      <w:r w:rsidRPr="00B711FC">
        <w:rPr>
          <w:rFonts w:ascii="Arial" w:eastAsia="Times New Roman" w:hAnsi="Arial" w:cs="Arial"/>
          <w:sz w:val="24"/>
          <w:szCs w:val="24"/>
        </w:rPr>
        <w:lastRenderedPageBreak/>
        <w:t>recognises</w:t>
      </w:r>
      <w:proofErr w:type="spellEnd"/>
      <w:r w:rsidRPr="00B711FC">
        <w:rPr>
          <w:rFonts w:ascii="Arial" w:eastAsia="Times New Roman" w:hAnsi="Arial" w:cs="Arial"/>
          <w:sz w:val="24"/>
          <w:szCs w:val="24"/>
        </w:rPr>
        <w:t xml:space="preserve"> the importance of child centered and developmentally appropriate practice that shows progression in learning, leading to self-regulated autonomous learners. Thus, the SSTEW scale is a tool developed to bridge the gap between research and practice, and support understanding, integrity, and sustainability in high-quality interaction (Howard </w:t>
      </w:r>
      <w:r w:rsidRPr="00B711FC">
        <w:rPr>
          <w:rFonts w:ascii="Arial" w:eastAsia="Times New Roman" w:hAnsi="Arial" w:cs="Arial"/>
          <w:i/>
          <w:iCs/>
          <w:sz w:val="24"/>
          <w:szCs w:val="24"/>
        </w:rPr>
        <w:t xml:space="preserve">et al, </w:t>
      </w:r>
      <w:r w:rsidRPr="00B711FC">
        <w:rPr>
          <w:rFonts w:ascii="Arial" w:eastAsia="Times New Roman" w:hAnsi="Arial" w:cs="Arial"/>
          <w:sz w:val="24"/>
          <w:szCs w:val="24"/>
        </w:rPr>
        <w:t xml:space="preserve">2018, p.3-4). </w:t>
      </w:r>
    </w:p>
    <w:p w14:paraId="4380B946" w14:textId="1683374C" w:rsidR="3F71E93F" w:rsidRPr="00B711FC" w:rsidRDefault="00CAFC54"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Research by Howard </w:t>
      </w:r>
      <w:r w:rsidRPr="00B711FC">
        <w:rPr>
          <w:rFonts w:ascii="Arial" w:eastAsia="Times New Roman" w:hAnsi="Arial" w:cs="Arial"/>
          <w:i/>
          <w:iCs/>
          <w:sz w:val="24"/>
          <w:szCs w:val="24"/>
        </w:rPr>
        <w:t xml:space="preserve">et al </w:t>
      </w:r>
      <w:r w:rsidRPr="00B711FC">
        <w:rPr>
          <w:rFonts w:ascii="Arial" w:eastAsia="Times New Roman" w:hAnsi="Arial" w:cs="Arial"/>
          <w:sz w:val="24"/>
          <w:szCs w:val="24"/>
        </w:rPr>
        <w:t xml:space="preserve">(2018, p. 12) found that the SSTEW scale was especially useful in capturing children's numeracy development, but the authors are keen to point out that the SSTEW scale’s potential for informing practice and learning is an area that requires further investigation. However, their study also suggests that the SSTEW scale is useful in observing quality in the setting when referenced to its influence on children's development. </w:t>
      </w:r>
    </w:p>
    <w:p w14:paraId="6D1337A4" w14:textId="4080FB0F" w:rsidR="3F71E93F" w:rsidRPr="00B711FC" w:rsidRDefault="00CAFC54"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Furthermore, research by </w:t>
      </w:r>
      <w:proofErr w:type="spellStart"/>
      <w:r w:rsidRPr="00B711FC">
        <w:rPr>
          <w:rFonts w:ascii="Arial" w:eastAsia="Times New Roman" w:hAnsi="Arial" w:cs="Arial"/>
          <w:sz w:val="24"/>
          <w:szCs w:val="24"/>
        </w:rPr>
        <w:t>Melhuish</w:t>
      </w:r>
      <w:proofErr w:type="spellEnd"/>
      <w:r w:rsidRPr="00B711FC">
        <w:rPr>
          <w:rFonts w:ascii="Arial" w:eastAsia="Times New Roman" w:hAnsi="Arial" w:cs="Arial"/>
          <w:sz w:val="24"/>
          <w:szCs w:val="24"/>
        </w:rPr>
        <w:t xml:space="preserve"> and Gardiner (2019, p. 5) states that a higher SSTEW score was common in settings that had a larger number of places and a higher mean level of staff qualification. It can be concluded from this, that evidence suggests higher scores on the SSTEW scale suggest a higher quality of provision from a setting and that most settings should be using a type of ERS to further note the quality of provision they offer. The use of these leads to benefits such as knowing exactly where further improvements need to be made, whether that be in literacy, numeracy, or another aspect of childhood development. </w:t>
      </w:r>
    </w:p>
    <w:p w14:paraId="5FEB5221" w14:textId="3FB9598D" w:rsidR="00CAFC54" w:rsidRDefault="00CAFC54" w:rsidP="00B711FC">
      <w:pPr>
        <w:spacing w:line="360" w:lineRule="auto"/>
        <w:jc w:val="both"/>
        <w:rPr>
          <w:rFonts w:ascii="Arial" w:eastAsia="Times New Roman" w:hAnsi="Arial" w:cs="Arial"/>
          <w:sz w:val="24"/>
          <w:szCs w:val="24"/>
        </w:rPr>
      </w:pPr>
      <w:r w:rsidRPr="00B711FC">
        <w:rPr>
          <w:rFonts w:ascii="Arial" w:eastAsia="Times New Roman" w:hAnsi="Arial" w:cs="Arial"/>
          <w:sz w:val="24"/>
          <w:szCs w:val="24"/>
        </w:rPr>
        <w:t xml:space="preserve">In conclusion, it is clear from the above that there are numerous benefits to </w:t>
      </w:r>
      <w:r w:rsidR="00B711FC">
        <w:rPr>
          <w:rFonts w:ascii="Arial" w:eastAsia="Times New Roman" w:hAnsi="Arial" w:cs="Arial"/>
          <w:sz w:val="24"/>
          <w:szCs w:val="24"/>
        </w:rPr>
        <w:t xml:space="preserve">early </w:t>
      </w:r>
      <w:proofErr w:type="gramStart"/>
      <w:r w:rsidR="00B711FC">
        <w:rPr>
          <w:rFonts w:ascii="Arial" w:eastAsia="Times New Roman" w:hAnsi="Arial" w:cs="Arial"/>
          <w:sz w:val="24"/>
          <w:szCs w:val="24"/>
        </w:rPr>
        <w:t>years</w:t>
      </w:r>
      <w:proofErr w:type="gramEnd"/>
      <w:r w:rsidR="00B711FC">
        <w:rPr>
          <w:rFonts w:ascii="Arial" w:eastAsia="Times New Roman" w:hAnsi="Arial" w:cs="Arial"/>
          <w:sz w:val="24"/>
          <w:szCs w:val="24"/>
        </w:rPr>
        <w:t xml:space="preserve"> </w:t>
      </w:r>
      <w:r w:rsidRPr="00B711FC">
        <w:rPr>
          <w:rFonts w:ascii="Arial" w:eastAsia="Times New Roman" w:hAnsi="Arial" w:cs="Arial"/>
          <w:sz w:val="24"/>
          <w:szCs w:val="24"/>
        </w:rPr>
        <w:t xml:space="preserve">settings promoting and ensuring quality above the statutory requirements set out by </w:t>
      </w:r>
      <w:proofErr w:type="spellStart"/>
      <w:r w:rsidRPr="00B711FC">
        <w:rPr>
          <w:rFonts w:ascii="Arial" w:eastAsia="Times New Roman" w:hAnsi="Arial" w:cs="Arial"/>
          <w:sz w:val="24"/>
          <w:szCs w:val="24"/>
        </w:rPr>
        <w:t>organisations</w:t>
      </w:r>
      <w:proofErr w:type="spellEnd"/>
      <w:r w:rsidRPr="00B711FC">
        <w:rPr>
          <w:rFonts w:ascii="Arial" w:eastAsia="Times New Roman" w:hAnsi="Arial" w:cs="Arial"/>
          <w:sz w:val="24"/>
          <w:szCs w:val="24"/>
        </w:rPr>
        <w:t xml:space="preserve"> such as CIW or </w:t>
      </w:r>
      <w:proofErr w:type="spellStart"/>
      <w:r w:rsidRPr="00B711FC">
        <w:rPr>
          <w:rFonts w:ascii="Arial" w:eastAsia="Times New Roman" w:hAnsi="Arial" w:cs="Arial"/>
          <w:sz w:val="24"/>
          <w:szCs w:val="24"/>
        </w:rPr>
        <w:t>Estyn</w:t>
      </w:r>
      <w:proofErr w:type="spellEnd"/>
      <w:r w:rsidRPr="00B711FC">
        <w:rPr>
          <w:rFonts w:ascii="Arial" w:eastAsia="Times New Roman" w:hAnsi="Arial" w:cs="Arial"/>
          <w:sz w:val="24"/>
          <w:szCs w:val="24"/>
        </w:rPr>
        <w:t>. Whilst meeting minimum standards would pass an inspection, it is vital that leaders are ambitious and ensure the provision that they deliver exceeds the minimum expected.</w:t>
      </w:r>
      <w:r w:rsidR="00B711FC">
        <w:rPr>
          <w:rFonts w:ascii="Arial" w:eastAsia="Times New Roman" w:hAnsi="Arial" w:cs="Arial"/>
          <w:sz w:val="24"/>
          <w:szCs w:val="24"/>
        </w:rPr>
        <w:t xml:space="preserve"> A vital part of this is to ensure that all staff receive training in critical reflection, and are given opportunities to partake in professional development.</w:t>
      </w:r>
      <w:r w:rsidRPr="00B711FC">
        <w:rPr>
          <w:rFonts w:ascii="Arial" w:eastAsia="Times New Roman" w:hAnsi="Arial" w:cs="Arial"/>
          <w:sz w:val="24"/>
          <w:szCs w:val="24"/>
        </w:rPr>
        <w:t xml:space="preserve"> </w:t>
      </w:r>
      <w:r w:rsidR="00B711FC">
        <w:rPr>
          <w:rFonts w:ascii="Arial" w:eastAsia="Times New Roman" w:hAnsi="Arial" w:cs="Arial"/>
          <w:sz w:val="24"/>
          <w:szCs w:val="24"/>
        </w:rPr>
        <w:t>In order to guarantee that</w:t>
      </w:r>
      <w:r w:rsidRPr="00B711FC">
        <w:rPr>
          <w:rFonts w:ascii="Arial" w:eastAsia="Times New Roman" w:hAnsi="Arial" w:cs="Arial"/>
          <w:sz w:val="24"/>
          <w:szCs w:val="24"/>
        </w:rPr>
        <w:t xml:space="preserve"> early </w:t>
      </w:r>
      <w:proofErr w:type="gramStart"/>
      <w:r w:rsidR="00B711FC">
        <w:rPr>
          <w:rFonts w:ascii="Arial" w:eastAsia="Times New Roman" w:hAnsi="Arial" w:cs="Arial"/>
          <w:sz w:val="24"/>
          <w:szCs w:val="24"/>
        </w:rPr>
        <w:t>year</w:t>
      </w:r>
      <w:r w:rsidR="00B711FC" w:rsidRPr="00B711FC">
        <w:rPr>
          <w:rFonts w:ascii="Arial" w:eastAsia="Times New Roman" w:hAnsi="Arial" w:cs="Arial"/>
          <w:sz w:val="24"/>
          <w:szCs w:val="24"/>
        </w:rPr>
        <w:t>s</w:t>
      </w:r>
      <w:proofErr w:type="gramEnd"/>
      <w:r w:rsidRPr="00B711FC">
        <w:rPr>
          <w:rFonts w:ascii="Arial" w:eastAsia="Times New Roman" w:hAnsi="Arial" w:cs="Arial"/>
          <w:sz w:val="24"/>
          <w:szCs w:val="24"/>
        </w:rPr>
        <w:t xml:space="preserve"> settings </w:t>
      </w:r>
      <w:r w:rsidR="00B711FC">
        <w:rPr>
          <w:rFonts w:ascii="Arial" w:eastAsia="Times New Roman" w:hAnsi="Arial" w:cs="Arial"/>
          <w:sz w:val="24"/>
          <w:szCs w:val="24"/>
        </w:rPr>
        <w:t>exceed minimum standards, it is recommended that they seek</w:t>
      </w:r>
      <w:r w:rsidRPr="00B711FC">
        <w:rPr>
          <w:rFonts w:ascii="Arial" w:eastAsia="Times New Roman" w:hAnsi="Arial" w:cs="Arial"/>
          <w:sz w:val="24"/>
          <w:szCs w:val="24"/>
        </w:rPr>
        <w:t xml:space="preserve"> to be awarded quality assurance marks such as the </w:t>
      </w:r>
      <w:proofErr w:type="spellStart"/>
      <w:r w:rsidRPr="00B711FC">
        <w:rPr>
          <w:rFonts w:ascii="Arial" w:eastAsia="Times New Roman" w:hAnsi="Arial" w:cs="Arial"/>
          <w:sz w:val="24"/>
          <w:szCs w:val="24"/>
        </w:rPr>
        <w:t>QfA</w:t>
      </w:r>
      <w:proofErr w:type="spellEnd"/>
      <w:r w:rsidRPr="00B711FC">
        <w:rPr>
          <w:rFonts w:ascii="Arial" w:eastAsia="Times New Roman" w:hAnsi="Arial" w:cs="Arial"/>
          <w:sz w:val="24"/>
          <w:szCs w:val="24"/>
        </w:rPr>
        <w:t xml:space="preserve"> award as a symbol of higher quality provision. Alternatively, using ERS through means of observation is a well-researched and proven method to improve the quality of provision for children and assuring quality to parents. </w:t>
      </w:r>
    </w:p>
    <w:p w14:paraId="355E8D54" w14:textId="07600E30" w:rsidR="00B711FC" w:rsidRPr="00AC21C3" w:rsidRDefault="00B711FC" w:rsidP="00B711FC">
      <w:pPr>
        <w:spacing w:line="360" w:lineRule="auto"/>
        <w:jc w:val="center"/>
        <w:rPr>
          <w:rFonts w:ascii="Arial" w:eastAsiaTheme="minorEastAsia" w:hAnsi="Arial" w:cs="Arial"/>
          <w:sz w:val="24"/>
          <w:szCs w:val="24"/>
          <w:u w:val="single"/>
        </w:rPr>
      </w:pPr>
      <w:r>
        <w:rPr>
          <w:rFonts w:ascii="Arial" w:eastAsiaTheme="minorEastAsia" w:hAnsi="Arial" w:cs="Arial"/>
          <w:sz w:val="24"/>
          <w:szCs w:val="24"/>
          <w:u w:val="single"/>
        </w:rPr>
        <w:lastRenderedPageBreak/>
        <w:t>Written A</w:t>
      </w:r>
      <w:r w:rsidRPr="00AC21C3">
        <w:rPr>
          <w:rFonts w:ascii="Arial" w:eastAsiaTheme="minorEastAsia" w:hAnsi="Arial" w:cs="Arial"/>
          <w:sz w:val="24"/>
          <w:szCs w:val="24"/>
          <w:u w:val="single"/>
        </w:rPr>
        <w:t>ssignment Reference List</w:t>
      </w:r>
    </w:p>
    <w:p w14:paraId="0760AC0E" w14:textId="77777777" w:rsidR="00B711FC" w:rsidRPr="00AC21C3" w:rsidRDefault="00B711FC" w:rsidP="00B711FC">
      <w:pPr>
        <w:spacing w:line="360" w:lineRule="auto"/>
        <w:jc w:val="both"/>
        <w:rPr>
          <w:rFonts w:ascii="Arial" w:eastAsiaTheme="minorEastAsia" w:hAnsi="Arial" w:cs="Arial"/>
          <w:sz w:val="24"/>
          <w:szCs w:val="24"/>
        </w:rPr>
      </w:pPr>
      <w:r w:rsidRPr="00AC21C3">
        <w:rPr>
          <w:rFonts w:ascii="Arial" w:eastAsiaTheme="minorEastAsia" w:hAnsi="Arial" w:cs="Arial"/>
          <w:sz w:val="24"/>
          <w:szCs w:val="24"/>
        </w:rPr>
        <w:t xml:space="preserve">Care Inspectorate Wales (2022) </w:t>
      </w:r>
      <w:r w:rsidRPr="00AC21C3">
        <w:rPr>
          <w:rFonts w:ascii="Arial" w:eastAsiaTheme="minorEastAsia" w:hAnsi="Arial" w:cs="Arial"/>
          <w:i/>
          <w:iCs/>
          <w:sz w:val="24"/>
          <w:szCs w:val="24"/>
        </w:rPr>
        <w:t xml:space="preserve">What We Do. </w:t>
      </w:r>
      <w:r w:rsidRPr="00AC21C3">
        <w:rPr>
          <w:rFonts w:ascii="Arial" w:eastAsiaTheme="minorEastAsia" w:hAnsi="Arial" w:cs="Arial"/>
          <w:sz w:val="24"/>
          <w:szCs w:val="24"/>
        </w:rPr>
        <w:t>Available at: https://careinspectorate.wales/about-us (Accessed: 2 April 2022).</w:t>
      </w:r>
    </w:p>
    <w:p w14:paraId="22B55514" w14:textId="77777777" w:rsidR="00B711FC" w:rsidRPr="00AC21C3" w:rsidRDefault="00B711FC" w:rsidP="00B711FC">
      <w:pPr>
        <w:spacing w:line="360" w:lineRule="auto"/>
        <w:jc w:val="both"/>
        <w:rPr>
          <w:rFonts w:ascii="Arial" w:eastAsia="Calibri" w:hAnsi="Arial" w:cs="Arial"/>
          <w:sz w:val="24"/>
          <w:szCs w:val="24"/>
        </w:rPr>
      </w:pPr>
      <w:r w:rsidRPr="00AC21C3">
        <w:rPr>
          <w:rFonts w:ascii="Arial" w:eastAsia="Calibri" w:hAnsi="Arial" w:cs="Arial"/>
          <w:color w:val="000000" w:themeColor="text1"/>
          <w:sz w:val="24"/>
          <w:szCs w:val="24"/>
        </w:rPr>
        <w:t xml:space="preserve">Clifford, R. </w:t>
      </w:r>
      <w:proofErr w:type="spellStart"/>
      <w:r w:rsidRPr="00AC21C3">
        <w:rPr>
          <w:rFonts w:ascii="Arial" w:eastAsia="Calibri" w:hAnsi="Arial" w:cs="Arial"/>
          <w:color w:val="000000" w:themeColor="text1"/>
          <w:sz w:val="24"/>
          <w:szCs w:val="24"/>
        </w:rPr>
        <w:t>Reszka</w:t>
      </w:r>
      <w:proofErr w:type="spellEnd"/>
      <w:r w:rsidRPr="00AC21C3">
        <w:rPr>
          <w:rFonts w:ascii="Arial" w:eastAsia="Calibri" w:hAnsi="Arial" w:cs="Arial"/>
          <w:color w:val="000000" w:themeColor="text1"/>
          <w:sz w:val="24"/>
          <w:szCs w:val="24"/>
        </w:rPr>
        <w:t xml:space="preserve">, S. and </w:t>
      </w:r>
      <w:proofErr w:type="spellStart"/>
      <w:r w:rsidRPr="00AC21C3">
        <w:rPr>
          <w:rFonts w:ascii="Arial" w:eastAsia="Calibri" w:hAnsi="Arial" w:cs="Arial"/>
          <w:color w:val="000000" w:themeColor="text1"/>
          <w:sz w:val="24"/>
          <w:szCs w:val="24"/>
        </w:rPr>
        <w:t>Rossbach</w:t>
      </w:r>
      <w:proofErr w:type="spellEnd"/>
      <w:r w:rsidRPr="00AC21C3">
        <w:rPr>
          <w:rFonts w:ascii="Arial" w:eastAsia="Calibri" w:hAnsi="Arial" w:cs="Arial"/>
          <w:color w:val="000000" w:themeColor="text1"/>
          <w:sz w:val="24"/>
          <w:szCs w:val="24"/>
        </w:rPr>
        <w:t>, H. (2010) ‘</w:t>
      </w:r>
      <w:r w:rsidRPr="00AC21C3">
        <w:rPr>
          <w:rFonts w:ascii="Arial" w:eastAsia="Calibri" w:hAnsi="Arial" w:cs="Arial"/>
          <w:sz w:val="24"/>
          <w:szCs w:val="24"/>
        </w:rPr>
        <w:t xml:space="preserve">Reliability and Validity of the Early Childhood Environment Rating Scale’, pp. 1-27. Available at: https://www.researchgate.net/profile/Stephanie-Reszka/publication/265098120_Reliability_and_Validity_of_the_Early_Childhood_Environment_Rating_Scale/links/5527e2ad0cf2779ab78ae5f2/Reliability-and-Validity-of-the-Early-Childhood-Environment-Rating-Scale.pdf (Accessed: 3 April 2022). </w:t>
      </w:r>
    </w:p>
    <w:p w14:paraId="218D9864" w14:textId="77777777" w:rsidR="00B711FC" w:rsidRPr="00AC21C3" w:rsidRDefault="00B711FC" w:rsidP="00B711FC">
      <w:pPr>
        <w:spacing w:line="360" w:lineRule="auto"/>
        <w:jc w:val="both"/>
        <w:rPr>
          <w:rFonts w:ascii="Arial" w:eastAsiaTheme="minorEastAsia" w:hAnsi="Arial" w:cs="Arial"/>
          <w:i/>
          <w:iCs/>
          <w:sz w:val="24"/>
          <w:szCs w:val="24"/>
        </w:rPr>
      </w:pPr>
      <w:proofErr w:type="spellStart"/>
      <w:r w:rsidRPr="00AC21C3">
        <w:rPr>
          <w:rFonts w:ascii="Arial" w:eastAsiaTheme="minorEastAsia" w:hAnsi="Arial" w:cs="Arial"/>
          <w:sz w:val="24"/>
          <w:szCs w:val="24"/>
        </w:rPr>
        <w:t>Cottle</w:t>
      </w:r>
      <w:proofErr w:type="spellEnd"/>
      <w:r w:rsidRPr="00AC21C3">
        <w:rPr>
          <w:rFonts w:ascii="Arial" w:eastAsiaTheme="minorEastAsia" w:hAnsi="Arial" w:cs="Arial"/>
          <w:sz w:val="24"/>
          <w:szCs w:val="24"/>
        </w:rPr>
        <w:t xml:space="preserve">, M. and Alexander, E. (2014) ‘Parent partnership and ‘quality’ early years services: practitioners’ perspectives’, </w:t>
      </w:r>
      <w:r w:rsidRPr="00AC21C3">
        <w:rPr>
          <w:rFonts w:ascii="Arial" w:eastAsiaTheme="minorEastAsia" w:hAnsi="Arial" w:cs="Arial"/>
          <w:i/>
          <w:iCs/>
          <w:sz w:val="24"/>
          <w:szCs w:val="24"/>
        </w:rPr>
        <w:t xml:space="preserve">European Early Childhood Education Research Journal, </w:t>
      </w:r>
      <w:r w:rsidRPr="00AC21C3">
        <w:rPr>
          <w:rFonts w:ascii="Arial" w:eastAsiaTheme="minorEastAsia" w:hAnsi="Arial" w:cs="Arial"/>
          <w:sz w:val="24"/>
          <w:szCs w:val="24"/>
        </w:rPr>
        <w:t>22(5), pp. 637-659. DOI: 10.1080/1350293X.2013.788314</w:t>
      </w:r>
    </w:p>
    <w:p w14:paraId="501BE9AD" w14:textId="31BD23E5" w:rsidR="00B711FC" w:rsidRPr="00AC21C3" w:rsidRDefault="00B711FC" w:rsidP="00B711FC">
      <w:pPr>
        <w:spacing w:line="360" w:lineRule="auto"/>
        <w:jc w:val="both"/>
        <w:rPr>
          <w:rFonts w:ascii="Arial" w:eastAsia="Calibri" w:hAnsi="Arial" w:cs="Arial"/>
          <w:sz w:val="24"/>
          <w:szCs w:val="24"/>
        </w:rPr>
      </w:pPr>
      <w:r>
        <w:rPr>
          <w:rFonts w:ascii="Arial" w:eastAsia="Calibri" w:hAnsi="Arial" w:cs="Arial"/>
          <w:sz w:val="24"/>
          <w:szCs w:val="24"/>
        </w:rPr>
        <w:t xml:space="preserve">Early Years Wales (2022) </w:t>
      </w:r>
      <w:r w:rsidRPr="00AC21C3">
        <w:rPr>
          <w:rFonts w:ascii="Arial" w:eastAsia="Calibri" w:hAnsi="Arial" w:cs="Arial"/>
          <w:i/>
          <w:iCs/>
          <w:sz w:val="24"/>
          <w:szCs w:val="24"/>
        </w:rPr>
        <w:t xml:space="preserve">Quality for All. </w:t>
      </w:r>
      <w:r w:rsidRPr="00AC21C3">
        <w:rPr>
          <w:rFonts w:ascii="Arial" w:eastAsia="Calibri" w:hAnsi="Arial" w:cs="Arial"/>
          <w:sz w:val="24"/>
          <w:szCs w:val="24"/>
        </w:rPr>
        <w:t>Available at:  https://www.earlyyears.wales/en/quality-for-all (Accessed: 2 April 2022).</w:t>
      </w:r>
    </w:p>
    <w:p w14:paraId="59E07846" w14:textId="77777777" w:rsidR="00B711FC" w:rsidRPr="00AC21C3" w:rsidRDefault="00B711FC" w:rsidP="00B711FC">
      <w:pPr>
        <w:spacing w:line="360" w:lineRule="auto"/>
        <w:jc w:val="both"/>
        <w:rPr>
          <w:rFonts w:ascii="Arial" w:eastAsiaTheme="minorEastAsia" w:hAnsi="Arial" w:cs="Arial"/>
          <w:color w:val="000000" w:themeColor="text1"/>
          <w:sz w:val="24"/>
          <w:szCs w:val="24"/>
        </w:rPr>
      </w:pPr>
      <w:r w:rsidRPr="00AC21C3">
        <w:rPr>
          <w:rFonts w:ascii="Arial" w:eastAsiaTheme="minorEastAsia" w:hAnsi="Arial" w:cs="Arial"/>
          <w:color w:val="000000" w:themeColor="text1"/>
          <w:sz w:val="24"/>
          <w:szCs w:val="24"/>
        </w:rPr>
        <w:t xml:space="preserve">Education Wales (2016) </w:t>
      </w:r>
      <w:r w:rsidRPr="00AC21C3">
        <w:rPr>
          <w:rFonts w:ascii="Arial" w:eastAsiaTheme="minorEastAsia" w:hAnsi="Arial" w:cs="Arial"/>
          <w:i/>
          <w:iCs/>
          <w:color w:val="000000" w:themeColor="text1"/>
          <w:sz w:val="24"/>
          <w:szCs w:val="24"/>
        </w:rPr>
        <w:t xml:space="preserve">National Minimum Standards for Regulated Childcare for children up to the age of 12 years. </w:t>
      </w:r>
      <w:r w:rsidRPr="00AC21C3">
        <w:rPr>
          <w:rFonts w:ascii="Arial" w:eastAsiaTheme="minorEastAsia" w:hAnsi="Arial" w:cs="Arial"/>
          <w:color w:val="000000" w:themeColor="text1"/>
          <w:sz w:val="24"/>
          <w:szCs w:val="24"/>
        </w:rPr>
        <w:t>Available at: https://careinspectorate.wales/sites/default/files/2018-01/160411regchildcareen.pdf (Accessed: 2 April 2022).</w:t>
      </w:r>
    </w:p>
    <w:p w14:paraId="1372FAE3" w14:textId="77777777" w:rsidR="00B711FC" w:rsidRPr="00AC21C3" w:rsidRDefault="00B711FC" w:rsidP="00B711FC">
      <w:pPr>
        <w:spacing w:line="360" w:lineRule="auto"/>
        <w:jc w:val="both"/>
        <w:rPr>
          <w:rFonts w:ascii="Arial" w:eastAsiaTheme="minorEastAsia" w:hAnsi="Arial" w:cs="Arial"/>
          <w:sz w:val="24"/>
          <w:szCs w:val="24"/>
        </w:rPr>
      </w:pPr>
      <w:r w:rsidRPr="00AC21C3">
        <w:rPr>
          <w:rFonts w:ascii="Arial" w:eastAsiaTheme="minorEastAsia" w:hAnsi="Arial" w:cs="Arial"/>
          <w:sz w:val="24"/>
          <w:szCs w:val="24"/>
        </w:rPr>
        <w:t xml:space="preserve">Education Wales (2018) </w:t>
      </w:r>
      <w:r w:rsidRPr="00AC21C3">
        <w:rPr>
          <w:rFonts w:ascii="Arial" w:eastAsiaTheme="minorEastAsia" w:hAnsi="Arial" w:cs="Arial"/>
          <w:i/>
          <w:iCs/>
          <w:sz w:val="24"/>
          <w:szCs w:val="24"/>
        </w:rPr>
        <w:t xml:space="preserve">School </w:t>
      </w:r>
      <w:proofErr w:type="spellStart"/>
      <w:r w:rsidRPr="00AC21C3">
        <w:rPr>
          <w:rFonts w:ascii="Arial" w:eastAsiaTheme="minorEastAsia" w:hAnsi="Arial" w:cs="Arial"/>
          <w:i/>
          <w:iCs/>
          <w:sz w:val="24"/>
          <w:szCs w:val="24"/>
        </w:rPr>
        <w:t>Organisation</w:t>
      </w:r>
      <w:proofErr w:type="spellEnd"/>
      <w:r w:rsidRPr="00AC21C3">
        <w:rPr>
          <w:rFonts w:ascii="Arial" w:eastAsiaTheme="minorEastAsia" w:hAnsi="Arial" w:cs="Arial"/>
          <w:i/>
          <w:iCs/>
          <w:sz w:val="24"/>
          <w:szCs w:val="24"/>
        </w:rPr>
        <w:t xml:space="preserve"> Code. </w:t>
      </w:r>
      <w:r w:rsidRPr="00AC21C3">
        <w:rPr>
          <w:rFonts w:ascii="Arial" w:eastAsiaTheme="minorEastAsia" w:hAnsi="Arial" w:cs="Arial"/>
          <w:sz w:val="24"/>
          <w:szCs w:val="24"/>
        </w:rPr>
        <w:t xml:space="preserve">Available at: https://gov.wales/sites/default/files/publications/2018-10/school-organisation-code-second-edition.pdf (Accessed 2 April 2022). </w:t>
      </w:r>
    </w:p>
    <w:p w14:paraId="3D0F87B1" w14:textId="77777777" w:rsidR="00B711FC" w:rsidRPr="00AC21C3" w:rsidRDefault="00B711FC" w:rsidP="00B711FC">
      <w:pPr>
        <w:spacing w:line="360" w:lineRule="auto"/>
        <w:jc w:val="both"/>
        <w:rPr>
          <w:rFonts w:ascii="Arial" w:eastAsiaTheme="minorEastAsia" w:hAnsi="Arial" w:cs="Arial"/>
          <w:sz w:val="24"/>
          <w:szCs w:val="24"/>
        </w:rPr>
      </w:pPr>
      <w:proofErr w:type="spellStart"/>
      <w:r w:rsidRPr="00AC21C3">
        <w:rPr>
          <w:rFonts w:ascii="Arial" w:eastAsiaTheme="minorEastAsia" w:hAnsi="Arial" w:cs="Arial"/>
          <w:sz w:val="24"/>
          <w:szCs w:val="24"/>
        </w:rPr>
        <w:t>Estyn</w:t>
      </w:r>
      <w:proofErr w:type="spellEnd"/>
      <w:r w:rsidRPr="00AC21C3">
        <w:rPr>
          <w:rFonts w:ascii="Arial" w:eastAsiaTheme="minorEastAsia" w:hAnsi="Arial" w:cs="Arial"/>
          <w:sz w:val="24"/>
          <w:szCs w:val="24"/>
        </w:rPr>
        <w:t xml:space="preserve"> (2022) </w:t>
      </w:r>
      <w:r w:rsidRPr="00AC21C3">
        <w:rPr>
          <w:rFonts w:ascii="Arial" w:eastAsiaTheme="minorEastAsia" w:hAnsi="Arial" w:cs="Arial"/>
          <w:i/>
          <w:iCs/>
          <w:sz w:val="24"/>
          <w:szCs w:val="24"/>
        </w:rPr>
        <w:t xml:space="preserve">About Us. </w:t>
      </w:r>
      <w:r w:rsidRPr="00AC21C3">
        <w:rPr>
          <w:rFonts w:ascii="Arial" w:eastAsiaTheme="minorEastAsia" w:hAnsi="Arial" w:cs="Arial"/>
          <w:sz w:val="24"/>
          <w:szCs w:val="24"/>
        </w:rPr>
        <w:t>Available at: https://www.estyn.gov.wales/about-us (Accessed: 2 April 2022).</w:t>
      </w:r>
    </w:p>
    <w:p w14:paraId="17D5781B" w14:textId="77777777" w:rsidR="00B711FC" w:rsidRPr="00AC21C3" w:rsidRDefault="00B711FC" w:rsidP="00B711FC">
      <w:pPr>
        <w:spacing w:line="360" w:lineRule="auto"/>
        <w:jc w:val="both"/>
        <w:rPr>
          <w:rFonts w:ascii="Arial" w:eastAsiaTheme="minorEastAsia" w:hAnsi="Arial" w:cs="Arial"/>
          <w:sz w:val="24"/>
          <w:szCs w:val="24"/>
        </w:rPr>
      </w:pPr>
      <w:proofErr w:type="spellStart"/>
      <w:r w:rsidRPr="00AC21C3">
        <w:rPr>
          <w:rFonts w:ascii="Arial" w:eastAsiaTheme="minorEastAsia" w:hAnsi="Arial" w:cs="Arial"/>
          <w:sz w:val="24"/>
          <w:szCs w:val="24"/>
        </w:rPr>
        <w:t>Grigg</w:t>
      </w:r>
      <w:proofErr w:type="spellEnd"/>
      <w:r w:rsidRPr="00AC21C3">
        <w:rPr>
          <w:rFonts w:ascii="Arial" w:eastAsiaTheme="minorEastAsia" w:hAnsi="Arial" w:cs="Arial"/>
          <w:sz w:val="24"/>
          <w:szCs w:val="24"/>
        </w:rPr>
        <w:t xml:space="preserve">, R. (2016) ‘Leave me alone and let me teach.’ Teachers’ views of Welsh Government education policies and education in Wales,’ </w:t>
      </w:r>
      <w:r w:rsidRPr="00AC21C3">
        <w:rPr>
          <w:rFonts w:ascii="Arial" w:eastAsiaTheme="minorEastAsia" w:hAnsi="Arial" w:cs="Arial"/>
          <w:i/>
          <w:iCs/>
          <w:sz w:val="24"/>
          <w:szCs w:val="24"/>
        </w:rPr>
        <w:t>Wales Journal of Education</w:t>
      </w:r>
      <w:r w:rsidRPr="00AC21C3">
        <w:rPr>
          <w:rFonts w:ascii="Arial" w:eastAsiaTheme="minorEastAsia" w:hAnsi="Arial" w:cs="Arial"/>
          <w:sz w:val="24"/>
          <w:szCs w:val="24"/>
        </w:rPr>
        <w:t xml:space="preserve">, 18(1), pp. 1-34. </w:t>
      </w:r>
    </w:p>
    <w:p w14:paraId="736D5F60" w14:textId="77777777" w:rsidR="00B711FC" w:rsidRPr="00AC21C3" w:rsidRDefault="00B711FC" w:rsidP="00B711FC">
      <w:pPr>
        <w:spacing w:line="360" w:lineRule="auto"/>
        <w:jc w:val="both"/>
        <w:rPr>
          <w:rFonts w:ascii="Arial" w:eastAsia="Calibri" w:hAnsi="Arial" w:cs="Arial"/>
          <w:sz w:val="24"/>
          <w:szCs w:val="24"/>
        </w:rPr>
      </w:pPr>
      <w:proofErr w:type="spellStart"/>
      <w:r w:rsidRPr="00AC21C3">
        <w:rPr>
          <w:rFonts w:ascii="Arial" w:eastAsiaTheme="minorEastAsia" w:hAnsi="Arial" w:cs="Arial"/>
          <w:sz w:val="24"/>
          <w:szCs w:val="24"/>
        </w:rPr>
        <w:lastRenderedPageBreak/>
        <w:t>Hoa</w:t>
      </w:r>
      <w:proofErr w:type="spellEnd"/>
      <w:r w:rsidRPr="00AC21C3">
        <w:rPr>
          <w:rFonts w:ascii="Arial" w:eastAsiaTheme="minorEastAsia" w:hAnsi="Arial" w:cs="Arial"/>
          <w:sz w:val="24"/>
          <w:szCs w:val="24"/>
        </w:rPr>
        <w:t>, D. Campbell-Barr, V. and Leeson, C. (2010) ‘</w:t>
      </w:r>
      <w:r w:rsidRPr="00AC21C3">
        <w:rPr>
          <w:rFonts w:ascii="Arial" w:eastAsia="Calibri" w:hAnsi="Arial" w:cs="Arial"/>
          <w:sz w:val="24"/>
          <w:szCs w:val="24"/>
        </w:rPr>
        <w:t xml:space="preserve">Quality improvement in early years settings in Hong Kong and England’, </w:t>
      </w:r>
      <w:r w:rsidRPr="00AC21C3">
        <w:rPr>
          <w:rFonts w:ascii="Arial" w:eastAsia="Calibri" w:hAnsi="Arial" w:cs="Arial"/>
          <w:i/>
          <w:iCs/>
          <w:sz w:val="24"/>
          <w:szCs w:val="24"/>
        </w:rPr>
        <w:t xml:space="preserve">International Journal of Early Years Education, </w:t>
      </w:r>
      <w:r w:rsidRPr="00AC21C3">
        <w:rPr>
          <w:rFonts w:ascii="Arial" w:eastAsia="Calibri" w:hAnsi="Arial" w:cs="Arial"/>
          <w:sz w:val="24"/>
          <w:szCs w:val="24"/>
        </w:rPr>
        <w:t>18(3), pp. 243-258. DOI: 10.1080/09669760.2010.524058</w:t>
      </w:r>
    </w:p>
    <w:p w14:paraId="45F0CF39" w14:textId="77777777" w:rsidR="00B711FC" w:rsidRPr="00AC21C3" w:rsidRDefault="00B711FC" w:rsidP="00B711FC">
      <w:pPr>
        <w:spacing w:line="360" w:lineRule="auto"/>
        <w:jc w:val="both"/>
        <w:rPr>
          <w:rFonts w:ascii="Arial" w:eastAsia="Calibri" w:hAnsi="Arial" w:cs="Arial"/>
          <w:sz w:val="24"/>
          <w:szCs w:val="24"/>
        </w:rPr>
      </w:pPr>
      <w:r w:rsidRPr="00AC21C3">
        <w:rPr>
          <w:rFonts w:ascii="Arial" w:eastAsia="Calibri" w:hAnsi="Arial" w:cs="Arial"/>
          <w:sz w:val="24"/>
          <w:szCs w:val="24"/>
        </w:rPr>
        <w:t xml:space="preserve">Howard, S. </w:t>
      </w:r>
      <w:r w:rsidRPr="00AC21C3">
        <w:rPr>
          <w:rFonts w:ascii="Arial" w:eastAsia="Calibri" w:hAnsi="Arial" w:cs="Arial"/>
          <w:i/>
          <w:iCs/>
          <w:sz w:val="24"/>
          <w:szCs w:val="24"/>
        </w:rPr>
        <w:t xml:space="preserve">et al </w:t>
      </w:r>
      <w:r w:rsidRPr="00AC21C3">
        <w:rPr>
          <w:rFonts w:ascii="Arial" w:eastAsia="Calibri" w:hAnsi="Arial" w:cs="Arial"/>
          <w:sz w:val="24"/>
          <w:szCs w:val="24"/>
        </w:rPr>
        <w:t xml:space="preserve">(2018) ‘Measuring interactional quality in pre-school settings: introduction and validation of the Sustained Shared Thinking and Emotional Wellbeing (SSTEW) scale’, </w:t>
      </w:r>
      <w:r w:rsidRPr="00AC21C3">
        <w:rPr>
          <w:rFonts w:ascii="Arial" w:eastAsia="Calibri" w:hAnsi="Arial" w:cs="Arial"/>
          <w:i/>
          <w:iCs/>
          <w:sz w:val="24"/>
          <w:szCs w:val="24"/>
        </w:rPr>
        <w:t xml:space="preserve">Early Child Development and Care, </w:t>
      </w:r>
      <w:r w:rsidRPr="00AC21C3">
        <w:rPr>
          <w:rFonts w:ascii="Arial" w:eastAsia="Calibri" w:hAnsi="Arial" w:cs="Arial"/>
          <w:sz w:val="24"/>
          <w:szCs w:val="24"/>
        </w:rPr>
        <w:t xml:space="preserve">190(3), pp. 1-14. DOI: 10.1080/03004430.2018.1511549. </w:t>
      </w:r>
    </w:p>
    <w:p w14:paraId="424AA688" w14:textId="77777777" w:rsidR="00B711FC" w:rsidRPr="00AC21C3" w:rsidRDefault="00B711FC" w:rsidP="00B711FC">
      <w:pPr>
        <w:spacing w:line="360" w:lineRule="auto"/>
        <w:jc w:val="both"/>
        <w:rPr>
          <w:rFonts w:ascii="Arial" w:eastAsiaTheme="minorEastAsia" w:hAnsi="Arial" w:cs="Arial"/>
          <w:sz w:val="24"/>
          <w:szCs w:val="24"/>
        </w:rPr>
      </w:pPr>
      <w:proofErr w:type="spellStart"/>
      <w:r w:rsidRPr="00AC21C3">
        <w:rPr>
          <w:rFonts w:ascii="Arial" w:eastAsiaTheme="minorEastAsia" w:hAnsi="Arial" w:cs="Arial"/>
          <w:sz w:val="24"/>
          <w:szCs w:val="24"/>
        </w:rPr>
        <w:t>Leana</w:t>
      </w:r>
      <w:proofErr w:type="spellEnd"/>
      <w:r w:rsidRPr="00AC21C3">
        <w:rPr>
          <w:rFonts w:ascii="Arial" w:eastAsiaTheme="minorEastAsia" w:hAnsi="Arial" w:cs="Arial"/>
          <w:sz w:val="24"/>
          <w:szCs w:val="24"/>
        </w:rPr>
        <w:t xml:space="preserve">, C. </w:t>
      </w:r>
      <w:proofErr w:type="spellStart"/>
      <w:r w:rsidRPr="00AC21C3">
        <w:rPr>
          <w:rFonts w:ascii="Arial" w:eastAsiaTheme="minorEastAsia" w:hAnsi="Arial" w:cs="Arial"/>
          <w:sz w:val="24"/>
          <w:szCs w:val="24"/>
        </w:rPr>
        <w:t>Appelbaum</w:t>
      </w:r>
      <w:proofErr w:type="spellEnd"/>
      <w:r w:rsidRPr="00AC21C3">
        <w:rPr>
          <w:rFonts w:ascii="Arial" w:eastAsiaTheme="minorEastAsia" w:hAnsi="Arial" w:cs="Arial"/>
          <w:sz w:val="24"/>
          <w:szCs w:val="24"/>
        </w:rPr>
        <w:t xml:space="preserve">, E. and </w:t>
      </w:r>
      <w:proofErr w:type="spellStart"/>
      <w:r w:rsidRPr="00AC21C3">
        <w:rPr>
          <w:rFonts w:ascii="Arial" w:eastAsiaTheme="minorEastAsia" w:hAnsi="Arial" w:cs="Arial"/>
          <w:sz w:val="24"/>
          <w:szCs w:val="24"/>
        </w:rPr>
        <w:t>Shevchuk</w:t>
      </w:r>
      <w:proofErr w:type="spellEnd"/>
      <w:r w:rsidRPr="00AC21C3">
        <w:rPr>
          <w:rFonts w:ascii="Arial" w:eastAsiaTheme="minorEastAsia" w:hAnsi="Arial" w:cs="Arial"/>
          <w:sz w:val="24"/>
          <w:szCs w:val="24"/>
        </w:rPr>
        <w:t xml:space="preserve">, I. (2009) ‘Work Process and Quality of Care in Early Childhood Education: The Role of Job Crafting’, </w:t>
      </w:r>
      <w:r w:rsidRPr="00AC21C3">
        <w:rPr>
          <w:rFonts w:ascii="Arial" w:eastAsiaTheme="minorEastAsia" w:hAnsi="Arial" w:cs="Arial"/>
          <w:i/>
          <w:iCs/>
          <w:sz w:val="24"/>
          <w:szCs w:val="24"/>
        </w:rPr>
        <w:t>Academy of Management Journal,</w:t>
      </w:r>
      <w:r w:rsidRPr="00AC21C3">
        <w:rPr>
          <w:rFonts w:ascii="Arial" w:eastAsiaTheme="minorEastAsia" w:hAnsi="Arial" w:cs="Arial"/>
          <w:sz w:val="24"/>
          <w:szCs w:val="24"/>
        </w:rPr>
        <w:t xml:space="preserve"> 52(6), pp. 1169-1192. DOI: 10.5465/AMJ.2009.47084651</w:t>
      </w:r>
    </w:p>
    <w:p w14:paraId="44E38DAB" w14:textId="77777777" w:rsidR="00B711FC" w:rsidRPr="00AC21C3" w:rsidRDefault="00B711FC" w:rsidP="00B711FC">
      <w:pPr>
        <w:spacing w:line="360" w:lineRule="auto"/>
        <w:jc w:val="both"/>
        <w:rPr>
          <w:rFonts w:ascii="Arial" w:eastAsia="Calibri" w:hAnsi="Arial" w:cs="Arial"/>
          <w:sz w:val="24"/>
          <w:szCs w:val="24"/>
        </w:rPr>
      </w:pPr>
      <w:r w:rsidRPr="00AC21C3">
        <w:rPr>
          <w:rFonts w:ascii="Arial" w:eastAsia="Calibri" w:hAnsi="Arial" w:cs="Arial"/>
          <w:sz w:val="24"/>
          <w:szCs w:val="24"/>
        </w:rPr>
        <w:t xml:space="preserve">Liu, K. (2015) ‘Critical reflection as a framework for transformative learning in teacher education’, </w:t>
      </w:r>
      <w:r w:rsidRPr="00AC21C3">
        <w:rPr>
          <w:rFonts w:ascii="Arial" w:eastAsia="Calibri" w:hAnsi="Arial" w:cs="Arial"/>
          <w:i/>
          <w:iCs/>
          <w:sz w:val="24"/>
          <w:szCs w:val="24"/>
        </w:rPr>
        <w:t xml:space="preserve">Educational Review, </w:t>
      </w:r>
      <w:r w:rsidRPr="00AC21C3">
        <w:rPr>
          <w:rFonts w:ascii="Arial" w:eastAsia="Calibri" w:hAnsi="Arial" w:cs="Arial"/>
          <w:sz w:val="24"/>
          <w:szCs w:val="24"/>
        </w:rPr>
        <w:t>67(2), pp. 135-157. DOI: 10.1080/00131911.2013.839546</w:t>
      </w:r>
    </w:p>
    <w:p w14:paraId="68BE9FED" w14:textId="77777777" w:rsidR="00B711FC" w:rsidRPr="00AC21C3" w:rsidRDefault="00B711FC" w:rsidP="00B711FC">
      <w:pPr>
        <w:spacing w:line="360" w:lineRule="auto"/>
        <w:jc w:val="both"/>
        <w:rPr>
          <w:rFonts w:ascii="Arial" w:eastAsiaTheme="minorEastAsia" w:hAnsi="Arial" w:cs="Arial"/>
          <w:sz w:val="24"/>
          <w:szCs w:val="24"/>
        </w:rPr>
      </w:pPr>
      <w:proofErr w:type="spellStart"/>
      <w:r w:rsidRPr="00AC21C3">
        <w:rPr>
          <w:rFonts w:ascii="Arial" w:eastAsiaTheme="minorEastAsia" w:hAnsi="Arial" w:cs="Arial"/>
          <w:sz w:val="24"/>
          <w:szCs w:val="24"/>
        </w:rPr>
        <w:t>Melhuish</w:t>
      </w:r>
      <w:proofErr w:type="spellEnd"/>
      <w:r w:rsidRPr="00AC21C3">
        <w:rPr>
          <w:rFonts w:ascii="Arial" w:eastAsiaTheme="minorEastAsia" w:hAnsi="Arial" w:cs="Arial"/>
          <w:sz w:val="24"/>
          <w:szCs w:val="24"/>
        </w:rPr>
        <w:t xml:space="preserve">, E. (2004) ‘A literature review of the impact of early years provision on young children, with emphasis given to children from disadvantaged backgrounds’, </w:t>
      </w:r>
      <w:r w:rsidRPr="00AC21C3">
        <w:rPr>
          <w:rFonts w:ascii="Arial" w:eastAsiaTheme="minorEastAsia" w:hAnsi="Arial" w:cs="Arial"/>
          <w:i/>
          <w:iCs/>
          <w:sz w:val="24"/>
          <w:szCs w:val="24"/>
        </w:rPr>
        <w:t xml:space="preserve">University of Wollongong, </w:t>
      </w:r>
      <w:r w:rsidRPr="00AC21C3">
        <w:rPr>
          <w:rFonts w:ascii="Arial" w:eastAsiaTheme="minorEastAsia" w:hAnsi="Arial" w:cs="Arial"/>
          <w:sz w:val="24"/>
          <w:szCs w:val="24"/>
        </w:rPr>
        <w:t>Available at: https://ro.uow.edu.au/cgi/viewcontent.cgi?article=2678&amp;context=sspapers (Accessed: 2 April 2022).</w:t>
      </w:r>
    </w:p>
    <w:p w14:paraId="740A39E3" w14:textId="77777777" w:rsidR="00B711FC" w:rsidRPr="00AC21C3" w:rsidRDefault="00B711FC" w:rsidP="00B711FC">
      <w:pPr>
        <w:spacing w:line="360" w:lineRule="auto"/>
        <w:jc w:val="both"/>
        <w:rPr>
          <w:rFonts w:ascii="Arial" w:eastAsia="Calibri" w:hAnsi="Arial" w:cs="Arial"/>
          <w:color w:val="000000" w:themeColor="text1"/>
          <w:sz w:val="24"/>
          <w:szCs w:val="24"/>
        </w:rPr>
      </w:pPr>
      <w:proofErr w:type="spellStart"/>
      <w:r w:rsidRPr="00AC21C3">
        <w:rPr>
          <w:rFonts w:ascii="Arial" w:eastAsia="Calibri" w:hAnsi="Arial" w:cs="Arial"/>
          <w:color w:val="000000" w:themeColor="text1"/>
          <w:sz w:val="24"/>
          <w:szCs w:val="24"/>
        </w:rPr>
        <w:t>Melhuish</w:t>
      </w:r>
      <w:proofErr w:type="spellEnd"/>
      <w:r w:rsidRPr="00AC21C3">
        <w:rPr>
          <w:rFonts w:ascii="Arial" w:eastAsia="Calibri" w:hAnsi="Arial" w:cs="Arial"/>
          <w:color w:val="000000" w:themeColor="text1"/>
          <w:sz w:val="24"/>
          <w:szCs w:val="24"/>
        </w:rPr>
        <w:t xml:space="preserve">, E. and Gardiner, J. (2019) ‘Structural Factors and Policy Change as Related to the Quality of Early Childhood Education and Care for 3–4 Year Olds in the UK’, </w:t>
      </w:r>
      <w:r w:rsidRPr="00AC21C3">
        <w:rPr>
          <w:rFonts w:ascii="Arial" w:eastAsia="Calibri" w:hAnsi="Arial" w:cs="Arial"/>
          <w:i/>
          <w:iCs/>
          <w:color w:val="000000" w:themeColor="text1"/>
          <w:sz w:val="24"/>
          <w:szCs w:val="24"/>
        </w:rPr>
        <w:t>Frontiers in Education</w:t>
      </w:r>
      <w:r w:rsidRPr="00AC21C3">
        <w:rPr>
          <w:rFonts w:ascii="Arial" w:eastAsia="Calibri" w:hAnsi="Arial" w:cs="Arial"/>
          <w:color w:val="000000" w:themeColor="text1"/>
          <w:sz w:val="24"/>
          <w:szCs w:val="24"/>
        </w:rPr>
        <w:t xml:space="preserve">, pp. 1-16. DOI: 10.3389/feduc.2019.00035. </w:t>
      </w:r>
    </w:p>
    <w:p w14:paraId="475B9DCB" w14:textId="77777777" w:rsidR="00B711FC" w:rsidRPr="00AC21C3" w:rsidRDefault="00B711FC" w:rsidP="00B711FC">
      <w:pPr>
        <w:spacing w:line="360" w:lineRule="auto"/>
        <w:jc w:val="both"/>
        <w:rPr>
          <w:rFonts w:ascii="Arial" w:eastAsia="Calibri" w:hAnsi="Arial" w:cs="Arial"/>
          <w:sz w:val="24"/>
          <w:szCs w:val="24"/>
        </w:rPr>
      </w:pPr>
      <w:proofErr w:type="spellStart"/>
      <w:r w:rsidRPr="00AC21C3">
        <w:rPr>
          <w:rFonts w:ascii="Arial" w:eastAsia="Calibri" w:hAnsi="Arial" w:cs="Arial"/>
          <w:sz w:val="24"/>
          <w:szCs w:val="24"/>
        </w:rPr>
        <w:t>Shandomo</w:t>
      </w:r>
      <w:proofErr w:type="spellEnd"/>
      <w:r w:rsidRPr="00AC21C3">
        <w:rPr>
          <w:rFonts w:ascii="Arial" w:eastAsia="Calibri" w:hAnsi="Arial" w:cs="Arial"/>
          <w:sz w:val="24"/>
          <w:szCs w:val="24"/>
        </w:rPr>
        <w:t xml:space="preserve">, H. (2010) ‘The Role of Critical Reflection in Teacher Education’, </w:t>
      </w:r>
      <w:r w:rsidRPr="00AC21C3">
        <w:rPr>
          <w:rFonts w:ascii="Arial" w:eastAsia="Calibri" w:hAnsi="Arial" w:cs="Arial"/>
          <w:i/>
          <w:iCs/>
          <w:sz w:val="24"/>
          <w:szCs w:val="24"/>
        </w:rPr>
        <w:t xml:space="preserve">School–University Partnerships, </w:t>
      </w:r>
      <w:r w:rsidRPr="00AC21C3">
        <w:rPr>
          <w:rFonts w:ascii="Arial" w:eastAsia="Calibri" w:hAnsi="Arial" w:cs="Arial"/>
          <w:sz w:val="24"/>
          <w:szCs w:val="24"/>
        </w:rPr>
        <w:t xml:space="preserve">4(1), pp. 101-113. Available at: https://files.eric.ed.gov/fulltext/EJ915885.pdf (Accessed: 3 April 2022). </w:t>
      </w:r>
    </w:p>
    <w:p w14:paraId="20C156FB" w14:textId="77777777" w:rsidR="00B711FC" w:rsidRPr="00AC21C3" w:rsidRDefault="00B711FC" w:rsidP="00B711FC">
      <w:pPr>
        <w:spacing w:line="360" w:lineRule="auto"/>
        <w:jc w:val="both"/>
        <w:rPr>
          <w:rFonts w:ascii="Arial" w:eastAsiaTheme="minorEastAsia" w:hAnsi="Arial" w:cs="Arial"/>
          <w:sz w:val="24"/>
          <w:szCs w:val="24"/>
          <w:vertAlign w:val="superscript"/>
        </w:rPr>
      </w:pPr>
      <w:r w:rsidRPr="00AC21C3">
        <w:rPr>
          <w:rFonts w:ascii="Arial" w:eastAsiaTheme="minorEastAsia" w:hAnsi="Arial" w:cs="Arial"/>
          <w:sz w:val="24"/>
          <w:szCs w:val="24"/>
        </w:rPr>
        <w:t xml:space="preserve">UNICEF (2022) </w:t>
      </w:r>
      <w:r w:rsidRPr="00AC21C3">
        <w:rPr>
          <w:rFonts w:ascii="Arial" w:eastAsiaTheme="minorEastAsia" w:hAnsi="Arial" w:cs="Arial"/>
          <w:i/>
          <w:iCs/>
          <w:sz w:val="24"/>
          <w:szCs w:val="24"/>
        </w:rPr>
        <w:t xml:space="preserve">Children’s Rights. </w:t>
      </w:r>
      <w:r w:rsidRPr="00AC21C3">
        <w:rPr>
          <w:rFonts w:ascii="Arial" w:eastAsiaTheme="minorEastAsia" w:hAnsi="Arial" w:cs="Arial"/>
          <w:sz w:val="24"/>
          <w:szCs w:val="24"/>
        </w:rPr>
        <w:t>Available at: https://www.unicef.org.uk/rights-respecting-schools/the-rrsa/introducing-the-crc/ (Accessed: 2 April 2022).</w:t>
      </w:r>
    </w:p>
    <w:p w14:paraId="343293AE" w14:textId="77777777" w:rsidR="00B711FC" w:rsidRPr="00AC21C3" w:rsidRDefault="00B711FC" w:rsidP="00B711FC">
      <w:pPr>
        <w:spacing w:line="360" w:lineRule="auto"/>
        <w:jc w:val="both"/>
        <w:rPr>
          <w:rFonts w:ascii="Arial" w:eastAsiaTheme="minorEastAsia" w:hAnsi="Arial" w:cs="Arial"/>
          <w:sz w:val="24"/>
          <w:szCs w:val="24"/>
        </w:rPr>
      </w:pPr>
      <w:r w:rsidRPr="00AC21C3">
        <w:rPr>
          <w:rFonts w:ascii="Arial" w:eastAsiaTheme="minorEastAsia" w:hAnsi="Arial" w:cs="Arial"/>
          <w:sz w:val="24"/>
          <w:szCs w:val="24"/>
        </w:rPr>
        <w:t xml:space="preserve">UNICEF (2022) </w:t>
      </w:r>
      <w:proofErr w:type="gramStart"/>
      <w:r w:rsidRPr="00AC21C3">
        <w:rPr>
          <w:rFonts w:ascii="Arial" w:eastAsiaTheme="minorEastAsia" w:hAnsi="Arial" w:cs="Arial"/>
          <w:i/>
          <w:iCs/>
          <w:sz w:val="24"/>
          <w:szCs w:val="24"/>
        </w:rPr>
        <w:t>The</w:t>
      </w:r>
      <w:proofErr w:type="gramEnd"/>
      <w:r w:rsidRPr="00AC21C3">
        <w:rPr>
          <w:rFonts w:ascii="Arial" w:eastAsiaTheme="minorEastAsia" w:hAnsi="Arial" w:cs="Arial"/>
          <w:i/>
          <w:iCs/>
          <w:sz w:val="24"/>
          <w:szCs w:val="24"/>
        </w:rPr>
        <w:t xml:space="preserve"> Right to Education. </w:t>
      </w:r>
      <w:r w:rsidRPr="00AC21C3">
        <w:rPr>
          <w:rFonts w:ascii="Arial" w:eastAsiaTheme="minorEastAsia" w:hAnsi="Arial" w:cs="Arial"/>
          <w:sz w:val="24"/>
          <w:szCs w:val="24"/>
        </w:rPr>
        <w:t xml:space="preserve">Available at: https://www.unicef.org.uk/rights-respecting-schools/the-rrsa/the-right-to-education/ (Accessed: 2 April 2022). </w:t>
      </w:r>
    </w:p>
    <w:p w14:paraId="13585268" w14:textId="77777777" w:rsidR="00B711FC" w:rsidRDefault="00B711FC" w:rsidP="00B711FC">
      <w:pPr>
        <w:spacing w:line="360" w:lineRule="auto"/>
        <w:jc w:val="both"/>
        <w:rPr>
          <w:rFonts w:ascii="Arial" w:eastAsiaTheme="minorEastAsia" w:hAnsi="Arial" w:cs="Arial"/>
          <w:sz w:val="24"/>
          <w:szCs w:val="24"/>
        </w:rPr>
      </w:pPr>
      <w:r w:rsidRPr="00AC21C3">
        <w:rPr>
          <w:rFonts w:ascii="Arial" w:eastAsiaTheme="minorEastAsia" w:hAnsi="Arial" w:cs="Arial"/>
          <w:sz w:val="24"/>
          <w:szCs w:val="24"/>
        </w:rPr>
        <w:lastRenderedPageBreak/>
        <w:t xml:space="preserve">Welsh Government (2022) </w:t>
      </w:r>
      <w:r w:rsidRPr="00AC21C3">
        <w:rPr>
          <w:rFonts w:ascii="Arial" w:eastAsiaTheme="minorEastAsia" w:hAnsi="Arial" w:cs="Arial"/>
          <w:i/>
          <w:iCs/>
          <w:sz w:val="24"/>
          <w:szCs w:val="24"/>
        </w:rPr>
        <w:t xml:space="preserve">Children’s Rights in Wales. </w:t>
      </w:r>
      <w:r w:rsidRPr="00AC21C3">
        <w:rPr>
          <w:rFonts w:ascii="Arial" w:eastAsiaTheme="minorEastAsia" w:hAnsi="Arial" w:cs="Arial"/>
          <w:sz w:val="24"/>
          <w:szCs w:val="24"/>
        </w:rPr>
        <w:t xml:space="preserve">Available at: https://gov.wales/childrens-rights-in-wales </w:t>
      </w:r>
      <w:r w:rsidRPr="00AC21C3">
        <w:rPr>
          <w:rFonts w:ascii="Arial" w:eastAsiaTheme="minorEastAsia" w:hAnsi="Arial" w:cs="Arial"/>
          <w:i/>
          <w:iCs/>
          <w:sz w:val="24"/>
          <w:szCs w:val="24"/>
        </w:rPr>
        <w:t>(</w:t>
      </w:r>
      <w:r w:rsidRPr="00AC21C3">
        <w:rPr>
          <w:rFonts w:ascii="Arial" w:eastAsiaTheme="minorEastAsia" w:hAnsi="Arial" w:cs="Arial"/>
          <w:sz w:val="24"/>
          <w:szCs w:val="24"/>
        </w:rPr>
        <w:t xml:space="preserve">Accessed: 2 April 2022). </w:t>
      </w:r>
    </w:p>
    <w:p w14:paraId="3E5E0B3D" w14:textId="77777777" w:rsidR="00B711FC" w:rsidRDefault="00B711FC" w:rsidP="00B711FC">
      <w:pPr>
        <w:spacing w:line="360" w:lineRule="auto"/>
        <w:jc w:val="both"/>
        <w:rPr>
          <w:rFonts w:ascii="Arial" w:eastAsiaTheme="minorEastAsia" w:hAnsi="Arial" w:cs="Arial"/>
          <w:sz w:val="24"/>
          <w:szCs w:val="24"/>
        </w:rPr>
      </w:pPr>
    </w:p>
    <w:p w14:paraId="38E20A7D" w14:textId="77777777" w:rsidR="00B711FC" w:rsidRDefault="00B711FC" w:rsidP="00B711FC">
      <w:pPr>
        <w:spacing w:line="360" w:lineRule="auto"/>
        <w:jc w:val="center"/>
        <w:rPr>
          <w:rFonts w:ascii="Arial" w:eastAsiaTheme="minorEastAsia" w:hAnsi="Arial" w:cs="Arial"/>
          <w:sz w:val="24"/>
          <w:szCs w:val="24"/>
          <w:u w:val="single"/>
        </w:rPr>
      </w:pPr>
      <w:r w:rsidRPr="00AC21C3">
        <w:rPr>
          <w:rFonts w:ascii="Arial" w:eastAsiaTheme="minorEastAsia" w:hAnsi="Arial" w:cs="Arial"/>
          <w:sz w:val="24"/>
          <w:szCs w:val="24"/>
          <w:u w:val="single"/>
        </w:rPr>
        <w:t>Script Reference List</w:t>
      </w:r>
    </w:p>
    <w:p w14:paraId="52B92364"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sz w:val="24"/>
        </w:rPr>
        <w:t xml:space="preserve">Care Inspectorate Wales (2022) </w:t>
      </w:r>
      <w:proofErr w:type="gramStart"/>
      <w:r w:rsidRPr="0059743F">
        <w:rPr>
          <w:rFonts w:ascii="Arial" w:eastAsia="Calibri" w:hAnsi="Arial" w:cs="Arial"/>
          <w:i/>
          <w:iCs/>
          <w:sz w:val="24"/>
        </w:rPr>
        <w:t>What</w:t>
      </w:r>
      <w:proofErr w:type="gramEnd"/>
      <w:r w:rsidRPr="0059743F">
        <w:rPr>
          <w:rFonts w:ascii="Arial" w:eastAsia="Calibri" w:hAnsi="Arial" w:cs="Arial"/>
          <w:i/>
          <w:iCs/>
          <w:sz w:val="24"/>
        </w:rPr>
        <w:t xml:space="preserve"> we do. </w:t>
      </w:r>
      <w:r w:rsidRPr="0059743F">
        <w:rPr>
          <w:rFonts w:ascii="Arial" w:eastAsia="Calibri" w:hAnsi="Arial" w:cs="Arial"/>
          <w:sz w:val="24"/>
        </w:rPr>
        <w:t xml:space="preserve">Available at: https://careinspectorate.wales/about-us/what-we-do (Accessed: 1 April 2022). </w:t>
      </w:r>
    </w:p>
    <w:p w14:paraId="238FA632"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sz w:val="24"/>
        </w:rPr>
        <w:t xml:space="preserve">Education Wales (2016) </w:t>
      </w:r>
      <w:r w:rsidRPr="0059743F">
        <w:rPr>
          <w:rFonts w:ascii="Arial" w:eastAsia="Calibri" w:hAnsi="Arial" w:cs="Arial"/>
          <w:i/>
          <w:iCs/>
          <w:sz w:val="24"/>
        </w:rPr>
        <w:t xml:space="preserve">National Minimum Standards for Regulated Childcare for children up to the age of 12 years. </w:t>
      </w:r>
      <w:r w:rsidRPr="0059743F">
        <w:rPr>
          <w:rFonts w:ascii="Arial" w:eastAsia="Calibri" w:hAnsi="Arial" w:cs="Arial"/>
          <w:sz w:val="24"/>
        </w:rPr>
        <w:t xml:space="preserve">Available at: https://careinspectorate.wales/sites/default/files/2018-01/160411regchildcareen.pdf (Accessed 1 April 2022). </w:t>
      </w:r>
    </w:p>
    <w:p w14:paraId="58E79119"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sz w:val="24"/>
        </w:rPr>
        <w:t xml:space="preserve">Harris, R. </w:t>
      </w:r>
      <w:r w:rsidRPr="0059743F">
        <w:rPr>
          <w:rFonts w:ascii="Arial" w:eastAsia="Calibri" w:hAnsi="Arial" w:cs="Arial"/>
          <w:i/>
          <w:iCs/>
          <w:sz w:val="24"/>
        </w:rPr>
        <w:t xml:space="preserve">et al. </w:t>
      </w:r>
      <w:r w:rsidRPr="0059743F">
        <w:rPr>
          <w:rFonts w:ascii="Arial" w:eastAsia="Calibri" w:hAnsi="Arial" w:cs="Arial"/>
          <w:sz w:val="24"/>
        </w:rPr>
        <w:t>(2001)</w:t>
      </w:r>
      <w:r w:rsidRPr="0059743F">
        <w:rPr>
          <w:rFonts w:ascii="Arial" w:eastAsia="Calibri" w:hAnsi="Arial" w:cs="Arial"/>
          <w:i/>
          <w:iCs/>
          <w:sz w:val="24"/>
        </w:rPr>
        <w:t xml:space="preserve"> </w:t>
      </w:r>
      <w:proofErr w:type="gramStart"/>
      <w:r w:rsidRPr="0059743F">
        <w:rPr>
          <w:rFonts w:ascii="Arial" w:eastAsia="Calibri" w:hAnsi="Arial" w:cs="Arial"/>
          <w:i/>
          <w:iCs/>
          <w:sz w:val="24"/>
        </w:rPr>
        <w:t>The</w:t>
      </w:r>
      <w:proofErr w:type="gramEnd"/>
      <w:r w:rsidRPr="0059743F">
        <w:rPr>
          <w:rFonts w:ascii="Arial" w:eastAsia="Calibri" w:hAnsi="Arial" w:cs="Arial"/>
          <w:i/>
          <w:iCs/>
          <w:sz w:val="24"/>
        </w:rPr>
        <w:t xml:space="preserve"> changing role of staff development for teachers and trainers in vocational education and training.</w:t>
      </w:r>
      <w:r w:rsidRPr="0059743F">
        <w:rPr>
          <w:rFonts w:ascii="Arial" w:eastAsia="Calibri" w:hAnsi="Arial" w:cs="Arial"/>
          <w:sz w:val="24"/>
        </w:rPr>
        <w:t xml:space="preserve"> </w:t>
      </w:r>
      <w:proofErr w:type="spellStart"/>
      <w:r w:rsidRPr="0059743F">
        <w:rPr>
          <w:rFonts w:ascii="Arial" w:eastAsia="Calibri" w:hAnsi="Arial" w:cs="Arial"/>
          <w:sz w:val="24"/>
        </w:rPr>
        <w:t>Leabrook</w:t>
      </w:r>
      <w:proofErr w:type="spellEnd"/>
      <w:r w:rsidRPr="0059743F">
        <w:rPr>
          <w:rFonts w:ascii="Arial" w:eastAsia="Calibri" w:hAnsi="Arial" w:cs="Arial"/>
          <w:sz w:val="24"/>
        </w:rPr>
        <w:t>: NCVER.</w:t>
      </w:r>
    </w:p>
    <w:p w14:paraId="46B64A1E" w14:textId="77777777" w:rsidR="00B711FC" w:rsidRPr="0059743F" w:rsidRDefault="00B711FC" w:rsidP="00B711FC">
      <w:pPr>
        <w:spacing w:line="360" w:lineRule="auto"/>
        <w:jc w:val="both"/>
        <w:rPr>
          <w:rFonts w:ascii="Arial" w:eastAsia="Calibri" w:hAnsi="Arial" w:cs="Arial"/>
          <w:sz w:val="24"/>
        </w:rPr>
      </w:pPr>
      <w:proofErr w:type="spellStart"/>
      <w:r w:rsidRPr="0059743F">
        <w:rPr>
          <w:rFonts w:ascii="Arial" w:eastAsia="Calibri" w:hAnsi="Arial" w:cs="Arial"/>
          <w:sz w:val="24"/>
        </w:rPr>
        <w:t>Maduenyi</w:t>
      </w:r>
      <w:proofErr w:type="spellEnd"/>
      <w:r w:rsidRPr="0059743F">
        <w:rPr>
          <w:rFonts w:ascii="Arial" w:eastAsia="Calibri" w:hAnsi="Arial" w:cs="Arial"/>
          <w:sz w:val="24"/>
        </w:rPr>
        <w:t xml:space="preserve">, S. </w:t>
      </w:r>
      <w:r w:rsidRPr="0059743F">
        <w:rPr>
          <w:rFonts w:ascii="Arial" w:eastAsia="Calibri" w:hAnsi="Arial" w:cs="Arial"/>
          <w:i/>
          <w:iCs/>
          <w:sz w:val="24"/>
        </w:rPr>
        <w:t>et al. (</w:t>
      </w:r>
      <w:r w:rsidRPr="0059743F">
        <w:rPr>
          <w:rFonts w:ascii="Arial" w:eastAsia="Calibri" w:hAnsi="Arial" w:cs="Arial"/>
          <w:sz w:val="24"/>
        </w:rPr>
        <w:t xml:space="preserve">2015) 'Impact of </w:t>
      </w:r>
      <w:proofErr w:type="spellStart"/>
      <w:r w:rsidRPr="0059743F">
        <w:rPr>
          <w:rFonts w:ascii="Arial" w:eastAsia="Calibri" w:hAnsi="Arial" w:cs="Arial"/>
          <w:sz w:val="24"/>
        </w:rPr>
        <w:t>Organisational</w:t>
      </w:r>
      <w:proofErr w:type="spellEnd"/>
      <w:r w:rsidRPr="0059743F">
        <w:rPr>
          <w:rFonts w:ascii="Arial" w:eastAsia="Calibri" w:hAnsi="Arial" w:cs="Arial"/>
          <w:sz w:val="24"/>
        </w:rPr>
        <w:t xml:space="preserve"> Structure on </w:t>
      </w:r>
      <w:proofErr w:type="spellStart"/>
      <w:r w:rsidRPr="0059743F">
        <w:rPr>
          <w:rFonts w:ascii="Arial" w:eastAsia="Calibri" w:hAnsi="Arial" w:cs="Arial"/>
          <w:sz w:val="24"/>
        </w:rPr>
        <w:t>Organisational</w:t>
      </w:r>
      <w:proofErr w:type="spellEnd"/>
      <w:r w:rsidRPr="0059743F">
        <w:rPr>
          <w:rFonts w:ascii="Arial" w:eastAsia="Calibri" w:hAnsi="Arial" w:cs="Arial"/>
          <w:sz w:val="24"/>
        </w:rPr>
        <w:t xml:space="preserve"> Performance’, </w:t>
      </w:r>
      <w:r w:rsidRPr="0059743F">
        <w:rPr>
          <w:rFonts w:ascii="Arial" w:eastAsia="Calibri" w:hAnsi="Arial" w:cs="Arial"/>
          <w:i/>
          <w:iCs/>
          <w:sz w:val="24"/>
        </w:rPr>
        <w:t xml:space="preserve">International Conference on African Development Issues. </w:t>
      </w:r>
      <w:r w:rsidRPr="0059743F">
        <w:rPr>
          <w:rFonts w:ascii="Arial" w:eastAsia="Calibri" w:hAnsi="Arial" w:cs="Arial"/>
          <w:sz w:val="24"/>
        </w:rPr>
        <w:t>Available at: http://eprints.covenantuniversity.edu.ng/5296/1/Paper%20140.pdf (Accessed: 1 April 2022)</w:t>
      </w:r>
    </w:p>
    <w:p w14:paraId="5A46392A" w14:textId="77777777" w:rsidR="00B711FC" w:rsidRPr="0059743F" w:rsidRDefault="00B711FC" w:rsidP="00B711FC">
      <w:pPr>
        <w:spacing w:line="360" w:lineRule="auto"/>
        <w:jc w:val="both"/>
        <w:rPr>
          <w:rFonts w:ascii="Arial" w:eastAsia="Calibri" w:hAnsi="Arial" w:cs="Arial"/>
          <w:sz w:val="24"/>
        </w:rPr>
      </w:pPr>
      <w:proofErr w:type="spellStart"/>
      <w:r w:rsidRPr="0059743F">
        <w:rPr>
          <w:rFonts w:ascii="Arial" w:eastAsia="Calibri" w:hAnsi="Arial" w:cs="Arial"/>
          <w:sz w:val="24"/>
        </w:rPr>
        <w:t>Maisey</w:t>
      </w:r>
      <w:proofErr w:type="spellEnd"/>
      <w:r w:rsidRPr="0059743F">
        <w:rPr>
          <w:rFonts w:ascii="Arial" w:eastAsia="Calibri" w:hAnsi="Arial" w:cs="Arial"/>
          <w:sz w:val="24"/>
        </w:rPr>
        <w:t>, D. (2018) ‘</w:t>
      </w:r>
      <w:proofErr w:type="gramStart"/>
      <w:r w:rsidRPr="0059743F">
        <w:rPr>
          <w:rFonts w:ascii="Arial" w:eastAsia="Calibri" w:hAnsi="Arial" w:cs="Arial"/>
          <w:sz w:val="24"/>
        </w:rPr>
        <w:t>Early</w:t>
      </w:r>
      <w:proofErr w:type="gramEnd"/>
      <w:r w:rsidRPr="0059743F">
        <w:rPr>
          <w:rFonts w:ascii="Arial" w:eastAsia="Calibri" w:hAnsi="Arial" w:cs="Arial"/>
          <w:sz w:val="24"/>
        </w:rPr>
        <w:t xml:space="preserve"> years safeguarding and child protection in practice: An enquiry into the experiences of newly qualified practitioners’, </w:t>
      </w:r>
      <w:proofErr w:type="spellStart"/>
      <w:r w:rsidRPr="0059743F">
        <w:rPr>
          <w:rFonts w:ascii="Arial" w:eastAsia="Calibri" w:hAnsi="Arial" w:cs="Arial"/>
          <w:i/>
          <w:iCs/>
          <w:sz w:val="24"/>
        </w:rPr>
        <w:t>EdD</w:t>
      </w:r>
      <w:proofErr w:type="spellEnd"/>
      <w:r w:rsidRPr="0059743F">
        <w:rPr>
          <w:rFonts w:ascii="Arial" w:eastAsia="Calibri" w:hAnsi="Arial" w:cs="Arial"/>
          <w:i/>
          <w:iCs/>
          <w:sz w:val="24"/>
        </w:rPr>
        <w:t xml:space="preserve"> Kingston University. </w:t>
      </w:r>
      <w:r w:rsidRPr="0059743F">
        <w:rPr>
          <w:rFonts w:ascii="Arial" w:eastAsia="Calibri" w:hAnsi="Arial" w:cs="Arial"/>
          <w:sz w:val="24"/>
        </w:rPr>
        <w:t xml:space="preserve">Available at: https://eprints.kingston.ac.uk/id/eprint/45038/1/Maisey-D-45038.pdf </w:t>
      </w:r>
    </w:p>
    <w:p w14:paraId="530BD90C" w14:textId="77777777" w:rsidR="00B711FC" w:rsidRPr="0059743F" w:rsidRDefault="00B711FC" w:rsidP="00B711FC">
      <w:pPr>
        <w:spacing w:line="360" w:lineRule="auto"/>
        <w:jc w:val="both"/>
        <w:rPr>
          <w:rFonts w:ascii="Arial" w:eastAsia="Open Sans" w:hAnsi="Arial" w:cs="Arial"/>
          <w:szCs w:val="21"/>
        </w:rPr>
      </w:pPr>
      <w:r w:rsidRPr="0059743F">
        <w:rPr>
          <w:rFonts w:ascii="Arial" w:hAnsi="Arial" w:cs="Arial"/>
          <w:sz w:val="24"/>
        </w:rPr>
        <w:t xml:space="preserve">Murdoch-Eaton, D. and </w:t>
      </w:r>
      <w:proofErr w:type="spellStart"/>
      <w:r w:rsidRPr="0059743F">
        <w:rPr>
          <w:rFonts w:ascii="Arial" w:hAnsi="Arial" w:cs="Arial"/>
          <w:sz w:val="24"/>
        </w:rPr>
        <w:t>Sandars</w:t>
      </w:r>
      <w:proofErr w:type="spellEnd"/>
      <w:r w:rsidRPr="0059743F">
        <w:rPr>
          <w:rFonts w:ascii="Arial" w:hAnsi="Arial" w:cs="Arial"/>
          <w:sz w:val="24"/>
        </w:rPr>
        <w:t>, J. (2013) ‘</w:t>
      </w:r>
      <w:r w:rsidRPr="0059743F">
        <w:rPr>
          <w:rFonts w:ascii="Arial" w:eastAsia="Calibri" w:hAnsi="Arial" w:cs="Arial"/>
          <w:sz w:val="24"/>
        </w:rPr>
        <w:t xml:space="preserve">Reflection - moving from a mandatory ritual to meaningful professional development’, </w:t>
      </w:r>
      <w:r w:rsidRPr="0059743F">
        <w:rPr>
          <w:rFonts w:ascii="Arial" w:eastAsia="Calibri" w:hAnsi="Arial" w:cs="Arial"/>
          <w:i/>
          <w:iCs/>
          <w:sz w:val="24"/>
        </w:rPr>
        <w:t xml:space="preserve">White Rose Research Online. </w:t>
      </w:r>
      <w:r w:rsidRPr="0059743F">
        <w:rPr>
          <w:rFonts w:ascii="Arial" w:eastAsia="Calibri" w:hAnsi="Arial" w:cs="Arial"/>
          <w:sz w:val="24"/>
        </w:rPr>
        <w:t>DOI: 10.1136/archdischild-2013-303948</w:t>
      </w:r>
    </w:p>
    <w:p w14:paraId="08928491"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sz w:val="24"/>
        </w:rPr>
        <w:t xml:space="preserve">Nene, S. and Pillay, A. (2019) ‘An Investigation of the Impact of </w:t>
      </w:r>
      <w:proofErr w:type="spellStart"/>
      <w:r w:rsidRPr="0059743F">
        <w:rPr>
          <w:rFonts w:ascii="Arial" w:eastAsia="Calibri" w:hAnsi="Arial" w:cs="Arial"/>
          <w:sz w:val="24"/>
        </w:rPr>
        <w:t>Organisational</w:t>
      </w:r>
      <w:proofErr w:type="spellEnd"/>
      <w:r w:rsidRPr="0059743F">
        <w:rPr>
          <w:rFonts w:ascii="Arial" w:eastAsia="Calibri" w:hAnsi="Arial" w:cs="Arial"/>
          <w:sz w:val="24"/>
        </w:rPr>
        <w:t xml:space="preserve"> Structure on </w:t>
      </w:r>
      <w:proofErr w:type="spellStart"/>
      <w:r w:rsidRPr="0059743F">
        <w:rPr>
          <w:rFonts w:ascii="Arial" w:eastAsia="Calibri" w:hAnsi="Arial" w:cs="Arial"/>
          <w:sz w:val="24"/>
        </w:rPr>
        <w:t>Organisational</w:t>
      </w:r>
      <w:proofErr w:type="spellEnd"/>
      <w:r w:rsidRPr="0059743F">
        <w:rPr>
          <w:rFonts w:ascii="Arial" w:eastAsia="Calibri" w:hAnsi="Arial" w:cs="Arial"/>
          <w:sz w:val="24"/>
        </w:rPr>
        <w:t xml:space="preserve"> performance’, </w:t>
      </w:r>
      <w:r w:rsidRPr="0059743F">
        <w:rPr>
          <w:rFonts w:ascii="Arial" w:eastAsia="Calibri" w:hAnsi="Arial" w:cs="Arial"/>
          <w:i/>
          <w:iCs/>
          <w:sz w:val="24"/>
        </w:rPr>
        <w:t>Financial Risk and Management Reviews</w:t>
      </w:r>
      <w:r w:rsidRPr="0059743F">
        <w:rPr>
          <w:rFonts w:ascii="Arial" w:eastAsia="Calibri" w:hAnsi="Arial" w:cs="Arial"/>
          <w:sz w:val="24"/>
        </w:rPr>
        <w:t>, 5(1), pp. 10-24. DOI: 10.18488/journal.89.2019.51.10.24</w:t>
      </w:r>
    </w:p>
    <w:p w14:paraId="77F47508"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sz w:val="24"/>
        </w:rPr>
        <w:lastRenderedPageBreak/>
        <w:t xml:space="preserve">Nesbit, T. (2003) ‘Learning for Change: Staff Training, Leadership Development, and Union Transformation’, </w:t>
      </w:r>
      <w:r w:rsidRPr="0059743F">
        <w:rPr>
          <w:rFonts w:ascii="Arial" w:eastAsia="Calibri" w:hAnsi="Arial" w:cs="Arial"/>
          <w:i/>
          <w:iCs/>
          <w:sz w:val="24"/>
        </w:rPr>
        <w:t xml:space="preserve">Labor Studies Journal, </w:t>
      </w:r>
      <w:r w:rsidRPr="0059743F">
        <w:rPr>
          <w:rFonts w:ascii="Arial" w:eastAsia="Calibri" w:hAnsi="Arial" w:cs="Arial"/>
          <w:sz w:val="24"/>
        </w:rPr>
        <w:t>28(1), pp. 109-132. DOI: 10.1177/0160449X0302800106</w:t>
      </w:r>
    </w:p>
    <w:p w14:paraId="783AA33F"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i/>
          <w:iCs/>
          <w:sz w:val="24"/>
        </w:rPr>
        <w:t xml:space="preserve">Social Services and Well-Being (Wales) Act 2014 </w:t>
      </w:r>
      <w:r w:rsidRPr="0059743F">
        <w:rPr>
          <w:rFonts w:ascii="Arial" w:eastAsia="Calibri" w:hAnsi="Arial" w:cs="Arial"/>
          <w:sz w:val="24"/>
        </w:rPr>
        <w:t>(</w:t>
      </w:r>
      <w:proofErr w:type="spellStart"/>
      <w:r w:rsidRPr="0059743F">
        <w:rPr>
          <w:rFonts w:ascii="Arial" w:eastAsia="Calibri" w:hAnsi="Arial" w:cs="Arial"/>
          <w:sz w:val="24"/>
        </w:rPr>
        <w:t>Anaw</w:t>
      </w:r>
      <w:proofErr w:type="spellEnd"/>
      <w:r w:rsidRPr="0059743F">
        <w:rPr>
          <w:rFonts w:ascii="Arial" w:eastAsia="Calibri" w:hAnsi="Arial" w:cs="Arial"/>
          <w:sz w:val="24"/>
        </w:rPr>
        <w:t xml:space="preserve"> 4). Available at: https://www.legislation.gov.uk/anaw/2014/4/contents (Accessed (1 April 2022)</w:t>
      </w:r>
    </w:p>
    <w:p w14:paraId="7C95A517" w14:textId="77777777" w:rsidR="00B711FC" w:rsidRPr="0059743F" w:rsidRDefault="00B711FC" w:rsidP="00B711FC">
      <w:pPr>
        <w:spacing w:line="360" w:lineRule="auto"/>
        <w:jc w:val="both"/>
        <w:rPr>
          <w:rFonts w:ascii="Arial" w:eastAsia="Calibri" w:hAnsi="Arial" w:cs="Arial"/>
          <w:sz w:val="24"/>
        </w:rPr>
      </w:pPr>
      <w:r w:rsidRPr="0059743F">
        <w:rPr>
          <w:rFonts w:ascii="Arial" w:eastAsia="Calibri" w:hAnsi="Arial" w:cs="Arial"/>
          <w:i/>
          <w:iCs/>
          <w:sz w:val="24"/>
        </w:rPr>
        <w:t xml:space="preserve">The Child Minding and Day Care (Wales) Regulations 2010 </w:t>
      </w:r>
      <w:r w:rsidRPr="0059743F">
        <w:rPr>
          <w:rFonts w:ascii="Arial" w:eastAsia="Calibri" w:hAnsi="Arial" w:cs="Arial"/>
          <w:sz w:val="24"/>
        </w:rPr>
        <w:t>(SI 2010/2574 (W.214)). Available at: https://www.legislation.gov.uk/wsi/2010/2574/made (Accessed: 1 April 2022).</w:t>
      </w:r>
    </w:p>
    <w:p w14:paraId="13EB5147" w14:textId="77777777" w:rsidR="00B711FC" w:rsidRPr="0059743F" w:rsidRDefault="00B711FC" w:rsidP="00B711FC">
      <w:pPr>
        <w:spacing w:line="360" w:lineRule="auto"/>
        <w:jc w:val="both"/>
        <w:rPr>
          <w:rFonts w:ascii="Arial" w:eastAsia="Calibri" w:hAnsi="Arial" w:cs="Arial"/>
          <w:i/>
          <w:iCs/>
          <w:sz w:val="24"/>
        </w:rPr>
      </w:pPr>
      <w:r w:rsidRPr="0059743F">
        <w:rPr>
          <w:rFonts w:ascii="Arial" w:eastAsia="Calibri" w:hAnsi="Arial" w:cs="Arial"/>
          <w:sz w:val="24"/>
        </w:rPr>
        <w:t>Ward, H. And Brown, R. (2013) ‘Safeguarding Children in the Early Years’, in Pugh, G. and Duffy, B. (6</w:t>
      </w:r>
      <w:r w:rsidRPr="0059743F">
        <w:rPr>
          <w:rFonts w:ascii="Arial" w:eastAsia="Calibri" w:hAnsi="Arial" w:cs="Arial"/>
          <w:sz w:val="24"/>
          <w:vertAlign w:val="superscript"/>
        </w:rPr>
        <w:t>th</w:t>
      </w:r>
      <w:r w:rsidRPr="0059743F">
        <w:rPr>
          <w:rFonts w:ascii="Arial" w:eastAsia="Calibri" w:hAnsi="Arial" w:cs="Arial"/>
          <w:sz w:val="24"/>
        </w:rPr>
        <w:t xml:space="preserve"> </w:t>
      </w:r>
      <w:proofErr w:type="gramStart"/>
      <w:r w:rsidRPr="0059743F">
        <w:rPr>
          <w:rFonts w:ascii="Arial" w:eastAsia="Calibri" w:hAnsi="Arial" w:cs="Arial"/>
          <w:sz w:val="24"/>
        </w:rPr>
        <w:t>ed</w:t>
      </w:r>
      <w:proofErr w:type="gramEnd"/>
      <w:r w:rsidRPr="0059743F">
        <w:rPr>
          <w:rFonts w:ascii="Arial" w:eastAsia="Calibri" w:hAnsi="Arial" w:cs="Arial"/>
          <w:sz w:val="24"/>
        </w:rPr>
        <w:t xml:space="preserve">.) </w:t>
      </w:r>
      <w:r w:rsidRPr="0059743F">
        <w:rPr>
          <w:rFonts w:ascii="Arial" w:eastAsia="Calibri" w:hAnsi="Arial" w:cs="Arial"/>
          <w:i/>
          <w:iCs/>
          <w:sz w:val="24"/>
        </w:rPr>
        <w:t xml:space="preserve">Contemporary Issues in the Early Years. </w:t>
      </w:r>
      <w:r w:rsidRPr="0059743F">
        <w:rPr>
          <w:rFonts w:ascii="Arial" w:eastAsia="Calibri" w:hAnsi="Arial" w:cs="Arial"/>
          <w:sz w:val="24"/>
        </w:rPr>
        <w:t>London: SAGE Publications</w:t>
      </w:r>
    </w:p>
    <w:p w14:paraId="44AD59F4" w14:textId="77777777" w:rsidR="00B711FC" w:rsidRPr="00B711FC" w:rsidRDefault="00B711FC" w:rsidP="00B711FC">
      <w:pPr>
        <w:spacing w:line="360" w:lineRule="auto"/>
        <w:jc w:val="both"/>
        <w:rPr>
          <w:rFonts w:ascii="Arial" w:eastAsia="Times New Roman" w:hAnsi="Arial" w:cs="Arial"/>
          <w:sz w:val="24"/>
          <w:szCs w:val="24"/>
        </w:rPr>
      </w:pPr>
    </w:p>
    <w:sectPr w:rsidR="00B711FC" w:rsidRPr="00B711FC">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AF8879" w14:textId="77777777" w:rsidR="001D301E" w:rsidRDefault="001D301E" w:rsidP="00B711FC">
      <w:pPr>
        <w:spacing w:after="0" w:line="240" w:lineRule="auto"/>
      </w:pPr>
      <w:r>
        <w:separator/>
      </w:r>
    </w:p>
  </w:endnote>
  <w:endnote w:type="continuationSeparator" w:id="0">
    <w:p w14:paraId="1B382933" w14:textId="77777777" w:rsidR="001D301E" w:rsidRDefault="001D301E" w:rsidP="00B71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Times New Roman"/>
    <w:panose1 w:val="00000000000000000000"/>
    <w:charset w:val="00"/>
    <w:family w:val="roman"/>
    <w:notTrueType/>
    <w:pitch w:val="default"/>
  </w:font>
  <w:font w:name="Open Sans">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62354763"/>
      <w:docPartObj>
        <w:docPartGallery w:val="Page Numbers (Bottom of Page)"/>
        <w:docPartUnique/>
      </w:docPartObj>
    </w:sdtPr>
    <w:sdtEndPr>
      <w:rPr>
        <w:noProof/>
      </w:rPr>
    </w:sdtEndPr>
    <w:sdtContent>
      <w:p w14:paraId="1BE9A99A" w14:textId="19FECE98" w:rsidR="00B711FC" w:rsidRDefault="00B711FC">
        <w:pPr>
          <w:pStyle w:val="Footer"/>
          <w:jc w:val="center"/>
        </w:pPr>
        <w:r>
          <w:fldChar w:fldCharType="begin"/>
        </w:r>
        <w:r>
          <w:instrText xml:space="preserve"> PAGE   \* MERGEFORMAT </w:instrText>
        </w:r>
        <w:r>
          <w:fldChar w:fldCharType="separate"/>
        </w:r>
        <w:r w:rsidR="00AB002D">
          <w:rPr>
            <w:noProof/>
          </w:rPr>
          <w:t>1</w:t>
        </w:r>
        <w:r>
          <w:rPr>
            <w:noProof/>
          </w:rPr>
          <w:fldChar w:fldCharType="end"/>
        </w:r>
      </w:p>
    </w:sdtContent>
  </w:sdt>
  <w:p w14:paraId="1B01DEFD" w14:textId="54754DB2" w:rsidR="00B711FC" w:rsidRDefault="00B711FC" w:rsidP="00B711F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AFE4A1" w14:textId="77777777" w:rsidR="001D301E" w:rsidRDefault="001D301E" w:rsidP="00B711FC">
      <w:pPr>
        <w:spacing w:after="0" w:line="240" w:lineRule="auto"/>
      </w:pPr>
      <w:r>
        <w:separator/>
      </w:r>
    </w:p>
  </w:footnote>
  <w:footnote w:type="continuationSeparator" w:id="0">
    <w:p w14:paraId="3696CF42" w14:textId="77777777" w:rsidR="001D301E" w:rsidRDefault="001D301E" w:rsidP="00B711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40CC9E" w14:textId="092D7FDB" w:rsidR="00B711FC" w:rsidRDefault="00B711FC" w:rsidP="00AB002D">
    <w:pPr>
      <w:jc w:val="center"/>
    </w:pPr>
    <w:r w:rsidRPr="00AB002D">
      <w:t>1902252</w:t>
    </w:r>
    <w:r w:rsidRPr="00AB002D">
      <w:tab/>
    </w:r>
    <w:r w:rsidR="00AB002D">
      <w:t xml:space="preserve">    </w:t>
    </w:r>
    <w:r w:rsidR="00AB002D" w:rsidRPr="00AB002D">
      <w:t>Leadership and Management for</w:t>
    </w:r>
    <w:r w:rsidR="00AB002D">
      <w:t xml:space="preserve"> systems of quality </w:t>
    </w:r>
    <w:r w:rsidR="00AB002D">
      <w:tab/>
    </w:r>
    <w:r w:rsidR="00AB002D">
      <w:tab/>
    </w:r>
    <w:r>
      <w:t>Word Count: 2258</w:t>
    </w:r>
  </w:p>
</w:hdr>
</file>

<file path=word/intelligence2.xml><?xml version="1.0" encoding="utf-8"?>
<int2:intelligence xmlns:int2="http://schemas.microsoft.com/office/intelligence/2020/intelligence">
  <int2:observations>
    <int2:textHash int2:hashCode="kByidkXaRxGvMx" int2:id="NQKckroK">
      <int2:state int2:type="LegacyProofing" int2:value="Rejected"/>
    </int2:textHash>
    <int2:textHash int2:hashCode="SlYFDncvjWIs3o" int2:id="jpUiluTU">
      <int2:state int2:type="LegacyProofing" int2:value="Rejected"/>
    </int2:textHash>
    <int2:textHash int2:hashCode="AW+yXMWuNhOwpF" int2:id="FxZNqoGf">
      <int2:state int2:type="LegacyProofing" int2:value="Rejected"/>
    </int2:textHash>
    <int2:textHash int2:hashCode="xcgb3EeIup7nN2" int2:id="d3zSqWXa">
      <int2:state int2:type="LegacyProofing" int2:value="Rejected"/>
    </int2:textHash>
    <int2:textHash int2:hashCode="g+YRLZo2SROmtB" int2:id="ZAKNc2YP">
      <int2:state int2:type="LegacyProofing" int2:value="Rejected"/>
    </int2:textHash>
    <int2:textHash int2:hashCode="hN6B5b8f/AaH/i" int2:id="RNk9DDJE">
      <int2:state int2:type="LegacyProofing" int2:value="Rejected"/>
    </int2:textHash>
    <int2:textHash int2:hashCode="zNGux/3p+fnJp5" int2:id="eJcMAYiv">
      <int2:state int2:type="LegacyProofing" int2:value="Rejected"/>
    </int2:textHash>
    <int2:textHash int2:hashCode="paMuQpX6gctwT3" int2:id="ZdImQuEn">
      <int2:state int2:type="AugLoop_Acronyms_AcronymsCritique" int2:value="Rejected"/>
    </int2:textHash>
    <int2:textHash int2:hashCode="0lXQ0GySJQ8tJA" int2:id="CaPtbuK2">
      <int2:state int2:type="AugLoop_Text_Critique" int2:value="Rejected"/>
    </int2:textHash>
    <int2:textHash int2:hashCode="LfcTtbga2f1RMZ" int2:id="gb186cmj">
      <int2:state int2:type="AugLoop_Text_Critique" int2:value="Rejected"/>
    </int2:textHash>
    <int2:textHash int2:hashCode="+hdU/uc5m/boT2" int2:id="1ODUvnRj">
      <int2:state int2:type="AugLoop_Text_Critique" int2:value="Rejected"/>
    </int2:textHash>
    <int2:textHash int2:hashCode="J+rFtDBvgFYfAx" int2:id="pAm85BV0">
      <int2:state int2:type="LegacyProofing" int2:value="Rejected"/>
    </int2:textHash>
    <int2:textHash int2:hashCode="VRd/LyDcPFdCnc" int2:id="8A6GayJG">
      <int2:state int2:type="AugLoop_Text_Critique" int2:value="Rejected"/>
    </int2:textHash>
    <int2:textHash int2:hashCode="e0dMsLOcF3PXGS" int2:id="WdvMjodo">
      <int2:state int2:type="AugLoop_Text_Critique" int2:value="Rejected"/>
    </int2:textHash>
    <int2:textHash int2:hashCode="MzwRFRAJ2n/k5b" int2:id="uATTa6fL">
      <int2:state int2:type="AugLoop_Text_Critique" int2:value="Rejected"/>
    </int2:textHash>
    <int2:textHash int2:hashCode="r2zkyd2gpcf3CJ" int2:id="DgyRZYso">
      <int2:state int2:type="LegacyProofing" int2:value="Rejected"/>
    </int2:textHash>
    <int2:textHash int2:hashCode="5anwRGv3M+LwMt" int2:id="VygpdU3q">
      <int2:state int2:type="AugLoop_Text_Critique" int2:value="Rejected"/>
    </int2:textHash>
    <int2:textHash int2:hashCode="CT//e7o1eiDA6M" int2:id="gFhInstT">
      <int2:state int2:type="LegacyProofing" int2:value="Rejected"/>
    </int2:textHash>
    <int2:textHash int2:hashCode="wYBAQbIVzVCihN" int2:id="p6kj0R0v">
      <int2:state int2:type="AugLoop_Text_Critique" int2:value="Rejected"/>
    </int2:textHash>
    <int2:textHash int2:hashCode="m/C6mGJeQTWOW1" int2:id="xPHFltOQ">
      <int2:state int2:type="LegacyProofing" int2:value="Rejected"/>
    </int2:textHash>
    <int2:textHash int2:hashCode="QT3vy1eEmVb/8g" int2:id="SoJ1PACh">
      <int2:state int2:type="AugLoop_Acronyms_AcronymsCritique" int2:value="Rejected"/>
    </int2:textHash>
    <int2:textHash int2:hashCode="xQy+KnIliT8rxm" int2:id="XOcOrEUq">
      <int2:state int2:type="LegacyProofing" int2:value="Rejected"/>
    </int2:textHash>
    <int2:textHash int2:hashCode="mvseN4kaPOWVRo" int2:id="r7Pjkugt">
      <int2:state int2:type="LegacyProofing" int2:value="Rejected"/>
    </int2:textHash>
    <int2:bookmark int2:bookmarkName="_Int_jNF1TQ30" int2:invalidationBookmarkName="" int2:hashCode="rophPxaTgp5Fz8" int2:id="7gzmba3F">
      <int2:state int2:type="LegacyProofing" int2:value="Rejected"/>
    </int2:bookmark>
    <int2:bookmark int2:bookmarkName="_Int_9aLJ2roV" int2:invalidationBookmarkName="" int2:hashCode="wYBAQbIVzVCihN" int2:id="Qa5dyvvU">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DB3E38"/>
    <w:multiLevelType w:val="hybridMultilevel"/>
    <w:tmpl w:val="3C9A5210"/>
    <w:lvl w:ilvl="0" w:tplc="B7BC2E0A">
      <w:start w:val="1"/>
      <w:numFmt w:val="bullet"/>
      <w:lvlText w:val=""/>
      <w:lvlJc w:val="left"/>
      <w:pPr>
        <w:ind w:left="720" w:hanging="360"/>
      </w:pPr>
      <w:rPr>
        <w:rFonts w:ascii="Symbol" w:hAnsi="Symbol" w:hint="default"/>
      </w:rPr>
    </w:lvl>
    <w:lvl w:ilvl="1" w:tplc="B498CAD0">
      <w:start w:val="1"/>
      <w:numFmt w:val="bullet"/>
      <w:lvlText w:val="o"/>
      <w:lvlJc w:val="left"/>
      <w:pPr>
        <w:ind w:left="1440" w:hanging="360"/>
      </w:pPr>
      <w:rPr>
        <w:rFonts w:ascii="Courier New" w:hAnsi="Courier New" w:hint="default"/>
      </w:rPr>
    </w:lvl>
    <w:lvl w:ilvl="2" w:tplc="05701454">
      <w:start w:val="1"/>
      <w:numFmt w:val="bullet"/>
      <w:lvlText w:val=""/>
      <w:lvlJc w:val="left"/>
      <w:pPr>
        <w:ind w:left="2160" w:hanging="360"/>
      </w:pPr>
      <w:rPr>
        <w:rFonts w:ascii="Wingdings" w:hAnsi="Wingdings" w:hint="default"/>
      </w:rPr>
    </w:lvl>
    <w:lvl w:ilvl="3" w:tplc="56ECF824">
      <w:start w:val="1"/>
      <w:numFmt w:val="bullet"/>
      <w:lvlText w:val=""/>
      <w:lvlJc w:val="left"/>
      <w:pPr>
        <w:ind w:left="2880" w:hanging="360"/>
      </w:pPr>
      <w:rPr>
        <w:rFonts w:ascii="Symbol" w:hAnsi="Symbol" w:hint="default"/>
      </w:rPr>
    </w:lvl>
    <w:lvl w:ilvl="4" w:tplc="1B723598">
      <w:start w:val="1"/>
      <w:numFmt w:val="bullet"/>
      <w:lvlText w:val="o"/>
      <w:lvlJc w:val="left"/>
      <w:pPr>
        <w:ind w:left="3600" w:hanging="360"/>
      </w:pPr>
      <w:rPr>
        <w:rFonts w:ascii="Courier New" w:hAnsi="Courier New" w:hint="default"/>
      </w:rPr>
    </w:lvl>
    <w:lvl w:ilvl="5" w:tplc="5F8CF286">
      <w:start w:val="1"/>
      <w:numFmt w:val="bullet"/>
      <w:lvlText w:val=""/>
      <w:lvlJc w:val="left"/>
      <w:pPr>
        <w:ind w:left="4320" w:hanging="360"/>
      </w:pPr>
      <w:rPr>
        <w:rFonts w:ascii="Wingdings" w:hAnsi="Wingdings" w:hint="default"/>
      </w:rPr>
    </w:lvl>
    <w:lvl w:ilvl="6" w:tplc="A1E44866">
      <w:start w:val="1"/>
      <w:numFmt w:val="bullet"/>
      <w:lvlText w:val=""/>
      <w:lvlJc w:val="left"/>
      <w:pPr>
        <w:ind w:left="5040" w:hanging="360"/>
      </w:pPr>
      <w:rPr>
        <w:rFonts w:ascii="Symbol" w:hAnsi="Symbol" w:hint="default"/>
      </w:rPr>
    </w:lvl>
    <w:lvl w:ilvl="7" w:tplc="D4A09242">
      <w:start w:val="1"/>
      <w:numFmt w:val="bullet"/>
      <w:lvlText w:val="o"/>
      <w:lvlJc w:val="left"/>
      <w:pPr>
        <w:ind w:left="5760" w:hanging="360"/>
      </w:pPr>
      <w:rPr>
        <w:rFonts w:ascii="Courier New" w:hAnsi="Courier New" w:hint="default"/>
      </w:rPr>
    </w:lvl>
    <w:lvl w:ilvl="8" w:tplc="8A16164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B178BD"/>
    <w:rsid w:val="001428EA"/>
    <w:rsid w:val="001D301E"/>
    <w:rsid w:val="00699C31"/>
    <w:rsid w:val="00730CE8"/>
    <w:rsid w:val="00784B48"/>
    <w:rsid w:val="008C31BB"/>
    <w:rsid w:val="00AB002D"/>
    <w:rsid w:val="00B711FC"/>
    <w:rsid w:val="00CAFC54"/>
    <w:rsid w:val="010955E8"/>
    <w:rsid w:val="0142A726"/>
    <w:rsid w:val="0173DE20"/>
    <w:rsid w:val="019E6915"/>
    <w:rsid w:val="019EA5FB"/>
    <w:rsid w:val="02DE7787"/>
    <w:rsid w:val="0313587A"/>
    <w:rsid w:val="03A13CF3"/>
    <w:rsid w:val="03DA8CA7"/>
    <w:rsid w:val="03FBA212"/>
    <w:rsid w:val="053D0D54"/>
    <w:rsid w:val="05977273"/>
    <w:rsid w:val="075F6F0F"/>
    <w:rsid w:val="079F3E7F"/>
    <w:rsid w:val="07DB4FBF"/>
    <w:rsid w:val="07E31FA4"/>
    <w:rsid w:val="0838B9F2"/>
    <w:rsid w:val="0883614A"/>
    <w:rsid w:val="08D86086"/>
    <w:rsid w:val="097EF005"/>
    <w:rsid w:val="09CDF479"/>
    <w:rsid w:val="0A71DE9A"/>
    <w:rsid w:val="0AF9C824"/>
    <w:rsid w:val="0C100148"/>
    <w:rsid w:val="0C5451AE"/>
    <w:rsid w:val="0C5D87CD"/>
    <w:rsid w:val="0CBFFC3C"/>
    <w:rsid w:val="0CD92499"/>
    <w:rsid w:val="0D3554C1"/>
    <w:rsid w:val="0D9C900B"/>
    <w:rsid w:val="0DE01E3B"/>
    <w:rsid w:val="0DE094F0"/>
    <w:rsid w:val="0DF1F30F"/>
    <w:rsid w:val="0EFA2695"/>
    <w:rsid w:val="10719F5C"/>
    <w:rsid w:val="1087AD81"/>
    <w:rsid w:val="10AFCBFB"/>
    <w:rsid w:val="10F3C6CB"/>
    <w:rsid w:val="1190E841"/>
    <w:rsid w:val="128F972C"/>
    <w:rsid w:val="1386B323"/>
    <w:rsid w:val="13BF4E43"/>
    <w:rsid w:val="141B132D"/>
    <w:rsid w:val="144F7155"/>
    <w:rsid w:val="14F41B27"/>
    <w:rsid w:val="1561E452"/>
    <w:rsid w:val="17584F28"/>
    <w:rsid w:val="18D6F41F"/>
    <w:rsid w:val="1952A1FE"/>
    <w:rsid w:val="199D0155"/>
    <w:rsid w:val="1A8FEFEA"/>
    <w:rsid w:val="1AC07243"/>
    <w:rsid w:val="1C2E1215"/>
    <w:rsid w:val="1C5A833A"/>
    <w:rsid w:val="1C5C42A4"/>
    <w:rsid w:val="1D663089"/>
    <w:rsid w:val="1E10045F"/>
    <w:rsid w:val="1E3CC21A"/>
    <w:rsid w:val="1E3E49F7"/>
    <w:rsid w:val="1EB873EF"/>
    <w:rsid w:val="1FE8E63C"/>
    <w:rsid w:val="202F1319"/>
    <w:rsid w:val="20458D9C"/>
    <w:rsid w:val="21199D8F"/>
    <w:rsid w:val="2184B69D"/>
    <w:rsid w:val="21ADF1DF"/>
    <w:rsid w:val="21DE160C"/>
    <w:rsid w:val="2439247D"/>
    <w:rsid w:val="246D82A5"/>
    <w:rsid w:val="2491B6C2"/>
    <w:rsid w:val="2511E99A"/>
    <w:rsid w:val="254094D4"/>
    <w:rsid w:val="25BF86AE"/>
    <w:rsid w:val="2604C994"/>
    <w:rsid w:val="262D8723"/>
    <w:rsid w:val="265A8C1B"/>
    <w:rsid w:val="26852C40"/>
    <w:rsid w:val="26A9CDF8"/>
    <w:rsid w:val="26F6E7DD"/>
    <w:rsid w:val="2764DCA5"/>
    <w:rsid w:val="27F70A46"/>
    <w:rsid w:val="281E3B15"/>
    <w:rsid w:val="28498A5C"/>
    <w:rsid w:val="29B6D8B5"/>
    <w:rsid w:val="29E3F9F7"/>
    <w:rsid w:val="29E55ABD"/>
    <w:rsid w:val="2A2D8B85"/>
    <w:rsid w:val="2AA86601"/>
    <w:rsid w:val="2B1F4E27"/>
    <w:rsid w:val="2B53735F"/>
    <w:rsid w:val="2CA85410"/>
    <w:rsid w:val="2D9337F6"/>
    <w:rsid w:val="2DC56077"/>
    <w:rsid w:val="2FE8F3CE"/>
    <w:rsid w:val="30016E61"/>
    <w:rsid w:val="30ED47EB"/>
    <w:rsid w:val="30FD0139"/>
    <w:rsid w:val="31DF6F34"/>
    <w:rsid w:val="3275A7CE"/>
    <w:rsid w:val="3411782F"/>
    <w:rsid w:val="34F98B5C"/>
    <w:rsid w:val="3529E2DD"/>
    <w:rsid w:val="354BF77E"/>
    <w:rsid w:val="35700443"/>
    <w:rsid w:val="359CC1FE"/>
    <w:rsid w:val="361F76D0"/>
    <w:rsid w:val="37D98701"/>
    <w:rsid w:val="37F357E9"/>
    <w:rsid w:val="38A5D405"/>
    <w:rsid w:val="38C899C7"/>
    <w:rsid w:val="38D462C0"/>
    <w:rsid w:val="3908131E"/>
    <w:rsid w:val="393CB134"/>
    <w:rsid w:val="3A71BAFE"/>
    <w:rsid w:val="3B068444"/>
    <w:rsid w:val="3B7FFB81"/>
    <w:rsid w:val="3B992461"/>
    <w:rsid w:val="3B9F3C6E"/>
    <w:rsid w:val="3C35DC34"/>
    <w:rsid w:val="3CBE77DA"/>
    <w:rsid w:val="3D0C8AC7"/>
    <w:rsid w:val="3D197A18"/>
    <w:rsid w:val="3D32A275"/>
    <w:rsid w:val="3D7B1628"/>
    <w:rsid w:val="3E411FDE"/>
    <w:rsid w:val="3EB79C43"/>
    <w:rsid w:val="3ECE72D6"/>
    <w:rsid w:val="3F1D0214"/>
    <w:rsid w:val="3F71E93F"/>
    <w:rsid w:val="40179648"/>
    <w:rsid w:val="40442B89"/>
    <w:rsid w:val="40511ADA"/>
    <w:rsid w:val="4097BD8D"/>
    <w:rsid w:val="40A0F3AC"/>
    <w:rsid w:val="40D6D2DA"/>
    <w:rsid w:val="40E8EA08"/>
    <w:rsid w:val="41416E9E"/>
    <w:rsid w:val="4206E7F6"/>
    <w:rsid w:val="4218BA45"/>
    <w:rsid w:val="424E874B"/>
    <w:rsid w:val="42E8358F"/>
    <w:rsid w:val="430FD63C"/>
    <w:rsid w:val="448405F0"/>
    <w:rsid w:val="44D1DF0E"/>
    <w:rsid w:val="44D43F73"/>
    <w:rsid w:val="4525605B"/>
    <w:rsid w:val="45AC7587"/>
    <w:rsid w:val="466DAF6F"/>
    <w:rsid w:val="47103530"/>
    <w:rsid w:val="47582B8C"/>
    <w:rsid w:val="47AD244D"/>
    <w:rsid w:val="4836DF5A"/>
    <w:rsid w:val="48AC0591"/>
    <w:rsid w:val="48E41649"/>
    <w:rsid w:val="4918CB85"/>
    <w:rsid w:val="49D2AFBB"/>
    <w:rsid w:val="4A8FCC4E"/>
    <w:rsid w:val="4CB178BD"/>
    <w:rsid w:val="4D9DB77F"/>
    <w:rsid w:val="4DEC3CA8"/>
    <w:rsid w:val="4E3DD04F"/>
    <w:rsid w:val="4F144418"/>
    <w:rsid w:val="4F31DE3E"/>
    <w:rsid w:val="4FD735DA"/>
    <w:rsid w:val="4FE39824"/>
    <w:rsid w:val="4FF5D015"/>
    <w:rsid w:val="5005D3E9"/>
    <w:rsid w:val="50471AC0"/>
    <w:rsid w:val="518032CE"/>
    <w:rsid w:val="52FB7DAC"/>
    <w:rsid w:val="53568062"/>
    <w:rsid w:val="5395DC18"/>
    <w:rsid w:val="54054F61"/>
    <w:rsid w:val="5451698D"/>
    <w:rsid w:val="5492A259"/>
    <w:rsid w:val="55DBC5CB"/>
    <w:rsid w:val="56651199"/>
    <w:rsid w:val="56F9BBA6"/>
    <w:rsid w:val="5777962C"/>
    <w:rsid w:val="58D8C084"/>
    <w:rsid w:val="590ECBEE"/>
    <w:rsid w:val="5964EFC3"/>
    <w:rsid w:val="596D1D10"/>
    <w:rsid w:val="598389FE"/>
    <w:rsid w:val="59F178EA"/>
    <w:rsid w:val="5B08ED71"/>
    <w:rsid w:val="5B0DECB7"/>
    <w:rsid w:val="5DE01202"/>
    <w:rsid w:val="5DFD7755"/>
    <w:rsid w:val="5E136CF1"/>
    <w:rsid w:val="5E9E566B"/>
    <w:rsid w:val="5EB4EA21"/>
    <w:rsid w:val="5F7216E7"/>
    <w:rsid w:val="60090207"/>
    <w:rsid w:val="604EFD28"/>
    <w:rsid w:val="60D3DF32"/>
    <w:rsid w:val="6100B576"/>
    <w:rsid w:val="614B0DB3"/>
    <w:rsid w:val="626FAF93"/>
    <w:rsid w:val="62A909DF"/>
    <w:rsid w:val="63B06C2B"/>
    <w:rsid w:val="63F3A12B"/>
    <w:rsid w:val="6444DA40"/>
    <w:rsid w:val="64980820"/>
    <w:rsid w:val="64B0B3A9"/>
    <w:rsid w:val="658F9847"/>
    <w:rsid w:val="672B68A8"/>
    <w:rsid w:val="67E8546B"/>
    <w:rsid w:val="681A7B6E"/>
    <w:rsid w:val="6845E559"/>
    <w:rsid w:val="686AB4F1"/>
    <w:rsid w:val="689ADE1A"/>
    <w:rsid w:val="69DCB711"/>
    <w:rsid w:val="69DF095E"/>
    <w:rsid w:val="6A36AE7B"/>
    <w:rsid w:val="6A63096A"/>
    <w:rsid w:val="6A92A235"/>
    <w:rsid w:val="6B091E9A"/>
    <w:rsid w:val="6B4EB81C"/>
    <w:rsid w:val="6BB12C8B"/>
    <w:rsid w:val="6C29411C"/>
    <w:rsid w:val="6CEA887D"/>
    <w:rsid w:val="6CEB10E4"/>
    <w:rsid w:val="6CF27603"/>
    <w:rsid w:val="6D043941"/>
    <w:rsid w:val="6D04AC76"/>
    <w:rsid w:val="6EF0BA50"/>
    <w:rsid w:val="706ECBD2"/>
    <w:rsid w:val="7075C6D6"/>
    <w:rsid w:val="7128E673"/>
    <w:rsid w:val="717860A1"/>
    <w:rsid w:val="71BE8207"/>
    <w:rsid w:val="71ECC79F"/>
    <w:rsid w:val="729DB41A"/>
    <w:rsid w:val="72D85A23"/>
    <w:rsid w:val="72DFB634"/>
    <w:rsid w:val="735A5268"/>
    <w:rsid w:val="73E77A1F"/>
    <w:rsid w:val="74742A84"/>
    <w:rsid w:val="753598A0"/>
    <w:rsid w:val="75423CF5"/>
    <w:rsid w:val="75834A80"/>
    <w:rsid w:val="758BFD37"/>
    <w:rsid w:val="75996ADA"/>
    <w:rsid w:val="75A8F96A"/>
    <w:rsid w:val="75B6FB05"/>
    <w:rsid w:val="75B771BA"/>
    <w:rsid w:val="771F1AE1"/>
    <w:rsid w:val="7720AADE"/>
    <w:rsid w:val="772CC1D0"/>
    <w:rsid w:val="77E42C1F"/>
    <w:rsid w:val="79D0F90B"/>
    <w:rsid w:val="7AF6D8EC"/>
    <w:rsid w:val="7B6CC96C"/>
    <w:rsid w:val="7BC06703"/>
    <w:rsid w:val="7BF0902C"/>
    <w:rsid w:val="7C5582E2"/>
    <w:rsid w:val="7D326923"/>
    <w:rsid w:val="7EF807C5"/>
    <w:rsid w:val="7F532626"/>
    <w:rsid w:val="7F81EA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178BD"/>
  <w15:chartTrackingRefBased/>
  <w15:docId w15:val="{F038D73E-CF39-4F2D-B893-720BAC03C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B002D"/>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11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1FC"/>
  </w:style>
  <w:style w:type="paragraph" w:styleId="Footer">
    <w:name w:val="footer"/>
    <w:basedOn w:val="Normal"/>
    <w:link w:val="FooterChar"/>
    <w:uiPriority w:val="99"/>
    <w:unhideWhenUsed/>
    <w:rsid w:val="00B711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1FC"/>
  </w:style>
  <w:style w:type="character" w:customStyle="1" w:styleId="Heading1Char">
    <w:name w:val="Heading 1 Char"/>
    <w:basedOn w:val="DefaultParagraphFont"/>
    <w:link w:val="Heading1"/>
    <w:uiPriority w:val="9"/>
    <w:rsid w:val="00AB002D"/>
    <w:rPr>
      <w:rFonts w:ascii="Times New Roman" w:eastAsia="Times New Roman" w:hAnsi="Times New Roman" w:cs="Times New Roman"/>
      <w:b/>
      <w:bCs/>
      <w:kern w:val="36"/>
      <w:sz w:val="48"/>
      <w:szCs w:val="48"/>
      <w:lang w:val="en-GB" w:eastAsia="en-GB"/>
    </w:rPr>
  </w:style>
  <w:style w:type="character" w:styleId="Strong">
    <w:name w:val="Strong"/>
    <w:basedOn w:val="DefaultParagraphFont"/>
    <w:uiPriority w:val="22"/>
    <w:qFormat/>
    <w:rsid w:val="00AB002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1058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f62e78206c764516"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3019</Words>
  <Characters>17214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Davies (YGG Rhosafan)</dc:creator>
  <cp:keywords/>
  <dc:description/>
  <cp:lastModifiedBy>D Davies (YGG Rhosafan)</cp:lastModifiedBy>
  <cp:revision>3</cp:revision>
  <dcterms:created xsi:type="dcterms:W3CDTF">2022-04-08T18:14:00Z</dcterms:created>
  <dcterms:modified xsi:type="dcterms:W3CDTF">2022-04-08T18:15:00Z</dcterms:modified>
</cp:coreProperties>
</file>