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A8A2A" w14:textId="35825B7D" w:rsidR="00E11F02" w:rsidRPr="00B6556C" w:rsidRDefault="0007297A" w:rsidP="00817A44">
      <w:pPr>
        <w:spacing w:after="0" w:line="480" w:lineRule="auto"/>
        <w:rPr>
          <w:rFonts w:ascii="Georgia" w:hAnsi="Georgia"/>
          <w:sz w:val="24"/>
          <w:szCs w:val="24"/>
        </w:rPr>
      </w:pPr>
      <w:r w:rsidRPr="00B6556C">
        <w:rPr>
          <w:rFonts w:ascii="Georgia" w:hAnsi="Georgia"/>
          <w:sz w:val="24"/>
          <w:szCs w:val="24"/>
        </w:rPr>
        <w:t xml:space="preserve">Student number: </w:t>
      </w:r>
      <w:r w:rsidR="00BD07BF" w:rsidRPr="00B6556C">
        <w:rPr>
          <w:rFonts w:ascii="Georgia" w:hAnsi="Georgia"/>
          <w:sz w:val="24"/>
          <w:szCs w:val="24"/>
        </w:rPr>
        <w:t>1601141</w:t>
      </w:r>
    </w:p>
    <w:p w14:paraId="7333601F" w14:textId="01E98D6C" w:rsidR="00026059" w:rsidRPr="00B6556C" w:rsidRDefault="00834DC8" w:rsidP="00817A44">
      <w:pPr>
        <w:spacing w:after="0" w:line="480" w:lineRule="auto"/>
        <w:rPr>
          <w:rFonts w:ascii="Georgia" w:hAnsi="Georgia"/>
          <w:sz w:val="24"/>
          <w:szCs w:val="24"/>
        </w:rPr>
      </w:pPr>
      <w:r w:rsidRPr="00B6556C">
        <w:rPr>
          <w:rFonts w:ascii="Georgia" w:hAnsi="Georgia"/>
          <w:sz w:val="24"/>
          <w:szCs w:val="24"/>
        </w:rPr>
        <w:t>A Sense of Place: Wales 1870-Present</w:t>
      </w:r>
      <w:r w:rsidR="00024247" w:rsidRPr="00B6556C">
        <w:rPr>
          <w:rFonts w:ascii="Georgia" w:hAnsi="Georgia"/>
          <w:sz w:val="24"/>
          <w:szCs w:val="24"/>
        </w:rPr>
        <w:t xml:space="preserve"> (</w:t>
      </w:r>
      <w:r w:rsidR="00073CF4" w:rsidRPr="00B6556C">
        <w:rPr>
          <w:rFonts w:ascii="Georgia" w:hAnsi="Georgia"/>
          <w:sz w:val="24"/>
          <w:szCs w:val="24"/>
        </w:rPr>
        <w:t>HPHI60</w:t>
      </w:r>
      <w:r w:rsidRPr="00B6556C">
        <w:rPr>
          <w:rFonts w:ascii="Georgia" w:hAnsi="Georgia"/>
          <w:sz w:val="24"/>
          <w:szCs w:val="24"/>
        </w:rPr>
        <w:t>16</w:t>
      </w:r>
      <w:r w:rsidR="00024247" w:rsidRPr="00B6556C">
        <w:rPr>
          <w:rFonts w:ascii="Georgia" w:hAnsi="Georgia"/>
          <w:sz w:val="24"/>
          <w:szCs w:val="24"/>
        </w:rPr>
        <w:t>)</w:t>
      </w:r>
    </w:p>
    <w:p w14:paraId="272E1493" w14:textId="627E320C" w:rsidR="00E7589F" w:rsidRPr="00B6556C" w:rsidRDefault="000C61A5" w:rsidP="00817A44">
      <w:pPr>
        <w:spacing w:after="0" w:line="480" w:lineRule="auto"/>
        <w:rPr>
          <w:rFonts w:ascii="Georgia" w:hAnsi="Georgia"/>
          <w:sz w:val="24"/>
          <w:szCs w:val="24"/>
        </w:rPr>
      </w:pPr>
      <w:r>
        <w:rPr>
          <w:rFonts w:ascii="Georgia" w:hAnsi="Georgia"/>
          <w:sz w:val="24"/>
          <w:szCs w:val="24"/>
        </w:rPr>
        <w:t>8</w:t>
      </w:r>
      <w:r w:rsidRPr="000C61A5">
        <w:rPr>
          <w:rFonts w:ascii="Georgia" w:hAnsi="Georgia"/>
          <w:sz w:val="24"/>
          <w:szCs w:val="24"/>
          <w:vertAlign w:val="superscript"/>
        </w:rPr>
        <w:t>th</w:t>
      </w:r>
      <w:r>
        <w:rPr>
          <w:rFonts w:ascii="Georgia" w:hAnsi="Georgia"/>
          <w:sz w:val="24"/>
          <w:szCs w:val="24"/>
        </w:rPr>
        <w:t xml:space="preserve"> February </w:t>
      </w:r>
      <w:r w:rsidR="00834DC8" w:rsidRPr="00B6556C">
        <w:rPr>
          <w:rFonts w:ascii="Georgia" w:hAnsi="Georgia"/>
          <w:sz w:val="24"/>
          <w:szCs w:val="24"/>
        </w:rPr>
        <w:t>2019</w:t>
      </w:r>
    </w:p>
    <w:p w14:paraId="0B039D72" w14:textId="01F3146D" w:rsidR="00834DC8" w:rsidRPr="00B6556C" w:rsidRDefault="00834DC8" w:rsidP="00817A44">
      <w:pPr>
        <w:spacing w:after="0" w:line="480" w:lineRule="auto"/>
        <w:rPr>
          <w:rFonts w:ascii="Georgia" w:hAnsi="Georgia"/>
          <w:sz w:val="24"/>
          <w:szCs w:val="24"/>
        </w:rPr>
      </w:pPr>
      <w:r w:rsidRPr="00B6556C">
        <w:rPr>
          <w:rFonts w:ascii="Georgia" w:hAnsi="Georgia"/>
          <w:sz w:val="24"/>
          <w:szCs w:val="24"/>
        </w:rPr>
        <w:t xml:space="preserve">Assignment: Essay - </w:t>
      </w:r>
      <w:r w:rsidR="00BA604B" w:rsidRPr="00B6556C">
        <w:rPr>
          <w:rFonts w:ascii="Georgia" w:hAnsi="Georgia"/>
          <w:sz w:val="24"/>
          <w:szCs w:val="24"/>
        </w:rPr>
        <w:t>Did the decline of traditional heavy industries in Wales change the role and attitudes of women within Welsh society?</w:t>
      </w:r>
    </w:p>
    <w:p w14:paraId="2DD82073" w14:textId="7DBA1B7F" w:rsidR="00F82D04" w:rsidRPr="00B6556C" w:rsidRDefault="00034836" w:rsidP="00E63399">
      <w:pPr>
        <w:shd w:val="clear" w:color="auto" w:fill="FFFFFF"/>
        <w:tabs>
          <w:tab w:val="left" w:pos="6945"/>
        </w:tabs>
        <w:spacing w:before="240" w:line="240" w:lineRule="auto"/>
        <w:ind w:left="567" w:right="567"/>
        <w:jc w:val="center"/>
        <w:rPr>
          <w:rFonts w:ascii="Georgia" w:hAnsi="Georgia"/>
          <w:i/>
          <w:sz w:val="30"/>
          <w:szCs w:val="30"/>
        </w:rPr>
      </w:pPr>
      <w:r>
        <w:rPr>
          <w:rFonts w:ascii="Georgia" w:hAnsi="Georgia"/>
          <w:sz w:val="30"/>
          <w:szCs w:val="30"/>
        </w:rPr>
        <w:t xml:space="preserve">The Decline of </w:t>
      </w:r>
      <w:r w:rsidR="00E62ED9">
        <w:rPr>
          <w:rFonts w:ascii="Georgia" w:hAnsi="Georgia"/>
          <w:sz w:val="30"/>
          <w:szCs w:val="30"/>
        </w:rPr>
        <w:t xml:space="preserve">Heavy </w:t>
      </w:r>
      <w:r>
        <w:rPr>
          <w:rFonts w:ascii="Georgia" w:hAnsi="Georgia"/>
          <w:sz w:val="30"/>
          <w:szCs w:val="30"/>
        </w:rPr>
        <w:t xml:space="preserve">Industry </w:t>
      </w:r>
      <w:r w:rsidR="00E47D57">
        <w:rPr>
          <w:rFonts w:ascii="Georgia" w:hAnsi="Georgia"/>
          <w:sz w:val="30"/>
          <w:szCs w:val="30"/>
        </w:rPr>
        <w:t xml:space="preserve">– </w:t>
      </w:r>
      <w:r>
        <w:rPr>
          <w:rFonts w:ascii="Georgia" w:hAnsi="Georgia"/>
          <w:sz w:val="30"/>
          <w:szCs w:val="30"/>
        </w:rPr>
        <w:t>and the Rise of Women</w:t>
      </w:r>
      <w:r w:rsidR="00E47D57">
        <w:rPr>
          <w:rFonts w:ascii="Georgia" w:hAnsi="Georgia"/>
          <w:sz w:val="30"/>
          <w:szCs w:val="30"/>
        </w:rPr>
        <w:t>?</w:t>
      </w:r>
    </w:p>
    <w:p w14:paraId="4853D3ED" w14:textId="77777777" w:rsidR="00D7734A" w:rsidRPr="00B6556C" w:rsidRDefault="00D7734A" w:rsidP="005859DC">
      <w:pPr>
        <w:shd w:val="clear" w:color="auto" w:fill="FFFFFF"/>
        <w:tabs>
          <w:tab w:val="left" w:pos="6945"/>
        </w:tabs>
        <w:spacing w:after="0" w:line="240" w:lineRule="auto"/>
        <w:jc w:val="center"/>
        <w:rPr>
          <w:rFonts w:ascii="Georgia" w:hAnsi="Georgia"/>
          <w:sz w:val="32"/>
          <w:szCs w:val="32"/>
        </w:rPr>
      </w:pPr>
    </w:p>
    <w:p w14:paraId="10885AFC" w14:textId="14D1D255" w:rsidR="00034836" w:rsidRDefault="00B4664A" w:rsidP="00BA604B">
      <w:pPr>
        <w:shd w:val="clear" w:color="auto" w:fill="FFFFFF"/>
        <w:tabs>
          <w:tab w:val="left" w:pos="1080"/>
        </w:tabs>
        <w:spacing w:after="0" w:line="480" w:lineRule="auto"/>
        <w:jc w:val="both"/>
        <w:rPr>
          <w:rFonts w:ascii="Georgia" w:hAnsi="Georgia"/>
          <w:sz w:val="24"/>
          <w:szCs w:val="24"/>
        </w:rPr>
      </w:pPr>
      <w:r w:rsidRPr="00B6556C">
        <w:rPr>
          <w:rFonts w:ascii="Georgia" w:hAnsi="Georgia"/>
          <w:sz w:val="24"/>
          <w:szCs w:val="24"/>
        </w:rPr>
        <w:t xml:space="preserve">Prior to the end of the Great War, Wales’ economy had been going through a period of relative success and prosperity. </w:t>
      </w:r>
      <w:r w:rsidR="00DE411A" w:rsidRPr="00B6556C">
        <w:rPr>
          <w:rFonts w:ascii="Georgia" w:hAnsi="Georgia"/>
          <w:sz w:val="24"/>
          <w:szCs w:val="24"/>
        </w:rPr>
        <w:t xml:space="preserve">This growth came to an abrupt halt in the years following the war, when an economic depression struck that particularly affected the traditional heavy industries – such as coal and steel – which had previously dominated the Welsh production landscape. The impact that this had on the principality was far-reaching, </w:t>
      </w:r>
      <w:r w:rsidR="00FF7D4F">
        <w:rPr>
          <w:rFonts w:ascii="Georgia" w:hAnsi="Georgia"/>
          <w:sz w:val="24"/>
          <w:szCs w:val="24"/>
        </w:rPr>
        <w:t>a</w:t>
      </w:r>
      <w:r w:rsidR="00DE411A" w:rsidRPr="00B6556C">
        <w:rPr>
          <w:rFonts w:ascii="Georgia" w:hAnsi="Georgia"/>
          <w:sz w:val="24"/>
          <w:szCs w:val="24"/>
        </w:rPr>
        <w:t xml:space="preserve">ffecting not only the communities which had long been dependent on jobs based in these industries, but also on the very social structures that underpinned Welsh culture at the time. The decline of heavy industry, a traditionally male-dominated field, shook the gender-based assumptions of Welsh society, as many men lost their jobs while the market was </w:t>
      </w:r>
      <w:r w:rsidR="00FF7D4F">
        <w:rPr>
          <w:rFonts w:ascii="Georgia" w:hAnsi="Georgia"/>
          <w:sz w:val="24"/>
          <w:szCs w:val="24"/>
        </w:rPr>
        <w:t>slowly</w:t>
      </w:r>
      <w:r w:rsidR="00DE411A" w:rsidRPr="00B6556C">
        <w:rPr>
          <w:rFonts w:ascii="Georgia" w:hAnsi="Georgia"/>
          <w:sz w:val="24"/>
          <w:szCs w:val="24"/>
        </w:rPr>
        <w:t xml:space="preserve"> filled with jobs based on more ‘feminine’ work. In some </w:t>
      </w:r>
      <w:proofErr w:type="gramStart"/>
      <w:r w:rsidR="00DE411A" w:rsidRPr="00B6556C">
        <w:rPr>
          <w:rFonts w:ascii="Georgia" w:hAnsi="Georgia"/>
          <w:sz w:val="24"/>
          <w:szCs w:val="24"/>
        </w:rPr>
        <w:t>respects</w:t>
      </w:r>
      <w:proofErr w:type="gramEnd"/>
      <w:r w:rsidR="00DE411A" w:rsidRPr="00B6556C">
        <w:rPr>
          <w:rFonts w:ascii="Georgia" w:hAnsi="Georgia"/>
          <w:sz w:val="24"/>
          <w:szCs w:val="24"/>
        </w:rPr>
        <w:t xml:space="preserve"> this forced a kind of progress towards equality, </w:t>
      </w:r>
      <w:r w:rsidR="00FF7D4F">
        <w:rPr>
          <w:rFonts w:ascii="Georgia" w:hAnsi="Georgia"/>
          <w:sz w:val="24"/>
          <w:szCs w:val="24"/>
        </w:rPr>
        <w:t>but it was also problematised by sexist backlash against women working, deceptively complex laws that allowed for discrimination against female workers, and class differences</w:t>
      </w:r>
      <w:r w:rsidR="00DE411A" w:rsidRPr="00B6556C">
        <w:rPr>
          <w:rFonts w:ascii="Georgia" w:hAnsi="Georgia"/>
          <w:sz w:val="24"/>
          <w:szCs w:val="24"/>
        </w:rPr>
        <w:t>. In this essay, we will look at the impact that the decline of heavy industry</w:t>
      </w:r>
      <w:r w:rsidR="00FF7D4F">
        <w:rPr>
          <w:rFonts w:ascii="Georgia" w:hAnsi="Georgia"/>
          <w:sz w:val="24"/>
          <w:szCs w:val="24"/>
        </w:rPr>
        <w:t>, beginning in the post-WWI era,</w:t>
      </w:r>
      <w:r w:rsidR="00DE411A" w:rsidRPr="00B6556C">
        <w:rPr>
          <w:rFonts w:ascii="Georgia" w:hAnsi="Georgia"/>
          <w:sz w:val="24"/>
          <w:szCs w:val="24"/>
        </w:rPr>
        <w:t xml:space="preserve"> had on the role of women in Welsh society, and how this impacted attitudes both of and towards women at the time. </w:t>
      </w:r>
    </w:p>
    <w:p w14:paraId="1806FF84" w14:textId="4CC8EFF8" w:rsidR="00920E05" w:rsidRDefault="00034836"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2D0798">
        <w:rPr>
          <w:rFonts w:ascii="Georgia" w:hAnsi="Georgia"/>
          <w:sz w:val="24"/>
          <w:szCs w:val="24"/>
        </w:rPr>
        <w:t>The economic depression of the early 20</w:t>
      </w:r>
      <w:r w:rsidR="002D0798" w:rsidRPr="002D0798">
        <w:rPr>
          <w:rFonts w:ascii="Georgia" w:hAnsi="Georgia"/>
          <w:sz w:val="24"/>
          <w:szCs w:val="24"/>
          <w:vertAlign w:val="superscript"/>
        </w:rPr>
        <w:t>th</w:t>
      </w:r>
      <w:r w:rsidR="002D0798">
        <w:rPr>
          <w:rFonts w:ascii="Georgia" w:hAnsi="Georgia"/>
          <w:sz w:val="24"/>
          <w:szCs w:val="24"/>
        </w:rPr>
        <w:t xml:space="preserve"> century came as a shock to the Welsh economy, in part because it had – up until this point – seemed almost unstoppable. </w:t>
      </w:r>
      <w:r w:rsidR="00B4664A" w:rsidRPr="00B6556C">
        <w:rPr>
          <w:rFonts w:ascii="Georgia" w:hAnsi="Georgia"/>
          <w:sz w:val="24"/>
          <w:szCs w:val="24"/>
        </w:rPr>
        <w:lastRenderedPageBreak/>
        <w:t xml:space="preserve">Though strongly dependent on heavy industries – particularly coal – </w:t>
      </w:r>
      <w:r w:rsidR="00F21B42" w:rsidRPr="00B6556C">
        <w:rPr>
          <w:rFonts w:ascii="Georgia" w:hAnsi="Georgia"/>
          <w:sz w:val="24"/>
          <w:szCs w:val="24"/>
        </w:rPr>
        <w:t>the growth generated by these industries was enjoyed throughout the principality.</w:t>
      </w:r>
      <w:r w:rsidR="00F21B42" w:rsidRPr="00B6556C">
        <w:rPr>
          <w:rStyle w:val="FootnoteReference"/>
          <w:rFonts w:ascii="Georgia" w:hAnsi="Georgia"/>
          <w:sz w:val="24"/>
          <w:szCs w:val="24"/>
        </w:rPr>
        <w:footnoteReference w:id="1"/>
      </w:r>
      <w:r w:rsidR="00B4664A" w:rsidRPr="00B6556C">
        <w:rPr>
          <w:rFonts w:ascii="Georgia" w:hAnsi="Georgia"/>
          <w:sz w:val="24"/>
          <w:szCs w:val="24"/>
        </w:rPr>
        <w:t xml:space="preserve"> </w:t>
      </w:r>
      <w:r w:rsidR="00F21B42" w:rsidRPr="00B6556C">
        <w:rPr>
          <w:rFonts w:ascii="Georgia" w:hAnsi="Georgia"/>
          <w:sz w:val="24"/>
          <w:szCs w:val="24"/>
        </w:rPr>
        <w:t>According to Kenneth O. Morgan, by 1913, ‘the south Wales coal industry was at its zenith.’</w:t>
      </w:r>
      <w:r w:rsidR="00F21B42" w:rsidRPr="00B6556C">
        <w:rPr>
          <w:rStyle w:val="FootnoteReference"/>
          <w:rFonts w:ascii="Georgia" w:hAnsi="Georgia"/>
          <w:sz w:val="24"/>
          <w:szCs w:val="24"/>
        </w:rPr>
        <w:footnoteReference w:id="2"/>
      </w:r>
      <w:r w:rsidR="00F21B42" w:rsidRPr="00B6556C">
        <w:rPr>
          <w:rFonts w:ascii="Georgia" w:hAnsi="Georgia"/>
          <w:sz w:val="24"/>
          <w:szCs w:val="24"/>
        </w:rPr>
        <w:t xml:space="preserve"> The production of steel and tin was also booming, and </w:t>
      </w:r>
      <w:r w:rsidR="00706F4F" w:rsidRPr="00B6556C">
        <w:rPr>
          <w:rFonts w:ascii="Georgia" w:hAnsi="Georgia"/>
          <w:sz w:val="24"/>
          <w:szCs w:val="24"/>
        </w:rPr>
        <w:t xml:space="preserve">all this combined success was ushering in new eras of fortune in the largest Welsh cities. </w:t>
      </w:r>
      <w:r w:rsidR="002D0798">
        <w:rPr>
          <w:rFonts w:ascii="Georgia" w:hAnsi="Georgia"/>
          <w:sz w:val="24"/>
          <w:szCs w:val="24"/>
        </w:rPr>
        <w:t xml:space="preserve">Unemployment was low, wages were decent, and Welsh industry had a </w:t>
      </w:r>
      <w:r w:rsidR="0006613B">
        <w:rPr>
          <w:rFonts w:ascii="Georgia" w:hAnsi="Georgia"/>
          <w:sz w:val="24"/>
          <w:szCs w:val="24"/>
        </w:rPr>
        <w:t>presence on the international stage.</w:t>
      </w:r>
      <w:r w:rsidR="0006613B">
        <w:rPr>
          <w:rStyle w:val="FootnoteReference"/>
          <w:rFonts w:ascii="Georgia" w:hAnsi="Georgia"/>
          <w:sz w:val="24"/>
          <w:szCs w:val="24"/>
        </w:rPr>
        <w:footnoteReference w:id="3"/>
      </w:r>
      <w:r w:rsidR="007119A1">
        <w:rPr>
          <w:rFonts w:ascii="Georgia" w:hAnsi="Georgia"/>
          <w:sz w:val="24"/>
          <w:szCs w:val="24"/>
        </w:rPr>
        <w:t xml:space="preserve"> </w:t>
      </w:r>
      <w:r w:rsidR="005F3683">
        <w:rPr>
          <w:rFonts w:ascii="Georgia" w:hAnsi="Georgia"/>
          <w:sz w:val="24"/>
          <w:szCs w:val="24"/>
        </w:rPr>
        <w:t xml:space="preserve">Thus it was a great shock when this thriving industry suddenly came to an abrupt halt after the war. There were numerous factors which contributed to the sudden stagnation of the heavy industrial economy in Wales, but these are less relevant to our discussion than the question of how this event impacted the lives of people involved in these industries. The number of miners working in the South Wales coalfield reached its peak in 1920, having </w:t>
      </w:r>
      <w:proofErr w:type="gramStart"/>
      <w:r w:rsidR="005F3683">
        <w:rPr>
          <w:rFonts w:ascii="Georgia" w:hAnsi="Georgia"/>
          <w:sz w:val="24"/>
          <w:szCs w:val="24"/>
        </w:rPr>
        <w:t>more or less steadily</w:t>
      </w:r>
      <w:proofErr w:type="gramEnd"/>
      <w:r w:rsidR="005F3683">
        <w:rPr>
          <w:rFonts w:ascii="Georgia" w:hAnsi="Georgia"/>
          <w:sz w:val="24"/>
          <w:szCs w:val="24"/>
        </w:rPr>
        <w:t xml:space="preserve"> increased since the 19</w:t>
      </w:r>
      <w:r w:rsidR="005F3683" w:rsidRPr="005F3683">
        <w:rPr>
          <w:rFonts w:ascii="Georgia" w:hAnsi="Georgia"/>
          <w:sz w:val="24"/>
          <w:szCs w:val="24"/>
          <w:vertAlign w:val="superscript"/>
        </w:rPr>
        <w:t>th</w:t>
      </w:r>
      <w:r w:rsidR="005F3683">
        <w:rPr>
          <w:rFonts w:ascii="Georgia" w:hAnsi="Georgia"/>
          <w:sz w:val="24"/>
          <w:szCs w:val="24"/>
        </w:rPr>
        <w:t xml:space="preserve"> century. It then suddenly began to reverse its progress, falling almost as rapidly as it had risen</w:t>
      </w:r>
      <w:r w:rsidR="00A5599D">
        <w:rPr>
          <w:rFonts w:ascii="Georgia" w:hAnsi="Georgia"/>
          <w:sz w:val="24"/>
          <w:szCs w:val="24"/>
        </w:rPr>
        <w:t>, while the price of south Welsh coal plummeted by 50%.</w:t>
      </w:r>
      <w:r w:rsidR="00A5599D">
        <w:rPr>
          <w:rStyle w:val="FootnoteReference"/>
          <w:rFonts w:ascii="Georgia" w:hAnsi="Georgia"/>
          <w:sz w:val="24"/>
          <w:szCs w:val="24"/>
        </w:rPr>
        <w:footnoteReference w:id="4"/>
      </w:r>
      <w:r w:rsidR="00A5599D">
        <w:rPr>
          <w:rFonts w:ascii="Georgia" w:hAnsi="Georgia"/>
          <w:sz w:val="24"/>
          <w:szCs w:val="24"/>
        </w:rPr>
        <w:t xml:space="preserve"> The number of miners in the north Wales coalfield followed a very similar </w:t>
      </w:r>
      <w:proofErr w:type="spellStart"/>
      <w:r w:rsidR="00A5599D">
        <w:rPr>
          <w:rFonts w:ascii="Georgia" w:hAnsi="Georgia"/>
          <w:sz w:val="24"/>
          <w:szCs w:val="24"/>
        </w:rPr>
        <w:t>apttern</w:t>
      </w:r>
      <w:proofErr w:type="spellEnd"/>
      <w:r w:rsidR="00A5599D">
        <w:rPr>
          <w:rFonts w:ascii="Georgia" w:hAnsi="Georgia"/>
          <w:sz w:val="24"/>
          <w:szCs w:val="24"/>
        </w:rPr>
        <w:t>, also peaking around 1920 and then falling at a startling rate.</w:t>
      </w:r>
      <w:r w:rsidR="00A5599D">
        <w:rPr>
          <w:rStyle w:val="FootnoteReference"/>
          <w:rFonts w:ascii="Georgia" w:hAnsi="Georgia"/>
          <w:sz w:val="24"/>
          <w:szCs w:val="24"/>
        </w:rPr>
        <w:footnoteReference w:id="5"/>
      </w:r>
      <w:r w:rsidR="0095163B">
        <w:rPr>
          <w:rFonts w:ascii="Georgia" w:hAnsi="Georgia"/>
          <w:sz w:val="24"/>
          <w:szCs w:val="24"/>
        </w:rPr>
        <w:t xml:space="preserve"> Coal was the first heavy industry to go, but the others followed shortly after. Mass unemployment was the result, coming to 22.3% throughout Wales but rising to as high as 50% in certain regions.</w:t>
      </w:r>
      <w:r w:rsidR="0095163B">
        <w:rPr>
          <w:rStyle w:val="FootnoteReference"/>
          <w:rFonts w:ascii="Georgia" w:hAnsi="Georgia"/>
          <w:sz w:val="24"/>
          <w:szCs w:val="24"/>
        </w:rPr>
        <w:footnoteReference w:id="6"/>
      </w:r>
      <w:r w:rsidR="0033391A">
        <w:rPr>
          <w:rFonts w:ascii="Georgia" w:hAnsi="Georgia"/>
          <w:sz w:val="24"/>
          <w:szCs w:val="24"/>
        </w:rPr>
        <w:t xml:space="preserve"> People could not easily replace their old jobs with new ones, living as they did in communities based around these specific industries. This unexpected depression and the resulting unemployment and </w:t>
      </w:r>
      <w:r w:rsidR="0033391A">
        <w:rPr>
          <w:rFonts w:ascii="Georgia" w:hAnsi="Georgia"/>
          <w:sz w:val="24"/>
          <w:szCs w:val="24"/>
        </w:rPr>
        <w:lastRenderedPageBreak/>
        <w:t>insecurity presented an enormous social and psychological challenge to the people of Wales. How, then, did they respond? And in specific, how did women respond?</w:t>
      </w:r>
    </w:p>
    <w:p w14:paraId="53AAE04C" w14:textId="507ECEE2" w:rsidR="0033391A" w:rsidRPr="00B6556C" w:rsidRDefault="0033391A"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3518F2">
        <w:rPr>
          <w:rFonts w:ascii="Georgia" w:hAnsi="Georgia"/>
          <w:sz w:val="24"/>
          <w:szCs w:val="24"/>
        </w:rPr>
        <w:t xml:space="preserve">Although the </w:t>
      </w:r>
      <w:r w:rsidR="00406E6C">
        <w:rPr>
          <w:rFonts w:ascii="Georgia" w:hAnsi="Georgia"/>
          <w:sz w:val="24"/>
          <w:szCs w:val="24"/>
        </w:rPr>
        <w:t>major, heavy</w:t>
      </w:r>
      <w:r w:rsidR="003518F2">
        <w:rPr>
          <w:rFonts w:ascii="Georgia" w:hAnsi="Georgia"/>
          <w:sz w:val="24"/>
          <w:szCs w:val="24"/>
        </w:rPr>
        <w:t xml:space="preserve"> industries of Wales had historically been male-dominated, </w:t>
      </w:r>
      <w:r w:rsidR="00406E6C">
        <w:rPr>
          <w:rFonts w:ascii="Georgia" w:hAnsi="Georgia"/>
          <w:sz w:val="24"/>
          <w:szCs w:val="24"/>
        </w:rPr>
        <w:t>women nevertheless had some employment options both within and outside of these. Employment rates for women tended to be lower in Wales than in England in the early 20</w:t>
      </w:r>
      <w:r w:rsidR="00406E6C" w:rsidRPr="00406E6C">
        <w:rPr>
          <w:rFonts w:ascii="Georgia" w:hAnsi="Georgia"/>
          <w:sz w:val="24"/>
          <w:szCs w:val="24"/>
          <w:vertAlign w:val="superscript"/>
        </w:rPr>
        <w:t>th</w:t>
      </w:r>
      <w:r w:rsidR="00406E6C">
        <w:rPr>
          <w:rFonts w:ascii="Georgia" w:hAnsi="Georgia"/>
          <w:sz w:val="24"/>
          <w:szCs w:val="24"/>
        </w:rPr>
        <w:t xml:space="preserve"> century, a fact which historian Dei</w:t>
      </w:r>
      <w:r w:rsidR="00FF7D4F">
        <w:rPr>
          <w:rFonts w:ascii="Georgia" w:hAnsi="Georgia"/>
          <w:sz w:val="24"/>
          <w:szCs w:val="24"/>
        </w:rPr>
        <w:t>r</w:t>
      </w:r>
      <w:r w:rsidR="00406E6C">
        <w:rPr>
          <w:rFonts w:ascii="Georgia" w:hAnsi="Georgia"/>
          <w:sz w:val="24"/>
          <w:szCs w:val="24"/>
        </w:rPr>
        <w:t xml:space="preserve">dre </w:t>
      </w:r>
      <w:proofErr w:type="spellStart"/>
      <w:r w:rsidR="00406E6C">
        <w:rPr>
          <w:rFonts w:ascii="Georgia" w:hAnsi="Georgia"/>
          <w:sz w:val="24"/>
          <w:szCs w:val="24"/>
        </w:rPr>
        <w:t>Beddoe</w:t>
      </w:r>
      <w:proofErr w:type="spellEnd"/>
      <w:r w:rsidR="00406E6C">
        <w:rPr>
          <w:rFonts w:ascii="Georgia" w:hAnsi="Georgia"/>
          <w:sz w:val="24"/>
          <w:szCs w:val="24"/>
        </w:rPr>
        <w:t xml:space="preserve"> attributes to the lack of a major manufacturing industry akin to the wool factories in England.</w:t>
      </w:r>
      <w:r w:rsidR="00406E6C">
        <w:rPr>
          <w:rStyle w:val="FootnoteReference"/>
          <w:rFonts w:ascii="Georgia" w:hAnsi="Georgia"/>
          <w:sz w:val="24"/>
          <w:szCs w:val="24"/>
        </w:rPr>
        <w:footnoteReference w:id="7"/>
      </w:r>
      <w:r w:rsidR="00406E6C">
        <w:rPr>
          <w:rFonts w:ascii="Georgia" w:hAnsi="Georgia"/>
          <w:sz w:val="24"/>
          <w:szCs w:val="24"/>
        </w:rPr>
        <w:t xml:space="preserve"> However there was, as </w:t>
      </w:r>
      <w:proofErr w:type="spellStart"/>
      <w:r w:rsidR="00406E6C">
        <w:rPr>
          <w:rFonts w:ascii="Georgia" w:hAnsi="Georgia"/>
          <w:sz w:val="24"/>
          <w:szCs w:val="24"/>
        </w:rPr>
        <w:t>Beddoe</w:t>
      </w:r>
      <w:proofErr w:type="spellEnd"/>
      <w:r w:rsidR="00406E6C">
        <w:rPr>
          <w:rFonts w:ascii="Georgia" w:hAnsi="Georgia"/>
          <w:sz w:val="24"/>
          <w:szCs w:val="24"/>
        </w:rPr>
        <w:t xml:space="preserve"> notes, regional variation. The employment rate for women was higher in rural areas, but lower in mining communities.</w:t>
      </w:r>
      <w:r w:rsidR="00406E6C">
        <w:rPr>
          <w:rStyle w:val="FootnoteReference"/>
          <w:rFonts w:ascii="Georgia" w:hAnsi="Georgia"/>
          <w:sz w:val="24"/>
          <w:szCs w:val="24"/>
        </w:rPr>
        <w:footnoteReference w:id="8"/>
      </w:r>
      <w:r w:rsidR="00406E6C">
        <w:rPr>
          <w:rFonts w:ascii="Georgia" w:hAnsi="Georgia"/>
          <w:sz w:val="24"/>
          <w:szCs w:val="24"/>
        </w:rPr>
        <w:t xml:space="preserve"> Outside of heavy industry, employment opportunities for women were largely in the sectors of domestic labour, dressmaking, and shop work, which were less male-dominated fields</w:t>
      </w:r>
      <w:r w:rsidR="00B25C73">
        <w:rPr>
          <w:rFonts w:ascii="Georgia" w:hAnsi="Georgia"/>
          <w:sz w:val="24"/>
          <w:szCs w:val="24"/>
        </w:rPr>
        <w:t xml:space="preserve"> and seen as appropriate for women. Many women in rural areas also worked on farms, although this labour was not always paid or counted officially as work. It is also worth noting that there were some women who worked in heavy industry, even if they were significantly outnumbered by men. There were women with jobs at coal mines, slate-enamel works, docks, and other old heavy industry workplaces; even more women were employed in textile factories, in jobs that were paid well for the time.</w:t>
      </w:r>
      <w:r w:rsidR="00B25C73">
        <w:rPr>
          <w:rStyle w:val="FootnoteReference"/>
          <w:rFonts w:ascii="Georgia" w:hAnsi="Georgia"/>
          <w:sz w:val="24"/>
          <w:szCs w:val="24"/>
        </w:rPr>
        <w:footnoteReference w:id="9"/>
      </w:r>
      <w:r w:rsidR="001377BE">
        <w:rPr>
          <w:rFonts w:ascii="Georgia" w:hAnsi="Georgia"/>
          <w:sz w:val="24"/>
          <w:szCs w:val="24"/>
        </w:rPr>
        <w:t xml:space="preserve"> Nevertheless, as much as many women worked as hard as or even alongside men before, the Depression affected men and women differently, as the employment landscapes they navigated were themselves very different. </w:t>
      </w:r>
    </w:p>
    <w:p w14:paraId="301E54FC" w14:textId="77777777" w:rsidR="00E47D57" w:rsidRDefault="00E979DA"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lastRenderedPageBreak/>
        <w:tab/>
        <w:t xml:space="preserve">Though the </w:t>
      </w:r>
      <w:r w:rsidR="00E47D57">
        <w:rPr>
          <w:rFonts w:ascii="Georgia" w:hAnsi="Georgia"/>
          <w:sz w:val="24"/>
          <w:szCs w:val="24"/>
        </w:rPr>
        <w:t xml:space="preserve">interwar period </w:t>
      </w:r>
      <w:r>
        <w:rPr>
          <w:rFonts w:ascii="Georgia" w:hAnsi="Georgia"/>
          <w:sz w:val="24"/>
          <w:szCs w:val="24"/>
        </w:rPr>
        <w:t xml:space="preserve">is sometimes seen as a time of unambiguous liberation for women, </w:t>
      </w:r>
      <w:r w:rsidR="00E47D57">
        <w:rPr>
          <w:rFonts w:ascii="Georgia" w:hAnsi="Georgia"/>
          <w:sz w:val="24"/>
          <w:szCs w:val="24"/>
        </w:rPr>
        <w:t xml:space="preserve">reinforced by popular perception of the Roaring Twenties and the scandalous ‘flapper’ women, </w:t>
      </w:r>
      <w:proofErr w:type="spellStart"/>
      <w:r w:rsidR="00E47D57">
        <w:rPr>
          <w:rFonts w:ascii="Georgia" w:hAnsi="Georgia"/>
          <w:sz w:val="24"/>
          <w:szCs w:val="24"/>
        </w:rPr>
        <w:t>Beddoe</w:t>
      </w:r>
      <w:proofErr w:type="spellEnd"/>
      <w:r w:rsidR="00E47D57">
        <w:rPr>
          <w:rFonts w:ascii="Georgia" w:hAnsi="Georgia"/>
          <w:sz w:val="24"/>
          <w:szCs w:val="24"/>
        </w:rPr>
        <w:t xml:space="preserve"> contends that this was not the case: </w:t>
      </w:r>
    </w:p>
    <w:p w14:paraId="54116DA2" w14:textId="6246BAC2" w:rsidR="00E47D57" w:rsidRDefault="00E47D57" w:rsidP="00E47D57">
      <w:pPr>
        <w:shd w:val="clear" w:color="auto" w:fill="FFFFFF"/>
        <w:tabs>
          <w:tab w:val="left" w:pos="1080"/>
        </w:tabs>
        <w:spacing w:after="0" w:line="240" w:lineRule="auto"/>
        <w:ind w:left="1134" w:right="1134"/>
        <w:jc w:val="both"/>
        <w:rPr>
          <w:rFonts w:ascii="Georgia" w:hAnsi="Georgia"/>
          <w:sz w:val="24"/>
          <w:szCs w:val="24"/>
        </w:rPr>
      </w:pPr>
      <w:r>
        <w:rPr>
          <w:rFonts w:ascii="Georgia" w:hAnsi="Georgia"/>
          <w:sz w:val="24"/>
          <w:szCs w:val="24"/>
        </w:rPr>
        <w:t xml:space="preserve">[This] period </w:t>
      </w:r>
      <w:proofErr w:type="gramStart"/>
      <w:r>
        <w:rPr>
          <w:rFonts w:ascii="Georgia" w:hAnsi="Georgia"/>
          <w:sz w:val="24"/>
          <w:szCs w:val="24"/>
        </w:rPr>
        <w:t>as a whole saw</w:t>
      </w:r>
      <w:proofErr w:type="gramEnd"/>
      <w:r>
        <w:rPr>
          <w:rFonts w:ascii="Georgia" w:hAnsi="Georgia"/>
          <w:sz w:val="24"/>
          <w:szCs w:val="24"/>
        </w:rPr>
        <w:t xml:space="preserve"> little change in the lives of women in Wales. It is true that women made certain advances </w:t>
      </w:r>
      <w:proofErr w:type="gramStart"/>
      <w:r>
        <w:rPr>
          <w:rFonts w:ascii="Georgia" w:hAnsi="Georgia"/>
          <w:sz w:val="24"/>
          <w:szCs w:val="24"/>
        </w:rPr>
        <w:t>with regard to</w:t>
      </w:r>
      <w:proofErr w:type="gramEnd"/>
      <w:r>
        <w:rPr>
          <w:rFonts w:ascii="Georgia" w:hAnsi="Georgia"/>
          <w:sz w:val="24"/>
          <w:szCs w:val="24"/>
        </w:rPr>
        <w:t xml:space="preserve"> the law, parliamentary enfranchisement and employment in the professions and in offices, but fundamentally the lives of the vast majority of Welsh women remained much the same as in the days before the First World War.</w:t>
      </w:r>
      <w:r>
        <w:rPr>
          <w:rStyle w:val="FootnoteReference"/>
          <w:rFonts w:ascii="Georgia" w:hAnsi="Georgia"/>
          <w:sz w:val="24"/>
          <w:szCs w:val="24"/>
        </w:rPr>
        <w:footnoteReference w:id="10"/>
      </w:r>
      <w:r>
        <w:rPr>
          <w:rFonts w:ascii="Georgia" w:hAnsi="Georgia"/>
          <w:sz w:val="24"/>
          <w:szCs w:val="24"/>
        </w:rPr>
        <w:t xml:space="preserve"> </w:t>
      </w:r>
    </w:p>
    <w:p w14:paraId="5AC94E50" w14:textId="77777777" w:rsidR="00E47D57" w:rsidRDefault="00E47D57" w:rsidP="00E47D57">
      <w:pPr>
        <w:shd w:val="clear" w:color="auto" w:fill="FFFFFF"/>
        <w:tabs>
          <w:tab w:val="left" w:pos="1080"/>
        </w:tabs>
        <w:spacing w:after="0" w:line="240" w:lineRule="auto"/>
        <w:jc w:val="both"/>
        <w:rPr>
          <w:rFonts w:ascii="Georgia" w:hAnsi="Georgia"/>
          <w:sz w:val="24"/>
          <w:szCs w:val="24"/>
        </w:rPr>
      </w:pPr>
    </w:p>
    <w:p w14:paraId="110FB216" w14:textId="2DBD00F3" w:rsidR="00920E05" w:rsidRDefault="00E47D57"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I would argue that </w:t>
      </w:r>
      <w:proofErr w:type="spellStart"/>
      <w:r>
        <w:rPr>
          <w:rFonts w:ascii="Georgia" w:hAnsi="Georgia"/>
          <w:sz w:val="24"/>
          <w:szCs w:val="24"/>
        </w:rPr>
        <w:t>Beddoe</w:t>
      </w:r>
      <w:proofErr w:type="spellEnd"/>
      <w:r>
        <w:rPr>
          <w:rFonts w:ascii="Georgia" w:hAnsi="Georgia"/>
          <w:sz w:val="24"/>
          <w:szCs w:val="24"/>
        </w:rPr>
        <w:t xml:space="preserve"> is being slightly dismissive of the significance of women’s achievements in the areas of ‘law, parliamentary enfranchisement and employment’, but I would agree that life simultaneously (and somewhat paradoxically) both changed and stayed the same for women during this period.</w:t>
      </w:r>
      <w:r w:rsidR="00AC23DF">
        <w:rPr>
          <w:rFonts w:ascii="Georgia" w:hAnsi="Georgia"/>
          <w:sz w:val="24"/>
          <w:szCs w:val="24"/>
        </w:rPr>
        <w:t xml:space="preserve"> Some women were granted the right to vote for the first time in </w:t>
      </w:r>
      <w:r w:rsidR="007F1468">
        <w:rPr>
          <w:rFonts w:ascii="Georgia" w:hAnsi="Georgia"/>
          <w:sz w:val="24"/>
          <w:szCs w:val="24"/>
        </w:rPr>
        <w:t xml:space="preserve">1918, but their requirements </w:t>
      </w:r>
      <w:proofErr w:type="gramStart"/>
      <w:r w:rsidR="007F1468">
        <w:rPr>
          <w:rFonts w:ascii="Georgia" w:hAnsi="Georgia"/>
          <w:sz w:val="24"/>
          <w:szCs w:val="24"/>
        </w:rPr>
        <w:t>with regard to</w:t>
      </w:r>
      <w:proofErr w:type="gramEnd"/>
      <w:r w:rsidR="007F1468">
        <w:rPr>
          <w:rFonts w:ascii="Georgia" w:hAnsi="Georgia"/>
          <w:sz w:val="24"/>
          <w:szCs w:val="24"/>
        </w:rPr>
        <w:t xml:space="preserve"> age and property ownership were stricter than those for men. The passing of the Sex </w:t>
      </w:r>
      <w:r w:rsidR="009D0798">
        <w:rPr>
          <w:rFonts w:ascii="Georgia" w:hAnsi="Georgia"/>
          <w:sz w:val="24"/>
          <w:szCs w:val="24"/>
        </w:rPr>
        <w:t>Disqualification</w:t>
      </w:r>
      <w:r w:rsidR="007F1468">
        <w:rPr>
          <w:rFonts w:ascii="Georgia" w:hAnsi="Georgia"/>
          <w:sz w:val="24"/>
          <w:szCs w:val="24"/>
        </w:rPr>
        <w:t xml:space="preserve"> (Removal) Act in 1919 suggested the beginning of a new era in which traditionally male professions would now be open to women, but </w:t>
      </w:r>
      <w:r w:rsidR="00AD5EAB">
        <w:rPr>
          <w:rFonts w:ascii="Georgia" w:hAnsi="Georgia"/>
          <w:sz w:val="24"/>
          <w:szCs w:val="24"/>
        </w:rPr>
        <w:t xml:space="preserve">a combination of opposing forces – </w:t>
      </w:r>
      <w:r w:rsidR="007F1468">
        <w:rPr>
          <w:rFonts w:ascii="Georgia" w:hAnsi="Georgia"/>
          <w:sz w:val="24"/>
          <w:szCs w:val="24"/>
        </w:rPr>
        <w:t xml:space="preserve">economic depression, cultural bias against working women, and the </w:t>
      </w:r>
      <w:r w:rsidR="00AD5EAB">
        <w:rPr>
          <w:rFonts w:ascii="Georgia" w:hAnsi="Georgia"/>
          <w:sz w:val="24"/>
          <w:szCs w:val="24"/>
        </w:rPr>
        <w:t>continuing legal practices of discriminating against pregnant or married women – meant that the law change was not as revolutionary as some women had hoped.</w:t>
      </w:r>
      <w:r w:rsidR="00AD5EAB">
        <w:rPr>
          <w:rStyle w:val="FootnoteReference"/>
          <w:rFonts w:ascii="Georgia" w:hAnsi="Georgia"/>
          <w:sz w:val="24"/>
          <w:szCs w:val="24"/>
        </w:rPr>
        <w:footnoteReference w:id="11"/>
      </w:r>
      <w:r w:rsidR="00DE2031">
        <w:rPr>
          <w:rFonts w:ascii="Georgia" w:hAnsi="Georgia"/>
          <w:sz w:val="24"/>
          <w:szCs w:val="24"/>
        </w:rPr>
        <w:t xml:space="preserve"> Jobs for everyone, women included, were scarce and women were still frequently paid less than men for the same work. </w:t>
      </w:r>
      <w:r w:rsidR="00561EA8">
        <w:rPr>
          <w:rFonts w:ascii="Georgia" w:hAnsi="Georgia"/>
          <w:sz w:val="24"/>
          <w:szCs w:val="24"/>
        </w:rPr>
        <w:t>Women’s</w:t>
      </w:r>
      <w:r w:rsidR="00E31D89">
        <w:rPr>
          <w:rFonts w:ascii="Georgia" w:hAnsi="Georgia"/>
          <w:sz w:val="24"/>
          <w:szCs w:val="24"/>
        </w:rPr>
        <w:t xml:space="preserve"> daily lives were also heavily impacted by class differences. Even though they were not protected from the widespread sexism of their society, middle- and upper-class women were </w:t>
      </w:r>
      <w:r w:rsidR="00FF7D4F">
        <w:rPr>
          <w:rFonts w:ascii="Georgia" w:hAnsi="Georgia"/>
          <w:sz w:val="24"/>
          <w:szCs w:val="24"/>
        </w:rPr>
        <w:t xml:space="preserve">still </w:t>
      </w:r>
      <w:r w:rsidR="00E31D89">
        <w:rPr>
          <w:rFonts w:ascii="Georgia" w:hAnsi="Georgia"/>
          <w:sz w:val="24"/>
          <w:szCs w:val="24"/>
        </w:rPr>
        <w:t xml:space="preserve">able to </w:t>
      </w:r>
      <w:r w:rsidR="00F9073A">
        <w:rPr>
          <w:rFonts w:ascii="Georgia" w:hAnsi="Georgia"/>
          <w:sz w:val="24"/>
          <w:szCs w:val="24"/>
        </w:rPr>
        <w:t>experience</w:t>
      </w:r>
      <w:r w:rsidR="00E31D89">
        <w:rPr>
          <w:rFonts w:ascii="Georgia" w:hAnsi="Georgia"/>
          <w:sz w:val="24"/>
          <w:szCs w:val="24"/>
        </w:rPr>
        <w:t xml:space="preserve"> the kind of leisurely lifestyle their working-class sisters could hardly dream of.</w:t>
      </w:r>
      <w:r w:rsidR="00E31D89">
        <w:rPr>
          <w:rStyle w:val="FootnoteReference"/>
          <w:rFonts w:ascii="Georgia" w:hAnsi="Georgia"/>
          <w:sz w:val="24"/>
          <w:szCs w:val="24"/>
        </w:rPr>
        <w:footnoteReference w:id="12"/>
      </w:r>
      <w:r w:rsidR="00E31D89">
        <w:rPr>
          <w:rFonts w:ascii="Georgia" w:hAnsi="Georgia"/>
          <w:sz w:val="24"/>
          <w:szCs w:val="24"/>
        </w:rPr>
        <w:t xml:space="preserve"> </w:t>
      </w:r>
      <w:r w:rsidR="00F432D0">
        <w:rPr>
          <w:rFonts w:ascii="Georgia" w:hAnsi="Georgia"/>
          <w:sz w:val="24"/>
          <w:szCs w:val="24"/>
        </w:rPr>
        <w:lastRenderedPageBreak/>
        <w:t xml:space="preserve">These working class women not only had to perform the hours of unpaid labour that was expected of them as wives and daughters, but also had to support the men in their lives during strikes and unemployment. Being able to appreciate the progress made by women in the interwar period was a privilege, and one which working-class Welsh women were usually not able to enjoy. </w:t>
      </w:r>
    </w:p>
    <w:p w14:paraId="0A91EBB5" w14:textId="77777777" w:rsidR="00FF7D4F" w:rsidRDefault="00811B24" w:rsidP="00FF7D4F">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AB38C5">
        <w:rPr>
          <w:rFonts w:ascii="Georgia" w:hAnsi="Georgia"/>
          <w:sz w:val="24"/>
          <w:szCs w:val="24"/>
        </w:rPr>
        <w:t xml:space="preserve">Although the </w:t>
      </w:r>
      <w:r w:rsidR="00306383">
        <w:rPr>
          <w:rFonts w:ascii="Georgia" w:hAnsi="Georgia"/>
          <w:sz w:val="24"/>
          <w:szCs w:val="24"/>
        </w:rPr>
        <w:t xml:space="preserve">post-WWI economic depression was </w:t>
      </w:r>
      <w:r w:rsidR="00FF7D4F">
        <w:rPr>
          <w:rFonts w:ascii="Georgia" w:hAnsi="Georgia"/>
          <w:sz w:val="24"/>
          <w:szCs w:val="24"/>
        </w:rPr>
        <w:t>possibly one of</w:t>
      </w:r>
      <w:r w:rsidR="00306383">
        <w:rPr>
          <w:rFonts w:ascii="Georgia" w:hAnsi="Georgia"/>
          <w:sz w:val="24"/>
          <w:szCs w:val="24"/>
        </w:rPr>
        <w:t xml:space="preserve"> the </w:t>
      </w:r>
      <w:r w:rsidR="00FF7D4F">
        <w:rPr>
          <w:rFonts w:ascii="Georgia" w:hAnsi="Georgia"/>
          <w:sz w:val="24"/>
          <w:szCs w:val="24"/>
        </w:rPr>
        <w:t xml:space="preserve">single </w:t>
      </w:r>
      <w:r w:rsidR="00306383">
        <w:rPr>
          <w:rFonts w:ascii="Georgia" w:hAnsi="Georgia"/>
          <w:sz w:val="24"/>
          <w:szCs w:val="24"/>
        </w:rPr>
        <w:t>most impactful event</w:t>
      </w:r>
      <w:r w:rsidR="00FF7D4F">
        <w:rPr>
          <w:rFonts w:ascii="Georgia" w:hAnsi="Georgia"/>
          <w:sz w:val="24"/>
          <w:szCs w:val="24"/>
        </w:rPr>
        <w:t>s</w:t>
      </w:r>
      <w:r w:rsidR="00306383">
        <w:rPr>
          <w:rFonts w:ascii="Georgia" w:hAnsi="Georgia"/>
          <w:sz w:val="24"/>
          <w:szCs w:val="24"/>
        </w:rPr>
        <w:t xml:space="preserve"> in the history of Welsh heavy industry, the sector’s share in the economy and jobs continued to decline throughout the rest of 20</w:t>
      </w:r>
      <w:r w:rsidR="00306383" w:rsidRPr="00306383">
        <w:rPr>
          <w:rFonts w:ascii="Georgia" w:hAnsi="Georgia"/>
          <w:sz w:val="24"/>
          <w:szCs w:val="24"/>
          <w:vertAlign w:val="superscript"/>
        </w:rPr>
        <w:t>th</w:t>
      </w:r>
      <w:r w:rsidR="00306383">
        <w:rPr>
          <w:rFonts w:ascii="Georgia" w:hAnsi="Georgia"/>
          <w:sz w:val="24"/>
          <w:szCs w:val="24"/>
        </w:rPr>
        <w:t xml:space="preserve"> century. This change had a strong effect on Welsh society, including the role of women. </w:t>
      </w:r>
      <w:r>
        <w:rPr>
          <w:rFonts w:ascii="Georgia" w:hAnsi="Georgia"/>
          <w:sz w:val="24"/>
          <w:szCs w:val="24"/>
        </w:rPr>
        <w:t xml:space="preserve">If the First World War had a minor and ambiguously positive impact on the employment opportunities for women in Wales, the Second World War’s effect was far more </w:t>
      </w:r>
      <w:r w:rsidR="00306383">
        <w:rPr>
          <w:rFonts w:ascii="Georgia" w:hAnsi="Georgia"/>
          <w:sz w:val="24"/>
          <w:szCs w:val="24"/>
        </w:rPr>
        <w:t>apparent</w:t>
      </w:r>
      <w:r>
        <w:rPr>
          <w:rFonts w:ascii="Georgia" w:hAnsi="Georgia"/>
          <w:sz w:val="24"/>
          <w:szCs w:val="24"/>
        </w:rPr>
        <w:t xml:space="preserve">. </w:t>
      </w:r>
      <w:r w:rsidR="004D17C4">
        <w:rPr>
          <w:rFonts w:ascii="Georgia" w:hAnsi="Georgia"/>
          <w:sz w:val="24"/>
          <w:szCs w:val="24"/>
        </w:rPr>
        <w:t>As Kenneth O. Morgan puts it</w:t>
      </w:r>
      <w:r w:rsidR="00BA6A13">
        <w:rPr>
          <w:rFonts w:ascii="Georgia" w:hAnsi="Georgia"/>
          <w:sz w:val="24"/>
          <w:szCs w:val="24"/>
        </w:rPr>
        <w:t>:</w:t>
      </w:r>
    </w:p>
    <w:p w14:paraId="59BDE7CB" w14:textId="47506E98" w:rsidR="00811B24" w:rsidRDefault="00BA6A13" w:rsidP="00FF7D4F">
      <w:pPr>
        <w:shd w:val="clear" w:color="auto" w:fill="FFFFFF"/>
        <w:tabs>
          <w:tab w:val="left" w:pos="1080"/>
        </w:tabs>
        <w:spacing w:after="0" w:line="240" w:lineRule="auto"/>
        <w:ind w:left="1134" w:right="1134"/>
        <w:jc w:val="both"/>
        <w:rPr>
          <w:rFonts w:ascii="Georgia" w:hAnsi="Georgia"/>
          <w:sz w:val="24"/>
          <w:szCs w:val="24"/>
        </w:rPr>
      </w:pPr>
      <w:r>
        <w:rPr>
          <w:rFonts w:ascii="Georgia" w:hAnsi="Georgia"/>
          <w:sz w:val="24"/>
          <w:szCs w:val="24"/>
        </w:rPr>
        <w:t xml:space="preserve"> [WWII] encouraged women to find work in new factories and in industrial occupations. This was carried on in the newer industries and trading estates created after 1945, which provided employment f</w:t>
      </w:r>
      <w:r w:rsidR="00123A85">
        <w:rPr>
          <w:rFonts w:ascii="Georgia" w:hAnsi="Georgia"/>
          <w:sz w:val="24"/>
          <w:szCs w:val="24"/>
        </w:rPr>
        <w:t>o</w:t>
      </w:r>
      <w:r>
        <w:rPr>
          <w:rFonts w:ascii="Georgia" w:hAnsi="Georgia"/>
          <w:sz w:val="24"/>
          <w:szCs w:val="24"/>
        </w:rPr>
        <w:t>r women workers in large numbers.</w:t>
      </w:r>
      <w:r>
        <w:rPr>
          <w:rStyle w:val="FootnoteReference"/>
          <w:rFonts w:ascii="Georgia" w:hAnsi="Georgia"/>
          <w:sz w:val="24"/>
          <w:szCs w:val="24"/>
        </w:rPr>
        <w:footnoteReference w:id="13"/>
      </w:r>
    </w:p>
    <w:p w14:paraId="73AF8569" w14:textId="77777777" w:rsidR="00FF7D4F" w:rsidRDefault="00FF7D4F" w:rsidP="00FF7D4F">
      <w:pPr>
        <w:shd w:val="clear" w:color="auto" w:fill="FFFFFF"/>
        <w:tabs>
          <w:tab w:val="left" w:pos="1080"/>
        </w:tabs>
        <w:spacing w:after="0" w:line="240" w:lineRule="auto"/>
        <w:ind w:left="1134" w:right="1134"/>
        <w:jc w:val="both"/>
        <w:rPr>
          <w:rFonts w:ascii="Georgia" w:hAnsi="Georgia"/>
          <w:sz w:val="24"/>
          <w:szCs w:val="24"/>
        </w:rPr>
      </w:pPr>
    </w:p>
    <w:p w14:paraId="70E7632C" w14:textId="77777777" w:rsidR="00C232AA" w:rsidRDefault="00BA6A13"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As </w:t>
      </w:r>
      <w:proofErr w:type="spellStart"/>
      <w:r>
        <w:rPr>
          <w:rFonts w:ascii="Georgia" w:hAnsi="Georgia"/>
          <w:sz w:val="24"/>
          <w:szCs w:val="24"/>
        </w:rPr>
        <w:t>Beddoe</w:t>
      </w:r>
      <w:proofErr w:type="spellEnd"/>
      <w:r>
        <w:rPr>
          <w:rFonts w:ascii="Georgia" w:hAnsi="Georgia"/>
          <w:sz w:val="24"/>
          <w:szCs w:val="24"/>
        </w:rPr>
        <w:t xml:space="preserve"> illustrated </w:t>
      </w:r>
      <w:proofErr w:type="gramStart"/>
      <w:r>
        <w:rPr>
          <w:rFonts w:ascii="Georgia" w:hAnsi="Georgia"/>
          <w:sz w:val="24"/>
          <w:szCs w:val="24"/>
        </w:rPr>
        <w:t>with regard to</w:t>
      </w:r>
      <w:proofErr w:type="gramEnd"/>
      <w:r>
        <w:rPr>
          <w:rFonts w:ascii="Georgia" w:hAnsi="Georgia"/>
          <w:sz w:val="24"/>
          <w:szCs w:val="24"/>
        </w:rPr>
        <w:t xml:space="preserve"> the interwar period, increased employment opportunities were not synonymous with women’s liberation from cultural and social norms, but in the case of the period during and after World War II, it would seem that women obtained greater freedom in </w:t>
      </w:r>
      <w:r w:rsidR="00FF7D4F">
        <w:rPr>
          <w:rFonts w:ascii="Georgia" w:hAnsi="Georgia"/>
          <w:sz w:val="24"/>
          <w:szCs w:val="24"/>
        </w:rPr>
        <w:t>both areas at the same time</w:t>
      </w:r>
      <w:r>
        <w:rPr>
          <w:rFonts w:ascii="Georgia" w:hAnsi="Georgia"/>
          <w:sz w:val="24"/>
          <w:szCs w:val="24"/>
        </w:rPr>
        <w:t xml:space="preserve">. </w:t>
      </w:r>
      <w:r w:rsidR="004F1B97">
        <w:rPr>
          <w:rFonts w:ascii="Georgia" w:hAnsi="Georgia"/>
          <w:sz w:val="24"/>
          <w:szCs w:val="24"/>
        </w:rPr>
        <w:t xml:space="preserve">Women were conscripted into work to help with the war effort, often being put to work in factories or taking over jobs left vacant by men heading off to fight. The result was a huge increase in the number of employment opportunities for women, and with it a growing sense of independence for these women. There was something of a cultural backlash against this progress, as men </w:t>
      </w:r>
      <w:r w:rsidR="004F1B97">
        <w:rPr>
          <w:rFonts w:ascii="Georgia" w:hAnsi="Georgia"/>
          <w:sz w:val="24"/>
          <w:szCs w:val="24"/>
        </w:rPr>
        <w:lastRenderedPageBreak/>
        <w:t xml:space="preserve">were disconcerted by women’s newfound freedom and economic independence. </w:t>
      </w:r>
      <w:proofErr w:type="spellStart"/>
      <w:r w:rsidR="00C232AA">
        <w:rPr>
          <w:rFonts w:ascii="Georgia" w:hAnsi="Georgia"/>
          <w:sz w:val="24"/>
          <w:szCs w:val="24"/>
        </w:rPr>
        <w:t>Beddoe</w:t>
      </w:r>
      <w:proofErr w:type="spellEnd"/>
      <w:r w:rsidR="00C232AA">
        <w:rPr>
          <w:rFonts w:ascii="Georgia" w:hAnsi="Georgia"/>
          <w:sz w:val="24"/>
          <w:szCs w:val="24"/>
        </w:rPr>
        <w:t xml:space="preserve"> illustrates some of the ways in which this concern manifested itself:</w:t>
      </w:r>
    </w:p>
    <w:p w14:paraId="0D1EEBEC" w14:textId="410AC5A8" w:rsidR="00BA6A13" w:rsidRDefault="00E5292F" w:rsidP="00E5292F">
      <w:pPr>
        <w:shd w:val="clear" w:color="auto" w:fill="FFFFFF"/>
        <w:tabs>
          <w:tab w:val="left" w:pos="1080"/>
        </w:tabs>
        <w:spacing w:line="240" w:lineRule="auto"/>
        <w:ind w:left="1134" w:right="1134"/>
        <w:jc w:val="both"/>
        <w:rPr>
          <w:rFonts w:ascii="Georgia" w:hAnsi="Georgia"/>
          <w:sz w:val="24"/>
          <w:szCs w:val="24"/>
        </w:rPr>
      </w:pPr>
      <w:r>
        <w:rPr>
          <w:rFonts w:ascii="Georgia" w:hAnsi="Georgia"/>
          <w:sz w:val="24"/>
          <w:szCs w:val="24"/>
        </w:rPr>
        <w:t>Chief constables and magistrates ranted against young women drinking in public houses, and newspapers printed letters and ran articles deploring the decline of domestic skills amongst factory workers who were accused of feeding their children on tinned food and failing to teach them cleanliness and discipline. But the fundamental fear of men in the mining communities, who felt an affront to their masculinity by their wives and daughters earning high wages, was that women were usurping the rights of men to employment and that this situation would continue after the war</w:t>
      </w:r>
      <w:r w:rsidR="000E21C4">
        <w:rPr>
          <w:rFonts w:ascii="Georgia" w:hAnsi="Georgia"/>
          <w:sz w:val="24"/>
          <w:szCs w:val="24"/>
        </w:rPr>
        <w:t>.</w:t>
      </w:r>
      <w:r w:rsidR="000E21C4">
        <w:rPr>
          <w:rStyle w:val="FootnoteReference"/>
          <w:rFonts w:ascii="Georgia" w:hAnsi="Georgia"/>
          <w:sz w:val="24"/>
          <w:szCs w:val="24"/>
        </w:rPr>
        <w:footnoteReference w:id="14"/>
      </w:r>
    </w:p>
    <w:p w14:paraId="06AAECFA" w14:textId="6DF94DBF" w:rsidR="00E5292F" w:rsidRDefault="00E5292F"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In fairness to these men, their concerns (misogynistic as they may have been) were in some ways valid, as this period did indeed mark a change in Welsh society in terms of women’s employment. Nevertheless, the above quote illustrates that shifts in the daily reality of a society is not necessarily always reflected in the attitudes of those who live in it.</w:t>
      </w:r>
      <w:r w:rsidR="000E21C4">
        <w:rPr>
          <w:rFonts w:ascii="Georgia" w:hAnsi="Georgia"/>
          <w:sz w:val="24"/>
          <w:szCs w:val="24"/>
        </w:rPr>
        <w:tab/>
      </w:r>
    </w:p>
    <w:p w14:paraId="10D88713" w14:textId="10288EA0" w:rsidR="00B61D2A" w:rsidRDefault="00E5292F"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0E21C4">
        <w:rPr>
          <w:rFonts w:ascii="Georgia" w:hAnsi="Georgia"/>
          <w:sz w:val="24"/>
          <w:szCs w:val="24"/>
        </w:rPr>
        <w:t>The correlation between the decline of heavy industry and women’s liberation becomes clearer in the period immediately after WWII, when fewer workers were needed in such places as munitions factories – where great numbers of women had been employed during wartime – but female employment levels continued to rise. As the traditional heavy industries in Wales continued to lose influence, jobs in other fields increased.</w:t>
      </w:r>
      <w:r w:rsidR="00BA4598">
        <w:rPr>
          <w:rStyle w:val="FootnoteReference"/>
          <w:rFonts w:ascii="Georgia" w:hAnsi="Georgia"/>
          <w:sz w:val="24"/>
          <w:szCs w:val="24"/>
        </w:rPr>
        <w:footnoteReference w:id="15"/>
      </w:r>
      <w:r w:rsidR="000E21C4">
        <w:rPr>
          <w:rFonts w:ascii="Georgia" w:hAnsi="Georgia"/>
          <w:sz w:val="24"/>
          <w:szCs w:val="24"/>
        </w:rPr>
        <w:t xml:space="preserve"> </w:t>
      </w:r>
      <w:r w:rsidR="00B61D2A">
        <w:rPr>
          <w:rFonts w:ascii="Georgia" w:hAnsi="Georgia"/>
          <w:sz w:val="24"/>
          <w:szCs w:val="24"/>
        </w:rPr>
        <w:t xml:space="preserve">If Wales had previously witnessed the fall of its older industries, it now saw the rise of others in its place – and with them came a new challenge to the long-established association between masculinity and work. </w:t>
      </w:r>
      <w:r w:rsidR="00A5553B">
        <w:rPr>
          <w:rFonts w:ascii="Georgia" w:hAnsi="Georgia"/>
          <w:sz w:val="24"/>
          <w:szCs w:val="24"/>
        </w:rPr>
        <w:t xml:space="preserve">Using the example of the coal industry in south Wales to show this connection, </w:t>
      </w:r>
      <w:r w:rsidR="00B61D2A">
        <w:rPr>
          <w:rFonts w:ascii="Georgia" w:hAnsi="Georgia"/>
          <w:sz w:val="24"/>
          <w:szCs w:val="24"/>
        </w:rPr>
        <w:t>John Davies writes:</w:t>
      </w:r>
    </w:p>
    <w:p w14:paraId="22DE3FEB" w14:textId="0E387BFB" w:rsidR="00B61D2A" w:rsidRDefault="00B61D2A" w:rsidP="00A5553B">
      <w:pPr>
        <w:shd w:val="clear" w:color="auto" w:fill="FFFFFF"/>
        <w:tabs>
          <w:tab w:val="left" w:pos="1080"/>
        </w:tabs>
        <w:spacing w:line="240" w:lineRule="auto"/>
        <w:ind w:left="1134" w:right="1134"/>
        <w:jc w:val="both"/>
        <w:rPr>
          <w:rFonts w:ascii="Georgia" w:hAnsi="Georgia"/>
          <w:sz w:val="24"/>
          <w:szCs w:val="24"/>
        </w:rPr>
      </w:pPr>
      <w:r>
        <w:rPr>
          <w:rFonts w:ascii="Georgia" w:hAnsi="Georgia"/>
          <w:sz w:val="24"/>
          <w:szCs w:val="24"/>
        </w:rPr>
        <w:t xml:space="preserve">In the heyday of coal, one of the chief features of the industrial society of the south was the scarcity of employment for women. Indeed, Gwyn A. Williams claimed that Wales’s experience of industrialization caused the word ‘work’ to </w:t>
      </w:r>
      <w:r w:rsidR="00A5553B">
        <w:rPr>
          <w:rFonts w:ascii="Georgia" w:hAnsi="Georgia"/>
          <w:sz w:val="24"/>
          <w:szCs w:val="24"/>
        </w:rPr>
        <w:t xml:space="preserve">be ‘reconstructed on </w:t>
      </w:r>
      <w:r w:rsidR="00A5553B">
        <w:rPr>
          <w:rFonts w:ascii="Georgia" w:hAnsi="Georgia"/>
          <w:sz w:val="24"/>
          <w:szCs w:val="24"/>
        </w:rPr>
        <w:lastRenderedPageBreak/>
        <w:t>masculine principles’. This all changed in the decades after the Second World War.</w:t>
      </w:r>
      <w:r>
        <w:rPr>
          <w:rFonts w:ascii="Georgia" w:hAnsi="Georgia"/>
          <w:sz w:val="24"/>
          <w:szCs w:val="24"/>
        </w:rPr>
        <w:t xml:space="preserve"> </w:t>
      </w:r>
      <w:r w:rsidR="00A5553B">
        <w:rPr>
          <w:rStyle w:val="FootnoteReference"/>
          <w:rFonts w:ascii="Georgia" w:hAnsi="Georgia"/>
          <w:sz w:val="24"/>
          <w:szCs w:val="24"/>
        </w:rPr>
        <w:footnoteReference w:id="16"/>
      </w:r>
    </w:p>
    <w:p w14:paraId="65975F12" w14:textId="00393183" w:rsidR="000E21C4" w:rsidRDefault="00123A85"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0E21C4">
        <w:rPr>
          <w:rFonts w:ascii="Georgia" w:hAnsi="Georgia"/>
          <w:sz w:val="24"/>
          <w:szCs w:val="24"/>
        </w:rPr>
        <w:t>The manufacturing industry was growing,</w:t>
      </w:r>
      <w:r w:rsidR="00DE165A">
        <w:rPr>
          <w:rFonts w:ascii="Georgia" w:hAnsi="Georgia"/>
          <w:sz w:val="24"/>
          <w:szCs w:val="24"/>
        </w:rPr>
        <w:t xml:space="preserve"> </w:t>
      </w:r>
      <w:r w:rsidR="000E21C4">
        <w:rPr>
          <w:rFonts w:ascii="Georgia" w:hAnsi="Georgia"/>
          <w:sz w:val="24"/>
          <w:szCs w:val="24"/>
        </w:rPr>
        <w:t xml:space="preserve">employing more and more women as it did so. If fields such as manufacturing had </w:t>
      </w:r>
      <w:proofErr w:type="gramStart"/>
      <w:r w:rsidR="000E21C4">
        <w:rPr>
          <w:rFonts w:ascii="Georgia" w:hAnsi="Georgia"/>
          <w:sz w:val="24"/>
          <w:szCs w:val="24"/>
        </w:rPr>
        <w:t>been seen as</w:t>
      </w:r>
      <w:proofErr w:type="gramEnd"/>
      <w:r w:rsidR="000E21C4">
        <w:rPr>
          <w:rFonts w:ascii="Georgia" w:hAnsi="Georgia"/>
          <w:sz w:val="24"/>
          <w:szCs w:val="24"/>
        </w:rPr>
        <w:t xml:space="preserve"> the more feminine counterpart to masculine heavy industries earlier in the 20</w:t>
      </w:r>
      <w:r w:rsidR="000E21C4" w:rsidRPr="000E21C4">
        <w:rPr>
          <w:rFonts w:ascii="Georgia" w:hAnsi="Georgia"/>
          <w:sz w:val="24"/>
          <w:szCs w:val="24"/>
          <w:vertAlign w:val="superscript"/>
        </w:rPr>
        <w:t>th</w:t>
      </w:r>
      <w:r w:rsidR="000E21C4">
        <w:rPr>
          <w:rFonts w:ascii="Georgia" w:hAnsi="Georgia"/>
          <w:sz w:val="24"/>
          <w:szCs w:val="24"/>
        </w:rPr>
        <w:t xml:space="preserve"> century, women were able to take advantage of this association after WWII, when </w:t>
      </w:r>
      <w:r w:rsidR="00D7754C">
        <w:rPr>
          <w:rFonts w:ascii="Georgia" w:hAnsi="Georgia"/>
          <w:sz w:val="24"/>
          <w:szCs w:val="24"/>
        </w:rPr>
        <w:t xml:space="preserve">economic power began to shift in the direction of these historically female-dominated professions. </w:t>
      </w:r>
      <w:r w:rsidR="000E21C4">
        <w:rPr>
          <w:rFonts w:ascii="Georgia" w:hAnsi="Georgia"/>
          <w:sz w:val="24"/>
          <w:szCs w:val="24"/>
        </w:rPr>
        <w:t xml:space="preserve"> </w:t>
      </w:r>
      <w:r w:rsidR="00CB425C">
        <w:rPr>
          <w:rFonts w:ascii="Georgia" w:hAnsi="Georgia"/>
          <w:sz w:val="24"/>
          <w:szCs w:val="24"/>
        </w:rPr>
        <w:t xml:space="preserve">Other </w:t>
      </w:r>
      <w:r w:rsidR="002F06FA">
        <w:rPr>
          <w:rFonts w:ascii="Georgia" w:hAnsi="Georgia"/>
          <w:sz w:val="24"/>
          <w:szCs w:val="24"/>
        </w:rPr>
        <w:t xml:space="preserve">occupations became increasingly popular for women, such as office work, while the field of teaching remained a primarily female profession. </w:t>
      </w:r>
      <w:r w:rsidR="002F06FA">
        <w:rPr>
          <w:rStyle w:val="FootnoteReference"/>
          <w:rFonts w:ascii="Georgia" w:hAnsi="Georgia"/>
          <w:sz w:val="24"/>
          <w:szCs w:val="24"/>
        </w:rPr>
        <w:footnoteReference w:id="17"/>
      </w:r>
      <w:r w:rsidR="002F06FA">
        <w:rPr>
          <w:rFonts w:ascii="Georgia" w:hAnsi="Georgia"/>
          <w:sz w:val="24"/>
          <w:szCs w:val="24"/>
        </w:rPr>
        <w:t xml:space="preserve"> </w:t>
      </w:r>
      <w:r w:rsidR="00B61D2A">
        <w:rPr>
          <w:rFonts w:ascii="Georgia" w:hAnsi="Georgia"/>
          <w:sz w:val="24"/>
          <w:szCs w:val="24"/>
        </w:rPr>
        <w:t xml:space="preserve">This general shift, from the old heavy industries to newer industries such as manufacturing, was not limited to the 1940s, but continues to this day. </w:t>
      </w:r>
      <w:r w:rsidR="007637BC">
        <w:rPr>
          <w:rFonts w:ascii="Georgia" w:hAnsi="Georgia"/>
          <w:sz w:val="24"/>
          <w:szCs w:val="24"/>
        </w:rPr>
        <w:t>Writing in the 1980s but specifically referencing 1983, Gwyn A. Williams wrote that, ‘The entire Welsh working population was beginning to take on the character of “women’s work”’.</w:t>
      </w:r>
      <w:r w:rsidR="007637BC">
        <w:rPr>
          <w:rStyle w:val="FootnoteReference"/>
          <w:rFonts w:ascii="Georgia" w:hAnsi="Georgia"/>
          <w:sz w:val="24"/>
          <w:szCs w:val="24"/>
        </w:rPr>
        <w:footnoteReference w:id="18"/>
      </w:r>
      <w:r w:rsidR="007637BC">
        <w:rPr>
          <w:rFonts w:ascii="Georgia" w:hAnsi="Georgia"/>
          <w:sz w:val="24"/>
          <w:szCs w:val="24"/>
        </w:rPr>
        <w:t xml:space="preserve"> </w:t>
      </w:r>
      <w:r w:rsidR="000E1358">
        <w:rPr>
          <w:rFonts w:ascii="Georgia" w:hAnsi="Georgia"/>
          <w:sz w:val="24"/>
          <w:szCs w:val="24"/>
        </w:rPr>
        <w:t xml:space="preserve">If heavy industry continues to decline and manufacturing and its related industries continue to rise, </w:t>
      </w:r>
      <w:r w:rsidR="00B76C01">
        <w:rPr>
          <w:rFonts w:ascii="Georgia" w:hAnsi="Georgia"/>
          <w:sz w:val="24"/>
          <w:szCs w:val="24"/>
        </w:rPr>
        <w:t xml:space="preserve">this trend towards ‘women’s work’ will likely continue. </w:t>
      </w:r>
    </w:p>
    <w:p w14:paraId="39024328" w14:textId="495AF87A" w:rsidR="001E3166" w:rsidRDefault="001E3166"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When we talk about the relationship between the decline of heavy industry in Wales and the changing roles of women in</w:t>
      </w:r>
      <w:r w:rsidR="00835519">
        <w:rPr>
          <w:rFonts w:ascii="Georgia" w:hAnsi="Georgia"/>
          <w:sz w:val="24"/>
          <w:szCs w:val="24"/>
        </w:rPr>
        <w:t xml:space="preserve"> Welsh s</w:t>
      </w:r>
      <w:r>
        <w:rPr>
          <w:rFonts w:ascii="Georgia" w:hAnsi="Georgia"/>
          <w:sz w:val="24"/>
          <w:szCs w:val="24"/>
        </w:rPr>
        <w:t>ociety, it is important to acknowledge that though these two shifts do have a correlation, they do not exist in a vacuum. I would argue that even more significant tha</w:t>
      </w:r>
      <w:r w:rsidR="00F5431D">
        <w:rPr>
          <w:rFonts w:ascii="Georgia" w:hAnsi="Georgia"/>
          <w:sz w:val="24"/>
          <w:szCs w:val="24"/>
        </w:rPr>
        <w:t>n</w:t>
      </w:r>
      <w:r>
        <w:rPr>
          <w:rFonts w:ascii="Georgia" w:hAnsi="Georgia"/>
          <w:sz w:val="24"/>
          <w:szCs w:val="24"/>
        </w:rPr>
        <w:t xml:space="preserve"> the decline of heavy industry was the rise of the industries which replaced it</w:t>
      </w:r>
      <w:r w:rsidR="00595C46">
        <w:rPr>
          <w:rFonts w:ascii="Georgia" w:hAnsi="Georgia"/>
          <w:sz w:val="24"/>
          <w:szCs w:val="24"/>
        </w:rPr>
        <w:t>, at least when it came to the lives of women</w:t>
      </w:r>
      <w:r>
        <w:rPr>
          <w:rFonts w:ascii="Georgia" w:hAnsi="Georgia"/>
          <w:sz w:val="24"/>
          <w:szCs w:val="24"/>
        </w:rPr>
        <w:t xml:space="preserve">. When heavy industry </w:t>
      </w:r>
      <w:r w:rsidR="00595C46">
        <w:rPr>
          <w:rFonts w:ascii="Georgia" w:hAnsi="Georgia"/>
          <w:sz w:val="24"/>
          <w:szCs w:val="24"/>
        </w:rPr>
        <w:t>plummeted</w:t>
      </w:r>
      <w:r>
        <w:rPr>
          <w:rFonts w:ascii="Georgia" w:hAnsi="Georgia"/>
          <w:sz w:val="24"/>
          <w:szCs w:val="24"/>
        </w:rPr>
        <w:t xml:space="preserve"> during the economic depression of the post-WWI years, women were not suddenly free to get their own jobs and become independent. Rather, unemployment rose for both men and women, while many wives were also tasked with supporting their </w:t>
      </w:r>
      <w:r>
        <w:rPr>
          <w:rFonts w:ascii="Georgia" w:hAnsi="Georgia"/>
          <w:sz w:val="24"/>
          <w:szCs w:val="24"/>
        </w:rPr>
        <w:lastRenderedPageBreak/>
        <w:t xml:space="preserve">unemployed or striking husbands at home. Even if heavy industry was a traditionally masculine field, </w:t>
      </w:r>
      <w:r w:rsidR="00293C56">
        <w:rPr>
          <w:rFonts w:ascii="Georgia" w:hAnsi="Georgia"/>
          <w:sz w:val="24"/>
          <w:szCs w:val="24"/>
        </w:rPr>
        <w:t>its decline alone was not enough to boost women into a position of equality on a par with men. This opportunity came some years later, when the hole in the economy left by heavy industry was replaced by new occupations</w:t>
      </w:r>
      <w:r w:rsidR="00DA6276">
        <w:rPr>
          <w:rFonts w:ascii="Georgia" w:hAnsi="Georgia"/>
          <w:sz w:val="24"/>
          <w:szCs w:val="24"/>
        </w:rPr>
        <w:t xml:space="preserve"> that were more welcoming towards women</w:t>
      </w:r>
      <w:bookmarkStart w:id="5" w:name="_GoBack"/>
      <w:bookmarkEnd w:id="5"/>
      <w:r w:rsidR="00293C56">
        <w:rPr>
          <w:rFonts w:ascii="Georgia" w:hAnsi="Georgia"/>
          <w:sz w:val="24"/>
          <w:szCs w:val="24"/>
        </w:rPr>
        <w:t xml:space="preserve">. It was these new jobs that gave women employment </w:t>
      </w:r>
      <w:r w:rsidR="006E74B0">
        <w:rPr>
          <w:rFonts w:ascii="Georgia" w:hAnsi="Georgia"/>
          <w:sz w:val="24"/>
          <w:szCs w:val="24"/>
        </w:rPr>
        <w:t>opportunities</w:t>
      </w:r>
      <w:r w:rsidR="00293C56">
        <w:rPr>
          <w:rFonts w:ascii="Georgia" w:hAnsi="Georgia"/>
          <w:sz w:val="24"/>
          <w:szCs w:val="24"/>
        </w:rPr>
        <w:t xml:space="preserve">, and in the process allowed them to become more independent. There was undoubtedly social backlash against this, and the progress towards women’s liberation was not linear. However, that progress which did exist was not going to be stopped easily. The move towards women’s economic liberation had begun with the decline of heavy industry, been solidified through the rise of manufacturing, and continues </w:t>
      </w:r>
      <w:r w:rsidR="00595C46">
        <w:rPr>
          <w:rFonts w:ascii="Georgia" w:hAnsi="Georgia"/>
          <w:sz w:val="24"/>
          <w:szCs w:val="24"/>
        </w:rPr>
        <w:t>even now</w:t>
      </w:r>
      <w:r w:rsidR="00293C56">
        <w:rPr>
          <w:rFonts w:ascii="Georgia" w:hAnsi="Georgia"/>
          <w:sz w:val="24"/>
          <w:szCs w:val="24"/>
        </w:rPr>
        <w:t xml:space="preserve">. Thus, while heavy industry’s fall alone did not create equality for women, it </w:t>
      </w:r>
      <w:r w:rsidR="00764129">
        <w:rPr>
          <w:rFonts w:ascii="Georgia" w:hAnsi="Georgia"/>
          <w:sz w:val="24"/>
          <w:szCs w:val="24"/>
        </w:rPr>
        <w:t>symbolised a push in that direction</w:t>
      </w:r>
      <w:r w:rsidR="00595C46">
        <w:rPr>
          <w:rFonts w:ascii="Georgia" w:hAnsi="Georgia"/>
          <w:sz w:val="24"/>
          <w:szCs w:val="24"/>
        </w:rPr>
        <w:t xml:space="preserve"> – a push whose impact is still felt in the present day.</w:t>
      </w:r>
    </w:p>
    <w:p w14:paraId="2CFD0AE1" w14:textId="02971D67" w:rsidR="000E1358" w:rsidRPr="00B6556C" w:rsidRDefault="000E1358" w:rsidP="00BA604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p>
    <w:p w14:paraId="17CA862F" w14:textId="77777777" w:rsidR="00920E05" w:rsidRPr="00B6556C" w:rsidRDefault="00920E05" w:rsidP="00BA604B">
      <w:pPr>
        <w:shd w:val="clear" w:color="auto" w:fill="FFFFFF"/>
        <w:tabs>
          <w:tab w:val="left" w:pos="1080"/>
        </w:tabs>
        <w:spacing w:after="0" w:line="480" w:lineRule="auto"/>
        <w:jc w:val="both"/>
        <w:rPr>
          <w:rFonts w:ascii="Georgia" w:hAnsi="Georgia"/>
          <w:sz w:val="24"/>
          <w:szCs w:val="24"/>
        </w:rPr>
      </w:pPr>
    </w:p>
    <w:p w14:paraId="0F810BB9" w14:textId="77777777" w:rsidR="00920E05" w:rsidRPr="00B6556C" w:rsidRDefault="00920E05" w:rsidP="00BA604B">
      <w:pPr>
        <w:shd w:val="clear" w:color="auto" w:fill="FFFFFF"/>
        <w:tabs>
          <w:tab w:val="left" w:pos="1080"/>
        </w:tabs>
        <w:spacing w:after="0" w:line="480" w:lineRule="auto"/>
        <w:jc w:val="both"/>
        <w:rPr>
          <w:rFonts w:ascii="Georgia" w:hAnsi="Georgia"/>
          <w:sz w:val="24"/>
          <w:szCs w:val="24"/>
        </w:rPr>
      </w:pPr>
    </w:p>
    <w:p w14:paraId="1DFBB982" w14:textId="77777777" w:rsidR="00920E05" w:rsidRPr="00B6556C" w:rsidRDefault="00920E05" w:rsidP="00BA604B">
      <w:pPr>
        <w:shd w:val="clear" w:color="auto" w:fill="FFFFFF"/>
        <w:tabs>
          <w:tab w:val="left" w:pos="1080"/>
        </w:tabs>
        <w:spacing w:after="0" w:line="480" w:lineRule="auto"/>
        <w:jc w:val="both"/>
        <w:rPr>
          <w:rFonts w:ascii="Georgia" w:hAnsi="Georgia"/>
          <w:sz w:val="24"/>
          <w:szCs w:val="24"/>
        </w:rPr>
      </w:pPr>
    </w:p>
    <w:p w14:paraId="29B71618" w14:textId="77777777" w:rsidR="00920E05" w:rsidRPr="00B6556C" w:rsidRDefault="00920E05" w:rsidP="00BA604B">
      <w:pPr>
        <w:shd w:val="clear" w:color="auto" w:fill="FFFFFF"/>
        <w:tabs>
          <w:tab w:val="left" w:pos="1080"/>
        </w:tabs>
        <w:spacing w:after="0" w:line="480" w:lineRule="auto"/>
        <w:jc w:val="both"/>
        <w:rPr>
          <w:rFonts w:ascii="Georgia" w:hAnsi="Georgia"/>
          <w:sz w:val="24"/>
          <w:szCs w:val="24"/>
        </w:rPr>
      </w:pPr>
    </w:p>
    <w:p w14:paraId="33F2530F" w14:textId="7928FC8B" w:rsidR="00920E05" w:rsidRDefault="00920E05" w:rsidP="00BA604B">
      <w:pPr>
        <w:shd w:val="clear" w:color="auto" w:fill="FFFFFF"/>
        <w:tabs>
          <w:tab w:val="left" w:pos="1080"/>
        </w:tabs>
        <w:spacing w:after="0" w:line="480" w:lineRule="auto"/>
        <w:jc w:val="both"/>
        <w:rPr>
          <w:rFonts w:ascii="Georgia" w:hAnsi="Georgia"/>
          <w:sz w:val="24"/>
          <w:szCs w:val="24"/>
        </w:rPr>
      </w:pPr>
    </w:p>
    <w:p w14:paraId="346D6558" w14:textId="63D5BCC1" w:rsidR="00B507FC" w:rsidRDefault="00B507FC" w:rsidP="00BA604B">
      <w:pPr>
        <w:shd w:val="clear" w:color="auto" w:fill="FFFFFF"/>
        <w:tabs>
          <w:tab w:val="left" w:pos="1080"/>
        </w:tabs>
        <w:spacing w:after="0" w:line="480" w:lineRule="auto"/>
        <w:jc w:val="both"/>
        <w:rPr>
          <w:rFonts w:ascii="Georgia" w:hAnsi="Georgia"/>
          <w:sz w:val="24"/>
          <w:szCs w:val="24"/>
        </w:rPr>
      </w:pPr>
    </w:p>
    <w:p w14:paraId="19B72583" w14:textId="2226CD90" w:rsidR="00B507FC" w:rsidRDefault="00B507FC" w:rsidP="00BA604B">
      <w:pPr>
        <w:shd w:val="clear" w:color="auto" w:fill="FFFFFF"/>
        <w:tabs>
          <w:tab w:val="left" w:pos="1080"/>
        </w:tabs>
        <w:spacing w:after="0" w:line="480" w:lineRule="auto"/>
        <w:jc w:val="both"/>
        <w:rPr>
          <w:rFonts w:ascii="Georgia" w:hAnsi="Georgia"/>
          <w:sz w:val="24"/>
          <w:szCs w:val="24"/>
        </w:rPr>
      </w:pPr>
    </w:p>
    <w:p w14:paraId="45A8BEEA" w14:textId="75B0FA49" w:rsidR="00B507FC" w:rsidRDefault="00B507FC" w:rsidP="00BA604B">
      <w:pPr>
        <w:shd w:val="clear" w:color="auto" w:fill="FFFFFF"/>
        <w:tabs>
          <w:tab w:val="left" w:pos="1080"/>
        </w:tabs>
        <w:spacing w:after="0" w:line="480" w:lineRule="auto"/>
        <w:jc w:val="both"/>
        <w:rPr>
          <w:rFonts w:ascii="Georgia" w:hAnsi="Georgia"/>
          <w:sz w:val="24"/>
          <w:szCs w:val="24"/>
        </w:rPr>
      </w:pPr>
    </w:p>
    <w:p w14:paraId="217EB636" w14:textId="1520FA7B" w:rsidR="00B507FC" w:rsidRDefault="00B507FC" w:rsidP="00BA604B">
      <w:pPr>
        <w:shd w:val="clear" w:color="auto" w:fill="FFFFFF"/>
        <w:tabs>
          <w:tab w:val="left" w:pos="1080"/>
        </w:tabs>
        <w:spacing w:after="0" w:line="480" w:lineRule="auto"/>
        <w:jc w:val="both"/>
        <w:rPr>
          <w:rFonts w:ascii="Georgia" w:hAnsi="Georgia"/>
          <w:sz w:val="24"/>
          <w:szCs w:val="24"/>
        </w:rPr>
      </w:pPr>
    </w:p>
    <w:p w14:paraId="2D35F163" w14:textId="097A3F5B" w:rsidR="00B507FC" w:rsidRDefault="00B507FC" w:rsidP="00BA604B">
      <w:pPr>
        <w:shd w:val="clear" w:color="auto" w:fill="FFFFFF"/>
        <w:tabs>
          <w:tab w:val="left" w:pos="1080"/>
        </w:tabs>
        <w:spacing w:after="0" w:line="480" w:lineRule="auto"/>
        <w:jc w:val="both"/>
        <w:rPr>
          <w:rFonts w:ascii="Georgia" w:hAnsi="Georgia"/>
          <w:sz w:val="24"/>
          <w:szCs w:val="24"/>
        </w:rPr>
      </w:pPr>
    </w:p>
    <w:p w14:paraId="4A5F58C5" w14:textId="77777777" w:rsidR="00595C46" w:rsidRDefault="00595C46" w:rsidP="00835087">
      <w:pPr>
        <w:shd w:val="clear" w:color="auto" w:fill="FFFFFF"/>
        <w:tabs>
          <w:tab w:val="left" w:pos="1080"/>
        </w:tabs>
        <w:spacing w:after="0" w:line="480" w:lineRule="auto"/>
        <w:jc w:val="center"/>
        <w:rPr>
          <w:rFonts w:ascii="Georgia" w:hAnsi="Georgia"/>
          <w:sz w:val="28"/>
          <w:szCs w:val="28"/>
        </w:rPr>
      </w:pPr>
    </w:p>
    <w:p w14:paraId="09E8B3F2" w14:textId="45EA58D9" w:rsidR="001259E8" w:rsidRPr="00B6556C" w:rsidRDefault="0014185B" w:rsidP="00835087">
      <w:pPr>
        <w:shd w:val="clear" w:color="auto" w:fill="FFFFFF"/>
        <w:tabs>
          <w:tab w:val="left" w:pos="1080"/>
        </w:tabs>
        <w:spacing w:after="0" w:line="480" w:lineRule="auto"/>
        <w:jc w:val="center"/>
        <w:rPr>
          <w:rFonts w:ascii="Georgia" w:hAnsi="Georgia"/>
          <w:sz w:val="24"/>
          <w:szCs w:val="24"/>
        </w:rPr>
      </w:pPr>
      <w:r w:rsidRPr="00B6556C">
        <w:rPr>
          <w:rFonts w:ascii="Georgia" w:hAnsi="Georgia"/>
          <w:sz w:val="28"/>
          <w:szCs w:val="28"/>
        </w:rPr>
        <w:lastRenderedPageBreak/>
        <w:t>Bibliography</w:t>
      </w:r>
    </w:p>
    <w:p w14:paraId="5F6125C6" w14:textId="77777777" w:rsidR="00291E3C" w:rsidRPr="00165CBC" w:rsidRDefault="00291E3C" w:rsidP="00165CBC">
      <w:pPr>
        <w:spacing w:after="0" w:line="480" w:lineRule="auto"/>
        <w:ind w:left="360" w:hanging="360"/>
        <w:rPr>
          <w:rFonts w:ascii="Georgia" w:hAnsi="Georgia"/>
        </w:rPr>
      </w:pPr>
      <w:r w:rsidRPr="00165CBC">
        <w:rPr>
          <w:rFonts w:ascii="Georgia" w:hAnsi="Georgia"/>
        </w:rPr>
        <w:t>Aaron</w:t>
      </w:r>
      <w:r>
        <w:rPr>
          <w:rFonts w:ascii="Georgia" w:hAnsi="Georgia"/>
        </w:rPr>
        <w:t>,</w:t>
      </w:r>
      <w:r w:rsidRPr="00165CBC">
        <w:rPr>
          <w:rFonts w:ascii="Georgia" w:hAnsi="Georgia"/>
        </w:rPr>
        <w:t xml:space="preserve"> </w:t>
      </w:r>
      <w:r w:rsidRPr="00165CBC">
        <w:rPr>
          <w:rFonts w:ascii="Georgia" w:hAnsi="Georgia"/>
        </w:rPr>
        <w:t xml:space="preserve">Jane et al., </w:t>
      </w:r>
      <w:r w:rsidRPr="00165CBC">
        <w:rPr>
          <w:rFonts w:ascii="Georgia" w:hAnsi="Georgia"/>
          <w:i/>
        </w:rPr>
        <w:t>Our Sisters’ Land</w:t>
      </w:r>
      <w:r>
        <w:rPr>
          <w:rFonts w:ascii="Georgia" w:hAnsi="Georgia"/>
          <w:i/>
        </w:rPr>
        <w:t xml:space="preserve">: </w:t>
      </w:r>
      <w:r w:rsidRPr="00165CBC">
        <w:rPr>
          <w:rFonts w:ascii="Georgia" w:hAnsi="Georgia"/>
          <w:i/>
        </w:rPr>
        <w:t>The Changing Identities of Women in Wales (</w:t>
      </w:r>
      <w:r>
        <w:rPr>
          <w:rFonts w:ascii="Georgia" w:hAnsi="Georgia"/>
        </w:rPr>
        <w:t>Cardiff: University of Wales Press, 1994)</w:t>
      </w:r>
    </w:p>
    <w:p w14:paraId="2CF30F20" w14:textId="5A87C20F" w:rsidR="00291E3C" w:rsidRDefault="00291E3C" w:rsidP="00165CBC">
      <w:pPr>
        <w:spacing w:after="0" w:line="480" w:lineRule="auto"/>
        <w:ind w:left="360" w:hanging="360"/>
        <w:rPr>
          <w:rFonts w:ascii="Georgia" w:hAnsi="Georgia"/>
        </w:rPr>
      </w:pPr>
      <w:proofErr w:type="spellStart"/>
      <w:r w:rsidRPr="00165CBC">
        <w:rPr>
          <w:rFonts w:ascii="Georgia" w:hAnsi="Georgia"/>
        </w:rPr>
        <w:t>Beddoe</w:t>
      </w:r>
      <w:proofErr w:type="spellEnd"/>
      <w:r>
        <w:rPr>
          <w:rFonts w:ascii="Georgia" w:hAnsi="Georgia"/>
        </w:rPr>
        <w:t>,</w:t>
      </w:r>
      <w:r w:rsidRPr="00165CBC">
        <w:rPr>
          <w:rFonts w:ascii="Georgia" w:hAnsi="Georgia"/>
        </w:rPr>
        <w:t xml:space="preserve"> </w:t>
      </w:r>
      <w:r w:rsidRPr="00165CBC">
        <w:rPr>
          <w:rFonts w:ascii="Georgia" w:hAnsi="Georgia"/>
        </w:rPr>
        <w:t xml:space="preserve">Deirdre, </w:t>
      </w:r>
      <w:r w:rsidRPr="00165CBC">
        <w:rPr>
          <w:rFonts w:ascii="Georgia" w:hAnsi="Georgia"/>
          <w:i/>
        </w:rPr>
        <w:t>Out of the Shadows: A History of Women in Twentieth-Century Wales</w:t>
      </w:r>
      <w:r w:rsidRPr="00165CBC">
        <w:rPr>
          <w:rFonts w:ascii="Georgia" w:hAnsi="Georgia"/>
        </w:rPr>
        <w:t xml:space="preserve"> (Cardiff: University of Wales Press, 2000)</w:t>
      </w:r>
    </w:p>
    <w:p w14:paraId="0397F6AD" w14:textId="23003897" w:rsidR="00291E3C" w:rsidRDefault="00291E3C" w:rsidP="00165CBC">
      <w:pPr>
        <w:spacing w:after="0" w:line="480" w:lineRule="auto"/>
        <w:rPr>
          <w:rFonts w:ascii="Georgia" w:hAnsi="Georgia"/>
        </w:rPr>
      </w:pPr>
      <w:r w:rsidRPr="00165CBC">
        <w:rPr>
          <w:rFonts w:ascii="Georgia" w:hAnsi="Georgia"/>
        </w:rPr>
        <w:t>Davies</w:t>
      </w:r>
      <w:r>
        <w:rPr>
          <w:rFonts w:ascii="Georgia" w:hAnsi="Georgia"/>
        </w:rPr>
        <w:t>,</w:t>
      </w:r>
      <w:r w:rsidRPr="00165CBC">
        <w:rPr>
          <w:rFonts w:ascii="Georgia" w:hAnsi="Georgia"/>
        </w:rPr>
        <w:t xml:space="preserve"> </w:t>
      </w:r>
      <w:r w:rsidRPr="00165CBC">
        <w:rPr>
          <w:rFonts w:ascii="Georgia" w:hAnsi="Georgia"/>
        </w:rPr>
        <w:t>John</w:t>
      </w:r>
      <w:r w:rsidRPr="00165CBC">
        <w:rPr>
          <w:rFonts w:ascii="Georgia" w:hAnsi="Georgia"/>
          <w:i/>
        </w:rPr>
        <w:t>, A History of Wales</w:t>
      </w:r>
      <w:r w:rsidRPr="00165CBC">
        <w:rPr>
          <w:rFonts w:ascii="Georgia" w:hAnsi="Georgia"/>
        </w:rPr>
        <w:t xml:space="preserve"> (London: Penguin Books, 2007)</w:t>
      </w:r>
    </w:p>
    <w:p w14:paraId="77DEF93A" w14:textId="4EC22C1A" w:rsidR="00291E3C" w:rsidRPr="00165CBC" w:rsidRDefault="00291E3C" w:rsidP="00165CBC">
      <w:pPr>
        <w:spacing w:after="0" w:line="480" w:lineRule="auto"/>
        <w:ind w:left="360" w:hanging="360"/>
        <w:rPr>
          <w:rFonts w:ascii="Georgia" w:hAnsi="Georgia"/>
        </w:rPr>
      </w:pPr>
      <w:r w:rsidRPr="00165CBC">
        <w:rPr>
          <w:rFonts w:ascii="Georgia" w:hAnsi="Georgia"/>
        </w:rPr>
        <w:t>Jenkins</w:t>
      </w:r>
      <w:r>
        <w:rPr>
          <w:rFonts w:ascii="Georgia" w:hAnsi="Georgia"/>
        </w:rPr>
        <w:t>,</w:t>
      </w:r>
      <w:r w:rsidRPr="00165CBC">
        <w:rPr>
          <w:rFonts w:ascii="Georgia" w:hAnsi="Georgia"/>
        </w:rPr>
        <w:t xml:space="preserve"> </w:t>
      </w:r>
      <w:r w:rsidRPr="00165CBC">
        <w:rPr>
          <w:rFonts w:ascii="Georgia" w:hAnsi="Georgia"/>
        </w:rPr>
        <w:t xml:space="preserve">Philip, </w:t>
      </w:r>
      <w:r w:rsidRPr="00165CBC">
        <w:rPr>
          <w:rFonts w:ascii="Georgia" w:hAnsi="Georgia"/>
          <w:i/>
        </w:rPr>
        <w:t>A History of Modern Wales: 1536-1990</w:t>
      </w:r>
      <w:r>
        <w:rPr>
          <w:rFonts w:ascii="Georgia" w:hAnsi="Georgia"/>
        </w:rPr>
        <w:t xml:space="preserve"> </w:t>
      </w:r>
      <w:r w:rsidRPr="00291E3C">
        <w:rPr>
          <w:rFonts w:ascii="Georgia" w:hAnsi="Georgia"/>
        </w:rPr>
        <w:t>(London: Longman</w:t>
      </w:r>
      <w:r w:rsidR="00315B01">
        <w:rPr>
          <w:rFonts w:ascii="Georgia" w:hAnsi="Georgia"/>
        </w:rPr>
        <w:t xml:space="preserve">, </w:t>
      </w:r>
      <w:r w:rsidRPr="00291E3C">
        <w:rPr>
          <w:rFonts w:ascii="Georgia" w:hAnsi="Georgia"/>
        </w:rPr>
        <w:t>1992)</w:t>
      </w:r>
    </w:p>
    <w:p w14:paraId="400C109E" w14:textId="77777777" w:rsidR="00291E3C" w:rsidRDefault="00291E3C" w:rsidP="00165CBC">
      <w:pPr>
        <w:spacing w:after="0" w:line="480" w:lineRule="auto"/>
        <w:ind w:left="360" w:hanging="360"/>
        <w:rPr>
          <w:rFonts w:ascii="Georgia" w:hAnsi="Georgia"/>
        </w:rPr>
      </w:pPr>
      <w:r>
        <w:rPr>
          <w:rFonts w:ascii="Georgia" w:hAnsi="Georgia"/>
        </w:rPr>
        <w:t>John</w:t>
      </w:r>
      <w:r>
        <w:rPr>
          <w:rFonts w:ascii="Georgia" w:hAnsi="Georgia"/>
        </w:rPr>
        <w:t xml:space="preserve">, Angela V., </w:t>
      </w:r>
      <w:r w:rsidRPr="00165CBC">
        <w:rPr>
          <w:rFonts w:ascii="Georgia" w:hAnsi="Georgia"/>
          <w:i/>
        </w:rPr>
        <w:t>Our Mothers’ Land: Chapters in Welsh Women’s History 1830-1939</w:t>
      </w:r>
      <w:r>
        <w:rPr>
          <w:rFonts w:ascii="Georgia" w:hAnsi="Georgia"/>
        </w:rPr>
        <w:t xml:space="preserve"> (Cardiff: University of Wales Press, 1991)</w:t>
      </w:r>
    </w:p>
    <w:p w14:paraId="29E662A1" w14:textId="77777777" w:rsidR="00291E3C" w:rsidRPr="00165CBC" w:rsidRDefault="00291E3C" w:rsidP="00165CBC">
      <w:pPr>
        <w:spacing w:after="0" w:line="480" w:lineRule="auto"/>
        <w:ind w:left="360" w:hanging="360"/>
        <w:rPr>
          <w:rFonts w:ascii="Georgia" w:hAnsi="Georgia"/>
        </w:rPr>
      </w:pPr>
      <w:r w:rsidRPr="00165CBC">
        <w:rPr>
          <w:rFonts w:ascii="Georgia" w:hAnsi="Georgia"/>
        </w:rPr>
        <w:t>Morgan</w:t>
      </w:r>
      <w:r>
        <w:rPr>
          <w:rFonts w:ascii="Georgia" w:hAnsi="Georgia"/>
        </w:rPr>
        <w:t>,</w:t>
      </w:r>
      <w:r w:rsidRPr="00165CBC">
        <w:rPr>
          <w:rFonts w:ascii="Georgia" w:hAnsi="Georgia"/>
        </w:rPr>
        <w:t xml:space="preserve"> </w:t>
      </w:r>
      <w:r w:rsidRPr="00165CBC">
        <w:rPr>
          <w:rFonts w:ascii="Georgia" w:hAnsi="Georgia"/>
        </w:rPr>
        <w:t xml:space="preserve">Kenneth O., </w:t>
      </w:r>
      <w:r w:rsidRPr="00165CBC">
        <w:rPr>
          <w:rFonts w:ascii="Georgia" w:hAnsi="Georgia"/>
          <w:i/>
        </w:rPr>
        <w:t>Rebirth of a Nation: Wales 1880-1980</w:t>
      </w:r>
      <w:r w:rsidRPr="00165CBC">
        <w:rPr>
          <w:rFonts w:ascii="Georgia" w:hAnsi="Georgia"/>
        </w:rPr>
        <w:t xml:space="preserve"> (Oxford: Oxford University Press, 1982)</w:t>
      </w:r>
    </w:p>
    <w:p w14:paraId="06627D2E" w14:textId="27D9F541" w:rsidR="00291E3C" w:rsidRDefault="00291E3C" w:rsidP="00165CBC">
      <w:pPr>
        <w:spacing w:after="0" w:line="480" w:lineRule="auto"/>
        <w:rPr>
          <w:rFonts w:ascii="Georgia" w:hAnsi="Georgia"/>
        </w:rPr>
      </w:pPr>
      <w:r w:rsidRPr="00165CBC">
        <w:rPr>
          <w:rFonts w:ascii="Georgia" w:hAnsi="Georgia"/>
        </w:rPr>
        <w:t>Williams</w:t>
      </w:r>
      <w:r>
        <w:rPr>
          <w:rFonts w:ascii="Georgia" w:hAnsi="Georgia"/>
        </w:rPr>
        <w:t>,</w:t>
      </w:r>
      <w:r w:rsidRPr="00165CBC">
        <w:rPr>
          <w:rFonts w:ascii="Georgia" w:hAnsi="Georgia"/>
        </w:rPr>
        <w:t xml:space="preserve"> </w:t>
      </w:r>
      <w:r w:rsidRPr="00165CBC">
        <w:rPr>
          <w:rFonts w:ascii="Georgia" w:hAnsi="Georgia"/>
        </w:rPr>
        <w:t xml:space="preserve">Gwyn A., </w:t>
      </w:r>
      <w:r w:rsidRPr="00165CBC">
        <w:rPr>
          <w:rFonts w:ascii="Georgia" w:hAnsi="Georgia"/>
          <w:i/>
        </w:rPr>
        <w:t>When Was Wales?</w:t>
      </w:r>
      <w:r w:rsidRPr="00165CBC">
        <w:rPr>
          <w:rFonts w:ascii="Georgia" w:hAnsi="Georgia"/>
        </w:rPr>
        <w:t xml:space="preserve"> (London: Penguin Books, 1991)</w:t>
      </w:r>
    </w:p>
    <w:p w14:paraId="65D3AC14" w14:textId="77777777" w:rsidR="00165CBC" w:rsidRPr="00165CBC" w:rsidRDefault="00165CBC" w:rsidP="00165CBC">
      <w:pPr>
        <w:spacing w:after="0" w:line="480" w:lineRule="auto"/>
        <w:ind w:left="360" w:hanging="360"/>
        <w:rPr>
          <w:rFonts w:ascii="Georgia" w:hAnsi="Georgia"/>
        </w:rPr>
      </w:pPr>
    </w:p>
    <w:sectPr w:rsidR="00165CBC" w:rsidRPr="00165CBC" w:rsidSect="00563515">
      <w:headerReference w:type="default" r:id="rId8"/>
      <w:pgSz w:w="12240" w:h="15840"/>
      <w:pgMar w:top="1389" w:right="1389" w:bottom="1389" w:left="1389"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34657" w14:textId="77777777" w:rsidR="009E008D" w:rsidRDefault="009E008D" w:rsidP="007A6B7C">
      <w:pPr>
        <w:spacing w:after="0" w:line="240" w:lineRule="auto"/>
      </w:pPr>
      <w:r>
        <w:separator/>
      </w:r>
    </w:p>
  </w:endnote>
  <w:endnote w:type="continuationSeparator" w:id="0">
    <w:p w14:paraId="55699238" w14:textId="77777777" w:rsidR="009E008D" w:rsidRDefault="009E008D"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AFBF3" w14:textId="77777777" w:rsidR="009E008D" w:rsidRDefault="009E008D" w:rsidP="007A6B7C">
      <w:pPr>
        <w:spacing w:after="0" w:line="240" w:lineRule="auto"/>
      </w:pPr>
      <w:r>
        <w:separator/>
      </w:r>
    </w:p>
  </w:footnote>
  <w:footnote w:type="continuationSeparator" w:id="0">
    <w:p w14:paraId="6C604338" w14:textId="77777777" w:rsidR="009E008D" w:rsidRDefault="009E008D" w:rsidP="007A6B7C">
      <w:pPr>
        <w:spacing w:after="0" w:line="240" w:lineRule="auto"/>
      </w:pPr>
      <w:r>
        <w:continuationSeparator/>
      </w:r>
    </w:p>
  </w:footnote>
  <w:footnote w:id="1">
    <w:p w14:paraId="30976D5C" w14:textId="436A2009" w:rsidR="00B6556C" w:rsidRDefault="00B6556C">
      <w:pPr>
        <w:pStyle w:val="FootnoteText"/>
      </w:pPr>
      <w:r>
        <w:rPr>
          <w:rStyle w:val="FootnoteReference"/>
        </w:rPr>
        <w:footnoteRef/>
      </w:r>
      <w:r>
        <w:t xml:space="preserve"> </w:t>
      </w:r>
      <w:bookmarkStart w:id="0" w:name="_Hlk543628"/>
      <w:r w:rsidR="00EA361B">
        <w:t xml:space="preserve">Kenneth O. </w:t>
      </w:r>
      <w:r>
        <w:t xml:space="preserve">Morgan, </w:t>
      </w:r>
      <w:r w:rsidR="00EA361B" w:rsidRPr="00EA361B">
        <w:rPr>
          <w:i/>
        </w:rPr>
        <w:t xml:space="preserve">Rebirth of a Nation: </w:t>
      </w:r>
      <w:r w:rsidRPr="00EA361B">
        <w:rPr>
          <w:i/>
        </w:rPr>
        <w:t>Wales 1880-1980</w:t>
      </w:r>
      <w:r w:rsidR="00EA361B">
        <w:t xml:space="preserve"> (Oxford: Oxford University Press, 1982)</w:t>
      </w:r>
      <w:r>
        <w:t>, p. 126</w:t>
      </w:r>
      <w:r w:rsidR="00214B2F">
        <w:t>.</w:t>
      </w:r>
    </w:p>
  </w:footnote>
  <w:footnote w:id="2">
    <w:p w14:paraId="518CB50F" w14:textId="7D3A7A7D" w:rsidR="00B6556C" w:rsidRDefault="00B6556C">
      <w:pPr>
        <w:pStyle w:val="FootnoteText"/>
      </w:pPr>
      <w:r>
        <w:rPr>
          <w:rStyle w:val="FootnoteReference"/>
        </w:rPr>
        <w:footnoteRef/>
      </w:r>
      <w:r>
        <w:t xml:space="preserve"> Morgan, p. 125.</w:t>
      </w:r>
    </w:p>
  </w:footnote>
  <w:footnote w:id="3">
    <w:p w14:paraId="23A0CBD9" w14:textId="553B0B5E" w:rsidR="0006613B" w:rsidRDefault="0006613B">
      <w:pPr>
        <w:pStyle w:val="FootnoteText"/>
      </w:pPr>
      <w:r>
        <w:rPr>
          <w:rStyle w:val="FootnoteReference"/>
        </w:rPr>
        <w:footnoteRef/>
      </w:r>
      <w:r>
        <w:t xml:space="preserve"> </w:t>
      </w:r>
      <w:r w:rsidR="00196D71">
        <w:t xml:space="preserve">Philip Jenkins, </w:t>
      </w:r>
      <w:r w:rsidR="00196D71" w:rsidRPr="00196D71">
        <w:rPr>
          <w:i/>
        </w:rPr>
        <w:t xml:space="preserve">A History of </w:t>
      </w:r>
      <w:r w:rsidRPr="00196D71">
        <w:rPr>
          <w:i/>
        </w:rPr>
        <w:t>Modern Wales</w:t>
      </w:r>
      <w:r w:rsidR="00196D71" w:rsidRPr="00196D71">
        <w:rPr>
          <w:i/>
        </w:rPr>
        <w:t>: 1536-1990</w:t>
      </w:r>
      <w:r w:rsidR="00291E3C">
        <w:t xml:space="preserve"> </w:t>
      </w:r>
      <w:bookmarkStart w:id="1" w:name="_Hlk544072"/>
      <w:r w:rsidR="00291E3C">
        <w:t>(London: Longman</w:t>
      </w:r>
      <w:r w:rsidR="00E153E2">
        <w:t xml:space="preserve">, </w:t>
      </w:r>
      <w:r w:rsidR="00291E3C">
        <w:t>1992),</w:t>
      </w:r>
      <w:r>
        <w:t xml:space="preserve"> </w:t>
      </w:r>
      <w:bookmarkEnd w:id="1"/>
      <w:r>
        <w:t>p. 366</w:t>
      </w:r>
      <w:r w:rsidR="00C35541">
        <w:t>.</w:t>
      </w:r>
    </w:p>
  </w:footnote>
  <w:footnote w:id="4">
    <w:p w14:paraId="2FAC6AEC" w14:textId="25A39067" w:rsidR="00A5599D" w:rsidRDefault="00A5599D">
      <w:pPr>
        <w:pStyle w:val="FootnoteText"/>
      </w:pPr>
      <w:r>
        <w:rPr>
          <w:rStyle w:val="FootnoteReference"/>
        </w:rPr>
        <w:footnoteRef/>
      </w:r>
      <w:r>
        <w:t xml:space="preserve"> </w:t>
      </w:r>
      <w:r w:rsidR="00196D71">
        <w:t xml:space="preserve">John </w:t>
      </w:r>
      <w:r>
        <w:t>Davies</w:t>
      </w:r>
      <w:r w:rsidRPr="00196D71">
        <w:rPr>
          <w:i/>
        </w:rPr>
        <w:t xml:space="preserve">, </w:t>
      </w:r>
      <w:r w:rsidR="00196D71" w:rsidRPr="00196D71">
        <w:rPr>
          <w:i/>
        </w:rPr>
        <w:t>A History of Wales</w:t>
      </w:r>
      <w:r w:rsidR="00196D71">
        <w:t xml:space="preserve"> (London: Penguin Books, 2007), </w:t>
      </w:r>
      <w:r>
        <w:t>p</w:t>
      </w:r>
      <w:r w:rsidR="00C35541">
        <w:t>p</w:t>
      </w:r>
      <w:r>
        <w:t>. 518-9</w:t>
      </w:r>
      <w:r w:rsidR="00196D71">
        <w:t>.</w:t>
      </w:r>
    </w:p>
  </w:footnote>
  <w:footnote w:id="5">
    <w:p w14:paraId="73600270" w14:textId="0E01BA2C" w:rsidR="00A5599D" w:rsidRDefault="00A5599D">
      <w:pPr>
        <w:pStyle w:val="FootnoteText"/>
      </w:pPr>
      <w:r>
        <w:rPr>
          <w:rStyle w:val="FootnoteReference"/>
        </w:rPr>
        <w:footnoteRef/>
      </w:r>
      <w:r>
        <w:t xml:space="preserve"> Davies, p. 474</w:t>
      </w:r>
    </w:p>
  </w:footnote>
  <w:footnote w:id="6">
    <w:p w14:paraId="08081A6D" w14:textId="7F12A2AA" w:rsidR="0095163B" w:rsidRDefault="0095163B">
      <w:pPr>
        <w:pStyle w:val="FootnoteText"/>
      </w:pPr>
      <w:r>
        <w:rPr>
          <w:rStyle w:val="FootnoteReference"/>
        </w:rPr>
        <w:footnoteRef/>
      </w:r>
      <w:r>
        <w:t xml:space="preserve"> </w:t>
      </w:r>
      <w:r w:rsidR="007024C5">
        <w:t>Jenkins</w:t>
      </w:r>
      <w:r>
        <w:t>, p. 368.</w:t>
      </w:r>
    </w:p>
  </w:footnote>
  <w:footnote w:id="7">
    <w:p w14:paraId="60C18A47" w14:textId="1EFCDECF" w:rsidR="00406E6C" w:rsidRDefault="00406E6C">
      <w:pPr>
        <w:pStyle w:val="FootnoteText"/>
      </w:pPr>
      <w:r>
        <w:rPr>
          <w:rStyle w:val="FootnoteReference"/>
        </w:rPr>
        <w:footnoteRef/>
      </w:r>
      <w:r>
        <w:t xml:space="preserve"> </w:t>
      </w:r>
      <w:bookmarkStart w:id="2" w:name="_Hlk543651"/>
      <w:r w:rsidR="007024C5">
        <w:t xml:space="preserve">Deirdre </w:t>
      </w:r>
      <w:proofErr w:type="spellStart"/>
      <w:r>
        <w:t>Beddoe</w:t>
      </w:r>
      <w:proofErr w:type="spellEnd"/>
      <w:r>
        <w:t xml:space="preserve">, </w:t>
      </w:r>
      <w:r w:rsidR="007024C5" w:rsidRPr="007024C5">
        <w:rPr>
          <w:i/>
        </w:rPr>
        <w:t>Out of the Shadows: A History of Women in Twentieth-Century Wales</w:t>
      </w:r>
      <w:r w:rsidR="007024C5">
        <w:t xml:space="preserve"> (Cardiff: University of Wales Press, 2000), </w:t>
      </w:r>
      <w:bookmarkEnd w:id="2"/>
      <w:r>
        <w:t>p. 31.</w:t>
      </w:r>
    </w:p>
  </w:footnote>
  <w:footnote w:id="8">
    <w:p w14:paraId="5929ACFC" w14:textId="542A03A2" w:rsidR="00406E6C" w:rsidRDefault="00406E6C">
      <w:pPr>
        <w:pStyle w:val="FootnoteText"/>
      </w:pPr>
      <w:r>
        <w:rPr>
          <w:rStyle w:val="FootnoteReference"/>
        </w:rPr>
        <w:footnoteRef/>
      </w:r>
      <w:r>
        <w:t xml:space="preserve"> Ibid.</w:t>
      </w:r>
    </w:p>
  </w:footnote>
  <w:footnote w:id="9">
    <w:p w14:paraId="5FFF4C34" w14:textId="40344A18" w:rsidR="00B25C73" w:rsidRDefault="00B25C73">
      <w:pPr>
        <w:pStyle w:val="FootnoteText"/>
      </w:pPr>
      <w:r>
        <w:rPr>
          <w:rStyle w:val="FootnoteReference"/>
        </w:rPr>
        <w:footnoteRef/>
      </w:r>
      <w:r>
        <w:t xml:space="preserve"> </w:t>
      </w:r>
      <w:proofErr w:type="spellStart"/>
      <w:r>
        <w:t>Beddoe</w:t>
      </w:r>
      <w:proofErr w:type="spellEnd"/>
      <w:r>
        <w:t>, p. 34</w:t>
      </w:r>
      <w:r w:rsidR="00C9472E">
        <w:t>.</w:t>
      </w:r>
    </w:p>
  </w:footnote>
  <w:footnote w:id="10">
    <w:p w14:paraId="04D9BBBD" w14:textId="57070B0C" w:rsidR="00E47D57" w:rsidRDefault="00E47D57">
      <w:pPr>
        <w:pStyle w:val="FootnoteText"/>
      </w:pPr>
      <w:r>
        <w:rPr>
          <w:rStyle w:val="FootnoteReference"/>
        </w:rPr>
        <w:footnoteRef/>
      </w:r>
      <w:r>
        <w:t xml:space="preserve"> </w:t>
      </w:r>
      <w:proofErr w:type="spellStart"/>
      <w:r>
        <w:t>Beddoe</w:t>
      </w:r>
      <w:proofErr w:type="spellEnd"/>
      <w:r>
        <w:t>, pp. 107-8.</w:t>
      </w:r>
    </w:p>
  </w:footnote>
  <w:footnote w:id="11">
    <w:p w14:paraId="3ABED6F4" w14:textId="6FD5571F" w:rsidR="00AD5EAB" w:rsidRDefault="00AD5EAB">
      <w:pPr>
        <w:pStyle w:val="FootnoteText"/>
      </w:pPr>
      <w:r>
        <w:rPr>
          <w:rStyle w:val="FootnoteReference"/>
        </w:rPr>
        <w:footnoteRef/>
      </w:r>
      <w:r>
        <w:t xml:space="preserve"> </w:t>
      </w:r>
      <w:proofErr w:type="spellStart"/>
      <w:r>
        <w:t>Beddoe</w:t>
      </w:r>
      <w:proofErr w:type="spellEnd"/>
      <w:r>
        <w:t>, p. 83.</w:t>
      </w:r>
    </w:p>
  </w:footnote>
  <w:footnote w:id="12">
    <w:p w14:paraId="585BC7D4" w14:textId="607287C1" w:rsidR="00E31D89" w:rsidRDefault="00E31D89">
      <w:pPr>
        <w:pStyle w:val="FootnoteText"/>
      </w:pPr>
      <w:r>
        <w:rPr>
          <w:rStyle w:val="FootnoteReference"/>
        </w:rPr>
        <w:footnoteRef/>
      </w:r>
      <w:r>
        <w:t xml:space="preserve"> </w:t>
      </w:r>
      <w:proofErr w:type="spellStart"/>
      <w:r>
        <w:t>Beddoe</w:t>
      </w:r>
      <w:proofErr w:type="spellEnd"/>
      <w:r>
        <w:t>, p. 97</w:t>
      </w:r>
      <w:r w:rsidR="00C9472E">
        <w:t>.</w:t>
      </w:r>
    </w:p>
  </w:footnote>
  <w:footnote w:id="13">
    <w:p w14:paraId="12336D4C" w14:textId="7E6D3FC7" w:rsidR="00BA6A13" w:rsidRDefault="00BA6A13">
      <w:pPr>
        <w:pStyle w:val="FootnoteText"/>
      </w:pPr>
      <w:r>
        <w:rPr>
          <w:rStyle w:val="FootnoteReference"/>
        </w:rPr>
        <w:footnoteRef/>
      </w:r>
      <w:r>
        <w:t xml:space="preserve"> Morgan, p. 352.</w:t>
      </w:r>
    </w:p>
  </w:footnote>
  <w:footnote w:id="14">
    <w:p w14:paraId="15E71F69" w14:textId="5C8A5783" w:rsidR="000E21C4" w:rsidRDefault="000E21C4">
      <w:pPr>
        <w:pStyle w:val="FootnoteText"/>
      </w:pPr>
      <w:r>
        <w:rPr>
          <w:rStyle w:val="FootnoteReference"/>
        </w:rPr>
        <w:footnoteRef/>
      </w:r>
      <w:r>
        <w:t xml:space="preserve"> </w:t>
      </w:r>
      <w:proofErr w:type="spellStart"/>
      <w:r>
        <w:t>Beddoe</w:t>
      </w:r>
      <w:proofErr w:type="spellEnd"/>
      <w:r>
        <w:t>, p</w:t>
      </w:r>
      <w:r w:rsidR="00E5292F">
        <w:t>p</w:t>
      </w:r>
      <w:r>
        <w:t>. 117</w:t>
      </w:r>
      <w:r w:rsidR="00E5292F">
        <w:t>-8</w:t>
      </w:r>
      <w:r>
        <w:t>.</w:t>
      </w:r>
    </w:p>
  </w:footnote>
  <w:footnote w:id="15">
    <w:p w14:paraId="2DC6B3AE" w14:textId="26EE7953" w:rsidR="00BA4598" w:rsidRPr="00A5553B" w:rsidRDefault="00BA4598">
      <w:pPr>
        <w:pStyle w:val="FootnoteText"/>
        <w:rPr>
          <w:lang w:val="fr-FR"/>
        </w:rPr>
      </w:pPr>
      <w:r>
        <w:rPr>
          <w:rStyle w:val="FootnoteReference"/>
        </w:rPr>
        <w:footnoteRef/>
      </w:r>
      <w:r w:rsidRPr="00A5553B">
        <w:rPr>
          <w:lang w:val="fr-FR"/>
        </w:rPr>
        <w:t xml:space="preserve"> </w:t>
      </w:r>
      <w:r w:rsidRPr="00A5553B">
        <w:rPr>
          <w:lang w:val="fr-FR"/>
        </w:rPr>
        <w:t>Davies, p. 588</w:t>
      </w:r>
    </w:p>
  </w:footnote>
  <w:footnote w:id="16">
    <w:p w14:paraId="27F90AD3" w14:textId="2B4B10C0" w:rsidR="00A5553B" w:rsidRPr="00A5553B" w:rsidRDefault="00A5553B">
      <w:pPr>
        <w:pStyle w:val="FootnoteText"/>
        <w:rPr>
          <w:lang w:val="fr-FR"/>
        </w:rPr>
      </w:pPr>
      <w:r>
        <w:rPr>
          <w:rStyle w:val="FootnoteReference"/>
        </w:rPr>
        <w:footnoteRef/>
      </w:r>
      <w:r w:rsidRPr="00A5553B">
        <w:rPr>
          <w:lang w:val="fr-FR"/>
        </w:rPr>
        <w:t xml:space="preserve"> </w:t>
      </w:r>
      <w:r w:rsidRPr="00A5553B">
        <w:rPr>
          <w:lang w:val="fr-FR"/>
        </w:rPr>
        <w:t>Davie</w:t>
      </w:r>
      <w:r>
        <w:rPr>
          <w:lang w:val="fr-FR"/>
        </w:rPr>
        <w:t>s, p. 610.</w:t>
      </w:r>
    </w:p>
  </w:footnote>
  <w:footnote w:id="17">
    <w:p w14:paraId="2064CE68" w14:textId="5C0461B0" w:rsidR="002F06FA" w:rsidRPr="00A5553B" w:rsidRDefault="002F06FA">
      <w:pPr>
        <w:pStyle w:val="FootnoteText"/>
        <w:rPr>
          <w:lang w:val="fr-FR"/>
        </w:rPr>
      </w:pPr>
      <w:r>
        <w:rPr>
          <w:rStyle w:val="FootnoteReference"/>
        </w:rPr>
        <w:footnoteRef/>
      </w:r>
      <w:r w:rsidRPr="00A5553B">
        <w:rPr>
          <w:lang w:val="fr-FR"/>
        </w:rPr>
        <w:t xml:space="preserve"> </w:t>
      </w:r>
      <w:r w:rsidRPr="00A5553B">
        <w:rPr>
          <w:lang w:val="fr-FR"/>
        </w:rPr>
        <w:t xml:space="preserve">Beddoe, </w:t>
      </w:r>
      <w:r w:rsidR="00233B47">
        <w:rPr>
          <w:lang w:val="fr-FR"/>
        </w:rPr>
        <w:t>pp. 140-4.</w:t>
      </w:r>
    </w:p>
  </w:footnote>
  <w:footnote w:id="18">
    <w:p w14:paraId="23550074" w14:textId="31185A90" w:rsidR="007637BC" w:rsidRDefault="007637BC">
      <w:pPr>
        <w:pStyle w:val="FootnoteText"/>
      </w:pPr>
      <w:bookmarkStart w:id="3" w:name="_Hlk543667"/>
      <w:bookmarkStart w:id="4" w:name="_Hlk543668"/>
      <w:r>
        <w:rPr>
          <w:rStyle w:val="FootnoteReference"/>
        </w:rPr>
        <w:footnoteRef/>
      </w:r>
      <w:r>
        <w:t xml:space="preserve"> </w:t>
      </w:r>
      <w:r w:rsidR="007024C5">
        <w:t xml:space="preserve">Gwyn A. </w:t>
      </w:r>
      <w:r w:rsidR="000E1358">
        <w:t xml:space="preserve">Williams, </w:t>
      </w:r>
      <w:r w:rsidR="007024C5" w:rsidRPr="007024C5">
        <w:rPr>
          <w:i/>
        </w:rPr>
        <w:t>When Was Wales?</w:t>
      </w:r>
      <w:r w:rsidR="007024C5">
        <w:t xml:space="preserve"> (London: Penguin Books, 1991), </w:t>
      </w:r>
      <w:r w:rsidR="000E1358">
        <w:t>p. 298.</w:t>
      </w:r>
      <w:bookmarkEnd w:id="3"/>
      <w:bookmarkEnd w:id="4"/>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DD48" w14:textId="4BBC18FD" w:rsidR="00B6556C" w:rsidRPr="007A6B7C" w:rsidRDefault="00B6556C">
    <w:pPr>
      <w:pStyle w:val="Header"/>
      <w:jc w:val="right"/>
      <w:rPr>
        <w:rFonts w:ascii="Georgia" w:hAnsi="Georgia"/>
        <w:sz w:val="24"/>
        <w:szCs w:val="24"/>
      </w:rPr>
    </w:pPr>
    <w:r>
      <w:rPr>
        <w:rFonts w:ascii="Georgia" w:hAnsi="Georgia"/>
        <w:sz w:val="24"/>
        <w:szCs w:val="24"/>
      </w:rPr>
      <w:t>1601141</w:t>
    </w:r>
    <w:r w:rsidRPr="007A6B7C">
      <w:rPr>
        <w:rFonts w:ascii="Georgia" w:hAnsi="Georgia"/>
        <w:sz w:val="24"/>
        <w:szCs w:val="24"/>
      </w:rPr>
      <w:t xml:space="preserve"> </w:t>
    </w:r>
    <w:sdt>
      <w:sdtPr>
        <w:rPr>
          <w:rFonts w:ascii="Georgia" w:hAnsi="Georgia"/>
          <w:sz w:val="24"/>
          <w:szCs w:val="24"/>
        </w:rPr>
        <w:id w:val="48714171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Pr>
            <w:rFonts w:ascii="Georgia" w:hAnsi="Georgia"/>
            <w:noProof/>
            <w:sz w:val="24"/>
            <w:szCs w:val="24"/>
          </w:rPr>
          <w:t>6</w:t>
        </w:r>
        <w:r w:rsidRPr="007A6B7C">
          <w:rPr>
            <w:rFonts w:ascii="Georgia" w:hAnsi="Georgia"/>
            <w:noProof/>
            <w:sz w:val="24"/>
            <w:szCs w:val="24"/>
          </w:rPr>
          <w:fldChar w:fldCharType="end"/>
        </w:r>
      </w:sdtContent>
    </w:sdt>
  </w:p>
  <w:p w14:paraId="466411DC" w14:textId="77777777" w:rsidR="00B6556C" w:rsidRDefault="00B655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B7684D"/>
    <w:multiLevelType w:val="hybridMultilevel"/>
    <w:tmpl w:val="C0B22030"/>
    <w:lvl w:ilvl="0" w:tplc="B91E56A8">
      <w:numFmt w:val="bullet"/>
      <w:lvlText w:val="•"/>
      <w:lvlJc w:val="left"/>
      <w:pPr>
        <w:ind w:left="715" w:hanging="375"/>
      </w:pPr>
      <w:rPr>
        <w:rFonts w:ascii="Arial" w:eastAsia="Times New Roman" w:hAnsi="Arial" w:cs="Arial" w:hint="default"/>
      </w:rPr>
    </w:lvl>
    <w:lvl w:ilvl="1" w:tplc="08090003">
      <w:start w:val="1"/>
      <w:numFmt w:val="bullet"/>
      <w:lvlText w:val="o"/>
      <w:lvlJc w:val="left"/>
      <w:pPr>
        <w:ind w:left="1420" w:hanging="360"/>
      </w:pPr>
      <w:rPr>
        <w:rFonts w:ascii="Courier New" w:hAnsi="Courier New" w:cs="Courier New" w:hint="default"/>
      </w:rPr>
    </w:lvl>
    <w:lvl w:ilvl="2" w:tplc="08090005">
      <w:start w:val="1"/>
      <w:numFmt w:val="bullet"/>
      <w:lvlText w:val=""/>
      <w:lvlJc w:val="left"/>
      <w:pPr>
        <w:ind w:left="2140" w:hanging="360"/>
      </w:pPr>
      <w:rPr>
        <w:rFonts w:ascii="Wingdings" w:hAnsi="Wingdings" w:hint="default"/>
      </w:rPr>
    </w:lvl>
    <w:lvl w:ilvl="3" w:tplc="08090001">
      <w:start w:val="1"/>
      <w:numFmt w:val="bullet"/>
      <w:lvlText w:val=""/>
      <w:lvlJc w:val="left"/>
      <w:pPr>
        <w:ind w:left="2860" w:hanging="360"/>
      </w:pPr>
      <w:rPr>
        <w:rFonts w:ascii="Symbol" w:hAnsi="Symbol" w:hint="default"/>
      </w:rPr>
    </w:lvl>
    <w:lvl w:ilvl="4" w:tplc="08090003">
      <w:start w:val="1"/>
      <w:numFmt w:val="bullet"/>
      <w:lvlText w:val="o"/>
      <w:lvlJc w:val="left"/>
      <w:pPr>
        <w:ind w:left="3580" w:hanging="360"/>
      </w:pPr>
      <w:rPr>
        <w:rFonts w:ascii="Courier New" w:hAnsi="Courier New" w:cs="Courier New" w:hint="default"/>
      </w:rPr>
    </w:lvl>
    <w:lvl w:ilvl="5" w:tplc="08090005">
      <w:start w:val="1"/>
      <w:numFmt w:val="bullet"/>
      <w:lvlText w:val=""/>
      <w:lvlJc w:val="left"/>
      <w:pPr>
        <w:ind w:left="4300" w:hanging="360"/>
      </w:pPr>
      <w:rPr>
        <w:rFonts w:ascii="Wingdings" w:hAnsi="Wingdings" w:hint="default"/>
      </w:rPr>
    </w:lvl>
    <w:lvl w:ilvl="6" w:tplc="08090001">
      <w:start w:val="1"/>
      <w:numFmt w:val="bullet"/>
      <w:lvlText w:val=""/>
      <w:lvlJc w:val="left"/>
      <w:pPr>
        <w:ind w:left="5020" w:hanging="360"/>
      </w:pPr>
      <w:rPr>
        <w:rFonts w:ascii="Symbol" w:hAnsi="Symbol" w:hint="default"/>
      </w:rPr>
    </w:lvl>
    <w:lvl w:ilvl="7" w:tplc="08090003">
      <w:start w:val="1"/>
      <w:numFmt w:val="bullet"/>
      <w:lvlText w:val="o"/>
      <w:lvlJc w:val="left"/>
      <w:pPr>
        <w:ind w:left="5740" w:hanging="360"/>
      </w:pPr>
      <w:rPr>
        <w:rFonts w:ascii="Courier New" w:hAnsi="Courier New" w:cs="Courier New" w:hint="default"/>
      </w:rPr>
    </w:lvl>
    <w:lvl w:ilvl="8" w:tplc="08090005">
      <w:start w:val="1"/>
      <w:numFmt w:val="bullet"/>
      <w:lvlText w:val=""/>
      <w:lvlJc w:val="left"/>
      <w:pPr>
        <w:ind w:left="6460" w:hanging="360"/>
      </w:pPr>
      <w:rPr>
        <w:rFonts w:ascii="Wingdings" w:hAnsi="Wingdings" w:hint="default"/>
      </w:rPr>
    </w:lvl>
  </w:abstractNum>
  <w:abstractNum w:abstractNumId="3" w15:restartNumberingAfterBreak="0">
    <w:nsid w:val="2E3E3271"/>
    <w:multiLevelType w:val="hybridMultilevel"/>
    <w:tmpl w:val="C08C3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B36E80"/>
    <w:multiLevelType w:val="hybridMultilevel"/>
    <w:tmpl w:val="CB7A8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07945B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621B67"/>
    <w:multiLevelType w:val="hybridMultilevel"/>
    <w:tmpl w:val="066479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7252691"/>
    <w:multiLevelType w:val="hybridMultilevel"/>
    <w:tmpl w:val="70281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15"/>
  </w:num>
  <w:num w:numId="4">
    <w:abstractNumId w:val="6"/>
  </w:num>
  <w:num w:numId="5">
    <w:abstractNumId w:val="0"/>
  </w:num>
  <w:num w:numId="6">
    <w:abstractNumId w:val="11"/>
  </w:num>
  <w:num w:numId="7">
    <w:abstractNumId w:val="4"/>
  </w:num>
  <w:num w:numId="8">
    <w:abstractNumId w:val="14"/>
  </w:num>
  <w:num w:numId="9">
    <w:abstractNumId w:val="9"/>
  </w:num>
  <w:num w:numId="10">
    <w:abstractNumId w:val="1"/>
  </w:num>
  <w:num w:numId="11">
    <w:abstractNumId w:val="10"/>
  </w:num>
  <w:num w:numId="12">
    <w:abstractNumId w:val="2"/>
  </w:num>
  <w:num w:numId="13">
    <w:abstractNumId w:val="2"/>
  </w:num>
  <w:num w:numId="14">
    <w:abstractNumId w:val="3"/>
  </w:num>
  <w:num w:numId="15">
    <w:abstractNumId w:val="8"/>
  </w:num>
  <w:num w:numId="16">
    <w:abstractNumId w:val="12"/>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5B"/>
    <w:rsid w:val="000003CA"/>
    <w:rsid w:val="00004998"/>
    <w:rsid w:val="00005AA6"/>
    <w:rsid w:val="00010665"/>
    <w:rsid w:val="00010B57"/>
    <w:rsid w:val="00015364"/>
    <w:rsid w:val="000166E1"/>
    <w:rsid w:val="000173AA"/>
    <w:rsid w:val="00017B3D"/>
    <w:rsid w:val="00020BA9"/>
    <w:rsid w:val="00022A00"/>
    <w:rsid w:val="00022C54"/>
    <w:rsid w:val="0002312F"/>
    <w:rsid w:val="00024247"/>
    <w:rsid w:val="00026059"/>
    <w:rsid w:val="000268EC"/>
    <w:rsid w:val="00026CAB"/>
    <w:rsid w:val="00026E40"/>
    <w:rsid w:val="00027675"/>
    <w:rsid w:val="00027F0D"/>
    <w:rsid w:val="00034836"/>
    <w:rsid w:val="000361C3"/>
    <w:rsid w:val="000374F0"/>
    <w:rsid w:val="00041908"/>
    <w:rsid w:val="00041D88"/>
    <w:rsid w:val="00041DCF"/>
    <w:rsid w:val="00043156"/>
    <w:rsid w:val="0005410E"/>
    <w:rsid w:val="00057115"/>
    <w:rsid w:val="0005737E"/>
    <w:rsid w:val="000619D6"/>
    <w:rsid w:val="00062234"/>
    <w:rsid w:val="0006613B"/>
    <w:rsid w:val="00066679"/>
    <w:rsid w:val="000670B3"/>
    <w:rsid w:val="00067A13"/>
    <w:rsid w:val="0007297A"/>
    <w:rsid w:val="00073CF4"/>
    <w:rsid w:val="000742C5"/>
    <w:rsid w:val="00077681"/>
    <w:rsid w:val="00077F7F"/>
    <w:rsid w:val="00083261"/>
    <w:rsid w:val="0008342E"/>
    <w:rsid w:val="0008436D"/>
    <w:rsid w:val="00086D8D"/>
    <w:rsid w:val="00087339"/>
    <w:rsid w:val="0009018E"/>
    <w:rsid w:val="00092A3C"/>
    <w:rsid w:val="00093F71"/>
    <w:rsid w:val="00094273"/>
    <w:rsid w:val="00094E34"/>
    <w:rsid w:val="000A0B85"/>
    <w:rsid w:val="000A17E5"/>
    <w:rsid w:val="000A23F5"/>
    <w:rsid w:val="000A4199"/>
    <w:rsid w:val="000A6373"/>
    <w:rsid w:val="000A668F"/>
    <w:rsid w:val="000A78BD"/>
    <w:rsid w:val="000B221F"/>
    <w:rsid w:val="000B24F7"/>
    <w:rsid w:val="000B420C"/>
    <w:rsid w:val="000B5DE0"/>
    <w:rsid w:val="000B69F1"/>
    <w:rsid w:val="000B6DE3"/>
    <w:rsid w:val="000B7195"/>
    <w:rsid w:val="000B7FF8"/>
    <w:rsid w:val="000C011C"/>
    <w:rsid w:val="000C0E1A"/>
    <w:rsid w:val="000C1240"/>
    <w:rsid w:val="000C2997"/>
    <w:rsid w:val="000C61A5"/>
    <w:rsid w:val="000C685A"/>
    <w:rsid w:val="000C6953"/>
    <w:rsid w:val="000C7A5B"/>
    <w:rsid w:val="000C7D1A"/>
    <w:rsid w:val="000D19C8"/>
    <w:rsid w:val="000D259F"/>
    <w:rsid w:val="000D29EF"/>
    <w:rsid w:val="000D3839"/>
    <w:rsid w:val="000D3D37"/>
    <w:rsid w:val="000D4407"/>
    <w:rsid w:val="000D454C"/>
    <w:rsid w:val="000D52D7"/>
    <w:rsid w:val="000D7155"/>
    <w:rsid w:val="000D718F"/>
    <w:rsid w:val="000D7AAB"/>
    <w:rsid w:val="000D7BA3"/>
    <w:rsid w:val="000D7D3D"/>
    <w:rsid w:val="000E0987"/>
    <w:rsid w:val="000E12C4"/>
    <w:rsid w:val="000E12FF"/>
    <w:rsid w:val="000E1358"/>
    <w:rsid w:val="000E21C4"/>
    <w:rsid w:val="000E24B9"/>
    <w:rsid w:val="000E3D06"/>
    <w:rsid w:val="000E749F"/>
    <w:rsid w:val="000F0158"/>
    <w:rsid w:val="000F1705"/>
    <w:rsid w:val="000F2D7D"/>
    <w:rsid w:val="000F2E7A"/>
    <w:rsid w:val="000F44D1"/>
    <w:rsid w:val="000F68E9"/>
    <w:rsid w:val="00100BB0"/>
    <w:rsid w:val="0010631A"/>
    <w:rsid w:val="0011062B"/>
    <w:rsid w:val="001108D6"/>
    <w:rsid w:val="001108EE"/>
    <w:rsid w:val="0011439D"/>
    <w:rsid w:val="00115220"/>
    <w:rsid w:val="001205D7"/>
    <w:rsid w:val="00120986"/>
    <w:rsid w:val="00123A85"/>
    <w:rsid w:val="001259E8"/>
    <w:rsid w:val="00134FA5"/>
    <w:rsid w:val="001377BE"/>
    <w:rsid w:val="001411E3"/>
    <w:rsid w:val="0014185B"/>
    <w:rsid w:val="001420A5"/>
    <w:rsid w:val="00142220"/>
    <w:rsid w:val="00143019"/>
    <w:rsid w:val="001439EB"/>
    <w:rsid w:val="00144658"/>
    <w:rsid w:val="00150688"/>
    <w:rsid w:val="00150EA3"/>
    <w:rsid w:val="00153FA3"/>
    <w:rsid w:val="00155DF0"/>
    <w:rsid w:val="001573F3"/>
    <w:rsid w:val="0016004F"/>
    <w:rsid w:val="0016354B"/>
    <w:rsid w:val="001645DA"/>
    <w:rsid w:val="00165CBC"/>
    <w:rsid w:val="00166B5B"/>
    <w:rsid w:val="00172110"/>
    <w:rsid w:val="00172CA2"/>
    <w:rsid w:val="00173735"/>
    <w:rsid w:val="00173CD1"/>
    <w:rsid w:val="001761B8"/>
    <w:rsid w:val="00177A25"/>
    <w:rsid w:val="00180D43"/>
    <w:rsid w:val="0018137B"/>
    <w:rsid w:val="00181A5E"/>
    <w:rsid w:val="00183C98"/>
    <w:rsid w:val="00184321"/>
    <w:rsid w:val="00184469"/>
    <w:rsid w:val="001853D7"/>
    <w:rsid w:val="00185ACA"/>
    <w:rsid w:val="001861DB"/>
    <w:rsid w:val="001901A3"/>
    <w:rsid w:val="00190C63"/>
    <w:rsid w:val="0019125D"/>
    <w:rsid w:val="001913EB"/>
    <w:rsid w:val="00195AD8"/>
    <w:rsid w:val="0019660A"/>
    <w:rsid w:val="00196A57"/>
    <w:rsid w:val="00196B1C"/>
    <w:rsid w:val="00196BD3"/>
    <w:rsid w:val="00196D71"/>
    <w:rsid w:val="0019757A"/>
    <w:rsid w:val="001A0D97"/>
    <w:rsid w:val="001A2BA3"/>
    <w:rsid w:val="001A35C4"/>
    <w:rsid w:val="001A39C4"/>
    <w:rsid w:val="001A6179"/>
    <w:rsid w:val="001A7436"/>
    <w:rsid w:val="001B0B8E"/>
    <w:rsid w:val="001B2D3D"/>
    <w:rsid w:val="001B3FE7"/>
    <w:rsid w:val="001B7AE4"/>
    <w:rsid w:val="001C157D"/>
    <w:rsid w:val="001C2C2C"/>
    <w:rsid w:val="001C2F6A"/>
    <w:rsid w:val="001C38F0"/>
    <w:rsid w:val="001C491D"/>
    <w:rsid w:val="001C5308"/>
    <w:rsid w:val="001D1F7A"/>
    <w:rsid w:val="001D3700"/>
    <w:rsid w:val="001D42D1"/>
    <w:rsid w:val="001D568C"/>
    <w:rsid w:val="001D5B79"/>
    <w:rsid w:val="001D790F"/>
    <w:rsid w:val="001E12A2"/>
    <w:rsid w:val="001E3166"/>
    <w:rsid w:val="001E44D0"/>
    <w:rsid w:val="001E4510"/>
    <w:rsid w:val="001E4AFD"/>
    <w:rsid w:val="001E5E09"/>
    <w:rsid w:val="001E6F4D"/>
    <w:rsid w:val="001E73A9"/>
    <w:rsid w:val="001E789C"/>
    <w:rsid w:val="001F1BB3"/>
    <w:rsid w:val="001F1C69"/>
    <w:rsid w:val="001F301B"/>
    <w:rsid w:val="001F40B2"/>
    <w:rsid w:val="001F6B67"/>
    <w:rsid w:val="001F7B16"/>
    <w:rsid w:val="001F7C51"/>
    <w:rsid w:val="002075E1"/>
    <w:rsid w:val="00214081"/>
    <w:rsid w:val="00214B2F"/>
    <w:rsid w:val="00215464"/>
    <w:rsid w:val="00215609"/>
    <w:rsid w:val="00216982"/>
    <w:rsid w:val="00217C97"/>
    <w:rsid w:val="002213A9"/>
    <w:rsid w:val="002220FC"/>
    <w:rsid w:val="00226ED8"/>
    <w:rsid w:val="002315DB"/>
    <w:rsid w:val="00233B47"/>
    <w:rsid w:val="00234417"/>
    <w:rsid w:val="00236CA9"/>
    <w:rsid w:val="00236F62"/>
    <w:rsid w:val="00237278"/>
    <w:rsid w:val="00237C31"/>
    <w:rsid w:val="00240AEE"/>
    <w:rsid w:val="0024228F"/>
    <w:rsid w:val="002427CB"/>
    <w:rsid w:val="00243F4D"/>
    <w:rsid w:val="002462D2"/>
    <w:rsid w:val="002512CE"/>
    <w:rsid w:val="002517BF"/>
    <w:rsid w:val="00251BB8"/>
    <w:rsid w:val="00252ABB"/>
    <w:rsid w:val="002540C8"/>
    <w:rsid w:val="00254488"/>
    <w:rsid w:val="00256EF8"/>
    <w:rsid w:val="0026056C"/>
    <w:rsid w:val="002629C9"/>
    <w:rsid w:val="00262BF1"/>
    <w:rsid w:val="002633AE"/>
    <w:rsid w:val="00263842"/>
    <w:rsid w:val="00265000"/>
    <w:rsid w:val="0027077D"/>
    <w:rsid w:val="002709CA"/>
    <w:rsid w:val="00271721"/>
    <w:rsid w:val="00280EC9"/>
    <w:rsid w:val="00282A12"/>
    <w:rsid w:val="00284ED7"/>
    <w:rsid w:val="00285ADB"/>
    <w:rsid w:val="00291146"/>
    <w:rsid w:val="00291E3C"/>
    <w:rsid w:val="00293C56"/>
    <w:rsid w:val="00293F83"/>
    <w:rsid w:val="00295470"/>
    <w:rsid w:val="002958E8"/>
    <w:rsid w:val="002A2756"/>
    <w:rsid w:val="002B1035"/>
    <w:rsid w:val="002B20EA"/>
    <w:rsid w:val="002B2203"/>
    <w:rsid w:val="002B52D3"/>
    <w:rsid w:val="002C0D76"/>
    <w:rsid w:val="002C189F"/>
    <w:rsid w:val="002C3E31"/>
    <w:rsid w:val="002C44D7"/>
    <w:rsid w:val="002C4657"/>
    <w:rsid w:val="002C4B22"/>
    <w:rsid w:val="002C55C2"/>
    <w:rsid w:val="002C5611"/>
    <w:rsid w:val="002C6549"/>
    <w:rsid w:val="002C7C8F"/>
    <w:rsid w:val="002D0798"/>
    <w:rsid w:val="002D2DBD"/>
    <w:rsid w:val="002D4EA2"/>
    <w:rsid w:val="002D4F8E"/>
    <w:rsid w:val="002D5459"/>
    <w:rsid w:val="002D5DE7"/>
    <w:rsid w:val="002D64AB"/>
    <w:rsid w:val="002E1563"/>
    <w:rsid w:val="002E1E24"/>
    <w:rsid w:val="002E45FE"/>
    <w:rsid w:val="002E46E4"/>
    <w:rsid w:val="002E498D"/>
    <w:rsid w:val="002E5913"/>
    <w:rsid w:val="002F06FA"/>
    <w:rsid w:val="002F0837"/>
    <w:rsid w:val="002F108C"/>
    <w:rsid w:val="002F2A49"/>
    <w:rsid w:val="002F2F41"/>
    <w:rsid w:val="002F781F"/>
    <w:rsid w:val="002F7A0D"/>
    <w:rsid w:val="00306383"/>
    <w:rsid w:val="00307C5D"/>
    <w:rsid w:val="00313CE8"/>
    <w:rsid w:val="00315B01"/>
    <w:rsid w:val="003163F6"/>
    <w:rsid w:val="003209D9"/>
    <w:rsid w:val="003211EA"/>
    <w:rsid w:val="00321D8A"/>
    <w:rsid w:val="003230BF"/>
    <w:rsid w:val="00323F5F"/>
    <w:rsid w:val="00324230"/>
    <w:rsid w:val="0032591B"/>
    <w:rsid w:val="00330275"/>
    <w:rsid w:val="0033190E"/>
    <w:rsid w:val="00332C8D"/>
    <w:rsid w:val="0033391A"/>
    <w:rsid w:val="003344B6"/>
    <w:rsid w:val="00336436"/>
    <w:rsid w:val="003377D1"/>
    <w:rsid w:val="00341A98"/>
    <w:rsid w:val="003436F7"/>
    <w:rsid w:val="00344049"/>
    <w:rsid w:val="00347CEE"/>
    <w:rsid w:val="003518F2"/>
    <w:rsid w:val="003527FE"/>
    <w:rsid w:val="00357880"/>
    <w:rsid w:val="003660AA"/>
    <w:rsid w:val="003679F1"/>
    <w:rsid w:val="00367DBA"/>
    <w:rsid w:val="00370B37"/>
    <w:rsid w:val="00370E55"/>
    <w:rsid w:val="00375A31"/>
    <w:rsid w:val="00375EB9"/>
    <w:rsid w:val="00377CFF"/>
    <w:rsid w:val="003808EF"/>
    <w:rsid w:val="00383D14"/>
    <w:rsid w:val="00385327"/>
    <w:rsid w:val="00386BF9"/>
    <w:rsid w:val="00387C98"/>
    <w:rsid w:val="00390413"/>
    <w:rsid w:val="00392064"/>
    <w:rsid w:val="003928AA"/>
    <w:rsid w:val="0039310C"/>
    <w:rsid w:val="003951EE"/>
    <w:rsid w:val="003A100D"/>
    <w:rsid w:val="003A3CD7"/>
    <w:rsid w:val="003A4F26"/>
    <w:rsid w:val="003A520E"/>
    <w:rsid w:val="003A5366"/>
    <w:rsid w:val="003A65DD"/>
    <w:rsid w:val="003A7F4C"/>
    <w:rsid w:val="003B5AE4"/>
    <w:rsid w:val="003B61A1"/>
    <w:rsid w:val="003B6CB8"/>
    <w:rsid w:val="003C17A6"/>
    <w:rsid w:val="003C25B6"/>
    <w:rsid w:val="003C3F0D"/>
    <w:rsid w:val="003C5219"/>
    <w:rsid w:val="003C7C1D"/>
    <w:rsid w:val="003D08EA"/>
    <w:rsid w:val="003D1B2E"/>
    <w:rsid w:val="003D1C3F"/>
    <w:rsid w:val="003D270F"/>
    <w:rsid w:val="003D5195"/>
    <w:rsid w:val="003D685D"/>
    <w:rsid w:val="003E0CB0"/>
    <w:rsid w:val="003F1307"/>
    <w:rsid w:val="003F16A6"/>
    <w:rsid w:val="003F3497"/>
    <w:rsid w:val="003F3705"/>
    <w:rsid w:val="004022EC"/>
    <w:rsid w:val="004032DC"/>
    <w:rsid w:val="00404AA5"/>
    <w:rsid w:val="00405849"/>
    <w:rsid w:val="00405918"/>
    <w:rsid w:val="00406DAB"/>
    <w:rsid w:val="00406E6C"/>
    <w:rsid w:val="00407FA6"/>
    <w:rsid w:val="0041002C"/>
    <w:rsid w:val="004103DD"/>
    <w:rsid w:val="00411036"/>
    <w:rsid w:val="0041109F"/>
    <w:rsid w:val="00412CD9"/>
    <w:rsid w:val="00413398"/>
    <w:rsid w:val="004141CE"/>
    <w:rsid w:val="00415D54"/>
    <w:rsid w:val="0042210E"/>
    <w:rsid w:val="004224BE"/>
    <w:rsid w:val="00422EBD"/>
    <w:rsid w:val="00423D26"/>
    <w:rsid w:val="00427231"/>
    <w:rsid w:val="00431099"/>
    <w:rsid w:val="00431B99"/>
    <w:rsid w:val="00431DD5"/>
    <w:rsid w:val="004326C2"/>
    <w:rsid w:val="0043325F"/>
    <w:rsid w:val="00434C2D"/>
    <w:rsid w:val="00435079"/>
    <w:rsid w:val="00436090"/>
    <w:rsid w:val="004402B5"/>
    <w:rsid w:val="00443004"/>
    <w:rsid w:val="00443028"/>
    <w:rsid w:val="00443689"/>
    <w:rsid w:val="004436BA"/>
    <w:rsid w:val="00443A72"/>
    <w:rsid w:val="00443B64"/>
    <w:rsid w:val="0044484F"/>
    <w:rsid w:val="00447EF7"/>
    <w:rsid w:val="00447F7A"/>
    <w:rsid w:val="0045040E"/>
    <w:rsid w:val="00452D95"/>
    <w:rsid w:val="004535C3"/>
    <w:rsid w:val="00453877"/>
    <w:rsid w:val="00454BA5"/>
    <w:rsid w:val="00456578"/>
    <w:rsid w:val="004600E2"/>
    <w:rsid w:val="004622C0"/>
    <w:rsid w:val="0046332F"/>
    <w:rsid w:val="00470591"/>
    <w:rsid w:val="00472D07"/>
    <w:rsid w:val="004735DB"/>
    <w:rsid w:val="00474270"/>
    <w:rsid w:val="00474A7C"/>
    <w:rsid w:val="004752C2"/>
    <w:rsid w:val="004758EE"/>
    <w:rsid w:val="004779FC"/>
    <w:rsid w:val="00480016"/>
    <w:rsid w:val="00481A44"/>
    <w:rsid w:val="00482CCE"/>
    <w:rsid w:val="00482FAD"/>
    <w:rsid w:val="00484123"/>
    <w:rsid w:val="00484B51"/>
    <w:rsid w:val="00485C81"/>
    <w:rsid w:val="0048635C"/>
    <w:rsid w:val="004907EA"/>
    <w:rsid w:val="00491DFB"/>
    <w:rsid w:val="00491E44"/>
    <w:rsid w:val="0049481E"/>
    <w:rsid w:val="00495541"/>
    <w:rsid w:val="00496AF4"/>
    <w:rsid w:val="004A1033"/>
    <w:rsid w:val="004A25AC"/>
    <w:rsid w:val="004A34FE"/>
    <w:rsid w:val="004A4FAA"/>
    <w:rsid w:val="004A5501"/>
    <w:rsid w:val="004A56D1"/>
    <w:rsid w:val="004A6813"/>
    <w:rsid w:val="004A69E5"/>
    <w:rsid w:val="004A77A3"/>
    <w:rsid w:val="004B12D4"/>
    <w:rsid w:val="004B1985"/>
    <w:rsid w:val="004B2216"/>
    <w:rsid w:val="004B680F"/>
    <w:rsid w:val="004B6AD3"/>
    <w:rsid w:val="004B76CA"/>
    <w:rsid w:val="004C0EED"/>
    <w:rsid w:val="004C110D"/>
    <w:rsid w:val="004C1950"/>
    <w:rsid w:val="004C1A2A"/>
    <w:rsid w:val="004C30B9"/>
    <w:rsid w:val="004C5954"/>
    <w:rsid w:val="004C6242"/>
    <w:rsid w:val="004D17C4"/>
    <w:rsid w:val="004D4A14"/>
    <w:rsid w:val="004D6747"/>
    <w:rsid w:val="004D798E"/>
    <w:rsid w:val="004E23C4"/>
    <w:rsid w:val="004E29B6"/>
    <w:rsid w:val="004E3556"/>
    <w:rsid w:val="004E3978"/>
    <w:rsid w:val="004E4272"/>
    <w:rsid w:val="004E48FB"/>
    <w:rsid w:val="004E7C90"/>
    <w:rsid w:val="004E7E58"/>
    <w:rsid w:val="004F0954"/>
    <w:rsid w:val="004F17E1"/>
    <w:rsid w:val="004F1B97"/>
    <w:rsid w:val="004F2E09"/>
    <w:rsid w:val="004F307D"/>
    <w:rsid w:val="00501AE3"/>
    <w:rsid w:val="005032B1"/>
    <w:rsid w:val="00503A55"/>
    <w:rsid w:val="00506EEE"/>
    <w:rsid w:val="00507108"/>
    <w:rsid w:val="0051406B"/>
    <w:rsid w:val="00514C5B"/>
    <w:rsid w:val="005209F2"/>
    <w:rsid w:val="0052336F"/>
    <w:rsid w:val="00523A28"/>
    <w:rsid w:val="00523B00"/>
    <w:rsid w:val="00524133"/>
    <w:rsid w:val="00524878"/>
    <w:rsid w:val="0052514B"/>
    <w:rsid w:val="005254CC"/>
    <w:rsid w:val="00525FA2"/>
    <w:rsid w:val="005300F6"/>
    <w:rsid w:val="00530302"/>
    <w:rsid w:val="00530D5C"/>
    <w:rsid w:val="00531061"/>
    <w:rsid w:val="00533D2E"/>
    <w:rsid w:val="00536B7E"/>
    <w:rsid w:val="005429FF"/>
    <w:rsid w:val="00543470"/>
    <w:rsid w:val="00543E2A"/>
    <w:rsid w:val="0054415C"/>
    <w:rsid w:val="00545836"/>
    <w:rsid w:val="005500AE"/>
    <w:rsid w:val="00550D70"/>
    <w:rsid w:val="005528FA"/>
    <w:rsid w:val="005531FA"/>
    <w:rsid w:val="00561EA8"/>
    <w:rsid w:val="00563496"/>
    <w:rsid w:val="00563515"/>
    <w:rsid w:val="0056442C"/>
    <w:rsid w:val="00564BE5"/>
    <w:rsid w:val="005653C8"/>
    <w:rsid w:val="00565623"/>
    <w:rsid w:val="00570705"/>
    <w:rsid w:val="00573548"/>
    <w:rsid w:val="00574D94"/>
    <w:rsid w:val="00575532"/>
    <w:rsid w:val="005755C7"/>
    <w:rsid w:val="00575AC1"/>
    <w:rsid w:val="00583BA3"/>
    <w:rsid w:val="00583D9B"/>
    <w:rsid w:val="00583E9A"/>
    <w:rsid w:val="0058415E"/>
    <w:rsid w:val="0058544C"/>
    <w:rsid w:val="005859DC"/>
    <w:rsid w:val="00592EB8"/>
    <w:rsid w:val="00595C46"/>
    <w:rsid w:val="00596C3C"/>
    <w:rsid w:val="00597806"/>
    <w:rsid w:val="005A3A37"/>
    <w:rsid w:val="005A5006"/>
    <w:rsid w:val="005A7C41"/>
    <w:rsid w:val="005B11C5"/>
    <w:rsid w:val="005B1F04"/>
    <w:rsid w:val="005B1F3B"/>
    <w:rsid w:val="005B298C"/>
    <w:rsid w:val="005B2CC0"/>
    <w:rsid w:val="005B4370"/>
    <w:rsid w:val="005B4DC9"/>
    <w:rsid w:val="005B5FF1"/>
    <w:rsid w:val="005B6618"/>
    <w:rsid w:val="005B6DBF"/>
    <w:rsid w:val="005C1A56"/>
    <w:rsid w:val="005C1FBF"/>
    <w:rsid w:val="005C24B1"/>
    <w:rsid w:val="005C289E"/>
    <w:rsid w:val="005C30BA"/>
    <w:rsid w:val="005C4398"/>
    <w:rsid w:val="005C4747"/>
    <w:rsid w:val="005D2F10"/>
    <w:rsid w:val="005D477F"/>
    <w:rsid w:val="005D6502"/>
    <w:rsid w:val="005E5B24"/>
    <w:rsid w:val="005E601E"/>
    <w:rsid w:val="005F0A51"/>
    <w:rsid w:val="005F158D"/>
    <w:rsid w:val="005F3683"/>
    <w:rsid w:val="005F3E5D"/>
    <w:rsid w:val="005F4982"/>
    <w:rsid w:val="005F5205"/>
    <w:rsid w:val="005F53D8"/>
    <w:rsid w:val="005F58FB"/>
    <w:rsid w:val="006009BF"/>
    <w:rsid w:val="00601B6B"/>
    <w:rsid w:val="00602105"/>
    <w:rsid w:val="006055FC"/>
    <w:rsid w:val="00605AE6"/>
    <w:rsid w:val="0060678E"/>
    <w:rsid w:val="0061126A"/>
    <w:rsid w:val="00612EAB"/>
    <w:rsid w:val="00613A6D"/>
    <w:rsid w:val="006168ED"/>
    <w:rsid w:val="00620174"/>
    <w:rsid w:val="00622942"/>
    <w:rsid w:val="0062318C"/>
    <w:rsid w:val="0062346B"/>
    <w:rsid w:val="006255B0"/>
    <w:rsid w:val="00625774"/>
    <w:rsid w:val="00626E9E"/>
    <w:rsid w:val="006307A5"/>
    <w:rsid w:val="00631134"/>
    <w:rsid w:val="006315D5"/>
    <w:rsid w:val="006318AD"/>
    <w:rsid w:val="00631C11"/>
    <w:rsid w:val="00632C77"/>
    <w:rsid w:val="00634705"/>
    <w:rsid w:val="00636EA7"/>
    <w:rsid w:val="00637E9A"/>
    <w:rsid w:val="00644DE8"/>
    <w:rsid w:val="00645531"/>
    <w:rsid w:val="00647986"/>
    <w:rsid w:val="00650E16"/>
    <w:rsid w:val="00651E18"/>
    <w:rsid w:val="0065385E"/>
    <w:rsid w:val="00653DA6"/>
    <w:rsid w:val="006552E4"/>
    <w:rsid w:val="006567AC"/>
    <w:rsid w:val="00657736"/>
    <w:rsid w:val="00657B57"/>
    <w:rsid w:val="00657C53"/>
    <w:rsid w:val="00657F9C"/>
    <w:rsid w:val="00660E61"/>
    <w:rsid w:val="00661B59"/>
    <w:rsid w:val="00661C6F"/>
    <w:rsid w:val="00661E0A"/>
    <w:rsid w:val="00663CCE"/>
    <w:rsid w:val="00665AC9"/>
    <w:rsid w:val="00666FDD"/>
    <w:rsid w:val="00670BDD"/>
    <w:rsid w:val="00670F25"/>
    <w:rsid w:val="00671F34"/>
    <w:rsid w:val="00672BC8"/>
    <w:rsid w:val="006733A6"/>
    <w:rsid w:val="00673D20"/>
    <w:rsid w:val="00674647"/>
    <w:rsid w:val="00676213"/>
    <w:rsid w:val="00677460"/>
    <w:rsid w:val="00677CCE"/>
    <w:rsid w:val="00677E04"/>
    <w:rsid w:val="006804F5"/>
    <w:rsid w:val="00681169"/>
    <w:rsid w:val="006820C4"/>
    <w:rsid w:val="0068297D"/>
    <w:rsid w:val="00682E7B"/>
    <w:rsid w:val="00684DAC"/>
    <w:rsid w:val="0068535D"/>
    <w:rsid w:val="00685B5D"/>
    <w:rsid w:val="0068659E"/>
    <w:rsid w:val="00686B4E"/>
    <w:rsid w:val="00686DCD"/>
    <w:rsid w:val="006878FF"/>
    <w:rsid w:val="0069094C"/>
    <w:rsid w:val="00691792"/>
    <w:rsid w:val="0069274B"/>
    <w:rsid w:val="00692D5D"/>
    <w:rsid w:val="00692DEA"/>
    <w:rsid w:val="00695F92"/>
    <w:rsid w:val="00696102"/>
    <w:rsid w:val="006A0FEB"/>
    <w:rsid w:val="006A16DF"/>
    <w:rsid w:val="006A1A77"/>
    <w:rsid w:val="006A3E40"/>
    <w:rsid w:val="006A41DA"/>
    <w:rsid w:val="006A43ED"/>
    <w:rsid w:val="006A4565"/>
    <w:rsid w:val="006A499C"/>
    <w:rsid w:val="006A4B44"/>
    <w:rsid w:val="006A5629"/>
    <w:rsid w:val="006A633E"/>
    <w:rsid w:val="006A6AAD"/>
    <w:rsid w:val="006B31CF"/>
    <w:rsid w:val="006B462F"/>
    <w:rsid w:val="006B630A"/>
    <w:rsid w:val="006B657A"/>
    <w:rsid w:val="006B6BBB"/>
    <w:rsid w:val="006B71DC"/>
    <w:rsid w:val="006B75AA"/>
    <w:rsid w:val="006B7633"/>
    <w:rsid w:val="006C25FB"/>
    <w:rsid w:val="006C2A03"/>
    <w:rsid w:val="006C4C6E"/>
    <w:rsid w:val="006C6B9F"/>
    <w:rsid w:val="006C724C"/>
    <w:rsid w:val="006D127B"/>
    <w:rsid w:val="006D17D7"/>
    <w:rsid w:val="006E0243"/>
    <w:rsid w:val="006E74B0"/>
    <w:rsid w:val="006F0B38"/>
    <w:rsid w:val="006F21C1"/>
    <w:rsid w:val="006F2796"/>
    <w:rsid w:val="006F29AF"/>
    <w:rsid w:val="006F2A72"/>
    <w:rsid w:val="006F34BA"/>
    <w:rsid w:val="006F5F6D"/>
    <w:rsid w:val="006F64F6"/>
    <w:rsid w:val="006F7496"/>
    <w:rsid w:val="007024C5"/>
    <w:rsid w:val="00702EB5"/>
    <w:rsid w:val="00703402"/>
    <w:rsid w:val="0070340A"/>
    <w:rsid w:val="007052C1"/>
    <w:rsid w:val="007053F5"/>
    <w:rsid w:val="007057F9"/>
    <w:rsid w:val="00706F4F"/>
    <w:rsid w:val="007070D6"/>
    <w:rsid w:val="00711442"/>
    <w:rsid w:val="007119A1"/>
    <w:rsid w:val="0072343F"/>
    <w:rsid w:val="00723830"/>
    <w:rsid w:val="007241DF"/>
    <w:rsid w:val="0072604B"/>
    <w:rsid w:val="0073328E"/>
    <w:rsid w:val="007342DA"/>
    <w:rsid w:val="007404CE"/>
    <w:rsid w:val="00740702"/>
    <w:rsid w:val="00740B23"/>
    <w:rsid w:val="007418A2"/>
    <w:rsid w:val="007424CB"/>
    <w:rsid w:val="00743010"/>
    <w:rsid w:val="00743EF9"/>
    <w:rsid w:val="00745E4D"/>
    <w:rsid w:val="00747542"/>
    <w:rsid w:val="00753193"/>
    <w:rsid w:val="007547CE"/>
    <w:rsid w:val="0075495C"/>
    <w:rsid w:val="00754F25"/>
    <w:rsid w:val="007564B3"/>
    <w:rsid w:val="00761137"/>
    <w:rsid w:val="007637BC"/>
    <w:rsid w:val="00764129"/>
    <w:rsid w:val="00764F9F"/>
    <w:rsid w:val="007650B6"/>
    <w:rsid w:val="007717E7"/>
    <w:rsid w:val="00771B6C"/>
    <w:rsid w:val="007746FA"/>
    <w:rsid w:val="0077471E"/>
    <w:rsid w:val="00775930"/>
    <w:rsid w:val="00775F66"/>
    <w:rsid w:val="00776C2B"/>
    <w:rsid w:val="00776FC3"/>
    <w:rsid w:val="00780953"/>
    <w:rsid w:val="00780CBE"/>
    <w:rsid w:val="007824CD"/>
    <w:rsid w:val="007840A4"/>
    <w:rsid w:val="00787FC4"/>
    <w:rsid w:val="007924B0"/>
    <w:rsid w:val="00792C7A"/>
    <w:rsid w:val="007962D2"/>
    <w:rsid w:val="007A045D"/>
    <w:rsid w:val="007A08D1"/>
    <w:rsid w:val="007A1FEF"/>
    <w:rsid w:val="007A27D1"/>
    <w:rsid w:val="007A28AD"/>
    <w:rsid w:val="007A37EC"/>
    <w:rsid w:val="007A6B7C"/>
    <w:rsid w:val="007A76F9"/>
    <w:rsid w:val="007B13AE"/>
    <w:rsid w:val="007B40E7"/>
    <w:rsid w:val="007B41F1"/>
    <w:rsid w:val="007B5067"/>
    <w:rsid w:val="007B585B"/>
    <w:rsid w:val="007B6090"/>
    <w:rsid w:val="007B7142"/>
    <w:rsid w:val="007C3197"/>
    <w:rsid w:val="007C3253"/>
    <w:rsid w:val="007C5354"/>
    <w:rsid w:val="007C5BA8"/>
    <w:rsid w:val="007D364E"/>
    <w:rsid w:val="007D56F2"/>
    <w:rsid w:val="007D716C"/>
    <w:rsid w:val="007E0422"/>
    <w:rsid w:val="007E0B8F"/>
    <w:rsid w:val="007E3579"/>
    <w:rsid w:val="007E3BEE"/>
    <w:rsid w:val="007E5B74"/>
    <w:rsid w:val="007E5FFB"/>
    <w:rsid w:val="007F0CC5"/>
    <w:rsid w:val="007F1468"/>
    <w:rsid w:val="007F324F"/>
    <w:rsid w:val="007F35BC"/>
    <w:rsid w:val="008042E0"/>
    <w:rsid w:val="008079B7"/>
    <w:rsid w:val="00807A6F"/>
    <w:rsid w:val="00811858"/>
    <w:rsid w:val="00811B24"/>
    <w:rsid w:val="00814811"/>
    <w:rsid w:val="00814D5D"/>
    <w:rsid w:val="00815110"/>
    <w:rsid w:val="008155CE"/>
    <w:rsid w:val="00815DD3"/>
    <w:rsid w:val="008164F1"/>
    <w:rsid w:val="0081719A"/>
    <w:rsid w:val="00817A44"/>
    <w:rsid w:val="008200C3"/>
    <w:rsid w:val="00820360"/>
    <w:rsid w:val="0082136D"/>
    <w:rsid w:val="008220CB"/>
    <w:rsid w:val="00822D69"/>
    <w:rsid w:val="0082596F"/>
    <w:rsid w:val="00826419"/>
    <w:rsid w:val="00830D7C"/>
    <w:rsid w:val="008318B7"/>
    <w:rsid w:val="00831970"/>
    <w:rsid w:val="00831AE8"/>
    <w:rsid w:val="00832576"/>
    <w:rsid w:val="00832C74"/>
    <w:rsid w:val="00832EF0"/>
    <w:rsid w:val="00834511"/>
    <w:rsid w:val="008346F8"/>
    <w:rsid w:val="00834DC8"/>
    <w:rsid w:val="00835087"/>
    <w:rsid w:val="00835519"/>
    <w:rsid w:val="0083555C"/>
    <w:rsid w:val="00836034"/>
    <w:rsid w:val="0083608F"/>
    <w:rsid w:val="0083691D"/>
    <w:rsid w:val="00841334"/>
    <w:rsid w:val="00842CB9"/>
    <w:rsid w:val="0085075A"/>
    <w:rsid w:val="00850885"/>
    <w:rsid w:val="00852D25"/>
    <w:rsid w:val="008533AB"/>
    <w:rsid w:val="00853719"/>
    <w:rsid w:val="00855295"/>
    <w:rsid w:val="00855D62"/>
    <w:rsid w:val="00856DCE"/>
    <w:rsid w:val="00863CDE"/>
    <w:rsid w:val="00864A79"/>
    <w:rsid w:val="008662BE"/>
    <w:rsid w:val="00871436"/>
    <w:rsid w:val="00871960"/>
    <w:rsid w:val="0087361B"/>
    <w:rsid w:val="00873C28"/>
    <w:rsid w:val="00874BB8"/>
    <w:rsid w:val="0088155F"/>
    <w:rsid w:val="008841D9"/>
    <w:rsid w:val="00885BD7"/>
    <w:rsid w:val="00890603"/>
    <w:rsid w:val="00891A17"/>
    <w:rsid w:val="00895B07"/>
    <w:rsid w:val="00896194"/>
    <w:rsid w:val="008963BD"/>
    <w:rsid w:val="008A14F1"/>
    <w:rsid w:val="008A173C"/>
    <w:rsid w:val="008A3B6B"/>
    <w:rsid w:val="008A4206"/>
    <w:rsid w:val="008A501D"/>
    <w:rsid w:val="008A57C4"/>
    <w:rsid w:val="008A5E2D"/>
    <w:rsid w:val="008A6299"/>
    <w:rsid w:val="008B25FA"/>
    <w:rsid w:val="008B3C66"/>
    <w:rsid w:val="008B5A72"/>
    <w:rsid w:val="008B5AC2"/>
    <w:rsid w:val="008B5CB6"/>
    <w:rsid w:val="008B640A"/>
    <w:rsid w:val="008B6995"/>
    <w:rsid w:val="008C1246"/>
    <w:rsid w:val="008C2410"/>
    <w:rsid w:val="008C2F32"/>
    <w:rsid w:val="008D2797"/>
    <w:rsid w:val="008D3AAC"/>
    <w:rsid w:val="008D3E83"/>
    <w:rsid w:val="008D42AA"/>
    <w:rsid w:val="008D70B6"/>
    <w:rsid w:val="008E05DF"/>
    <w:rsid w:val="008E121B"/>
    <w:rsid w:val="008E1750"/>
    <w:rsid w:val="008E290F"/>
    <w:rsid w:val="008E2BF6"/>
    <w:rsid w:val="008E3607"/>
    <w:rsid w:val="008E436D"/>
    <w:rsid w:val="008E5C37"/>
    <w:rsid w:val="008E7395"/>
    <w:rsid w:val="008E7772"/>
    <w:rsid w:val="008F07A7"/>
    <w:rsid w:val="008F15F8"/>
    <w:rsid w:val="008F252A"/>
    <w:rsid w:val="008F4862"/>
    <w:rsid w:val="008F628E"/>
    <w:rsid w:val="009023B6"/>
    <w:rsid w:val="009031DB"/>
    <w:rsid w:val="00904266"/>
    <w:rsid w:val="00904D37"/>
    <w:rsid w:val="009059AF"/>
    <w:rsid w:val="00907FDA"/>
    <w:rsid w:val="00912119"/>
    <w:rsid w:val="009132F0"/>
    <w:rsid w:val="009133D6"/>
    <w:rsid w:val="0091443C"/>
    <w:rsid w:val="00917DA5"/>
    <w:rsid w:val="0092003E"/>
    <w:rsid w:val="0092043F"/>
    <w:rsid w:val="00920A77"/>
    <w:rsid w:val="00920E05"/>
    <w:rsid w:val="00921634"/>
    <w:rsid w:val="00921A0C"/>
    <w:rsid w:val="00922842"/>
    <w:rsid w:val="00923416"/>
    <w:rsid w:val="00924F3E"/>
    <w:rsid w:val="009306E4"/>
    <w:rsid w:val="00930F49"/>
    <w:rsid w:val="0093154A"/>
    <w:rsid w:val="009322B5"/>
    <w:rsid w:val="00932659"/>
    <w:rsid w:val="009349A8"/>
    <w:rsid w:val="00937BA3"/>
    <w:rsid w:val="0094410F"/>
    <w:rsid w:val="009444B7"/>
    <w:rsid w:val="00944619"/>
    <w:rsid w:val="00944A38"/>
    <w:rsid w:val="009451FB"/>
    <w:rsid w:val="00947612"/>
    <w:rsid w:val="0095163B"/>
    <w:rsid w:val="00951F06"/>
    <w:rsid w:val="009520D6"/>
    <w:rsid w:val="00956DCC"/>
    <w:rsid w:val="009570AB"/>
    <w:rsid w:val="00961932"/>
    <w:rsid w:val="00962A5D"/>
    <w:rsid w:val="00964AB9"/>
    <w:rsid w:val="00972282"/>
    <w:rsid w:val="00974B54"/>
    <w:rsid w:val="009752B7"/>
    <w:rsid w:val="00975E85"/>
    <w:rsid w:val="00976E49"/>
    <w:rsid w:val="00977A32"/>
    <w:rsid w:val="009806E8"/>
    <w:rsid w:val="009819AA"/>
    <w:rsid w:val="00982A6C"/>
    <w:rsid w:val="00983C6C"/>
    <w:rsid w:val="0098489C"/>
    <w:rsid w:val="00986441"/>
    <w:rsid w:val="00986466"/>
    <w:rsid w:val="00986975"/>
    <w:rsid w:val="0099465D"/>
    <w:rsid w:val="0099753F"/>
    <w:rsid w:val="009A0AA6"/>
    <w:rsid w:val="009A0B4B"/>
    <w:rsid w:val="009A1339"/>
    <w:rsid w:val="009A3610"/>
    <w:rsid w:val="009A4BE2"/>
    <w:rsid w:val="009B007F"/>
    <w:rsid w:val="009B0889"/>
    <w:rsid w:val="009B0CF4"/>
    <w:rsid w:val="009B116D"/>
    <w:rsid w:val="009B1800"/>
    <w:rsid w:val="009B1A68"/>
    <w:rsid w:val="009B59FF"/>
    <w:rsid w:val="009B7DCD"/>
    <w:rsid w:val="009B7E05"/>
    <w:rsid w:val="009C1A77"/>
    <w:rsid w:val="009C34A4"/>
    <w:rsid w:val="009C4AEA"/>
    <w:rsid w:val="009C4E14"/>
    <w:rsid w:val="009C642F"/>
    <w:rsid w:val="009C68BE"/>
    <w:rsid w:val="009D0011"/>
    <w:rsid w:val="009D0798"/>
    <w:rsid w:val="009D149B"/>
    <w:rsid w:val="009D1AFA"/>
    <w:rsid w:val="009D239D"/>
    <w:rsid w:val="009D6B5D"/>
    <w:rsid w:val="009D7837"/>
    <w:rsid w:val="009E008D"/>
    <w:rsid w:val="009E17E0"/>
    <w:rsid w:val="009E56CD"/>
    <w:rsid w:val="009E6608"/>
    <w:rsid w:val="009F0F12"/>
    <w:rsid w:val="009F4983"/>
    <w:rsid w:val="009F6900"/>
    <w:rsid w:val="009F711C"/>
    <w:rsid w:val="00A02B36"/>
    <w:rsid w:val="00A030B8"/>
    <w:rsid w:val="00A0619F"/>
    <w:rsid w:val="00A079DA"/>
    <w:rsid w:val="00A1032A"/>
    <w:rsid w:val="00A10FE5"/>
    <w:rsid w:val="00A12FA9"/>
    <w:rsid w:val="00A13464"/>
    <w:rsid w:val="00A139D3"/>
    <w:rsid w:val="00A139E0"/>
    <w:rsid w:val="00A13A1F"/>
    <w:rsid w:val="00A13A32"/>
    <w:rsid w:val="00A15C75"/>
    <w:rsid w:val="00A21F5A"/>
    <w:rsid w:val="00A229D9"/>
    <w:rsid w:val="00A22DD9"/>
    <w:rsid w:val="00A247D1"/>
    <w:rsid w:val="00A266CF"/>
    <w:rsid w:val="00A30C06"/>
    <w:rsid w:val="00A3166B"/>
    <w:rsid w:val="00A3554E"/>
    <w:rsid w:val="00A365E3"/>
    <w:rsid w:val="00A3692A"/>
    <w:rsid w:val="00A37558"/>
    <w:rsid w:val="00A37E9D"/>
    <w:rsid w:val="00A43047"/>
    <w:rsid w:val="00A43E4B"/>
    <w:rsid w:val="00A43FB3"/>
    <w:rsid w:val="00A46152"/>
    <w:rsid w:val="00A504F6"/>
    <w:rsid w:val="00A51960"/>
    <w:rsid w:val="00A522AF"/>
    <w:rsid w:val="00A54FB6"/>
    <w:rsid w:val="00A5553B"/>
    <w:rsid w:val="00A5567B"/>
    <w:rsid w:val="00A557EF"/>
    <w:rsid w:val="00A5599D"/>
    <w:rsid w:val="00A608B8"/>
    <w:rsid w:val="00A60F50"/>
    <w:rsid w:val="00A63EC1"/>
    <w:rsid w:val="00A64DB7"/>
    <w:rsid w:val="00A65A37"/>
    <w:rsid w:val="00A65F96"/>
    <w:rsid w:val="00A6600C"/>
    <w:rsid w:val="00A670C5"/>
    <w:rsid w:val="00A714D6"/>
    <w:rsid w:val="00A73EFF"/>
    <w:rsid w:val="00A74B9A"/>
    <w:rsid w:val="00A77CDB"/>
    <w:rsid w:val="00A803AA"/>
    <w:rsid w:val="00A8086C"/>
    <w:rsid w:val="00A840DB"/>
    <w:rsid w:val="00A8539B"/>
    <w:rsid w:val="00A86BD5"/>
    <w:rsid w:val="00A90111"/>
    <w:rsid w:val="00A92745"/>
    <w:rsid w:val="00A92FBF"/>
    <w:rsid w:val="00A93232"/>
    <w:rsid w:val="00A93B33"/>
    <w:rsid w:val="00A94478"/>
    <w:rsid w:val="00A953CF"/>
    <w:rsid w:val="00A96360"/>
    <w:rsid w:val="00A97F36"/>
    <w:rsid w:val="00AA23A5"/>
    <w:rsid w:val="00AA25F8"/>
    <w:rsid w:val="00AA3C33"/>
    <w:rsid w:val="00AA3C4B"/>
    <w:rsid w:val="00AA5792"/>
    <w:rsid w:val="00AA5D12"/>
    <w:rsid w:val="00AA7EC7"/>
    <w:rsid w:val="00AB0A43"/>
    <w:rsid w:val="00AB38C5"/>
    <w:rsid w:val="00AB6FBE"/>
    <w:rsid w:val="00AB76DF"/>
    <w:rsid w:val="00AC23DF"/>
    <w:rsid w:val="00AC2AB1"/>
    <w:rsid w:val="00AC36A8"/>
    <w:rsid w:val="00AC4F2E"/>
    <w:rsid w:val="00AC6EF9"/>
    <w:rsid w:val="00AD376A"/>
    <w:rsid w:val="00AD5EAB"/>
    <w:rsid w:val="00AD60A1"/>
    <w:rsid w:val="00AD6D00"/>
    <w:rsid w:val="00AE00FB"/>
    <w:rsid w:val="00AE2265"/>
    <w:rsid w:val="00AE2D3A"/>
    <w:rsid w:val="00AE5059"/>
    <w:rsid w:val="00AE59FE"/>
    <w:rsid w:val="00AF0A25"/>
    <w:rsid w:val="00AF23A3"/>
    <w:rsid w:val="00AF3C6A"/>
    <w:rsid w:val="00AF4194"/>
    <w:rsid w:val="00AF50D2"/>
    <w:rsid w:val="00AF51CF"/>
    <w:rsid w:val="00AF6AE5"/>
    <w:rsid w:val="00B0116A"/>
    <w:rsid w:val="00B015BB"/>
    <w:rsid w:val="00B04A4D"/>
    <w:rsid w:val="00B06BA3"/>
    <w:rsid w:val="00B07443"/>
    <w:rsid w:val="00B1441B"/>
    <w:rsid w:val="00B17EE6"/>
    <w:rsid w:val="00B215D6"/>
    <w:rsid w:val="00B228C6"/>
    <w:rsid w:val="00B241BB"/>
    <w:rsid w:val="00B258BC"/>
    <w:rsid w:val="00B25C73"/>
    <w:rsid w:val="00B31B8C"/>
    <w:rsid w:val="00B34F8D"/>
    <w:rsid w:val="00B36FF7"/>
    <w:rsid w:val="00B371D8"/>
    <w:rsid w:val="00B372DE"/>
    <w:rsid w:val="00B37561"/>
    <w:rsid w:val="00B40DA6"/>
    <w:rsid w:val="00B45E7A"/>
    <w:rsid w:val="00B4664A"/>
    <w:rsid w:val="00B507FC"/>
    <w:rsid w:val="00B512A5"/>
    <w:rsid w:val="00B52C89"/>
    <w:rsid w:val="00B53A34"/>
    <w:rsid w:val="00B56651"/>
    <w:rsid w:val="00B5707E"/>
    <w:rsid w:val="00B618A8"/>
    <w:rsid w:val="00B61D2A"/>
    <w:rsid w:val="00B61F25"/>
    <w:rsid w:val="00B63E90"/>
    <w:rsid w:val="00B6556C"/>
    <w:rsid w:val="00B66B2B"/>
    <w:rsid w:val="00B67F6A"/>
    <w:rsid w:val="00B71251"/>
    <w:rsid w:val="00B748B3"/>
    <w:rsid w:val="00B76C01"/>
    <w:rsid w:val="00B77681"/>
    <w:rsid w:val="00B80287"/>
    <w:rsid w:val="00B84886"/>
    <w:rsid w:val="00B86A11"/>
    <w:rsid w:val="00B91A10"/>
    <w:rsid w:val="00B926ED"/>
    <w:rsid w:val="00B937AC"/>
    <w:rsid w:val="00B95631"/>
    <w:rsid w:val="00B971E6"/>
    <w:rsid w:val="00BA08F3"/>
    <w:rsid w:val="00BA3D83"/>
    <w:rsid w:val="00BA4598"/>
    <w:rsid w:val="00BA4C8A"/>
    <w:rsid w:val="00BA604B"/>
    <w:rsid w:val="00BA63F7"/>
    <w:rsid w:val="00BA6A13"/>
    <w:rsid w:val="00BA6DF6"/>
    <w:rsid w:val="00BA7458"/>
    <w:rsid w:val="00BA7FAC"/>
    <w:rsid w:val="00BB1067"/>
    <w:rsid w:val="00BB29CD"/>
    <w:rsid w:val="00BC09AD"/>
    <w:rsid w:val="00BC0C75"/>
    <w:rsid w:val="00BC13C1"/>
    <w:rsid w:val="00BC2599"/>
    <w:rsid w:val="00BC3420"/>
    <w:rsid w:val="00BC5C58"/>
    <w:rsid w:val="00BC69CF"/>
    <w:rsid w:val="00BC7D3E"/>
    <w:rsid w:val="00BD0630"/>
    <w:rsid w:val="00BD07BF"/>
    <w:rsid w:val="00BD134D"/>
    <w:rsid w:val="00BD544E"/>
    <w:rsid w:val="00BD753F"/>
    <w:rsid w:val="00BD7C68"/>
    <w:rsid w:val="00BE12A3"/>
    <w:rsid w:val="00BE1AF1"/>
    <w:rsid w:val="00BE3841"/>
    <w:rsid w:val="00BE4D94"/>
    <w:rsid w:val="00BE7870"/>
    <w:rsid w:val="00BE7FCE"/>
    <w:rsid w:val="00BF0145"/>
    <w:rsid w:val="00BF2508"/>
    <w:rsid w:val="00BF2577"/>
    <w:rsid w:val="00BF5D55"/>
    <w:rsid w:val="00BF7072"/>
    <w:rsid w:val="00C01BA1"/>
    <w:rsid w:val="00C05720"/>
    <w:rsid w:val="00C06392"/>
    <w:rsid w:val="00C07D14"/>
    <w:rsid w:val="00C10F5F"/>
    <w:rsid w:val="00C11514"/>
    <w:rsid w:val="00C11FE9"/>
    <w:rsid w:val="00C128D7"/>
    <w:rsid w:val="00C1462B"/>
    <w:rsid w:val="00C14B98"/>
    <w:rsid w:val="00C15A90"/>
    <w:rsid w:val="00C15E02"/>
    <w:rsid w:val="00C1603F"/>
    <w:rsid w:val="00C16657"/>
    <w:rsid w:val="00C209DA"/>
    <w:rsid w:val="00C232AA"/>
    <w:rsid w:val="00C239CB"/>
    <w:rsid w:val="00C23E22"/>
    <w:rsid w:val="00C263F5"/>
    <w:rsid w:val="00C265B6"/>
    <w:rsid w:val="00C26C95"/>
    <w:rsid w:val="00C301E2"/>
    <w:rsid w:val="00C3248B"/>
    <w:rsid w:val="00C32BF3"/>
    <w:rsid w:val="00C35541"/>
    <w:rsid w:val="00C35A67"/>
    <w:rsid w:val="00C3607C"/>
    <w:rsid w:val="00C408D1"/>
    <w:rsid w:val="00C4194B"/>
    <w:rsid w:val="00C423FB"/>
    <w:rsid w:val="00C50880"/>
    <w:rsid w:val="00C571A8"/>
    <w:rsid w:val="00C57459"/>
    <w:rsid w:val="00C63ED0"/>
    <w:rsid w:val="00C64B6D"/>
    <w:rsid w:val="00C64DA0"/>
    <w:rsid w:val="00C6689F"/>
    <w:rsid w:val="00C67F5A"/>
    <w:rsid w:val="00C70A0A"/>
    <w:rsid w:val="00C71B00"/>
    <w:rsid w:val="00C71C9D"/>
    <w:rsid w:val="00C734F8"/>
    <w:rsid w:val="00C74961"/>
    <w:rsid w:val="00C76C04"/>
    <w:rsid w:val="00C80FB1"/>
    <w:rsid w:val="00C82160"/>
    <w:rsid w:val="00C82852"/>
    <w:rsid w:val="00C82B26"/>
    <w:rsid w:val="00C83A10"/>
    <w:rsid w:val="00C8419C"/>
    <w:rsid w:val="00C84B53"/>
    <w:rsid w:val="00C84CB2"/>
    <w:rsid w:val="00C864D3"/>
    <w:rsid w:val="00C90598"/>
    <w:rsid w:val="00C90AAF"/>
    <w:rsid w:val="00C910F0"/>
    <w:rsid w:val="00C9249A"/>
    <w:rsid w:val="00C9472E"/>
    <w:rsid w:val="00C949FA"/>
    <w:rsid w:val="00C96854"/>
    <w:rsid w:val="00CA2665"/>
    <w:rsid w:val="00CA470F"/>
    <w:rsid w:val="00CA527E"/>
    <w:rsid w:val="00CA5767"/>
    <w:rsid w:val="00CA5EC9"/>
    <w:rsid w:val="00CB0EB2"/>
    <w:rsid w:val="00CB425C"/>
    <w:rsid w:val="00CB52BA"/>
    <w:rsid w:val="00CB7FBD"/>
    <w:rsid w:val="00CC07BA"/>
    <w:rsid w:val="00CC0E6C"/>
    <w:rsid w:val="00CC186E"/>
    <w:rsid w:val="00CC2A4E"/>
    <w:rsid w:val="00CC453F"/>
    <w:rsid w:val="00CC5890"/>
    <w:rsid w:val="00CC6386"/>
    <w:rsid w:val="00CC7D5A"/>
    <w:rsid w:val="00CD0EA7"/>
    <w:rsid w:val="00CD34AC"/>
    <w:rsid w:val="00CD4437"/>
    <w:rsid w:val="00CD532F"/>
    <w:rsid w:val="00CD60E1"/>
    <w:rsid w:val="00CD62FD"/>
    <w:rsid w:val="00CE0699"/>
    <w:rsid w:val="00CE0B9F"/>
    <w:rsid w:val="00CE17D2"/>
    <w:rsid w:val="00CE1816"/>
    <w:rsid w:val="00CE2813"/>
    <w:rsid w:val="00CE2DAB"/>
    <w:rsid w:val="00CE2E1E"/>
    <w:rsid w:val="00CE2E56"/>
    <w:rsid w:val="00CE2EF5"/>
    <w:rsid w:val="00CE3BAC"/>
    <w:rsid w:val="00CE6838"/>
    <w:rsid w:val="00CE7AF4"/>
    <w:rsid w:val="00CE7C29"/>
    <w:rsid w:val="00CF4EE0"/>
    <w:rsid w:val="00CF6234"/>
    <w:rsid w:val="00CF625A"/>
    <w:rsid w:val="00D01954"/>
    <w:rsid w:val="00D03083"/>
    <w:rsid w:val="00D03F5A"/>
    <w:rsid w:val="00D059E9"/>
    <w:rsid w:val="00D06238"/>
    <w:rsid w:val="00D0733F"/>
    <w:rsid w:val="00D07C1B"/>
    <w:rsid w:val="00D10532"/>
    <w:rsid w:val="00D10899"/>
    <w:rsid w:val="00D108C5"/>
    <w:rsid w:val="00D15056"/>
    <w:rsid w:val="00D17100"/>
    <w:rsid w:val="00D22413"/>
    <w:rsid w:val="00D22D0A"/>
    <w:rsid w:val="00D238F4"/>
    <w:rsid w:val="00D25466"/>
    <w:rsid w:val="00D25933"/>
    <w:rsid w:val="00D26C6F"/>
    <w:rsid w:val="00D2782D"/>
    <w:rsid w:val="00D30816"/>
    <w:rsid w:val="00D3099B"/>
    <w:rsid w:val="00D338AD"/>
    <w:rsid w:val="00D33DE5"/>
    <w:rsid w:val="00D35F99"/>
    <w:rsid w:val="00D42979"/>
    <w:rsid w:val="00D4349D"/>
    <w:rsid w:val="00D507E6"/>
    <w:rsid w:val="00D50AC6"/>
    <w:rsid w:val="00D5194D"/>
    <w:rsid w:val="00D51ABE"/>
    <w:rsid w:val="00D522D7"/>
    <w:rsid w:val="00D53DC3"/>
    <w:rsid w:val="00D55B08"/>
    <w:rsid w:val="00D5615B"/>
    <w:rsid w:val="00D5707E"/>
    <w:rsid w:val="00D608E8"/>
    <w:rsid w:val="00D64037"/>
    <w:rsid w:val="00D64660"/>
    <w:rsid w:val="00D650E5"/>
    <w:rsid w:val="00D66507"/>
    <w:rsid w:val="00D6787C"/>
    <w:rsid w:val="00D67BFB"/>
    <w:rsid w:val="00D71EDD"/>
    <w:rsid w:val="00D723F2"/>
    <w:rsid w:val="00D771DA"/>
    <w:rsid w:val="00D7734A"/>
    <w:rsid w:val="00D7754C"/>
    <w:rsid w:val="00D82A4F"/>
    <w:rsid w:val="00D82D4E"/>
    <w:rsid w:val="00D8387C"/>
    <w:rsid w:val="00D83BA6"/>
    <w:rsid w:val="00D845D4"/>
    <w:rsid w:val="00D93F6C"/>
    <w:rsid w:val="00D968A5"/>
    <w:rsid w:val="00DA1B82"/>
    <w:rsid w:val="00DA33D9"/>
    <w:rsid w:val="00DA47FB"/>
    <w:rsid w:val="00DA6276"/>
    <w:rsid w:val="00DA6DEC"/>
    <w:rsid w:val="00DB2971"/>
    <w:rsid w:val="00DB2CBA"/>
    <w:rsid w:val="00DB3669"/>
    <w:rsid w:val="00DB4440"/>
    <w:rsid w:val="00DB5F54"/>
    <w:rsid w:val="00DB61FF"/>
    <w:rsid w:val="00DB633F"/>
    <w:rsid w:val="00DB778B"/>
    <w:rsid w:val="00DB792A"/>
    <w:rsid w:val="00DC324F"/>
    <w:rsid w:val="00DC4A24"/>
    <w:rsid w:val="00DC5A03"/>
    <w:rsid w:val="00DC6D46"/>
    <w:rsid w:val="00DC7327"/>
    <w:rsid w:val="00DD5706"/>
    <w:rsid w:val="00DE165A"/>
    <w:rsid w:val="00DE2031"/>
    <w:rsid w:val="00DE411A"/>
    <w:rsid w:val="00DE5BF8"/>
    <w:rsid w:val="00DE740D"/>
    <w:rsid w:val="00DE7BC7"/>
    <w:rsid w:val="00DF5BEC"/>
    <w:rsid w:val="00DF6E05"/>
    <w:rsid w:val="00DF6FC3"/>
    <w:rsid w:val="00E003DF"/>
    <w:rsid w:val="00E007B5"/>
    <w:rsid w:val="00E01768"/>
    <w:rsid w:val="00E037C3"/>
    <w:rsid w:val="00E107DD"/>
    <w:rsid w:val="00E10A97"/>
    <w:rsid w:val="00E10B59"/>
    <w:rsid w:val="00E10DFE"/>
    <w:rsid w:val="00E11AE6"/>
    <w:rsid w:val="00E11F02"/>
    <w:rsid w:val="00E13C7F"/>
    <w:rsid w:val="00E140A1"/>
    <w:rsid w:val="00E143BD"/>
    <w:rsid w:val="00E153E2"/>
    <w:rsid w:val="00E168BE"/>
    <w:rsid w:val="00E16944"/>
    <w:rsid w:val="00E16D71"/>
    <w:rsid w:val="00E22B2D"/>
    <w:rsid w:val="00E24018"/>
    <w:rsid w:val="00E267F5"/>
    <w:rsid w:val="00E31D89"/>
    <w:rsid w:val="00E332BC"/>
    <w:rsid w:val="00E3363D"/>
    <w:rsid w:val="00E33AB0"/>
    <w:rsid w:val="00E3446C"/>
    <w:rsid w:val="00E40331"/>
    <w:rsid w:val="00E405A9"/>
    <w:rsid w:val="00E41299"/>
    <w:rsid w:val="00E44347"/>
    <w:rsid w:val="00E4478B"/>
    <w:rsid w:val="00E4703A"/>
    <w:rsid w:val="00E47D57"/>
    <w:rsid w:val="00E504CE"/>
    <w:rsid w:val="00E5292F"/>
    <w:rsid w:val="00E54146"/>
    <w:rsid w:val="00E60C6F"/>
    <w:rsid w:val="00E612C9"/>
    <w:rsid w:val="00E61348"/>
    <w:rsid w:val="00E61BB6"/>
    <w:rsid w:val="00E62ED9"/>
    <w:rsid w:val="00E63399"/>
    <w:rsid w:val="00E633F9"/>
    <w:rsid w:val="00E637C4"/>
    <w:rsid w:val="00E63EF8"/>
    <w:rsid w:val="00E64F6A"/>
    <w:rsid w:val="00E66717"/>
    <w:rsid w:val="00E66797"/>
    <w:rsid w:val="00E67650"/>
    <w:rsid w:val="00E72419"/>
    <w:rsid w:val="00E72EBD"/>
    <w:rsid w:val="00E7393B"/>
    <w:rsid w:val="00E74B9A"/>
    <w:rsid w:val="00E753F2"/>
    <w:rsid w:val="00E7589F"/>
    <w:rsid w:val="00E76ED1"/>
    <w:rsid w:val="00E7762F"/>
    <w:rsid w:val="00E779FE"/>
    <w:rsid w:val="00E80ABB"/>
    <w:rsid w:val="00E8110B"/>
    <w:rsid w:val="00E8170D"/>
    <w:rsid w:val="00E8217C"/>
    <w:rsid w:val="00E82D75"/>
    <w:rsid w:val="00E8338B"/>
    <w:rsid w:val="00E8372A"/>
    <w:rsid w:val="00E8396B"/>
    <w:rsid w:val="00E84588"/>
    <w:rsid w:val="00E84848"/>
    <w:rsid w:val="00E85935"/>
    <w:rsid w:val="00E93C0D"/>
    <w:rsid w:val="00E94660"/>
    <w:rsid w:val="00E979DA"/>
    <w:rsid w:val="00EA0FDE"/>
    <w:rsid w:val="00EA111E"/>
    <w:rsid w:val="00EA361B"/>
    <w:rsid w:val="00EA4A09"/>
    <w:rsid w:val="00EA60EE"/>
    <w:rsid w:val="00EA7E99"/>
    <w:rsid w:val="00EB0AE8"/>
    <w:rsid w:val="00EB14DD"/>
    <w:rsid w:val="00EB307D"/>
    <w:rsid w:val="00EB34DA"/>
    <w:rsid w:val="00EB471F"/>
    <w:rsid w:val="00EC06BB"/>
    <w:rsid w:val="00EC6ED7"/>
    <w:rsid w:val="00EC7115"/>
    <w:rsid w:val="00ED0CAD"/>
    <w:rsid w:val="00ED0E41"/>
    <w:rsid w:val="00ED150D"/>
    <w:rsid w:val="00ED1CE8"/>
    <w:rsid w:val="00ED5052"/>
    <w:rsid w:val="00ED575B"/>
    <w:rsid w:val="00ED5921"/>
    <w:rsid w:val="00ED7448"/>
    <w:rsid w:val="00ED7918"/>
    <w:rsid w:val="00ED7B33"/>
    <w:rsid w:val="00EE0436"/>
    <w:rsid w:val="00EE1856"/>
    <w:rsid w:val="00EE476D"/>
    <w:rsid w:val="00EE64D2"/>
    <w:rsid w:val="00EE74A1"/>
    <w:rsid w:val="00EF0BD8"/>
    <w:rsid w:val="00EF1E37"/>
    <w:rsid w:val="00EF38E8"/>
    <w:rsid w:val="00EF3B1A"/>
    <w:rsid w:val="00EF3FC6"/>
    <w:rsid w:val="00EF73C0"/>
    <w:rsid w:val="00F0044B"/>
    <w:rsid w:val="00F00FD3"/>
    <w:rsid w:val="00F017FB"/>
    <w:rsid w:val="00F0241C"/>
    <w:rsid w:val="00F02CCA"/>
    <w:rsid w:val="00F0486C"/>
    <w:rsid w:val="00F06991"/>
    <w:rsid w:val="00F07159"/>
    <w:rsid w:val="00F07615"/>
    <w:rsid w:val="00F07D5A"/>
    <w:rsid w:val="00F116E0"/>
    <w:rsid w:val="00F13885"/>
    <w:rsid w:val="00F14D86"/>
    <w:rsid w:val="00F16667"/>
    <w:rsid w:val="00F21B42"/>
    <w:rsid w:val="00F21D11"/>
    <w:rsid w:val="00F21E85"/>
    <w:rsid w:val="00F232A6"/>
    <w:rsid w:val="00F255CA"/>
    <w:rsid w:val="00F3003B"/>
    <w:rsid w:val="00F34C6E"/>
    <w:rsid w:val="00F419C8"/>
    <w:rsid w:val="00F41A5A"/>
    <w:rsid w:val="00F41AFA"/>
    <w:rsid w:val="00F432D0"/>
    <w:rsid w:val="00F4349B"/>
    <w:rsid w:val="00F44F34"/>
    <w:rsid w:val="00F460CD"/>
    <w:rsid w:val="00F463B5"/>
    <w:rsid w:val="00F47335"/>
    <w:rsid w:val="00F50579"/>
    <w:rsid w:val="00F537F9"/>
    <w:rsid w:val="00F5431D"/>
    <w:rsid w:val="00F548D0"/>
    <w:rsid w:val="00F55EC2"/>
    <w:rsid w:val="00F5665B"/>
    <w:rsid w:val="00F61E3B"/>
    <w:rsid w:val="00F62B5A"/>
    <w:rsid w:val="00F64999"/>
    <w:rsid w:val="00F6702C"/>
    <w:rsid w:val="00F70E89"/>
    <w:rsid w:val="00F80917"/>
    <w:rsid w:val="00F80D15"/>
    <w:rsid w:val="00F82D04"/>
    <w:rsid w:val="00F836DA"/>
    <w:rsid w:val="00F84945"/>
    <w:rsid w:val="00F86224"/>
    <w:rsid w:val="00F86F74"/>
    <w:rsid w:val="00F9073A"/>
    <w:rsid w:val="00F9183F"/>
    <w:rsid w:val="00F922C2"/>
    <w:rsid w:val="00F949B6"/>
    <w:rsid w:val="00F971F1"/>
    <w:rsid w:val="00F979E1"/>
    <w:rsid w:val="00FA0111"/>
    <w:rsid w:val="00FA0802"/>
    <w:rsid w:val="00FA2B64"/>
    <w:rsid w:val="00FA383F"/>
    <w:rsid w:val="00FA47D6"/>
    <w:rsid w:val="00FA47E0"/>
    <w:rsid w:val="00FB0041"/>
    <w:rsid w:val="00FB1C22"/>
    <w:rsid w:val="00FB1F14"/>
    <w:rsid w:val="00FB2632"/>
    <w:rsid w:val="00FB2B49"/>
    <w:rsid w:val="00FB3B4C"/>
    <w:rsid w:val="00FB3BD6"/>
    <w:rsid w:val="00FB4DEF"/>
    <w:rsid w:val="00FB56B6"/>
    <w:rsid w:val="00FB5C67"/>
    <w:rsid w:val="00FB63AA"/>
    <w:rsid w:val="00FC0309"/>
    <w:rsid w:val="00FC3D86"/>
    <w:rsid w:val="00FC4AFA"/>
    <w:rsid w:val="00FC4D9D"/>
    <w:rsid w:val="00FC57A9"/>
    <w:rsid w:val="00FC79B7"/>
    <w:rsid w:val="00FD146D"/>
    <w:rsid w:val="00FD2717"/>
    <w:rsid w:val="00FD2995"/>
    <w:rsid w:val="00FD3D41"/>
    <w:rsid w:val="00FD4CA9"/>
    <w:rsid w:val="00FD4CCE"/>
    <w:rsid w:val="00FD50E5"/>
    <w:rsid w:val="00FD532A"/>
    <w:rsid w:val="00FD67E4"/>
    <w:rsid w:val="00FE01C4"/>
    <w:rsid w:val="00FE3D5B"/>
    <w:rsid w:val="00FE4EB0"/>
    <w:rsid w:val="00FE5A3D"/>
    <w:rsid w:val="00FE5B48"/>
    <w:rsid w:val="00FE6477"/>
    <w:rsid w:val="00FE71D0"/>
    <w:rsid w:val="00FF0F39"/>
    <w:rsid w:val="00FF224C"/>
    <w:rsid w:val="00FF6619"/>
    <w:rsid w:val="00FF7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24C5D"/>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paragraph" w:styleId="Heading1">
    <w:name w:val="heading 1"/>
    <w:basedOn w:val="Normal"/>
    <w:next w:val="Normal"/>
    <w:link w:val="Heading1Char"/>
    <w:uiPriority w:val="9"/>
    <w:qFormat/>
    <w:rsid w:val="00E4478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0A668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3727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 w:type="paragraph" w:styleId="EndnoteText">
    <w:name w:val="endnote text"/>
    <w:basedOn w:val="Normal"/>
    <w:link w:val="EndnoteTextChar"/>
    <w:uiPriority w:val="99"/>
    <w:semiHidden/>
    <w:unhideWhenUsed/>
    <w:rsid w:val="004A25A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A25AC"/>
    <w:rPr>
      <w:sz w:val="20"/>
      <w:szCs w:val="20"/>
      <w:lang w:val="en-GB"/>
    </w:rPr>
  </w:style>
  <w:style w:type="character" w:styleId="EndnoteReference">
    <w:name w:val="endnote reference"/>
    <w:basedOn w:val="DefaultParagraphFont"/>
    <w:uiPriority w:val="99"/>
    <w:semiHidden/>
    <w:unhideWhenUsed/>
    <w:rsid w:val="004A25AC"/>
    <w:rPr>
      <w:vertAlign w:val="superscript"/>
    </w:rPr>
  </w:style>
  <w:style w:type="character" w:customStyle="1" w:styleId="Heading1Char">
    <w:name w:val="Heading 1 Char"/>
    <w:basedOn w:val="DefaultParagraphFont"/>
    <w:link w:val="Heading1"/>
    <w:uiPriority w:val="9"/>
    <w:rsid w:val="00E4478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0A668F"/>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semiHidden/>
    <w:rsid w:val="00237278"/>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40259">
      <w:bodyDiv w:val="1"/>
      <w:marLeft w:val="0"/>
      <w:marRight w:val="0"/>
      <w:marTop w:val="0"/>
      <w:marBottom w:val="0"/>
      <w:divBdr>
        <w:top w:val="none" w:sz="0" w:space="0" w:color="auto"/>
        <w:left w:val="none" w:sz="0" w:space="0" w:color="auto"/>
        <w:bottom w:val="none" w:sz="0" w:space="0" w:color="auto"/>
        <w:right w:val="none" w:sz="0" w:space="0" w:color="auto"/>
      </w:divBdr>
    </w:div>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69162694">
      <w:bodyDiv w:val="1"/>
      <w:marLeft w:val="0"/>
      <w:marRight w:val="0"/>
      <w:marTop w:val="0"/>
      <w:marBottom w:val="0"/>
      <w:divBdr>
        <w:top w:val="none" w:sz="0" w:space="0" w:color="auto"/>
        <w:left w:val="none" w:sz="0" w:space="0" w:color="auto"/>
        <w:bottom w:val="none" w:sz="0" w:space="0" w:color="auto"/>
        <w:right w:val="none" w:sz="0" w:space="0" w:color="auto"/>
      </w:divBdr>
    </w:div>
    <w:div w:id="200016760">
      <w:bodyDiv w:val="1"/>
      <w:marLeft w:val="0"/>
      <w:marRight w:val="0"/>
      <w:marTop w:val="0"/>
      <w:marBottom w:val="0"/>
      <w:divBdr>
        <w:top w:val="none" w:sz="0" w:space="0" w:color="auto"/>
        <w:left w:val="none" w:sz="0" w:space="0" w:color="auto"/>
        <w:bottom w:val="none" w:sz="0" w:space="0" w:color="auto"/>
        <w:right w:val="none" w:sz="0" w:space="0" w:color="auto"/>
      </w:divBdr>
    </w:div>
    <w:div w:id="256212862">
      <w:bodyDiv w:val="1"/>
      <w:marLeft w:val="0"/>
      <w:marRight w:val="0"/>
      <w:marTop w:val="0"/>
      <w:marBottom w:val="0"/>
      <w:divBdr>
        <w:top w:val="none" w:sz="0" w:space="0" w:color="auto"/>
        <w:left w:val="none" w:sz="0" w:space="0" w:color="auto"/>
        <w:bottom w:val="none" w:sz="0" w:space="0" w:color="auto"/>
        <w:right w:val="none" w:sz="0" w:space="0" w:color="auto"/>
      </w:divBdr>
    </w:div>
    <w:div w:id="404304755">
      <w:bodyDiv w:val="1"/>
      <w:marLeft w:val="0"/>
      <w:marRight w:val="0"/>
      <w:marTop w:val="0"/>
      <w:marBottom w:val="0"/>
      <w:divBdr>
        <w:top w:val="none" w:sz="0" w:space="0" w:color="auto"/>
        <w:left w:val="none" w:sz="0" w:space="0" w:color="auto"/>
        <w:bottom w:val="none" w:sz="0" w:space="0" w:color="auto"/>
        <w:right w:val="none" w:sz="0" w:space="0" w:color="auto"/>
      </w:divBdr>
      <w:divsChild>
        <w:div w:id="895507983">
          <w:marLeft w:val="0"/>
          <w:marRight w:val="0"/>
          <w:marTop w:val="0"/>
          <w:marBottom w:val="0"/>
          <w:divBdr>
            <w:top w:val="none" w:sz="0" w:space="0" w:color="auto"/>
            <w:left w:val="none" w:sz="0" w:space="0" w:color="auto"/>
            <w:bottom w:val="none" w:sz="0" w:space="0" w:color="auto"/>
            <w:right w:val="none" w:sz="0" w:space="0" w:color="auto"/>
          </w:divBdr>
        </w:div>
      </w:divsChild>
    </w:div>
    <w:div w:id="447747621">
      <w:bodyDiv w:val="1"/>
      <w:marLeft w:val="0"/>
      <w:marRight w:val="0"/>
      <w:marTop w:val="0"/>
      <w:marBottom w:val="0"/>
      <w:divBdr>
        <w:top w:val="none" w:sz="0" w:space="0" w:color="auto"/>
        <w:left w:val="none" w:sz="0" w:space="0" w:color="auto"/>
        <w:bottom w:val="none" w:sz="0" w:space="0" w:color="auto"/>
        <w:right w:val="none" w:sz="0" w:space="0" w:color="auto"/>
      </w:divBdr>
    </w:div>
    <w:div w:id="461195014">
      <w:bodyDiv w:val="1"/>
      <w:marLeft w:val="0"/>
      <w:marRight w:val="0"/>
      <w:marTop w:val="0"/>
      <w:marBottom w:val="0"/>
      <w:divBdr>
        <w:top w:val="none" w:sz="0" w:space="0" w:color="auto"/>
        <w:left w:val="none" w:sz="0" w:space="0" w:color="auto"/>
        <w:bottom w:val="none" w:sz="0" w:space="0" w:color="auto"/>
        <w:right w:val="none" w:sz="0" w:space="0" w:color="auto"/>
      </w:divBdr>
      <w:divsChild>
        <w:div w:id="1895699478">
          <w:marLeft w:val="0"/>
          <w:marRight w:val="0"/>
          <w:marTop w:val="0"/>
          <w:marBottom w:val="0"/>
          <w:divBdr>
            <w:top w:val="none" w:sz="0" w:space="0" w:color="auto"/>
            <w:left w:val="none" w:sz="0" w:space="0" w:color="auto"/>
            <w:bottom w:val="none" w:sz="0" w:space="0" w:color="auto"/>
            <w:right w:val="none" w:sz="0" w:space="0" w:color="auto"/>
          </w:divBdr>
        </w:div>
      </w:divsChild>
    </w:div>
    <w:div w:id="566651045">
      <w:bodyDiv w:val="1"/>
      <w:marLeft w:val="0"/>
      <w:marRight w:val="0"/>
      <w:marTop w:val="0"/>
      <w:marBottom w:val="0"/>
      <w:divBdr>
        <w:top w:val="none" w:sz="0" w:space="0" w:color="auto"/>
        <w:left w:val="none" w:sz="0" w:space="0" w:color="auto"/>
        <w:bottom w:val="none" w:sz="0" w:space="0" w:color="auto"/>
        <w:right w:val="none" w:sz="0" w:space="0" w:color="auto"/>
      </w:divBdr>
    </w:div>
    <w:div w:id="670841772">
      <w:bodyDiv w:val="1"/>
      <w:marLeft w:val="0"/>
      <w:marRight w:val="0"/>
      <w:marTop w:val="0"/>
      <w:marBottom w:val="0"/>
      <w:divBdr>
        <w:top w:val="none" w:sz="0" w:space="0" w:color="auto"/>
        <w:left w:val="none" w:sz="0" w:space="0" w:color="auto"/>
        <w:bottom w:val="none" w:sz="0" w:space="0" w:color="auto"/>
        <w:right w:val="none" w:sz="0" w:space="0" w:color="auto"/>
      </w:divBdr>
    </w:div>
    <w:div w:id="862591349">
      <w:bodyDiv w:val="1"/>
      <w:marLeft w:val="0"/>
      <w:marRight w:val="0"/>
      <w:marTop w:val="0"/>
      <w:marBottom w:val="0"/>
      <w:divBdr>
        <w:top w:val="none" w:sz="0" w:space="0" w:color="auto"/>
        <w:left w:val="none" w:sz="0" w:space="0" w:color="auto"/>
        <w:bottom w:val="none" w:sz="0" w:space="0" w:color="auto"/>
        <w:right w:val="none" w:sz="0" w:space="0" w:color="auto"/>
      </w:divBdr>
    </w:div>
    <w:div w:id="898132844">
      <w:bodyDiv w:val="1"/>
      <w:marLeft w:val="0"/>
      <w:marRight w:val="0"/>
      <w:marTop w:val="0"/>
      <w:marBottom w:val="0"/>
      <w:divBdr>
        <w:top w:val="none" w:sz="0" w:space="0" w:color="auto"/>
        <w:left w:val="none" w:sz="0" w:space="0" w:color="auto"/>
        <w:bottom w:val="none" w:sz="0" w:space="0" w:color="auto"/>
        <w:right w:val="none" w:sz="0" w:space="0" w:color="auto"/>
      </w:divBdr>
    </w:div>
    <w:div w:id="940605002">
      <w:bodyDiv w:val="1"/>
      <w:marLeft w:val="0"/>
      <w:marRight w:val="0"/>
      <w:marTop w:val="0"/>
      <w:marBottom w:val="0"/>
      <w:divBdr>
        <w:top w:val="none" w:sz="0" w:space="0" w:color="auto"/>
        <w:left w:val="none" w:sz="0" w:space="0" w:color="auto"/>
        <w:bottom w:val="none" w:sz="0" w:space="0" w:color="auto"/>
        <w:right w:val="none" w:sz="0" w:space="0" w:color="auto"/>
      </w:divBdr>
      <w:divsChild>
        <w:div w:id="1716537437">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978417973">
      <w:bodyDiv w:val="1"/>
      <w:marLeft w:val="0"/>
      <w:marRight w:val="0"/>
      <w:marTop w:val="0"/>
      <w:marBottom w:val="0"/>
      <w:divBdr>
        <w:top w:val="none" w:sz="0" w:space="0" w:color="auto"/>
        <w:left w:val="none" w:sz="0" w:space="0" w:color="auto"/>
        <w:bottom w:val="none" w:sz="0" w:space="0" w:color="auto"/>
        <w:right w:val="none" w:sz="0" w:space="0" w:color="auto"/>
      </w:divBdr>
    </w:div>
    <w:div w:id="1027605367">
      <w:bodyDiv w:val="1"/>
      <w:marLeft w:val="0"/>
      <w:marRight w:val="0"/>
      <w:marTop w:val="0"/>
      <w:marBottom w:val="0"/>
      <w:divBdr>
        <w:top w:val="none" w:sz="0" w:space="0" w:color="auto"/>
        <w:left w:val="none" w:sz="0" w:space="0" w:color="auto"/>
        <w:bottom w:val="none" w:sz="0" w:space="0" w:color="auto"/>
        <w:right w:val="none" w:sz="0" w:space="0" w:color="auto"/>
      </w:divBdr>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065295465">
      <w:bodyDiv w:val="1"/>
      <w:marLeft w:val="0"/>
      <w:marRight w:val="0"/>
      <w:marTop w:val="0"/>
      <w:marBottom w:val="0"/>
      <w:divBdr>
        <w:top w:val="none" w:sz="0" w:space="0" w:color="auto"/>
        <w:left w:val="none" w:sz="0" w:space="0" w:color="auto"/>
        <w:bottom w:val="none" w:sz="0" w:space="0" w:color="auto"/>
        <w:right w:val="none" w:sz="0" w:space="0" w:color="auto"/>
      </w:divBdr>
    </w:div>
    <w:div w:id="1199245887">
      <w:bodyDiv w:val="1"/>
      <w:marLeft w:val="0"/>
      <w:marRight w:val="0"/>
      <w:marTop w:val="0"/>
      <w:marBottom w:val="0"/>
      <w:divBdr>
        <w:top w:val="none" w:sz="0" w:space="0" w:color="auto"/>
        <w:left w:val="none" w:sz="0" w:space="0" w:color="auto"/>
        <w:bottom w:val="none" w:sz="0" w:space="0" w:color="auto"/>
        <w:right w:val="none" w:sz="0" w:space="0" w:color="auto"/>
      </w:divBdr>
    </w:div>
    <w:div w:id="1251697039">
      <w:bodyDiv w:val="1"/>
      <w:marLeft w:val="0"/>
      <w:marRight w:val="0"/>
      <w:marTop w:val="0"/>
      <w:marBottom w:val="0"/>
      <w:divBdr>
        <w:top w:val="none" w:sz="0" w:space="0" w:color="auto"/>
        <w:left w:val="none" w:sz="0" w:space="0" w:color="auto"/>
        <w:bottom w:val="none" w:sz="0" w:space="0" w:color="auto"/>
        <w:right w:val="none" w:sz="0" w:space="0" w:color="auto"/>
      </w:divBdr>
    </w:div>
    <w:div w:id="1345018588">
      <w:bodyDiv w:val="1"/>
      <w:marLeft w:val="0"/>
      <w:marRight w:val="0"/>
      <w:marTop w:val="0"/>
      <w:marBottom w:val="0"/>
      <w:divBdr>
        <w:top w:val="none" w:sz="0" w:space="0" w:color="auto"/>
        <w:left w:val="none" w:sz="0" w:space="0" w:color="auto"/>
        <w:bottom w:val="none" w:sz="0" w:space="0" w:color="auto"/>
        <w:right w:val="none" w:sz="0" w:space="0" w:color="auto"/>
      </w:divBdr>
    </w:div>
    <w:div w:id="1356924005">
      <w:bodyDiv w:val="1"/>
      <w:marLeft w:val="0"/>
      <w:marRight w:val="0"/>
      <w:marTop w:val="0"/>
      <w:marBottom w:val="0"/>
      <w:divBdr>
        <w:top w:val="none" w:sz="0" w:space="0" w:color="auto"/>
        <w:left w:val="none" w:sz="0" w:space="0" w:color="auto"/>
        <w:bottom w:val="none" w:sz="0" w:space="0" w:color="auto"/>
        <w:right w:val="none" w:sz="0" w:space="0" w:color="auto"/>
      </w:divBdr>
    </w:div>
    <w:div w:id="1367173036">
      <w:bodyDiv w:val="1"/>
      <w:marLeft w:val="0"/>
      <w:marRight w:val="0"/>
      <w:marTop w:val="0"/>
      <w:marBottom w:val="0"/>
      <w:divBdr>
        <w:top w:val="none" w:sz="0" w:space="0" w:color="auto"/>
        <w:left w:val="none" w:sz="0" w:space="0" w:color="auto"/>
        <w:bottom w:val="none" w:sz="0" w:space="0" w:color="auto"/>
        <w:right w:val="none" w:sz="0" w:space="0" w:color="auto"/>
      </w:divBdr>
    </w:div>
    <w:div w:id="1397440073">
      <w:bodyDiv w:val="1"/>
      <w:marLeft w:val="0"/>
      <w:marRight w:val="0"/>
      <w:marTop w:val="0"/>
      <w:marBottom w:val="0"/>
      <w:divBdr>
        <w:top w:val="none" w:sz="0" w:space="0" w:color="auto"/>
        <w:left w:val="none" w:sz="0" w:space="0" w:color="auto"/>
        <w:bottom w:val="none" w:sz="0" w:space="0" w:color="auto"/>
        <w:right w:val="none" w:sz="0" w:space="0" w:color="auto"/>
      </w:divBdr>
      <w:divsChild>
        <w:div w:id="1899584224">
          <w:marLeft w:val="0"/>
          <w:marRight w:val="0"/>
          <w:marTop w:val="0"/>
          <w:marBottom w:val="0"/>
          <w:divBdr>
            <w:top w:val="none" w:sz="0" w:space="0" w:color="auto"/>
            <w:left w:val="none" w:sz="0" w:space="0" w:color="auto"/>
            <w:bottom w:val="none" w:sz="0" w:space="0" w:color="auto"/>
            <w:right w:val="none" w:sz="0" w:space="0" w:color="auto"/>
          </w:divBdr>
        </w:div>
      </w:divsChild>
    </w:div>
    <w:div w:id="1634825948">
      <w:bodyDiv w:val="1"/>
      <w:marLeft w:val="0"/>
      <w:marRight w:val="0"/>
      <w:marTop w:val="0"/>
      <w:marBottom w:val="0"/>
      <w:divBdr>
        <w:top w:val="none" w:sz="0" w:space="0" w:color="auto"/>
        <w:left w:val="none" w:sz="0" w:space="0" w:color="auto"/>
        <w:bottom w:val="none" w:sz="0" w:space="0" w:color="auto"/>
        <w:right w:val="none" w:sz="0" w:space="0" w:color="auto"/>
      </w:divBdr>
    </w:div>
    <w:div w:id="1639645693">
      <w:bodyDiv w:val="1"/>
      <w:marLeft w:val="0"/>
      <w:marRight w:val="0"/>
      <w:marTop w:val="0"/>
      <w:marBottom w:val="0"/>
      <w:divBdr>
        <w:top w:val="none" w:sz="0" w:space="0" w:color="auto"/>
        <w:left w:val="none" w:sz="0" w:space="0" w:color="auto"/>
        <w:bottom w:val="none" w:sz="0" w:space="0" w:color="auto"/>
        <w:right w:val="none" w:sz="0" w:space="0" w:color="auto"/>
      </w:divBdr>
    </w:div>
    <w:div w:id="1640261304">
      <w:bodyDiv w:val="1"/>
      <w:marLeft w:val="0"/>
      <w:marRight w:val="0"/>
      <w:marTop w:val="0"/>
      <w:marBottom w:val="0"/>
      <w:divBdr>
        <w:top w:val="none" w:sz="0" w:space="0" w:color="auto"/>
        <w:left w:val="none" w:sz="0" w:space="0" w:color="auto"/>
        <w:bottom w:val="none" w:sz="0" w:space="0" w:color="auto"/>
        <w:right w:val="none" w:sz="0" w:space="0" w:color="auto"/>
      </w:divBdr>
    </w:div>
    <w:div w:id="1762948252">
      <w:bodyDiv w:val="1"/>
      <w:marLeft w:val="0"/>
      <w:marRight w:val="0"/>
      <w:marTop w:val="0"/>
      <w:marBottom w:val="0"/>
      <w:divBdr>
        <w:top w:val="none" w:sz="0" w:space="0" w:color="auto"/>
        <w:left w:val="none" w:sz="0" w:space="0" w:color="auto"/>
        <w:bottom w:val="none" w:sz="0" w:space="0" w:color="auto"/>
        <w:right w:val="none" w:sz="0" w:space="0" w:color="auto"/>
      </w:divBdr>
      <w:divsChild>
        <w:div w:id="480541017">
          <w:marLeft w:val="864"/>
          <w:marRight w:val="0"/>
          <w:marTop w:val="125"/>
          <w:marBottom w:val="0"/>
          <w:divBdr>
            <w:top w:val="none" w:sz="0" w:space="0" w:color="auto"/>
            <w:left w:val="none" w:sz="0" w:space="0" w:color="auto"/>
            <w:bottom w:val="none" w:sz="0" w:space="0" w:color="auto"/>
            <w:right w:val="none" w:sz="0" w:space="0" w:color="auto"/>
          </w:divBdr>
        </w:div>
      </w:divsChild>
    </w:div>
    <w:div w:id="1821920155">
      <w:bodyDiv w:val="1"/>
      <w:marLeft w:val="0"/>
      <w:marRight w:val="0"/>
      <w:marTop w:val="0"/>
      <w:marBottom w:val="0"/>
      <w:divBdr>
        <w:top w:val="none" w:sz="0" w:space="0" w:color="auto"/>
        <w:left w:val="none" w:sz="0" w:space="0" w:color="auto"/>
        <w:bottom w:val="none" w:sz="0" w:space="0" w:color="auto"/>
        <w:right w:val="none" w:sz="0" w:space="0" w:color="auto"/>
      </w:divBdr>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1950314907">
      <w:bodyDiv w:val="1"/>
      <w:marLeft w:val="0"/>
      <w:marRight w:val="0"/>
      <w:marTop w:val="0"/>
      <w:marBottom w:val="0"/>
      <w:divBdr>
        <w:top w:val="none" w:sz="0" w:space="0" w:color="auto"/>
        <w:left w:val="none" w:sz="0" w:space="0" w:color="auto"/>
        <w:bottom w:val="none" w:sz="0" w:space="0" w:color="auto"/>
        <w:right w:val="none" w:sz="0" w:space="0" w:color="auto"/>
      </w:divBdr>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092388977">
      <w:bodyDiv w:val="1"/>
      <w:marLeft w:val="0"/>
      <w:marRight w:val="0"/>
      <w:marTop w:val="0"/>
      <w:marBottom w:val="0"/>
      <w:divBdr>
        <w:top w:val="none" w:sz="0" w:space="0" w:color="auto"/>
        <w:left w:val="none" w:sz="0" w:space="0" w:color="auto"/>
        <w:bottom w:val="none" w:sz="0" w:space="0" w:color="auto"/>
        <w:right w:val="none" w:sz="0" w:space="0" w:color="auto"/>
      </w:divBdr>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864EFA-108B-4FB5-9D3F-841472B3A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TotalTime>
  <Pages>9</Pages>
  <Words>2138</Words>
  <Characters>12190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Mary Bowen-Perkins</cp:lastModifiedBy>
  <cp:revision>232</cp:revision>
  <dcterms:created xsi:type="dcterms:W3CDTF">2019-01-30T17:00:00Z</dcterms:created>
  <dcterms:modified xsi:type="dcterms:W3CDTF">2019-02-08T20:55:00Z</dcterms:modified>
</cp:coreProperties>
</file>