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76AB7" w14:textId="27141964" w:rsidR="000D09D6" w:rsidRDefault="00AB587C" w:rsidP="000D09D6">
      <w:pPr>
        <w:spacing w:line="360" w:lineRule="auto"/>
        <w:jc w:val="center"/>
        <w:rPr>
          <w:rFonts w:ascii="Arial" w:eastAsia="Times New Roman" w:hAnsi="Arial" w:cs="Arial"/>
          <w:b/>
          <w:bCs/>
          <w:kern w:val="0"/>
          <w:sz w:val="40"/>
          <w:szCs w:val="40"/>
          <w14:ligatures w14:val="none"/>
        </w:rPr>
      </w:pPr>
      <w:r w:rsidRPr="00AB587C">
        <w:rPr>
          <w:rFonts w:ascii="Arial" w:eastAsia="Times New Roman" w:hAnsi="Arial" w:cs="Arial"/>
          <w:b/>
          <w:bCs/>
          <w:kern w:val="0"/>
          <w:sz w:val="40"/>
          <w:szCs w:val="40"/>
          <w14:ligatures w14:val="none"/>
        </w:rPr>
        <w:t xml:space="preserve">Business Report </w:t>
      </w:r>
    </w:p>
    <w:p w14:paraId="614A3210" w14:textId="4392E635" w:rsidR="00AB587C" w:rsidRDefault="00AB587C" w:rsidP="000D09D6">
      <w:pPr>
        <w:spacing w:line="360" w:lineRule="auto"/>
        <w:jc w:val="center"/>
        <w:rPr>
          <w:rFonts w:ascii="Arial" w:eastAsia="Times New Roman" w:hAnsi="Arial" w:cs="Arial"/>
          <w:b/>
          <w:bCs/>
          <w:kern w:val="0"/>
          <w:sz w:val="40"/>
          <w:szCs w:val="40"/>
          <w14:ligatures w14:val="none"/>
        </w:rPr>
      </w:pPr>
      <w:r w:rsidRPr="00AB587C">
        <w:rPr>
          <w:rFonts w:ascii="Arial" w:eastAsia="Times New Roman" w:hAnsi="Arial" w:cs="Arial"/>
          <w:b/>
          <w:bCs/>
          <w:kern w:val="0"/>
          <w:sz w:val="40"/>
          <w:szCs w:val="40"/>
          <w14:ligatures w14:val="none"/>
        </w:rPr>
        <w:t>Comparison of Two Hospitality Organisations</w:t>
      </w:r>
    </w:p>
    <w:p w14:paraId="328D88B8" w14:textId="2193E4FE" w:rsidR="00004388" w:rsidRPr="00004388" w:rsidRDefault="00004388" w:rsidP="00AB587C">
      <w:pPr>
        <w:spacing w:line="360" w:lineRule="auto"/>
        <w:jc w:val="center"/>
        <w:rPr>
          <w:rFonts w:ascii="Arial" w:eastAsia="Times New Roman" w:hAnsi="Arial" w:cs="Arial"/>
          <w:b/>
          <w:bCs/>
          <w:kern w:val="0"/>
          <w:sz w:val="40"/>
          <w:szCs w:val="40"/>
          <w14:ligatures w14:val="none"/>
        </w:rPr>
      </w:pPr>
      <w:proofErr w:type="spellStart"/>
      <w:r w:rsidRPr="00004388">
        <w:rPr>
          <w:rFonts w:ascii="Arial" w:eastAsia="Times New Roman" w:hAnsi="Arial" w:cs="Arial"/>
          <w:b/>
          <w:bCs/>
          <w:kern w:val="0"/>
          <w:sz w:val="40"/>
          <w:szCs w:val="40"/>
          <w14:ligatures w14:val="none"/>
        </w:rPr>
        <w:t>Re</w:t>
      </w:r>
      <w:r w:rsidR="000D09D6">
        <w:rPr>
          <w:rFonts w:ascii="Arial" w:eastAsia="Times New Roman" w:hAnsi="Arial" w:cs="Arial"/>
          <w:b/>
          <w:bCs/>
          <w:kern w:val="0"/>
          <w:sz w:val="40"/>
          <w:szCs w:val="40"/>
          <w14:ligatures w14:val="none"/>
        </w:rPr>
        <w:t>sit</w:t>
      </w:r>
      <w:proofErr w:type="spellEnd"/>
    </w:p>
    <w:p w14:paraId="7AC2CE3C" w14:textId="77777777" w:rsidR="00004388" w:rsidRPr="00004388" w:rsidRDefault="00004388" w:rsidP="00004388">
      <w:pPr>
        <w:spacing w:line="360" w:lineRule="auto"/>
        <w:jc w:val="both"/>
        <w:rPr>
          <w:rFonts w:ascii="Calibri" w:eastAsia="Calibri" w:hAnsi="Calibri" w:cs="Times New Roman"/>
        </w:rPr>
      </w:pPr>
    </w:p>
    <w:p w14:paraId="1E6EDA5F" w14:textId="77777777" w:rsidR="00004388" w:rsidRPr="00004388" w:rsidRDefault="00004388" w:rsidP="00004388">
      <w:pPr>
        <w:spacing w:line="360" w:lineRule="auto"/>
        <w:jc w:val="both"/>
        <w:rPr>
          <w:rFonts w:ascii="Calibri" w:eastAsia="Calibri" w:hAnsi="Calibri" w:cs="Times New Roman"/>
        </w:rPr>
      </w:pPr>
    </w:p>
    <w:p w14:paraId="1DBC2AAE" w14:textId="77777777" w:rsidR="00004388" w:rsidRPr="00004388" w:rsidRDefault="00004388" w:rsidP="00004388">
      <w:pPr>
        <w:spacing w:line="360" w:lineRule="auto"/>
        <w:jc w:val="both"/>
        <w:rPr>
          <w:rFonts w:ascii="Calibri" w:eastAsia="Calibri" w:hAnsi="Calibri" w:cs="Times New Roman"/>
        </w:rPr>
      </w:pPr>
    </w:p>
    <w:p w14:paraId="56BE2994" w14:textId="77777777" w:rsidR="00004388" w:rsidRPr="00004388" w:rsidRDefault="00004388" w:rsidP="00004388">
      <w:pPr>
        <w:spacing w:line="360" w:lineRule="auto"/>
        <w:jc w:val="both"/>
        <w:rPr>
          <w:rFonts w:ascii="Calibri" w:eastAsia="Calibri" w:hAnsi="Calibri" w:cs="Times New Roman"/>
        </w:rPr>
      </w:pPr>
    </w:p>
    <w:p w14:paraId="584E00D6" w14:textId="77777777" w:rsidR="00004388" w:rsidRPr="00004388" w:rsidRDefault="00004388" w:rsidP="00004388">
      <w:pPr>
        <w:spacing w:line="360" w:lineRule="auto"/>
        <w:jc w:val="both"/>
        <w:rPr>
          <w:rFonts w:ascii="Calibri" w:eastAsia="Calibri" w:hAnsi="Calibri" w:cs="Times New Roman"/>
        </w:rPr>
      </w:pPr>
    </w:p>
    <w:p w14:paraId="4382E510" w14:textId="77777777" w:rsidR="00004388" w:rsidRPr="00004388" w:rsidRDefault="00004388" w:rsidP="00004388">
      <w:pPr>
        <w:spacing w:line="360" w:lineRule="auto"/>
        <w:jc w:val="both"/>
        <w:rPr>
          <w:rFonts w:ascii="Calibri" w:eastAsia="Calibri" w:hAnsi="Calibri" w:cs="Times New Roman"/>
          <w:b/>
          <w:bCs/>
          <w:sz w:val="28"/>
          <w:szCs w:val="28"/>
        </w:rPr>
      </w:pPr>
    </w:p>
    <w:p w14:paraId="0F9A700E" w14:textId="77777777" w:rsidR="00004388" w:rsidRPr="00004388" w:rsidRDefault="00004388" w:rsidP="00004388">
      <w:pPr>
        <w:spacing w:line="360" w:lineRule="auto"/>
        <w:jc w:val="both"/>
        <w:rPr>
          <w:rFonts w:ascii="Calibri" w:eastAsia="Calibri" w:hAnsi="Calibri" w:cs="Times New Roman"/>
          <w:b/>
          <w:bCs/>
          <w:sz w:val="28"/>
          <w:szCs w:val="28"/>
        </w:rPr>
      </w:pPr>
    </w:p>
    <w:p w14:paraId="32C98960" w14:textId="77777777" w:rsidR="00004388" w:rsidRPr="00004388" w:rsidRDefault="00004388" w:rsidP="00004388">
      <w:pPr>
        <w:spacing w:line="360" w:lineRule="auto"/>
        <w:jc w:val="both"/>
        <w:rPr>
          <w:rFonts w:ascii="Calibri" w:eastAsia="Calibri" w:hAnsi="Calibri" w:cs="Times New Roman"/>
          <w:b/>
          <w:bCs/>
          <w:sz w:val="28"/>
          <w:szCs w:val="28"/>
        </w:rPr>
      </w:pPr>
    </w:p>
    <w:p w14:paraId="78A7FBDE" w14:textId="77777777" w:rsidR="00004388" w:rsidRPr="00004388" w:rsidRDefault="00004388" w:rsidP="00004388">
      <w:pPr>
        <w:spacing w:line="360" w:lineRule="auto"/>
        <w:jc w:val="both"/>
        <w:rPr>
          <w:rFonts w:ascii="Calibri" w:eastAsia="Calibri" w:hAnsi="Calibri" w:cs="Times New Roman"/>
          <w:b/>
          <w:bCs/>
          <w:sz w:val="28"/>
          <w:szCs w:val="28"/>
        </w:rPr>
      </w:pPr>
    </w:p>
    <w:p w14:paraId="5F76653D" w14:textId="77777777" w:rsidR="00004388" w:rsidRPr="00004388" w:rsidRDefault="00004388" w:rsidP="00004388">
      <w:pPr>
        <w:spacing w:line="360" w:lineRule="auto"/>
        <w:jc w:val="both"/>
        <w:rPr>
          <w:rFonts w:ascii="Calibri" w:eastAsia="Calibri" w:hAnsi="Calibri" w:cs="Times New Roman"/>
          <w:b/>
          <w:bCs/>
          <w:sz w:val="28"/>
          <w:szCs w:val="28"/>
        </w:rPr>
      </w:pPr>
    </w:p>
    <w:p w14:paraId="5C16BD16" w14:textId="77777777" w:rsidR="00004388" w:rsidRPr="00004388" w:rsidRDefault="00004388" w:rsidP="00004388">
      <w:pPr>
        <w:spacing w:line="360" w:lineRule="auto"/>
        <w:jc w:val="both"/>
        <w:rPr>
          <w:rFonts w:ascii="Arial" w:eastAsia="Times New Roman" w:hAnsi="Arial" w:cs="Arial"/>
          <w:b/>
          <w:bCs/>
          <w:kern w:val="0"/>
          <w:sz w:val="32"/>
          <w:szCs w:val="32"/>
          <w14:ligatures w14:val="none"/>
        </w:rPr>
      </w:pPr>
      <w:r w:rsidRPr="00004388">
        <w:rPr>
          <w:rFonts w:ascii="Arial" w:eastAsia="Times New Roman" w:hAnsi="Arial" w:cs="Arial"/>
          <w:b/>
          <w:bCs/>
          <w:kern w:val="0"/>
          <w:sz w:val="32"/>
          <w:szCs w:val="32"/>
          <w14:ligatures w14:val="none"/>
        </w:rPr>
        <w:t>Financial Management for the Hotel Industry</w:t>
      </w:r>
    </w:p>
    <w:p w14:paraId="6F60CC5B" w14:textId="77777777" w:rsidR="00004388" w:rsidRPr="00004388" w:rsidRDefault="00004388" w:rsidP="00004388">
      <w:pPr>
        <w:spacing w:line="360" w:lineRule="auto"/>
        <w:jc w:val="both"/>
        <w:rPr>
          <w:rFonts w:ascii="Arial" w:eastAsia="Times New Roman" w:hAnsi="Arial" w:cs="Arial"/>
          <w:b/>
          <w:bCs/>
          <w:kern w:val="0"/>
          <w:sz w:val="32"/>
          <w:szCs w:val="32"/>
          <w14:ligatures w14:val="none"/>
        </w:rPr>
      </w:pPr>
      <w:r w:rsidRPr="00004388">
        <w:rPr>
          <w:rFonts w:ascii="Arial" w:eastAsia="Times New Roman" w:hAnsi="Arial" w:cs="Arial"/>
          <w:b/>
          <w:bCs/>
          <w:kern w:val="0"/>
          <w:sz w:val="32"/>
          <w:szCs w:val="32"/>
          <w14:ligatures w14:val="none"/>
        </w:rPr>
        <w:t>BMIH5007</w:t>
      </w:r>
    </w:p>
    <w:p w14:paraId="6F8CB751" w14:textId="2A28B7F3" w:rsidR="00004388" w:rsidRPr="00004388" w:rsidRDefault="00004388" w:rsidP="00004388">
      <w:pPr>
        <w:spacing w:line="360" w:lineRule="auto"/>
        <w:jc w:val="both"/>
        <w:rPr>
          <w:rFonts w:ascii="Arial" w:eastAsia="Times New Roman" w:hAnsi="Arial" w:cs="Arial"/>
          <w:b/>
          <w:bCs/>
          <w:kern w:val="0"/>
          <w:sz w:val="32"/>
          <w:szCs w:val="32"/>
          <w14:ligatures w14:val="none"/>
        </w:rPr>
      </w:pPr>
      <w:r w:rsidRPr="00004388">
        <w:rPr>
          <w:rFonts w:ascii="Arial" w:eastAsia="Times New Roman" w:hAnsi="Arial" w:cs="Arial"/>
          <w:b/>
          <w:bCs/>
          <w:kern w:val="0"/>
          <w:sz w:val="32"/>
          <w:szCs w:val="32"/>
          <w14:ligatures w14:val="none"/>
        </w:rPr>
        <w:t>Tristan Hawkins</w:t>
      </w:r>
      <w:r w:rsidR="005E77BD" w:rsidRPr="005E77BD">
        <w:t xml:space="preserve"> </w:t>
      </w:r>
    </w:p>
    <w:p w14:paraId="04618CCD" w14:textId="77777777" w:rsidR="00004388" w:rsidRPr="00004388" w:rsidRDefault="00004388" w:rsidP="00004388">
      <w:pPr>
        <w:spacing w:line="360" w:lineRule="auto"/>
        <w:jc w:val="both"/>
        <w:rPr>
          <w:rFonts w:ascii="Arial" w:eastAsia="Calibri" w:hAnsi="Arial" w:cs="Arial"/>
          <w:b/>
          <w:bCs/>
          <w:sz w:val="24"/>
          <w:szCs w:val="24"/>
        </w:rPr>
      </w:pPr>
    </w:p>
    <w:p w14:paraId="2D633704" w14:textId="7B1CA773" w:rsidR="00004388" w:rsidRPr="00004388" w:rsidRDefault="00004388" w:rsidP="00004388">
      <w:pPr>
        <w:spacing w:line="360" w:lineRule="auto"/>
        <w:jc w:val="both"/>
        <w:rPr>
          <w:rFonts w:ascii="Arial" w:eastAsia="Times New Roman" w:hAnsi="Arial" w:cs="Arial"/>
          <w:b/>
          <w:bCs/>
          <w:kern w:val="0"/>
          <w:sz w:val="24"/>
          <w:szCs w:val="24"/>
          <w14:ligatures w14:val="none"/>
        </w:rPr>
      </w:pPr>
    </w:p>
    <w:p w14:paraId="5242642D" w14:textId="77777777" w:rsidR="00004388" w:rsidRPr="00004388" w:rsidRDefault="00004388" w:rsidP="00004388">
      <w:pPr>
        <w:spacing w:line="360" w:lineRule="auto"/>
        <w:jc w:val="both"/>
        <w:rPr>
          <w:rFonts w:ascii="Arial" w:eastAsia="Times New Roman" w:hAnsi="Arial" w:cs="Arial"/>
          <w:b/>
          <w:bCs/>
          <w:kern w:val="0"/>
          <w:sz w:val="24"/>
          <w:szCs w:val="24"/>
          <w14:ligatures w14:val="none"/>
        </w:rPr>
      </w:pPr>
      <w:r w:rsidRPr="00004388">
        <w:rPr>
          <w:rFonts w:ascii="Arial" w:eastAsia="Times New Roman" w:hAnsi="Arial" w:cs="Arial"/>
          <w:b/>
          <w:bCs/>
          <w:kern w:val="0"/>
          <w:sz w:val="24"/>
          <w:szCs w:val="24"/>
          <w14:ligatures w14:val="none"/>
        </w:rPr>
        <w:t>Ionela Violeta Baicu</w:t>
      </w:r>
    </w:p>
    <w:p w14:paraId="016B1D96" w14:textId="41C6411E" w:rsidR="00E279AB" w:rsidRPr="00E279AB" w:rsidRDefault="00004388" w:rsidP="00E279AB">
      <w:pPr>
        <w:spacing w:line="360" w:lineRule="auto"/>
        <w:jc w:val="both"/>
        <w:rPr>
          <w:rFonts w:ascii="Arial" w:eastAsia="Times New Roman" w:hAnsi="Arial" w:cs="Arial"/>
          <w:b/>
          <w:bCs/>
          <w:kern w:val="0"/>
          <w:sz w:val="24"/>
          <w:szCs w:val="24"/>
          <w14:ligatures w14:val="none"/>
        </w:rPr>
      </w:pPr>
      <w:r w:rsidRPr="00004388">
        <w:rPr>
          <w:rFonts w:ascii="Arial" w:eastAsia="Times New Roman" w:hAnsi="Arial" w:cs="Arial"/>
          <w:b/>
          <w:bCs/>
          <w:kern w:val="0"/>
          <w:sz w:val="24"/>
          <w:szCs w:val="24"/>
          <w14:ligatures w14:val="none"/>
        </w:rPr>
        <w:t>2122260</w:t>
      </w:r>
    </w:p>
    <w:p w14:paraId="18164EAB" w14:textId="6E95BC71" w:rsidR="00974D73" w:rsidRDefault="00773D77" w:rsidP="00773D77">
      <w:pPr>
        <w:spacing w:line="360" w:lineRule="auto"/>
        <w:jc w:val="center"/>
        <w:rPr>
          <w:rFonts w:ascii="Arial" w:hAnsi="Arial" w:cs="Arial"/>
          <w:b/>
          <w:bCs/>
          <w:sz w:val="28"/>
          <w:szCs w:val="28"/>
          <w:u w:val="single"/>
        </w:rPr>
      </w:pPr>
      <w:r>
        <w:rPr>
          <w:noProof/>
        </w:rPr>
        <w:lastRenderedPageBreak/>
        <w:drawing>
          <wp:anchor distT="0" distB="0" distL="114300" distR="114300" simplePos="0" relativeHeight="251662336" behindDoc="0" locked="0" layoutInCell="1" allowOverlap="1" wp14:anchorId="3B871D84" wp14:editId="5D936157">
            <wp:simplePos x="0" y="0"/>
            <wp:positionH relativeFrom="margin">
              <wp:align>center</wp:align>
            </wp:positionH>
            <wp:positionV relativeFrom="paragraph">
              <wp:posOffset>104775</wp:posOffset>
            </wp:positionV>
            <wp:extent cx="6341745" cy="2524125"/>
            <wp:effectExtent l="0" t="0" r="1905" b="9525"/>
            <wp:wrapSquare wrapText="bothSides"/>
            <wp:docPr id="70367636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76365" name="Picture 1" descr="A close-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341745" cy="2524125"/>
                    </a:xfrm>
                    <a:prstGeom prst="rect">
                      <a:avLst/>
                    </a:prstGeom>
                  </pic:spPr>
                </pic:pic>
              </a:graphicData>
            </a:graphic>
            <wp14:sizeRelH relativeFrom="margin">
              <wp14:pctWidth>0</wp14:pctWidth>
            </wp14:sizeRelH>
            <wp14:sizeRelV relativeFrom="margin">
              <wp14:pctHeight>0</wp14:pctHeight>
            </wp14:sizeRelV>
          </wp:anchor>
        </w:drawing>
      </w:r>
    </w:p>
    <w:p w14:paraId="4CC5C8EF" w14:textId="49E60338" w:rsidR="0033763B" w:rsidRPr="00074254" w:rsidRDefault="0033763B" w:rsidP="00BA226D">
      <w:pPr>
        <w:spacing w:line="360" w:lineRule="auto"/>
        <w:jc w:val="center"/>
        <w:rPr>
          <w:rFonts w:ascii="Arial" w:hAnsi="Arial" w:cs="Arial"/>
          <w:b/>
          <w:bCs/>
          <w:sz w:val="24"/>
          <w:szCs w:val="24"/>
        </w:rPr>
      </w:pPr>
      <w:r w:rsidRPr="00BA226D">
        <w:rPr>
          <w:rFonts w:ascii="Arial" w:hAnsi="Arial" w:cs="Arial"/>
          <w:b/>
          <w:bCs/>
          <w:sz w:val="28"/>
          <w:szCs w:val="28"/>
          <w:u w:val="single"/>
        </w:rPr>
        <w:t>Introduction</w:t>
      </w:r>
    </w:p>
    <w:p w14:paraId="4211AA62" w14:textId="60207FAC" w:rsidR="00974D73" w:rsidRPr="00E279AB" w:rsidRDefault="00877C72" w:rsidP="00E279AB">
      <w:pPr>
        <w:spacing w:line="360" w:lineRule="auto"/>
        <w:jc w:val="both"/>
        <w:rPr>
          <w:rFonts w:ascii="Arial" w:hAnsi="Arial" w:cs="Arial"/>
          <w:sz w:val="24"/>
          <w:szCs w:val="24"/>
        </w:rPr>
      </w:pPr>
      <w:r>
        <w:rPr>
          <w:noProof/>
        </w:rPr>
        <w:drawing>
          <wp:anchor distT="0" distB="0" distL="114300" distR="114300" simplePos="0" relativeHeight="251664384" behindDoc="0" locked="0" layoutInCell="1" allowOverlap="1" wp14:anchorId="57CDA0D9" wp14:editId="03840E67">
            <wp:simplePos x="0" y="0"/>
            <wp:positionH relativeFrom="column">
              <wp:posOffset>3028950</wp:posOffset>
            </wp:positionH>
            <wp:positionV relativeFrom="paragraph">
              <wp:posOffset>2574290</wp:posOffset>
            </wp:positionV>
            <wp:extent cx="352425" cy="2190750"/>
            <wp:effectExtent l="0" t="0" r="9525" b="0"/>
            <wp:wrapSquare wrapText="bothSides"/>
            <wp:docPr id="1091853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53832" name=""/>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352425"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41CAE003" wp14:editId="3A901C51">
            <wp:simplePos x="0" y="0"/>
            <wp:positionH relativeFrom="page">
              <wp:posOffset>4238625</wp:posOffset>
            </wp:positionH>
            <wp:positionV relativeFrom="paragraph">
              <wp:posOffset>2581910</wp:posOffset>
            </wp:positionV>
            <wp:extent cx="2703830" cy="2087245"/>
            <wp:effectExtent l="0" t="0" r="1270" b="8255"/>
            <wp:wrapSquare wrapText="bothSides"/>
            <wp:docPr id="1512815772" name="Picture 4" descr="Premier Inn Wembley - McAleer &amp; Rus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emier Inn Wembley - McAleer &amp; Rush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703830" cy="2087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0C9A9BD3" wp14:editId="5DB37409">
            <wp:simplePos x="0" y="0"/>
            <wp:positionH relativeFrom="column">
              <wp:posOffset>47625</wp:posOffset>
            </wp:positionH>
            <wp:positionV relativeFrom="paragraph">
              <wp:posOffset>2593340</wp:posOffset>
            </wp:positionV>
            <wp:extent cx="3021330" cy="2089150"/>
            <wp:effectExtent l="0" t="0" r="7620" b="6350"/>
            <wp:wrapSquare wrapText="bothSides"/>
            <wp:docPr id="1695560467" name="Picture 1" descr="A pool surrounded by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60467" name="Picture 1" descr="A pool surrounded by tre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21330" cy="2089150"/>
                    </a:xfrm>
                    <a:prstGeom prst="rect">
                      <a:avLst/>
                    </a:prstGeom>
                  </pic:spPr>
                </pic:pic>
              </a:graphicData>
            </a:graphic>
            <wp14:sizeRelH relativeFrom="margin">
              <wp14:pctWidth>0</wp14:pctWidth>
            </wp14:sizeRelH>
            <wp14:sizeRelV relativeFrom="margin">
              <wp14:pctHeight>0</wp14:pctHeight>
            </wp14:sizeRelV>
          </wp:anchor>
        </w:drawing>
      </w:r>
      <w:r w:rsidR="00146507" w:rsidRPr="00146507">
        <w:rPr>
          <w:rFonts w:ascii="Arial" w:hAnsi="Arial" w:cs="Arial"/>
          <w:sz w:val="24"/>
          <w:szCs w:val="24"/>
        </w:rPr>
        <w:t xml:space="preserve"> </w:t>
      </w:r>
      <w:r w:rsidR="00F4137C" w:rsidRPr="00F4137C">
        <w:rPr>
          <w:rFonts w:ascii="Arial" w:hAnsi="Arial" w:cs="Arial"/>
          <w:sz w:val="24"/>
          <w:szCs w:val="24"/>
        </w:rPr>
        <w:t xml:space="preserve">The present report undertakes the comparison of the financial management tactics implemented by Premier Inn and Mandarin Oriental Hotel Group. The luxury hotel chain Mandarin Oriental places sustainability, high-quality services, and worldwide expansion as top priorities. On the other hand, Premier Inn caters to consumers who are mindful of their budgets, placing significant emphasis on affordability and a broad market </w:t>
      </w:r>
      <w:r w:rsidRPr="00F4137C">
        <w:rPr>
          <w:rFonts w:ascii="Arial" w:hAnsi="Arial" w:cs="Arial"/>
          <w:sz w:val="24"/>
          <w:szCs w:val="24"/>
        </w:rPr>
        <w:t>reach.</w:t>
      </w:r>
      <w:r w:rsidRPr="00146507">
        <w:rPr>
          <w:rFonts w:ascii="Arial" w:hAnsi="Arial" w:cs="Arial"/>
          <w:sz w:val="24"/>
          <w:szCs w:val="24"/>
        </w:rPr>
        <w:t xml:space="preserve"> The</w:t>
      </w:r>
      <w:r w:rsidR="00146507" w:rsidRPr="00146507">
        <w:rPr>
          <w:rFonts w:ascii="Arial" w:hAnsi="Arial" w:cs="Arial"/>
          <w:sz w:val="24"/>
          <w:szCs w:val="24"/>
        </w:rPr>
        <w:t xml:space="preserve"> analysis assesses the company's revenue growth, market position, corporate social responsibility initiatives, and strategic reactions to industry challenges. This analysis emphasises the distinct approaches and shared characteristics of both parties, providing specific suggestions for each, emphasising the significance of flexibility in the ever-changing hospitality sector.</w:t>
      </w:r>
    </w:p>
    <w:p w14:paraId="58E0FB3F" w14:textId="03933981" w:rsidR="00AB0093" w:rsidRPr="00AB0093" w:rsidRDefault="00AB0093" w:rsidP="00B56FEA">
      <w:pPr>
        <w:spacing w:line="360" w:lineRule="auto"/>
        <w:jc w:val="center"/>
        <w:rPr>
          <w:rFonts w:ascii="Arial" w:hAnsi="Arial" w:cs="Arial"/>
          <w:b/>
          <w:bCs/>
          <w:sz w:val="28"/>
          <w:szCs w:val="28"/>
          <w:u w:val="single"/>
        </w:rPr>
      </w:pPr>
      <w:r w:rsidRPr="00AB0093">
        <w:rPr>
          <w:rFonts w:ascii="Arial" w:hAnsi="Arial" w:cs="Arial"/>
          <w:b/>
          <w:bCs/>
          <w:sz w:val="28"/>
          <w:szCs w:val="28"/>
          <w:u w:val="single"/>
        </w:rPr>
        <w:lastRenderedPageBreak/>
        <w:t>Total Revenue Analysis</w:t>
      </w:r>
    </w:p>
    <w:p w14:paraId="6951194F" w14:textId="4289DB76" w:rsidR="00AB0093" w:rsidRPr="00AB0093" w:rsidRDefault="00773D77" w:rsidP="00074254">
      <w:pPr>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00F56C3C" wp14:editId="761ED0D5">
            <wp:simplePos x="0" y="0"/>
            <wp:positionH relativeFrom="margin">
              <wp:align>left</wp:align>
            </wp:positionH>
            <wp:positionV relativeFrom="paragraph">
              <wp:posOffset>543560</wp:posOffset>
            </wp:positionV>
            <wp:extent cx="3181350" cy="5575300"/>
            <wp:effectExtent l="0" t="0" r="0" b="6350"/>
            <wp:wrapSquare wrapText="bothSides"/>
            <wp:docPr id="81590222" name="Picture 1" descr="A graph of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0222" name="Picture 1" descr="A graph of numbers and a numb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184437" cy="5581189"/>
                    </a:xfrm>
                    <a:prstGeom prst="rect">
                      <a:avLst/>
                    </a:prstGeom>
                  </pic:spPr>
                </pic:pic>
              </a:graphicData>
            </a:graphic>
            <wp14:sizeRelH relativeFrom="page">
              <wp14:pctWidth>0</wp14:pctWidth>
            </wp14:sizeRelH>
            <wp14:sizeRelV relativeFrom="page">
              <wp14:pctHeight>0</wp14:pctHeight>
            </wp14:sizeRelV>
          </wp:anchor>
        </w:drawing>
      </w:r>
      <w:r w:rsidR="00AB0093" w:rsidRPr="00AB0093">
        <w:rPr>
          <w:rFonts w:ascii="Arial" w:hAnsi="Arial" w:cs="Arial"/>
          <w:sz w:val="24"/>
          <w:szCs w:val="24"/>
        </w:rPr>
        <w:t>According to the Annual Report (2022)</w:t>
      </w:r>
      <w:r w:rsidR="007A0D57" w:rsidRPr="00074254">
        <w:rPr>
          <w:rFonts w:ascii="Arial" w:hAnsi="Arial" w:cs="Arial"/>
          <w:sz w:val="24"/>
          <w:szCs w:val="24"/>
        </w:rPr>
        <w:t>,</w:t>
      </w:r>
      <w:r w:rsidR="00AB0093" w:rsidRPr="00AB0093">
        <w:rPr>
          <w:rFonts w:ascii="Arial" w:hAnsi="Arial" w:cs="Arial"/>
          <w:sz w:val="24"/>
          <w:szCs w:val="24"/>
        </w:rPr>
        <w:t xml:space="preserve"> the Mandarin Oriental Hotel Group displayed a remarkable financial performance turnaround. </w:t>
      </w:r>
      <w:r w:rsidR="00351C1F" w:rsidRPr="00351C1F">
        <w:rPr>
          <w:rFonts w:ascii="Arial" w:hAnsi="Arial" w:cs="Arial"/>
          <w:sz w:val="24"/>
          <w:szCs w:val="24"/>
        </w:rPr>
        <w:t xml:space="preserve">Significantly, the organization's fundamental revenue before interest, taxes, depreciation, and </w:t>
      </w:r>
      <w:proofErr w:type="spellStart"/>
      <w:r w:rsidR="00351C1F" w:rsidRPr="00351C1F">
        <w:rPr>
          <w:rFonts w:ascii="Arial" w:hAnsi="Arial" w:cs="Arial"/>
          <w:sz w:val="24"/>
          <w:szCs w:val="24"/>
        </w:rPr>
        <w:t>amortisation</w:t>
      </w:r>
      <w:proofErr w:type="spellEnd"/>
      <w:r w:rsidR="00351C1F" w:rsidRPr="00351C1F">
        <w:rPr>
          <w:rFonts w:ascii="Arial" w:hAnsi="Arial" w:cs="Arial"/>
          <w:sz w:val="24"/>
          <w:szCs w:val="24"/>
        </w:rPr>
        <w:t xml:space="preserve"> (EBITDA) experienced a substantial increase from US$41 million in the prior year to US$111 million. Although this was the first profit for the Group since 2019, it remained below levels observed prior to the pandemic. According to </w:t>
      </w:r>
      <w:proofErr w:type="spellStart"/>
      <w:r w:rsidR="00351C1F" w:rsidRPr="00351C1F">
        <w:rPr>
          <w:rFonts w:ascii="Arial" w:hAnsi="Arial" w:cs="Arial"/>
          <w:sz w:val="24"/>
          <w:szCs w:val="24"/>
        </w:rPr>
        <w:t>Caillavet</w:t>
      </w:r>
      <w:proofErr w:type="spellEnd"/>
      <w:r w:rsidR="00351C1F" w:rsidRPr="00351C1F">
        <w:rPr>
          <w:rFonts w:ascii="Arial" w:hAnsi="Arial" w:cs="Arial"/>
          <w:sz w:val="24"/>
          <w:szCs w:val="24"/>
        </w:rPr>
        <w:t xml:space="preserve"> (2023), a non-cash valuation </w:t>
      </w:r>
      <w:proofErr w:type="gramStart"/>
      <w:r w:rsidR="00351C1F" w:rsidRPr="00351C1F">
        <w:rPr>
          <w:rFonts w:ascii="Arial" w:hAnsi="Arial" w:cs="Arial"/>
          <w:sz w:val="24"/>
          <w:szCs w:val="24"/>
        </w:rPr>
        <w:t>decline</w:t>
      </w:r>
      <w:proofErr w:type="gramEnd"/>
      <w:r w:rsidR="00351C1F" w:rsidRPr="00351C1F">
        <w:rPr>
          <w:rFonts w:ascii="Arial" w:hAnsi="Arial" w:cs="Arial"/>
          <w:sz w:val="24"/>
          <w:szCs w:val="24"/>
        </w:rPr>
        <w:t xml:space="preserve"> of the Causeway Bay real estate development site contributed to non-trading deficits of US$57 million (in comparison to US$73 million to 2021). This was partially mitigated by a US$47 million benefit from the </w:t>
      </w:r>
      <w:r w:rsidR="001136B5" w:rsidRPr="00351C1F">
        <w:rPr>
          <w:rFonts w:ascii="Arial" w:hAnsi="Arial" w:cs="Arial"/>
          <w:sz w:val="24"/>
          <w:szCs w:val="24"/>
        </w:rPr>
        <w:t>sale</w:t>
      </w:r>
      <w:r w:rsidR="00351C1F" w:rsidRPr="00351C1F">
        <w:rPr>
          <w:rFonts w:ascii="Arial" w:hAnsi="Arial" w:cs="Arial"/>
          <w:sz w:val="24"/>
          <w:szCs w:val="24"/>
        </w:rPr>
        <w:t xml:space="preserve"> of Mandarin Oriental, in Washington, D.C. </w:t>
      </w:r>
      <w:r w:rsidR="00AB0093" w:rsidRPr="00AB0093">
        <w:rPr>
          <w:rFonts w:ascii="Arial" w:hAnsi="Arial" w:cs="Arial"/>
          <w:sz w:val="24"/>
          <w:szCs w:val="24"/>
        </w:rPr>
        <w:t>This resulted in a loss of US$49 million attributable to shareholders.</w:t>
      </w:r>
      <w:r w:rsidR="0098414F">
        <w:rPr>
          <w:rFonts w:ascii="Arial" w:hAnsi="Arial" w:cs="Arial"/>
          <w:sz w:val="24"/>
          <w:szCs w:val="24"/>
        </w:rPr>
        <w:t xml:space="preserve"> </w:t>
      </w:r>
      <w:r w:rsidR="0098414F" w:rsidRPr="0098414F">
        <w:rPr>
          <w:rFonts w:ascii="Arial" w:hAnsi="Arial" w:cs="Arial"/>
          <w:sz w:val="24"/>
          <w:szCs w:val="24"/>
        </w:rPr>
        <w:t>The annual report for 2022 indicates that the adjusting net worth per share was $3.87 as of the end of 2022, representing a 2% decline compared to 2021.</w:t>
      </w:r>
      <w:r w:rsidR="0098414F">
        <w:rPr>
          <w:rFonts w:ascii="Arial" w:hAnsi="Arial" w:cs="Arial"/>
          <w:sz w:val="24"/>
          <w:szCs w:val="24"/>
        </w:rPr>
        <w:t xml:space="preserve"> </w:t>
      </w:r>
      <w:r w:rsidR="00AB0093" w:rsidRPr="00AB0093">
        <w:rPr>
          <w:rFonts w:ascii="Arial" w:hAnsi="Arial" w:cs="Arial"/>
          <w:sz w:val="24"/>
          <w:szCs w:val="24"/>
        </w:rPr>
        <w:t>Net debt decreased to US$376 million from US$517 million in 2021, with gearing at 8% of adjusted shareholders' funds, down from 10% in the previous year. The Group maintains strong liquidity, with US$226 million in cash reserves and access to US$471 million in committed debt facilities. Notably, no dividends will be paid for 2022. This financial performance highlights the Group's resilience and strategic financial management in challenging times.</w:t>
      </w:r>
    </w:p>
    <w:p w14:paraId="6744CEFA" w14:textId="14737F60" w:rsidR="00AB0093" w:rsidRPr="00AB0093" w:rsidRDefault="00B56FEA" w:rsidP="00074254">
      <w:pPr>
        <w:spacing w:line="360" w:lineRule="auto"/>
        <w:jc w:val="both"/>
        <w:rPr>
          <w:rFonts w:ascii="Arial" w:hAnsi="Arial" w:cs="Arial"/>
          <w:sz w:val="24"/>
          <w:szCs w:val="24"/>
        </w:rPr>
      </w:pPr>
      <w:r>
        <w:rPr>
          <w:noProof/>
        </w:rPr>
        <w:lastRenderedPageBreak/>
        <w:drawing>
          <wp:anchor distT="0" distB="0" distL="114300" distR="114300" simplePos="0" relativeHeight="251659264" behindDoc="0" locked="0" layoutInCell="1" allowOverlap="1" wp14:anchorId="2AC5A2A6" wp14:editId="4A8C5A2D">
            <wp:simplePos x="0" y="0"/>
            <wp:positionH relativeFrom="margin">
              <wp:posOffset>-51435</wp:posOffset>
            </wp:positionH>
            <wp:positionV relativeFrom="paragraph">
              <wp:posOffset>95250</wp:posOffset>
            </wp:positionV>
            <wp:extent cx="6099175" cy="2914650"/>
            <wp:effectExtent l="0" t="0" r="0" b="0"/>
            <wp:wrapSquare wrapText="bothSides"/>
            <wp:docPr id="62961805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618057" name="Picture 1" descr="A screenshot of a repo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99175" cy="2914650"/>
                    </a:xfrm>
                    <a:prstGeom prst="rect">
                      <a:avLst/>
                    </a:prstGeom>
                  </pic:spPr>
                </pic:pic>
              </a:graphicData>
            </a:graphic>
            <wp14:sizeRelH relativeFrom="margin">
              <wp14:pctWidth>0</wp14:pctWidth>
            </wp14:sizeRelH>
            <wp14:sizeRelV relativeFrom="margin">
              <wp14:pctHeight>0</wp14:pctHeight>
            </wp14:sizeRelV>
          </wp:anchor>
        </w:drawing>
      </w:r>
      <w:r w:rsidR="00AB0093" w:rsidRPr="00AB0093">
        <w:rPr>
          <w:rFonts w:ascii="Arial" w:hAnsi="Arial" w:cs="Arial"/>
          <w:sz w:val="24"/>
          <w:szCs w:val="24"/>
        </w:rPr>
        <w:t xml:space="preserve">In contrast, </w:t>
      </w:r>
      <w:r w:rsidR="00AB0093" w:rsidRPr="00AB0093">
        <w:rPr>
          <w:rFonts w:ascii="Arial" w:hAnsi="Arial" w:cs="Arial"/>
          <w:b/>
          <w:bCs/>
          <w:sz w:val="24"/>
          <w:szCs w:val="24"/>
        </w:rPr>
        <w:t>Premier Inn</w:t>
      </w:r>
      <w:r w:rsidR="00AB0093" w:rsidRPr="00AB0093">
        <w:rPr>
          <w:rFonts w:ascii="Arial" w:hAnsi="Arial" w:cs="Arial"/>
          <w:sz w:val="24"/>
          <w:szCs w:val="24"/>
        </w:rPr>
        <w:t xml:space="preserve"> operates within the budget hotel sector, targeting a broader market segment. Its market position is reinforced by significant revenue growth, with total statutory revenue of £2625 million in FY23, a 54% increase from FY22​​. Premier Inn's customer demographic includes business travelers, families, and budget-conscious tourists seeking value for money. The brand is perceived as reliable and affordable, offering consistent quality across its locations. This perception is supported by its extensive UK presence, with room sales 55% ahead of FY22 and 37% ahead of FY20​​. Premier Inn’s focus on operational efficiency and cost-effective practices, such as their commitment to £140 million in savings between FY22 and FY25, aligns with its market positioning as a value-driven brand​​.</w:t>
      </w:r>
    </w:p>
    <w:p w14:paraId="56D41058" w14:textId="6F62F4E3" w:rsidR="00DA0F0E" w:rsidRDefault="00AB0093" w:rsidP="00074254">
      <w:pPr>
        <w:spacing w:line="360" w:lineRule="auto"/>
        <w:jc w:val="both"/>
        <w:rPr>
          <w:rFonts w:ascii="Arial" w:hAnsi="Arial" w:cs="Arial"/>
          <w:sz w:val="24"/>
          <w:szCs w:val="24"/>
        </w:rPr>
      </w:pPr>
      <w:r w:rsidRPr="00AB0093">
        <w:rPr>
          <w:rFonts w:ascii="Arial" w:hAnsi="Arial" w:cs="Arial"/>
          <w:sz w:val="24"/>
          <w:szCs w:val="24"/>
        </w:rPr>
        <w:t xml:space="preserve">In 2022, Mandarin Oriental Hotel Group demonstrated a significant financial turnaround, with underlying EBITDA surging to US$111 million, marking </w:t>
      </w:r>
      <w:r w:rsidR="005C52C4">
        <w:rPr>
          <w:rFonts w:ascii="Arial" w:hAnsi="Arial" w:cs="Arial"/>
          <w:sz w:val="24"/>
          <w:szCs w:val="24"/>
        </w:rPr>
        <w:t>its</w:t>
      </w:r>
      <w:r w:rsidRPr="00AB0093">
        <w:rPr>
          <w:rFonts w:ascii="Arial" w:hAnsi="Arial" w:cs="Arial"/>
          <w:sz w:val="24"/>
          <w:szCs w:val="24"/>
        </w:rPr>
        <w:t xml:space="preserve"> first profit since 2019. Non-trading losses decreased to US$57 million, and net debt reduced to US$376 million. Premier Inn, on the other hand, thrived in the budget hotel sector, achieving a 54% revenue increase to £2625 million in FY23. Their focus on affordability and operational efficiency led to substantial growth, aligning with their value-driven brand positioning.</w:t>
      </w:r>
      <w:r w:rsidRPr="00AB0093">
        <w:rPr>
          <w:rFonts w:ascii="Arial" w:hAnsi="Arial" w:cs="Arial"/>
          <w:vanish/>
          <w:sz w:val="24"/>
          <w:szCs w:val="24"/>
        </w:rPr>
        <w:t>Top of Form</w:t>
      </w:r>
    </w:p>
    <w:p w14:paraId="785188FE" w14:textId="77777777" w:rsidR="00DA0F0E" w:rsidRPr="00AB0093" w:rsidRDefault="00DA0F0E" w:rsidP="00074254">
      <w:pPr>
        <w:spacing w:line="360" w:lineRule="auto"/>
        <w:jc w:val="both"/>
        <w:rPr>
          <w:rFonts w:ascii="Arial" w:hAnsi="Arial" w:cs="Arial"/>
          <w:sz w:val="24"/>
          <w:szCs w:val="24"/>
        </w:rPr>
      </w:pPr>
    </w:p>
    <w:p w14:paraId="2455FCE8" w14:textId="77777777" w:rsidR="00773D77" w:rsidRDefault="00773D77" w:rsidP="00DA0F0E">
      <w:pPr>
        <w:spacing w:line="360" w:lineRule="auto"/>
        <w:jc w:val="center"/>
        <w:rPr>
          <w:rFonts w:ascii="Arial" w:hAnsi="Arial" w:cs="Arial"/>
          <w:b/>
          <w:bCs/>
          <w:sz w:val="28"/>
          <w:szCs w:val="28"/>
          <w:u w:val="single"/>
        </w:rPr>
      </w:pPr>
    </w:p>
    <w:p w14:paraId="69391C0C" w14:textId="056C3C67" w:rsidR="00AB0093" w:rsidRPr="00AB0093" w:rsidRDefault="00AB0093" w:rsidP="00DA0F0E">
      <w:pPr>
        <w:spacing w:line="360" w:lineRule="auto"/>
        <w:jc w:val="center"/>
        <w:rPr>
          <w:rFonts w:ascii="Arial" w:hAnsi="Arial" w:cs="Arial"/>
          <w:b/>
          <w:bCs/>
          <w:sz w:val="28"/>
          <w:szCs w:val="28"/>
          <w:u w:val="single"/>
        </w:rPr>
      </w:pPr>
      <w:r w:rsidRPr="00AB0093">
        <w:rPr>
          <w:rFonts w:ascii="Arial" w:hAnsi="Arial" w:cs="Arial"/>
          <w:b/>
          <w:bCs/>
          <w:sz w:val="28"/>
          <w:szCs w:val="28"/>
          <w:u w:val="single"/>
        </w:rPr>
        <w:lastRenderedPageBreak/>
        <w:t xml:space="preserve">Market Position </w:t>
      </w:r>
      <w:r w:rsidR="00074254" w:rsidRPr="0075291D">
        <w:rPr>
          <w:rFonts w:ascii="Arial" w:hAnsi="Arial" w:cs="Arial"/>
          <w:b/>
          <w:bCs/>
          <w:sz w:val="28"/>
          <w:szCs w:val="28"/>
          <w:u w:val="single"/>
        </w:rPr>
        <w:t>Assessment</w:t>
      </w:r>
    </w:p>
    <w:p w14:paraId="4EF5E60E" w14:textId="726878F7" w:rsidR="00AB0093" w:rsidRPr="00AB0093" w:rsidRDefault="005B3177" w:rsidP="00074254">
      <w:pPr>
        <w:spacing w:line="360" w:lineRule="auto"/>
        <w:jc w:val="both"/>
        <w:rPr>
          <w:rFonts w:ascii="Arial" w:hAnsi="Arial" w:cs="Arial"/>
          <w:sz w:val="24"/>
          <w:szCs w:val="24"/>
        </w:rPr>
      </w:pPr>
      <w:r w:rsidRPr="005B3177">
        <w:rPr>
          <w:rFonts w:ascii="Arial" w:hAnsi="Arial" w:cs="Arial"/>
          <w:sz w:val="24"/>
          <w:szCs w:val="24"/>
        </w:rPr>
        <w:t xml:space="preserve">In the hospitality industry, </w:t>
      </w:r>
      <w:r w:rsidR="00101179">
        <w:rPr>
          <w:rFonts w:ascii="Arial" w:hAnsi="Arial" w:cs="Arial"/>
          <w:sz w:val="24"/>
          <w:szCs w:val="24"/>
        </w:rPr>
        <w:t>t</w:t>
      </w:r>
      <w:r w:rsidRPr="005B3177">
        <w:rPr>
          <w:rFonts w:ascii="Arial" w:hAnsi="Arial" w:cs="Arial"/>
          <w:sz w:val="24"/>
          <w:szCs w:val="24"/>
        </w:rPr>
        <w:t>he Mandarin Oriental Hotels Group and Premier Inn hold divergent market positions, serving specific customer segments and shaping brand perceptions through their respective market shares and strategies.</w:t>
      </w:r>
    </w:p>
    <w:p w14:paraId="4A877DED" w14:textId="7061B276" w:rsidR="00AB0093" w:rsidRPr="00AB0093" w:rsidRDefault="00C71602" w:rsidP="00074254">
      <w:pPr>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5ABDA6C8" wp14:editId="4C035CB0">
            <wp:simplePos x="0" y="0"/>
            <wp:positionH relativeFrom="margin">
              <wp:align>right</wp:align>
            </wp:positionH>
            <wp:positionV relativeFrom="paragraph">
              <wp:posOffset>15875</wp:posOffset>
            </wp:positionV>
            <wp:extent cx="2713355" cy="3086100"/>
            <wp:effectExtent l="0" t="0" r="0" b="0"/>
            <wp:wrapSquare wrapText="bothSides"/>
            <wp:docPr id="1548336534" name="Picture 1" descr="A person walking on a ledge near a po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336534" name="Picture 1" descr="A person walking on a ledge near a po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13355" cy="3086100"/>
                    </a:xfrm>
                    <a:prstGeom prst="rect">
                      <a:avLst/>
                    </a:prstGeom>
                  </pic:spPr>
                </pic:pic>
              </a:graphicData>
            </a:graphic>
            <wp14:sizeRelH relativeFrom="margin">
              <wp14:pctWidth>0</wp14:pctWidth>
            </wp14:sizeRelH>
            <wp14:sizeRelV relativeFrom="margin">
              <wp14:pctHeight>0</wp14:pctHeight>
            </wp14:sizeRelV>
          </wp:anchor>
        </w:drawing>
      </w:r>
      <w:r w:rsidR="00AB0093" w:rsidRPr="00AB0093">
        <w:rPr>
          <w:rFonts w:ascii="Arial" w:hAnsi="Arial" w:cs="Arial"/>
          <w:b/>
          <w:bCs/>
          <w:sz w:val="24"/>
          <w:szCs w:val="24"/>
        </w:rPr>
        <w:t>Mandarin Oriental Hotel Group</w:t>
      </w:r>
      <w:r w:rsidR="00AB0093" w:rsidRPr="00AB0093">
        <w:rPr>
          <w:rFonts w:ascii="Arial" w:hAnsi="Arial" w:cs="Arial"/>
          <w:sz w:val="24"/>
          <w:szCs w:val="24"/>
        </w:rPr>
        <w:t xml:space="preserve"> </w:t>
      </w:r>
      <w:r w:rsidR="00485D4D" w:rsidRPr="00485D4D">
        <w:rPr>
          <w:rFonts w:ascii="Arial" w:hAnsi="Arial" w:cs="Arial"/>
          <w:sz w:val="24"/>
          <w:szCs w:val="24"/>
        </w:rPr>
        <w:t xml:space="preserve">caters to wealthy consumers and is positioned in the luxury hospitality market. Their high average room rates—for example, US$1445 at the Mandarin Oriental Hyde Park London—which highlight their emphasis on superior services and luxury offerings, are indicative of their market positioning. With an 18% increase in revenue from 2019 to US$1.6 billion in 2022, the Group has a strong market share in the luxury industry. The typical clientele of Mandarin Oriental consists of wealthy customers, executives in business, and luxury </w:t>
      </w:r>
      <w:proofErr w:type="spellStart"/>
      <w:r w:rsidR="00485D4D" w:rsidRPr="00485D4D">
        <w:rPr>
          <w:rFonts w:ascii="Arial" w:hAnsi="Arial" w:cs="Arial"/>
          <w:sz w:val="24"/>
          <w:szCs w:val="24"/>
        </w:rPr>
        <w:t>travellers</w:t>
      </w:r>
      <w:proofErr w:type="spellEnd"/>
      <w:r w:rsidR="00485D4D" w:rsidRPr="00485D4D">
        <w:rPr>
          <w:rFonts w:ascii="Arial" w:hAnsi="Arial" w:cs="Arial"/>
          <w:sz w:val="24"/>
          <w:szCs w:val="24"/>
        </w:rPr>
        <w:t xml:space="preserve"> who value unique experiences and first-rate service. The brand is perceived as having elegance, sophistication, and superior service, all of which are in line with the demands of its affluent clientele.</w:t>
      </w:r>
    </w:p>
    <w:p w14:paraId="40BB7A78" w14:textId="29D855D1" w:rsidR="00145BF5" w:rsidRDefault="00773D77" w:rsidP="00074254">
      <w:pPr>
        <w:spacing w:line="360" w:lineRule="auto"/>
        <w:jc w:val="both"/>
        <w:rPr>
          <w:rFonts w:ascii="Arial" w:hAnsi="Arial" w:cs="Arial"/>
          <w:sz w:val="24"/>
          <w:szCs w:val="24"/>
        </w:rPr>
      </w:pPr>
      <w:r>
        <w:rPr>
          <w:noProof/>
        </w:rPr>
        <w:drawing>
          <wp:anchor distT="0" distB="0" distL="114300" distR="114300" simplePos="0" relativeHeight="251661312" behindDoc="0" locked="0" layoutInCell="1" allowOverlap="1" wp14:anchorId="42DE0D52" wp14:editId="29751DC0">
            <wp:simplePos x="0" y="0"/>
            <wp:positionH relativeFrom="margin">
              <wp:posOffset>-107315</wp:posOffset>
            </wp:positionH>
            <wp:positionV relativeFrom="paragraph">
              <wp:posOffset>0</wp:posOffset>
            </wp:positionV>
            <wp:extent cx="3135630" cy="2809875"/>
            <wp:effectExtent l="0" t="0" r="7620" b="9525"/>
            <wp:wrapSquare wrapText="bothSides"/>
            <wp:docPr id="285184622" name="Picture 1" descr="A person sitting in bed holding a glass of champag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84622" name="Picture 1" descr="A person sitting in bed holding a glass of champag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35630" cy="2809875"/>
                    </a:xfrm>
                    <a:prstGeom prst="rect">
                      <a:avLst/>
                    </a:prstGeom>
                  </pic:spPr>
                </pic:pic>
              </a:graphicData>
            </a:graphic>
            <wp14:sizeRelH relativeFrom="margin">
              <wp14:pctWidth>0</wp14:pctWidth>
            </wp14:sizeRelH>
            <wp14:sizeRelV relativeFrom="margin">
              <wp14:pctHeight>0</wp14:pctHeight>
            </wp14:sizeRelV>
          </wp:anchor>
        </w:drawing>
      </w:r>
      <w:r w:rsidR="00145BF5" w:rsidRPr="00145BF5">
        <w:rPr>
          <w:rFonts w:ascii="Arial" w:hAnsi="Arial" w:cs="Arial"/>
          <w:b/>
          <w:bCs/>
          <w:sz w:val="24"/>
          <w:szCs w:val="24"/>
        </w:rPr>
        <w:t>Premier Inn</w:t>
      </w:r>
      <w:r w:rsidR="00145BF5" w:rsidRPr="00145BF5">
        <w:rPr>
          <w:rFonts w:ascii="Arial" w:hAnsi="Arial" w:cs="Arial"/>
          <w:sz w:val="24"/>
          <w:szCs w:val="24"/>
        </w:rPr>
        <w:t xml:space="preserve">, in sharp contrast, caters to a wider, more economical demographic and is associated with the low-cost hotel industry. Its noteworthy statutory revenue of £2625 million in FY23—a 54% rise from FY22—shows that it has a sizable market share in the low-cost hotel industry. Families, couples, and business </w:t>
      </w:r>
      <w:proofErr w:type="spellStart"/>
      <w:r w:rsidR="00145BF5" w:rsidRPr="00145BF5">
        <w:rPr>
          <w:rFonts w:ascii="Arial" w:hAnsi="Arial" w:cs="Arial"/>
          <w:sz w:val="24"/>
          <w:szCs w:val="24"/>
        </w:rPr>
        <w:t>travellers</w:t>
      </w:r>
      <w:proofErr w:type="spellEnd"/>
      <w:r w:rsidR="00145BF5" w:rsidRPr="00145BF5">
        <w:rPr>
          <w:rFonts w:ascii="Arial" w:hAnsi="Arial" w:cs="Arial"/>
          <w:sz w:val="24"/>
          <w:szCs w:val="24"/>
        </w:rPr>
        <w:t xml:space="preserve"> are the main groups drawn to Premier Inn by its reasonable rates and reliable standards of quality. The company is </w:t>
      </w:r>
      <w:r w:rsidR="00145BF5" w:rsidRPr="00145BF5">
        <w:rPr>
          <w:rFonts w:ascii="Arial" w:hAnsi="Arial" w:cs="Arial"/>
          <w:sz w:val="24"/>
          <w:szCs w:val="24"/>
        </w:rPr>
        <w:lastRenderedPageBreak/>
        <w:t>thought to provide reliable, reasonably priced, and easily accessible lodging. Their operational efficiency and cost-effectiveness focus, demonstrated by their pledge to save £140 million between FY22 and FY25, supports this view.</w:t>
      </w:r>
    </w:p>
    <w:p w14:paraId="40D2446D" w14:textId="274CA280" w:rsidR="00AB0093" w:rsidRPr="00AB0093" w:rsidRDefault="00AB0093" w:rsidP="00074254">
      <w:pPr>
        <w:spacing w:line="360" w:lineRule="auto"/>
        <w:jc w:val="both"/>
        <w:rPr>
          <w:rFonts w:ascii="Arial" w:hAnsi="Arial" w:cs="Arial"/>
          <w:sz w:val="24"/>
          <w:szCs w:val="24"/>
        </w:rPr>
      </w:pPr>
      <w:r w:rsidRPr="00AB0093">
        <w:rPr>
          <w:rFonts w:ascii="Arial" w:hAnsi="Arial" w:cs="Arial"/>
          <w:sz w:val="24"/>
          <w:szCs w:val="24"/>
        </w:rPr>
        <w:t xml:space="preserve">Overall, </w:t>
      </w:r>
      <w:r w:rsidR="00E8554D" w:rsidRPr="00E8554D">
        <w:rPr>
          <w:rFonts w:ascii="Arial" w:hAnsi="Arial" w:cs="Arial"/>
          <w:sz w:val="24"/>
          <w:szCs w:val="24"/>
        </w:rPr>
        <w:t xml:space="preserve">Mandarin Oriental occupies a market niche that values upscale experiences and is distinguished by exclusivity and luxury. On the other hand, Premier Inn's ability to offer reasonably priced lodging enables it to attract a wider range of customers who are looking for cost-effective lodging. Their distinct market positioning </w:t>
      </w:r>
      <w:proofErr w:type="gramStart"/>
      <w:r w:rsidR="00E8554D" w:rsidRPr="00E8554D">
        <w:rPr>
          <w:rFonts w:ascii="Arial" w:hAnsi="Arial" w:cs="Arial"/>
          <w:sz w:val="24"/>
          <w:szCs w:val="24"/>
        </w:rPr>
        <w:t>is a reflection of</w:t>
      </w:r>
      <w:proofErr w:type="gramEnd"/>
      <w:r w:rsidR="00E8554D" w:rsidRPr="00E8554D">
        <w:rPr>
          <w:rFonts w:ascii="Arial" w:hAnsi="Arial" w:cs="Arial"/>
          <w:sz w:val="24"/>
          <w:szCs w:val="24"/>
        </w:rPr>
        <w:t xml:space="preserve"> their strategic approaches to meeting the diverse needs and expectations of customers in the hotel industry.</w:t>
      </w:r>
    </w:p>
    <w:p w14:paraId="5D97E828" w14:textId="05CC2F63" w:rsidR="00AB0093" w:rsidRPr="00AB0093" w:rsidRDefault="00AB0093" w:rsidP="00074254">
      <w:pPr>
        <w:spacing w:line="360" w:lineRule="auto"/>
        <w:jc w:val="both"/>
        <w:rPr>
          <w:rFonts w:ascii="Arial" w:hAnsi="Arial" w:cs="Arial"/>
          <w:sz w:val="24"/>
          <w:szCs w:val="24"/>
        </w:rPr>
      </w:pPr>
    </w:p>
    <w:p w14:paraId="27B24037" w14:textId="55292002" w:rsidR="00AB0093" w:rsidRPr="00AB0093" w:rsidRDefault="00AB0093" w:rsidP="00DA0F0E">
      <w:pPr>
        <w:spacing w:line="360" w:lineRule="auto"/>
        <w:jc w:val="center"/>
        <w:rPr>
          <w:rFonts w:ascii="Arial" w:hAnsi="Arial" w:cs="Arial"/>
          <w:b/>
          <w:bCs/>
          <w:sz w:val="28"/>
          <w:szCs w:val="28"/>
          <w:u w:val="single"/>
        </w:rPr>
      </w:pPr>
      <w:r w:rsidRPr="00AB0093">
        <w:rPr>
          <w:rFonts w:ascii="Arial" w:hAnsi="Arial" w:cs="Arial"/>
          <w:b/>
          <w:bCs/>
          <w:sz w:val="28"/>
          <w:szCs w:val="28"/>
          <w:u w:val="single"/>
        </w:rPr>
        <w:t>Growth Potential Evaluation</w:t>
      </w:r>
    </w:p>
    <w:p w14:paraId="27E5F664" w14:textId="451EFFFC" w:rsidR="00851024" w:rsidRDefault="00F46917" w:rsidP="00074254">
      <w:pPr>
        <w:spacing w:line="360" w:lineRule="auto"/>
        <w:jc w:val="both"/>
        <w:rPr>
          <w:rFonts w:ascii="Arial" w:hAnsi="Arial" w:cs="Arial"/>
          <w:sz w:val="24"/>
          <w:szCs w:val="24"/>
        </w:rPr>
      </w:pPr>
      <w:r w:rsidRPr="00F46917">
        <w:rPr>
          <w:rFonts w:ascii="Arial" w:hAnsi="Arial" w:cs="Arial"/>
          <w:sz w:val="24"/>
          <w:szCs w:val="24"/>
        </w:rPr>
        <w:t>Due to their distinct market positioning and development strategies, both chains have dissimilar growth prospects.</w:t>
      </w:r>
    </w:p>
    <w:p w14:paraId="175CE600" w14:textId="0DB881FF" w:rsidR="00AB0093" w:rsidRPr="00AB0093" w:rsidRDefault="00181B03" w:rsidP="00074254">
      <w:pPr>
        <w:spacing w:line="360" w:lineRule="auto"/>
        <w:jc w:val="both"/>
        <w:rPr>
          <w:rFonts w:ascii="Arial" w:hAnsi="Arial" w:cs="Arial"/>
          <w:sz w:val="24"/>
          <w:szCs w:val="24"/>
        </w:rPr>
      </w:pPr>
      <w:proofErr w:type="gramStart"/>
      <w:r w:rsidRPr="00181B03">
        <w:rPr>
          <w:rFonts w:ascii="Arial" w:hAnsi="Arial" w:cs="Arial"/>
          <w:b/>
          <w:bCs/>
          <w:sz w:val="24"/>
          <w:szCs w:val="24"/>
        </w:rPr>
        <w:t>Group</w:t>
      </w:r>
      <w:proofErr w:type="gramEnd"/>
      <w:r w:rsidRPr="00181B03">
        <w:rPr>
          <w:rFonts w:ascii="Arial" w:hAnsi="Arial" w:cs="Arial"/>
          <w:b/>
          <w:bCs/>
          <w:sz w:val="24"/>
          <w:szCs w:val="24"/>
        </w:rPr>
        <w:t xml:space="preserve"> of Mandarin Oriental Hotels has</w:t>
      </w:r>
      <w:r w:rsidRPr="00181B03">
        <w:rPr>
          <w:rFonts w:ascii="Arial" w:hAnsi="Arial" w:cs="Arial"/>
          <w:sz w:val="24"/>
          <w:szCs w:val="24"/>
        </w:rPr>
        <w:t xml:space="preserve"> a complete pipeline with twenty-four projects slated to open within the next five years. Among these are three freestanding residence projects, twelve projects that combine hotel and residences, and nine standalone hotel projects</w:t>
      </w:r>
      <w:r w:rsidR="00530145">
        <w:rPr>
          <w:noProof/>
        </w:rPr>
        <w:drawing>
          <wp:anchor distT="0" distB="0" distL="114300" distR="114300" simplePos="0" relativeHeight="251663360" behindDoc="0" locked="0" layoutInCell="1" allowOverlap="1" wp14:anchorId="3FF85FE1" wp14:editId="3AF918C4">
            <wp:simplePos x="0" y="0"/>
            <wp:positionH relativeFrom="column">
              <wp:posOffset>-67310</wp:posOffset>
            </wp:positionH>
            <wp:positionV relativeFrom="paragraph">
              <wp:posOffset>0</wp:posOffset>
            </wp:positionV>
            <wp:extent cx="3095625" cy="3584575"/>
            <wp:effectExtent l="0" t="0" r="9525" b="0"/>
            <wp:wrapSquare wrapText="bothSides"/>
            <wp:docPr id="1168392108" name="Picture 1" descr="A living room with 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92108" name="Picture 1" descr="A living room with a view of a cit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95625" cy="3584575"/>
                    </a:xfrm>
                    <a:prstGeom prst="rect">
                      <a:avLst/>
                    </a:prstGeom>
                  </pic:spPr>
                </pic:pic>
              </a:graphicData>
            </a:graphic>
            <wp14:sizeRelH relativeFrom="margin">
              <wp14:pctWidth>0</wp14:pctWidth>
            </wp14:sizeRelH>
            <wp14:sizeRelV relativeFrom="margin">
              <wp14:pctHeight>0</wp14:pctHeight>
            </wp14:sizeRelV>
          </wp:anchor>
        </w:drawing>
      </w:r>
      <w:r w:rsidR="005D709F" w:rsidRPr="005D709F">
        <w:rPr>
          <w:rFonts w:ascii="Arial" w:hAnsi="Arial" w:cs="Arial"/>
          <w:sz w:val="24"/>
          <w:szCs w:val="24"/>
        </w:rPr>
        <w:t xml:space="preserve">. The Group's strategic move from property ownership to management contracts, which enables faster growth and scale, is reflected in this expansion. The Group wants to expand into resort areas, gain greater popularity in important cities where it isn't yet present, and strengthen its position by building more hotels in select locations. This approach shifts the company's focus from property ownership to hotel and brand management by </w:t>
      </w:r>
      <w:proofErr w:type="spellStart"/>
      <w:r w:rsidR="005D709F" w:rsidRPr="005D709F">
        <w:rPr>
          <w:rFonts w:ascii="Arial" w:hAnsi="Arial" w:cs="Arial"/>
          <w:sz w:val="24"/>
          <w:szCs w:val="24"/>
        </w:rPr>
        <w:t>utilising</w:t>
      </w:r>
      <w:proofErr w:type="spellEnd"/>
      <w:r w:rsidR="005D709F" w:rsidRPr="005D709F">
        <w:rPr>
          <w:rFonts w:ascii="Arial" w:hAnsi="Arial" w:cs="Arial"/>
          <w:sz w:val="24"/>
          <w:szCs w:val="24"/>
        </w:rPr>
        <w:t xml:space="preserve"> </w:t>
      </w:r>
      <w:r w:rsidR="005D709F" w:rsidRPr="005D709F">
        <w:rPr>
          <w:rFonts w:ascii="Arial" w:hAnsi="Arial" w:cs="Arial"/>
          <w:sz w:val="24"/>
          <w:szCs w:val="24"/>
        </w:rPr>
        <w:lastRenderedPageBreak/>
        <w:t>the power of the Mandarin Oriental brand and its history of building industry-leading hotels.</w:t>
      </w:r>
    </w:p>
    <w:p w14:paraId="2A20939C" w14:textId="774C11EA" w:rsidR="00143BF7" w:rsidRPr="00143BF7" w:rsidRDefault="005A3C20" w:rsidP="00143BF7">
      <w:pPr>
        <w:spacing w:line="360" w:lineRule="auto"/>
        <w:jc w:val="both"/>
        <w:rPr>
          <w:rFonts w:ascii="Arial" w:hAnsi="Arial" w:cs="Arial"/>
          <w:sz w:val="24"/>
          <w:szCs w:val="24"/>
        </w:rPr>
      </w:pPr>
      <w:r>
        <w:rPr>
          <w:noProof/>
        </w:rPr>
        <w:drawing>
          <wp:anchor distT="0" distB="0" distL="114300" distR="114300" simplePos="0" relativeHeight="251665408" behindDoc="0" locked="0" layoutInCell="1" allowOverlap="1" wp14:anchorId="73C0EC79" wp14:editId="0B072CC6">
            <wp:simplePos x="0" y="0"/>
            <wp:positionH relativeFrom="margin">
              <wp:align>right</wp:align>
            </wp:positionH>
            <wp:positionV relativeFrom="paragraph">
              <wp:posOffset>534670</wp:posOffset>
            </wp:positionV>
            <wp:extent cx="4275455" cy="2857500"/>
            <wp:effectExtent l="0" t="0" r="0" b="0"/>
            <wp:wrapSquare wrapText="bothSides"/>
            <wp:docPr id="1685902188" name="Picture 2" descr="Premier Inn Hotel by maber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er Inn Hotel by maber architec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75455" cy="2857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3BF7" w:rsidRPr="00143BF7">
        <w:rPr>
          <w:rFonts w:ascii="Arial" w:hAnsi="Arial" w:cs="Arial"/>
          <w:b/>
          <w:bCs/>
          <w:sz w:val="24"/>
          <w:szCs w:val="24"/>
        </w:rPr>
        <w:t xml:space="preserve">Whitbread PLC's Premier Inn </w:t>
      </w:r>
      <w:r w:rsidR="00143BF7" w:rsidRPr="00143BF7">
        <w:rPr>
          <w:rFonts w:ascii="Arial" w:hAnsi="Arial" w:cs="Arial"/>
          <w:sz w:val="24"/>
          <w:szCs w:val="24"/>
        </w:rPr>
        <w:t xml:space="preserve">has shown strong growth in the UK market, with total statutory revenue rising by 27% to £2625 million in FY23 from FY20. The company has concentrated on building its customer offer and taking advantage of structural market opportunities, such as broadening its network coverage. In addition, the UK estate opened more than 1700 new rooms in FY23, which raised overall returns and catchment RevPAR (Whitbread FY, 2023). O'Neill (2023) claims that in addition to its proprietary automated trading engine, Premier Inn also has revenue </w:t>
      </w:r>
      <w:proofErr w:type="spellStart"/>
      <w:r w:rsidR="00143BF7" w:rsidRPr="00143BF7">
        <w:rPr>
          <w:rFonts w:ascii="Arial" w:hAnsi="Arial" w:cs="Arial"/>
          <w:sz w:val="24"/>
          <w:szCs w:val="24"/>
        </w:rPr>
        <w:t>maximisation</w:t>
      </w:r>
      <w:proofErr w:type="spellEnd"/>
      <w:r w:rsidR="00143BF7" w:rsidRPr="00143BF7">
        <w:rPr>
          <w:rFonts w:ascii="Arial" w:hAnsi="Arial" w:cs="Arial"/>
          <w:sz w:val="24"/>
          <w:szCs w:val="24"/>
        </w:rPr>
        <w:t xml:space="preserve"> strategies that are enhanced by it. As part of its rapid expansion strategy, Premier Inn seeks to quickly scale its presence in Germany by acquiring and rebranding hotel portfolios. According to the Whitbread Annual Report (2022), the Group added 3167 rooms in Germany during the year and currently has over 9000 rooms open, with nearly 7000 more in the works. This was achieved despite some financial difficulties, such as impairment charges.</w:t>
      </w:r>
    </w:p>
    <w:p w14:paraId="1AED97FA" w14:textId="76D5B258" w:rsidR="00AB0093" w:rsidRPr="00AB0093" w:rsidRDefault="00143BF7" w:rsidP="00143BF7">
      <w:pPr>
        <w:spacing w:line="360" w:lineRule="auto"/>
        <w:jc w:val="both"/>
        <w:rPr>
          <w:rFonts w:ascii="Arial" w:hAnsi="Arial" w:cs="Arial"/>
          <w:sz w:val="24"/>
          <w:szCs w:val="24"/>
        </w:rPr>
      </w:pPr>
      <w:r w:rsidRPr="00143BF7">
        <w:rPr>
          <w:rFonts w:ascii="Arial" w:hAnsi="Arial" w:cs="Arial"/>
          <w:sz w:val="24"/>
          <w:szCs w:val="24"/>
        </w:rPr>
        <w:t xml:space="preserve">In summary, Mandarin Oriental's growth potential is based on its robust pipeline of upscale hotels and apartments, which leverages the company's strong brand and management expertise. </w:t>
      </w:r>
      <w:proofErr w:type="gramStart"/>
      <w:r w:rsidRPr="00143BF7">
        <w:rPr>
          <w:rFonts w:ascii="Arial" w:hAnsi="Arial" w:cs="Arial"/>
          <w:sz w:val="24"/>
          <w:szCs w:val="24"/>
        </w:rPr>
        <w:t>Premier Inn,</w:t>
      </w:r>
      <w:proofErr w:type="gramEnd"/>
      <w:r w:rsidRPr="00143BF7">
        <w:rPr>
          <w:rFonts w:ascii="Arial" w:hAnsi="Arial" w:cs="Arial"/>
          <w:sz w:val="24"/>
          <w:szCs w:val="24"/>
        </w:rPr>
        <w:t xml:space="preserve"> has a more aggressive growth strategy that </w:t>
      </w:r>
      <w:r w:rsidR="00182781">
        <w:rPr>
          <w:rFonts w:ascii="Arial" w:hAnsi="Arial" w:cs="Arial"/>
          <w:sz w:val="24"/>
          <w:szCs w:val="24"/>
        </w:rPr>
        <w:t>concentrates</w:t>
      </w:r>
      <w:r w:rsidRPr="00143BF7">
        <w:rPr>
          <w:rFonts w:ascii="Arial" w:hAnsi="Arial" w:cs="Arial"/>
          <w:sz w:val="24"/>
          <w:szCs w:val="24"/>
        </w:rPr>
        <w:t xml:space="preserve"> on growing its network and efficiently </w:t>
      </w:r>
      <w:proofErr w:type="spellStart"/>
      <w:r w:rsidRPr="00143BF7">
        <w:rPr>
          <w:rFonts w:ascii="Arial" w:hAnsi="Arial" w:cs="Arial"/>
          <w:sz w:val="24"/>
          <w:szCs w:val="24"/>
        </w:rPr>
        <w:t>optimising</w:t>
      </w:r>
      <w:proofErr w:type="spellEnd"/>
      <w:r w:rsidRPr="00143BF7">
        <w:rPr>
          <w:rFonts w:ascii="Arial" w:hAnsi="Arial" w:cs="Arial"/>
          <w:sz w:val="24"/>
          <w:szCs w:val="24"/>
        </w:rPr>
        <w:t xml:space="preserve"> its estate, especially in Germany and the UK. Although Premier Inn is facing some financial difficulties in its expansion strategy, it is using its size and operational capabilities to seize market opportunities while Mandarin Oriental is shifting towards a management-focused model.</w:t>
      </w:r>
    </w:p>
    <w:p w14:paraId="2451E942" w14:textId="64C286A8" w:rsidR="00AB0093" w:rsidRPr="00AB0093" w:rsidRDefault="00AB0093" w:rsidP="00074254">
      <w:pPr>
        <w:spacing w:line="360" w:lineRule="auto"/>
        <w:jc w:val="both"/>
        <w:rPr>
          <w:rFonts w:ascii="Arial" w:hAnsi="Arial" w:cs="Arial"/>
          <w:b/>
          <w:bCs/>
          <w:sz w:val="24"/>
          <w:szCs w:val="24"/>
        </w:rPr>
      </w:pPr>
    </w:p>
    <w:p w14:paraId="23B5816C" w14:textId="7E7389BD" w:rsidR="00AB0093" w:rsidRPr="00AB0093" w:rsidRDefault="00AB0093" w:rsidP="00720F2C">
      <w:pPr>
        <w:spacing w:line="360" w:lineRule="auto"/>
        <w:jc w:val="center"/>
        <w:rPr>
          <w:rFonts w:ascii="Arial" w:hAnsi="Arial" w:cs="Arial"/>
          <w:sz w:val="28"/>
          <w:szCs w:val="28"/>
          <w:u w:val="single"/>
        </w:rPr>
      </w:pPr>
      <w:r w:rsidRPr="00AB0093">
        <w:rPr>
          <w:rFonts w:ascii="Arial" w:hAnsi="Arial" w:cs="Arial"/>
          <w:b/>
          <w:bCs/>
          <w:sz w:val="28"/>
          <w:szCs w:val="28"/>
          <w:u w:val="single"/>
        </w:rPr>
        <w:t xml:space="preserve">Financial Commitment to CSR </w:t>
      </w:r>
    </w:p>
    <w:p w14:paraId="0532DC56" w14:textId="340E471F" w:rsidR="00AB0093" w:rsidRPr="00AB0093" w:rsidRDefault="00357BCA" w:rsidP="00074254">
      <w:pPr>
        <w:spacing w:line="360" w:lineRule="auto"/>
        <w:jc w:val="both"/>
        <w:rPr>
          <w:rFonts w:ascii="Arial" w:hAnsi="Arial" w:cs="Arial"/>
          <w:sz w:val="24"/>
          <w:szCs w:val="24"/>
        </w:rPr>
      </w:pPr>
      <w:r>
        <w:rPr>
          <w:noProof/>
        </w:rPr>
        <w:drawing>
          <wp:anchor distT="0" distB="0" distL="114300" distR="114300" simplePos="0" relativeHeight="251666432" behindDoc="0" locked="0" layoutInCell="1" allowOverlap="1" wp14:anchorId="2AB8E2F9" wp14:editId="52CCDB29">
            <wp:simplePos x="0" y="0"/>
            <wp:positionH relativeFrom="margin">
              <wp:align>left</wp:align>
            </wp:positionH>
            <wp:positionV relativeFrom="paragraph">
              <wp:posOffset>285750</wp:posOffset>
            </wp:positionV>
            <wp:extent cx="1361440" cy="2999740"/>
            <wp:effectExtent l="0" t="0" r="0" b="0"/>
            <wp:wrapSquare wrapText="bothSides"/>
            <wp:docPr id="1140556116" name="Picture 1" descr="A glass and a bottle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56116" name="Picture 1" descr="A glass and a bottle of wa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361440" cy="2999740"/>
                    </a:xfrm>
                    <a:prstGeom prst="rect">
                      <a:avLst/>
                    </a:prstGeom>
                  </pic:spPr>
                </pic:pic>
              </a:graphicData>
            </a:graphic>
            <wp14:sizeRelH relativeFrom="margin">
              <wp14:pctWidth>0</wp14:pctWidth>
            </wp14:sizeRelH>
            <wp14:sizeRelV relativeFrom="margin">
              <wp14:pctHeight>0</wp14:pctHeight>
            </wp14:sizeRelV>
          </wp:anchor>
        </w:drawing>
      </w:r>
      <w:r w:rsidR="00AB0093" w:rsidRPr="00AB0093">
        <w:rPr>
          <w:rFonts w:ascii="Arial" w:hAnsi="Arial" w:cs="Arial"/>
          <w:b/>
          <w:bCs/>
          <w:sz w:val="24"/>
          <w:szCs w:val="24"/>
        </w:rPr>
        <w:t>Mandarin Oriental Hotel Group</w:t>
      </w:r>
      <w:r w:rsidR="00AB0093" w:rsidRPr="00AB0093">
        <w:rPr>
          <w:rFonts w:ascii="Arial" w:hAnsi="Arial" w:cs="Arial"/>
          <w:sz w:val="24"/>
          <w:szCs w:val="24"/>
        </w:rPr>
        <w:t xml:space="preserve"> </w:t>
      </w:r>
      <w:r w:rsidR="0094298A" w:rsidRPr="0094298A">
        <w:rPr>
          <w:rFonts w:ascii="Arial" w:hAnsi="Arial" w:cs="Arial"/>
          <w:sz w:val="24"/>
          <w:szCs w:val="24"/>
        </w:rPr>
        <w:t xml:space="preserve">has improved its Environmental, Social, and Governance (ESG) policies by releasing its debut Task Force on TCFD (Task Force on Climate-related Financial Disclosures) report in the year of 2022, which includes the disclosure of climate-related financial risks. The group has created a </w:t>
      </w:r>
      <w:proofErr w:type="spellStart"/>
      <w:r w:rsidR="0094298A" w:rsidRPr="0094298A">
        <w:rPr>
          <w:rFonts w:ascii="Arial" w:hAnsi="Arial" w:cs="Arial"/>
          <w:sz w:val="24"/>
          <w:szCs w:val="24"/>
        </w:rPr>
        <w:t>specialised</w:t>
      </w:r>
      <w:proofErr w:type="spellEnd"/>
      <w:r w:rsidR="0094298A" w:rsidRPr="0094298A">
        <w:rPr>
          <w:rFonts w:ascii="Arial" w:hAnsi="Arial" w:cs="Arial"/>
          <w:sz w:val="24"/>
          <w:szCs w:val="24"/>
        </w:rPr>
        <w:t xml:space="preserve"> sustainability department to manage these initiatives. They successfully reduced carbon intensity by 30 percent, energy intensity by 31 percent, and water intensity by sixteen percent compared to their 2012 baselines. Moreover, they are in alignment with their EGT (Environmental Group Targets) for the year 2030 as stated in their Annual Report of 2022. In terms of social impact, Mandarin Oriental conducted 426 social impact initiatives, with colleagues volunteering 19,000 hours and making donations </w:t>
      </w:r>
      <w:proofErr w:type="spellStart"/>
      <w:r w:rsidR="0094298A" w:rsidRPr="0094298A">
        <w:rPr>
          <w:rFonts w:ascii="Arial" w:hAnsi="Arial" w:cs="Arial"/>
          <w:sz w:val="24"/>
          <w:szCs w:val="24"/>
        </w:rPr>
        <w:t>totalling</w:t>
      </w:r>
      <w:proofErr w:type="spellEnd"/>
      <w:r w:rsidR="0094298A" w:rsidRPr="0094298A">
        <w:rPr>
          <w:rFonts w:ascii="Arial" w:hAnsi="Arial" w:cs="Arial"/>
          <w:sz w:val="24"/>
          <w:szCs w:val="24"/>
        </w:rPr>
        <w:t xml:space="preserve"> USD 1.69M. The Code of Conduct integrates environmental responsibility into all decision-making processes, prioritising resource efficiency, waste reduction, and stakeholder involvement in sustainability initiatives (Nakai, 2023).</w:t>
      </w:r>
    </w:p>
    <w:p w14:paraId="0B3B8964" w14:textId="33052BE0" w:rsidR="00AB0093" w:rsidRPr="00AB0093" w:rsidRDefault="009B7E65" w:rsidP="00074254">
      <w:pPr>
        <w:spacing w:line="360" w:lineRule="auto"/>
        <w:jc w:val="both"/>
        <w:rPr>
          <w:rFonts w:ascii="Arial" w:hAnsi="Arial" w:cs="Arial"/>
          <w:sz w:val="24"/>
          <w:szCs w:val="24"/>
        </w:rPr>
      </w:pPr>
      <w:r>
        <w:rPr>
          <w:noProof/>
        </w:rPr>
        <w:drawing>
          <wp:anchor distT="0" distB="0" distL="114300" distR="114300" simplePos="0" relativeHeight="251671552" behindDoc="0" locked="0" layoutInCell="1" allowOverlap="1" wp14:anchorId="2887FA75" wp14:editId="0812738F">
            <wp:simplePos x="0" y="0"/>
            <wp:positionH relativeFrom="margin">
              <wp:align>right</wp:align>
            </wp:positionH>
            <wp:positionV relativeFrom="paragraph">
              <wp:posOffset>470535</wp:posOffset>
            </wp:positionV>
            <wp:extent cx="3181350" cy="2152650"/>
            <wp:effectExtent l="0" t="0" r="0" b="0"/>
            <wp:wrapSquare wrapText="bothSides"/>
            <wp:docPr id="1010927792" name="Picture 1" descr="A group of men holding eg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27792" name="Picture 1" descr="A group of men holding egg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181350" cy="2152650"/>
                    </a:xfrm>
                    <a:prstGeom prst="rect">
                      <a:avLst/>
                    </a:prstGeom>
                  </pic:spPr>
                </pic:pic>
              </a:graphicData>
            </a:graphic>
          </wp:anchor>
        </w:drawing>
      </w:r>
      <w:r w:rsidR="00AB0093" w:rsidRPr="00AB0093">
        <w:rPr>
          <w:rFonts w:ascii="Arial" w:hAnsi="Arial" w:cs="Arial"/>
          <w:b/>
          <w:bCs/>
          <w:sz w:val="24"/>
          <w:szCs w:val="24"/>
        </w:rPr>
        <w:t>Premier Inn</w:t>
      </w:r>
      <w:r w:rsidR="00AB0093" w:rsidRPr="00AB0093">
        <w:rPr>
          <w:rFonts w:ascii="Arial" w:hAnsi="Arial" w:cs="Arial"/>
          <w:sz w:val="24"/>
          <w:szCs w:val="24"/>
        </w:rPr>
        <w:t xml:space="preserve">, as part of Whitbread PLC, has a comprehensive CSR strategy named 'Force </w:t>
      </w:r>
      <w:r w:rsidR="00947ED7" w:rsidRPr="00AB0093">
        <w:rPr>
          <w:rFonts w:ascii="Arial" w:hAnsi="Arial" w:cs="Arial"/>
          <w:sz w:val="24"/>
          <w:szCs w:val="24"/>
        </w:rPr>
        <w:t>for</w:t>
      </w:r>
      <w:r w:rsidR="00AB0093" w:rsidRPr="00AB0093">
        <w:rPr>
          <w:rFonts w:ascii="Arial" w:hAnsi="Arial" w:cs="Arial"/>
          <w:sz w:val="24"/>
          <w:szCs w:val="24"/>
        </w:rPr>
        <w:t xml:space="preserve"> Good', which covers environmental, social, and governance aspects. </w:t>
      </w:r>
      <w:r w:rsidR="00233548" w:rsidRPr="00233548">
        <w:rPr>
          <w:rFonts w:ascii="Arial" w:hAnsi="Arial" w:cs="Arial"/>
          <w:sz w:val="24"/>
          <w:szCs w:val="24"/>
        </w:rPr>
        <w:t xml:space="preserve">The organisation has established ambitious goals to decrease carbon emissions, with a target of an 80 percent reduction by the year 2030 and achieving zero net emissions by the year 2040 for </w:t>
      </w:r>
      <w:proofErr w:type="gramStart"/>
      <w:r w:rsidR="00233548" w:rsidRPr="00233548">
        <w:rPr>
          <w:rFonts w:ascii="Arial" w:hAnsi="Arial" w:cs="Arial"/>
          <w:sz w:val="24"/>
          <w:szCs w:val="24"/>
        </w:rPr>
        <w:t>The</w:t>
      </w:r>
      <w:proofErr w:type="gramEnd"/>
      <w:r w:rsidR="00233548" w:rsidRPr="00233548">
        <w:rPr>
          <w:rFonts w:ascii="Arial" w:hAnsi="Arial" w:cs="Arial"/>
          <w:sz w:val="24"/>
          <w:szCs w:val="24"/>
        </w:rPr>
        <w:t xml:space="preserve"> scope 1 as well as 2 emission levels. These targets are in line with the Science Based Targets Initiative (SBTi). The objective is to achieve a 50 percent decrease in emissions of Scope 3 by the year 2035 and a 64 percent reduction by the year 2050 (Berry, 2022). </w:t>
      </w:r>
      <w:r w:rsidR="00AB0093" w:rsidRPr="00AB0093">
        <w:rPr>
          <w:rFonts w:ascii="Arial" w:hAnsi="Arial" w:cs="Arial"/>
          <w:sz w:val="24"/>
          <w:szCs w:val="24"/>
        </w:rPr>
        <w:t xml:space="preserve">According to </w:t>
      </w:r>
      <w:r w:rsidR="00B95DF7">
        <w:rPr>
          <w:rFonts w:ascii="Arial" w:hAnsi="Arial" w:cs="Arial"/>
          <w:sz w:val="24"/>
          <w:szCs w:val="24"/>
        </w:rPr>
        <w:t>Whitbread</w:t>
      </w:r>
      <w:r w:rsidR="00AB0093" w:rsidRPr="00AB0093">
        <w:rPr>
          <w:rFonts w:ascii="Arial" w:hAnsi="Arial" w:cs="Arial"/>
          <w:sz w:val="24"/>
          <w:szCs w:val="24"/>
        </w:rPr>
        <w:t xml:space="preserve"> </w:t>
      </w:r>
      <w:r w:rsidR="00AB0093" w:rsidRPr="00AB0093">
        <w:rPr>
          <w:rFonts w:ascii="Arial" w:hAnsi="Arial" w:cs="Arial"/>
          <w:sz w:val="24"/>
          <w:szCs w:val="24"/>
        </w:rPr>
        <w:lastRenderedPageBreak/>
        <w:t xml:space="preserve">PLC (2022), in terms of social responsibility, they focus on diversity and inclusion, with 41% female representation and 5% ethnic minority representation in their leadership population. Premier Inn supports career development through apprenticeships and training, with 274 team members completing their apprenticeship in the last year. The company also prioritizes the </w:t>
      </w:r>
      <w:r w:rsidR="00357BCA">
        <w:rPr>
          <w:rFonts w:ascii="Arial" w:hAnsi="Arial" w:cs="Arial"/>
          <w:sz w:val="24"/>
          <w:szCs w:val="24"/>
        </w:rPr>
        <w:t>well-being</w:t>
      </w:r>
      <w:r w:rsidR="000331E1">
        <w:rPr>
          <w:rFonts w:ascii="Arial" w:hAnsi="Arial" w:cs="Arial"/>
          <w:sz w:val="24"/>
          <w:szCs w:val="24"/>
        </w:rPr>
        <w:t xml:space="preserve"> </w:t>
      </w:r>
      <w:r w:rsidR="00AB0093" w:rsidRPr="00AB0093">
        <w:rPr>
          <w:rFonts w:ascii="Arial" w:hAnsi="Arial" w:cs="Arial"/>
          <w:sz w:val="24"/>
          <w:szCs w:val="24"/>
        </w:rPr>
        <w:t>of their teams and actively supports local community activities, with 200 hours donated to local communities through new site openings​​.</w:t>
      </w:r>
    </w:p>
    <w:p w14:paraId="06127302" w14:textId="7BC1F67F" w:rsidR="00AB0093" w:rsidRPr="00AB0093" w:rsidRDefault="00AB0093" w:rsidP="00074254">
      <w:pPr>
        <w:spacing w:line="360" w:lineRule="auto"/>
        <w:jc w:val="both"/>
        <w:rPr>
          <w:rFonts w:ascii="Arial" w:hAnsi="Arial" w:cs="Arial"/>
          <w:sz w:val="24"/>
          <w:szCs w:val="24"/>
        </w:rPr>
      </w:pPr>
      <w:r w:rsidRPr="00AB0093">
        <w:rPr>
          <w:rFonts w:ascii="Arial" w:hAnsi="Arial" w:cs="Arial"/>
          <w:sz w:val="24"/>
          <w:szCs w:val="24"/>
        </w:rPr>
        <w:t xml:space="preserve">In conclusion, both </w:t>
      </w:r>
      <w:r w:rsidR="00206111">
        <w:rPr>
          <w:rFonts w:ascii="Arial" w:hAnsi="Arial" w:cs="Arial"/>
          <w:sz w:val="24"/>
          <w:szCs w:val="24"/>
        </w:rPr>
        <w:t>hotel chains</w:t>
      </w:r>
      <w:r w:rsidRPr="00AB0093">
        <w:rPr>
          <w:rFonts w:ascii="Arial" w:hAnsi="Arial" w:cs="Arial"/>
          <w:sz w:val="24"/>
          <w:szCs w:val="24"/>
        </w:rPr>
        <w:t xml:space="preserve"> demonstrate a strong financial commitment to </w:t>
      </w:r>
      <w:r w:rsidR="004C24DA" w:rsidRPr="004C24DA">
        <w:rPr>
          <w:rFonts w:ascii="Arial" w:hAnsi="Arial" w:cs="Arial"/>
          <w:sz w:val="24"/>
          <w:szCs w:val="24"/>
        </w:rPr>
        <w:t>Corporate Social Responsibility</w:t>
      </w:r>
      <w:r w:rsidRPr="00AB0093">
        <w:rPr>
          <w:rFonts w:ascii="Arial" w:hAnsi="Arial" w:cs="Arial"/>
          <w:sz w:val="24"/>
          <w:szCs w:val="24"/>
        </w:rPr>
        <w:t xml:space="preserve">. Mandarin Oriental's approach is centered around robust ESG policies, significant reductions in environmental impact, and active community engagement. Premier Inn's 'Force </w:t>
      </w:r>
      <w:proofErr w:type="gramStart"/>
      <w:r w:rsidRPr="00AB0093">
        <w:rPr>
          <w:rFonts w:ascii="Arial" w:hAnsi="Arial" w:cs="Arial"/>
          <w:sz w:val="24"/>
          <w:szCs w:val="24"/>
        </w:rPr>
        <w:t>For</w:t>
      </w:r>
      <w:proofErr w:type="gramEnd"/>
      <w:r w:rsidRPr="00AB0093">
        <w:rPr>
          <w:rFonts w:ascii="Arial" w:hAnsi="Arial" w:cs="Arial"/>
          <w:sz w:val="24"/>
          <w:szCs w:val="24"/>
        </w:rPr>
        <w:t xml:space="preserve"> Good' strategy integrates environmental targets with a focus on social inclusion, team member wellbeing, and community impact. Both organizations exemplify how businesses in the hospitality sector can effectively integrate CSR into their operations and brand ethos.</w:t>
      </w:r>
    </w:p>
    <w:p w14:paraId="0FA66B3E" w14:textId="77777777" w:rsidR="00AB0093" w:rsidRPr="00AB0093" w:rsidRDefault="00AB0093" w:rsidP="00074254">
      <w:pPr>
        <w:spacing w:line="360" w:lineRule="auto"/>
        <w:jc w:val="both"/>
        <w:rPr>
          <w:rFonts w:ascii="Arial" w:hAnsi="Arial" w:cs="Arial"/>
          <w:b/>
          <w:bCs/>
          <w:sz w:val="24"/>
          <w:szCs w:val="24"/>
        </w:rPr>
      </w:pPr>
    </w:p>
    <w:p w14:paraId="7E6CEEC1" w14:textId="29B1F075" w:rsidR="00AB0093" w:rsidRPr="00AB0093" w:rsidRDefault="00AB0093" w:rsidP="00CC61B6">
      <w:pPr>
        <w:spacing w:line="360" w:lineRule="auto"/>
        <w:jc w:val="center"/>
        <w:rPr>
          <w:rFonts w:ascii="Arial" w:hAnsi="Arial" w:cs="Arial"/>
          <w:b/>
          <w:bCs/>
          <w:sz w:val="28"/>
          <w:szCs w:val="28"/>
          <w:u w:val="single"/>
        </w:rPr>
      </w:pPr>
      <w:r w:rsidRPr="00AB0093">
        <w:rPr>
          <w:rFonts w:ascii="Arial" w:hAnsi="Arial" w:cs="Arial"/>
          <w:b/>
          <w:bCs/>
          <w:sz w:val="28"/>
          <w:szCs w:val="28"/>
          <w:u w:val="single"/>
        </w:rPr>
        <w:t>Comparative Analysis</w:t>
      </w:r>
    </w:p>
    <w:p w14:paraId="34105C06" w14:textId="64D00D25" w:rsidR="00AB0093" w:rsidRPr="00AB0093" w:rsidRDefault="00444925" w:rsidP="00074254">
      <w:pPr>
        <w:spacing w:line="360" w:lineRule="auto"/>
        <w:jc w:val="both"/>
        <w:rPr>
          <w:rFonts w:ascii="Arial" w:hAnsi="Arial" w:cs="Arial"/>
          <w:sz w:val="24"/>
          <w:szCs w:val="24"/>
        </w:rPr>
      </w:pPr>
      <w:r>
        <w:rPr>
          <w:noProof/>
        </w:rPr>
        <w:drawing>
          <wp:anchor distT="0" distB="0" distL="114300" distR="114300" simplePos="0" relativeHeight="251668480" behindDoc="0" locked="0" layoutInCell="1" allowOverlap="1" wp14:anchorId="33D71C73" wp14:editId="4CB27565">
            <wp:simplePos x="0" y="0"/>
            <wp:positionH relativeFrom="margin">
              <wp:align>right</wp:align>
            </wp:positionH>
            <wp:positionV relativeFrom="paragraph">
              <wp:posOffset>287655</wp:posOffset>
            </wp:positionV>
            <wp:extent cx="2633980" cy="2590800"/>
            <wp:effectExtent l="0" t="0" r="0" b="0"/>
            <wp:wrapSquare wrapText="bothSides"/>
            <wp:docPr id="83414240" name="Picture 1" descr="A set of wooden spoons and a bottle of toothbrus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14240" name="Picture 1" descr="A set of wooden spoons and a bottle of toothbrush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633980" cy="2590800"/>
                    </a:xfrm>
                    <a:prstGeom prst="rect">
                      <a:avLst/>
                    </a:prstGeom>
                  </pic:spPr>
                </pic:pic>
              </a:graphicData>
            </a:graphic>
            <wp14:sizeRelH relativeFrom="margin">
              <wp14:pctWidth>0</wp14:pctWidth>
            </wp14:sizeRelH>
            <wp14:sizeRelV relativeFrom="margin">
              <wp14:pctHeight>0</wp14:pctHeight>
            </wp14:sizeRelV>
          </wp:anchor>
        </w:drawing>
      </w:r>
      <w:r w:rsidR="00AB0093" w:rsidRPr="00AB0093">
        <w:rPr>
          <w:rFonts w:ascii="Arial" w:hAnsi="Arial" w:cs="Arial"/>
          <w:b/>
          <w:bCs/>
          <w:sz w:val="24"/>
          <w:szCs w:val="24"/>
        </w:rPr>
        <w:t>Mandarin Oriental</w:t>
      </w:r>
      <w:r w:rsidR="00AB0093" w:rsidRPr="00AB0093">
        <w:rPr>
          <w:rFonts w:ascii="Arial" w:hAnsi="Arial" w:cs="Arial"/>
          <w:sz w:val="24"/>
          <w:szCs w:val="24"/>
        </w:rPr>
        <w:t xml:space="preserve"> </w:t>
      </w:r>
      <w:r w:rsidR="006A6837" w:rsidRPr="006A6837">
        <w:rPr>
          <w:rFonts w:ascii="Arial" w:hAnsi="Arial" w:cs="Arial"/>
          <w:sz w:val="24"/>
          <w:szCs w:val="24"/>
        </w:rPr>
        <w:t xml:space="preserve">places a strong emphasis on top-notch experiences, outstanding service, and luxurious hospitality. According to Ward (2023), their financial management strategy places a high priority on brand recognition and global presence in addition to long-term value and profitability. Mandarin Oriental has advanced its sustainability efforts, aligning with the UN Sustainable Development </w:t>
      </w:r>
      <w:proofErr w:type="gramStart"/>
      <w:r w:rsidR="006A6837" w:rsidRPr="006A6837">
        <w:rPr>
          <w:rFonts w:ascii="Arial" w:hAnsi="Arial" w:cs="Arial"/>
          <w:sz w:val="24"/>
          <w:szCs w:val="24"/>
        </w:rPr>
        <w:t>Goals</w:t>
      </w:r>
      <w:proofErr w:type="gramEnd"/>
      <w:r w:rsidR="006A6837" w:rsidRPr="006A6837">
        <w:rPr>
          <w:rFonts w:ascii="Arial" w:hAnsi="Arial" w:cs="Arial"/>
          <w:sz w:val="24"/>
          <w:szCs w:val="24"/>
        </w:rPr>
        <w:t xml:space="preserve"> and putting policies in place to reduce energy, water, waste, and carbon emissions, as demonstrated in the </w:t>
      </w:r>
      <w:r w:rsidR="006A6837">
        <w:rPr>
          <w:rFonts w:ascii="Arial" w:hAnsi="Arial" w:cs="Arial"/>
          <w:sz w:val="24"/>
          <w:szCs w:val="24"/>
        </w:rPr>
        <w:t>journal</w:t>
      </w:r>
      <w:r w:rsidR="006A6837" w:rsidRPr="006A6837">
        <w:rPr>
          <w:rFonts w:ascii="Arial" w:hAnsi="Arial" w:cs="Arial"/>
          <w:sz w:val="24"/>
          <w:szCs w:val="24"/>
        </w:rPr>
        <w:t xml:space="preserve"> conducted by </w:t>
      </w:r>
      <w:proofErr w:type="spellStart"/>
      <w:r w:rsidR="006A6837" w:rsidRPr="006A6837">
        <w:rPr>
          <w:rFonts w:ascii="Arial" w:hAnsi="Arial" w:cs="Arial"/>
          <w:sz w:val="24"/>
          <w:szCs w:val="24"/>
        </w:rPr>
        <w:t>Millindi</w:t>
      </w:r>
      <w:proofErr w:type="spellEnd"/>
      <w:r w:rsidR="006A6837" w:rsidRPr="006A6837">
        <w:rPr>
          <w:rFonts w:ascii="Arial" w:hAnsi="Arial" w:cs="Arial"/>
          <w:sz w:val="24"/>
          <w:szCs w:val="24"/>
        </w:rPr>
        <w:t xml:space="preserve">, De Lieto, and Chopra (2022). This strategy reveals a dedication to ethical and sustainable business practises, which is a crucial component of their financial plan </w:t>
      </w:r>
      <w:r w:rsidR="006A6837" w:rsidRPr="006A6837">
        <w:rPr>
          <w:rFonts w:ascii="Arial" w:hAnsi="Arial" w:cs="Arial"/>
          <w:sz w:val="24"/>
          <w:szCs w:val="24"/>
        </w:rPr>
        <w:lastRenderedPageBreak/>
        <w:t>(</w:t>
      </w:r>
      <w:proofErr w:type="spellStart"/>
      <w:r w:rsidR="006A6837" w:rsidRPr="006A6837">
        <w:rPr>
          <w:rFonts w:ascii="Arial" w:hAnsi="Arial" w:cs="Arial"/>
          <w:sz w:val="24"/>
          <w:szCs w:val="24"/>
        </w:rPr>
        <w:t>Grupta</w:t>
      </w:r>
      <w:proofErr w:type="spellEnd"/>
      <w:r w:rsidR="006A6837" w:rsidRPr="006A6837">
        <w:rPr>
          <w:rFonts w:ascii="Arial" w:hAnsi="Arial" w:cs="Arial"/>
          <w:sz w:val="24"/>
          <w:szCs w:val="24"/>
        </w:rPr>
        <w:t xml:space="preserve"> and Das, 2022). Furthermore, Mandarin Oriental balances property ownership and management contracts with a focus on strategic locations (MOHG, 2017). They collaborate with devoted stakeholders who share their vision and goals, and they thoroughly assess potential transactions to make sure they meet financial underwriting standards (</w:t>
      </w:r>
      <w:proofErr w:type="spellStart"/>
      <w:r w:rsidR="006A6837" w:rsidRPr="006A6837">
        <w:rPr>
          <w:rFonts w:ascii="Arial" w:hAnsi="Arial" w:cs="Arial"/>
          <w:sz w:val="24"/>
          <w:szCs w:val="24"/>
        </w:rPr>
        <w:t>Raditia</w:t>
      </w:r>
      <w:proofErr w:type="spellEnd"/>
      <w:r w:rsidR="006A6837" w:rsidRPr="006A6837">
        <w:rPr>
          <w:rFonts w:ascii="Arial" w:hAnsi="Arial" w:cs="Arial"/>
          <w:sz w:val="24"/>
          <w:szCs w:val="24"/>
        </w:rPr>
        <w:t xml:space="preserve"> and </w:t>
      </w:r>
      <w:proofErr w:type="spellStart"/>
      <w:r w:rsidR="006A6837" w:rsidRPr="006A6837">
        <w:rPr>
          <w:rFonts w:ascii="Arial" w:hAnsi="Arial" w:cs="Arial"/>
          <w:sz w:val="24"/>
          <w:szCs w:val="24"/>
        </w:rPr>
        <w:t>Mularsari</w:t>
      </w:r>
      <w:proofErr w:type="spellEnd"/>
      <w:r w:rsidR="006A6837" w:rsidRPr="006A6837">
        <w:rPr>
          <w:rFonts w:ascii="Arial" w:hAnsi="Arial" w:cs="Arial"/>
          <w:sz w:val="24"/>
          <w:szCs w:val="24"/>
        </w:rPr>
        <w:t xml:space="preserve">, 2022).  </w:t>
      </w:r>
    </w:p>
    <w:p w14:paraId="55324F67" w14:textId="73E0EB31" w:rsidR="008C0058" w:rsidRDefault="007D2FF9" w:rsidP="00074254">
      <w:pPr>
        <w:spacing w:line="360" w:lineRule="auto"/>
        <w:jc w:val="both"/>
        <w:rPr>
          <w:rFonts w:ascii="Arial" w:hAnsi="Arial" w:cs="Arial"/>
          <w:sz w:val="24"/>
          <w:szCs w:val="24"/>
        </w:rPr>
      </w:pPr>
      <w:r>
        <w:rPr>
          <w:noProof/>
        </w:rPr>
        <w:drawing>
          <wp:anchor distT="0" distB="0" distL="114300" distR="114300" simplePos="0" relativeHeight="251669504" behindDoc="0" locked="0" layoutInCell="1" allowOverlap="1" wp14:anchorId="431C0EF2" wp14:editId="5946B908">
            <wp:simplePos x="0" y="0"/>
            <wp:positionH relativeFrom="margin">
              <wp:align>right</wp:align>
            </wp:positionH>
            <wp:positionV relativeFrom="paragraph">
              <wp:posOffset>1022350</wp:posOffset>
            </wp:positionV>
            <wp:extent cx="3528695" cy="2352675"/>
            <wp:effectExtent l="0" t="0" r="0" b="9525"/>
            <wp:wrapSquare wrapText="bothSides"/>
            <wp:docPr id="541805928" name="Picture 3" descr="A breakfast table with food and drin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805928" name="Picture 3" descr="A breakfast table with food and drinks&#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28695" cy="2352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0058" w:rsidRPr="008C0058">
        <w:rPr>
          <w:rFonts w:ascii="Arial" w:hAnsi="Arial" w:cs="Arial"/>
          <w:sz w:val="24"/>
          <w:szCs w:val="24"/>
        </w:rPr>
        <w:t xml:space="preserve">According to Bas and </w:t>
      </w:r>
      <w:proofErr w:type="spellStart"/>
      <w:r w:rsidR="008C0058" w:rsidRPr="008C0058">
        <w:rPr>
          <w:rFonts w:ascii="Arial" w:hAnsi="Arial" w:cs="Arial"/>
          <w:sz w:val="24"/>
          <w:szCs w:val="24"/>
        </w:rPr>
        <w:t>Sivaprasad</w:t>
      </w:r>
      <w:proofErr w:type="spellEnd"/>
      <w:r w:rsidR="008C0058" w:rsidRPr="008C0058">
        <w:rPr>
          <w:rFonts w:ascii="Arial" w:hAnsi="Arial" w:cs="Arial"/>
          <w:sz w:val="24"/>
          <w:szCs w:val="24"/>
        </w:rPr>
        <w:t xml:space="preserve"> (2022), Premier Inn is a leading budget hotel chain that has shown impressive financial results, including a notable rise in adjusted operating profit and total statutory revenue. Berners and Martin (2022) state that the foundation of their strategy is a revenue mix that is well-balanced between business and leisure, with a focus on cost-effectiveness and competitive pricing. According to Gursoy et al. (2022), Premier Inn can </w:t>
      </w:r>
      <w:proofErr w:type="spellStart"/>
      <w:r w:rsidR="008C0058" w:rsidRPr="008C0058">
        <w:rPr>
          <w:rFonts w:ascii="Arial" w:hAnsi="Arial" w:cs="Arial"/>
          <w:sz w:val="24"/>
          <w:szCs w:val="24"/>
        </w:rPr>
        <w:t>maximise</w:t>
      </w:r>
      <w:proofErr w:type="spellEnd"/>
      <w:r w:rsidR="008C0058" w:rsidRPr="008C0058">
        <w:rPr>
          <w:rFonts w:ascii="Arial" w:hAnsi="Arial" w:cs="Arial"/>
          <w:sz w:val="24"/>
          <w:szCs w:val="24"/>
        </w:rPr>
        <w:t xml:space="preserve"> revenue by managing pricing strategies across all of its </w:t>
      </w:r>
      <w:proofErr w:type="gramStart"/>
      <w:r w:rsidRPr="008C0058">
        <w:rPr>
          <w:rFonts w:ascii="Arial" w:hAnsi="Arial" w:cs="Arial"/>
          <w:sz w:val="24"/>
          <w:szCs w:val="24"/>
        </w:rPr>
        <w:t>hotels</w:t>
      </w:r>
      <w:proofErr w:type="gramEnd"/>
      <w:r w:rsidR="008C0058" w:rsidRPr="008C0058">
        <w:rPr>
          <w:rFonts w:ascii="Arial" w:hAnsi="Arial" w:cs="Arial"/>
          <w:sz w:val="24"/>
          <w:szCs w:val="24"/>
        </w:rPr>
        <w:t xml:space="preserve"> thanks to its integrated trading and pricing engine. </w:t>
      </w:r>
      <w:r>
        <w:rPr>
          <w:rFonts w:ascii="Arial" w:hAnsi="Arial" w:cs="Arial"/>
          <w:sz w:val="24"/>
          <w:szCs w:val="24"/>
        </w:rPr>
        <w:t>Whitbread</w:t>
      </w:r>
      <w:r w:rsidRPr="008C0058">
        <w:rPr>
          <w:rFonts w:ascii="Arial" w:hAnsi="Arial" w:cs="Arial"/>
          <w:sz w:val="24"/>
          <w:szCs w:val="24"/>
        </w:rPr>
        <w:t xml:space="preserve"> (</w:t>
      </w:r>
      <w:r w:rsidR="008C0058" w:rsidRPr="008C0058">
        <w:rPr>
          <w:rFonts w:ascii="Arial" w:hAnsi="Arial" w:cs="Arial"/>
          <w:sz w:val="24"/>
          <w:szCs w:val="24"/>
        </w:rPr>
        <w:t>2023) states that their operational focus is on providing excellent value and high quality, as demonstrated by the introduction of flexible pricing options like Premier Plus rooms, which increase RevPAR. Despite some financial difficulties, such as impairment charges, Premier Inn's growth in Germany demonstrates a clear strategy to overtake other hotel chains as the country's largest, with a substantial investment in open estate and pipeline and a long-term return on capital target of between 10% and 14%.</w:t>
      </w:r>
    </w:p>
    <w:p w14:paraId="554D8830" w14:textId="0A2FFD52" w:rsidR="00AB0093" w:rsidRPr="00AB0093" w:rsidRDefault="007B1377" w:rsidP="00074254">
      <w:pPr>
        <w:spacing w:line="360" w:lineRule="auto"/>
        <w:jc w:val="both"/>
        <w:rPr>
          <w:rFonts w:ascii="Arial" w:hAnsi="Arial" w:cs="Arial"/>
          <w:b/>
          <w:bCs/>
          <w:sz w:val="24"/>
          <w:szCs w:val="24"/>
        </w:rPr>
      </w:pPr>
      <w:r w:rsidRPr="007B1377">
        <w:rPr>
          <w:rFonts w:ascii="Arial" w:hAnsi="Arial" w:cs="Arial"/>
          <w:sz w:val="24"/>
          <w:szCs w:val="24"/>
        </w:rPr>
        <w:t xml:space="preserve">For long-term profitability and value, Mandarin Oriental's financial management approach is distinguished, in summary, by placing importance on luxury, brand strength, and sustainable practices. Premier Inn, on the other hand, strategically focuses on growing its market presence, particularly in Germany, and uses its powerful brand and efficient operations to drive revenue growth. Despite operating in distinct hotel industry segments, </w:t>
      </w:r>
      <w:r w:rsidRPr="007B1377">
        <w:rPr>
          <w:rFonts w:ascii="Arial" w:hAnsi="Arial" w:cs="Arial"/>
          <w:sz w:val="24"/>
          <w:szCs w:val="24"/>
        </w:rPr>
        <w:lastRenderedPageBreak/>
        <w:t xml:space="preserve">both </w:t>
      </w:r>
      <w:proofErr w:type="spellStart"/>
      <w:r w:rsidRPr="007B1377">
        <w:rPr>
          <w:rFonts w:ascii="Arial" w:hAnsi="Arial" w:cs="Arial"/>
          <w:sz w:val="24"/>
          <w:szCs w:val="24"/>
        </w:rPr>
        <w:t>organisations</w:t>
      </w:r>
      <w:proofErr w:type="spellEnd"/>
      <w:r w:rsidRPr="007B1377">
        <w:rPr>
          <w:rFonts w:ascii="Arial" w:hAnsi="Arial" w:cs="Arial"/>
          <w:sz w:val="24"/>
          <w:szCs w:val="24"/>
        </w:rPr>
        <w:t xml:space="preserve"> exhibit an in-depth understanding of their market positioning and have customised their financial strategies accordingly.</w:t>
      </w:r>
    </w:p>
    <w:p w14:paraId="6DDE3091" w14:textId="77777777" w:rsidR="007B1377" w:rsidRDefault="007B1377" w:rsidP="00074254">
      <w:pPr>
        <w:spacing w:line="360" w:lineRule="auto"/>
        <w:jc w:val="both"/>
        <w:rPr>
          <w:rFonts w:ascii="Arial" w:hAnsi="Arial" w:cs="Arial"/>
          <w:b/>
          <w:bCs/>
          <w:sz w:val="24"/>
          <w:szCs w:val="24"/>
        </w:rPr>
      </w:pPr>
    </w:p>
    <w:p w14:paraId="1E682D01" w14:textId="2606CC73" w:rsidR="00AB0093" w:rsidRPr="00AB0093" w:rsidRDefault="007B1377" w:rsidP="007B1377">
      <w:pPr>
        <w:spacing w:line="360" w:lineRule="auto"/>
        <w:jc w:val="center"/>
        <w:rPr>
          <w:rFonts w:ascii="Arial" w:hAnsi="Arial" w:cs="Arial"/>
          <w:b/>
          <w:bCs/>
          <w:sz w:val="28"/>
          <w:szCs w:val="28"/>
          <w:u w:val="single"/>
        </w:rPr>
      </w:pPr>
      <w:r w:rsidRPr="007B1377">
        <w:rPr>
          <w:rFonts w:ascii="Arial" w:hAnsi="Arial" w:cs="Arial"/>
          <w:b/>
          <w:bCs/>
          <w:sz w:val="28"/>
          <w:szCs w:val="28"/>
          <w:u w:val="single"/>
        </w:rPr>
        <w:t>Recommendation</w:t>
      </w:r>
    </w:p>
    <w:p w14:paraId="1D93487F" w14:textId="7264F0F4" w:rsidR="00AB0093" w:rsidRPr="00AB0093" w:rsidRDefault="00BE338D" w:rsidP="00074254">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5FF9B28F" wp14:editId="3D9A3437">
            <wp:simplePos x="0" y="0"/>
            <wp:positionH relativeFrom="margin">
              <wp:align>left</wp:align>
            </wp:positionH>
            <wp:positionV relativeFrom="paragraph">
              <wp:posOffset>504825</wp:posOffset>
            </wp:positionV>
            <wp:extent cx="2962275" cy="2771775"/>
            <wp:effectExtent l="0" t="0" r="9525" b="9525"/>
            <wp:wrapSquare wrapText="bothSides"/>
            <wp:docPr id="459113786" name="Picture 1" descr="A person sitting in a chair with a tablet in his l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13786" name="Picture 1" descr="A person sitting in a chair with a tablet in his lap&#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962275" cy="2771775"/>
                    </a:xfrm>
                    <a:prstGeom prst="rect">
                      <a:avLst/>
                    </a:prstGeom>
                  </pic:spPr>
                </pic:pic>
              </a:graphicData>
            </a:graphic>
          </wp:anchor>
        </w:drawing>
      </w:r>
      <w:r w:rsidR="00AB0093" w:rsidRPr="00AB0093">
        <w:rPr>
          <w:rFonts w:ascii="Arial" w:hAnsi="Arial" w:cs="Arial"/>
          <w:sz w:val="24"/>
          <w:szCs w:val="24"/>
        </w:rPr>
        <w:t xml:space="preserve">For </w:t>
      </w:r>
      <w:r w:rsidR="00AB0093" w:rsidRPr="00AB0093">
        <w:rPr>
          <w:rFonts w:ascii="Arial" w:hAnsi="Arial" w:cs="Arial"/>
          <w:b/>
          <w:bCs/>
          <w:sz w:val="24"/>
          <w:szCs w:val="24"/>
        </w:rPr>
        <w:t>Mandarin Oriental Hotel Group</w:t>
      </w:r>
      <w:r w:rsidR="00AB0093" w:rsidRPr="00AB0093">
        <w:rPr>
          <w:rFonts w:ascii="Arial" w:hAnsi="Arial" w:cs="Arial"/>
          <w:sz w:val="24"/>
          <w:szCs w:val="24"/>
        </w:rPr>
        <w:t xml:space="preserve">, a key recommendation is to further </w:t>
      </w:r>
      <w:r w:rsidR="008060EB" w:rsidRPr="00AB0093">
        <w:rPr>
          <w:rFonts w:ascii="Arial" w:hAnsi="Arial" w:cs="Arial"/>
          <w:sz w:val="24"/>
          <w:szCs w:val="24"/>
        </w:rPr>
        <w:t>improve</w:t>
      </w:r>
      <w:r w:rsidR="00AB0093" w:rsidRPr="00AB0093">
        <w:rPr>
          <w:rFonts w:ascii="Arial" w:hAnsi="Arial" w:cs="Arial"/>
          <w:sz w:val="24"/>
          <w:szCs w:val="24"/>
        </w:rPr>
        <w:t xml:space="preserve"> </w:t>
      </w:r>
      <w:r w:rsidR="007D2FF9">
        <w:rPr>
          <w:rFonts w:ascii="Arial" w:hAnsi="Arial" w:cs="Arial"/>
          <w:sz w:val="24"/>
          <w:szCs w:val="24"/>
        </w:rPr>
        <w:t>its</w:t>
      </w:r>
      <w:r w:rsidR="00AB0093" w:rsidRPr="00AB0093">
        <w:rPr>
          <w:rFonts w:ascii="Arial" w:hAnsi="Arial" w:cs="Arial"/>
          <w:sz w:val="24"/>
          <w:szCs w:val="24"/>
        </w:rPr>
        <w:t xml:space="preserve"> focus on digital transformation and personalized guest experiences. According </w:t>
      </w:r>
      <w:proofErr w:type="gramStart"/>
      <w:r w:rsidR="00AB0093" w:rsidRPr="00AB0093">
        <w:rPr>
          <w:rFonts w:ascii="Arial" w:hAnsi="Arial" w:cs="Arial"/>
          <w:sz w:val="24"/>
          <w:szCs w:val="24"/>
        </w:rPr>
        <w:t>to</w:t>
      </w:r>
      <w:r w:rsidRPr="00BE338D">
        <w:rPr>
          <w:noProof/>
        </w:rPr>
        <w:t xml:space="preserve"> </w:t>
      </w:r>
      <w:r w:rsidR="00AB0093" w:rsidRPr="00AB0093">
        <w:rPr>
          <w:rFonts w:ascii="Arial" w:hAnsi="Arial" w:cs="Arial"/>
          <w:sz w:val="24"/>
          <w:szCs w:val="24"/>
        </w:rPr>
        <w:t xml:space="preserve"> </w:t>
      </w:r>
      <w:proofErr w:type="spellStart"/>
      <w:r w:rsidR="00AB0093" w:rsidRPr="00AB0093">
        <w:rPr>
          <w:rFonts w:ascii="Arial" w:hAnsi="Arial" w:cs="Arial"/>
          <w:sz w:val="24"/>
          <w:szCs w:val="24"/>
        </w:rPr>
        <w:t>Busulwa</w:t>
      </w:r>
      <w:proofErr w:type="spellEnd"/>
      <w:proofErr w:type="gramEnd"/>
      <w:r w:rsidR="00AB0093" w:rsidRPr="00AB0093">
        <w:rPr>
          <w:rFonts w:ascii="Arial" w:hAnsi="Arial" w:cs="Arial"/>
          <w:sz w:val="24"/>
          <w:szCs w:val="24"/>
        </w:rPr>
        <w:t xml:space="preserve"> et al. (2022)</w:t>
      </w:r>
      <w:r w:rsidR="007D2FF9">
        <w:rPr>
          <w:rFonts w:ascii="Arial" w:hAnsi="Arial" w:cs="Arial"/>
          <w:sz w:val="24"/>
          <w:szCs w:val="24"/>
        </w:rPr>
        <w:t>,</w:t>
      </w:r>
      <w:r w:rsidR="00AB0093" w:rsidRPr="00AB0093">
        <w:rPr>
          <w:rFonts w:ascii="Arial" w:hAnsi="Arial" w:cs="Arial"/>
          <w:sz w:val="24"/>
          <w:szCs w:val="24"/>
        </w:rPr>
        <w:t xml:space="preserve"> this approach should leverage technology to offer bespoke services, aligning with the expectations of their luxury clientele. </w:t>
      </w:r>
      <w:proofErr w:type="spellStart"/>
      <w:r w:rsidR="00AB0093" w:rsidRPr="00AB0093">
        <w:rPr>
          <w:rFonts w:ascii="Arial" w:hAnsi="Arial" w:cs="Arial"/>
          <w:sz w:val="24"/>
          <w:szCs w:val="24"/>
        </w:rPr>
        <w:t>Doborjeh</w:t>
      </w:r>
      <w:proofErr w:type="spellEnd"/>
      <w:r w:rsidR="00AB0093" w:rsidRPr="00AB0093">
        <w:rPr>
          <w:rFonts w:ascii="Arial" w:hAnsi="Arial" w:cs="Arial"/>
          <w:sz w:val="24"/>
          <w:szCs w:val="24"/>
        </w:rPr>
        <w:t xml:space="preserve"> </w:t>
      </w:r>
      <w:proofErr w:type="spellStart"/>
      <w:r w:rsidR="00AB0093" w:rsidRPr="00AB0093">
        <w:rPr>
          <w:rFonts w:ascii="Arial" w:hAnsi="Arial" w:cs="Arial"/>
          <w:sz w:val="24"/>
          <w:szCs w:val="24"/>
        </w:rPr>
        <w:t>el</w:t>
      </w:r>
      <w:proofErr w:type="spellEnd"/>
      <w:r w:rsidR="00AB0093" w:rsidRPr="00AB0093">
        <w:rPr>
          <w:rFonts w:ascii="Arial" w:hAnsi="Arial" w:cs="Arial"/>
          <w:sz w:val="24"/>
          <w:szCs w:val="24"/>
        </w:rPr>
        <w:t xml:space="preserve"> al. (2022) </w:t>
      </w:r>
      <w:r w:rsidR="007D2FF9">
        <w:rPr>
          <w:rFonts w:ascii="Arial" w:hAnsi="Arial" w:cs="Arial"/>
          <w:sz w:val="24"/>
          <w:szCs w:val="24"/>
        </w:rPr>
        <w:t>state</w:t>
      </w:r>
      <w:r w:rsidR="00AB0093" w:rsidRPr="00AB0093">
        <w:rPr>
          <w:rFonts w:ascii="Arial" w:hAnsi="Arial" w:cs="Arial"/>
          <w:sz w:val="24"/>
          <w:szCs w:val="24"/>
        </w:rPr>
        <w:t xml:space="preserve"> that given the Group's strong brand presence and expansion into diverse markets, integrating advanced technologies like AI for personalized customer service and efficient operational management could significantly enhance guest satisfaction and operational efficiency. Narayan et al. (2022) Conclude that </w:t>
      </w:r>
      <w:r w:rsidR="007D2FF9">
        <w:rPr>
          <w:rFonts w:ascii="Arial" w:hAnsi="Arial" w:cs="Arial"/>
          <w:sz w:val="24"/>
          <w:szCs w:val="24"/>
        </w:rPr>
        <w:t xml:space="preserve">the </w:t>
      </w:r>
      <w:r w:rsidR="00AB0093" w:rsidRPr="00AB0093">
        <w:rPr>
          <w:rFonts w:ascii="Arial" w:hAnsi="Arial" w:cs="Arial"/>
          <w:sz w:val="24"/>
          <w:szCs w:val="24"/>
        </w:rPr>
        <w:t>tech-forward approach will not only streamline operations but also provide a competitive edge in the luxury segment, where personalized experiences are highly valued.</w:t>
      </w:r>
    </w:p>
    <w:p w14:paraId="3650EE67" w14:textId="19E6F82E" w:rsidR="00AB0093" w:rsidRPr="00AB0093" w:rsidRDefault="009B7E65" w:rsidP="00074254">
      <w:pPr>
        <w:spacing w:line="360" w:lineRule="auto"/>
        <w:jc w:val="both"/>
        <w:rPr>
          <w:rFonts w:ascii="Arial" w:hAnsi="Arial" w:cs="Arial"/>
          <w:sz w:val="24"/>
          <w:szCs w:val="24"/>
        </w:rPr>
      </w:pPr>
      <w:r>
        <w:rPr>
          <w:noProof/>
        </w:rPr>
        <w:drawing>
          <wp:anchor distT="0" distB="0" distL="114300" distR="114300" simplePos="0" relativeHeight="251667456" behindDoc="0" locked="0" layoutInCell="1" allowOverlap="1" wp14:anchorId="4F58D67A" wp14:editId="30883392">
            <wp:simplePos x="0" y="0"/>
            <wp:positionH relativeFrom="margin">
              <wp:align>right</wp:align>
            </wp:positionH>
            <wp:positionV relativeFrom="paragraph">
              <wp:posOffset>321945</wp:posOffset>
            </wp:positionV>
            <wp:extent cx="3776345" cy="1678305"/>
            <wp:effectExtent l="0" t="0" r="0" b="0"/>
            <wp:wrapSquare wrapText="bothSides"/>
            <wp:docPr id="1524555140" name="Picture 1" descr="A couple of men standing in front of a white v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555140" name="Picture 1" descr="A couple of men standing in front of a white va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776345" cy="1678305"/>
                    </a:xfrm>
                    <a:prstGeom prst="rect">
                      <a:avLst/>
                    </a:prstGeom>
                  </pic:spPr>
                </pic:pic>
              </a:graphicData>
            </a:graphic>
            <wp14:sizeRelH relativeFrom="margin">
              <wp14:pctWidth>0</wp14:pctWidth>
            </wp14:sizeRelH>
            <wp14:sizeRelV relativeFrom="margin">
              <wp14:pctHeight>0</wp14:pctHeight>
            </wp14:sizeRelV>
          </wp:anchor>
        </w:drawing>
      </w:r>
      <w:r w:rsidR="00AB0093" w:rsidRPr="00AB0093">
        <w:rPr>
          <w:rFonts w:ascii="Arial" w:hAnsi="Arial" w:cs="Arial"/>
          <w:sz w:val="24"/>
          <w:szCs w:val="24"/>
        </w:rPr>
        <w:t xml:space="preserve">For </w:t>
      </w:r>
      <w:r w:rsidR="00AB0093" w:rsidRPr="00AB0093">
        <w:rPr>
          <w:rFonts w:ascii="Arial" w:hAnsi="Arial" w:cs="Arial"/>
          <w:b/>
          <w:bCs/>
          <w:sz w:val="24"/>
          <w:szCs w:val="24"/>
        </w:rPr>
        <w:t>Premier Inn</w:t>
      </w:r>
      <w:r w:rsidR="00AB0093" w:rsidRPr="00AB0093">
        <w:rPr>
          <w:rFonts w:ascii="Arial" w:hAnsi="Arial" w:cs="Arial"/>
          <w:sz w:val="24"/>
          <w:szCs w:val="24"/>
        </w:rPr>
        <w:t xml:space="preserve">, it is recommended to continue expanding </w:t>
      </w:r>
      <w:r w:rsidR="007D2FF9">
        <w:rPr>
          <w:rFonts w:ascii="Arial" w:hAnsi="Arial" w:cs="Arial"/>
          <w:sz w:val="24"/>
          <w:szCs w:val="24"/>
        </w:rPr>
        <w:t>its</w:t>
      </w:r>
      <w:r w:rsidR="00AB0093" w:rsidRPr="00AB0093">
        <w:rPr>
          <w:rFonts w:ascii="Arial" w:hAnsi="Arial" w:cs="Arial"/>
          <w:sz w:val="24"/>
          <w:szCs w:val="24"/>
        </w:rPr>
        <w:t xml:space="preserve"> budget-friendly offerings while integrating sustainable practices. Kapoor et al (2022) </w:t>
      </w:r>
      <w:r w:rsidR="007D2FF9">
        <w:rPr>
          <w:rFonts w:ascii="Arial" w:hAnsi="Arial" w:cs="Arial"/>
          <w:sz w:val="24"/>
          <w:szCs w:val="24"/>
        </w:rPr>
        <w:t>show</w:t>
      </w:r>
      <w:r w:rsidR="00AB0093" w:rsidRPr="00AB0093">
        <w:rPr>
          <w:rFonts w:ascii="Arial" w:hAnsi="Arial" w:cs="Arial"/>
          <w:sz w:val="24"/>
          <w:szCs w:val="24"/>
        </w:rPr>
        <w:t xml:space="preserve"> how, as a leader in the budget hotel sector, Premier Inn can capitalize on the growing demand for eco-friendly travel options. </w:t>
      </w:r>
      <w:r w:rsidR="00AB0093" w:rsidRPr="00AB0093">
        <w:rPr>
          <w:rFonts w:ascii="Arial" w:hAnsi="Arial" w:cs="Arial"/>
          <w:sz w:val="24"/>
          <w:szCs w:val="24"/>
        </w:rPr>
        <w:lastRenderedPageBreak/>
        <w:t xml:space="preserve">According to Clark et </w:t>
      </w:r>
      <w:r w:rsidR="002273C1">
        <w:rPr>
          <w:rFonts w:ascii="Arial" w:hAnsi="Arial" w:cs="Arial"/>
          <w:sz w:val="24"/>
          <w:szCs w:val="24"/>
        </w:rPr>
        <w:t>al.</w:t>
      </w:r>
      <w:r w:rsidR="00AB0093" w:rsidRPr="00AB0093">
        <w:rPr>
          <w:rFonts w:ascii="Arial" w:hAnsi="Arial" w:cs="Arial"/>
          <w:sz w:val="24"/>
          <w:szCs w:val="24"/>
        </w:rPr>
        <w:t xml:space="preserve"> (2023) implementing more </w:t>
      </w:r>
      <w:r w:rsidR="00E279AB">
        <w:rPr>
          <w:noProof/>
        </w:rPr>
        <w:drawing>
          <wp:anchor distT="0" distB="0" distL="114300" distR="114300" simplePos="0" relativeHeight="251672576" behindDoc="0" locked="0" layoutInCell="1" allowOverlap="1" wp14:anchorId="0E9B1824" wp14:editId="023EB451">
            <wp:simplePos x="0" y="0"/>
            <wp:positionH relativeFrom="margin">
              <wp:align>right</wp:align>
            </wp:positionH>
            <wp:positionV relativeFrom="paragraph">
              <wp:posOffset>254000</wp:posOffset>
            </wp:positionV>
            <wp:extent cx="2059305" cy="5943600"/>
            <wp:effectExtent l="953" t="0" r="0" b="0"/>
            <wp:wrapSquare wrapText="bothSides"/>
            <wp:docPr id="698378326" name="Picture 1" descr="A plane flying through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78326" name="Picture 1" descr="A plane flying through the ai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rot="16200000">
                      <a:off x="0" y="0"/>
                      <a:ext cx="2059305" cy="5943600"/>
                    </a:xfrm>
                    <a:prstGeom prst="rect">
                      <a:avLst/>
                    </a:prstGeom>
                  </pic:spPr>
                </pic:pic>
              </a:graphicData>
            </a:graphic>
            <wp14:sizeRelH relativeFrom="margin">
              <wp14:pctWidth>0</wp14:pctWidth>
            </wp14:sizeRelH>
            <wp14:sizeRelV relativeFrom="margin">
              <wp14:pctHeight>0</wp14:pctHeight>
            </wp14:sizeRelV>
          </wp:anchor>
        </w:drawing>
      </w:r>
      <w:r w:rsidR="00AB0093" w:rsidRPr="00AB0093">
        <w:rPr>
          <w:rFonts w:ascii="Arial" w:hAnsi="Arial" w:cs="Arial"/>
          <w:sz w:val="24"/>
          <w:szCs w:val="24"/>
        </w:rPr>
        <w:t xml:space="preserve">robust sustainability measures, such as energy-efficient buildings and waste reduction programs, can attract environmentally conscious </w:t>
      </w:r>
      <w:proofErr w:type="spellStart"/>
      <w:r w:rsidR="007D2FF9">
        <w:rPr>
          <w:rFonts w:ascii="Arial" w:hAnsi="Arial" w:cs="Arial"/>
          <w:sz w:val="24"/>
          <w:szCs w:val="24"/>
        </w:rPr>
        <w:t>travellers</w:t>
      </w:r>
      <w:proofErr w:type="spellEnd"/>
      <w:r w:rsidR="00AB0093" w:rsidRPr="00AB0093">
        <w:rPr>
          <w:rFonts w:ascii="Arial" w:hAnsi="Arial" w:cs="Arial"/>
          <w:sz w:val="24"/>
          <w:szCs w:val="24"/>
        </w:rPr>
        <w:t xml:space="preserve"> and reduce operational costs. This dual strategy of budget-friendliness and sustainability will appeal to a broad customer base, ensuring long-term growth and brand loyalty in an increasingly eco-aware consumer market.</w:t>
      </w:r>
    </w:p>
    <w:p w14:paraId="59D6BD15" w14:textId="77777777" w:rsidR="00AB0093" w:rsidRPr="00AB0093" w:rsidRDefault="00AB0093" w:rsidP="00074254">
      <w:pPr>
        <w:spacing w:line="360" w:lineRule="auto"/>
        <w:jc w:val="both"/>
        <w:rPr>
          <w:rFonts w:ascii="Arial" w:hAnsi="Arial" w:cs="Arial"/>
          <w:b/>
          <w:bCs/>
          <w:sz w:val="24"/>
          <w:szCs w:val="24"/>
        </w:rPr>
      </w:pPr>
    </w:p>
    <w:p w14:paraId="61050C1C" w14:textId="77777777" w:rsidR="00E279AB" w:rsidRDefault="00E279AB" w:rsidP="00203C44">
      <w:pPr>
        <w:spacing w:line="360" w:lineRule="auto"/>
        <w:jc w:val="center"/>
        <w:rPr>
          <w:rFonts w:ascii="Arial" w:hAnsi="Arial" w:cs="Arial"/>
          <w:b/>
          <w:bCs/>
          <w:sz w:val="28"/>
          <w:szCs w:val="28"/>
          <w:u w:val="single"/>
        </w:rPr>
      </w:pPr>
    </w:p>
    <w:p w14:paraId="7A74FFFB" w14:textId="77777777" w:rsidR="00E279AB" w:rsidRDefault="00E279AB" w:rsidP="00203C44">
      <w:pPr>
        <w:spacing w:line="360" w:lineRule="auto"/>
        <w:jc w:val="center"/>
        <w:rPr>
          <w:rFonts w:ascii="Arial" w:hAnsi="Arial" w:cs="Arial"/>
          <w:b/>
          <w:bCs/>
          <w:sz w:val="28"/>
          <w:szCs w:val="28"/>
          <w:u w:val="single"/>
        </w:rPr>
      </w:pPr>
    </w:p>
    <w:p w14:paraId="1E20BC67" w14:textId="3A98294B" w:rsidR="00AB0093" w:rsidRPr="00AB0093" w:rsidRDefault="00AB0093" w:rsidP="00203C44">
      <w:pPr>
        <w:spacing w:line="360" w:lineRule="auto"/>
        <w:jc w:val="center"/>
        <w:rPr>
          <w:rFonts w:ascii="Arial" w:hAnsi="Arial" w:cs="Arial"/>
          <w:b/>
          <w:bCs/>
          <w:sz w:val="28"/>
          <w:szCs w:val="28"/>
          <w:u w:val="single"/>
        </w:rPr>
      </w:pPr>
      <w:r w:rsidRPr="00AB0093">
        <w:rPr>
          <w:rFonts w:ascii="Arial" w:hAnsi="Arial" w:cs="Arial"/>
          <w:b/>
          <w:bCs/>
          <w:sz w:val="28"/>
          <w:szCs w:val="28"/>
          <w:u w:val="single"/>
        </w:rPr>
        <w:t>Conclusion</w:t>
      </w:r>
    </w:p>
    <w:p w14:paraId="388B7202" w14:textId="181FD58A" w:rsidR="00AB0093" w:rsidRDefault="008E1CF4" w:rsidP="00074254">
      <w:pPr>
        <w:spacing w:line="360" w:lineRule="auto"/>
        <w:jc w:val="both"/>
        <w:rPr>
          <w:rFonts w:ascii="Arial" w:hAnsi="Arial" w:cs="Arial"/>
          <w:sz w:val="24"/>
          <w:szCs w:val="24"/>
        </w:rPr>
      </w:pPr>
      <w:r w:rsidRPr="008E1CF4">
        <w:rPr>
          <w:rFonts w:ascii="Arial" w:hAnsi="Arial" w:cs="Arial"/>
          <w:sz w:val="24"/>
          <w:szCs w:val="24"/>
        </w:rPr>
        <w:t xml:space="preserve">As a conclusion, Premier Inn and Mandarin Oriental Hotel Group take different approaches to financial management, which is in line with their targeted customer segments. Mandarin Oriental maintains a balance between luxury offerings and sustainable practices by leveraging its brand strength to expand globally, with a focus on luxury and high-end services. As a low-cost hotel operator, Premier Inn </w:t>
      </w:r>
      <w:proofErr w:type="spellStart"/>
      <w:r w:rsidRPr="008E1CF4">
        <w:rPr>
          <w:rFonts w:ascii="Arial" w:hAnsi="Arial" w:cs="Arial"/>
          <w:sz w:val="24"/>
          <w:szCs w:val="24"/>
        </w:rPr>
        <w:t>prioritises</w:t>
      </w:r>
      <w:proofErr w:type="spellEnd"/>
      <w:r w:rsidRPr="008E1CF4">
        <w:rPr>
          <w:rFonts w:ascii="Arial" w:hAnsi="Arial" w:cs="Arial"/>
          <w:sz w:val="24"/>
          <w:szCs w:val="24"/>
        </w:rPr>
        <w:t xml:space="preserve"> sustainability, market expansion, and cost-effectiveness to draw in a wide range of clients. The two </w:t>
      </w:r>
      <w:proofErr w:type="spellStart"/>
      <w:r w:rsidRPr="008E1CF4">
        <w:rPr>
          <w:rFonts w:ascii="Arial" w:hAnsi="Arial" w:cs="Arial"/>
          <w:sz w:val="24"/>
          <w:szCs w:val="24"/>
        </w:rPr>
        <w:t>organisations</w:t>
      </w:r>
      <w:proofErr w:type="spellEnd"/>
      <w:r w:rsidRPr="008E1CF4">
        <w:rPr>
          <w:rFonts w:ascii="Arial" w:hAnsi="Arial" w:cs="Arial"/>
          <w:sz w:val="24"/>
          <w:szCs w:val="24"/>
        </w:rPr>
        <w:t xml:space="preserve"> exhibit remarkable flexibility and strategic insight in </w:t>
      </w:r>
      <w:proofErr w:type="spellStart"/>
      <w:r w:rsidRPr="008E1CF4">
        <w:rPr>
          <w:rFonts w:ascii="Arial" w:hAnsi="Arial" w:cs="Arial"/>
          <w:sz w:val="24"/>
          <w:szCs w:val="24"/>
        </w:rPr>
        <w:t>manoeuvring</w:t>
      </w:r>
      <w:proofErr w:type="spellEnd"/>
      <w:r w:rsidRPr="008E1CF4">
        <w:rPr>
          <w:rFonts w:ascii="Arial" w:hAnsi="Arial" w:cs="Arial"/>
          <w:sz w:val="24"/>
          <w:szCs w:val="24"/>
        </w:rPr>
        <w:t xml:space="preserve"> through the ever-changing hospitality sector, underscoring the significance of customised financial plans to fulfil particular market requirements and long-term expansion goals.</w:t>
      </w:r>
    </w:p>
    <w:p w14:paraId="03499C21" w14:textId="77777777" w:rsidR="008E1CF4" w:rsidRPr="00AB0093" w:rsidRDefault="008E1CF4" w:rsidP="00074254">
      <w:pPr>
        <w:spacing w:line="360" w:lineRule="auto"/>
        <w:jc w:val="both"/>
        <w:rPr>
          <w:rFonts w:ascii="Arial" w:hAnsi="Arial" w:cs="Arial"/>
          <w:sz w:val="24"/>
          <w:szCs w:val="24"/>
        </w:rPr>
      </w:pPr>
    </w:p>
    <w:p w14:paraId="38717830" w14:textId="77777777" w:rsidR="00E279AB" w:rsidRDefault="00E279AB" w:rsidP="00E279AB">
      <w:pPr>
        <w:spacing w:line="360" w:lineRule="auto"/>
        <w:rPr>
          <w:rFonts w:ascii="Arial" w:hAnsi="Arial" w:cs="Arial"/>
          <w:sz w:val="24"/>
          <w:szCs w:val="24"/>
        </w:rPr>
      </w:pPr>
    </w:p>
    <w:p w14:paraId="4A658AF6" w14:textId="63686ED9" w:rsidR="00AB0093" w:rsidRPr="00AB0093" w:rsidRDefault="00AB0093" w:rsidP="00E279AB">
      <w:pPr>
        <w:spacing w:line="360" w:lineRule="auto"/>
        <w:jc w:val="center"/>
        <w:rPr>
          <w:rFonts w:ascii="Arial" w:hAnsi="Arial" w:cs="Arial"/>
          <w:b/>
          <w:bCs/>
          <w:sz w:val="28"/>
          <w:szCs w:val="28"/>
          <w:u w:val="single"/>
        </w:rPr>
      </w:pPr>
      <w:r w:rsidRPr="00AB0093">
        <w:rPr>
          <w:rFonts w:ascii="Arial" w:hAnsi="Arial" w:cs="Arial"/>
          <w:b/>
          <w:bCs/>
          <w:sz w:val="28"/>
          <w:szCs w:val="28"/>
          <w:u w:val="single"/>
        </w:rPr>
        <w:lastRenderedPageBreak/>
        <w:t>Reference</w:t>
      </w:r>
      <w:r w:rsidR="00E32D73" w:rsidRPr="00E32D73">
        <w:rPr>
          <w:rFonts w:ascii="Arial" w:hAnsi="Arial" w:cs="Arial"/>
          <w:b/>
          <w:bCs/>
          <w:sz w:val="28"/>
          <w:szCs w:val="28"/>
          <w:u w:val="single"/>
        </w:rPr>
        <w:t>s</w:t>
      </w:r>
    </w:p>
    <w:p w14:paraId="3490E007"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Annual Report, 2022. Mandarin </w:t>
      </w:r>
      <w:proofErr w:type="spellStart"/>
      <w:r w:rsidRPr="00AB0093">
        <w:rPr>
          <w:rFonts w:ascii="Arial" w:hAnsi="Arial" w:cs="Arial"/>
          <w:sz w:val="24"/>
          <w:szCs w:val="24"/>
        </w:rPr>
        <w:t>Orietal</w:t>
      </w:r>
      <w:proofErr w:type="spellEnd"/>
      <w:r w:rsidRPr="00AB0093">
        <w:rPr>
          <w:rFonts w:ascii="Arial" w:hAnsi="Arial" w:cs="Arial"/>
          <w:sz w:val="24"/>
          <w:szCs w:val="24"/>
        </w:rPr>
        <w:t xml:space="preserve"> International Limited. Available at: </w:t>
      </w:r>
      <w:hyperlink r:id="rId24" w:history="1">
        <w:r w:rsidRPr="00AB0093">
          <w:rPr>
            <w:rStyle w:val="Hyperlink"/>
            <w:rFonts w:ascii="Arial" w:hAnsi="Arial" w:cs="Arial"/>
            <w:sz w:val="24"/>
            <w:szCs w:val="24"/>
          </w:rPr>
          <w:t>https://photos.mandarinoriental.com/is/content/MandarinOriental/corporate-22arMOIL</w:t>
        </w:r>
      </w:hyperlink>
    </w:p>
    <w:p w14:paraId="34EF2C28"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Bas, T. and </w:t>
      </w:r>
      <w:proofErr w:type="spellStart"/>
      <w:r w:rsidRPr="00AB0093">
        <w:rPr>
          <w:rFonts w:ascii="Arial" w:hAnsi="Arial" w:cs="Arial"/>
          <w:sz w:val="24"/>
          <w:szCs w:val="24"/>
        </w:rPr>
        <w:t>Sivaprasad</w:t>
      </w:r>
      <w:proofErr w:type="spellEnd"/>
      <w:r w:rsidRPr="00AB0093">
        <w:rPr>
          <w:rFonts w:ascii="Arial" w:hAnsi="Arial" w:cs="Arial"/>
          <w:sz w:val="24"/>
          <w:szCs w:val="24"/>
        </w:rPr>
        <w:t>, S., 2022. An Exploratory Insight into the Impact of COVID-19 on the Travel and Tourism Sector: UK Evidence. </w:t>
      </w:r>
      <w:r w:rsidRPr="00AB0093">
        <w:rPr>
          <w:rFonts w:ascii="Arial" w:hAnsi="Arial" w:cs="Arial"/>
          <w:i/>
          <w:iCs/>
          <w:sz w:val="24"/>
          <w:szCs w:val="24"/>
        </w:rPr>
        <w:t xml:space="preserve">Bas, T. &amp; </w:t>
      </w:r>
      <w:proofErr w:type="spellStart"/>
      <w:r w:rsidRPr="00AB0093">
        <w:rPr>
          <w:rFonts w:ascii="Arial" w:hAnsi="Arial" w:cs="Arial"/>
          <w:i/>
          <w:iCs/>
          <w:sz w:val="24"/>
          <w:szCs w:val="24"/>
        </w:rPr>
        <w:t>Sivaprasad</w:t>
      </w:r>
      <w:proofErr w:type="spellEnd"/>
      <w:r w:rsidRPr="00AB0093">
        <w:rPr>
          <w:rFonts w:ascii="Arial" w:hAnsi="Arial" w:cs="Arial"/>
          <w:i/>
          <w:iCs/>
          <w:sz w:val="24"/>
          <w:szCs w:val="24"/>
        </w:rPr>
        <w:t xml:space="preserve">, </w:t>
      </w:r>
      <w:proofErr w:type="gramStart"/>
      <w:r w:rsidRPr="00AB0093">
        <w:rPr>
          <w:rFonts w:ascii="Arial" w:hAnsi="Arial" w:cs="Arial"/>
          <w:i/>
          <w:iCs/>
          <w:sz w:val="24"/>
          <w:szCs w:val="24"/>
        </w:rPr>
        <w:t>S.(</w:t>
      </w:r>
      <w:proofErr w:type="gramEnd"/>
      <w:r w:rsidRPr="00AB0093">
        <w:rPr>
          <w:rFonts w:ascii="Arial" w:hAnsi="Arial" w:cs="Arial"/>
          <w:i/>
          <w:iCs/>
          <w:sz w:val="24"/>
          <w:szCs w:val="24"/>
        </w:rPr>
        <w:t>2022). An exploratory insight into the impact of COVID-19 on the travel and tourism sector: UK evidence. In S. Karabulut (Ed.), Economic and Financial Analysis of Global and National Developments</w:t>
      </w:r>
      <w:r w:rsidRPr="00AB0093">
        <w:rPr>
          <w:rFonts w:ascii="Arial" w:hAnsi="Arial" w:cs="Arial"/>
          <w:sz w:val="24"/>
          <w:szCs w:val="24"/>
        </w:rPr>
        <w:t xml:space="preserve">, pp.355-369. Available at: </w:t>
      </w:r>
      <w:hyperlink r:id="rId25" w:anchor="page=364" w:history="1">
        <w:r w:rsidRPr="00AB0093">
          <w:rPr>
            <w:rStyle w:val="Hyperlink"/>
            <w:rFonts w:ascii="Arial" w:hAnsi="Arial" w:cs="Arial"/>
            <w:sz w:val="24"/>
            <w:szCs w:val="24"/>
          </w:rPr>
          <w:t>https://www.researchgate.net/profile/Serhat-Alpagut-2/publication/366192593_The_Relationship_Between_Inflation_Public_Revenues_and_Public_Expenditure_A_Panel_Analysis_on_European_Countries/links/639715bc11e9f00cda3dc1fd/The-Relationship-Between-Inflation-Public-Revenues-and-Public-Expenditure-A-Panel-Analysis-on-European-Countries.pdf#page=364</w:t>
        </w:r>
      </w:hyperlink>
    </w:p>
    <w:p w14:paraId="567DDC89"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Berners, P. and Martin, A., 2022. The Practical Guide to Achieving Customer Satisfaction in Events and Hotels. Taylor &amp; Francis.</w:t>
      </w:r>
    </w:p>
    <w:p w14:paraId="35826417"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Berry, C., 2022. </w:t>
      </w:r>
      <w:proofErr w:type="spellStart"/>
      <w:r w:rsidRPr="00AB0093">
        <w:rPr>
          <w:rFonts w:ascii="Arial" w:hAnsi="Arial" w:cs="Arial"/>
          <w:sz w:val="24"/>
          <w:szCs w:val="24"/>
        </w:rPr>
        <w:t>Equiti</w:t>
      </w:r>
      <w:proofErr w:type="spellEnd"/>
      <w:r w:rsidRPr="00AB0093">
        <w:rPr>
          <w:rFonts w:ascii="Arial" w:hAnsi="Arial" w:cs="Arial"/>
          <w:sz w:val="24"/>
          <w:szCs w:val="24"/>
        </w:rPr>
        <w:t xml:space="preserve"> Research Whitbread PLC.  Online at: </w:t>
      </w:r>
      <w:hyperlink r:id="rId26" w:history="1">
        <w:r w:rsidRPr="00AB0093">
          <w:rPr>
            <w:rStyle w:val="Hyperlink"/>
            <w:rFonts w:ascii="Arial" w:hAnsi="Arial" w:cs="Arial"/>
            <w:sz w:val="24"/>
            <w:szCs w:val="24"/>
          </w:rPr>
          <w:t>https://www.repository.utl.pt/bitstream/10400.5/27132/1/DM-CTPB-2022.pdf</w:t>
        </w:r>
      </w:hyperlink>
    </w:p>
    <w:p w14:paraId="6646848B"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t>Busulwa</w:t>
      </w:r>
      <w:proofErr w:type="spellEnd"/>
      <w:r w:rsidRPr="00AB0093">
        <w:rPr>
          <w:rFonts w:ascii="Arial" w:hAnsi="Arial" w:cs="Arial"/>
          <w:sz w:val="24"/>
          <w:szCs w:val="24"/>
        </w:rPr>
        <w:t>, R., Pickering, M. and Mao, I., 2022. Digital transformation and hospitality management competencies: Toward an integrative framework. International Journal of Hospitality Management, 102, p.103132.</w:t>
      </w:r>
    </w:p>
    <w:p w14:paraId="3A57BF8F"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t>Caillavet</w:t>
      </w:r>
      <w:proofErr w:type="spellEnd"/>
      <w:r w:rsidRPr="00AB0093">
        <w:rPr>
          <w:rFonts w:ascii="Arial" w:hAnsi="Arial" w:cs="Arial"/>
          <w:sz w:val="24"/>
          <w:szCs w:val="24"/>
        </w:rPr>
        <w:t xml:space="preserve">, 2023. Mandarin Oriental Swings to Underlying Profit as Revenue Tops Pre-Covid Levels. Available at: </w:t>
      </w:r>
      <w:hyperlink r:id="rId27" w:history="1">
        <w:r w:rsidRPr="00AB0093">
          <w:rPr>
            <w:rStyle w:val="Hyperlink"/>
            <w:rFonts w:ascii="Arial" w:hAnsi="Arial" w:cs="Arial"/>
            <w:sz w:val="24"/>
            <w:szCs w:val="24"/>
          </w:rPr>
          <w:t>https://www.mingtiandi.com/real-estate/finance/mandarin-oriental-swings-to-underlying-profit-in-2022/</w:t>
        </w:r>
      </w:hyperlink>
    </w:p>
    <w:p w14:paraId="535C9C7A"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Clark, M., Kang, </w:t>
      </w:r>
      <w:proofErr w:type="gramStart"/>
      <w:r w:rsidRPr="00AB0093">
        <w:rPr>
          <w:rFonts w:ascii="Arial" w:hAnsi="Arial" w:cs="Arial"/>
          <w:sz w:val="24"/>
          <w:szCs w:val="24"/>
        </w:rPr>
        <w:t>B.</w:t>
      </w:r>
      <w:proofErr w:type="gramEnd"/>
      <w:r w:rsidRPr="00AB0093">
        <w:rPr>
          <w:rFonts w:ascii="Arial" w:hAnsi="Arial" w:cs="Arial"/>
          <w:sz w:val="24"/>
          <w:szCs w:val="24"/>
        </w:rPr>
        <w:t xml:space="preserve"> and Calhoun, J.R., 2023. Green meets social media: young travelers’ perceptions of hotel environmental sustainability. Journal of Hospitality and Tourism Insights, 6(1), pp.36-51. </w:t>
      </w:r>
    </w:p>
    <w:p w14:paraId="22EBD1C2"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lastRenderedPageBreak/>
        <w:t>Doborjeh</w:t>
      </w:r>
      <w:proofErr w:type="spellEnd"/>
      <w:r w:rsidRPr="00AB0093">
        <w:rPr>
          <w:rFonts w:ascii="Arial" w:hAnsi="Arial" w:cs="Arial"/>
          <w:sz w:val="24"/>
          <w:szCs w:val="24"/>
        </w:rPr>
        <w:t xml:space="preserve">, Z., Hemmington, N., </w:t>
      </w:r>
      <w:proofErr w:type="spellStart"/>
      <w:r w:rsidRPr="00AB0093">
        <w:rPr>
          <w:rFonts w:ascii="Arial" w:hAnsi="Arial" w:cs="Arial"/>
          <w:sz w:val="24"/>
          <w:szCs w:val="24"/>
        </w:rPr>
        <w:t>Doborjeh</w:t>
      </w:r>
      <w:proofErr w:type="spellEnd"/>
      <w:r w:rsidRPr="00AB0093">
        <w:rPr>
          <w:rFonts w:ascii="Arial" w:hAnsi="Arial" w:cs="Arial"/>
          <w:sz w:val="24"/>
          <w:szCs w:val="24"/>
        </w:rPr>
        <w:t xml:space="preserve">, M. and </w:t>
      </w:r>
      <w:proofErr w:type="spellStart"/>
      <w:r w:rsidRPr="00AB0093">
        <w:rPr>
          <w:rFonts w:ascii="Arial" w:hAnsi="Arial" w:cs="Arial"/>
          <w:sz w:val="24"/>
          <w:szCs w:val="24"/>
        </w:rPr>
        <w:t>Kasabov</w:t>
      </w:r>
      <w:proofErr w:type="spellEnd"/>
      <w:r w:rsidRPr="00AB0093">
        <w:rPr>
          <w:rFonts w:ascii="Arial" w:hAnsi="Arial" w:cs="Arial"/>
          <w:sz w:val="24"/>
          <w:szCs w:val="24"/>
        </w:rPr>
        <w:t xml:space="preserve">, N., 2022. Artificial intelligence: a systematic review of methods and applications in hospitality and tourism. International Journal of Contemporary Hospitality Management, 34(3), pp.1154-1176. Available at: </w:t>
      </w:r>
      <w:hyperlink r:id="rId28" w:history="1">
        <w:r w:rsidRPr="00AB0093">
          <w:rPr>
            <w:rStyle w:val="Hyperlink"/>
            <w:rFonts w:ascii="Arial" w:hAnsi="Arial" w:cs="Arial"/>
            <w:sz w:val="24"/>
            <w:szCs w:val="24"/>
          </w:rPr>
          <w:t>https://pure.ulster.ac.uk/ws/files/98492847/Zohreh_et_al_AI_in_Tourism_Main_Manuscript_accepted_version_.pdf</w:t>
        </w:r>
      </w:hyperlink>
    </w:p>
    <w:p w14:paraId="4BDAC65C"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Gupta, J. and Das, N., 2022. Multidimensional corporate social responsibility disclosure and financial performance: A meta</w:t>
      </w:r>
      <w:r w:rsidRPr="00AB0093">
        <w:rPr>
          <w:rFonts w:ascii="Cambria Math" w:hAnsi="Cambria Math" w:cs="Cambria Math"/>
          <w:sz w:val="24"/>
          <w:szCs w:val="24"/>
        </w:rPr>
        <w:t>‐</w:t>
      </w:r>
      <w:r w:rsidRPr="00AB0093">
        <w:rPr>
          <w:rFonts w:ascii="Arial" w:hAnsi="Arial" w:cs="Arial"/>
          <w:sz w:val="24"/>
          <w:szCs w:val="24"/>
        </w:rPr>
        <w:t>analytical review. Corporate Social Responsibility and Environmental Management, 29(4), pp.731-748.</w:t>
      </w:r>
    </w:p>
    <w:p w14:paraId="22F88AD2"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Gursoy, D., Buttle, F., Bowie, D., 2022. Hospitality Marketing. Principles and Practice. Fourth Edition. Online Available at: </w:t>
      </w:r>
      <w:hyperlink r:id="rId29" w:history="1">
        <w:r w:rsidRPr="00AB0093">
          <w:rPr>
            <w:rStyle w:val="Hyperlink"/>
            <w:rFonts w:ascii="Arial" w:hAnsi="Arial" w:cs="Arial"/>
            <w:sz w:val="24"/>
            <w:szCs w:val="24"/>
          </w:rPr>
          <w:t>https://www.researchgate.net/profile/Francis-Buttle/publication/290448158_Hospitality_Marketing_Principles_and_Practices/links/63ae174bc3c99660ebb38331/Hospitality-Marketing-Principles-and-Practices.pdf</w:t>
        </w:r>
      </w:hyperlink>
    </w:p>
    <w:p w14:paraId="33F25423"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Kapoor, P.S., Balaji, M.S., Jiang, Y. and </w:t>
      </w:r>
      <w:proofErr w:type="spellStart"/>
      <w:r w:rsidRPr="00AB0093">
        <w:rPr>
          <w:rFonts w:ascii="Arial" w:hAnsi="Arial" w:cs="Arial"/>
          <w:sz w:val="24"/>
          <w:szCs w:val="24"/>
        </w:rPr>
        <w:t>Jebarajakirthy</w:t>
      </w:r>
      <w:proofErr w:type="spellEnd"/>
      <w:r w:rsidRPr="00AB0093">
        <w:rPr>
          <w:rFonts w:ascii="Arial" w:hAnsi="Arial" w:cs="Arial"/>
          <w:sz w:val="24"/>
          <w:szCs w:val="24"/>
        </w:rPr>
        <w:t>, C., 2022. Effectiveness of travel social media influencers: A case of eco-friendly hotels. </w:t>
      </w:r>
      <w:r w:rsidRPr="00AB0093">
        <w:rPr>
          <w:rFonts w:ascii="Arial" w:hAnsi="Arial" w:cs="Arial"/>
          <w:i/>
          <w:iCs/>
          <w:sz w:val="24"/>
          <w:szCs w:val="24"/>
        </w:rPr>
        <w:t>Journal of travel research</w:t>
      </w:r>
      <w:r w:rsidRPr="00AB0093">
        <w:rPr>
          <w:rFonts w:ascii="Arial" w:hAnsi="Arial" w:cs="Arial"/>
          <w:sz w:val="24"/>
          <w:szCs w:val="24"/>
        </w:rPr>
        <w:t>, </w:t>
      </w:r>
      <w:r w:rsidRPr="00AB0093">
        <w:rPr>
          <w:rFonts w:ascii="Arial" w:hAnsi="Arial" w:cs="Arial"/>
          <w:i/>
          <w:iCs/>
          <w:sz w:val="24"/>
          <w:szCs w:val="24"/>
        </w:rPr>
        <w:t>61</w:t>
      </w:r>
      <w:r w:rsidRPr="00AB0093">
        <w:rPr>
          <w:rFonts w:ascii="Arial" w:hAnsi="Arial" w:cs="Arial"/>
          <w:sz w:val="24"/>
          <w:szCs w:val="24"/>
        </w:rPr>
        <w:t>(5), pp.1138-1155.</w:t>
      </w:r>
    </w:p>
    <w:p w14:paraId="72927EE1"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Mandarin Oriental Group, 2017. Mandarin Oriental International Limited 2016 Preliminary Announcement of Results. Online Available at: </w:t>
      </w:r>
      <w:hyperlink r:id="rId30" w:history="1">
        <w:r w:rsidRPr="00AB0093">
          <w:rPr>
            <w:rStyle w:val="Hyperlink"/>
            <w:rFonts w:ascii="Arial" w:hAnsi="Arial" w:cs="Arial"/>
            <w:sz w:val="24"/>
            <w:szCs w:val="24"/>
          </w:rPr>
          <w:t>https://www.bsx.com/CompanyDocuments/132/Mandarin%20Oriental%20Preliminary%20Results%20%20Q4%202016.pdf</w:t>
        </w:r>
      </w:hyperlink>
    </w:p>
    <w:p w14:paraId="791A7878"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t>Milindi</w:t>
      </w:r>
      <w:proofErr w:type="spellEnd"/>
      <w:r w:rsidRPr="00AB0093">
        <w:rPr>
          <w:rFonts w:ascii="Arial" w:hAnsi="Arial" w:cs="Arial"/>
          <w:sz w:val="24"/>
          <w:szCs w:val="24"/>
        </w:rPr>
        <w:t xml:space="preserve">, P.S., De Lieto, F. and Chopra, S.S., 2022. Food waste-Energy-Water-Emissions (FEWE) nexus in the food service sector: Comparing a restaurant meal from imported ingredients versus an imported ready-to-eat meal. Journal of Cleaner Production, 380, p.134871. Available at: </w:t>
      </w:r>
      <w:hyperlink r:id="rId31" w:tgtFrame="_blank" w:tooltip="Persistent link using digital object identifier" w:history="1">
        <w:r w:rsidRPr="00AB0093">
          <w:rPr>
            <w:rStyle w:val="Hyperlink"/>
            <w:rFonts w:ascii="Arial" w:hAnsi="Arial" w:cs="Arial"/>
            <w:sz w:val="24"/>
            <w:szCs w:val="24"/>
          </w:rPr>
          <w:t>https://doi.org/10.1016/j.jclepro.2022.134871</w:t>
        </w:r>
      </w:hyperlink>
    </w:p>
    <w:p w14:paraId="078C81D1"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Nakay, A., 2023. Sustainable </w:t>
      </w:r>
      <w:proofErr w:type="spellStart"/>
      <w:r w:rsidRPr="00AB0093">
        <w:rPr>
          <w:rFonts w:ascii="Arial" w:hAnsi="Arial" w:cs="Arial"/>
          <w:sz w:val="24"/>
          <w:szCs w:val="24"/>
        </w:rPr>
        <w:t>Initiativ</w:t>
      </w:r>
      <w:proofErr w:type="spellEnd"/>
      <w:r w:rsidRPr="00AB0093">
        <w:rPr>
          <w:rFonts w:ascii="Arial" w:hAnsi="Arial" w:cs="Arial"/>
          <w:sz w:val="24"/>
          <w:szCs w:val="24"/>
        </w:rPr>
        <w:t xml:space="preserve"> Sustainable Initiatives of F es of Forbes </w:t>
      </w:r>
      <w:proofErr w:type="spellStart"/>
      <w:r w:rsidRPr="00AB0093">
        <w:rPr>
          <w:rFonts w:ascii="Arial" w:hAnsi="Arial" w:cs="Arial"/>
          <w:sz w:val="24"/>
          <w:szCs w:val="24"/>
        </w:rPr>
        <w:t>Fiv</w:t>
      </w:r>
      <w:proofErr w:type="spellEnd"/>
      <w:r w:rsidRPr="00AB0093">
        <w:rPr>
          <w:rFonts w:ascii="Arial" w:hAnsi="Arial" w:cs="Arial"/>
          <w:sz w:val="24"/>
          <w:szCs w:val="24"/>
        </w:rPr>
        <w:t xml:space="preserve"> </w:t>
      </w:r>
      <w:proofErr w:type="spellStart"/>
      <w:r w:rsidRPr="00AB0093">
        <w:rPr>
          <w:rFonts w:ascii="Arial" w:hAnsi="Arial" w:cs="Arial"/>
          <w:sz w:val="24"/>
          <w:szCs w:val="24"/>
        </w:rPr>
        <w:t>orbes</w:t>
      </w:r>
      <w:proofErr w:type="spellEnd"/>
      <w:r w:rsidRPr="00AB0093">
        <w:rPr>
          <w:rFonts w:ascii="Arial" w:hAnsi="Arial" w:cs="Arial"/>
          <w:sz w:val="24"/>
          <w:szCs w:val="24"/>
        </w:rPr>
        <w:t xml:space="preserve"> Five-star hotels in T e-star hotels in </w:t>
      </w:r>
      <w:proofErr w:type="gramStart"/>
      <w:r w:rsidRPr="00AB0093">
        <w:rPr>
          <w:rFonts w:ascii="Arial" w:hAnsi="Arial" w:cs="Arial"/>
          <w:sz w:val="24"/>
          <w:szCs w:val="24"/>
        </w:rPr>
        <w:t>Tokyo :</w:t>
      </w:r>
      <w:proofErr w:type="gramEnd"/>
      <w:r w:rsidRPr="00AB0093">
        <w:rPr>
          <w:rFonts w:ascii="Arial" w:hAnsi="Arial" w:cs="Arial"/>
          <w:sz w:val="24"/>
          <w:szCs w:val="24"/>
        </w:rPr>
        <w:t xml:space="preserve"> Balancing Sustainability and </w:t>
      </w:r>
      <w:r w:rsidRPr="00AB0093">
        <w:rPr>
          <w:rFonts w:ascii="Arial" w:hAnsi="Arial" w:cs="Arial"/>
          <w:sz w:val="24"/>
          <w:szCs w:val="24"/>
        </w:rPr>
        <w:lastRenderedPageBreak/>
        <w:t xml:space="preserve">Average Customer Spending under COVID-19. Online Available at: </w:t>
      </w:r>
      <w:hyperlink r:id="rId32" w:history="1">
        <w:r w:rsidRPr="00AB0093">
          <w:rPr>
            <w:rStyle w:val="Hyperlink"/>
            <w:rFonts w:ascii="Arial" w:hAnsi="Arial" w:cs="Arial"/>
            <w:sz w:val="24"/>
            <w:szCs w:val="24"/>
          </w:rPr>
          <w:t>https://scholarworks.umass.edu/cgi/viewcontent.cgi?article=2857&amp;context=ttra</w:t>
        </w:r>
      </w:hyperlink>
    </w:p>
    <w:p w14:paraId="345CE9E5"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Narayan, R., Gehlot, A., Singh, R., Akram, S.V., Priyadarshi, N. and Twala, B., 2022. Hospitality Feedback System 4.0: Digitalization of Feedback System with Integration of Industry 4.0 Enabling Technologies. Sustainability, 14(19), p.12158. Online Available at: </w:t>
      </w:r>
      <w:hyperlink r:id="rId33" w:history="1">
        <w:r w:rsidRPr="00AB0093">
          <w:rPr>
            <w:rStyle w:val="Hyperlink"/>
            <w:rFonts w:ascii="Arial" w:hAnsi="Arial" w:cs="Arial"/>
            <w:sz w:val="24"/>
            <w:szCs w:val="24"/>
          </w:rPr>
          <w:t>https://www.mdpi.com/2071-1050/14/19/12158/pdf</w:t>
        </w:r>
      </w:hyperlink>
    </w:p>
    <w:p w14:paraId="6B85CE28"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O’Neill, S., 2023. Premier Inn to Expand Budget Hotel Empire in Germany Through Acquisitions. Skift. Available on website: </w:t>
      </w:r>
      <w:hyperlink r:id="rId34" w:history="1">
        <w:r w:rsidRPr="00AB0093">
          <w:rPr>
            <w:rStyle w:val="Hyperlink"/>
            <w:rFonts w:ascii="Arial" w:hAnsi="Arial" w:cs="Arial"/>
            <w:sz w:val="24"/>
            <w:szCs w:val="24"/>
          </w:rPr>
          <w:t>https://skift.com/2023/04/25/premier-inn-to-expand-budget-hotel-empire-in-germany-through-acquisitions/</w:t>
        </w:r>
      </w:hyperlink>
    </w:p>
    <w:p w14:paraId="0742B7D1"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t>Raditia</w:t>
      </w:r>
      <w:proofErr w:type="spellEnd"/>
      <w:r w:rsidRPr="00AB0093">
        <w:rPr>
          <w:rFonts w:ascii="Arial" w:hAnsi="Arial" w:cs="Arial"/>
          <w:sz w:val="24"/>
          <w:szCs w:val="24"/>
        </w:rPr>
        <w:t xml:space="preserve">, W. and </w:t>
      </w:r>
      <w:proofErr w:type="spellStart"/>
      <w:r w:rsidRPr="00AB0093">
        <w:rPr>
          <w:rFonts w:ascii="Arial" w:hAnsi="Arial" w:cs="Arial"/>
          <w:sz w:val="24"/>
          <w:szCs w:val="24"/>
        </w:rPr>
        <w:t>Mularsari</w:t>
      </w:r>
      <w:proofErr w:type="spellEnd"/>
      <w:r w:rsidRPr="00AB0093">
        <w:rPr>
          <w:rFonts w:ascii="Arial" w:hAnsi="Arial" w:cs="Arial"/>
          <w:sz w:val="24"/>
          <w:szCs w:val="24"/>
        </w:rPr>
        <w:t xml:space="preserve">, A., 2022. PENTINGNYA KOMUNIKASI BERBAHASA INGGRIS KEPADA TAMU DI BANQUET SERVICE HOTEL MANDARIN ORIENTAL JAKARTA. Media Bina </w:t>
      </w:r>
      <w:proofErr w:type="spellStart"/>
      <w:r w:rsidRPr="00AB0093">
        <w:rPr>
          <w:rFonts w:ascii="Arial" w:hAnsi="Arial" w:cs="Arial"/>
          <w:sz w:val="24"/>
          <w:szCs w:val="24"/>
        </w:rPr>
        <w:t>Ilmiah</w:t>
      </w:r>
      <w:proofErr w:type="spellEnd"/>
      <w:r w:rsidRPr="00AB0093">
        <w:rPr>
          <w:rFonts w:ascii="Arial" w:hAnsi="Arial" w:cs="Arial"/>
          <w:sz w:val="24"/>
          <w:szCs w:val="24"/>
        </w:rPr>
        <w:t xml:space="preserve">, 17(5), pp.945-954. Available at: </w:t>
      </w:r>
      <w:hyperlink r:id="rId35" w:history="1">
        <w:r w:rsidRPr="00AB0093">
          <w:rPr>
            <w:rStyle w:val="Hyperlink"/>
            <w:rFonts w:ascii="Arial" w:hAnsi="Arial" w:cs="Arial"/>
            <w:sz w:val="24"/>
            <w:szCs w:val="24"/>
          </w:rPr>
          <w:t>https://binapatria.id/index.php/MBI/article/download/211/172</w:t>
        </w:r>
      </w:hyperlink>
    </w:p>
    <w:p w14:paraId="259273F7"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Ward, E.R., 2023. </w:t>
      </w:r>
      <w:proofErr w:type="spellStart"/>
      <w:r w:rsidRPr="00AB0093">
        <w:rPr>
          <w:rFonts w:ascii="Arial" w:hAnsi="Arial" w:cs="Arial"/>
          <w:i/>
          <w:iCs/>
          <w:sz w:val="24"/>
          <w:szCs w:val="24"/>
        </w:rPr>
        <w:t>Hubbing</w:t>
      </w:r>
      <w:proofErr w:type="spellEnd"/>
      <w:r w:rsidRPr="00AB0093">
        <w:rPr>
          <w:rFonts w:ascii="Arial" w:hAnsi="Arial" w:cs="Arial"/>
          <w:i/>
          <w:iCs/>
          <w:sz w:val="24"/>
          <w:szCs w:val="24"/>
        </w:rPr>
        <w:t xml:space="preserve"> for Tourists: Airports, Hotels and Tourism Development in the Indo-Pacific, 1934–2019</w:t>
      </w:r>
      <w:r w:rsidRPr="00AB0093">
        <w:rPr>
          <w:rFonts w:ascii="Arial" w:hAnsi="Arial" w:cs="Arial"/>
          <w:sz w:val="24"/>
          <w:szCs w:val="24"/>
        </w:rPr>
        <w:t>. Walter de Gruyter GmbH &amp; Co KG.</w:t>
      </w:r>
    </w:p>
    <w:p w14:paraId="7E77968E" w14:textId="77777777" w:rsidR="00AB0093" w:rsidRPr="00AB0093" w:rsidRDefault="00AB0093" w:rsidP="00074254">
      <w:pPr>
        <w:numPr>
          <w:ilvl w:val="0"/>
          <w:numId w:val="4"/>
        </w:numPr>
        <w:spacing w:line="360" w:lineRule="auto"/>
        <w:jc w:val="both"/>
        <w:rPr>
          <w:rFonts w:ascii="Arial" w:hAnsi="Arial" w:cs="Arial"/>
          <w:sz w:val="24"/>
          <w:szCs w:val="24"/>
        </w:rPr>
      </w:pPr>
      <w:r w:rsidRPr="00AB0093">
        <w:rPr>
          <w:rFonts w:ascii="Arial" w:hAnsi="Arial" w:cs="Arial"/>
          <w:sz w:val="24"/>
          <w:szCs w:val="24"/>
        </w:rPr>
        <w:t xml:space="preserve">Whitbread PLC, 2022. Rest Easy with Premier Inn. Available at: </w:t>
      </w:r>
      <w:hyperlink r:id="rId36" w:history="1">
        <w:r w:rsidRPr="00AB0093">
          <w:rPr>
            <w:rStyle w:val="Hyperlink"/>
            <w:rFonts w:ascii="Arial" w:hAnsi="Arial" w:cs="Arial"/>
            <w:sz w:val="24"/>
            <w:szCs w:val="24"/>
          </w:rPr>
          <w:t>https://www.annualreports.com/Click/23984</w:t>
        </w:r>
      </w:hyperlink>
    </w:p>
    <w:p w14:paraId="4CD7BEE5"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t>Withbread</w:t>
      </w:r>
      <w:proofErr w:type="spellEnd"/>
      <w:r w:rsidRPr="00AB0093">
        <w:rPr>
          <w:rFonts w:ascii="Arial" w:hAnsi="Arial" w:cs="Arial"/>
          <w:sz w:val="24"/>
          <w:szCs w:val="24"/>
        </w:rPr>
        <w:t xml:space="preserve"> PLC, 2022. Being A Force </w:t>
      </w:r>
      <w:proofErr w:type="gramStart"/>
      <w:r w:rsidRPr="00AB0093">
        <w:rPr>
          <w:rFonts w:ascii="Arial" w:hAnsi="Arial" w:cs="Arial"/>
          <w:sz w:val="24"/>
          <w:szCs w:val="24"/>
        </w:rPr>
        <w:t>For</w:t>
      </w:r>
      <w:proofErr w:type="gramEnd"/>
      <w:r w:rsidRPr="00AB0093">
        <w:rPr>
          <w:rFonts w:ascii="Arial" w:hAnsi="Arial" w:cs="Arial"/>
          <w:sz w:val="24"/>
          <w:szCs w:val="24"/>
        </w:rPr>
        <w:t xml:space="preserve"> Good. Available at: </w:t>
      </w:r>
      <w:hyperlink r:id="rId37" w:history="1">
        <w:r w:rsidRPr="00AB0093">
          <w:rPr>
            <w:rStyle w:val="Hyperlink"/>
            <w:rFonts w:ascii="Arial" w:hAnsi="Arial" w:cs="Arial"/>
            <w:sz w:val="24"/>
            <w:szCs w:val="24"/>
          </w:rPr>
          <w:t>https://www.premierinn.com/content/dam/pi/websites/desktop/why/force%20for%20good/final-esg-report-2021-2022.pdf</w:t>
        </w:r>
      </w:hyperlink>
    </w:p>
    <w:p w14:paraId="0BC33408" w14:textId="77777777" w:rsidR="00AB0093" w:rsidRPr="00AB0093" w:rsidRDefault="00AB0093" w:rsidP="00074254">
      <w:pPr>
        <w:numPr>
          <w:ilvl w:val="0"/>
          <w:numId w:val="4"/>
        </w:numPr>
        <w:spacing w:line="360" w:lineRule="auto"/>
        <w:jc w:val="both"/>
        <w:rPr>
          <w:rFonts w:ascii="Arial" w:hAnsi="Arial" w:cs="Arial"/>
          <w:sz w:val="24"/>
          <w:szCs w:val="24"/>
        </w:rPr>
      </w:pPr>
      <w:proofErr w:type="spellStart"/>
      <w:r w:rsidRPr="00AB0093">
        <w:rPr>
          <w:rFonts w:ascii="Arial" w:hAnsi="Arial" w:cs="Arial"/>
          <w:sz w:val="24"/>
          <w:szCs w:val="24"/>
        </w:rPr>
        <w:t>Withbread</w:t>
      </w:r>
      <w:proofErr w:type="spellEnd"/>
      <w:r w:rsidRPr="00AB0093">
        <w:rPr>
          <w:rFonts w:ascii="Arial" w:hAnsi="Arial" w:cs="Arial"/>
          <w:sz w:val="24"/>
          <w:szCs w:val="24"/>
        </w:rPr>
        <w:t xml:space="preserve"> PLC, 2023. Preliminary Results Announcement. Online Available at: </w:t>
      </w:r>
      <w:hyperlink r:id="rId38" w:history="1">
        <w:r w:rsidRPr="00AB0093">
          <w:rPr>
            <w:rStyle w:val="Hyperlink"/>
            <w:rFonts w:ascii="Arial" w:hAnsi="Arial" w:cs="Arial"/>
            <w:sz w:val="24"/>
            <w:szCs w:val="24"/>
          </w:rPr>
          <w:t>https://www.londonstockexchange.com/news-article/WTB/preliminary-results-announcement/15929617</w:t>
        </w:r>
      </w:hyperlink>
    </w:p>
    <w:p w14:paraId="5AAFCC67" w14:textId="77777777" w:rsidR="00AB0093" w:rsidRPr="00AB0093" w:rsidRDefault="00AB0093" w:rsidP="00074254">
      <w:pPr>
        <w:spacing w:line="360" w:lineRule="auto"/>
        <w:jc w:val="both"/>
        <w:rPr>
          <w:rFonts w:ascii="Arial" w:hAnsi="Arial" w:cs="Arial"/>
          <w:b/>
          <w:bCs/>
          <w:sz w:val="24"/>
          <w:szCs w:val="24"/>
        </w:rPr>
      </w:pPr>
    </w:p>
    <w:p w14:paraId="70086591" w14:textId="77777777" w:rsidR="00E7754A" w:rsidRPr="00074254" w:rsidRDefault="00E7754A" w:rsidP="00074254">
      <w:pPr>
        <w:spacing w:line="360" w:lineRule="auto"/>
        <w:jc w:val="both"/>
        <w:rPr>
          <w:rFonts w:ascii="Arial" w:hAnsi="Arial" w:cs="Arial"/>
          <w:sz w:val="24"/>
          <w:szCs w:val="24"/>
        </w:rPr>
      </w:pPr>
    </w:p>
    <w:sectPr w:rsidR="00E7754A" w:rsidRPr="000742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9702F" w14:textId="77777777" w:rsidR="004D0402" w:rsidRDefault="004D0402" w:rsidP="00A76A8F">
      <w:pPr>
        <w:spacing w:after="0" w:line="240" w:lineRule="auto"/>
      </w:pPr>
      <w:r>
        <w:separator/>
      </w:r>
    </w:p>
  </w:endnote>
  <w:endnote w:type="continuationSeparator" w:id="0">
    <w:p w14:paraId="789B16D4" w14:textId="77777777" w:rsidR="004D0402" w:rsidRDefault="004D0402" w:rsidP="00A76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0DA2C" w14:textId="77777777" w:rsidR="004D0402" w:rsidRDefault="004D0402" w:rsidP="00A76A8F">
      <w:pPr>
        <w:spacing w:after="0" w:line="240" w:lineRule="auto"/>
      </w:pPr>
      <w:r>
        <w:separator/>
      </w:r>
    </w:p>
  </w:footnote>
  <w:footnote w:type="continuationSeparator" w:id="0">
    <w:p w14:paraId="247C6A5C" w14:textId="77777777" w:rsidR="004D0402" w:rsidRDefault="004D0402" w:rsidP="00A76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4E92"/>
    <w:multiLevelType w:val="hybridMultilevel"/>
    <w:tmpl w:val="3D5416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3E2594"/>
    <w:multiLevelType w:val="multilevel"/>
    <w:tmpl w:val="496C09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F83061"/>
    <w:multiLevelType w:val="multilevel"/>
    <w:tmpl w:val="496C09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804898"/>
    <w:multiLevelType w:val="multilevel"/>
    <w:tmpl w:val="5002D8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5422190">
    <w:abstractNumId w:val="2"/>
  </w:num>
  <w:num w:numId="2" w16cid:durableId="1348024787">
    <w:abstractNumId w:val="1"/>
  </w:num>
  <w:num w:numId="3" w16cid:durableId="953705409">
    <w:abstractNumId w:val="3"/>
  </w:num>
  <w:num w:numId="4" w16cid:durableId="1318218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708"/>
    <w:rsid w:val="00004388"/>
    <w:rsid w:val="000331E1"/>
    <w:rsid w:val="00035B2E"/>
    <w:rsid w:val="00035E96"/>
    <w:rsid w:val="0005018F"/>
    <w:rsid w:val="00053A9A"/>
    <w:rsid w:val="00060B15"/>
    <w:rsid w:val="00074254"/>
    <w:rsid w:val="0007782A"/>
    <w:rsid w:val="000B1E38"/>
    <w:rsid w:val="000D09D6"/>
    <w:rsid w:val="000E208C"/>
    <w:rsid w:val="000E2DBA"/>
    <w:rsid w:val="00101179"/>
    <w:rsid w:val="001136B5"/>
    <w:rsid w:val="00143BF7"/>
    <w:rsid w:val="00145BF5"/>
    <w:rsid w:val="00146507"/>
    <w:rsid w:val="00181B03"/>
    <w:rsid w:val="00182781"/>
    <w:rsid w:val="00184F69"/>
    <w:rsid w:val="0019064A"/>
    <w:rsid w:val="00190713"/>
    <w:rsid w:val="001B4B3C"/>
    <w:rsid w:val="001C679C"/>
    <w:rsid w:val="001D15EF"/>
    <w:rsid w:val="001F5432"/>
    <w:rsid w:val="00203C44"/>
    <w:rsid w:val="00206111"/>
    <w:rsid w:val="00212A4A"/>
    <w:rsid w:val="002273C1"/>
    <w:rsid w:val="00231079"/>
    <w:rsid w:val="002326A1"/>
    <w:rsid w:val="00233548"/>
    <w:rsid w:val="002515C8"/>
    <w:rsid w:val="00255B28"/>
    <w:rsid w:val="00281CB9"/>
    <w:rsid w:val="002D10C0"/>
    <w:rsid w:val="002D2FDA"/>
    <w:rsid w:val="002F2C46"/>
    <w:rsid w:val="0031476D"/>
    <w:rsid w:val="0033763B"/>
    <w:rsid w:val="00344F53"/>
    <w:rsid w:val="00351C1F"/>
    <w:rsid w:val="00357A46"/>
    <w:rsid w:val="00357BCA"/>
    <w:rsid w:val="00367BF7"/>
    <w:rsid w:val="00377FED"/>
    <w:rsid w:val="00393E67"/>
    <w:rsid w:val="003D5A6C"/>
    <w:rsid w:val="003E2467"/>
    <w:rsid w:val="004314FE"/>
    <w:rsid w:val="00444925"/>
    <w:rsid w:val="0044508A"/>
    <w:rsid w:val="00455C76"/>
    <w:rsid w:val="00466C81"/>
    <w:rsid w:val="00485D4D"/>
    <w:rsid w:val="0049498A"/>
    <w:rsid w:val="004A0E46"/>
    <w:rsid w:val="004C24DA"/>
    <w:rsid w:val="004C7358"/>
    <w:rsid w:val="004D0402"/>
    <w:rsid w:val="004D4657"/>
    <w:rsid w:val="00513973"/>
    <w:rsid w:val="00530145"/>
    <w:rsid w:val="00545BAC"/>
    <w:rsid w:val="00553DDB"/>
    <w:rsid w:val="005628D3"/>
    <w:rsid w:val="005645BD"/>
    <w:rsid w:val="00565362"/>
    <w:rsid w:val="00574153"/>
    <w:rsid w:val="00575D31"/>
    <w:rsid w:val="00587F87"/>
    <w:rsid w:val="00596FF9"/>
    <w:rsid w:val="005A3C20"/>
    <w:rsid w:val="005A77B1"/>
    <w:rsid w:val="005B3177"/>
    <w:rsid w:val="005C52C4"/>
    <w:rsid w:val="005D1289"/>
    <w:rsid w:val="005D709F"/>
    <w:rsid w:val="005E3708"/>
    <w:rsid w:val="005E77BD"/>
    <w:rsid w:val="0060003F"/>
    <w:rsid w:val="00624855"/>
    <w:rsid w:val="00650802"/>
    <w:rsid w:val="00665E6D"/>
    <w:rsid w:val="006708F2"/>
    <w:rsid w:val="006A02E8"/>
    <w:rsid w:val="006A6837"/>
    <w:rsid w:val="006B178E"/>
    <w:rsid w:val="006D3834"/>
    <w:rsid w:val="006D58CA"/>
    <w:rsid w:val="006E1CEE"/>
    <w:rsid w:val="00704C8F"/>
    <w:rsid w:val="00720F2C"/>
    <w:rsid w:val="0072550C"/>
    <w:rsid w:val="0075291D"/>
    <w:rsid w:val="00760F85"/>
    <w:rsid w:val="007656B9"/>
    <w:rsid w:val="00771DB6"/>
    <w:rsid w:val="00773D77"/>
    <w:rsid w:val="00777E39"/>
    <w:rsid w:val="007878D7"/>
    <w:rsid w:val="007A0D57"/>
    <w:rsid w:val="007B1377"/>
    <w:rsid w:val="007B78F6"/>
    <w:rsid w:val="007D0B4C"/>
    <w:rsid w:val="007D2FF9"/>
    <w:rsid w:val="007F02C3"/>
    <w:rsid w:val="008060EB"/>
    <w:rsid w:val="00824AF8"/>
    <w:rsid w:val="00851024"/>
    <w:rsid w:val="00866FAB"/>
    <w:rsid w:val="00877C72"/>
    <w:rsid w:val="00891063"/>
    <w:rsid w:val="008A39F7"/>
    <w:rsid w:val="008B63BD"/>
    <w:rsid w:val="008C0058"/>
    <w:rsid w:val="008E1CF4"/>
    <w:rsid w:val="008E1D22"/>
    <w:rsid w:val="008E2B31"/>
    <w:rsid w:val="008E625C"/>
    <w:rsid w:val="00900D2C"/>
    <w:rsid w:val="00913797"/>
    <w:rsid w:val="009176C0"/>
    <w:rsid w:val="0094298A"/>
    <w:rsid w:val="00947ED7"/>
    <w:rsid w:val="0095145E"/>
    <w:rsid w:val="00961A3A"/>
    <w:rsid w:val="00962556"/>
    <w:rsid w:val="00972FAE"/>
    <w:rsid w:val="00974D73"/>
    <w:rsid w:val="00977DF2"/>
    <w:rsid w:val="00983EDB"/>
    <w:rsid w:val="0098414F"/>
    <w:rsid w:val="009B7E65"/>
    <w:rsid w:val="009C51F3"/>
    <w:rsid w:val="009D0B93"/>
    <w:rsid w:val="009E5A58"/>
    <w:rsid w:val="009F5A6E"/>
    <w:rsid w:val="009F7287"/>
    <w:rsid w:val="00A27A15"/>
    <w:rsid w:val="00A315D7"/>
    <w:rsid w:val="00A526E6"/>
    <w:rsid w:val="00A7103D"/>
    <w:rsid w:val="00A76907"/>
    <w:rsid w:val="00A76A8F"/>
    <w:rsid w:val="00A95351"/>
    <w:rsid w:val="00AB0093"/>
    <w:rsid w:val="00AB587C"/>
    <w:rsid w:val="00AC7ADF"/>
    <w:rsid w:val="00B0696B"/>
    <w:rsid w:val="00B27B65"/>
    <w:rsid w:val="00B56FEA"/>
    <w:rsid w:val="00B90F9B"/>
    <w:rsid w:val="00B939F3"/>
    <w:rsid w:val="00B950A8"/>
    <w:rsid w:val="00B95DF7"/>
    <w:rsid w:val="00BA226D"/>
    <w:rsid w:val="00BE338D"/>
    <w:rsid w:val="00BE70AA"/>
    <w:rsid w:val="00C06D0C"/>
    <w:rsid w:val="00C273DF"/>
    <w:rsid w:val="00C50B42"/>
    <w:rsid w:val="00C6770A"/>
    <w:rsid w:val="00C71380"/>
    <w:rsid w:val="00C71602"/>
    <w:rsid w:val="00C762FC"/>
    <w:rsid w:val="00CC4936"/>
    <w:rsid w:val="00CC5EEC"/>
    <w:rsid w:val="00CC61B6"/>
    <w:rsid w:val="00CD47A9"/>
    <w:rsid w:val="00CE4877"/>
    <w:rsid w:val="00D01061"/>
    <w:rsid w:val="00D02D48"/>
    <w:rsid w:val="00D31305"/>
    <w:rsid w:val="00D329AC"/>
    <w:rsid w:val="00D36D7C"/>
    <w:rsid w:val="00D4774C"/>
    <w:rsid w:val="00D54CD7"/>
    <w:rsid w:val="00DA0F0E"/>
    <w:rsid w:val="00DC591F"/>
    <w:rsid w:val="00DD694D"/>
    <w:rsid w:val="00DE33FE"/>
    <w:rsid w:val="00E06CC5"/>
    <w:rsid w:val="00E279AB"/>
    <w:rsid w:val="00E32D73"/>
    <w:rsid w:val="00E37B6C"/>
    <w:rsid w:val="00E57133"/>
    <w:rsid w:val="00E57688"/>
    <w:rsid w:val="00E7754A"/>
    <w:rsid w:val="00E8554D"/>
    <w:rsid w:val="00EC3EAD"/>
    <w:rsid w:val="00ED2992"/>
    <w:rsid w:val="00EE49C6"/>
    <w:rsid w:val="00F05C73"/>
    <w:rsid w:val="00F23C5D"/>
    <w:rsid w:val="00F33349"/>
    <w:rsid w:val="00F348E5"/>
    <w:rsid w:val="00F34AD8"/>
    <w:rsid w:val="00F4137C"/>
    <w:rsid w:val="00F46917"/>
    <w:rsid w:val="00F52E99"/>
    <w:rsid w:val="00F55514"/>
    <w:rsid w:val="00F667AA"/>
    <w:rsid w:val="00F7544F"/>
    <w:rsid w:val="00FB5176"/>
    <w:rsid w:val="00FE1585"/>
    <w:rsid w:val="00FF3747"/>
    <w:rsid w:val="00FF3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8ADF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73D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C273DF"/>
    <w:rPr>
      <w:b/>
      <w:bCs/>
    </w:rPr>
  </w:style>
  <w:style w:type="paragraph" w:styleId="z-TopofForm">
    <w:name w:val="HTML Top of Form"/>
    <w:basedOn w:val="Normal"/>
    <w:next w:val="Normal"/>
    <w:link w:val="z-TopofFormChar"/>
    <w:hidden/>
    <w:uiPriority w:val="99"/>
    <w:semiHidden/>
    <w:unhideWhenUsed/>
    <w:rsid w:val="005A77B1"/>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5A77B1"/>
    <w:rPr>
      <w:rFonts w:ascii="Arial" w:eastAsia="Times New Roman" w:hAnsi="Arial" w:cs="Arial"/>
      <w:vanish/>
      <w:kern w:val="0"/>
      <w:sz w:val="16"/>
      <w:szCs w:val="16"/>
      <w14:ligatures w14:val="none"/>
    </w:rPr>
  </w:style>
  <w:style w:type="paragraph" w:styleId="ListParagraph">
    <w:name w:val="List Paragraph"/>
    <w:basedOn w:val="Normal"/>
    <w:uiPriority w:val="34"/>
    <w:qFormat/>
    <w:rsid w:val="00E7754A"/>
    <w:pPr>
      <w:ind w:left="720"/>
      <w:contextualSpacing/>
    </w:pPr>
  </w:style>
  <w:style w:type="character" w:styleId="Hyperlink">
    <w:name w:val="Hyperlink"/>
    <w:basedOn w:val="DefaultParagraphFont"/>
    <w:uiPriority w:val="99"/>
    <w:unhideWhenUsed/>
    <w:rsid w:val="00E7754A"/>
    <w:rPr>
      <w:color w:val="0563C1" w:themeColor="hyperlink"/>
      <w:u w:val="single"/>
    </w:rPr>
  </w:style>
  <w:style w:type="character" w:customStyle="1" w:styleId="anchor-text">
    <w:name w:val="anchor-text"/>
    <w:basedOn w:val="DefaultParagraphFont"/>
    <w:rsid w:val="00E7754A"/>
  </w:style>
  <w:style w:type="character" w:styleId="FollowedHyperlink">
    <w:name w:val="FollowedHyperlink"/>
    <w:basedOn w:val="DefaultParagraphFont"/>
    <w:uiPriority w:val="99"/>
    <w:semiHidden/>
    <w:unhideWhenUsed/>
    <w:rsid w:val="00E7754A"/>
    <w:rPr>
      <w:color w:val="954F72" w:themeColor="followedHyperlink"/>
      <w:u w:val="single"/>
    </w:rPr>
  </w:style>
  <w:style w:type="character" w:styleId="UnresolvedMention">
    <w:name w:val="Unresolved Mention"/>
    <w:basedOn w:val="DefaultParagraphFont"/>
    <w:uiPriority w:val="99"/>
    <w:semiHidden/>
    <w:unhideWhenUsed/>
    <w:rsid w:val="00AB0093"/>
    <w:rPr>
      <w:color w:val="605E5C"/>
      <w:shd w:val="clear" w:color="auto" w:fill="E1DFDD"/>
    </w:rPr>
  </w:style>
  <w:style w:type="paragraph" w:styleId="Header">
    <w:name w:val="header"/>
    <w:basedOn w:val="Normal"/>
    <w:link w:val="HeaderChar"/>
    <w:uiPriority w:val="99"/>
    <w:unhideWhenUsed/>
    <w:rsid w:val="00A76A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A8F"/>
  </w:style>
  <w:style w:type="paragraph" w:styleId="Footer">
    <w:name w:val="footer"/>
    <w:basedOn w:val="Normal"/>
    <w:link w:val="FooterChar"/>
    <w:uiPriority w:val="99"/>
    <w:unhideWhenUsed/>
    <w:rsid w:val="00A76A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A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6607">
      <w:bodyDiv w:val="1"/>
      <w:marLeft w:val="0"/>
      <w:marRight w:val="0"/>
      <w:marTop w:val="0"/>
      <w:marBottom w:val="0"/>
      <w:divBdr>
        <w:top w:val="none" w:sz="0" w:space="0" w:color="auto"/>
        <w:left w:val="none" w:sz="0" w:space="0" w:color="auto"/>
        <w:bottom w:val="none" w:sz="0" w:space="0" w:color="auto"/>
        <w:right w:val="none" w:sz="0" w:space="0" w:color="auto"/>
      </w:divBdr>
      <w:divsChild>
        <w:div w:id="1798140267">
          <w:marLeft w:val="0"/>
          <w:marRight w:val="0"/>
          <w:marTop w:val="0"/>
          <w:marBottom w:val="0"/>
          <w:divBdr>
            <w:top w:val="single" w:sz="2" w:space="0" w:color="D9D9E3"/>
            <w:left w:val="single" w:sz="2" w:space="0" w:color="D9D9E3"/>
            <w:bottom w:val="single" w:sz="2" w:space="0" w:color="D9D9E3"/>
            <w:right w:val="single" w:sz="2" w:space="0" w:color="D9D9E3"/>
          </w:divBdr>
          <w:divsChild>
            <w:div w:id="1257054607">
              <w:marLeft w:val="0"/>
              <w:marRight w:val="0"/>
              <w:marTop w:val="0"/>
              <w:marBottom w:val="0"/>
              <w:divBdr>
                <w:top w:val="single" w:sz="2" w:space="0" w:color="D9D9E3"/>
                <w:left w:val="single" w:sz="2" w:space="0" w:color="D9D9E3"/>
                <w:bottom w:val="single" w:sz="2" w:space="0" w:color="D9D9E3"/>
                <w:right w:val="single" w:sz="2" w:space="0" w:color="D9D9E3"/>
              </w:divBdr>
              <w:divsChild>
                <w:div w:id="1295673510">
                  <w:marLeft w:val="0"/>
                  <w:marRight w:val="0"/>
                  <w:marTop w:val="0"/>
                  <w:marBottom w:val="0"/>
                  <w:divBdr>
                    <w:top w:val="single" w:sz="2" w:space="0" w:color="D9D9E3"/>
                    <w:left w:val="single" w:sz="2" w:space="0" w:color="D9D9E3"/>
                    <w:bottom w:val="single" w:sz="2" w:space="0" w:color="D9D9E3"/>
                    <w:right w:val="single" w:sz="2" w:space="0" w:color="D9D9E3"/>
                  </w:divBdr>
                  <w:divsChild>
                    <w:div w:id="464351976">
                      <w:marLeft w:val="0"/>
                      <w:marRight w:val="0"/>
                      <w:marTop w:val="0"/>
                      <w:marBottom w:val="0"/>
                      <w:divBdr>
                        <w:top w:val="single" w:sz="2" w:space="0" w:color="D9D9E3"/>
                        <w:left w:val="single" w:sz="2" w:space="0" w:color="D9D9E3"/>
                        <w:bottom w:val="single" w:sz="2" w:space="0" w:color="D9D9E3"/>
                        <w:right w:val="single" w:sz="2" w:space="0" w:color="D9D9E3"/>
                      </w:divBdr>
                      <w:divsChild>
                        <w:div w:id="489177787">
                          <w:marLeft w:val="0"/>
                          <w:marRight w:val="0"/>
                          <w:marTop w:val="0"/>
                          <w:marBottom w:val="0"/>
                          <w:divBdr>
                            <w:top w:val="none" w:sz="0" w:space="0" w:color="auto"/>
                            <w:left w:val="none" w:sz="0" w:space="0" w:color="auto"/>
                            <w:bottom w:val="none" w:sz="0" w:space="0" w:color="auto"/>
                            <w:right w:val="none" w:sz="0" w:space="0" w:color="auto"/>
                          </w:divBdr>
                          <w:divsChild>
                            <w:div w:id="1026490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630561">
                                  <w:marLeft w:val="0"/>
                                  <w:marRight w:val="0"/>
                                  <w:marTop w:val="0"/>
                                  <w:marBottom w:val="0"/>
                                  <w:divBdr>
                                    <w:top w:val="single" w:sz="2" w:space="0" w:color="D9D9E3"/>
                                    <w:left w:val="single" w:sz="2" w:space="0" w:color="D9D9E3"/>
                                    <w:bottom w:val="single" w:sz="2" w:space="0" w:color="D9D9E3"/>
                                    <w:right w:val="single" w:sz="2" w:space="0" w:color="D9D9E3"/>
                                  </w:divBdr>
                                  <w:divsChild>
                                    <w:div w:id="1918636409">
                                      <w:marLeft w:val="0"/>
                                      <w:marRight w:val="0"/>
                                      <w:marTop w:val="0"/>
                                      <w:marBottom w:val="0"/>
                                      <w:divBdr>
                                        <w:top w:val="single" w:sz="2" w:space="0" w:color="D9D9E3"/>
                                        <w:left w:val="single" w:sz="2" w:space="0" w:color="D9D9E3"/>
                                        <w:bottom w:val="single" w:sz="2" w:space="0" w:color="D9D9E3"/>
                                        <w:right w:val="single" w:sz="2" w:space="0" w:color="D9D9E3"/>
                                      </w:divBdr>
                                      <w:divsChild>
                                        <w:div w:id="577179619">
                                          <w:marLeft w:val="0"/>
                                          <w:marRight w:val="0"/>
                                          <w:marTop w:val="0"/>
                                          <w:marBottom w:val="0"/>
                                          <w:divBdr>
                                            <w:top w:val="single" w:sz="2" w:space="0" w:color="D9D9E3"/>
                                            <w:left w:val="single" w:sz="2" w:space="0" w:color="D9D9E3"/>
                                            <w:bottom w:val="single" w:sz="2" w:space="0" w:color="D9D9E3"/>
                                            <w:right w:val="single" w:sz="2" w:space="0" w:color="D9D9E3"/>
                                          </w:divBdr>
                                          <w:divsChild>
                                            <w:div w:id="949893278">
                                              <w:marLeft w:val="0"/>
                                              <w:marRight w:val="0"/>
                                              <w:marTop w:val="0"/>
                                              <w:marBottom w:val="0"/>
                                              <w:divBdr>
                                                <w:top w:val="single" w:sz="2" w:space="0" w:color="D9D9E3"/>
                                                <w:left w:val="single" w:sz="2" w:space="0" w:color="D9D9E3"/>
                                                <w:bottom w:val="single" w:sz="2" w:space="0" w:color="D9D9E3"/>
                                                <w:right w:val="single" w:sz="2" w:space="0" w:color="D9D9E3"/>
                                              </w:divBdr>
                                              <w:divsChild>
                                                <w:div w:id="1404568137">
                                                  <w:marLeft w:val="0"/>
                                                  <w:marRight w:val="0"/>
                                                  <w:marTop w:val="0"/>
                                                  <w:marBottom w:val="0"/>
                                                  <w:divBdr>
                                                    <w:top w:val="single" w:sz="2" w:space="0" w:color="D9D9E3"/>
                                                    <w:left w:val="single" w:sz="2" w:space="0" w:color="D9D9E3"/>
                                                    <w:bottom w:val="single" w:sz="2" w:space="0" w:color="D9D9E3"/>
                                                    <w:right w:val="single" w:sz="2" w:space="0" w:color="D9D9E3"/>
                                                  </w:divBdr>
                                                  <w:divsChild>
                                                    <w:div w:id="1242332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9231496">
          <w:marLeft w:val="0"/>
          <w:marRight w:val="0"/>
          <w:marTop w:val="0"/>
          <w:marBottom w:val="0"/>
          <w:divBdr>
            <w:top w:val="none" w:sz="0" w:space="0" w:color="auto"/>
            <w:left w:val="none" w:sz="0" w:space="0" w:color="auto"/>
            <w:bottom w:val="none" w:sz="0" w:space="0" w:color="auto"/>
            <w:right w:val="none" w:sz="0" w:space="0" w:color="auto"/>
          </w:divBdr>
        </w:div>
      </w:divsChild>
    </w:div>
    <w:div w:id="228810616">
      <w:bodyDiv w:val="1"/>
      <w:marLeft w:val="0"/>
      <w:marRight w:val="0"/>
      <w:marTop w:val="0"/>
      <w:marBottom w:val="0"/>
      <w:divBdr>
        <w:top w:val="none" w:sz="0" w:space="0" w:color="auto"/>
        <w:left w:val="none" w:sz="0" w:space="0" w:color="auto"/>
        <w:bottom w:val="none" w:sz="0" w:space="0" w:color="auto"/>
        <w:right w:val="none" w:sz="0" w:space="0" w:color="auto"/>
      </w:divBdr>
    </w:div>
    <w:div w:id="460390691">
      <w:bodyDiv w:val="1"/>
      <w:marLeft w:val="0"/>
      <w:marRight w:val="0"/>
      <w:marTop w:val="0"/>
      <w:marBottom w:val="0"/>
      <w:divBdr>
        <w:top w:val="none" w:sz="0" w:space="0" w:color="auto"/>
        <w:left w:val="none" w:sz="0" w:space="0" w:color="auto"/>
        <w:bottom w:val="none" w:sz="0" w:space="0" w:color="auto"/>
        <w:right w:val="none" w:sz="0" w:space="0" w:color="auto"/>
      </w:divBdr>
    </w:div>
    <w:div w:id="460802604">
      <w:bodyDiv w:val="1"/>
      <w:marLeft w:val="0"/>
      <w:marRight w:val="0"/>
      <w:marTop w:val="0"/>
      <w:marBottom w:val="0"/>
      <w:divBdr>
        <w:top w:val="none" w:sz="0" w:space="0" w:color="auto"/>
        <w:left w:val="none" w:sz="0" w:space="0" w:color="auto"/>
        <w:bottom w:val="none" w:sz="0" w:space="0" w:color="auto"/>
        <w:right w:val="none" w:sz="0" w:space="0" w:color="auto"/>
      </w:divBdr>
    </w:div>
    <w:div w:id="778141313">
      <w:bodyDiv w:val="1"/>
      <w:marLeft w:val="0"/>
      <w:marRight w:val="0"/>
      <w:marTop w:val="0"/>
      <w:marBottom w:val="0"/>
      <w:divBdr>
        <w:top w:val="none" w:sz="0" w:space="0" w:color="auto"/>
        <w:left w:val="none" w:sz="0" w:space="0" w:color="auto"/>
        <w:bottom w:val="none" w:sz="0" w:space="0" w:color="auto"/>
        <w:right w:val="none" w:sz="0" w:space="0" w:color="auto"/>
      </w:divBdr>
    </w:div>
    <w:div w:id="798187056">
      <w:bodyDiv w:val="1"/>
      <w:marLeft w:val="0"/>
      <w:marRight w:val="0"/>
      <w:marTop w:val="0"/>
      <w:marBottom w:val="0"/>
      <w:divBdr>
        <w:top w:val="none" w:sz="0" w:space="0" w:color="auto"/>
        <w:left w:val="none" w:sz="0" w:space="0" w:color="auto"/>
        <w:bottom w:val="none" w:sz="0" w:space="0" w:color="auto"/>
        <w:right w:val="none" w:sz="0" w:space="0" w:color="auto"/>
      </w:divBdr>
      <w:divsChild>
        <w:div w:id="84351137">
          <w:marLeft w:val="0"/>
          <w:marRight w:val="0"/>
          <w:marTop w:val="0"/>
          <w:marBottom w:val="0"/>
          <w:divBdr>
            <w:top w:val="single" w:sz="2" w:space="0" w:color="D9D9E3"/>
            <w:left w:val="single" w:sz="2" w:space="0" w:color="D9D9E3"/>
            <w:bottom w:val="single" w:sz="2" w:space="0" w:color="D9D9E3"/>
            <w:right w:val="single" w:sz="2" w:space="0" w:color="D9D9E3"/>
          </w:divBdr>
          <w:divsChild>
            <w:div w:id="812671800">
              <w:marLeft w:val="0"/>
              <w:marRight w:val="0"/>
              <w:marTop w:val="0"/>
              <w:marBottom w:val="0"/>
              <w:divBdr>
                <w:top w:val="single" w:sz="2" w:space="0" w:color="D9D9E3"/>
                <w:left w:val="single" w:sz="2" w:space="0" w:color="D9D9E3"/>
                <w:bottom w:val="single" w:sz="2" w:space="0" w:color="D9D9E3"/>
                <w:right w:val="single" w:sz="2" w:space="0" w:color="D9D9E3"/>
              </w:divBdr>
              <w:divsChild>
                <w:div w:id="952789951">
                  <w:marLeft w:val="0"/>
                  <w:marRight w:val="0"/>
                  <w:marTop w:val="0"/>
                  <w:marBottom w:val="0"/>
                  <w:divBdr>
                    <w:top w:val="single" w:sz="2" w:space="0" w:color="D9D9E3"/>
                    <w:left w:val="single" w:sz="2" w:space="0" w:color="D9D9E3"/>
                    <w:bottom w:val="single" w:sz="2" w:space="0" w:color="D9D9E3"/>
                    <w:right w:val="single" w:sz="2" w:space="0" w:color="D9D9E3"/>
                  </w:divBdr>
                  <w:divsChild>
                    <w:div w:id="615794658">
                      <w:marLeft w:val="0"/>
                      <w:marRight w:val="0"/>
                      <w:marTop w:val="0"/>
                      <w:marBottom w:val="0"/>
                      <w:divBdr>
                        <w:top w:val="single" w:sz="2" w:space="0" w:color="D9D9E3"/>
                        <w:left w:val="single" w:sz="2" w:space="0" w:color="D9D9E3"/>
                        <w:bottom w:val="single" w:sz="2" w:space="0" w:color="D9D9E3"/>
                        <w:right w:val="single" w:sz="2" w:space="0" w:color="D9D9E3"/>
                      </w:divBdr>
                      <w:divsChild>
                        <w:div w:id="1232036491">
                          <w:marLeft w:val="0"/>
                          <w:marRight w:val="0"/>
                          <w:marTop w:val="0"/>
                          <w:marBottom w:val="0"/>
                          <w:divBdr>
                            <w:top w:val="none" w:sz="0" w:space="0" w:color="auto"/>
                            <w:left w:val="none" w:sz="0" w:space="0" w:color="auto"/>
                            <w:bottom w:val="none" w:sz="0" w:space="0" w:color="auto"/>
                            <w:right w:val="none" w:sz="0" w:space="0" w:color="auto"/>
                          </w:divBdr>
                          <w:divsChild>
                            <w:div w:id="646278684">
                              <w:marLeft w:val="0"/>
                              <w:marRight w:val="0"/>
                              <w:marTop w:val="100"/>
                              <w:marBottom w:val="100"/>
                              <w:divBdr>
                                <w:top w:val="single" w:sz="2" w:space="0" w:color="D9D9E3"/>
                                <w:left w:val="single" w:sz="2" w:space="0" w:color="D9D9E3"/>
                                <w:bottom w:val="single" w:sz="2" w:space="0" w:color="D9D9E3"/>
                                <w:right w:val="single" w:sz="2" w:space="0" w:color="D9D9E3"/>
                              </w:divBdr>
                              <w:divsChild>
                                <w:div w:id="878591111">
                                  <w:marLeft w:val="0"/>
                                  <w:marRight w:val="0"/>
                                  <w:marTop w:val="0"/>
                                  <w:marBottom w:val="0"/>
                                  <w:divBdr>
                                    <w:top w:val="single" w:sz="2" w:space="0" w:color="D9D9E3"/>
                                    <w:left w:val="single" w:sz="2" w:space="0" w:color="D9D9E3"/>
                                    <w:bottom w:val="single" w:sz="2" w:space="0" w:color="D9D9E3"/>
                                    <w:right w:val="single" w:sz="2" w:space="0" w:color="D9D9E3"/>
                                  </w:divBdr>
                                  <w:divsChild>
                                    <w:div w:id="1412310757">
                                      <w:marLeft w:val="0"/>
                                      <w:marRight w:val="0"/>
                                      <w:marTop w:val="0"/>
                                      <w:marBottom w:val="0"/>
                                      <w:divBdr>
                                        <w:top w:val="single" w:sz="2" w:space="0" w:color="D9D9E3"/>
                                        <w:left w:val="single" w:sz="2" w:space="0" w:color="D9D9E3"/>
                                        <w:bottom w:val="single" w:sz="2" w:space="0" w:color="D9D9E3"/>
                                        <w:right w:val="single" w:sz="2" w:space="0" w:color="D9D9E3"/>
                                      </w:divBdr>
                                      <w:divsChild>
                                        <w:div w:id="994844830">
                                          <w:marLeft w:val="0"/>
                                          <w:marRight w:val="0"/>
                                          <w:marTop w:val="0"/>
                                          <w:marBottom w:val="0"/>
                                          <w:divBdr>
                                            <w:top w:val="single" w:sz="2" w:space="0" w:color="D9D9E3"/>
                                            <w:left w:val="single" w:sz="2" w:space="0" w:color="D9D9E3"/>
                                            <w:bottom w:val="single" w:sz="2" w:space="0" w:color="D9D9E3"/>
                                            <w:right w:val="single" w:sz="2" w:space="0" w:color="D9D9E3"/>
                                          </w:divBdr>
                                          <w:divsChild>
                                            <w:div w:id="1737774001">
                                              <w:marLeft w:val="0"/>
                                              <w:marRight w:val="0"/>
                                              <w:marTop w:val="0"/>
                                              <w:marBottom w:val="0"/>
                                              <w:divBdr>
                                                <w:top w:val="single" w:sz="2" w:space="0" w:color="D9D9E3"/>
                                                <w:left w:val="single" w:sz="2" w:space="0" w:color="D9D9E3"/>
                                                <w:bottom w:val="single" w:sz="2" w:space="0" w:color="D9D9E3"/>
                                                <w:right w:val="single" w:sz="2" w:space="0" w:color="D9D9E3"/>
                                              </w:divBdr>
                                              <w:divsChild>
                                                <w:div w:id="563370637">
                                                  <w:marLeft w:val="0"/>
                                                  <w:marRight w:val="0"/>
                                                  <w:marTop w:val="0"/>
                                                  <w:marBottom w:val="0"/>
                                                  <w:divBdr>
                                                    <w:top w:val="single" w:sz="2" w:space="0" w:color="D9D9E3"/>
                                                    <w:left w:val="single" w:sz="2" w:space="0" w:color="D9D9E3"/>
                                                    <w:bottom w:val="single" w:sz="2" w:space="0" w:color="D9D9E3"/>
                                                    <w:right w:val="single" w:sz="2" w:space="0" w:color="D9D9E3"/>
                                                  </w:divBdr>
                                                  <w:divsChild>
                                                    <w:div w:id="45976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8509032">
          <w:marLeft w:val="0"/>
          <w:marRight w:val="0"/>
          <w:marTop w:val="0"/>
          <w:marBottom w:val="0"/>
          <w:divBdr>
            <w:top w:val="none" w:sz="0" w:space="0" w:color="auto"/>
            <w:left w:val="none" w:sz="0" w:space="0" w:color="auto"/>
            <w:bottom w:val="none" w:sz="0" w:space="0" w:color="auto"/>
            <w:right w:val="none" w:sz="0" w:space="0" w:color="auto"/>
          </w:divBdr>
        </w:div>
      </w:divsChild>
    </w:div>
    <w:div w:id="973946016">
      <w:bodyDiv w:val="1"/>
      <w:marLeft w:val="0"/>
      <w:marRight w:val="0"/>
      <w:marTop w:val="0"/>
      <w:marBottom w:val="0"/>
      <w:divBdr>
        <w:top w:val="none" w:sz="0" w:space="0" w:color="auto"/>
        <w:left w:val="none" w:sz="0" w:space="0" w:color="auto"/>
        <w:bottom w:val="none" w:sz="0" w:space="0" w:color="auto"/>
        <w:right w:val="none" w:sz="0" w:space="0" w:color="auto"/>
      </w:divBdr>
      <w:divsChild>
        <w:div w:id="2046976179">
          <w:marLeft w:val="0"/>
          <w:marRight w:val="0"/>
          <w:marTop w:val="0"/>
          <w:marBottom w:val="0"/>
          <w:divBdr>
            <w:top w:val="single" w:sz="2" w:space="0" w:color="D9D9E3"/>
            <w:left w:val="single" w:sz="2" w:space="0" w:color="D9D9E3"/>
            <w:bottom w:val="single" w:sz="2" w:space="0" w:color="D9D9E3"/>
            <w:right w:val="single" w:sz="2" w:space="0" w:color="D9D9E3"/>
          </w:divBdr>
          <w:divsChild>
            <w:div w:id="1964193859">
              <w:marLeft w:val="0"/>
              <w:marRight w:val="0"/>
              <w:marTop w:val="0"/>
              <w:marBottom w:val="0"/>
              <w:divBdr>
                <w:top w:val="single" w:sz="2" w:space="0" w:color="D9D9E3"/>
                <w:left w:val="single" w:sz="2" w:space="0" w:color="D9D9E3"/>
                <w:bottom w:val="single" w:sz="2" w:space="0" w:color="D9D9E3"/>
                <w:right w:val="single" w:sz="2" w:space="0" w:color="D9D9E3"/>
              </w:divBdr>
              <w:divsChild>
                <w:div w:id="1531719489">
                  <w:marLeft w:val="0"/>
                  <w:marRight w:val="0"/>
                  <w:marTop w:val="0"/>
                  <w:marBottom w:val="0"/>
                  <w:divBdr>
                    <w:top w:val="single" w:sz="2" w:space="0" w:color="D9D9E3"/>
                    <w:left w:val="single" w:sz="2" w:space="0" w:color="D9D9E3"/>
                    <w:bottom w:val="single" w:sz="2" w:space="0" w:color="D9D9E3"/>
                    <w:right w:val="single" w:sz="2" w:space="0" w:color="D9D9E3"/>
                  </w:divBdr>
                  <w:divsChild>
                    <w:div w:id="1853372078">
                      <w:marLeft w:val="0"/>
                      <w:marRight w:val="0"/>
                      <w:marTop w:val="0"/>
                      <w:marBottom w:val="0"/>
                      <w:divBdr>
                        <w:top w:val="single" w:sz="2" w:space="0" w:color="D9D9E3"/>
                        <w:left w:val="single" w:sz="2" w:space="0" w:color="D9D9E3"/>
                        <w:bottom w:val="single" w:sz="2" w:space="0" w:color="D9D9E3"/>
                        <w:right w:val="single" w:sz="2" w:space="0" w:color="D9D9E3"/>
                      </w:divBdr>
                      <w:divsChild>
                        <w:div w:id="876891318">
                          <w:marLeft w:val="0"/>
                          <w:marRight w:val="0"/>
                          <w:marTop w:val="0"/>
                          <w:marBottom w:val="0"/>
                          <w:divBdr>
                            <w:top w:val="none" w:sz="0" w:space="0" w:color="auto"/>
                            <w:left w:val="none" w:sz="0" w:space="0" w:color="auto"/>
                            <w:bottom w:val="none" w:sz="0" w:space="0" w:color="auto"/>
                            <w:right w:val="none" w:sz="0" w:space="0" w:color="auto"/>
                          </w:divBdr>
                          <w:divsChild>
                            <w:div w:id="1929121878">
                              <w:marLeft w:val="0"/>
                              <w:marRight w:val="0"/>
                              <w:marTop w:val="100"/>
                              <w:marBottom w:val="100"/>
                              <w:divBdr>
                                <w:top w:val="single" w:sz="2" w:space="0" w:color="D9D9E3"/>
                                <w:left w:val="single" w:sz="2" w:space="0" w:color="D9D9E3"/>
                                <w:bottom w:val="single" w:sz="2" w:space="0" w:color="D9D9E3"/>
                                <w:right w:val="single" w:sz="2" w:space="0" w:color="D9D9E3"/>
                              </w:divBdr>
                              <w:divsChild>
                                <w:div w:id="1307662061">
                                  <w:marLeft w:val="0"/>
                                  <w:marRight w:val="0"/>
                                  <w:marTop w:val="0"/>
                                  <w:marBottom w:val="0"/>
                                  <w:divBdr>
                                    <w:top w:val="single" w:sz="2" w:space="0" w:color="D9D9E3"/>
                                    <w:left w:val="single" w:sz="2" w:space="0" w:color="D9D9E3"/>
                                    <w:bottom w:val="single" w:sz="2" w:space="0" w:color="D9D9E3"/>
                                    <w:right w:val="single" w:sz="2" w:space="0" w:color="D9D9E3"/>
                                  </w:divBdr>
                                  <w:divsChild>
                                    <w:div w:id="1999847080">
                                      <w:marLeft w:val="0"/>
                                      <w:marRight w:val="0"/>
                                      <w:marTop w:val="0"/>
                                      <w:marBottom w:val="0"/>
                                      <w:divBdr>
                                        <w:top w:val="single" w:sz="2" w:space="0" w:color="D9D9E3"/>
                                        <w:left w:val="single" w:sz="2" w:space="0" w:color="D9D9E3"/>
                                        <w:bottom w:val="single" w:sz="2" w:space="0" w:color="D9D9E3"/>
                                        <w:right w:val="single" w:sz="2" w:space="0" w:color="D9D9E3"/>
                                      </w:divBdr>
                                      <w:divsChild>
                                        <w:div w:id="168718303">
                                          <w:marLeft w:val="0"/>
                                          <w:marRight w:val="0"/>
                                          <w:marTop w:val="0"/>
                                          <w:marBottom w:val="0"/>
                                          <w:divBdr>
                                            <w:top w:val="single" w:sz="2" w:space="0" w:color="D9D9E3"/>
                                            <w:left w:val="single" w:sz="2" w:space="0" w:color="D9D9E3"/>
                                            <w:bottom w:val="single" w:sz="2" w:space="0" w:color="D9D9E3"/>
                                            <w:right w:val="single" w:sz="2" w:space="0" w:color="D9D9E3"/>
                                          </w:divBdr>
                                          <w:divsChild>
                                            <w:div w:id="969551538">
                                              <w:marLeft w:val="0"/>
                                              <w:marRight w:val="0"/>
                                              <w:marTop w:val="0"/>
                                              <w:marBottom w:val="0"/>
                                              <w:divBdr>
                                                <w:top w:val="single" w:sz="2" w:space="0" w:color="D9D9E3"/>
                                                <w:left w:val="single" w:sz="2" w:space="0" w:color="D9D9E3"/>
                                                <w:bottom w:val="single" w:sz="2" w:space="0" w:color="D9D9E3"/>
                                                <w:right w:val="single" w:sz="2" w:space="0" w:color="D9D9E3"/>
                                              </w:divBdr>
                                              <w:divsChild>
                                                <w:div w:id="65609234">
                                                  <w:marLeft w:val="0"/>
                                                  <w:marRight w:val="0"/>
                                                  <w:marTop w:val="0"/>
                                                  <w:marBottom w:val="0"/>
                                                  <w:divBdr>
                                                    <w:top w:val="single" w:sz="2" w:space="0" w:color="D9D9E3"/>
                                                    <w:left w:val="single" w:sz="2" w:space="0" w:color="D9D9E3"/>
                                                    <w:bottom w:val="single" w:sz="2" w:space="0" w:color="D9D9E3"/>
                                                    <w:right w:val="single" w:sz="2" w:space="0" w:color="D9D9E3"/>
                                                  </w:divBdr>
                                                  <w:divsChild>
                                                    <w:div w:id="1289361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268905">
          <w:marLeft w:val="0"/>
          <w:marRight w:val="0"/>
          <w:marTop w:val="0"/>
          <w:marBottom w:val="0"/>
          <w:divBdr>
            <w:top w:val="none" w:sz="0" w:space="0" w:color="auto"/>
            <w:left w:val="none" w:sz="0" w:space="0" w:color="auto"/>
            <w:bottom w:val="none" w:sz="0" w:space="0" w:color="auto"/>
            <w:right w:val="none" w:sz="0" w:space="0" w:color="auto"/>
          </w:divBdr>
        </w:div>
      </w:divsChild>
    </w:div>
    <w:div w:id="1065185828">
      <w:bodyDiv w:val="1"/>
      <w:marLeft w:val="0"/>
      <w:marRight w:val="0"/>
      <w:marTop w:val="0"/>
      <w:marBottom w:val="0"/>
      <w:divBdr>
        <w:top w:val="none" w:sz="0" w:space="0" w:color="auto"/>
        <w:left w:val="none" w:sz="0" w:space="0" w:color="auto"/>
        <w:bottom w:val="none" w:sz="0" w:space="0" w:color="auto"/>
        <w:right w:val="none" w:sz="0" w:space="0" w:color="auto"/>
      </w:divBdr>
    </w:div>
    <w:div w:id="1154564159">
      <w:bodyDiv w:val="1"/>
      <w:marLeft w:val="0"/>
      <w:marRight w:val="0"/>
      <w:marTop w:val="0"/>
      <w:marBottom w:val="0"/>
      <w:divBdr>
        <w:top w:val="none" w:sz="0" w:space="0" w:color="auto"/>
        <w:left w:val="none" w:sz="0" w:space="0" w:color="auto"/>
        <w:bottom w:val="none" w:sz="0" w:space="0" w:color="auto"/>
        <w:right w:val="none" w:sz="0" w:space="0" w:color="auto"/>
      </w:divBdr>
    </w:div>
    <w:div w:id="1875271263">
      <w:bodyDiv w:val="1"/>
      <w:marLeft w:val="0"/>
      <w:marRight w:val="0"/>
      <w:marTop w:val="0"/>
      <w:marBottom w:val="0"/>
      <w:divBdr>
        <w:top w:val="none" w:sz="0" w:space="0" w:color="auto"/>
        <w:left w:val="none" w:sz="0" w:space="0" w:color="auto"/>
        <w:bottom w:val="none" w:sz="0" w:space="0" w:color="auto"/>
        <w:right w:val="none" w:sz="0" w:space="0" w:color="auto"/>
      </w:divBdr>
    </w:div>
    <w:div w:id="193836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repository.utl.pt/bitstream/10400.5/27132/1/DM-CTPB-2022.pdf" TargetMode="External"/><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hyperlink" Target="https://skift.com/2023/04/25/premier-inn-to-expand-budget-hotel-empire-in-germany-through-acquisition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researchgate.net/profile/Serhat-Alpagut-2/publication/366192593_The_Relationship_Between_Inflation_Public_Revenues_and_Public_Expenditure_A_Panel_Analysis_on_European_Countries/links/639715bc11e9f00cda3dc1fd/The-Relationship-Between-Inflation-Public-Revenues-and-Public-Expenditure-A-Panel-Analysis-on-European-Countries.pdf" TargetMode="External"/><Relationship Id="rId33" Type="http://schemas.openxmlformats.org/officeDocument/2006/relationships/hyperlink" Target="https://www.mdpi.com/2071-1050/14/19/12158/pdf" TargetMode="External"/><Relationship Id="rId38" Type="http://schemas.openxmlformats.org/officeDocument/2006/relationships/hyperlink" Target="https://www.londonstockexchange.com/news-article/WTB/preliminary-results-announcement/15929617"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www.researchgate.net/profile/Francis-Buttle/publication/290448158_Hospitality_Marketing_Principles_and_Practices/links/63ae174bc3c99660ebb38331/Hospitality-Marketing-Principles-and-Practic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hotos.mandarinoriental.com/is/content/MandarinOriental/corporate-22arMOIL" TargetMode="External"/><Relationship Id="rId32" Type="http://schemas.openxmlformats.org/officeDocument/2006/relationships/hyperlink" Target="https://scholarworks.umass.edu/cgi/viewcontent.cgi?article=2857&amp;context=ttra" TargetMode="External"/><Relationship Id="rId37" Type="http://schemas.openxmlformats.org/officeDocument/2006/relationships/hyperlink" Target="https://www.premierinn.com/content/dam/pi/websites/desktop/why/force%20for%20good/final-esg-report-2021-2022.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pure.ulster.ac.uk/ws/files/98492847/Zohreh_et_al_AI_in_Tourism_Main_Manuscript_accepted_version_.pdf" TargetMode="External"/><Relationship Id="rId36" Type="http://schemas.openxmlformats.org/officeDocument/2006/relationships/hyperlink" Target="https://www.annualreports.com/Click/23984"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016/j.jclepro.2022.13487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mingtiandi.com/real-estate/finance/mandarin-oriental-swings-to-underlying-profit-in-2022/" TargetMode="External"/><Relationship Id="rId30" Type="http://schemas.openxmlformats.org/officeDocument/2006/relationships/hyperlink" Target="https://www.bsx.com/CompanyDocuments/132/Mandarin%20Oriental%20Preliminary%20Results%20%20Q4%202016.pdf" TargetMode="External"/><Relationship Id="rId35" Type="http://schemas.openxmlformats.org/officeDocument/2006/relationships/hyperlink" Target="https://binapatria.id/index.php/MBI/article/download/211/172"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2886</Words>
  <Characters>18763</Characters>
  <Application>Microsoft Office Word</Application>
  <DocSecurity>0</DocSecurity>
  <Lines>314</Lines>
  <Paragraphs>59</Paragraphs>
  <ScaleCrop>false</ScaleCrop>
  <Company/>
  <LinksUpToDate>false</LinksUpToDate>
  <CharactersWithSpaces>21594</CharactersWithSpaces>
  <SharedDoc>false</SharedDoc>
  <HLinks>
    <vt:vector size="90" baseType="variant">
      <vt:variant>
        <vt:i4>6553704</vt:i4>
      </vt:variant>
      <vt:variant>
        <vt:i4>42</vt:i4>
      </vt:variant>
      <vt:variant>
        <vt:i4>0</vt:i4>
      </vt:variant>
      <vt:variant>
        <vt:i4>5</vt:i4>
      </vt:variant>
      <vt:variant>
        <vt:lpwstr>https://www.londonstockexchange.com/news-article/WTB/preliminary-results-announcement/15929617</vt:lpwstr>
      </vt:variant>
      <vt:variant>
        <vt:lpwstr/>
      </vt:variant>
      <vt:variant>
        <vt:i4>196628</vt:i4>
      </vt:variant>
      <vt:variant>
        <vt:i4>39</vt:i4>
      </vt:variant>
      <vt:variant>
        <vt:i4>0</vt:i4>
      </vt:variant>
      <vt:variant>
        <vt:i4>5</vt:i4>
      </vt:variant>
      <vt:variant>
        <vt:lpwstr>https://www.premierinn.com/content/dam/pi/websites/desktop/why/force for good/final-esg-report-2021-2022.pdf</vt:lpwstr>
      </vt:variant>
      <vt:variant>
        <vt:lpwstr/>
      </vt:variant>
      <vt:variant>
        <vt:i4>262217</vt:i4>
      </vt:variant>
      <vt:variant>
        <vt:i4>36</vt:i4>
      </vt:variant>
      <vt:variant>
        <vt:i4>0</vt:i4>
      </vt:variant>
      <vt:variant>
        <vt:i4>5</vt:i4>
      </vt:variant>
      <vt:variant>
        <vt:lpwstr>https://www.annualreports.com/Click/23984</vt:lpwstr>
      </vt:variant>
      <vt:variant>
        <vt:lpwstr/>
      </vt:variant>
      <vt:variant>
        <vt:i4>5242897</vt:i4>
      </vt:variant>
      <vt:variant>
        <vt:i4>33</vt:i4>
      </vt:variant>
      <vt:variant>
        <vt:i4>0</vt:i4>
      </vt:variant>
      <vt:variant>
        <vt:i4>5</vt:i4>
      </vt:variant>
      <vt:variant>
        <vt:lpwstr>https://binapatria.id/index.php/MBI/article/download/211/172</vt:lpwstr>
      </vt:variant>
      <vt:variant>
        <vt:lpwstr/>
      </vt:variant>
      <vt:variant>
        <vt:i4>3211320</vt:i4>
      </vt:variant>
      <vt:variant>
        <vt:i4>30</vt:i4>
      </vt:variant>
      <vt:variant>
        <vt:i4>0</vt:i4>
      </vt:variant>
      <vt:variant>
        <vt:i4>5</vt:i4>
      </vt:variant>
      <vt:variant>
        <vt:lpwstr>https://skift.com/2023/04/25/premier-inn-to-expand-budget-hotel-empire-in-germany-through-acquisitions/</vt:lpwstr>
      </vt:variant>
      <vt:variant>
        <vt:lpwstr/>
      </vt:variant>
      <vt:variant>
        <vt:i4>6946943</vt:i4>
      </vt:variant>
      <vt:variant>
        <vt:i4>27</vt:i4>
      </vt:variant>
      <vt:variant>
        <vt:i4>0</vt:i4>
      </vt:variant>
      <vt:variant>
        <vt:i4>5</vt:i4>
      </vt:variant>
      <vt:variant>
        <vt:lpwstr>https://www.mdpi.com/2071-1050/14/19/12158/pdf</vt:lpwstr>
      </vt:variant>
      <vt:variant>
        <vt:lpwstr/>
      </vt:variant>
      <vt:variant>
        <vt:i4>720926</vt:i4>
      </vt:variant>
      <vt:variant>
        <vt:i4>24</vt:i4>
      </vt:variant>
      <vt:variant>
        <vt:i4>0</vt:i4>
      </vt:variant>
      <vt:variant>
        <vt:i4>5</vt:i4>
      </vt:variant>
      <vt:variant>
        <vt:lpwstr>https://scholarworks.umass.edu/cgi/viewcontent.cgi?article=2857&amp;context=ttra</vt:lpwstr>
      </vt:variant>
      <vt:variant>
        <vt:lpwstr/>
      </vt:variant>
      <vt:variant>
        <vt:i4>5636106</vt:i4>
      </vt:variant>
      <vt:variant>
        <vt:i4>21</vt:i4>
      </vt:variant>
      <vt:variant>
        <vt:i4>0</vt:i4>
      </vt:variant>
      <vt:variant>
        <vt:i4>5</vt:i4>
      </vt:variant>
      <vt:variant>
        <vt:lpwstr>https://doi.org/10.1016/j.jclepro.2022.134871</vt:lpwstr>
      </vt:variant>
      <vt:variant>
        <vt:lpwstr/>
      </vt:variant>
      <vt:variant>
        <vt:i4>3801190</vt:i4>
      </vt:variant>
      <vt:variant>
        <vt:i4>18</vt:i4>
      </vt:variant>
      <vt:variant>
        <vt:i4>0</vt:i4>
      </vt:variant>
      <vt:variant>
        <vt:i4>5</vt:i4>
      </vt:variant>
      <vt:variant>
        <vt:lpwstr>https://www.bsx.com/CompanyDocuments/132/Mandarin Oriental Preliminary Results  Q4 2016.pdf</vt:lpwstr>
      </vt:variant>
      <vt:variant>
        <vt:lpwstr/>
      </vt:variant>
      <vt:variant>
        <vt:i4>1376361</vt:i4>
      </vt:variant>
      <vt:variant>
        <vt:i4>15</vt:i4>
      </vt:variant>
      <vt:variant>
        <vt:i4>0</vt:i4>
      </vt:variant>
      <vt:variant>
        <vt:i4>5</vt:i4>
      </vt:variant>
      <vt:variant>
        <vt:lpwstr>https://www.researchgate.net/profile/Francis-Buttle/publication/290448158_Hospitality_Marketing_Principles_and_Practices/links/63ae174bc3c99660ebb38331/Hospitality-Marketing-Principles-and-Practices.pdf</vt:lpwstr>
      </vt:variant>
      <vt:variant>
        <vt:lpwstr/>
      </vt:variant>
      <vt:variant>
        <vt:i4>6553638</vt:i4>
      </vt:variant>
      <vt:variant>
        <vt:i4>12</vt:i4>
      </vt:variant>
      <vt:variant>
        <vt:i4>0</vt:i4>
      </vt:variant>
      <vt:variant>
        <vt:i4>5</vt:i4>
      </vt:variant>
      <vt:variant>
        <vt:lpwstr>https://pure.ulster.ac.uk/ws/files/98492847/Zohreh_et_al_AI_in_Tourism_Main_Manuscript_accepted_version_.pdf</vt:lpwstr>
      </vt:variant>
      <vt:variant>
        <vt:lpwstr/>
      </vt:variant>
      <vt:variant>
        <vt:i4>327689</vt:i4>
      </vt:variant>
      <vt:variant>
        <vt:i4>9</vt:i4>
      </vt:variant>
      <vt:variant>
        <vt:i4>0</vt:i4>
      </vt:variant>
      <vt:variant>
        <vt:i4>5</vt:i4>
      </vt:variant>
      <vt:variant>
        <vt:lpwstr>https://www.mingtiandi.com/real-estate/finance/mandarin-oriental-swings-to-underlying-profit-in-2022/</vt:lpwstr>
      </vt:variant>
      <vt:variant>
        <vt:lpwstr/>
      </vt:variant>
      <vt:variant>
        <vt:i4>2031688</vt:i4>
      </vt:variant>
      <vt:variant>
        <vt:i4>6</vt:i4>
      </vt:variant>
      <vt:variant>
        <vt:i4>0</vt:i4>
      </vt:variant>
      <vt:variant>
        <vt:i4>5</vt:i4>
      </vt:variant>
      <vt:variant>
        <vt:lpwstr>https://www.repository.utl.pt/bitstream/10400.5/27132/1/DM-CTPB-2022.pdf</vt:lpwstr>
      </vt:variant>
      <vt:variant>
        <vt:lpwstr/>
      </vt:variant>
      <vt:variant>
        <vt:i4>2752523</vt:i4>
      </vt:variant>
      <vt:variant>
        <vt:i4>3</vt:i4>
      </vt:variant>
      <vt:variant>
        <vt:i4>0</vt:i4>
      </vt:variant>
      <vt:variant>
        <vt:i4>5</vt:i4>
      </vt:variant>
      <vt:variant>
        <vt:lpwstr>https://www.researchgate.net/profile/Serhat-Alpagut-2/publication/366192593_The_Relationship_Between_Inflation_Public_Revenues_and_Public_Expenditure_A_Panel_Analysis_on_European_Countries/links/639715bc11e9f00cda3dc1fd/The-Relationship-Between-Inflation-Public-Revenues-and-Public-Expenditure-A-Panel-Analysis-on-European-Countries.pdf</vt:lpwstr>
      </vt:variant>
      <vt:variant>
        <vt:lpwstr>page=364</vt:lpwstr>
      </vt:variant>
      <vt:variant>
        <vt:i4>2555937</vt:i4>
      </vt:variant>
      <vt:variant>
        <vt:i4>0</vt:i4>
      </vt:variant>
      <vt:variant>
        <vt:i4>0</vt:i4>
      </vt:variant>
      <vt:variant>
        <vt:i4>5</vt:i4>
      </vt:variant>
      <vt:variant>
        <vt:lpwstr>https://photos.mandarinoriental.com/is/content/MandarinOriental/corporate-22arMOIL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2023-11-20T22:42:00Z</dcterms:created>
  <dcterms:modified xsi:type="dcterms:W3CDTF">2023-11-20T22:42:00Z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37497c0769354168e92a52e98935e712600c6aab9977e316442346d6d83f5373</vt:lpwstr>
  </property>
</Properties>
</file>