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65467C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E63F0">
              <w:rPr>
                <w:rFonts w:ascii="Times New Roman" w:hAnsi="Times New Roman" w:cs="Times New Roman"/>
                <w:b/>
                <w:color w:val="auto"/>
                <w:sz w:val="48"/>
              </w:rPr>
              <w:t xml:space="preserve">Cheryl Phillips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F50BC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E63F0">
              <w:rPr>
                <w:rFonts w:ascii="Times New Roman" w:hAnsi="Times New Roman" w:cs="Times New Roman"/>
                <w:b/>
                <w:color w:val="auto"/>
                <w:sz w:val="48"/>
              </w:rPr>
              <w:t xml:space="preserve"> cheryl.phillips@powys.gov.uk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BEAE8B9" w:rsidR="0085230E" w:rsidRDefault="0070730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1502675</w:t>
            </w:r>
          </w:p>
          <w:p w14:paraId="2F05B0A7" w14:textId="77777777" w:rsidR="00707301" w:rsidRPr="005D3F07" w:rsidRDefault="00707301"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B5258AF" w14:textId="77777777" w:rsidR="00E16808" w:rsidRPr="00032ECF" w:rsidRDefault="00E16808" w:rsidP="00E16808">
            <w:pPr>
              <w:spacing w:line="360" w:lineRule="auto"/>
              <w:jc w:val="both"/>
              <w:rPr>
                <w:iCs/>
                <w:sz w:val="24"/>
                <w:szCs w:val="24"/>
              </w:rPr>
            </w:pPr>
            <w:r w:rsidRPr="00032ECF">
              <w:rPr>
                <w:iCs/>
                <w:sz w:val="24"/>
                <w:szCs w:val="24"/>
              </w:rPr>
              <w:t xml:space="preserve">This case study will explore and critically reflect on a recent safeguarding case where concerns were raised regarding a family residing in a rural village in Wales.  For confidentiality reasons and adhering to the Data protection Act (2018) names and geographical locations will be anonymised Where I will refer to the children as ‘Child 1’ (aged 12) and ‘Child 2’ (aged 7). </w:t>
            </w:r>
          </w:p>
          <w:p w14:paraId="4120EB45" w14:textId="77777777" w:rsidR="00E16808" w:rsidRPr="00032ECF" w:rsidRDefault="00E16808" w:rsidP="00E16808">
            <w:pPr>
              <w:pStyle w:val="NormalWeb"/>
              <w:spacing w:line="360" w:lineRule="auto"/>
              <w:rPr>
                <w:rFonts w:ascii="Arial" w:hAnsi="Arial" w:cs="Arial"/>
              </w:rPr>
            </w:pPr>
            <w:r w:rsidRPr="00032ECF">
              <w:rPr>
                <w:rFonts w:ascii="Arial" w:hAnsi="Arial" w:cs="Arial"/>
              </w:rPr>
              <w:t xml:space="preserve">Concerns were raised with Children's Services following a duty referral from school under </w:t>
            </w:r>
            <w:r w:rsidRPr="00032ECF">
              <w:rPr>
                <w:rFonts w:ascii="Arial" w:hAnsi="Arial" w:cs="Arial"/>
                <w:iCs/>
              </w:rPr>
              <w:t xml:space="preserve">Section 17 of the Children Act 1989 (CA 1989), </w:t>
            </w:r>
            <w:r w:rsidRPr="00032ECF">
              <w:rPr>
                <w:rFonts w:ascii="Arial" w:hAnsi="Arial" w:cs="Arial"/>
              </w:rPr>
              <w:t>highlighting worries about the children’s wellbeing at home.  Child 2 had become increasingly anxious, withdrawn from their peers, and had started wetting themselves during the school day. They disclosed to their teacher that there were frequent arguments at home. From this referral, there was enough information to suggest the children could be at risk of significant harm.</w:t>
            </w:r>
          </w:p>
          <w:p w14:paraId="26EE8AAA" w14:textId="77777777" w:rsidR="00E16808" w:rsidRPr="00032ECF" w:rsidRDefault="00E16808" w:rsidP="00E16808">
            <w:pPr>
              <w:spacing w:line="360" w:lineRule="auto"/>
              <w:jc w:val="both"/>
              <w:rPr>
                <w:iCs/>
                <w:sz w:val="24"/>
                <w:szCs w:val="24"/>
              </w:rPr>
            </w:pPr>
            <w:r w:rsidRPr="00032ECF">
              <w:rPr>
                <w:iCs/>
                <w:sz w:val="24"/>
                <w:szCs w:val="24"/>
              </w:rPr>
              <w:t xml:space="preserve">Initially I began working with the family to complete a care and wellbeing assessment which is a consent-based assessment in line with </w:t>
            </w:r>
            <w:r w:rsidRPr="00032ECF">
              <w:rPr>
                <w:sz w:val="24"/>
                <w:szCs w:val="24"/>
              </w:rPr>
              <w:t xml:space="preserve">Section 21 of the Social Services and Wellbeing (Wales) Act (2014) (SSWBA2014).  This legislation gives the local authority a duty to assess </w:t>
            </w:r>
            <w:r w:rsidRPr="00032ECF">
              <w:rPr>
                <w:sz w:val="24"/>
                <w:szCs w:val="24"/>
              </w:rPr>
              <w:lastRenderedPageBreak/>
              <w:t xml:space="preserve">for a child’s care and support needs.  At the time, we were given consent however had they refused, I would not have been able to continue. </w:t>
            </w:r>
            <w:r w:rsidRPr="00032ECF">
              <w:rPr>
                <w:iCs/>
                <w:sz w:val="24"/>
                <w:szCs w:val="24"/>
              </w:rPr>
              <w:t xml:space="preserve">The case progressed to a Section 47 investigation under the (CA 1989) following a disclosure from Child 1, reporting that his father had physically assaulted him.  </w:t>
            </w:r>
          </w:p>
          <w:p w14:paraId="284A5202" w14:textId="77777777" w:rsidR="00E16808" w:rsidRPr="00032ECF" w:rsidRDefault="00E16808" w:rsidP="00E16808">
            <w:pPr>
              <w:spacing w:line="360" w:lineRule="auto"/>
              <w:jc w:val="both"/>
              <w:rPr>
                <w:iCs/>
                <w:sz w:val="24"/>
                <w:szCs w:val="24"/>
              </w:rPr>
            </w:pPr>
            <w:r w:rsidRPr="00032ECF">
              <w:rPr>
                <w:iCs/>
                <w:sz w:val="24"/>
                <w:szCs w:val="24"/>
              </w:rPr>
              <w:t>The case highlights the complexities of safeguarding children and the importance of multiagency working and collaborative practice with professionals and engaging the family.  It emphasises the need for professional judgement, curiosity and challenge.  On reflection, I recognised how theory not only guided my decisions but also challenged how I understand family dynamics in safeguarding contexts.</w:t>
            </w:r>
          </w:p>
          <w:p w14:paraId="4638DDAF" w14:textId="77777777" w:rsidR="00E16808" w:rsidRPr="00032ECF" w:rsidRDefault="00E16808" w:rsidP="00E16808">
            <w:pPr>
              <w:spacing w:line="360" w:lineRule="auto"/>
              <w:jc w:val="both"/>
              <w:rPr>
                <w:iCs/>
                <w:sz w:val="24"/>
                <w:szCs w:val="24"/>
              </w:rPr>
            </w:pPr>
          </w:p>
          <w:p w14:paraId="0E9D5CF1" w14:textId="77777777" w:rsidR="00E16808" w:rsidRDefault="00E16808" w:rsidP="00E16808">
            <w:pPr>
              <w:spacing w:line="360" w:lineRule="auto"/>
              <w:jc w:val="both"/>
              <w:rPr>
                <w:sz w:val="24"/>
                <w:szCs w:val="24"/>
              </w:rPr>
            </w:pPr>
            <w:r w:rsidRPr="00032ECF">
              <w:rPr>
                <w:sz w:val="24"/>
                <w:szCs w:val="24"/>
              </w:rPr>
              <w:t>Reflecting on this case through theoretical frameworks helped deepen my understanding of family dynamics.  I used Kolb’s Model of Reflective Practice throughout this case study to be both critical and complementary of my work.  Being familiar with social work theory has allowed me to understand human behaviours which can influence lives.  Theory supported my decision-making and helped implement interventions that promoted the best outcomes for the children.”</w:t>
            </w:r>
          </w:p>
          <w:p w14:paraId="73FF9F79" w14:textId="77777777" w:rsidR="008A46A9" w:rsidRPr="00032ECF" w:rsidRDefault="008A46A9" w:rsidP="00E16808">
            <w:pPr>
              <w:spacing w:line="360" w:lineRule="auto"/>
              <w:jc w:val="both"/>
              <w:rPr>
                <w:iCs/>
                <w:sz w:val="24"/>
                <w:szCs w:val="24"/>
              </w:rPr>
            </w:pPr>
          </w:p>
          <w:p w14:paraId="46033F46" w14:textId="77777777" w:rsidR="00E16808" w:rsidRPr="00032ECF" w:rsidRDefault="00E16808" w:rsidP="00E16808">
            <w:pPr>
              <w:spacing w:line="360" w:lineRule="auto"/>
              <w:jc w:val="both"/>
              <w:rPr>
                <w:iCs/>
                <w:sz w:val="24"/>
                <w:szCs w:val="24"/>
              </w:rPr>
            </w:pPr>
            <w:r w:rsidRPr="00032ECF">
              <w:rPr>
                <w:sz w:val="24"/>
                <w:szCs w:val="24"/>
              </w:rPr>
              <w:t>To understand the legal context of this case, it was important to consider the relevant safeguarding legislation.</w:t>
            </w:r>
            <w:r>
              <w:rPr>
                <w:sz w:val="24"/>
                <w:szCs w:val="24"/>
              </w:rPr>
              <w:t xml:space="preserve">  </w:t>
            </w:r>
            <w:r w:rsidRPr="00032ECF">
              <w:rPr>
                <w:sz w:val="24"/>
                <w:szCs w:val="24"/>
              </w:rPr>
              <w:t xml:space="preserve">The study explores the </w:t>
            </w:r>
            <w:r w:rsidRPr="00032ECF">
              <w:rPr>
                <w:iCs/>
                <w:sz w:val="24"/>
                <w:szCs w:val="24"/>
              </w:rPr>
              <w:t xml:space="preserve">ethical and legal duties and professional responsibilities of social work practice in Wales to protect children from harm, drawing on </w:t>
            </w:r>
            <w:r w:rsidRPr="00032ECF">
              <w:rPr>
                <w:sz w:val="24"/>
                <w:szCs w:val="24"/>
              </w:rPr>
              <w:t xml:space="preserve">key safeguarding legislation, policies, strategies, and procedures within the Welsh context as well as broader frameworks across the United Kingdom and European Union. </w:t>
            </w:r>
          </w:p>
          <w:p w14:paraId="059F4357" w14:textId="77777777" w:rsidR="00E16808" w:rsidRDefault="00E16808" w:rsidP="00E16808">
            <w:pPr>
              <w:spacing w:line="360" w:lineRule="auto"/>
              <w:jc w:val="both"/>
              <w:rPr>
                <w:iCs/>
                <w:sz w:val="24"/>
                <w:szCs w:val="24"/>
              </w:rPr>
            </w:pPr>
            <w:r w:rsidRPr="00032ECF">
              <w:rPr>
                <w:iCs/>
                <w:sz w:val="24"/>
                <w:szCs w:val="24"/>
              </w:rPr>
              <w:t xml:space="preserve">The study also draws on my personal experience throughout the assessment, investigation and planning process to safeguard the children, ensuring that the child’s voice remained central to my practice.  It highlights how domestic violence impacted the entire family and demonstrates how safeguarding needed to be responsive and adaptable to the family’s needs.   It was essential that the support offered was sensitive to the family’s background and experiences, while respecting and protecting their human rights throughout the safeguarding process in line with the values set out in the Code of Professional Practice for Social Care Workers 2024 (COPP 2024) (Social Care Wales, 2024).  </w:t>
            </w:r>
          </w:p>
          <w:p w14:paraId="306C9270" w14:textId="77777777" w:rsidR="008A46A9" w:rsidRPr="00032ECF" w:rsidRDefault="008A46A9" w:rsidP="00E16808">
            <w:pPr>
              <w:spacing w:line="360" w:lineRule="auto"/>
              <w:jc w:val="both"/>
              <w:rPr>
                <w:iCs/>
                <w:sz w:val="24"/>
                <w:szCs w:val="24"/>
              </w:rPr>
            </w:pPr>
          </w:p>
          <w:p w14:paraId="49E70B17" w14:textId="77777777" w:rsidR="00E16808" w:rsidRDefault="00E16808" w:rsidP="00E16808">
            <w:pPr>
              <w:spacing w:line="360" w:lineRule="auto"/>
              <w:jc w:val="both"/>
              <w:rPr>
                <w:sz w:val="24"/>
                <w:szCs w:val="24"/>
              </w:rPr>
            </w:pPr>
            <w:r w:rsidRPr="00032ECF">
              <w:rPr>
                <w:iCs/>
                <w:sz w:val="24"/>
                <w:szCs w:val="24"/>
              </w:rPr>
              <w:lastRenderedPageBreak/>
              <w:t>During the initial conversation, the mother disclosed that if Children’s Services became involved, she was afraid things would get worse. This highlighted to me a possible lack of control, which can be common in domestic violence situations. This experience emphasised the importance of recognising indicators of coercive control and how fear can stop disclosures. I was guided by the principles in (COPP 2025)</w:t>
            </w:r>
            <w:r w:rsidRPr="00032ECF">
              <w:rPr>
                <w:sz w:val="24"/>
                <w:szCs w:val="24"/>
              </w:rPr>
              <w:t xml:space="preserve"> which emphasise respect, dignity, and promoting the individual’s voice. </w:t>
            </w:r>
            <w:r w:rsidRPr="00032ECF">
              <w:rPr>
                <w:iCs/>
                <w:sz w:val="24"/>
                <w:szCs w:val="24"/>
              </w:rPr>
              <w:t>Reflecting on her nervousness, I</w:t>
            </w:r>
            <w:r w:rsidRPr="00032ECF">
              <w:rPr>
                <w:sz w:val="24"/>
                <w:szCs w:val="24"/>
              </w:rPr>
              <w:t xml:space="preserve"> began </w:t>
            </w:r>
            <w:r w:rsidRPr="00032ECF">
              <w:rPr>
                <w:iCs/>
                <w:sz w:val="24"/>
                <w:szCs w:val="24"/>
              </w:rPr>
              <w:t xml:space="preserve">by introducing myself clearly and explaining my role, outlining the purpose of the assessment in a non-threatening, respectful manner to reduce any power imbalance and encourage her to be open and honest with me.  This reflects how Karim (2023) views the need for social workers to be aware of power imbalances </w:t>
            </w:r>
            <w:r w:rsidRPr="00032ECF">
              <w:rPr>
                <w:sz w:val="24"/>
                <w:szCs w:val="24"/>
              </w:rPr>
              <w:t>in their everyday interactions, so that our practice supports people rather than making them feel more vulnerable.</w:t>
            </w:r>
          </w:p>
          <w:p w14:paraId="00E9EEA1" w14:textId="77777777" w:rsidR="008A46A9" w:rsidRPr="00032ECF" w:rsidRDefault="008A46A9" w:rsidP="00E16808">
            <w:pPr>
              <w:spacing w:line="360" w:lineRule="auto"/>
              <w:jc w:val="both"/>
              <w:rPr>
                <w:iCs/>
                <w:sz w:val="24"/>
                <w:szCs w:val="24"/>
              </w:rPr>
            </w:pPr>
          </w:p>
          <w:p w14:paraId="3FA14AD2" w14:textId="77777777" w:rsidR="00E16808" w:rsidRPr="00032ECF" w:rsidRDefault="00E16808" w:rsidP="00E16808">
            <w:pPr>
              <w:spacing w:line="360" w:lineRule="auto"/>
              <w:jc w:val="both"/>
              <w:rPr>
                <w:iCs/>
                <w:sz w:val="24"/>
                <w:szCs w:val="24"/>
              </w:rPr>
            </w:pPr>
            <w:r w:rsidRPr="00032ECF">
              <w:rPr>
                <w:sz w:val="24"/>
                <w:szCs w:val="24"/>
              </w:rPr>
              <w:t xml:space="preserve">Domestic abuse within the family presented significant safeguarding concerns.  The mother disclosed that the relationship with the father was very turbulent, describing controlling behaviours </w:t>
            </w:r>
            <w:r w:rsidRPr="00032ECF">
              <w:rPr>
                <w:iCs/>
                <w:sz w:val="24"/>
                <w:szCs w:val="24"/>
              </w:rPr>
              <w:t xml:space="preserve">emotional abuse, and financial restrictions.  However, she was hesitant to label the relationship as abusive. She expressed fear of leaving the relationship and denied that the children saw or heard anything. I was aware of the emotional impact the visit was having on her and her reluctance to seek help, which was possibly from previous trauma.  </w:t>
            </w:r>
          </w:p>
          <w:p w14:paraId="29C02F7C" w14:textId="77777777" w:rsidR="00E16808" w:rsidRDefault="00E16808" w:rsidP="00E16808">
            <w:pPr>
              <w:spacing w:line="360" w:lineRule="auto"/>
              <w:jc w:val="both"/>
              <w:rPr>
                <w:iCs/>
                <w:sz w:val="24"/>
                <w:szCs w:val="24"/>
              </w:rPr>
            </w:pPr>
            <w:r w:rsidRPr="00032ECF">
              <w:rPr>
                <w:iCs/>
                <w:sz w:val="24"/>
                <w:szCs w:val="24"/>
              </w:rPr>
              <w:t>A trauma-informed approach was central to my engagement, which emphasised physical and emotional safety, transparency, and cultural sensitivity in all my interactions (MacFarlane, 2023). I ensured the mother felt heard and validated. This approach helped build trust and reduced the emotional impact of the visit.</w:t>
            </w:r>
          </w:p>
          <w:p w14:paraId="6D1B3C57" w14:textId="77777777" w:rsidR="008A46A9" w:rsidRPr="00032ECF" w:rsidRDefault="008A46A9" w:rsidP="00E16808">
            <w:pPr>
              <w:spacing w:line="360" w:lineRule="auto"/>
              <w:jc w:val="both"/>
              <w:rPr>
                <w:iCs/>
                <w:sz w:val="24"/>
                <w:szCs w:val="24"/>
              </w:rPr>
            </w:pPr>
          </w:p>
          <w:p w14:paraId="4CEA6FAE" w14:textId="77777777" w:rsidR="00E16808" w:rsidRPr="00032ECF" w:rsidRDefault="00E16808" w:rsidP="00E16808">
            <w:pPr>
              <w:spacing w:line="360" w:lineRule="auto"/>
              <w:jc w:val="both"/>
              <w:rPr>
                <w:iCs/>
                <w:sz w:val="24"/>
                <w:szCs w:val="24"/>
              </w:rPr>
            </w:pPr>
            <w:r w:rsidRPr="00032ECF">
              <w:rPr>
                <w:sz w:val="24"/>
                <w:szCs w:val="24"/>
              </w:rPr>
              <w:t>Balancing ethical responsibilities with legal duties presented a key dilemma.</w:t>
            </w:r>
            <w:r w:rsidRPr="00032ECF">
              <w:rPr>
                <w:iCs/>
                <w:sz w:val="24"/>
                <w:szCs w:val="24"/>
              </w:rPr>
              <w:t xml:space="preserve">  </w:t>
            </w:r>
            <w:r w:rsidRPr="00032ECF">
              <w:rPr>
                <w:sz w:val="24"/>
                <w:szCs w:val="24"/>
              </w:rPr>
              <w:t>I recognised a tension between supporting the mother’s right to make her own choices my legal duty to protect the children.</w:t>
            </w:r>
            <w:r w:rsidRPr="00032ECF">
              <w:rPr>
                <w:iCs/>
                <w:sz w:val="24"/>
                <w:szCs w:val="24"/>
              </w:rPr>
              <w:t xml:space="preserve">  Despite her disclosures, the threshold for significant harm was not initially met.   However, concerns remained about the impact of domestic conflict on the children. These concerns were further explored through a Care and Wellbeing assessment and direct work with the children listening to their voice to understand their lived experiences and take effective action to support or safeguard them (National Society for the Prevention of Cruelty to Children 2024) (NSPCC 2024). </w:t>
            </w:r>
          </w:p>
          <w:p w14:paraId="58CB3290" w14:textId="77777777" w:rsidR="00E16808" w:rsidRDefault="00E16808" w:rsidP="00E16808">
            <w:pPr>
              <w:spacing w:line="360" w:lineRule="auto"/>
              <w:jc w:val="both"/>
              <w:rPr>
                <w:sz w:val="24"/>
                <w:szCs w:val="24"/>
              </w:rPr>
            </w:pPr>
            <w:r w:rsidRPr="00032ECF">
              <w:rPr>
                <w:sz w:val="24"/>
                <w:szCs w:val="24"/>
              </w:rPr>
              <w:lastRenderedPageBreak/>
              <w:t xml:space="preserve">The importance of understanding legal frameworks became more apparent to guide me in my work. </w:t>
            </w:r>
            <w:r w:rsidRPr="00032ECF">
              <w:rPr>
                <w:iCs/>
                <w:sz w:val="24"/>
                <w:szCs w:val="24"/>
              </w:rPr>
              <w:t xml:space="preserve"> </w:t>
            </w:r>
            <w:r w:rsidRPr="00032ECF">
              <w:rPr>
                <w:sz w:val="24"/>
                <w:szCs w:val="24"/>
              </w:rPr>
              <w:t>Although the UK has left the EU, international conventions such as the United Nations Convention on the Rights of the Child (1989) (</w:t>
            </w:r>
            <w:r w:rsidRPr="00032ECF">
              <w:rPr>
                <w:rStyle w:val="Strong"/>
                <w:b w:val="0"/>
                <w:sz w:val="24"/>
                <w:szCs w:val="24"/>
              </w:rPr>
              <w:t>UNCRC 1989)</w:t>
            </w:r>
            <w:r w:rsidRPr="00032ECF">
              <w:rPr>
                <w:sz w:val="24"/>
                <w:szCs w:val="24"/>
              </w:rPr>
              <w:t xml:space="preserve"> and the </w:t>
            </w:r>
            <w:r w:rsidRPr="00032ECF">
              <w:rPr>
                <w:rStyle w:val="Strong"/>
                <w:b w:val="0"/>
                <w:sz w:val="24"/>
                <w:szCs w:val="24"/>
              </w:rPr>
              <w:t>European Convention on Human Rights</w:t>
            </w:r>
            <w:r w:rsidRPr="00032ECF">
              <w:rPr>
                <w:sz w:val="24"/>
                <w:szCs w:val="24"/>
              </w:rPr>
              <w:t xml:space="preserve"> (1950) continue to shape safeguarding policy and practice in Wales. These frameworks help keep a rights-based approach and highlights the need to protect children from harm, no matter what political changes occur.</w:t>
            </w:r>
          </w:p>
          <w:p w14:paraId="5A112E91" w14:textId="77777777" w:rsidR="008A46A9" w:rsidRPr="00032ECF" w:rsidRDefault="008A46A9" w:rsidP="00E16808">
            <w:pPr>
              <w:spacing w:line="360" w:lineRule="auto"/>
              <w:jc w:val="both"/>
              <w:rPr>
                <w:iCs/>
                <w:sz w:val="24"/>
                <w:szCs w:val="24"/>
              </w:rPr>
            </w:pPr>
          </w:p>
          <w:p w14:paraId="065F9BAD" w14:textId="77777777" w:rsidR="00E16808" w:rsidRDefault="00E16808" w:rsidP="00E16808">
            <w:pPr>
              <w:spacing w:line="360" w:lineRule="auto"/>
              <w:jc w:val="both"/>
              <w:rPr>
                <w:sz w:val="24"/>
                <w:szCs w:val="24"/>
              </w:rPr>
            </w:pPr>
            <w:r w:rsidRPr="00032ECF">
              <w:rPr>
                <w:sz w:val="24"/>
                <w:szCs w:val="24"/>
              </w:rPr>
              <w:t xml:space="preserve">National legislation informed my approach. The </w:t>
            </w:r>
            <w:r w:rsidRPr="00032ECF">
              <w:rPr>
                <w:rStyle w:val="Strong"/>
                <w:b w:val="0"/>
                <w:sz w:val="24"/>
                <w:szCs w:val="24"/>
              </w:rPr>
              <w:t>Well-being of Future</w:t>
            </w:r>
            <w:r w:rsidRPr="00032ECF">
              <w:rPr>
                <w:rStyle w:val="Strong"/>
                <w:sz w:val="24"/>
                <w:szCs w:val="24"/>
              </w:rPr>
              <w:t xml:space="preserve"> </w:t>
            </w:r>
            <w:r w:rsidRPr="00032ECF">
              <w:rPr>
                <w:rStyle w:val="Strong"/>
                <w:b w:val="0"/>
                <w:sz w:val="24"/>
                <w:szCs w:val="24"/>
              </w:rPr>
              <w:t>Generations (Wales) Act (2015)</w:t>
            </w:r>
            <w:r w:rsidRPr="00032ECF">
              <w:rPr>
                <w:sz w:val="24"/>
                <w:szCs w:val="24"/>
              </w:rPr>
              <w:t xml:space="preserve"> encouraged long-term thinking and preventative action to improve outcomes for children and families (Welsh Government 2015). In addition, </w:t>
            </w:r>
            <w:r w:rsidRPr="00032ECF">
              <w:rPr>
                <w:rStyle w:val="Strong"/>
                <w:b w:val="0"/>
                <w:sz w:val="24"/>
                <w:szCs w:val="24"/>
              </w:rPr>
              <w:t>equality legislation</w:t>
            </w:r>
            <w:r w:rsidRPr="00032ECF">
              <w:rPr>
                <w:sz w:val="24"/>
                <w:szCs w:val="24"/>
              </w:rPr>
              <w:t xml:space="preserve"> guided my practice to ensure the family was treated fairly and without discrimination, with cultural sensitivity and respect for their identity and language preferences.  </w:t>
            </w:r>
          </w:p>
          <w:p w14:paraId="549F3325" w14:textId="77777777" w:rsidR="008A46A9" w:rsidRPr="00032ECF" w:rsidRDefault="008A46A9" w:rsidP="00E16808">
            <w:pPr>
              <w:spacing w:line="360" w:lineRule="auto"/>
              <w:jc w:val="both"/>
              <w:rPr>
                <w:sz w:val="24"/>
                <w:szCs w:val="24"/>
              </w:rPr>
            </w:pPr>
          </w:p>
          <w:p w14:paraId="1CE3FBC4" w14:textId="77777777" w:rsidR="00E16808" w:rsidRDefault="00E16808" w:rsidP="00E16808">
            <w:pPr>
              <w:spacing w:line="360" w:lineRule="auto"/>
              <w:jc w:val="both"/>
              <w:rPr>
                <w:sz w:val="24"/>
                <w:szCs w:val="24"/>
              </w:rPr>
            </w:pPr>
            <w:r w:rsidRPr="00032ECF">
              <w:rPr>
                <w:sz w:val="24"/>
                <w:szCs w:val="24"/>
              </w:rPr>
              <w:t xml:space="preserve">As part of the intervention and support planning, both children were referred to </w:t>
            </w:r>
            <w:r w:rsidRPr="00032ECF">
              <w:rPr>
                <w:rStyle w:val="Strong"/>
                <w:b w:val="0"/>
                <w:sz w:val="24"/>
                <w:szCs w:val="24"/>
              </w:rPr>
              <w:t>Calan DVS</w:t>
            </w:r>
            <w:r w:rsidRPr="00032ECF">
              <w:rPr>
                <w:sz w:val="24"/>
                <w:szCs w:val="24"/>
              </w:rPr>
              <w:t xml:space="preserve"> through the </w:t>
            </w:r>
            <w:r w:rsidRPr="00032ECF">
              <w:rPr>
                <w:rStyle w:val="Strong"/>
                <w:b w:val="0"/>
                <w:sz w:val="24"/>
                <w:szCs w:val="24"/>
              </w:rPr>
              <w:t>Inspiring Families programme</w:t>
            </w:r>
            <w:r w:rsidRPr="00032ECF">
              <w:rPr>
                <w:b/>
                <w:bCs/>
                <w:sz w:val="24"/>
                <w:szCs w:val="24"/>
              </w:rPr>
              <w:t>,</w:t>
            </w:r>
            <w:r w:rsidRPr="00032ECF">
              <w:rPr>
                <w:sz w:val="24"/>
                <w:szCs w:val="24"/>
              </w:rPr>
              <w:t xml:space="preserve"> a 10-week support initiative offering support to families affected by domestic abuse.  The programme helps to assess risk, understand the impact of abuse, and promote safer relationships.</w:t>
            </w:r>
            <w:r w:rsidRPr="00032ECF">
              <w:rPr>
                <w:i/>
                <w:iCs/>
                <w:sz w:val="24"/>
                <w:szCs w:val="24"/>
              </w:rPr>
              <w:t xml:space="preserve"> </w:t>
            </w:r>
            <w:r w:rsidRPr="00032ECF">
              <w:rPr>
                <w:sz w:val="24"/>
                <w:szCs w:val="24"/>
              </w:rPr>
              <w:t>Calan DVS</w:t>
            </w:r>
            <w:r w:rsidRPr="00032ECF">
              <w:rPr>
                <w:i/>
                <w:iCs/>
                <w:sz w:val="24"/>
                <w:szCs w:val="24"/>
              </w:rPr>
              <w:t xml:space="preserve"> </w:t>
            </w:r>
            <w:r w:rsidRPr="00032ECF">
              <w:rPr>
                <w:sz w:val="24"/>
                <w:szCs w:val="24"/>
              </w:rPr>
              <w:t xml:space="preserve">highlights that </w:t>
            </w:r>
            <w:r w:rsidRPr="00032ECF">
              <w:rPr>
                <w:rStyle w:val="Emphasis"/>
                <w:rFonts w:eastAsiaTheme="majorEastAsia"/>
                <w:sz w:val="24"/>
                <w:szCs w:val="24"/>
              </w:rPr>
              <w:t>“children and young people experiencing domestic abuse can have their safety and well-being severely undermined as a result of living with domestic abuse”</w:t>
            </w:r>
            <w:r w:rsidRPr="00032ECF">
              <w:rPr>
                <w:i/>
                <w:iCs/>
                <w:sz w:val="24"/>
                <w:szCs w:val="24"/>
              </w:rPr>
              <w:t xml:space="preserve">, </w:t>
            </w:r>
            <w:r w:rsidRPr="00032ECF">
              <w:rPr>
                <w:sz w:val="24"/>
                <w:szCs w:val="24"/>
              </w:rPr>
              <w:t>and that</w:t>
            </w:r>
            <w:r w:rsidRPr="00032ECF">
              <w:rPr>
                <w:i/>
                <w:iCs/>
                <w:sz w:val="24"/>
                <w:szCs w:val="24"/>
              </w:rPr>
              <w:t xml:space="preserve"> </w:t>
            </w:r>
            <w:r w:rsidRPr="00032ECF">
              <w:rPr>
                <w:rStyle w:val="Emphasis"/>
                <w:rFonts w:eastAsiaTheme="majorEastAsia"/>
                <w:sz w:val="24"/>
                <w:szCs w:val="24"/>
              </w:rPr>
              <w:t>“all children witnessing domestic abuse are being emotionally abused”</w:t>
            </w:r>
            <w:r w:rsidRPr="00032ECF">
              <w:rPr>
                <w:i/>
                <w:iCs/>
                <w:sz w:val="24"/>
                <w:szCs w:val="24"/>
              </w:rPr>
              <w:t>.</w:t>
            </w:r>
            <w:r w:rsidRPr="00032ECF">
              <w:rPr>
                <w:sz w:val="24"/>
                <w:szCs w:val="24"/>
              </w:rPr>
              <w:t xml:space="preserve"> Research shows that </w:t>
            </w:r>
            <w:r w:rsidRPr="00032ECF">
              <w:rPr>
                <w:rStyle w:val="Strong"/>
                <w:b w:val="0"/>
                <w:sz w:val="24"/>
                <w:szCs w:val="24"/>
              </w:rPr>
              <w:t>62% of children living in domestic abuse households are directly harmed by the perpetrator</w:t>
            </w:r>
            <w:r w:rsidRPr="00032ECF">
              <w:rPr>
                <w:sz w:val="24"/>
                <w:szCs w:val="24"/>
              </w:rPr>
              <w:t>, in addition to the harm caused by witnessing abuse Calan DVS (no date). These statistics reinforced the urgency of intervention and the importance of trauma-informed support for the children.</w:t>
            </w:r>
          </w:p>
          <w:p w14:paraId="3483DFA5" w14:textId="77777777" w:rsidR="008A46A9" w:rsidRPr="00032ECF" w:rsidRDefault="008A46A9" w:rsidP="00E16808">
            <w:pPr>
              <w:spacing w:line="360" w:lineRule="auto"/>
              <w:jc w:val="both"/>
              <w:rPr>
                <w:sz w:val="24"/>
                <w:szCs w:val="24"/>
              </w:rPr>
            </w:pPr>
          </w:p>
          <w:p w14:paraId="713E3F5A" w14:textId="77777777" w:rsidR="00E16808" w:rsidRPr="00032ECF" w:rsidRDefault="00E16808" w:rsidP="00E16808">
            <w:pPr>
              <w:spacing w:line="360" w:lineRule="auto"/>
              <w:jc w:val="both"/>
              <w:rPr>
                <w:sz w:val="24"/>
                <w:szCs w:val="24"/>
              </w:rPr>
            </w:pPr>
            <w:r w:rsidRPr="00032ECF">
              <w:rPr>
                <w:sz w:val="24"/>
                <w:szCs w:val="24"/>
              </w:rPr>
              <w:t>Direct work with the children was completed in a safe and familiar environment. Sessions took place individually in school, where the children felt secure.  The Wales Safeguarding Procedures (2025) state that children should be seen and heard away from parents and carers in an environment where they feel safe.  For child 1, I used age-appropriate strategies such as drawing, scaling questions and strengths-based questioning to help him express himself. I used Signs of Safety resources to complete safety houses and identify safe people (Turnell and Edwards, 1999).  For Child 2 I used play</w:t>
            </w:r>
            <w:r w:rsidRPr="00032ECF">
              <w:rPr>
                <w:rStyle w:val="Strong"/>
                <w:b w:val="0"/>
                <w:sz w:val="24"/>
                <w:szCs w:val="24"/>
              </w:rPr>
              <w:t>-based and drawing activities</w:t>
            </w:r>
            <w:r w:rsidRPr="00032ECF">
              <w:rPr>
                <w:sz w:val="24"/>
                <w:szCs w:val="24"/>
              </w:rPr>
              <w:t xml:space="preserve"> that were </w:t>
            </w:r>
            <w:r w:rsidRPr="00032ECF">
              <w:rPr>
                <w:sz w:val="24"/>
                <w:szCs w:val="24"/>
              </w:rPr>
              <w:lastRenderedPageBreak/>
              <w:t xml:space="preserve">developmentally appropriate for him to feel safe and understood. These strategies allowed both children to express themselves in a relaxed and non-verbal way.  </w:t>
            </w:r>
          </w:p>
          <w:p w14:paraId="7C1165E3" w14:textId="77777777" w:rsidR="00E16808" w:rsidRPr="00032ECF" w:rsidRDefault="00E16808" w:rsidP="00E16808">
            <w:pPr>
              <w:spacing w:line="360" w:lineRule="auto"/>
              <w:jc w:val="both"/>
              <w:rPr>
                <w:sz w:val="24"/>
                <w:szCs w:val="24"/>
              </w:rPr>
            </w:pPr>
            <w:r w:rsidRPr="00032ECF">
              <w:rPr>
                <w:sz w:val="24"/>
                <w:szCs w:val="24"/>
              </w:rPr>
              <w:t>Throughout the session I kept the children’s voices central, ensuring they were treated with dignity and respect in line with (COPP2025).  These approaches supported the child’s voice being heard and helped build a picture of their lived experiences underpinned by the (CA 1989) and Article 13 of the (UNCRC 1989) which recognises drawing and play as a fundamental right and a valid form of expression.</w:t>
            </w:r>
          </w:p>
          <w:p w14:paraId="427EC1F5" w14:textId="77777777" w:rsidR="00E16808" w:rsidRPr="00032ECF" w:rsidRDefault="00E16808" w:rsidP="00E16808">
            <w:pPr>
              <w:spacing w:line="360" w:lineRule="auto"/>
              <w:jc w:val="both"/>
              <w:rPr>
                <w:sz w:val="24"/>
                <w:szCs w:val="24"/>
              </w:rPr>
            </w:pPr>
            <w:r w:rsidRPr="00032ECF">
              <w:rPr>
                <w:iCs/>
                <w:sz w:val="24"/>
                <w:szCs w:val="24"/>
              </w:rPr>
              <w:t xml:space="preserve">The situation escalated following a serious disclosure from </w:t>
            </w:r>
            <w:r w:rsidRPr="00032ECF">
              <w:rPr>
                <w:sz w:val="24"/>
                <w:szCs w:val="24"/>
              </w:rPr>
              <w:t xml:space="preserve">Child 2.  He reported that his father had hit him during an argument with their mother.  He described being held up against the kitchen work units with his father’s hands around his neck and then being pushed out of the room. He stated that this was not the only time that he had been hurt.  </w:t>
            </w:r>
          </w:p>
          <w:p w14:paraId="13E39DA9" w14:textId="03408ECC" w:rsidR="00E16808" w:rsidRPr="00032ECF" w:rsidRDefault="00E16808" w:rsidP="00E16808">
            <w:pPr>
              <w:spacing w:line="360" w:lineRule="auto"/>
              <w:jc w:val="both"/>
              <w:rPr>
                <w:sz w:val="24"/>
                <w:szCs w:val="24"/>
              </w:rPr>
            </w:pPr>
            <w:r w:rsidRPr="00032ECF">
              <w:rPr>
                <w:sz w:val="24"/>
                <w:szCs w:val="24"/>
              </w:rPr>
              <w:t xml:space="preserve">On 21 March 2022, the Children (Abolition of Defence of Reasonable Punishment) (Wales) Act (2020) came into force, where Wales along with 60 other countries worldwide made physical chastisement of children illegal. This legislation recognised that children deserve the same legal protection from assault as adults, </w:t>
            </w:r>
            <w:r w:rsidR="008A46A9" w:rsidRPr="00032ECF">
              <w:rPr>
                <w:sz w:val="24"/>
                <w:szCs w:val="24"/>
              </w:rPr>
              <w:t>this</w:t>
            </w:r>
            <w:r w:rsidRPr="00032ECF">
              <w:rPr>
                <w:sz w:val="24"/>
                <w:szCs w:val="24"/>
              </w:rPr>
              <w:t xml:space="preserve"> was a significant global commitment for children’s rights particularly those outlined in the (UNCRC, 1989).</w:t>
            </w:r>
          </w:p>
          <w:p w14:paraId="1E242514" w14:textId="77777777" w:rsidR="00E16808" w:rsidRPr="00032ECF" w:rsidRDefault="00E16808" w:rsidP="00E16808">
            <w:pPr>
              <w:spacing w:line="360" w:lineRule="auto"/>
              <w:jc w:val="both"/>
              <w:rPr>
                <w:sz w:val="24"/>
                <w:szCs w:val="24"/>
              </w:rPr>
            </w:pPr>
          </w:p>
          <w:p w14:paraId="6BAF2B15" w14:textId="77777777" w:rsidR="00E16808" w:rsidRPr="00032ECF" w:rsidRDefault="00E16808" w:rsidP="00E16808">
            <w:pPr>
              <w:spacing w:line="360" w:lineRule="auto"/>
              <w:jc w:val="both"/>
              <w:rPr>
                <w:sz w:val="24"/>
                <w:szCs w:val="24"/>
              </w:rPr>
            </w:pPr>
            <w:r w:rsidRPr="00032ECF">
              <w:rPr>
                <w:sz w:val="24"/>
                <w:szCs w:val="24"/>
              </w:rPr>
              <w:t xml:space="preserve">Following this disclosure the children were considered at significant risk of harm due to their father’s behaviour under </w:t>
            </w:r>
            <w:proofErr w:type="spellStart"/>
            <w:r w:rsidRPr="00032ECF">
              <w:rPr>
                <w:sz w:val="24"/>
                <w:szCs w:val="24"/>
              </w:rPr>
              <w:t>part</w:t>
            </w:r>
            <w:proofErr w:type="spellEnd"/>
            <w:r w:rsidRPr="00032ECF">
              <w:rPr>
                <w:sz w:val="24"/>
                <w:szCs w:val="24"/>
              </w:rPr>
              <w:t xml:space="preserve"> 7, Section 130 (SSWBA 2014).   I referred to </w:t>
            </w:r>
            <w:r w:rsidRPr="00032ECF">
              <w:rPr>
                <w:rStyle w:val="Strong"/>
                <w:b w:val="0"/>
                <w:sz w:val="24"/>
                <w:szCs w:val="24"/>
              </w:rPr>
              <w:t>Section 47 of the (CA 1989)</w:t>
            </w:r>
            <w:r w:rsidRPr="00032ECF">
              <w:rPr>
                <w:b/>
                <w:bCs/>
                <w:sz w:val="24"/>
                <w:szCs w:val="24"/>
              </w:rPr>
              <w:t>,</w:t>
            </w:r>
            <w:r w:rsidRPr="00032ECF">
              <w:rPr>
                <w:sz w:val="24"/>
                <w:szCs w:val="24"/>
              </w:rPr>
              <w:t xml:space="preserve"> which outlines that if there is a cause to suspect that a child is suffering or likely to suffer significant harm then there is a duty to act.  This resulted in an urgent strategy discussion being convened, </w:t>
            </w:r>
            <w:r w:rsidRPr="00032ECF">
              <w:rPr>
                <w:iCs/>
                <w:sz w:val="24"/>
                <w:szCs w:val="24"/>
              </w:rPr>
              <w:t xml:space="preserve">involving Children’s services, police, education, and health professionals.  The purpose was </w:t>
            </w:r>
            <w:r w:rsidRPr="00032ECF">
              <w:rPr>
                <w:sz w:val="24"/>
                <w:szCs w:val="24"/>
              </w:rPr>
              <w:t>to share information and decide whether a formal child protection enquiry was needed. This was a crucial step in ensuring that safeguarding measures were put in place immediately if needed.  Article 19 of the (UNCRC 1989) states Governments must do all they can to ensure that children are protected from all forms of violence and abuse, by their parents or anyone else who looks after them.</w:t>
            </w:r>
          </w:p>
          <w:p w14:paraId="3A14B506" w14:textId="77777777" w:rsidR="00E16808" w:rsidRPr="00032ECF" w:rsidRDefault="00E16808" w:rsidP="00E16808">
            <w:pPr>
              <w:spacing w:line="360" w:lineRule="auto"/>
              <w:jc w:val="both"/>
              <w:rPr>
                <w:sz w:val="24"/>
                <w:szCs w:val="24"/>
              </w:rPr>
            </w:pPr>
          </w:p>
          <w:p w14:paraId="47716C57" w14:textId="77777777" w:rsidR="00E16808" w:rsidRPr="00032ECF" w:rsidRDefault="00E16808" w:rsidP="00E16808">
            <w:pPr>
              <w:spacing w:line="360" w:lineRule="auto"/>
              <w:jc w:val="both"/>
              <w:rPr>
                <w:sz w:val="24"/>
                <w:szCs w:val="24"/>
              </w:rPr>
            </w:pPr>
            <w:r w:rsidRPr="00032ECF">
              <w:rPr>
                <w:sz w:val="24"/>
                <w:szCs w:val="24"/>
              </w:rPr>
              <w:t xml:space="preserve">The analysis and escalation were guided by disclosures, behaviours, and professional judgement.  The analysis of the children’s disclosures, combined with observed behaviours and the mother’s account, helped me identify patterns of harm and risk. This informed the </w:t>
            </w:r>
            <w:r w:rsidRPr="00032ECF">
              <w:rPr>
                <w:sz w:val="24"/>
                <w:szCs w:val="24"/>
              </w:rPr>
              <w:lastRenderedPageBreak/>
              <w:t>decision to escalate to a Section 47 enquiry and shaped the safety planning process. I questioned whether I’d considered the impact of past trauma enough and if earlier intervention might have reduced the risks.  Using theory and evidence-based tools allowed me to assess not just immediate risk, but also the emotional impact and long-term needs of the children.</w:t>
            </w:r>
          </w:p>
          <w:p w14:paraId="6556122E" w14:textId="77777777" w:rsidR="00E16808" w:rsidRDefault="00E16808" w:rsidP="00E16808">
            <w:pPr>
              <w:spacing w:line="360" w:lineRule="auto"/>
              <w:jc w:val="both"/>
              <w:rPr>
                <w:sz w:val="24"/>
                <w:szCs w:val="24"/>
              </w:rPr>
            </w:pPr>
            <w:r w:rsidRPr="00032ECF">
              <w:rPr>
                <w:sz w:val="24"/>
                <w:szCs w:val="24"/>
              </w:rPr>
              <w:t>The strategy discussion led to a joint section 47 enquiry which assessed whether the children had suffered or were at risk of suffering harm and what needed to happen to manage the children’s safety.  Reflecting on alternative outcomes, I considered whether earlier multiagency involvement could have prevented escalation. Collaborative working was central to this case, and the decision was supported by multi-agency strategy discussions and aligned with safeguarding procedures.</w:t>
            </w:r>
          </w:p>
          <w:p w14:paraId="2A93A58C" w14:textId="77777777" w:rsidR="00F67AA4" w:rsidRPr="00032ECF" w:rsidRDefault="00F67AA4" w:rsidP="00E16808">
            <w:pPr>
              <w:spacing w:line="360" w:lineRule="auto"/>
              <w:jc w:val="both"/>
              <w:rPr>
                <w:sz w:val="24"/>
                <w:szCs w:val="24"/>
              </w:rPr>
            </w:pPr>
          </w:p>
          <w:p w14:paraId="320460FA" w14:textId="77777777" w:rsidR="00E16808" w:rsidRPr="00032ECF" w:rsidRDefault="00E16808" w:rsidP="00E16808">
            <w:pPr>
              <w:spacing w:line="360" w:lineRule="auto"/>
              <w:jc w:val="both"/>
              <w:rPr>
                <w:sz w:val="24"/>
                <w:szCs w:val="24"/>
              </w:rPr>
            </w:pPr>
            <w:r w:rsidRPr="00032ECF">
              <w:rPr>
                <w:sz w:val="24"/>
                <w:szCs w:val="24"/>
              </w:rPr>
              <w:t>Legal duties shaped the response to updated information.</w:t>
            </w:r>
            <w:r w:rsidRPr="00032ECF">
              <w:rPr>
                <w:b/>
                <w:bCs/>
                <w:sz w:val="24"/>
                <w:szCs w:val="24"/>
              </w:rPr>
              <w:t xml:space="preserve">  </w:t>
            </w:r>
            <w:r w:rsidRPr="00032ECF">
              <w:rPr>
                <w:sz w:val="24"/>
                <w:szCs w:val="24"/>
              </w:rPr>
              <w:t>Although earlier work had been consent-based under Section 21 (SSWBA 2014) due to the updated information I had a statutory duty to intervene under Section 47 (CA 1989). This raised ethical tensions around respecting the family’s privacy while ensuring the children’s safety, as consent is not required under Section 47.   The Local Authority has a legal obligation to investigate when there is reasonable cause to suspect a child is suffering or likely to suffer significant harm.</w:t>
            </w:r>
          </w:p>
          <w:p w14:paraId="6D0930BB" w14:textId="77777777" w:rsidR="00E16808" w:rsidRDefault="00E16808" w:rsidP="00E16808">
            <w:pPr>
              <w:spacing w:line="360" w:lineRule="auto"/>
              <w:jc w:val="both"/>
              <w:rPr>
                <w:sz w:val="24"/>
                <w:szCs w:val="24"/>
              </w:rPr>
            </w:pPr>
            <w:r w:rsidRPr="00032ECF">
              <w:rPr>
                <w:sz w:val="24"/>
                <w:szCs w:val="24"/>
              </w:rPr>
              <w:t>Human rights considerations were central to decision-making.</w:t>
            </w:r>
            <w:r w:rsidRPr="00032ECF">
              <w:rPr>
                <w:b/>
                <w:bCs/>
                <w:sz w:val="24"/>
                <w:szCs w:val="24"/>
              </w:rPr>
              <w:t xml:space="preserve">  </w:t>
            </w:r>
            <w:r w:rsidRPr="00032ECF">
              <w:rPr>
                <w:sz w:val="24"/>
                <w:szCs w:val="24"/>
              </w:rPr>
              <w:t xml:space="preserve">The Human Rights Act 1998 (HRA 1998) includes rights from the European Convention on Human Rights, (1950).  Article 8 protects a person’s right to a private and family life, their home, and personal communication.  Public authorities such as social services, can only interfere with this right if it’s legally justified and necessary—for example, to protect someone’s safety.   In this case intervention was justified under the Local Authority’s duty to intervene and protect the children, even if this meant interfering in the family’s private life.  However, actions must be fair, necessary and follow the law.  Any sharing of information must abide by the Data Protection Act (2018) and be proportionate to the child’s needs. </w:t>
            </w:r>
          </w:p>
          <w:p w14:paraId="03CCEB0B" w14:textId="77777777" w:rsidR="00F67AA4" w:rsidRPr="00032ECF" w:rsidRDefault="00F67AA4" w:rsidP="00E16808">
            <w:pPr>
              <w:spacing w:line="360" w:lineRule="auto"/>
              <w:jc w:val="both"/>
              <w:rPr>
                <w:sz w:val="24"/>
                <w:szCs w:val="24"/>
              </w:rPr>
            </w:pPr>
          </w:p>
          <w:p w14:paraId="149F74F1" w14:textId="77777777" w:rsidR="00E16808" w:rsidRDefault="00E16808" w:rsidP="00E16808">
            <w:pPr>
              <w:spacing w:line="360" w:lineRule="auto"/>
              <w:jc w:val="both"/>
              <w:rPr>
                <w:sz w:val="24"/>
                <w:szCs w:val="24"/>
                <w:shd w:val="clear" w:color="auto" w:fill="FFFFFF"/>
              </w:rPr>
            </w:pPr>
            <w:r w:rsidRPr="00032ECF">
              <w:rPr>
                <w:sz w:val="24"/>
                <w:szCs w:val="24"/>
              </w:rPr>
              <w:t>Effective information sharing is vital in safeguarding practice. Under</w:t>
            </w:r>
            <w:r w:rsidRPr="00032ECF">
              <w:rPr>
                <w:b/>
                <w:bCs/>
                <w:sz w:val="24"/>
                <w:szCs w:val="24"/>
              </w:rPr>
              <w:t xml:space="preserve"> </w:t>
            </w:r>
            <w:r w:rsidRPr="00032ECF">
              <w:rPr>
                <w:rStyle w:val="Strong"/>
                <w:b w:val="0"/>
                <w:sz w:val="24"/>
                <w:szCs w:val="24"/>
              </w:rPr>
              <w:t>Section 164 of (SSWBA 2014)</w:t>
            </w:r>
            <w:r w:rsidRPr="00032ECF">
              <w:rPr>
                <w:sz w:val="24"/>
                <w:szCs w:val="24"/>
              </w:rPr>
              <w:t xml:space="preserve">, and as outlined in the </w:t>
            </w:r>
            <w:r w:rsidRPr="00032ECF">
              <w:rPr>
                <w:rStyle w:val="Strong"/>
                <w:b w:val="0"/>
                <w:sz w:val="24"/>
                <w:szCs w:val="24"/>
              </w:rPr>
              <w:t>Wales Safeguarding Procedures (2024)</w:t>
            </w:r>
            <w:r w:rsidRPr="00032ECF">
              <w:rPr>
                <w:sz w:val="24"/>
                <w:szCs w:val="24"/>
              </w:rPr>
              <w:t xml:space="preserve">, agencies have a duty to share information and co-operate ensuring that the welfare of the child comes before professional confidentiality.  In the past serious case reviews such as the Victoria Climbie </w:t>
            </w:r>
            <w:r w:rsidRPr="00032ECF">
              <w:rPr>
                <w:sz w:val="24"/>
                <w:szCs w:val="24"/>
              </w:rPr>
              <w:lastRenderedPageBreak/>
              <w:t>case have shown that poor information sharing contributed to failures to safeguard children with tragic outcomes.  This highlights the urgent need for improved multiagency working ensuring that decisions are safe, ethical, and in the child’s best interest.</w:t>
            </w:r>
            <w:r w:rsidRPr="00032ECF">
              <w:rPr>
                <w:sz w:val="24"/>
                <w:szCs w:val="24"/>
                <w:shd w:val="clear" w:color="auto" w:fill="FFFFFF"/>
              </w:rPr>
              <w:t xml:space="preserve"> The (CA 2004) requires local authorities, alongside other agencies, to identify the needs of the child and collaborate effectively.</w:t>
            </w:r>
          </w:p>
          <w:p w14:paraId="294B1E83" w14:textId="77777777" w:rsidR="00F67AA4" w:rsidRPr="00032ECF" w:rsidRDefault="00F67AA4" w:rsidP="00E16808">
            <w:pPr>
              <w:spacing w:line="360" w:lineRule="auto"/>
              <w:jc w:val="both"/>
              <w:rPr>
                <w:sz w:val="24"/>
                <w:szCs w:val="24"/>
              </w:rPr>
            </w:pPr>
          </w:p>
          <w:p w14:paraId="2FF966FA" w14:textId="268D1FC4" w:rsidR="00E16808" w:rsidRDefault="00E16808" w:rsidP="00B6722B">
            <w:pPr>
              <w:spacing w:line="360" w:lineRule="auto"/>
              <w:jc w:val="both"/>
              <w:rPr>
                <w:sz w:val="24"/>
                <w:szCs w:val="24"/>
              </w:rPr>
            </w:pPr>
            <w:r w:rsidRPr="00032ECF">
              <w:rPr>
                <w:sz w:val="24"/>
                <w:szCs w:val="24"/>
              </w:rPr>
              <w:t xml:space="preserve">Legislation and policy guided my practice in the enquiry.  Key frameworks such as </w:t>
            </w:r>
            <w:r w:rsidRPr="00032ECF">
              <w:rPr>
                <w:rStyle w:val="Strong"/>
                <w:b w:val="0"/>
                <w:sz w:val="24"/>
                <w:szCs w:val="24"/>
              </w:rPr>
              <w:t>Section 47 of the (CA</w:t>
            </w:r>
            <w:r w:rsidRPr="00032ECF">
              <w:rPr>
                <w:rStyle w:val="Strong"/>
                <w:sz w:val="24"/>
                <w:szCs w:val="24"/>
              </w:rPr>
              <w:t xml:space="preserve"> </w:t>
            </w:r>
            <w:r w:rsidRPr="00032ECF">
              <w:rPr>
                <w:rStyle w:val="Strong"/>
                <w:b w:val="0"/>
                <w:sz w:val="24"/>
                <w:szCs w:val="24"/>
              </w:rPr>
              <w:t>1989</w:t>
            </w:r>
            <w:r w:rsidRPr="00032ECF">
              <w:rPr>
                <w:sz w:val="24"/>
                <w:szCs w:val="24"/>
              </w:rPr>
              <w:t xml:space="preserve">) and the </w:t>
            </w:r>
            <w:r w:rsidRPr="00032ECF">
              <w:rPr>
                <w:rStyle w:val="Strong"/>
                <w:b w:val="0"/>
                <w:sz w:val="24"/>
                <w:szCs w:val="24"/>
              </w:rPr>
              <w:t>Wales Safeguarding Procedures (2020</w:t>
            </w:r>
            <w:r w:rsidRPr="00032ECF">
              <w:rPr>
                <w:rStyle w:val="Strong"/>
                <w:b w:val="0"/>
                <w:bCs w:val="0"/>
                <w:sz w:val="24"/>
                <w:szCs w:val="24"/>
              </w:rPr>
              <w:t>) helped to support my actions.  W</w:t>
            </w:r>
            <w:r w:rsidRPr="00032ECF">
              <w:rPr>
                <w:sz w:val="24"/>
                <w:szCs w:val="24"/>
              </w:rPr>
              <w:t xml:space="preserve">orking with other agencies, gave me a deeper understanding of the children’s circumstances and helped me identify both risks and strengths for the family. This approach is supported by the </w:t>
            </w:r>
            <w:r w:rsidRPr="00032ECF">
              <w:rPr>
                <w:rStyle w:val="Strong"/>
                <w:b w:val="0"/>
                <w:sz w:val="24"/>
                <w:szCs w:val="24"/>
              </w:rPr>
              <w:t>National Occupational Standards (NOS 6 and 12)</w:t>
            </w:r>
            <w:r w:rsidRPr="00032ECF">
              <w:rPr>
                <w:sz w:val="24"/>
                <w:szCs w:val="24"/>
              </w:rPr>
              <w:t>, which promote multidisciplinary working as a core part of social work practice.</w:t>
            </w:r>
            <w:r w:rsidR="00B6722B">
              <w:rPr>
                <w:sz w:val="24"/>
                <w:szCs w:val="24"/>
              </w:rPr>
              <w:t xml:space="preserve">  </w:t>
            </w:r>
            <w:r w:rsidRPr="00032ECF">
              <w:rPr>
                <w:iCs/>
                <w:sz w:val="24"/>
                <w:szCs w:val="24"/>
              </w:rPr>
              <w:t>Multiagency working was essential throughout the case bringing professionals, organisations and agencies together to support children and young people. Sidebotham et al (2016) emphasised that successful safeguarding and support to children and young people relies on multiagency working, especially when they are going through difficult periods in their life.  (CA 1989) recognises this, providing a statutory framework for professionals which guides them to</w:t>
            </w:r>
            <w:r w:rsidRPr="00032ECF">
              <w:rPr>
                <w:sz w:val="24"/>
                <w:szCs w:val="24"/>
              </w:rPr>
              <w:t xml:space="preserve"> identifying relevant agencies and coordinating responsibilities to safeguard and support children effectively.</w:t>
            </w:r>
          </w:p>
          <w:p w14:paraId="4E755E41" w14:textId="77777777" w:rsidR="00B6722B" w:rsidRPr="00B6722B" w:rsidRDefault="00B6722B" w:rsidP="00B6722B">
            <w:pPr>
              <w:spacing w:line="360" w:lineRule="auto"/>
              <w:jc w:val="both"/>
              <w:rPr>
                <w:sz w:val="24"/>
                <w:szCs w:val="24"/>
              </w:rPr>
            </w:pPr>
          </w:p>
          <w:p w14:paraId="0DF048EF" w14:textId="77777777" w:rsidR="00E16808" w:rsidRPr="00032ECF" w:rsidRDefault="00E16808" w:rsidP="00E16808">
            <w:pPr>
              <w:spacing w:line="360" w:lineRule="auto"/>
              <w:jc w:val="both"/>
              <w:rPr>
                <w:sz w:val="24"/>
                <w:szCs w:val="24"/>
              </w:rPr>
            </w:pPr>
            <w:r w:rsidRPr="00032ECF">
              <w:rPr>
                <w:sz w:val="24"/>
                <w:szCs w:val="24"/>
              </w:rPr>
              <w:t>Communication needed to be inclusive and sensitive.  I was aware that the discussions with the mother and children was difficult and upsetting, so it was important that they felt comfortable and able to fully understand the process.  Communication methods should consider the individual needs of each family member. For example, using interpreters to promote language of choice and culturally sensitive practice</w:t>
            </w:r>
            <w:r w:rsidRPr="00032ECF">
              <w:rPr>
                <w:color w:val="37394C"/>
                <w:sz w:val="24"/>
                <w:szCs w:val="24"/>
              </w:rPr>
              <w:t xml:space="preserve"> </w:t>
            </w:r>
            <w:r w:rsidRPr="00032ECF">
              <w:rPr>
                <w:sz w:val="24"/>
                <w:szCs w:val="24"/>
              </w:rPr>
              <w:t xml:space="preserve">as encouraged by Welsh Government guidance </w:t>
            </w:r>
            <w:r w:rsidRPr="00032ECF">
              <w:rPr>
                <w:color w:val="auto"/>
                <w:sz w:val="24"/>
                <w:szCs w:val="24"/>
              </w:rPr>
              <w:t xml:space="preserve">(Social Care Wales, 2025). </w:t>
            </w:r>
            <w:r w:rsidRPr="00032ECF">
              <w:rPr>
                <w:sz w:val="24"/>
                <w:szCs w:val="24"/>
              </w:rPr>
              <w:t xml:space="preserve">In line with the </w:t>
            </w:r>
            <w:r w:rsidRPr="00032ECF">
              <w:rPr>
                <w:rStyle w:val="Strong"/>
                <w:b w:val="0"/>
                <w:sz w:val="24"/>
                <w:szCs w:val="24"/>
              </w:rPr>
              <w:t>Active Offer</w:t>
            </w:r>
            <w:r w:rsidRPr="00032ECF">
              <w:rPr>
                <w:sz w:val="24"/>
                <w:szCs w:val="24"/>
              </w:rPr>
              <w:t xml:space="preserve"> and the Welsh Government’s “More than just words” framework, of promoting the Welsh language allowing individuals to feel more comfortable in their communication.  I offered services in Welsh without them needing to ask.  I checked the family's language preferences, although they declined and preferred to continue in English the offer supported inclusive practice and showed respect for their identity (Welsh Government (2022).  </w:t>
            </w:r>
          </w:p>
          <w:p w14:paraId="562AB092" w14:textId="77777777" w:rsidR="00E16808" w:rsidRDefault="00E16808" w:rsidP="00E16808">
            <w:pPr>
              <w:spacing w:line="360" w:lineRule="auto"/>
              <w:jc w:val="both"/>
              <w:rPr>
                <w:sz w:val="24"/>
                <w:szCs w:val="24"/>
              </w:rPr>
            </w:pPr>
            <w:r w:rsidRPr="00032ECF">
              <w:rPr>
                <w:sz w:val="24"/>
                <w:szCs w:val="24"/>
              </w:rPr>
              <w:lastRenderedPageBreak/>
              <w:t xml:space="preserve">The introduction of these frameworks followed the Welsh Language (Wales) Measures (2011), which gave the Welsh language equal status to the English in public service delivery (Welsh Government, 2020).  This highlights the importance of preserving the Welsh language, culture and education, ensuring Welsh is spoken, valued, and used across communities and services.  This aligns with the values of the (SSWBA 2014), which focus on putting individuals at the heart of care and support.  </w:t>
            </w:r>
          </w:p>
          <w:p w14:paraId="7CC6F179" w14:textId="77777777" w:rsidR="00CB1FBA" w:rsidRPr="00032ECF" w:rsidRDefault="00CB1FBA" w:rsidP="00E16808">
            <w:pPr>
              <w:spacing w:line="360" w:lineRule="auto"/>
              <w:jc w:val="both"/>
              <w:rPr>
                <w:sz w:val="24"/>
                <w:szCs w:val="24"/>
              </w:rPr>
            </w:pPr>
          </w:p>
          <w:p w14:paraId="37139CAA" w14:textId="7059C175" w:rsidR="00E16808" w:rsidRDefault="00E16808" w:rsidP="00E16808">
            <w:pPr>
              <w:spacing w:line="360" w:lineRule="auto"/>
              <w:jc w:val="both"/>
              <w:rPr>
                <w:sz w:val="24"/>
                <w:szCs w:val="24"/>
              </w:rPr>
            </w:pPr>
            <w:r w:rsidRPr="00032ECF">
              <w:rPr>
                <w:iCs/>
                <w:sz w:val="24"/>
                <w:szCs w:val="24"/>
              </w:rPr>
              <w:t xml:space="preserve">The Mother confirmed the incident and </w:t>
            </w:r>
            <w:r w:rsidRPr="00032ECF">
              <w:rPr>
                <w:sz w:val="24"/>
                <w:szCs w:val="24"/>
              </w:rPr>
              <w:t xml:space="preserve">disclosed past abuse.  She </w:t>
            </w:r>
            <w:r w:rsidRPr="00032ECF">
              <w:rPr>
                <w:iCs/>
                <w:sz w:val="24"/>
                <w:szCs w:val="24"/>
              </w:rPr>
              <w:t xml:space="preserve">admitted that the father had also physically assaulted her in the past, although she had never reported it.  The police placed the father under </w:t>
            </w:r>
            <w:r w:rsidRPr="00032ECF">
              <w:rPr>
                <w:sz w:val="24"/>
                <w:szCs w:val="24"/>
              </w:rPr>
              <w:t xml:space="preserve">Police bail, </w:t>
            </w:r>
            <w:r w:rsidRPr="00032ECF">
              <w:rPr>
                <w:iCs/>
                <w:sz w:val="24"/>
                <w:szCs w:val="24"/>
              </w:rPr>
              <w:t>removing him from the home while the investigation continued</w:t>
            </w:r>
            <w:r w:rsidRPr="00032ECF">
              <w:rPr>
                <w:sz w:val="24"/>
                <w:szCs w:val="24"/>
              </w:rPr>
              <w:t xml:space="preserve"> and a criminal investigation was initiated.</w:t>
            </w:r>
            <w:r w:rsidR="00CB1FBA">
              <w:rPr>
                <w:iCs/>
                <w:sz w:val="24"/>
                <w:szCs w:val="24"/>
              </w:rPr>
              <w:t xml:space="preserve">  </w:t>
            </w:r>
            <w:r w:rsidRPr="00032ECF">
              <w:rPr>
                <w:sz w:val="24"/>
                <w:szCs w:val="24"/>
              </w:rPr>
              <w:t xml:space="preserve">Children’s voices were central to the investigation.  As part of the investigation, it was important for police and me to speak again with the children following the disclosure.   This allowed us to gain their wishes and feelings.  This rights-based approach was supported by (CA 1989), the (SSWBA 2014) and Article 12 of the (UNCRC 1989), which emphasises the child’s right to express their views and have them taken seriously in decisions affecting them.  This principle that guided my direct work and planning throughout the case.  </w:t>
            </w:r>
          </w:p>
          <w:p w14:paraId="74C13561" w14:textId="77777777" w:rsidR="00CB1FBA" w:rsidRPr="00CB1FBA" w:rsidRDefault="00CB1FBA" w:rsidP="00E16808">
            <w:pPr>
              <w:spacing w:line="360" w:lineRule="auto"/>
              <w:jc w:val="both"/>
              <w:rPr>
                <w:iCs/>
                <w:sz w:val="24"/>
                <w:szCs w:val="24"/>
              </w:rPr>
            </w:pPr>
          </w:p>
          <w:p w14:paraId="066DE899" w14:textId="77777777" w:rsidR="00E16808" w:rsidRPr="00032ECF" w:rsidRDefault="00E16808" w:rsidP="00E16808">
            <w:pPr>
              <w:spacing w:line="360" w:lineRule="auto"/>
              <w:jc w:val="both"/>
              <w:rPr>
                <w:sz w:val="24"/>
                <w:szCs w:val="24"/>
              </w:rPr>
            </w:pPr>
            <w:r w:rsidRPr="00032ECF">
              <w:rPr>
                <w:sz w:val="24"/>
                <w:szCs w:val="24"/>
              </w:rPr>
              <w:t>Strengths-based tools supported child-centred practice.</w:t>
            </w:r>
            <w:r w:rsidRPr="00032ECF">
              <w:rPr>
                <w:b/>
                <w:bCs/>
                <w:sz w:val="24"/>
                <w:szCs w:val="24"/>
              </w:rPr>
              <w:t xml:space="preserve">  </w:t>
            </w:r>
            <w:r w:rsidRPr="00032ECF">
              <w:rPr>
                <w:sz w:val="24"/>
                <w:szCs w:val="24"/>
              </w:rPr>
              <w:t xml:space="preserve">Although the children were young, they were able to express their views.  The local authority has adopted the Signs of safety model, which supported my communication using a strength-based approach.  The model encourages the child and family to be at the centre of the assessment, decision making and planning (Turnell &amp; Edwards 1999).   It helped me build a constructive partnership with the mother and children, even during difficult times.  Its strengths-based framework enabled me to explore not only risks but also existing safety and protective factors within the family. </w:t>
            </w:r>
          </w:p>
          <w:p w14:paraId="4180E9F5" w14:textId="77777777" w:rsidR="00E16808" w:rsidRPr="00032ECF" w:rsidRDefault="00E16808" w:rsidP="00E16808">
            <w:pPr>
              <w:spacing w:line="360" w:lineRule="auto"/>
              <w:jc w:val="both"/>
              <w:rPr>
                <w:sz w:val="24"/>
                <w:szCs w:val="24"/>
              </w:rPr>
            </w:pPr>
            <w:r w:rsidRPr="00032ECF">
              <w:rPr>
                <w:sz w:val="24"/>
                <w:szCs w:val="24"/>
              </w:rPr>
              <w:t>Using the one-page assessment tool, I was able to structure my conversations clearly, assess danger alongside strengths, and promote collaborative planning to improve the family's situation. While Signs of Safety provided a strengths-based framework, comparing this with Crisis Intervention Theory highlighted the need for immediate protective action in high-risk situations.</w:t>
            </w:r>
          </w:p>
          <w:p w14:paraId="099C3493" w14:textId="77777777" w:rsidR="00E16808" w:rsidRDefault="00E16808" w:rsidP="00E16808">
            <w:pPr>
              <w:spacing w:line="360" w:lineRule="auto"/>
              <w:rPr>
                <w:sz w:val="24"/>
                <w:szCs w:val="24"/>
              </w:rPr>
            </w:pPr>
            <w:r w:rsidRPr="00032ECF">
              <w:rPr>
                <w:sz w:val="24"/>
                <w:szCs w:val="24"/>
              </w:rPr>
              <w:lastRenderedPageBreak/>
              <w:t>From the mother’s disclosure of both physical and emotional abuse, it became clear that understanding controlling,</w:t>
            </w:r>
            <w:r w:rsidRPr="00032ECF">
              <w:rPr>
                <w:i/>
                <w:iCs/>
                <w:sz w:val="24"/>
                <w:szCs w:val="24"/>
              </w:rPr>
              <w:t xml:space="preserve"> </w:t>
            </w:r>
            <w:r w:rsidRPr="00032ECF">
              <w:rPr>
                <w:sz w:val="24"/>
                <w:szCs w:val="24"/>
              </w:rPr>
              <w:t xml:space="preserve">or coercive behaviour has been instrumental in shaping how I assess and respond to domestic abuse within families.  Legislation has helped me recognise that harm to children can occur not only through physical violence but also through emotional manipulation, isolation, and control exerted by one parent over another.  (Gov.UK, 2023) provided a framework for identifying and evidencing types of coercive behaviours that impact families, highlighting that everyone should be protected from all forms of abuse.  </w:t>
            </w:r>
          </w:p>
          <w:p w14:paraId="64708C6C" w14:textId="77777777" w:rsidR="00CB1FBA" w:rsidRPr="00032ECF" w:rsidRDefault="00CB1FBA" w:rsidP="00E16808">
            <w:pPr>
              <w:spacing w:line="360" w:lineRule="auto"/>
              <w:rPr>
                <w:sz w:val="24"/>
                <w:szCs w:val="24"/>
              </w:rPr>
            </w:pPr>
          </w:p>
          <w:p w14:paraId="48999357" w14:textId="77777777" w:rsidR="00E16808" w:rsidRPr="00032ECF" w:rsidRDefault="00E16808" w:rsidP="00E16808">
            <w:pPr>
              <w:spacing w:line="360" w:lineRule="auto"/>
              <w:rPr>
                <w:sz w:val="24"/>
                <w:szCs w:val="24"/>
              </w:rPr>
            </w:pPr>
            <w:r w:rsidRPr="00032ECF">
              <w:rPr>
                <w:sz w:val="24"/>
                <w:szCs w:val="24"/>
              </w:rPr>
              <w:t>The Domestic Abuse Act (2021) recognises that children are victims of domestic abuse if they see, hear or experience the effects of the abuse.  This law strengthens protection for victims and helps strengthen measures to tackle perpetrators.  It enabled me to advocate for the family ensuring the family received appropriate intervention, consistent with the broader aims of the Violence Against Women, Domestic Abuse and Sexual Violence (Wales) Act 2015 which emphasises the access to specialist services.</w:t>
            </w:r>
            <w:r w:rsidRPr="00032ECF">
              <w:rPr>
                <w:iCs/>
                <w:sz w:val="24"/>
                <w:szCs w:val="24"/>
              </w:rPr>
              <w:t xml:space="preserve">  An Independent Domestic Violence Advisor (IDVA) supported the mother helping her understand her rights and access to support. </w:t>
            </w:r>
            <w:r w:rsidRPr="00032ECF">
              <w:rPr>
                <w:sz w:val="24"/>
                <w:szCs w:val="24"/>
              </w:rPr>
              <w:t xml:space="preserve">  Women’s Aid (2022) highlights the need for services to stop blaming women for remaining in an abusive relationship and start supporting and enabling them to leave.  Katz (2015) discusses the positive impact of group work for mothers and children who have experienced domestic violence, explaining how shared experiences can aid recovery. Mullender (2009) agrees, emphasising that women are experts in their own lives, and sharing their experiences with others who have faced similar challenges can offer empathetic support.  </w:t>
            </w:r>
          </w:p>
          <w:p w14:paraId="46B64354" w14:textId="77777777" w:rsidR="00E16808" w:rsidRPr="00032ECF" w:rsidRDefault="00E16808" w:rsidP="00E16808">
            <w:pPr>
              <w:spacing w:line="360" w:lineRule="auto"/>
              <w:rPr>
                <w:sz w:val="24"/>
                <w:szCs w:val="24"/>
              </w:rPr>
            </w:pPr>
          </w:p>
          <w:p w14:paraId="5941B55F" w14:textId="77777777" w:rsidR="00E16808" w:rsidRPr="00032ECF" w:rsidRDefault="00E16808" w:rsidP="00E16808">
            <w:pPr>
              <w:spacing w:line="360" w:lineRule="auto"/>
              <w:rPr>
                <w:sz w:val="24"/>
                <w:szCs w:val="24"/>
              </w:rPr>
            </w:pPr>
            <w:r w:rsidRPr="00032ECF">
              <w:rPr>
                <w:rStyle w:val="Strong"/>
                <w:rFonts w:eastAsiaTheme="majorEastAsia"/>
                <w:b w:val="0"/>
                <w:bCs w:val="0"/>
                <w:sz w:val="24"/>
                <w:szCs w:val="24"/>
              </w:rPr>
              <w:t xml:space="preserve">Rural isolation presented significant challenges.  </w:t>
            </w:r>
            <w:r w:rsidRPr="00032ECF">
              <w:rPr>
                <w:sz w:val="24"/>
                <w:szCs w:val="24"/>
              </w:rPr>
              <w:t xml:space="preserve">I recognised that effective intervention would benefit the family; however, living in a small rural area presented significant challenges.  Limited resources and long waiting lists restricted access to vital support services.  </w:t>
            </w:r>
            <w:r w:rsidRPr="00032ECF">
              <w:rPr>
                <w:rStyle w:val="Strong"/>
                <w:b w:val="0"/>
                <w:sz w:val="24"/>
                <w:szCs w:val="24"/>
              </w:rPr>
              <w:t>Working in Wales presents unique dimensions.</w:t>
            </w:r>
            <w:r w:rsidRPr="00032ECF">
              <w:rPr>
                <w:b/>
                <w:bCs/>
                <w:sz w:val="24"/>
                <w:szCs w:val="24"/>
              </w:rPr>
              <w:t xml:space="preserve">  </w:t>
            </w:r>
            <w:r w:rsidRPr="00032ECF">
              <w:rPr>
                <w:rStyle w:val="Strong"/>
                <w:b w:val="0"/>
                <w:sz w:val="24"/>
                <w:szCs w:val="24"/>
              </w:rPr>
              <w:t>Reflecting on what could have been done differently</w:t>
            </w:r>
            <w:r w:rsidRPr="00032ECF">
              <w:rPr>
                <w:sz w:val="24"/>
                <w:szCs w:val="24"/>
              </w:rPr>
              <w:t xml:space="preserve">, I recognised that rural isolation limited access to timely support, raising questions about equity in service provision. This experience highlighted the </w:t>
            </w:r>
            <w:r w:rsidRPr="00032ECF">
              <w:rPr>
                <w:sz w:val="24"/>
                <w:szCs w:val="24"/>
              </w:rPr>
              <w:lastRenderedPageBreak/>
              <w:t xml:space="preserve">importance of understanding how geographical barriers can impact safeguarding responses and delay access to trauma-informed care.  </w:t>
            </w:r>
          </w:p>
          <w:p w14:paraId="48D7DEC5" w14:textId="77777777" w:rsidR="00E16808" w:rsidRPr="00032ECF" w:rsidRDefault="00E16808" w:rsidP="00E16808">
            <w:pPr>
              <w:spacing w:line="360" w:lineRule="auto"/>
              <w:rPr>
                <w:sz w:val="24"/>
                <w:szCs w:val="24"/>
              </w:rPr>
            </w:pPr>
          </w:p>
          <w:p w14:paraId="1C89FC91" w14:textId="77777777" w:rsidR="00E16808" w:rsidRPr="00032ECF" w:rsidRDefault="00E16808" w:rsidP="00E16808">
            <w:pPr>
              <w:spacing w:line="360" w:lineRule="auto"/>
              <w:rPr>
                <w:sz w:val="24"/>
                <w:szCs w:val="24"/>
              </w:rPr>
            </w:pPr>
            <w:r w:rsidRPr="00032ECF">
              <w:rPr>
                <w:rStyle w:val="Strong"/>
                <w:b w:val="0"/>
                <w:sz w:val="24"/>
                <w:szCs w:val="24"/>
              </w:rPr>
              <w:t>Cultural sensitivity was important</w:t>
            </w:r>
            <w:r w:rsidRPr="00032ECF">
              <w:rPr>
                <w:sz w:val="24"/>
                <w:szCs w:val="24"/>
              </w:rPr>
              <w:t xml:space="preserve">, particularly in understanding the rural isolation and community dynamics, where professionals had to be persistent in securing resources.  </w:t>
            </w:r>
            <w:r w:rsidRPr="00032ECF">
              <w:rPr>
                <w:rStyle w:val="Strong"/>
                <w:b w:val="0"/>
                <w:sz w:val="24"/>
                <w:szCs w:val="24"/>
              </w:rPr>
              <w:t>I recognised a tension between</w:t>
            </w:r>
            <w:r w:rsidRPr="00032ECF">
              <w:rPr>
                <w:sz w:val="24"/>
                <w:szCs w:val="24"/>
              </w:rPr>
              <w:t xml:space="preserve"> the Welsh Government’s priorities—such as early intervention, co-production, and trauma-informed care—and the practical limitations of service delivery in rural areas.  This made it difficult to fully meet the expectations outlined in the</w:t>
            </w:r>
            <w:r w:rsidRPr="00032ECF">
              <w:rPr>
                <w:rStyle w:val="Strong"/>
                <w:b w:val="0"/>
                <w:sz w:val="24"/>
                <w:szCs w:val="24"/>
              </w:rPr>
              <w:t xml:space="preserve"> (SSWBA 2014)</w:t>
            </w:r>
            <w:r w:rsidRPr="00032ECF">
              <w:rPr>
                <w:b/>
                <w:bCs/>
                <w:sz w:val="24"/>
                <w:szCs w:val="24"/>
              </w:rPr>
              <w:t>,</w:t>
            </w:r>
            <w:r w:rsidRPr="00032ECF">
              <w:rPr>
                <w:sz w:val="24"/>
                <w:szCs w:val="24"/>
              </w:rPr>
              <w:t xml:space="preserve"> despite best efforts to provide equitable and responsive support.</w:t>
            </w:r>
          </w:p>
          <w:p w14:paraId="74AB07B6" w14:textId="77777777" w:rsidR="00E16808" w:rsidRPr="00032ECF" w:rsidRDefault="00E16808" w:rsidP="00E16808">
            <w:pPr>
              <w:pStyle w:val="NormalWeb"/>
              <w:spacing w:line="360" w:lineRule="auto"/>
              <w:rPr>
                <w:rFonts w:ascii="Arial" w:hAnsi="Arial" w:cs="Arial"/>
              </w:rPr>
            </w:pPr>
            <w:r w:rsidRPr="00032ECF">
              <w:rPr>
                <w:rFonts w:ascii="Arial" w:hAnsi="Arial" w:cs="Arial"/>
              </w:rPr>
              <w:t>The complexity of this case was heightened by the family’s rural location, limited access to services, and the emotional impact of domestic abuse. These factors required consistency, a solution-focused approach, and openness to adapting my strategies to overcome barriers and meet the family's needs.</w:t>
            </w:r>
          </w:p>
          <w:p w14:paraId="6053C46E" w14:textId="77777777" w:rsidR="00E16808" w:rsidRPr="00032ECF" w:rsidRDefault="00E16808" w:rsidP="00E16808">
            <w:pPr>
              <w:spacing w:line="360" w:lineRule="auto"/>
              <w:jc w:val="both"/>
              <w:rPr>
                <w:iCs/>
                <w:sz w:val="24"/>
                <w:szCs w:val="24"/>
              </w:rPr>
            </w:pPr>
          </w:p>
          <w:p w14:paraId="08A39EC9" w14:textId="77777777" w:rsidR="00E16808" w:rsidRPr="00032ECF" w:rsidRDefault="00E16808" w:rsidP="00E16808">
            <w:pPr>
              <w:spacing w:line="360" w:lineRule="auto"/>
              <w:jc w:val="both"/>
              <w:rPr>
                <w:sz w:val="24"/>
                <w:szCs w:val="24"/>
              </w:rPr>
            </w:pPr>
            <w:r w:rsidRPr="00032ECF">
              <w:rPr>
                <w:sz w:val="24"/>
                <w:szCs w:val="24"/>
              </w:rPr>
              <w:t xml:space="preserve">Personal emotions and values can add complexity to our practice, especially when making important professional decisions and judgements (Thompson, 2009).  Exploring how my values influenced my judgement, I was mindful not to let personal bias affect my assessment of the mother’s choices.  Bronfenbrenner’s systems theory has helped me understand the mother’s current situation. Although she had not reported the domestic violence, which from a personal perspective may raise questions about how she could allow her children to be harmed, I understood that barriers such as fear and isolation may have influenced her decisions. </w:t>
            </w:r>
          </w:p>
          <w:p w14:paraId="080F2AF0" w14:textId="77777777" w:rsidR="00E16808" w:rsidRPr="00032ECF" w:rsidRDefault="00E16808" w:rsidP="00E16808">
            <w:pPr>
              <w:spacing w:line="360" w:lineRule="auto"/>
              <w:jc w:val="both"/>
              <w:rPr>
                <w:sz w:val="24"/>
                <w:szCs w:val="24"/>
              </w:rPr>
            </w:pPr>
            <w:r w:rsidRPr="00032ECF">
              <w:rPr>
                <w:sz w:val="24"/>
                <w:szCs w:val="24"/>
              </w:rPr>
              <w:t xml:space="preserve">Maclean &amp; Harrison, (2008) note that when people face challenges, they cannot resolve within their usual support networks, it can lead to conflict and increased difficulties.  Professionally, since the disclosure, I could identify the mother’s strengths, particularly her protectively actions for the children to have a safer home environment. This theory helped me consider the wider systems that influenced her decisions, rather than being judgemental of her initial actions.  This aligns with the British Association of Social Workers (BASW, 2020) Code of Ethics, which emphasises the importance of respecting human dignity and valuing each person’s beliefs, goals, and needs. </w:t>
            </w:r>
          </w:p>
          <w:p w14:paraId="48EEE937" w14:textId="77777777" w:rsidR="00E16808" w:rsidRDefault="00E16808" w:rsidP="00E16808">
            <w:pPr>
              <w:spacing w:line="360" w:lineRule="auto"/>
              <w:jc w:val="both"/>
              <w:rPr>
                <w:sz w:val="24"/>
                <w:szCs w:val="24"/>
              </w:rPr>
            </w:pPr>
            <w:r w:rsidRPr="00032ECF">
              <w:rPr>
                <w:sz w:val="24"/>
                <w:szCs w:val="24"/>
              </w:rPr>
              <w:lastRenderedPageBreak/>
              <w:t>Together, these approaches guide ethical, compassionate, and effective decision-making, which reinforces the importance of a person-centred approach so the family can make the changes they need in their lives.</w:t>
            </w:r>
          </w:p>
          <w:p w14:paraId="2BEDF89A" w14:textId="77777777" w:rsidR="00CB1FBA" w:rsidRPr="00032ECF" w:rsidRDefault="00CB1FBA" w:rsidP="00E16808">
            <w:pPr>
              <w:spacing w:line="360" w:lineRule="auto"/>
              <w:jc w:val="both"/>
              <w:rPr>
                <w:sz w:val="24"/>
                <w:szCs w:val="24"/>
              </w:rPr>
            </w:pPr>
          </w:p>
          <w:p w14:paraId="1075CD62" w14:textId="77777777" w:rsidR="00E16808" w:rsidRPr="00032ECF" w:rsidRDefault="00E16808" w:rsidP="00E16808">
            <w:pPr>
              <w:spacing w:line="360" w:lineRule="auto"/>
              <w:jc w:val="both"/>
              <w:rPr>
                <w:sz w:val="24"/>
                <w:szCs w:val="24"/>
              </w:rPr>
            </w:pPr>
            <w:r w:rsidRPr="00032ECF">
              <w:rPr>
                <w:sz w:val="24"/>
                <w:szCs w:val="24"/>
              </w:rPr>
              <w:t>During further direct work with the mother, she disclosed that she had experienced domestic violence and physical abuse in her own childhood.  This may have contributed to her reluctance to report the abuse, as she may have perceived this as normal behaviour.  Bowlby’s Attachment Theory suggests that early relationships with caregivers can influence how people form attachments in future relationships (Simply Psychology).  This theory helped me understand the mother’s reluctance recognising how early trauma may have shaped her adult relationships. It influenced my approach, allowing me to engage with empathy rather than judgement, and support her in building a protective environment for her children.</w:t>
            </w:r>
          </w:p>
          <w:p w14:paraId="1254D962" w14:textId="77777777" w:rsidR="00E16808" w:rsidRPr="00032ECF" w:rsidRDefault="00E16808" w:rsidP="00E16808">
            <w:pPr>
              <w:spacing w:line="360" w:lineRule="auto"/>
              <w:jc w:val="both"/>
              <w:rPr>
                <w:sz w:val="24"/>
                <w:szCs w:val="24"/>
              </w:rPr>
            </w:pPr>
          </w:p>
          <w:p w14:paraId="5C244198" w14:textId="77777777" w:rsidR="00E16808" w:rsidRDefault="00E16808" w:rsidP="00E16808">
            <w:pPr>
              <w:spacing w:line="360" w:lineRule="auto"/>
              <w:jc w:val="both"/>
              <w:rPr>
                <w:sz w:val="24"/>
                <w:szCs w:val="24"/>
              </w:rPr>
            </w:pPr>
            <w:r w:rsidRPr="00032ECF">
              <w:rPr>
                <w:sz w:val="24"/>
                <w:szCs w:val="24"/>
              </w:rPr>
              <w:t>Crisis intervention was essential in the case due to the father's potential release which posed an immediate risk to the mother and children.  A family network meeting was a key part of the crisis response, aimed at building a supportive and protective network around the family.  The mother was initially reluctant to involve her family, possibly due to shame and fear.  However, through effective communication, she began to identify safe individuals who could be part of her support network.  Empowerment theory enabled her to take an active role in safety planning, supported by people she trusted.  This also reflects the values of the (BASW 2020) Code of Ethic, which promotes dignity, respect, and the importance of valuing each person’s choices and circumstances.</w:t>
            </w:r>
          </w:p>
          <w:p w14:paraId="7F8FC1A2" w14:textId="77777777" w:rsidR="00CB1FBA" w:rsidRPr="00032ECF" w:rsidRDefault="00CB1FBA" w:rsidP="00E16808">
            <w:pPr>
              <w:spacing w:line="360" w:lineRule="auto"/>
              <w:jc w:val="both"/>
              <w:rPr>
                <w:sz w:val="24"/>
                <w:szCs w:val="24"/>
              </w:rPr>
            </w:pPr>
          </w:p>
          <w:p w14:paraId="75F53883" w14:textId="77777777" w:rsidR="00E16808" w:rsidRPr="00032ECF" w:rsidRDefault="00E16808" w:rsidP="00E16808">
            <w:pPr>
              <w:spacing w:line="360" w:lineRule="auto"/>
              <w:jc w:val="both"/>
              <w:rPr>
                <w:sz w:val="24"/>
                <w:szCs w:val="24"/>
              </w:rPr>
            </w:pPr>
            <w:r w:rsidRPr="00032ECF">
              <w:rPr>
                <w:sz w:val="24"/>
                <w:szCs w:val="24"/>
              </w:rPr>
              <w:t xml:space="preserve">An </w:t>
            </w:r>
            <w:r w:rsidRPr="00032ECF">
              <w:rPr>
                <w:rStyle w:val="Strong"/>
                <w:b w:val="0"/>
                <w:sz w:val="24"/>
                <w:szCs w:val="24"/>
              </w:rPr>
              <w:t>Achieving Best Evidence (ABE)</w:t>
            </w:r>
            <w:r w:rsidRPr="00032ECF">
              <w:rPr>
                <w:sz w:val="24"/>
                <w:szCs w:val="24"/>
              </w:rPr>
              <w:t xml:space="preserve"> recorded interview was conducted jointly by police and myself, with me acting as the appropriate adult for Child 1. Child 2 declined to participate.  Although I am not currently trained in ABE, observing the process was valuable for my learning and development.  Section 53 of the Youth Justice and Criminal Evidence Act 1999 states that in principle 'all persons are regardless of their age, are competent to give evidence.  This section is crucial in safeguarding children, ensuring that their voices can be heard in court without having to attend.  The process is child-centred and trauma-informed, aiming to avoid repeated questioning and minimise emotional harm.</w:t>
            </w:r>
          </w:p>
          <w:p w14:paraId="316960A7" w14:textId="4D9D72C9" w:rsidR="000D2853" w:rsidRDefault="00E16808" w:rsidP="000D2853">
            <w:pPr>
              <w:pStyle w:val="NormalWeb"/>
              <w:spacing w:line="360" w:lineRule="auto"/>
              <w:rPr>
                <w:rFonts w:ascii="Arial" w:hAnsi="Arial" w:cs="Arial"/>
              </w:rPr>
            </w:pPr>
            <w:r w:rsidRPr="00032ECF">
              <w:rPr>
                <w:rFonts w:ascii="Arial" w:hAnsi="Arial" w:cs="Arial"/>
              </w:rPr>
              <w:lastRenderedPageBreak/>
              <w:t xml:space="preserve">As the father remained on remand, awaiting his court hearing, I had limited direct engagement with him.  This meant the assessment focused on the mother and her wider support network.  Social work practice generally expects a holistic approach when assessing the needs of a family by engaging both parents where possible.  (CA 1989) promotes working in partnership with families to safeguard children.  While I usually include both parents, this was not possible in this case.  Depending on the outcome from court and whether the father is released, my focus will be engaging him in the assessment while prioritising the safety and wellbeing of the children and mother.  This would involve following safeguarding procedures, including a robust risk assessment and safety plan to identify concerns and ensure any involvement with the children is carefully managed—potentially through supervised contact. </w:t>
            </w:r>
          </w:p>
          <w:p w14:paraId="5D42C144" w14:textId="47FF1FC7" w:rsidR="000D2853" w:rsidRDefault="00E16808" w:rsidP="000D2853">
            <w:pPr>
              <w:pStyle w:val="NormalWeb"/>
              <w:spacing w:line="360" w:lineRule="auto"/>
              <w:rPr>
                <w:rFonts w:ascii="Arial" w:hAnsi="Arial" w:cs="Arial"/>
              </w:rPr>
            </w:pPr>
            <w:r w:rsidRPr="00032ECF">
              <w:rPr>
                <w:rFonts w:ascii="Arial" w:hAnsi="Arial" w:cs="Arial"/>
              </w:rPr>
              <w:t>Following the strategy discussion and Section 47 investigation it became clear that a comprehensive care and support plan was needed to prevent the mother and father from resuming their relationship, due to the risk of further harm to the children. Safeguards would include multiagency monitoring, regular reviews, and clear boundaries around contact—potentially supported by legal measures such as non-molestation orders. The plan would also offer emotional and practical support to the mother, empowering her to maintain safety and independence. This approach aligns with trauma-informed practice and prioritises the long-term wellbeing of the children.</w:t>
            </w:r>
          </w:p>
          <w:p w14:paraId="6065C0A3" w14:textId="42D0BF2C" w:rsidR="00E16808" w:rsidRPr="000D2853" w:rsidRDefault="00E16808" w:rsidP="000D2853">
            <w:pPr>
              <w:pStyle w:val="NormalWeb"/>
              <w:spacing w:line="360" w:lineRule="auto"/>
              <w:rPr>
                <w:rStyle w:val="Strong"/>
                <w:rFonts w:ascii="Arial" w:hAnsi="Arial" w:cs="Arial"/>
                <w:b w:val="0"/>
                <w:bCs w:val="0"/>
              </w:rPr>
            </w:pPr>
            <w:r w:rsidRPr="00032ECF">
              <w:rPr>
                <w:rFonts w:ascii="Arial" w:hAnsi="Arial" w:cs="Arial"/>
              </w:rPr>
              <w:t>Supervision has been a valuable and safe space throughout this case, allowing me to reflect on my decisions, explore ethical dilemmas, and receive constructive feedback.</w:t>
            </w:r>
            <w:r w:rsidRPr="00032ECF">
              <w:rPr>
                <w:rFonts w:ascii="Arial" w:hAnsi="Arial" w:cs="Arial"/>
              </w:rPr>
              <w:br/>
              <w:t>It helped me navigate tensions, particularly around balancing the mother’s rights with the children’s safety.  Supervision provided a reflective space to explore uncertainty and validate my professional judgement.  It also offered an opportunity to discuss my worries and feelings, and to seek support and guidance, ensuring that my decisions were balanced and well-considered.</w:t>
            </w:r>
            <w:r w:rsidRPr="00032ECF">
              <w:rPr>
                <w:rStyle w:val="Strong"/>
                <w:rFonts w:ascii="Arial" w:eastAsiaTheme="majorEastAsia" w:hAnsi="Arial" w:cs="Arial"/>
              </w:rPr>
              <w:t xml:space="preserve"> </w:t>
            </w:r>
          </w:p>
          <w:p w14:paraId="3A9C15D1" w14:textId="77777777" w:rsidR="00E16808" w:rsidRPr="00032ECF" w:rsidRDefault="00E16808" w:rsidP="00E16808">
            <w:pPr>
              <w:spacing w:line="360" w:lineRule="auto"/>
              <w:jc w:val="both"/>
              <w:rPr>
                <w:rStyle w:val="Strong"/>
                <w:rFonts w:eastAsiaTheme="majorEastAsia"/>
                <w:sz w:val="24"/>
                <w:szCs w:val="24"/>
              </w:rPr>
            </w:pPr>
          </w:p>
          <w:p w14:paraId="10FDBC49" w14:textId="77777777" w:rsidR="00E16808" w:rsidRDefault="00E16808" w:rsidP="00E16808">
            <w:pPr>
              <w:spacing w:line="360" w:lineRule="auto"/>
              <w:jc w:val="both"/>
              <w:rPr>
                <w:sz w:val="24"/>
                <w:szCs w:val="24"/>
              </w:rPr>
            </w:pPr>
            <w:r w:rsidRPr="00032ECF">
              <w:rPr>
                <w:rStyle w:val="Strong"/>
                <w:rFonts w:eastAsiaTheme="majorEastAsia"/>
                <w:b w:val="0"/>
                <w:bCs w:val="0"/>
                <w:sz w:val="24"/>
                <w:szCs w:val="24"/>
              </w:rPr>
              <w:t xml:space="preserve">Collaborative decision-making strengthened safeguarding.  </w:t>
            </w:r>
            <w:r w:rsidRPr="00032ECF">
              <w:rPr>
                <w:sz w:val="24"/>
                <w:szCs w:val="24"/>
              </w:rPr>
              <w:t xml:space="preserve">The steps taken were agreed upon with the police and shared with my manager, reinforcing the collaborative nature of the </w:t>
            </w:r>
            <w:r w:rsidRPr="00032ECF">
              <w:rPr>
                <w:sz w:val="24"/>
                <w:szCs w:val="24"/>
              </w:rPr>
              <w:lastRenderedPageBreak/>
              <w:t>decision-making process. Although the police made the decision to arrest, working together during interviews supported each other's roles and strengthened the overall safeguarding response.</w:t>
            </w:r>
          </w:p>
          <w:p w14:paraId="02B7B3EA" w14:textId="77777777" w:rsidR="00E16808" w:rsidRPr="00032ECF" w:rsidRDefault="00E16808" w:rsidP="00E16808">
            <w:pPr>
              <w:spacing w:line="360" w:lineRule="auto"/>
              <w:jc w:val="both"/>
              <w:rPr>
                <w:sz w:val="24"/>
                <w:szCs w:val="24"/>
              </w:rPr>
            </w:pPr>
          </w:p>
          <w:p w14:paraId="712CE953" w14:textId="77777777" w:rsidR="00E16808" w:rsidRPr="00032ECF" w:rsidRDefault="00E16808" w:rsidP="00E16808">
            <w:pPr>
              <w:spacing w:line="360" w:lineRule="auto"/>
              <w:jc w:val="both"/>
              <w:rPr>
                <w:sz w:val="24"/>
                <w:szCs w:val="24"/>
              </w:rPr>
            </w:pPr>
            <w:r w:rsidRPr="00032ECF">
              <w:rPr>
                <w:sz w:val="24"/>
                <w:szCs w:val="24"/>
              </w:rPr>
              <w:t xml:space="preserve">To conclude this case study has demonstrated my understanding of safeguarding in complex family situations.  I have demonstrated my ability to prioritise the children’s safety, placing them at the centre of support.  I explained how theory, legislation, and multiagency collaboration were essential in navigating the challenges and ensuring the children’s voices remained central.  I ensured that the family were treated with dignity, and that their legal and equal rights were upheld, recognising the value of advocacy and trauma-informed care in supporting the mother. </w:t>
            </w:r>
          </w:p>
          <w:p w14:paraId="630006D1" w14:textId="77777777" w:rsidR="00E16808" w:rsidRPr="00032ECF" w:rsidRDefault="00E16808" w:rsidP="00E16808">
            <w:pPr>
              <w:spacing w:line="360" w:lineRule="auto"/>
              <w:jc w:val="both"/>
              <w:rPr>
                <w:sz w:val="24"/>
                <w:szCs w:val="24"/>
              </w:rPr>
            </w:pPr>
            <w:r w:rsidRPr="00032ECF">
              <w:rPr>
                <w:sz w:val="24"/>
                <w:szCs w:val="24"/>
              </w:rPr>
              <w:t>I described the challenges faced, particularly when working in rural areas with limited resources.  Moving forward I will continue to develop my practice by staying informed about ongoing legal developments and applying this knowledge to achieve the best possible outcomes.  This case has reinforced the importance of reflective practice and the need for continuous learning in safeguarding work.</w:t>
            </w:r>
          </w:p>
          <w:p w14:paraId="13126EE6" w14:textId="77777777" w:rsidR="00E16808" w:rsidRPr="002767D6" w:rsidRDefault="00E16808" w:rsidP="00E16808">
            <w:pPr>
              <w:spacing w:line="360" w:lineRule="auto"/>
              <w:jc w:val="both"/>
              <w:rPr>
                <w:b/>
                <w:bCs/>
                <w:sz w:val="24"/>
                <w:szCs w:val="24"/>
              </w:rPr>
            </w:pPr>
          </w:p>
          <w:p w14:paraId="20370495" w14:textId="7060881F" w:rsidR="00D3203C" w:rsidRPr="00E16808" w:rsidRDefault="00E16808" w:rsidP="00FF7EBB">
            <w:pPr>
              <w:jc w:val="both"/>
              <w:rPr>
                <w:iCs/>
                <w:sz w:val="24"/>
                <w:szCs w:val="24"/>
              </w:rPr>
            </w:pPr>
            <w:r>
              <w:rPr>
                <w:iCs/>
                <w:sz w:val="24"/>
                <w:szCs w:val="24"/>
              </w:rPr>
              <w:t xml:space="preserve">4270 </w:t>
            </w:r>
            <w:r w:rsidRPr="009E0C6B">
              <w:rPr>
                <w:iCs/>
                <w:sz w:val="24"/>
                <w:szCs w:val="24"/>
              </w:rPr>
              <w:t>words</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9FBB1" w14:textId="77777777" w:rsidR="00960518" w:rsidRDefault="00960518">
      <w:r>
        <w:separator/>
      </w:r>
    </w:p>
  </w:endnote>
  <w:endnote w:type="continuationSeparator" w:id="0">
    <w:p w14:paraId="1551CD81" w14:textId="77777777" w:rsidR="00960518" w:rsidRDefault="00960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F3B97" w14:textId="77777777" w:rsidR="00960518" w:rsidRDefault="00960518">
      <w:r>
        <w:separator/>
      </w:r>
    </w:p>
  </w:footnote>
  <w:footnote w:type="continuationSeparator" w:id="0">
    <w:p w14:paraId="7C2FCB1C" w14:textId="77777777" w:rsidR="00960518" w:rsidRDefault="009605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2A0F32"/>
    <w:multiLevelType w:val="multilevel"/>
    <w:tmpl w:val="3110B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5C5B4B"/>
    <w:multiLevelType w:val="multilevel"/>
    <w:tmpl w:val="4CC2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7A51C8"/>
    <w:multiLevelType w:val="multilevel"/>
    <w:tmpl w:val="32B4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FC325FE"/>
    <w:multiLevelType w:val="multilevel"/>
    <w:tmpl w:val="4FFE2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53E7159"/>
    <w:multiLevelType w:val="multilevel"/>
    <w:tmpl w:val="79925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5E72264"/>
    <w:multiLevelType w:val="multilevel"/>
    <w:tmpl w:val="F780A9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3BB55130"/>
    <w:multiLevelType w:val="multilevel"/>
    <w:tmpl w:val="C89EE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6F14F28"/>
    <w:multiLevelType w:val="multilevel"/>
    <w:tmpl w:val="E490F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538D0ED3"/>
    <w:multiLevelType w:val="multilevel"/>
    <w:tmpl w:val="E8FA3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9597988"/>
    <w:multiLevelType w:val="multilevel"/>
    <w:tmpl w:val="6CBE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A29626F"/>
    <w:multiLevelType w:val="multilevel"/>
    <w:tmpl w:val="FDB0F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731D7BBB"/>
    <w:multiLevelType w:val="multilevel"/>
    <w:tmpl w:val="12EA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7E055CA6"/>
    <w:multiLevelType w:val="multilevel"/>
    <w:tmpl w:val="4990AC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7"/>
  </w:num>
  <w:num w:numId="3" w16cid:durableId="1938977855">
    <w:abstractNumId w:val="57"/>
  </w:num>
  <w:num w:numId="4" w16cid:durableId="1850633156">
    <w:abstractNumId w:val="59"/>
  </w:num>
  <w:num w:numId="5" w16cid:durableId="2042589495">
    <w:abstractNumId w:val="43"/>
  </w:num>
  <w:num w:numId="6" w16cid:durableId="933980368">
    <w:abstractNumId w:val="41"/>
  </w:num>
  <w:num w:numId="7" w16cid:durableId="1060399973">
    <w:abstractNumId w:val="37"/>
  </w:num>
  <w:num w:numId="8" w16cid:durableId="1237400777">
    <w:abstractNumId w:val="38"/>
  </w:num>
  <w:num w:numId="9" w16cid:durableId="1914463563">
    <w:abstractNumId w:val="13"/>
  </w:num>
  <w:num w:numId="10" w16cid:durableId="693307142">
    <w:abstractNumId w:val="42"/>
  </w:num>
  <w:num w:numId="11" w16cid:durableId="141846751">
    <w:abstractNumId w:val="21"/>
  </w:num>
  <w:num w:numId="12" w16cid:durableId="1310867263">
    <w:abstractNumId w:val="20"/>
  </w:num>
  <w:num w:numId="13" w16cid:durableId="65736213">
    <w:abstractNumId w:val="34"/>
  </w:num>
  <w:num w:numId="14" w16cid:durableId="825441142">
    <w:abstractNumId w:val="11"/>
  </w:num>
  <w:num w:numId="15" w16cid:durableId="1016493186">
    <w:abstractNumId w:val="32"/>
  </w:num>
  <w:num w:numId="16" w16cid:durableId="1273785188">
    <w:abstractNumId w:val="19"/>
  </w:num>
  <w:num w:numId="17" w16cid:durableId="431317323">
    <w:abstractNumId w:val="16"/>
  </w:num>
  <w:num w:numId="18" w16cid:durableId="1020622863">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8"/>
  </w:num>
  <w:num w:numId="20" w16cid:durableId="413284070">
    <w:abstractNumId w:val="22"/>
  </w:num>
  <w:num w:numId="21" w16cid:durableId="798959287">
    <w:abstractNumId w:val="18"/>
  </w:num>
  <w:num w:numId="22" w16cid:durableId="352731724">
    <w:abstractNumId w:val="14"/>
  </w:num>
  <w:num w:numId="23" w16cid:durableId="456266206">
    <w:abstractNumId w:val="35"/>
  </w:num>
  <w:num w:numId="24" w16cid:durableId="317615789">
    <w:abstractNumId w:val="24"/>
  </w:num>
  <w:num w:numId="25" w16cid:durableId="856430468">
    <w:abstractNumId w:val="52"/>
  </w:num>
  <w:num w:numId="26" w16cid:durableId="1104690971">
    <w:abstractNumId w:val="45"/>
  </w:num>
  <w:num w:numId="27" w16cid:durableId="1201670287">
    <w:abstractNumId w:val="51"/>
  </w:num>
  <w:num w:numId="28" w16cid:durableId="598562144">
    <w:abstractNumId w:val="25"/>
  </w:num>
  <w:num w:numId="29" w16cid:durableId="871068292">
    <w:abstractNumId w:val="54"/>
  </w:num>
  <w:num w:numId="30" w16cid:durableId="482159744">
    <w:abstractNumId w:val="39"/>
  </w:num>
  <w:num w:numId="31" w16cid:durableId="1565527110">
    <w:abstractNumId w:val="15"/>
  </w:num>
  <w:num w:numId="32" w16cid:durableId="1175995731">
    <w:abstractNumId w:val="56"/>
  </w:num>
  <w:num w:numId="33" w16cid:durableId="694232600">
    <w:abstractNumId w:val="49"/>
  </w:num>
  <w:num w:numId="34" w16cid:durableId="1062095063">
    <w:abstractNumId w:val="6"/>
  </w:num>
  <w:num w:numId="35" w16cid:durableId="2051881075">
    <w:abstractNumId w:val="58"/>
  </w:num>
  <w:num w:numId="36" w16cid:durableId="2107188112">
    <w:abstractNumId w:val="53"/>
  </w:num>
  <w:num w:numId="37" w16cid:durableId="1313413796">
    <w:abstractNumId w:val="46"/>
  </w:num>
  <w:num w:numId="38" w16cid:durableId="1682197957">
    <w:abstractNumId w:val="47"/>
  </w:num>
  <w:num w:numId="39" w16cid:durableId="340203735">
    <w:abstractNumId w:val="4"/>
  </w:num>
  <w:num w:numId="40" w16cid:durableId="1266502755">
    <w:abstractNumId w:val="7"/>
  </w:num>
  <w:num w:numId="41" w16cid:durableId="2138642120">
    <w:abstractNumId w:val="31"/>
  </w:num>
  <w:num w:numId="42" w16cid:durableId="2082366208">
    <w:abstractNumId w:val="10"/>
  </w:num>
  <w:num w:numId="43" w16cid:durableId="488403910">
    <w:abstractNumId w:val="3"/>
  </w:num>
  <w:num w:numId="44" w16cid:durableId="210268195">
    <w:abstractNumId w:val="48"/>
  </w:num>
  <w:num w:numId="45" w16cid:durableId="891695978">
    <w:abstractNumId w:val="0"/>
  </w:num>
  <w:num w:numId="46" w16cid:durableId="827289017">
    <w:abstractNumId w:val="18"/>
  </w:num>
  <w:num w:numId="47" w16cid:durableId="167212813">
    <w:abstractNumId w:val="60"/>
  </w:num>
  <w:num w:numId="48" w16cid:durableId="121014736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4"/>
  </w:num>
  <w:num w:numId="50" w16cid:durableId="1163856707">
    <w:abstractNumId w:val="35"/>
  </w:num>
  <w:num w:numId="51" w16cid:durableId="536360681">
    <w:abstractNumId w:val="30"/>
  </w:num>
  <w:num w:numId="52" w16cid:durableId="1666274935">
    <w:abstractNumId w:val="26"/>
  </w:num>
  <w:num w:numId="53" w16cid:durableId="435172075">
    <w:abstractNumId w:val="2"/>
  </w:num>
  <w:num w:numId="54" w16cid:durableId="990523623">
    <w:abstractNumId w:val="9"/>
  </w:num>
  <w:num w:numId="55" w16cid:durableId="312414980">
    <w:abstractNumId w:val="33"/>
  </w:num>
  <w:num w:numId="56" w16cid:durableId="1216547778">
    <w:abstractNumId w:val="23"/>
  </w:num>
  <w:num w:numId="57" w16cid:durableId="133840879">
    <w:abstractNumId w:val="36"/>
  </w:num>
  <w:num w:numId="58" w16cid:durableId="1253516024">
    <w:abstractNumId w:val="55"/>
  </w:num>
  <w:num w:numId="59" w16cid:durableId="753167406">
    <w:abstractNumId w:val="29"/>
  </w:num>
  <w:num w:numId="60" w16cid:durableId="1196429950">
    <w:abstractNumId w:val="50"/>
  </w:num>
  <w:num w:numId="61" w16cid:durableId="397442088">
    <w:abstractNumId w:val="17"/>
  </w:num>
  <w:num w:numId="62" w16cid:durableId="493567200">
    <w:abstractNumId w:val="44"/>
  </w:num>
  <w:num w:numId="63" w16cid:durableId="1881085277">
    <w:abstractNumId w:val="5"/>
  </w:num>
  <w:num w:numId="64" w16cid:durableId="1637877691">
    <w:abstractNumId w:val="40"/>
  </w:num>
  <w:num w:numId="65" w16cid:durableId="907694204">
    <w:abstractNumId w:val="8"/>
  </w:num>
  <w:num w:numId="66" w16cid:durableId="402216131">
    <w:abstractNumId w:val="6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0C6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853"/>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E8E"/>
    <w:rsid w:val="006A3DAA"/>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07301"/>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6A9"/>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518"/>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722B"/>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FB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3F0"/>
    <w:rsid w:val="00DF2469"/>
    <w:rsid w:val="00DF7899"/>
    <w:rsid w:val="00E0524C"/>
    <w:rsid w:val="00E15751"/>
    <w:rsid w:val="00E16808"/>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AA4"/>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E16808"/>
    <w:pPr>
      <w:keepNext/>
      <w:keepLines/>
      <w:overflowPunct/>
      <w:autoSpaceDE/>
      <w:autoSpaceDN/>
      <w:adjustRightInd/>
      <w:spacing w:before="160" w:after="80" w:line="259" w:lineRule="auto"/>
      <w:textAlignment w:val="auto"/>
      <w:outlineLvl w:val="2"/>
    </w:pPr>
    <w:rPr>
      <w:rFonts w:asciiTheme="minorHAnsi" w:eastAsiaTheme="majorEastAsia" w:hAnsiTheme="minorHAnsi"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E16808"/>
    <w:pPr>
      <w:keepNext/>
      <w:keepLines/>
      <w:overflowPunct/>
      <w:autoSpaceDE/>
      <w:autoSpaceDN/>
      <w:adjustRightInd/>
      <w:spacing w:before="80" w:after="40" w:line="259" w:lineRule="auto"/>
      <w:textAlignment w:val="auto"/>
      <w:outlineLvl w:val="3"/>
    </w:pPr>
    <w:rPr>
      <w:rFonts w:asciiTheme="minorHAnsi" w:eastAsiaTheme="majorEastAsia" w:hAnsiTheme="minorHAnsi" w:cstheme="majorBidi"/>
      <w:i/>
      <w:iCs/>
      <w:color w:val="2F5496" w:themeColor="accent1" w:themeShade="BF"/>
      <w:sz w:val="22"/>
      <w:szCs w:val="22"/>
      <w:lang w:eastAsia="en-US"/>
    </w:rPr>
  </w:style>
  <w:style w:type="paragraph" w:styleId="Heading5">
    <w:name w:val="heading 5"/>
    <w:basedOn w:val="Normal"/>
    <w:next w:val="Normal"/>
    <w:link w:val="Heading5Char"/>
    <w:uiPriority w:val="9"/>
    <w:semiHidden/>
    <w:unhideWhenUsed/>
    <w:qFormat/>
    <w:rsid w:val="00E16808"/>
    <w:pPr>
      <w:keepNext/>
      <w:keepLines/>
      <w:overflowPunct/>
      <w:autoSpaceDE/>
      <w:autoSpaceDN/>
      <w:adjustRightInd/>
      <w:spacing w:before="80" w:after="40" w:line="259" w:lineRule="auto"/>
      <w:textAlignment w:val="auto"/>
      <w:outlineLvl w:val="4"/>
    </w:pPr>
    <w:rPr>
      <w:rFonts w:asciiTheme="minorHAnsi" w:eastAsiaTheme="majorEastAsia" w:hAnsiTheme="minorHAnsi" w:cstheme="majorBidi"/>
      <w:color w:val="2F5496" w:themeColor="accent1" w:themeShade="BF"/>
      <w:sz w:val="22"/>
      <w:szCs w:val="22"/>
      <w:lang w:eastAsia="en-US"/>
    </w:rPr>
  </w:style>
  <w:style w:type="paragraph" w:styleId="Heading6">
    <w:name w:val="heading 6"/>
    <w:basedOn w:val="Normal"/>
    <w:next w:val="Normal"/>
    <w:link w:val="Heading6Char"/>
    <w:uiPriority w:val="9"/>
    <w:semiHidden/>
    <w:unhideWhenUsed/>
    <w:qFormat/>
    <w:rsid w:val="00E16808"/>
    <w:pPr>
      <w:keepNext/>
      <w:keepLines/>
      <w:overflowPunct/>
      <w:autoSpaceDE/>
      <w:autoSpaceDN/>
      <w:adjustRightInd/>
      <w:spacing w:before="40" w:line="259" w:lineRule="auto"/>
      <w:textAlignment w:val="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E16808"/>
    <w:pPr>
      <w:keepNext/>
      <w:keepLines/>
      <w:overflowPunct/>
      <w:autoSpaceDE/>
      <w:autoSpaceDN/>
      <w:adjustRightInd/>
      <w:spacing w:before="40" w:line="259" w:lineRule="auto"/>
      <w:textAlignment w:val="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E16808"/>
    <w:pPr>
      <w:keepNext/>
      <w:keepLines/>
      <w:overflowPunct/>
      <w:autoSpaceDE/>
      <w:autoSpaceDN/>
      <w:adjustRightInd/>
      <w:spacing w:line="259" w:lineRule="auto"/>
      <w:textAlignment w:val="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E16808"/>
    <w:pPr>
      <w:keepNext/>
      <w:keepLines/>
      <w:overflowPunct/>
      <w:autoSpaceDE/>
      <w:autoSpaceDN/>
      <w:adjustRightInd/>
      <w:spacing w:line="259" w:lineRule="auto"/>
      <w:textAlignment w:val="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uiPriority w:val="10"/>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uiPriority w:val="10"/>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E16808"/>
    <w:rPr>
      <w:rFonts w:asciiTheme="minorHAnsi" w:eastAsiaTheme="majorEastAsia" w:hAnsiTheme="minorHAnsi" w:cstheme="majorBidi"/>
      <w:color w:val="2F5496" w:themeColor="accent1" w:themeShade="BF"/>
      <w:sz w:val="28"/>
      <w:szCs w:val="28"/>
      <w:lang w:eastAsia="en-US"/>
    </w:rPr>
  </w:style>
  <w:style w:type="character" w:customStyle="1" w:styleId="Heading4Char">
    <w:name w:val="Heading 4 Char"/>
    <w:basedOn w:val="DefaultParagraphFont"/>
    <w:link w:val="Heading4"/>
    <w:uiPriority w:val="9"/>
    <w:semiHidden/>
    <w:rsid w:val="00E16808"/>
    <w:rPr>
      <w:rFonts w:asciiTheme="minorHAnsi" w:eastAsiaTheme="majorEastAsia" w:hAnsiTheme="minorHAnsi" w:cstheme="majorBidi"/>
      <w:i/>
      <w:iCs/>
      <w:color w:val="2F5496" w:themeColor="accent1" w:themeShade="BF"/>
      <w:sz w:val="22"/>
      <w:szCs w:val="22"/>
      <w:lang w:eastAsia="en-US"/>
    </w:rPr>
  </w:style>
  <w:style w:type="character" w:customStyle="1" w:styleId="Heading5Char">
    <w:name w:val="Heading 5 Char"/>
    <w:basedOn w:val="DefaultParagraphFont"/>
    <w:link w:val="Heading5"/>
    <w:uiPriority w:val="9"/>
    <w:semiHidden/>
    <w:rsid w:val="00E16808"/>
    <w:rPr>
      <w:rFonts w:asciiTheme="minorHAnsi" w:eastAsiaTheme="majorEastAsia" w:hAnsiTheme="minorHAnsi" w:cstheme="majorBidi"/>
      <w:color w:val="2F5496" w:themeColor="accent1" w:themeShade="BF"/>
      <w:sz w:val="22"/>
      <w:szCs w:val="22"/>
      <w:lang w:eastAsia="en-US"/>
    </w:rPr>
  </w:style>
  <w:style w:type="character" w:customStyle="1" w:styleId="Heading6Char">
    <w:name w:val="Heading 6 Char"/>
    <w:basedOn w:val="DefaultParagraphFont"/>
    <w:link w:val="Heading6"/>
    <w:uiPriority w:val="9"/>
    <w:semiHidden/>
    <w:rsid w:val="00E16808"/>
    <w:rPr>
      <w:rFonts w:asciiTheme="minorHAnsi" w:eastAsiaTheme="majorEastAsia" w:hAnsiTheme="minorHAnsi" w:cstheme="majorBidi"/>
      <w:i/>
      <w:iCs/>
      <w:color w:val="595959" w:themeColor="text1" w:themeTint="A6"/>
      <w:sz w:val="22"/>
      <w:szCs w:val="22"/>
      <w:lang w:eastAsia="en-US"/>
    </w:rPr>
  </w:style>
  <w:style w:type="character" w:customStyle="1" w:styleId="Heading7Char">
    <w:name w:val="Heading 7 Char"/>
    <w:basedOn w:val="DefaultParagraphFont"/>
    <w:link w:val="Heading7"/>
    <w:uiPriority w:val="9"/>
    <w:semiHidden/>
    <w:rsid w:val="00E16808"/>
    <w:rPr>
      <w:rFonts w:asciiTheme="minorHAnsi" w:eastAsiaTheme="majorEastAsia" w:hAnsiTheme="minorHAnsi" w:cstheme="majorBidi"/>
      <w:color w:val="595959" w:themeColor="text1" w:themeTint="A6"/>
      <w:sz w:val="22"/>
      <w:szCs w:val="22"/>
      <w:lang w:eastAsia="en-US"/>
    </w:rPr>
  </w:style>
  <w:style w:type="character" w:customStyle="1" w:styleId="Heading8Char">
    <w:name w:val="Heading 8 Char"/>
    <w:basedOn w:val="DefaultParagraphFont"/>
    <w:link w:val="Heading8"/>
    <w:uiPriority w:val="9"/>
    <w:semiHidden/>
    <w:rsid w:val="00E16808"/>
    <w:rPr>
      <w:rFonts w:asciiTheme="minorHAnsi" w:eastAsiaTheme="majorEastAsia" w:hAnsiTheme="minorHAnsi" w:cstheme="majorBidi"/>
      <w:i/>
      <w:iCs/>
      <w:color w:val="272727" w:themeColor="text1" w:themeTint="D8"/>
      <w:sz w:val="22"/>
      <w:szCs w:val="22"/>
      <w:lang w:eastAsia="en-US"/>
    </w:rPr>
  </w:style>
  <w:style w:type="character" w:customStyle="1" w:styleId="Heading9Char">
    <w:name w:val="Heading 9 Char"/>
    <w:basedOn w:val="DefaultParagraphFont"/>
    <w:link w:val="Heading9"/>
    <w:uiPriority w:val="9"/>
    <w:semiHidden/>
    <w:rsid w:val="00E16808"/>
    <w:rPr>
      <w:rFonts w:asciiTheme="minorHAnsi" w:eastAsiaTheme="majorEastAsia" w:hAnsiTheme="minorHAnsi" w:cstheme="majorBidi"/>
      <w:color w:val="272727" w:themeColor="text1" w:themeTint="D8"/>
      <w:sz w:val="22"/>
      <w:szCs w:val="22"/>
      <w:lang w:eastAsia="en-US"/>
    </w:rPr>
  </w:style>
  <w:style w:type="character" w:customStyle="1" w:styleId="Heading1Char">
    <w:name w:val="Heading 1 Char"/>
    <w:basedOn w:val="DefaultParagraphFont"/>
    <w:link w:val="Heading1"/>
    <w:uiPriority w:val="9"/>
    <w:rsid w:val="00E16808"/>
    <w:rPr>
      <w:rFonts w:ascii="Arial" w:hAnsi="Arial" w:cs="Arial"/>
      <w:b/>
      <w:color w:val="000000"/>
      <w:kern w:val="28"/>
      <w:sz w:val="28"/>
    </w:rPr>
  </w:style>
  <w:style w:type="paragraph" w:styleId="Subtitle">
    <w:name w:val="Subtitle"/>
    <w:basedOn w:val="Normal"/>
    <w:next w:val="Normal"/>
    <w:link w:val="SubtitleChar"/>
    <w:uiPriority w:val="11"/>
    <w:qFormat/>
    <w:rsid w:val="00E16808"/>
    <w:pPr>
      <w:numPr>
        <w:ilvl w:val="1"/>
      </w:numPr>
      <w:overflowPunct/>
      <w:autoSpaceDE/>
      <w:autoSpaceDN/>
      <w:adjustRightInd/>
      <w:spacing w:after="160" w:line="259" w:lineRule="auto"/>
      <w:textAlignment w:val="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16808"/>
    <w:rPr>
      <w:rFonts w:asciiTheme="minorHAnsi" w:eastAsiaTheme="majorEastAsia" w:hAnsiTheme="minorHAnsi" w:cstheme="majorBidi"/>
      <w:color w:val="595959" w:themeColor="text1" w:themeTint="A6"/>
      <w:spacing w:val="15"/>
      <w:sz w:val="28"/>
      <w:szCs w:val="28"/>
      <w:lang w:eastAsia="en-US"/>
    </w:rPr>
  </w:style>
  <w:style w:type="paragraph" w:styleId="Quote">
    <w:name w:val="Quote"/>
    <w:basedOn w:val="Normal"/>
    <w:next w:val="Normal"/>
    <w:link w:val="QuoteChar"/>
    <w:uiPriority w:val="29"/>
    <w:qFormat/>
    <w:rsid w:val="00E16808"/>
    <w:pPr>
      <w:overflowPunct/>
      <w:autoSpaceDE/>
      <w:autoSpaceDN/>
      <w:adjustRightInd/>
      <w:spacing w:before="160" w:after="160" w:line="259" w:lineRule="auto"/>
      <w:jc w:val="center"/>
      <w:textAlignment w:val="auto"/>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E16808"/>
    <w:rPr>
      <w:rFonts w:asciiTheme="minorHAnsi" w:eastAsiaTheme="minorHAnsi" w:hAnsiTheme="minorHAnsi" w:cstheme="minorBidi"/>
      <w:i/>
      <w:iCs/>
      <w:color w:val="404040" w:themeColor="text1" w:themeTint="BF"/>
      <w:sz w:val="22"/>
      <w:szCs w:val="22"/>
      <w:lang w:eastAsia="en-US"/>
    </w:rPr>
  </w:style>
  <w:style w:type="paragraph" w:styleId="ListParagraph">
    <w:name w:val="List Paragraph"/>
    <w:basedOn w:val="Normal"/>
    <w:uiPriority w:val="34"/>
    <w:qFormat/>
    <w:rsid w:val="00E16808"/>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IntenseEmphasis">
    <w:name w:val="Intense Emphasis"/>
    <w:basedOn w:val="DefaultParagraphFont"/>
    <w:uiPriority w:val="21"/>
    <w:qFormat/>
    <w:rsid w:val="00E16808"/>
    <w:rPr>
      <w:i/>
      <w:iCs/>
      <w:color w:val="2F5496" w:themeColor="accent1" w:themeShade="BF"/>
    </w:rPr>
  </w:style>
  <w:style w:type="paragraph" w:styleId="IntenseQuote">
    <w:name w:val="Intense Quote"/>
    <w:basedOn w:val="Normal"/>
    <w:next w:val="Normal"/>
    <w:link w:val="IntenseQuoteChar"/>
    <w:uiPriority w:val="30"/>
    <w:qFormat/>
    <w:rsid w:val="00E16808"/>
    <w:pPr>
      <w:pBdr>
        <w:top w:val="single" w:sz="4" w:space="10" w:color="2F5496" w:themeColor="accent1" w:themeShade="BF"/>
        <w:bottom w:val="single" w:sz="4" w:space="10" w:color="2F5496" w:themeColor="accent1" w:themeShade="BF"/>
      </w:pBdr>
      <w:overflowPunct/>
      <w:autoSpaceDE/>
      <w:autoSpaceDN/>
      <w:adjustRightInd/>
      <w:spacing w:before="360" w:after="360" w:line="259" w:lineRule="auto"/>
      <w:ind w:left="864" w:right="864"/>
      <w:jc w:val="center"/>
      <w:textAlignment w:val="auto"/>
    </w:pPr>
    <w:rPr>
      <w:rFonts w:asciiTheme="minorHAnsi" w:eastAsiaTheme="minorHAnsi" w:hAnsiTheme="minorHAnsi" w:cstheme="minorBidi"/>
      <w:i/>
      <w:iCs/>
      <w:color w:val="2F5496" w:themeColor="accent1" w:themeShade="BF"/>
      <w:sz w:val="22"/>
      <w:szCs w:val="22"/>
      <w:lang w:eastAsia="en-US"/>
    </w:rPr>
  </w:style>
  <w:style w:type="character" w:customStyle="1" w:styleId="IntenseQuoteChar">
    <w:name w:val="Intense Quote Char"/>
    <w:basedOn w:val="DefaultParagraphFont"/>
    <w:link w:val="IntenseQuote"/>
    <w:uiPriority w:val="30"/>
    <w:rsid w:val="00E16808"/>
    <w:rPr>
      <w:rFonts w:asciiTheme="minorHAnsi" w:eastAsiaTheme="minorHAnsi" w:hAnsiTheme="minorHAnsi" w:cstheme="minorBidi"/>
      <w:i/>
      <w:iCs/>
      <w:color w:val="2F5496" w:themeColor="accent1" w:themeShade="BF"/>
      <w:sz w:val="22"/>
      <w:szCs w:val="22"/>
      <w:lang w:eastAsia="en-US"/>
    </w:rPr>
  </w:style>
  <w:style w:type="character" w:styleId="IntenseReference">
    <w:name w:val="Intense Reference"/>
    <w:basedOn w:val="DefaultParagraphFont"/>
    <w:uiPriority w:val="32"/>
    <w:qFormat/>
    <w:rsid w:val="00E16808"/>
    <w:rPr>
      <w:b/>
      <w:bCs/>
      <w:smallCaps/>
      <w:color w:val="2F5496" w:themeColor="accent1" w:themeShade="BF"/>
      <w:spacing w:val="5"/>
    </w:rPr>
  </w:style>
  <w:style w:type="character" w:styleId="Strong">
    <w:name w:val="Strong"/>
    <w:basedOn w:val="DefaultParagraphFont"/>
    <w:uiPriority w:val="22"/>
    <w:qFormat/>
    <w:rsid w:val="00E16808"/>
    <w:rPr>
      <w:b/>
      <w:bCs/>
    </w:rPr>
  </w:style>
  <w:style w:type="character" w:styleId="Emphasis">
    <w:name w:val="Emphasis"/>
    <w:basedOn w:val="DefaultParagraphFont"/>
    <w:uiPriority w:val="20"/>
    <w:qFormat/>
    <w:rsid w:val="00E16808"/>
    <w:rPr>
      <w:i/>
      <w:iCs/>
    </w:rPr>
  </w:style>
  <w:style w:type="paragraph" w:styleId="NormalWeb">
    <w:name w:val="Normal (Web)"/>
    <w:basedOn w:val="Normal"/>
    <w:uiPriority w:val="99"/>
    <w:unhideWhenUsed/>
    <w:rsid w:val="00E168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4509</Words>
  <Characters>25567</Characters>
  <Application>Microsoft Office Word</Application>
  <DocSecurity>0</DocSecurity>
  <Lines>881</Lines>
  <Paragraphs>334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Cheryl Phillips</cp:lastModifiedBy>
  <cp:revision>10</cp:revision>
  <cp:lastPrinted>2020-02-11T19:20:00Z</cp:lastPrinted>
  <dcterms:created xsi:type="dcterms:W3CDTF">2025-09-17T13:08:00Z</dcterms:created>
  <dcterms:modified xsi:type="dcterms:W3CDTF">2025-10-07T10:37:00Z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