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3599956"/>
        <w:docPartObj>
          <w:docPartGallery w:val="Cover Pages"/>
          <w:docPartUnique/>
        </w:docPartObj>
      </w:sdtPr>
      <w:sdtEndPr>
        <w:rPr>
          <w:rFonts w:ascii="Arial" w:eastAsiaTheme="majorEastAsia" w:hAnsi="Arial" w:cs="Arial"/>
          <w:color w:val="262626" w:themeColor="text1" w:themeTint="D9"/>
          <w:kern w:val="0"/>
          <w:sz w:val="52"/>
          <w:szCs w:val="52"/>
          <w:lang w:val="en-US"/>
          <w14:ligatures w14:val="none"/>
        </w:rPr>
      </w:sdtEndPr>
      <w:sdtContent>
        <w:p w14:paraId="3A62F352" w14:textId="182FB3F9" w:rsidR="0005497D" w:rsidRDefault="000215F7">
          <w:r>
            <w:rPr>
              <w:noProof/>
            </w:rPr>
            <mc:AlternateContent>
              <mc:Choice Requires="wps">
                <w:drawing>
                  <wp:anchor distT="0" distB="0" distL="114300" distR="114300" simplePos="0" relativeHeight="251660288" behindDoc="0" locked="0" layoutInCell="1" allowOverlap="1" wp14:anchorId="602F0792" wp14:editId="79180F93">
                    <wp:simplePos x="0" y="0"/>
                    <wp:positionH relativeFrom="margin">
                      <wp:align>center</wp:align>
                    </wp:positionH>
                    <wp:positionV relativeFrom="page">
                      <wp:posOffset>5538080</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12272B" w14:textId="770C76C9" w:rsidR="0005497D" w:rsidRPr="00E5365E" w:rsidRDefault="00F90CCB" w:rsidP="00E5365E">
                                    <w:pPr>
                                      <w:pStyle w:val="NoSpacing"/>
                                      <w:jc w:val="center"/>
                                      <w:rPr>
                                        <w:rFonts w:ascii="Arial" w:hAnsi="Arial" w:cs="Arial"/>
                                        <w:color w:val="595959" w:themeColor="text1" w:themeTint="A6"/>
                                        <w:sz w:val="32"/>
                                        <w:szCs w:val="32"/>
                                      </w:rPr>
                                    </w:pPr>
                                    <w:r w:rsidRPr="00E5365E">
                                      <w:rPr>
                                        <w:rFonts w:ascii="Arial" w:hAnsi="Arial" w:cs="Arial"/>
                                        <w:color w:val="595959" w:themeColor="text1" w:themeTint="A6"/>
                                        <w:sz w:val="32"/>
                                        <w:szCs w:val="32"/>
                                      </w:rPr>
                                      <w:t xml:space="preserve">By Florenta Anisoara Chistol </w:t>
                                    </w:r>
                                  </w:p>
                                </w:sdtContent>
                              </w:sdt>
                              <w:p w14:paraId="0E75866C" w14:textId="7D3AC4D9" w:rsidR="0005497D" w:rsidRPr="00E5365E" w:rsidRDefault="0005497D" w:rsidP="00E5365E">
                                <w:pPr>
                                  <w:pStyle w:val="NoSpacing"/>
                                  <w:jc w:val="center"/>
                                  <w:rPr>
                                    <w:rFonts w:ascii="Arial" w:hAnsi="Arial" w:cs="Arial"/>
                                    <w:color w:val="595959" w:themeColor="text1" w:themeTint="A6"/>
                                    <w:sz w:val="32"/>
                                    <w:szCs w:val="32"/>
                                  </w:rPr>
                                </w:pPr>
                                <w:sdt>
                                  <w:sdtPr>
                                    <w:rPr>
                                      <w:rFonts w:ascii="Arial" w:hAnsi="Arial" w:cs="Arial"/>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610CDE" w:rsidRPr="00E5365E">
                                      <w:rPr>
                                        <w:rFonts w:ascii="Arial" w:hAnsi="Arial" w:cs="Arial"/>
                                        <w:color w:val="595959" w:themeColor="text1" w:themeTint="A6"/>
                                        <w:sz w:val="32"/>
                                        <w:szCs w:val="32"/>
                                      </w:rPr>
                                      <w:t>Student ID 2422978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2F0792" id="_x0000_t202" coordsize="21600,21600" o:spt="202" path="m,l,21600r21600,l21600,xe">
                    <v:stroke joinstyle="miter"/>
                    <v:path gradientshapeok="t" o:connecttype="rect"/>
                  </v:shapetype>
                  <v:shape id="Text Box 159" o:spid="_x0000_s1026" type="#_x0000_t202" style="position:absolute;margin-left:0;margin-top:436.0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" filled="f" stroked="f" strokeweight=".5pt">
                    <v:textbox inset="126pt,0,54pt,0">
                      <w:txbxContent>
                        <w:sdt>
                          <w:sdtPr>
                            <w:rPr>
                              <w:rFonts w:ascii="Arial" w:hAnsi="Arial" w:cs="Arial"/>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12272B" w14:textId="770C76C9" w:rsidR="0005497D" w:rsidRPr="00E5365E" w:rsidRDefault="00F90CCB" w:rsidP="00E5365E">
                              <w:pPr>
                                <w:pStyle w:val="NoSpacing"/>
                                <w:jc w:val="center"/>
                                <w:rPr>
                                  <w:rFonts w:ascii="Arial" w:hAnsi="Arial" w:cs="Arial"/>
                                  <w:color w:val="595959" w:themeColor="text1" w:themeTint="A6"/>
                                  <w:sz w:val="32"/>
                                  <w:szCs w:val="32"/>
                                </w:rPr>
                              </w:pPr>
                              <w:r w:rsidRPr="00E5365E">
                                <w:rPr>
                                  <w:rFonts w:ascii="Arial" w:hAnsi="Arial" w:cs="Arial"/>
                                  <w:color w:val="595959" w:themeColor="text1" w:themeTint="A6"/>
                                  <w:sz w:val="32"/>
                                  <w:szCs w:val="32"/>
                                </w:rPr>
                                <w:t xml:space="preserve">By Florenta Anisoara Chistol </w:t>
                              </w:r>
                            </w:p>
                          </w:sdtContent>
                        </w:sdt>
                        <w:p w14:paraId="0E75866C" w14:textId="7D3AC4D9" w:rsidR="0005497D" w:rsidRPr="00E5365E" w:rsidRDefault="0005497D" w:rsidP="00E5365E">
                          <w:pPr>
                            <w:pStyle w:val="NoSpacing"/>
                            <w:jc w:val="center"/>
                            <w:rPr>
                              <w:rFonts w:ascii="Arial" w:hAnsi="Arial" w:cs="Arial"/>
                              <w:color w:val="595959" w:themeColor="text1" w:themeTint="A6"/>
                              <w:sz w:val="32"/>
                              <w:szCs w:val="32"/>
                            </w:rPr>
                          </w:pPr>
                          <w:sdt>
                            <w:sdtPr>
                              <w:rPr>
                                <w:rFonts w:ascii="Arial" w:hAnsi="Arial" w:cs="Arial"/>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610CDE" w:rsidRPr="00E5365E">
                                <w:rPr>
                                  <w:rFonts w:ascii="Arial" w:hAnsi="Arial" w:cs="Arial"/>
                                  <w:color w:val="595959" w:themeColor="text1" w:themeTint="A6"/>
                                  <w:sz w:val="32"/>
                                  <w:szCs w:val="32"/>
                                </w:rPr>
                                <w:t>Student ID 2422978</w:t>
                              </w:r>
                            </w:sdtContent>
                          </w:sdt>
                        </w:p>
                      </w:txbxContent>
                    </v:textbox>
                    <w10:wrap type="square" anchorx="margin" anchory="page"/>
                  </v:shape>
                </w:pict>
              </mc:Fallback>
            </mc:AlternateContent>
          </w:r>
          <w:r w:rsidR="00E5365E">
            <w:rPr>
              <w:noProof/>
            </w:rPr>
            <mc:AlternateContent>
              <mc:Choice Requires="wps">
                <w:drawing>
                  <wp:anchor distT="0" distB="0" distL="114300" distR="114300" simplePos="0" relativeHeight="251659264" behindDoc="0" locked="0" layoutInCell="1" allowOverlap="1" wp14:anchorId="70525017" wp14:editId="03C41DD9">
                    <wp:simplePos x="0" y="0"/>
                    <wp:positionH relativeFrom="margin">
                      <wp:align>center</wp:align>
                    </wp:positionH>
                    <wp:positionV relativeFrom="page">
                      <wp:posOffset>1385570</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57718" w14:textId="1D7A5873" w:rsidR="0005497D" w:rsidRPr="00E5365E" w:rsidRDefault="0005497D" w:rsidP="00E5365E">
                                <w:pPr>
                                  <w:jc w:val="center"/>
                                  <w:rPr>
                                    <w:rFonts w:ascii="Arial" w:hAnsi="Arial" w:cs="Arial"/>
                                    <w:color w:val="156082" w:themeColor="accent1"/>
                                    <w:sz w:val="44"/>
                                    <w:szCs w:val="44"/>
                                  </w:rPr>
                                </w:pPr>
                                <w:sdt>
                                  <w:sdtPr>
                                    <w:rPr>
                                      <w:rFonts w:ascii="Arial" w:hAnsi="Arial" w:cs="Arial"/>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5365E">
                                      <w:rPr>
                                        <w:rFonts w:ascii="Arial" w:hAnsi="Arial" w:cs="Arial"/>
                                        <w:caps/>
                                        <w:color w:val="156082" w:themeColor="accent1"/>
                                        <w:sz w:val="44"/>
                                        <w:szCs w:val="44"/>
                                      </w:rPr>
                                      <w:t>Evaluation of Person-Centred Care and Partnership Working in Health and Social Care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76B0A1" w14:textId="0C0542AE" w:rsidR="0005497D" w:rsidRPr="00F90CCB" w:rsidRDefault="00F90CCB" w:rsidP="00F90CCB">
                                    <w:pPr>
                                      <w:jc w:val="center"/>
                                      <w:rPr>
                                        <w:rFonts w:ascii="Arial" w:hAnsi="Arial" w:cs="Arial"/>
                                        <w:smallCaps/>
                                        <w:color w:val="404040" w:themeColor="text1" w:themeTint="BF"/>
                                        <w:sz w:val="36"/>
                                        <w:szCs w:val="36"/>
                                      </w:rPr>
                                    </w:pPr>
                                    <w:r w:rsidRPr="00F90CCB">
                                      <w:rPr>
                                        <w:rFonts w:ascii="Arial" w:hAnsi="Arial" w:cs="Arial"/>
                                        <w:color w:val="404040" w:themeColor="text1" w:themeTint="BF"/>
                                        <w:sz w:val="36"/>
                                        <w:szCs w:val="36"/>
                                      </w:rPr>
                                      <w:t>Principles of Health and Social Care Practice - BMHP5016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525017" id="Text Box 163" o:spid="_x0000_s1027" type="#_x0000_t202" style="position:absolute;margin-left:0;margin-top:109.1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" filled="f" stroked="f" strokeweight=".5pt">
                    <v:textbox inset="126pt,0,54pt,0">
                      <w:txbxContent>
                        <w:p w14:paraId="4CC57718" w14:textId="1D7A5873" w:rsidR="0005497D" w:rsidRPr="00E5365E" w:rsidRDefault="0005497D" w:rsidP="00E5365E">
                          <w:pPr>
                            <w:jc w:val="center"/>
                            <w:rPr>
                              <w:rFonts w:ascii="Arial" w:hAnsi="Arial" w:cs="Arial"/>
                              <w:color w:val="156082" w:themeColor="accent1"/>
                              <w:sz w:val="44"/>
                              <w:szCs w:val="44"/>
                            </w:rPr>
                          </w:pPr>
                          <w:sdt>
                            <w:sdtPr>
                              <w:rPr>
                                <w:rFonts w:ascii="Arial" w:hAnsi="Arial" w:cs="Arial"/>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5365E">
                                <w:rPr>
                                  <w:rFonts w:ascii="Arial" w:hAnsi="Arial" w:cs="Arial"/>
                                  <w:caps/>
                                  <w:color w:val="156082" w:themeColor="accent1"/>
                                  <w:sz w:val="44"/>
                                  <w:szCs w:val="44"/>
                                </w:rPr>
                                <w:t>Evaluation of Person-Centred Care and Partnership Working in Health and Social Care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76B0A1" w14:textId="0C0542AE" w:rsidR="0005497D" w:rsidRPr="00F90CCB" w:rsidRDefault="00F90CCB" w:rsidP="00F90CCB">
                              <w:pPr>
                                <w:jc w:val="center"/>
                                <w:rPr>
                                  <w:rFonts w:ascii="Arial" w:hAnsi="Arial" w:cs="Arial"/>
                                  <w:smallCaps/>
                                  <w:color w:val="404040" w:themeColor="text1" w:themeTint="BF"/>
                                  <w:sz w:val="36"/>
                                  <w:szCs w:val="36"/>
                                </w:rPr>
                              </w:pPr>
                              <w:r w:rsidRPr="00F90CCB">
                                <w:rPr>
                                  <w:rFonts w:ascii="Arial" w:hAnsi="Arial" w:cs="Arial"/>
                                  <w:color w:val="404040" w:themeColor="text1" w:themeTint="BF"/>
                                  <w:sz w:val="36"/>
                                  <w:szCs w:val="36"/>
                                </w:rPr>
                                <w:t>Principles of Health and Social Care Practice - BMHP5016</w:t>
                              </w:r>
                            </w:p>
                          </w:sdtContent>
                        </w:sdt>
                      </w:txbxContent>
                    </v:textbox>
                    <w10:wrap type="square" anchorx="margin" anchory="page"/>
                  </v:shape>
                </w:pict>
              </mc:Fallback>
            </mc:AlternateContent>
          </w:r>
          <w:r w:rsidR="0005497D">
            <w:rPr>
              <w:noProof/>
            </w:rPr>
            <mc:AlternateContent>
              <mc:Choice Requires="wpg">
                <w:drawing>
                  <wp:anchor distT="0" distB="0" distL="114300" distR="114300" simplePos="0" relativeHeight="251662336" behindDoc="0" locked="0" layoutInCell="1" allowOverlap="1" wp14:anchorId="011D5AAC" wp14:editId="613E4B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4766A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26991FC" w14:textId="3FAE2E36" w:rsidR="0005497D" w:rsidRDefault="0005497D">
          <w:pPr>
            <w:rPr>
              <w:rFonts w:ascii="Arial" w:eastAsiaTheme="majorEastAsia" w:hAnsi="Arial" w:cs="Arial"/>
              <w:color w:val="262626" w:themeColor="text1" w:themeTint="D9"/>
              <w:kern w:val="0"/>
              <w:sz w:val="52"/>
              <w:szCs w:val="52"/>
              <w:lang w:val="en-US"/>
              <w14:ligatures w14:val="none"/>
            </w:rPr>
          </w:pPr>
          <w:r>
            <w:rPr>
              <w:rFonts w:ascii="Arial" w:eastAsiaTheme="majorEastAsia" w:hAnsi="Arial" w:cs="Arial"/>
              <w:color w:val="262626" w:themeColor="text1" w:themeTint="D9"/>
              <w:kern w:val="0"/>
              <w:sz w:val="52"/>
              <w:szCs w:val="52"/>
              <w:lang w:val="en-US"/>
              <w14:ligatures w14:val="none"/>
            </w:rPr>
            <w:br w:type="page"/>
          </w:r>
        </w:p>
      </w:sdtContent>
    </w:sdt>
    <w:p w14:paraId="3D47CA65" w14:textId="08146B6B" w:rsidR="00D25307" w:rsidRPr="00987DF6" w:rsidRDefault="00290B75" w:rsidP="00290B75">
      <w:pPr>
        <w:jc w:val="center"/>
        <w:rPr>
          <w:rFonts w:ascii="Arial" w:hAnsi="Arial" w:cs="Arial"/>
          <w:b/>
          <w:bCs/>
          <w:sz w:val="24"/>
          <w:szCs w:val="24"/>
        </w:rPr>
      </w:pPr>
      <w:r w:rsidRPr="00987DF6">
        <w:rPr>
          <w:rFonts w:ascii="Arial" w:hAnsi="Arial" w:cs="Arial"/>
          <w:b/>
          <w:bCs/>
          <w:sz w:val="24"/>
          <w:szCs w:val="24"/>
        </w:rPr>
        <w:lastRenderedPageBreak/>
        <w:t>Table of Contents</w:t>
      </w:r>
    </w:p>
    <w:p w14:paraId="6F338EC4" w14:textId="77777777" w:rsidR="00290B75" w:rsidRDefault="00290B75" w:rsidP="00290B75">
      <w:pPr>
        <w:jc w:val="center"/>
        <w:rPr>
          <w:rFonts w:ascii="Arial" w:hAnsi="Arial" w:cs="Arial"/>
          <w:sz w:val="24"/>
          <w:szCs w:val="24"/>
        </w:rPr>
      </w:pPr>
    </w:p>
    <w:p w14:paraId="11DD8BB5" w14:textId="2DE609EE" w:rsidR="00290B75" w:rsidRPr="00987DF6" w:rsidRDefault="00290B75" w:rsidP="00290B75">
      <w:pPr>
        <w:rPr>
          <w:rFonts w:ascii="Arial" w:hAnsi="Arial" w:cs="Arial"/>
          <w:b/>
          <w:bCs/>
          <w:sz w:val="24"/>
          <w:szCs w:val="24"/>
        </w:rPr>
      </w:pPr>
      <w:r>
        <w:rPr>
          <w:rFonts w:ascii="Arial" w:hAnsi="Arial" w:cs="Arial"/>
          <w:sz w:val="24"/>
          <w:szCs w:val="24"/>
        </w:rPr>
        <w:t>1</w:t>
      </w:r>
      <w:r w:rsidRPr="00987DF6">
        <w:rPr>
          <w:rFonts w:ascii="Arial" w:hAnsi="Arial" w:cs="Arial"/>
          <w:sz w:val="24"/>
          <w:szCs w:val="24"/>
        </w:rPr>
        <w:t>.</w:t>
      </w:r>
      <w:r w:rsidR="00987DF6" w:rsidRPr="00987DF6">
        <w:rPr>
          <w:rFonts w:ascii="Arial" w:hAnsi="Arial" w:cs="Arial"/>
          <w:sz w:val="24"/>
          <w:szCs w:val="24"/>
        </w:rPr>
        <w:t xml:space="preserve"> </w:t>
      </w:r>
      <w:r w:rsidR="00987DF6" w:rsidRPr="00987DF6">
        <w:rPr>
          <w:rFonts w:ascii="Arial" w:hAnsi="Arial" w:cs="Arial"/>
          <w:sz w:val="24"/>
          <w:szCs w:val="24"/>
        </w:rPr>
        <w:t>Introduction</w:t>
      </w:r>
      <w:r w:rsidR="00987DF6" w:rsidRPr="00987DF6">
        <w:rPr>
          <w:rFonts w:ascii="Arial" w:hAnsi="Arial" w:cs="Arial"/>
          <w:sz w:val="24"/>
          <w:szCs w:val="24"/>
        </w:rPr>
        <w:t>………</w:t>
      </w:r>
      <w:r w:rsidR="00987DF6">
        <w:rPr>
          <w:rFonts w:ascii="Arial" w:hAnsi="Arial" w:cs="Arial"/>
          <w:sz w:val="24"/>
          <w:szCs w:val="24"/>
        </w:rPr>
        <w:t>………………………………………………………</w:t>
      </w:r>
      <w:r w:rsidR="00BA383A">
        <w:rPr>
          <w:rFonts w:ascii="Arial" w:hAnsi="Arial" w:cs="Arial"/>
          <w:sz w:val="24"/>
          <w:szCs w:val="24"/>
        </w:rPr>
        <w:t>…</w:t>
      </w:r>
      <w:r w:rsidR="00987DF6">
        <w:rPr>
          <w:rFonts w:ascii="Arial" w:hAnsi="Arial" w:cs="Arial"/>
          <w:sz w:val="24"/>
          <w:szCs w:val="24"/>
        </w:rPr>
        <w:t>. Page 2</w:t>
      </w:r>
    </w:p>
    <w:p w14:paraId="01BC26FA" w14:textId="3FC2E410" w:rsidR="00290B75" w:rsidRPr="00987DF6" w:rsidRDefault="00290B75" w:rsidP="00290B75">
      <w:pPr>
        <w:rPr>
          <w:rFonts w:ascii="Arial" w:hAnsi="Arial" w:cs="Arial"/>
          <w:sz w:val="24"/>
          <w:szCs w:val="24"/>
        </w:rPr>
      </w:pPr>
      <w:r>
        <w:rPr>
          <w:rFonts w:ascii="Arial" w:hAnsi="Arial" w:cs="Arial"/>
          <w:sz w:val="24"/>
          <w:szCs w:val="24"/>
        </w:rPr>
        <w:t>2.</w:t>
      </w:r>
      <w:r w:rsidR="00987DF6">
        <w:rPr>
          <w:rFonts w:ascii="Arial" w:hAnsi="Arial" w:cs="Arial"/>
          <w:sz w:val="24"/>
          <w:szCs w:val="24"/>
        </w:rPr>
        <w:t xml:space="preserve"> </w:t>
      </w:r>
      <w:r w:rsidR="00BA383A">
        <w:rPr>
          <w:rFonts w:ascii="Arial" w:hAnsi="Arial" w:cs="Arial"/>
          <w:sz w:val="24"/>
          <w:szCs w:val="24"/>
        </w:rPr>
        <w:t>a)</w:t>
      </w:r>
      <w:r w:rsidR="00BA383A" w:rsidRPr="00987DF6">
        <w:rPr>
          <w:rFonts w:ascii="Arial" w:hAnsi="Arial" w:cs="Arial"/>
          <w:sz w:val="24"/>
          <w:szCs w:val="24"/>
        </w:rPr>
        <w:t xml:space="preserve"> Definition</w:t>
      </w:r>
      <w:r w:rsidR="00987DF6" w:rsidRPr="00987DF6">
        <w:rPr>
          <w:rFonts w:ascii="Arial" w:hAnsi="Arial" w:cs="Arial"/>
          <w:sz w:val="24"/>
          <w:szCs w:val="24"/>
        </w:rPr>
        <w:t xml:space="preserve"> of Person-Centred Care: Benefits and Limitations</w:t>
      </w:r>
      <w:r w:rsidR="00987DF6">
        <w:rPr>
          <w:rFonts w:ascii="Arial" w:hAnsi="Arial" w:cs="Arial"/>
          <w:sz w:val="24"/>
          <w:szCs w:val="24"/>
        </w:rPr>
        <w:t>………. Page 3</w:t>
      </w:r>
    </w:p>
    <w:p w14:paraId="10884826" w14:textId="11FF1C9E" w:rsidR="00290B75" w:rsidRDefault="00290B75" w:rsidP="00987DF6">
      <w:pPr>
        <w:rPr>
          <w:rFonts w:ascii="Arial" w:hAnsi="Arial" w:cs="Arial"/>
          <w:sz w:val="24"/>
          <w:szCs w:val="24"/>
        </w:rPr>
      </w:pPr>
      <w:r>
        <w:rPr>
          <w:rFonts w:ascii="Arial" w:hAnsi="Arial" w:cs="Arial"/>
          <w:sz w:val="24"/>
          <w:szCs w:val="24"/>
        </w:rPr>
        <w:t>3.</w:t>
      </w:r>
      <w:r w:rsidR="00987DF6">
        <w:rPr>
          <w:rFonts w:ascii="Arial" w:hAnsi="Arial" w:cs="Arial"/>
          <w:sz w:val="24"/>
          <w:szCs w:val="24"/>
        </w:rPr>
        <w:t xml:space="preserve"> </w:t>
      </w:r>
      <w:r w:rsidR="00BA383A">
        <w:rPr>
          <w:rFonts w:ascii="Arial" w:hAnsi="Arial" w:cs="Arial"/>
          <w:sz w:val="24"/>
          <w:szCs w:val="24"/>
        </w:rPr>
        <w:t xml:space="preserve">b) </w:t>
      </w:r>
      <w:r w:rsidR="00987DF6" w:rsidRPr="00987DF6">
        <w:rPr>
          <w:rFonts w:ascii="Arial" w:hAnsi="Arial" w:cs="Arial"/>
          <w:sz w:val="24"/>
          <w:szCs w:val="24"/>
        </w:rPr>
        <w:t>Critical Examination of a Theory Underpinning PCC</w:t>
      </w:r>
      <w:r w:rsidR="00987DF6">
        <w:rPr>
          <w:rFonts w:ascii="Arial" w:hAnsi="Arial" w:cs="Arial"/>
          <w:sz w:val="24"/>
          <w:szCs w:val="24"/>
        </w:rPr>
        <w:t>……………</w:t>
      </w:r>
      <w:r w:rsidR="003875A4">
        <w:rPr>
          <w:rFonts w:ascii="Arial" w:hAnsi="Arial" w:cs="Arial"/>
          <w:sz w:val="24"/>
          <w:szCs w:val="24"/>
        </w:rPr>
        <w:t>…...</w:t>
      </w:r>
      <w:r w:rsidR="00987DF6">
        <w:rPr>
          <w:rFonts w:ascii="Arial" w:hAnsi="Arial" w:cs="Arial"/>
          <w:sz w:val="24"/>
          <w:szCs w:val="24"/>
        </w:rPr>
        <w:t xml:space="preserve"> Page 4</w:t>
      </w:r>
    </w:p>
    <w:p w14:paraId="7982B60B" w14:textId="6596E64D" w:rsidR="00290B75" w:rsidRDefault="00290B75" w:rsidP="00290B75">
      <w:pPr>
        <w:rPr>
          <w:rFonts w:ascii="Arial" w:hAnsi="Arial" w:cs="Arial"/>
          <w:sz w:val="24"/>
          <w:szCs w:val="24"/>
        </w:rPr>
      </w:pPr>
      <w:r>
        <w:rPr>
          <w:rFonts w:ascii="Arial" w:hAnsi="Arial" w:cs="Arial"/>
          <w:sz w:val="24"/>
          <w:szCs w:val="24"/>
        </w:rPr>
        <w:t>4.</w:t>
      </w:r>
      <w:r w:rsidR="00987DF6" w:rsidRPr="00987DF6">
        <w:t xml:space="preserve"> </w:t>
      </w:r>
      <w:r w:rsidR="00BA383A">
        <w:rPr>
          <w:rFonts w:ascii="Arial" w:hAnsi="Arial" w:cs="Arial"/>
          <w:sz w:val="24"/>
          <w:szCs w:val="24"/>
        </w:rPr>
        <w:t xml:space="preserve">c) </w:t>
      </w:r>
      <w:r w:rsidR="00987DF6" w:rsidRPr="00987DF6">
        <w:rPr>
          <w:rFonts w:ascii="Arial" w:hAnsi="Arial" w:cs="Arial"/>
          <w:sz w:val="24"/>
          <w:szCs w:val="24"/>
        </w:rPr>
        <w:t>Ethical Fundamentals of Health and Social Care</w:t>
      </w:r>
      <w:r w:rsidR="00987DF6">
        <w:rPr>
          <w:rFonts w:ascii="Arial" w:hAnsi="Arial" w:cs="Arial"/>
          <w:sz w:val="24"/>
          <w:szCs w:val="24"/>
        </w:rPr>
        <w:t>…………………</w:t>
      </w:r>
      <w:r w:rsidR="00BA383A">
        <w:rPr>
          <w:rFonts w:ascii="Arial" w:hAnsi="Arial" w:cs="Arial"/>
          <w:sz w:val="24"/>
          <w:szCs w:val="24"/>
        </w:rPr>
        <w:t>….</w:t>
      </w:r>
      <w:r w:rsidR="005D13EC">
        <w:rPr>
          <w:rFonts w:ascii="Arial" w:hAnsi="Arial" w:cs="Arial"/>
          <w:sz w:val="24"/>
          <w:szCs w:val="24"/>
        </w:rPr>
        <w:t xml:space="preserve"> Page 5</w:t>
      </w:r>
    </w:p>
    <w:p w14:paraId="49B04275" w14:textId="78AB483B" w:rsidR="00290B75" w:rsidRDefault="00290B75" w:rsidP="00290B75">
      <w:pPr>
        <w:rPr>
          <w:rFonts w:ascii="Arial" w:hAnsi="Arial" w:cs="Arial"/>
          <w:sz w:val="24"/>
          <w:szCs w:val="24"/>
        </w:rPr>
      </w:pPr>
      <w:r>
        <w:rPr>
          <w:rFonts w:ascii="Arial" w:hAnsi="Arial" w:cs="Arial"/>
          <w:sz w:val="24"/>
          <w:szCs w:val="24"/>
        </w:rPr>
        <w:t>5.</w:t>
      </w:r>
      <w:r w:rsidR="00BA383A">
        <w:rPr>
          <w:rFonts w:ascii="Arial" w:hAnsi="Arial" w:cs="Arial"/>
          <w:sz w:val="24"/>
          <w:szCs w:val="24"/>
        </w:rPr>
        <w:t xml:space="preserve"> d) </w:t>
      </w:r>
      <w:r w:rsidR="00BA383A" w:rsidRPr="00BA383A">
        <w:rPr>
          <w:rFonts w:ascii="Arial" w:hAnsi="Arial" w:cs="Arial"/>
          <w:sz w:val="24"/>
          <w:szCs w:val="24"/>
        </w:rPr>
        <w:t>Evaluation of Partnership Working in Health and Social Care</w:t>
      </w:r>
      <w:r w:rsidR="003875A4">
        <w:rPr>
          <w:rFonts w:ascii="Arial" w:hAnsi="Arial" w:cs="Arial"/>
          <w:sz w:val="24"/>
          <w:szCs w:val="24"/>
        </w:rPr>
        <w:t>……... Page 6</w:t>
      </w:r>
    </w:p>
    <w:p w14:paraId="0D58A820" w14:textId="42C59C7F" w:rsidR="00290B75" w:rsidRDefault="00290B75" w:rsidP="00290B75">
      <w:pPr>
        <w:rPr>
          <w:rFonts w:ascii="Arial" w:hAnsi="Arial" w:cs="Arial"/>
          <w:sz w:val="24"/>
          <w:szCs w:val="24"/>
        </w:rPr>
      </w:pPr>
      <w:r>
        <w:rPr>
          <w:rFonts w:ascii="Arial" w:hAnsi="Arial" w:cs="Arial"/>
          <w:sz w:val="24"/>
          <w:szCs w:val="24"/>
        </w:rPr>
        <w:t>6</w:t>
      </w:r>
      <w:r w:rsidR="0002315E">
        <w:rPr>
          <w:rFonts w:ascii="Arial" w:hAnsi="Arial" w:cs="Arial"/>
          <w:sz w:val="24"/>
          <w:szCs w:val="24"/>
        </w:rPr>
        <w:t xml:space="preserve">. </w:t>
      </w:r>
      <w:r w:rsidR="0002315E" w:rsidRPr="0002315E">
        <w:rPr>
          <w:rFonts w:ascii="Arial" w:hAnsi="Arial" w:cs="Arial"/>
          <w:sz w:val="24"/>
          <w:szCs w:val="24"/>
        </w:rPr>
        <w:t>e)</w:t>
      </w:r>
      <w:r w:rsidR="0002315E">
        <w:rPr>
          <w:rFonts w:ascii="Arial" w:hAnsi="Arial" w:cs="Arial"/>
          <w:sz w:val="24"/>
          <w:szCs w:val="24"/>
        </w:rPr>
        <w:t xml:space="preserve"> </w:t>
      </w:r>
      <w:r w:rsidR="0002315E" w:rsidRPr="0002315E">
        <w:rPr>
          <w:rFonts w:ascii="Arial" w:hAnsi="Arial" w:cs="Arial"/>
          <w:sz w:val="24"/>
          <w:szCs w:val="24"/>
        </w:rPr>
        <w:t>Application of Partnership Working in Practice</w:t>
      </w:r>
      <w:r w:rsidR="0002315E">
        <w:rPr>
          <w:rFonts w:ascii="Arial" w:hAnsi="Arial" w:cs="Arial"/>
          <w:sz w:val="24"/>
          <w:szCs w:val="24"/>
        </w:rPr>
        <w:t xml:space="preserve">………………………. Page </w:t>
      </w:r>
      <w:r w:rsidR="000215F7">
        <w:rPr>
          <w:rFonts w:ascii="Arial" w:hAnsi="Arial" w:cs="Arial"/>
          <w:sz w:val="24"/>
          <w:szCs w:val="24"/>
        </w:rPr>
        <w:t>6</w:t>
      </w:r>
    </w:p>
    <w:p w14:paraId="4228581D" w14:textId="7C62B367" w:rsidR="00290B75" w:rsidRDefault="00290B75" w:rsidP="0002315E">
      <w:pPr>
        <w:rPr>
          <w:rFonts w:ascii="Arial" w:hAnsi="Arial" w:cs="Arial"/>
          <w:sz w:val="24"/>
          <w:szCs w:val="24"/>
        </w:rPr>
      </w:pPr>
      <w:r>
        <w:rPr>
          <w:rFonts w:ascii="Arial" w:hAnsi="Arial" w:cs="Arial"/>
          <w:sz w:val="24"/>
          <w:szCs w:val="24"/>
        </w:rPr>
        <w:t>7</w:t>
      </w:r>
      <w:r w:rsidR="0002315E">
        <w:rPr>
          <w:rFonts w:ascii="Arial" w:hAnsi="Arial" w:cs="Arial"/>
          <w:sz w:val="24"/>
          <w:szCs w:val="24"/>
        </w:rPr>
        <w:t xml:space="preserve">. </w:t>
      </w:r>
      <w:r w:rsidR="0002315E" w:rsidRPr="0002315E">
        <w:rPr>
          <w:rFonts w:ascii="Arial" w:hAnsi="Arial" w:cs="Arial"/>
          <w:sz w:val="24"/>
          <w:szCs w:val="24"/>
        </w:rPr>
        <w:t>f)</w:t>
      </w:r>
      <w:r w:rsidR="0002315E">
        <w:rPr>
          <w:rFonts w:ascii="Arial" w:hAnsi="Arial" w:cs="Arial"/>
          <w:sz w:val="24"/>
          <w:szCs w:val="24"/>
        </w:rPr>
        <w:t xml:space="preserve"> </w:t>
      </w:r>
      <w:r w:rsidR="0002315E" w:rsidRPr="0002315E">
        <w:rPr>
          <w:rFonts w:ascii="Arial" w:hAnsi="Arial" w:cs="Arial"/>
          <w:sz w:val="24"/>
          <w:szCs w:val="24"/>
        </w:rPr>
        <w:t>Policy and Legislation Related to PCC and PW</w:t>
      </w:r>
      <w:r w:rsidR="0002315E">
        <w:rPr>
          <w:rFonts w:ascii="Arial" w:hAnsi="Arial" w:cs="Arial"/>
          <w:sz w:val="24"/>
          <w:szCs w:val="24"/>
        </w:rPr>
        <w:t>……………………… Page 7</w:t>
      </w:r>
    </w:p>
    <w:p w14:paraId="7BBEFA59" w14:textId="3B46F671" w:rsidR="00290B75" w:rsidRDefault="00290B75" w:rsidP="00290B75">
      <w:pPr>
        <w:rPr>
          <w:rFonts w:ascii="Arial" w:hAnsi="Arial" w:cs="Arial"/>
          <w:sz w:val="24"/>
          <w:szCs w:val="24"/>
        </w:rPr>
      </w:pPr>
      <w:r>
        <w:rPr>
          <w:rFonts w:ascii="Arial" w:hAnsi="Arial" w:cs="Arial"/>
          <w:sz w:val="24"/>
          <w:szCs w:val="24"/>
        </w:rPr>
        <w:t>8</w:t>
      </w:r>
      <w:r w:rsidR="0081335D">
        <w:rPr>
          <w:rFonts w:ascii="Arial" w:hAnsi="Arial" w:cs="Arial"/>
          <w:sz w:val="24"/>
          <w:szCs w:val="24"/>
        </w:rPr>
        <w:t xml:space="preserve">. </w:t>
      </w:r>
      <w:r w:rsidR="0081335D" w:rsidRPr="0081335D">
        <w:rPr>
          <w:rFonts w:ascii="Arial" w:hAnsi="Arial" w:cs="Arial"/>
          <w:sz w:val="24"/>
          <w:szCs w:val="24"/>
        </w:rPr>
        <w:t>g)</w:t>
      </w:r>
      <w:r w:rsidR="0081335D">
        <w:rPr>
          <w:rFonts w:ascii="Arial" w:hAnsi="Arial" w:cs="Arial"/>
          <w:sz w:val="24"/>
          <w:szCs w:val="24"/>
        </w:rPr>
        <w:t xml:space="preserve"> </w:t>
      </w:r>
      <w:r w:rsidR="0081335D" w:rsidRPr="0081335D">
        <w:rPr>
          <w:rFonts w:ascii="Arial" w:hAnsi="Arial" w:cs="Arial"/>
          <w:sz w:val="24"/>
          <w:szCs w:val="24"/>
        </w:rPr>
        <w:t>Expanded Recommendations for Future Development</w:t>
      </w:r>
      <w:r w:rsidR="0081335D">
        <w:rPr>
          <w:rFonts w:ascii="Arial" w:hAnsi="Arial" w:cs="Arial"/>
          <w:sz w:val="24"/>
          <w:szCs w:val="24"/>
        </w:rPr>
        <w:t xml:space="preserve">……………... Page </w:t>
      </w:r>
      <w:r w:rsidR="000215F7">
        <w:rPr>
          <w:rFonts w:ascii="Arial" w:hAnsi="Arial" w:cs="Arial"/>
          <w:sz w:val="24"/>
          <w:szCs w:val="24"/>
        </w:rPr>
        <w:t>7</w:t>
      </w:r>
    </w:p>
    <w:p w14:paraId="1241D7B2" w14:textId="0C8A7696" w:rsidR="00290B75" w:rsidRDefault="00290B75" w:rsidP="00290B75">
      <w:pPr>
        <w:rPr>
          <w:rFonts w:ascii="Arial" w:hAnsi="Arial" w:cs="Arial"/>
          <w:sz w:val="24"/>
          <w:szCs w:val="24"/>
        </w:rPr>
      </w:pPr>
      <w:r>
        <w:rPr>
          <w:rFonts w:ascii="Arial" w:hAnsi="Arial" w:cs="Arial"/>
          <w:sz w:val="24"/>
          <w:szCs w:val="24"/>
        </w:rPr>
        <w:t>9</w:t>
      </w:r>
      <w:r w:rsidR="0081335D">
        <w:rPr>
          <w:rFonts w:ascii="Arial" w:hAnsi="Arial" w:cs="Arial"/>
          <w:sz w:val="24"/>
          <w:szCs w:val="24"/>
        </w:rPr>
        <w:t>. Conclusion ……………………………………………………………</w:t>
      </w:r>
      <w:proofErr w:type="gramStart"/>
      <w:r w:rsidR="000215F7">
        <w:rPr>
          <w:rFonts w:ascii="Arial" w:hAnsi="Arial" w:cs="Arial"/>
          <w:sz w:val="24"/>
          <w:szCs w:val="24"/>
        </w:rPr>
        <w:t>.....</w:t>
      </w:r>
      <w:proofErr w:type="gramEnd"/>
      <w:r w:rsidR="0081335D">
        <w:rPr>
          <w:rFonts w:ascii="Arial" w:hAnsi="Arial" w:cs="Arial"/>
          <w:sz w:val="24"/>
          <w:szCs w:val="24"/>
        </w:rPr>
        <w:t xml:space="preserve">… Page </w:t>
      </w:r>
      <w:r w:rsidR="000215F7">
        <w:rPr>
          <w:rFonts w:ascii="Arial" w:hAnsi="Arial" w:cs="Arial"/>
          <w:sz w:val="24"/>
          <w:szCs w:val="24"/>
        </w:rPr>
        <w:t>9</w:t>
      </w:r>
    </w:p>
    <w:p w14:paraId="600993A4" w14:textId="10374E64" w:rsidR="00290B75" w:rsidRDefault="0081335D" w:rsidP="00290B75">
      <w:pPr>
        <w:rPr>
          <w:rFonts w:ascii="Arial" w:hAnsi="Arial" w:cs="Arial"/>
          <w:sz w:val="24"/>
          <w:szCs w:val="24"/>
        </w:rPr>
      </w:pPr>
      <w:r>
        <w:rPr>
          <w:rFonts w:ascii="Arial" w:hAnsi="Arial" w:cs="Arial"/>
          <w:sz w:val="24"/>
          <w:szCs w:val="24"/>
        </w:rPr>
        <w:t>10. References………………………………………………………………...Page 1</w:t>
      </w:r>
      <w:r w:rsidR="000215F7">
        <w:rPr>
          <w:rFonts w:ascii="Arial" w:hAnsi="Arial" w:cs="Arial"/>
          <w:sz w:val="24"/>
          <w:szCs w:val="24"/>
        </w:rPr>
        <w:t>1</w:t>
      </w:r>
    </w:p>
    <w:p w14:paraId="2BD7DF94" w14:textId="77777777" w:rsidR="00290B75" w:rsidRDefault="00290B75" w:rsidP="00290B75">
      <w:pPr>
        <w:rPr>
          <w:rFonts w:ascii="Arial" w:hAnsi="Arial" w:cs="Arial"/>
          <w:sz w:val="24"/>
          <w:szCs w:val="24"/>
        </w:rPr>
      </w:pPr>
    </w:p>
    <w:p w14:paraId="56287811" w14:textId="77777777" w:rsidR="00290B75" w:rsidRDefault="00290B75" w:rsidP="00290B75">
      <w:pPr>
        <w:rPr>
          <w:rFonts w:ascii="Arial" w:hAnsi="Arial" w:cs="Arial"/>
          <w:sz w:val="24"/>
          <w:szCs w:val="24"/>
        </w:rPr>
      </w:pPr>
    </w:p>
    <w:p w14:paraId="494418D0" w14:textId="77777777" w:rsidR="00290B75" w:rsidRDefault="00290B75" w:rsidP="00290B75">
      <w:pPr>
        <w:rPr>
          <w:rFonts w:ascii="Arial" w:hAnsi="Arial" w:cs="Arial"/>
          <w:sz w:val="24"/>
          <w:szCs w:val="24"/>
        </w:rPr>
      </w:pPr>
    </w:p>
    <w:p w14:paraId="35D637CD" w14:textId="77777777" w:rsidR="00290B75" w:rsidRDefault="00290B75" w:rsidP="00290B75">
      <w:pPr>
        <w:rPr>
          <w:rFonts w:ascii="Arial" w:hAnsi="Arial" w:cs="Arial"/>
          <w:sz w:val="24"/>
          <w:szCs w:val="24"/>
        </w:rPr>
      </w:pPr>
    </w:p>
    <w:p w14:paraId="62CD311E" w14:textId="77777777" w:rsidR="00290B75" w:rsidRDefault="00290B75" w:rsidP="00290B75">
      <w:pPr>
        <w:rPr>
          <w:rFonts w:ascii="Arial" w:hAnsi="Arial" w:cs="Arial"/>
          <w:sz w:val="24"/>
          <w:szCs w:val="24"/>
        </w:rPr>
      </w:pPr>
    </w:p>
    <w:p w14:paraId="24EAFD05" w14:textId="77777777" w:rsidR="00290B75" w:rsidRDefault="00290B75" w:rsidP="00290B75">
      <w:pPr>
        <w:rPr>
          <w:rFonts w:ascii="Arial" w:hAnsi="Arial" w:cs="Arial"/>
          <w:sz w:val="24"/>
          <w:szCs w:val="24"/>
        </w:rPr>
      </w:pPr>
    </w:p>
    <w:p w14:paraId="2EEB4628" w14:textId="77777777" w:rsidR="00290B75" w:rsidRDefault="00290B75" w:rsidP="00290B75">
      <w:pPr>
        <w:rPr>
          <w:rFonts w:ascii="Arial" w:hAnsi="Arial" w:cs="Arial"/>
          <w:sz w:val="24"/>
          <w:szCs w:val="24"/>
        </w:rPr>
      </w:pPr>
    </w:p>
    <w:p w14:paraId="7B9773CA" w14:textId="77777777" w:rsidR="00290B75" w:rsidRDefault="00290B75" w:rsidP="00290B75">
      <w:pPr>
        <w:rPr>
          <w:rFonts w:ascii="Arial" w:hAnsi="Arial" w:cs="Arial"/>
          <w:sz w:val="24"/>
          <w:szCs w:val="24"/>
        </w:rPr>
      </w:pPr>
    </w:p>
    <w:p w14:paraId="0DF21C58" w14:textId="77777777" w:rsidR="00290B75" w:rsidRDefault="00290B75" w:rsidP="00290B75">
      <w:pPr>
        <w:rPr>
          <w:rFonts w:ascii="Arial" w:hAnsi="Arial" w:cs="Arial"/>
          <w:sz w:val="24"/>
          <w:szCs w:val="24"/>
        </w:rPr>
      </w:pPr>
    </w:p>
    <w:p w14:paraId="62A4C6F2" w14:textId="77777777" w:rsidR="00290B75" w:rsidRDefault="00290B75" w:rsidP="00290B75">
      <w:pPr>
        <w:rPr>
          <w:rFonts w:ascii="Arial" w:hAnsi="Arial" w:cs="Arial"/>
          <w:sz w:val="24"/>
          <w:szCs w:val="24"/>
        </w:rPr>
      </w:pPr>
    </w:p>
    <w:p w14:paraId="1A60F6D7" w14:textId="77777777" w:rsidR="00290B75" w:rsidRDefault="00290B75" w:rsidP="00290B75">
      <w:pPr>
        <w:rPr>
          <w:rFonts w:ascii="Arial" w:hAnsi="Arial" w:cs="Arial"/>
          <w:sz w:val="24"/>
          <w:szCs w:val="24"/>
        </w:rPr>
      </w:pPr>
    </w:p>
    <w:p w14:paraId="7B5AA7B2" w14:textId="77777777" w:rsidR="00290B75" w:rsidRDefault="00290B75" w:rsidP="00290B75">
      <w:pPr>
        <w:rPr>
          <w:rFonts w:ascii="Arial" w:hAnsi="Arial" w:cs="Arial"/>
          <w:sz w:val="24"/>
          <w:szCs w:val="24"/>
        </w:rPr>
      </w:pPr>
    </w:p>
    <w:p w14:paraId="39339874" w14:textId="77777777" w:rsidR="00290B75" w:rsidRDefault="00290B75" w:rsidP="00290B75">
      <w:pPr>
        <w:rPr>
          <w:rFonts w:ascii="Arial" w:hAnsi="Arial" w:cs="Arial"/>
          <w:sz w:val="24"/>
          <w:szCs w:val="24"/>
        </w:rPr>
      </w:pPr>
    </w:p>
    <w:p w14:paraId="586E2F97" w14:textId="77777777" w:rsidR="00290B75" w:rsidRDefault="00290B75" w:rsidP="00290B75">
      <w:pPr>
        <w:rPr>
          <w:rFonts w:ascii="Arial" w:hAnsi="Arial" w:cs="Arial"/>
          <w:sz w:val="24"/>
          <w:szCs w:val="24"/>
        </w:rPr>
      </w:pPr>
    </w:p>
    <w:p w14:paraId="15763F28" w14:textId="77777777" w:rsidR="00290B75" w:rsidRDefault="00290B75" w:rsidP="00290B75">
      <w:pPr>
        <w:rPr>
          <w:rFonts w:ascii="Arial" w:hAnsi="Arial" w:cs="Arial"/>
          <w:sz w:val="24"/>
          <w:szCs w:val="24"/>
        </w:rPr>
      </w:pPr>
    </w:p>
    <w:p w14:paraId="5E0BA5FE" w14:textId="77777777" w:rsidR="00290B75" w:rsidRDefault="00290B75" w:rsidP="00290B75">
      <w:pPr>
        <w:rPr>
          <w:rFonts w:ascii="Arial" w:hAnsi="Arial" w:cs="Arial"/>
          <w:sz w:val="24"/>
          <w:szCs w:val="24"/>
        </w:rPr>
      </w:pPr>
    </w:p>
    <w:p w14:paraId="18F39A2C" w14:textId="77777777" w:rsidR="00290B75" w:rsidRDefault="00290B75" w:rsidP="00290B75">
      <w:pPr>
        <w:rPr>
          <w:rFonts w:ascii="Arial" w:hAnsi="Arial" w:cs="Arial"/>
          <w:sz w:val="24"/>
          <w:szCs w:val="24"/>
        </w:rPr>
      </w:pPr>
    </w:p>
    <w:p w14:paraId="256F1B93" w14:textId="77777777" w:rsidR="00290B75" w:rsidRDefault="00290B75" w:rsidP="00290B75">
      <w:pPr>
        <w:rPr>
          <w:rFonts w:ascii="Arial" w:hAnsi="Arial" w:cs="Arial"/>
          <w:sz w:val="24"/>
          <w:szCs w:val="24"/>
        </w:rPr>
      </w:pPr>
    </w:p>
    <w:p w14:paraId="30CC74CE" w14:textId="38BC339D" w:rsidR="00290B75" w:rsidRDefault="00290B75" w:rsidP="00290B75">
      <w:pPr>
        <w:jc w:val="center"/>
        <w:rPr>
          <w:rFonts w:ascii="Arial" w:hAnsi="Arial" w:cs="Arial"/>
          <w:b/>
          <w:bCs/>
          <w:sz w:val="24"/>
          <w:szCs w:val="24"/>
        </w:rPr>
      </w:pPr>
      <w:r w:rsidRPr="00290B75">
        <w:rPr>
          <w:rFonts w:ascii="Arial" w:hAnsi="Arial" w:cs="Arial"/>
          <w:b/>
          <w:bCs/>
          <w:sz w:val="24"/>
          <w:szCs w:val="24"/>
        </w:rPr>
        <w:lastRenderedPageBreak/>
        <w:t>Introduction</w:t>
      </w:r>
    </w:p>
    <w:p w14:paraId="662D63C6" w14:textId="77777777" w:rsidR="00290B75" w:rsidRDefault="00290B75" w:rsidP="00290B75">
      <w:pPr>
        <w:spacing w:line="360" w:lineRule="auto"/>
        <w:jc w:val="center"/>
        <w:rPr>
          <w:rFonts w:ascii="Arial" w:hAnsi="Arial" w:cs="Arial"/>
          <w:b/>
          <w:bCs/>
          <w:sz w:val="24"/>
          <w:szCs w:val="24"/>
        </w:rPr>
      </w:pPr>
    </w:p>
    <w:p w14:paraId="71CDA2E5" w14:textId="55BEF012" w:rsidR="00290B75" w:rsidRPr="008043A8" w:rsidRDefault="00290B75" w:rsidP="00290B75">
      <w:pPr>
        <w:spacing w:line="360" w:lineRule="auto"/>
        <w:ind w:firstLine="720"/>
        <w:jc w:val="both"/>
        <w:rPr>
          <w:rFonts w:ascii="Arial" w:hAnsi="Arial" w:cs="Arial"/>
        </w:rPr>
      </w:pPr>
      <w:r w:rsidRPr="008043A8">
        <w:rPr>
          <w:rFonts w:ascii="Arial" w:hAnsi="Arial" w:cs="Arial"/>
        </w:rPr>
        <w:t>The cornerstones of modern health and social care practice in the UK are person-centred care (PCC) and partnership working (PW). Approaches that prioritize individual liberty, teamwork, and holistic wellbeing have significantly replaced paternalistic forms of care in recent decades (Entwistle and Watt, 2013). Policy changes, demographic shifts, and growing awareness of the complexity of health and social care demands have all contributed to this shift.</w:t>
      </w:r>
    </w:p>
    <w:p w14:paraId="357A01B5" w14:textId="59262985" w:rsidR="00290B75" w:rsidRPr="008043A8" w:rsidRDefault="00290B75" w:rsidP="00290B75">
      <w:pPr>
        <w:spacing w:line="360" w:lineRule="auto"/>
        <w:ind w:firstLine="720"/>
        <w:jc w:val="both"/>
        <w:rPr>
          <w:rFonts w:ascii="Arial" w:hAnsi="Arial" w:cs="Arial"/>
        </w:rPr>
      </w:pPr>
      <w:r w:rsidRPr="008043A8">
        <w:rPr>
          <w:rFonts w:ascii="Arial" w:hAnsi="Arial" w:cs="Arial"/>
        </w:rPr>
        <w:t>Person-centred care emphasizes on adapting treatment to individuals' specific needs, preferences, and values, assuring their active participation in decision-making processes (Morgan and Yoder, 2012). Meanwhile, partnership working focuses on collaboration among professionals, organisations, and service users to provide integrated and coordinated care (Glasby, 2017). These approaches are inextricably linked, as effective collaboration is required for providing truly person-centred services.</w:t>
      </w:r>
    </w:p>
    <w:p w14:paraId="7AD40E42" w14:textId="3433FBE7" w:rsidR="00290B75" w:rsidRPr="008043A8" w:rsidRDefault="00290B75" w:rsidP="00290B75">
      <w:pPr>
        <w:spacing w:line="360" w:lineRule="auto"/>
        <w:jc w:val="both"/>
        <w:rPr>
          <w:rFonts w:ascii="Arial" w:hAnsi="Arial" w:cs="Arial"/>
        </w:rPr>
      </w:pPr>
      <w:r w:rsidRPr="008043A8">
        <w:rPr>
          <w:rFonts w:ascii="Arial" w:hAnsi="Arial" w:cs="Arial"/>
          <w:b/>
          <w:bCs/>
        </w:rPr>
        <w:tab/>
      </w:r>
      <w:r w:rsidRPr="008043A8">
        <w:rPr>
          <w:rFonts w:ascii="Arial" w:hAnsi="Arial" w:cs="Arial"/>
        </w:rPr>
        <w:t>This report critically evaluates PCC and PW by defining key concepts, examining theoretical frameworks, analysing ethical foundations, and evaluating practical applications. It also explores relevant UK legislation and policy before offering recommendations for future development.</w:t>
      </w:r>
    </w:p>
    <w:p w14:paraId="29033438" w14:textId="77777777" w:rsidR="00290B75" w:rsidRDefault="00290B75" w:rsidP="00290B75">
      <w:pPr>
        <w:spacing w:line="360" w:lineRule="auto"/>
        <w:jc w:val="both"/>
        <w:rPr>
          <w:rFonts w:ascii="Arial" w:hAnsi="Arial" w:cs="Arial"/>
          <w:b/>
          <w:bCs/>
          <w:sz w:val="24"/>
          <w:szCs w:val="24"/>
          <w:u w:val="single"/>
        </w:rPr>
      </w:pPr>
    </w:p>
    <w:p w14:paraId="187C8644" w14:textId="77777777" w:rsidR="00987DF6" w:rsidRDefault="00987DF6" w:rsidP="00290B75">
      <w:pPr>
        <w:spacing w:line="360" w:lineRule="auto"/>
        <w:jc w:val="both"/>
        <w:rPr>
          <w:rFonts w:ascii="Arial" w:hAnsi="Arial" w:cs="Arial"/>
          <w:b/>
          <w:bCs/>
          <w:sz w:val="24"/>
          <w:szCs w:val="24"/>
          <w:u w:val="single"/>
        </w:rPr>
      </w:pPr>
    </w:p>
    <w:p w14:paraId="7DE69E3D" w14:textId="77777777" w:rsidR="00987DF6" w:rsidRDefault="00987DF6" w:rsidP="00290B75">
      <w:pPr>
        <w:spacing w:line="360" w:lineRule="auto"/>
        <w:jc w:val="both"/>
        <w:rPr>
          <w:rFonts w:ascii="Arial" w:hAnsi="Arial" w:cs="Arial"/>
          <w:b/>
          <w:bCs/>
          <w:sz w:val="24"/>
          <w:szCs w:val="24"/>
          <w:u w:val="single"/>
        </w:rPr>
      </w:pPr>
    </w:p>
    <w:p w14:paraId="38197BD9" w14:textId="77777777" w:rsidR="00987DF6" w:rsidRDefault="00987DF6" w:rsidP="00290B75">
      <w:pPr>
        <w:spacing w:line="360" w:lineRule="auto"/>
        <w:jc w:val="both"/>
        <w:rPr>
          <w:rFonts w:ascii="Arial" w:hAnsi="Arial" w:cs="Arial"/>
          <w:b/>
          <w:bCs/>
          <w:sz w:val="24"/>
          <w:szCs w:val="24"/>
          <w:u w:val="single"/>
        </w:rPr>
      </w:pPr>
    </w:p>
    <w:p w14:paraId="53C01B30" w14:textId="77777777" w:rsidR="00987DF6" w:rsidRDefault="00987DF6" w:rsidP="00290B75">
      <w:pPr>
        <w:spacing w:line="360" w:lineRule="auto"/>
        <w:jc w:val="both"/>
        <w:rPr>
          <w:rFonts w:ascii="Arial" w:hAnsi="Arial" w:cs="Arial"/>
          <w:b/>
          <w:bCs/>
          <w:sz w:val="24"/>
          <w:szCs w:val="24"/>
          <w:u w:val="single"/>
        </w:rPr>
      </w:pPr>
    </w:p>
    <w:p w14:paraId="25330E10" w14:textId="77777777" w:rsidR="00987DF6" w:rsidRDefault="00987DF6" w:rsidP="00290B75">
      <w:pPr>
        <w:spacing w:line="360" w:lineRule="auto"/>
        <w:jc w:val="both"/>
        <w:rPr>
          <w:rFonts w:ascii="Arial" w:hAnsi="Arial" w:cs="Arial"/>
          <w:b/>
          <w:bCs/>
          <w:sz w:val="24"/>
          <w:szCs w:val="24"/>
          <w:u w:val="single"/>
        </w:rPr>
      </w:pPr>
    </w:p>
    <w:p w14:paraId="0864FCA6" w14:textId="77777777" w:rsidR="00987DF6" w:rsidRDefault="00987DF6" w:rsidP="00290B75">
      <w:pPr>
        <w:spacing w:line="360" w:lineRule="auto"/>
        <w:jc w:val="both"/>
        <w:rPr>
          <w:rFonts w:ascii="Arial" w:hAnsi="Arial" w:cs="Arial"/>
          <w:b/>
          <w:bCs/>
          <w:sz w:val="24"/>
          <w:szCs w:val="24"/>
          <w:u w:val="single"/>
        </w:rPr>
      </w:pPr>
    </w:p>
    <w:p w14:paraId="36C7D882" w14:textId="77777777" w:rsidR="00987DF6" w:rsidRDefault="00987DF6" w:rsidP="00290B75">
      <w:pPr>
        <w:spacing w:line="360" w:lineRule="auto"/>
        <w:jc w:val="both"/>
        <w:rPr>
          <w:rFonts w:ascii="Arial" w:hAnsi="Arial" w:cs="Arial"/>
          <w:b/>
          <w:bCs/>
          <w:sz w:val="24"/>
          <w:szCs w:val="24"/>
          <w:u w:val="single"/>
        </w:rPr>
      </w:pPr>
    </w:p>
    <w:p w14:paraId="317B17D4" w14:textId="584D1FD4" w:rsidR="00987DF6" w:rsidRDefault="00987DF6" w:rsidP="00290B75">
      <w:pPr>
        <w:spacing w:line="360" w:lineRule="auto"/>
        <w:jc w:val="both"/>
        <w:rPr>
          <w:rFonts w:ascii="Arial" w:hAnsi="Arial" w:cs="Arial"/>
          <w:b/>
          <w:bCs/>
          <w:sz w:val="24"/>
          <w:szCs w:val="24"/>
          <w:u w:val="single"/>
        </w:rPr>
      </w:pPr>
    </w:p>
    <w:p w14:paraId="7E810927" w14:textId="77777777" w:rsidR="00987DF6" w:rsidRDefault="00987DF6" w:rsidP="00290B75">
      <w:pPr>
        <w:spacing w:line="360" w:lineRule="auto"/>
        <w:jc w:val="both"/>
        <w:rPr>
          <w:rFonts w:ascii="Arial" w:hAnsi="Arial" w:cs="Arial"/>
          <w:b/>
          <w:bCs/>
          <w:sz w:val="24"/>
          <w:szCs w:val="24"/>
          <w:u w:val="single"/>
        </w:rPr>
      </w:pPr>
    </w:p>
    <w:p w14:paraId="32263AC0" w14:textId="77777777" w:rsidR="000215F7" w:rsidRPr="00290B75" w:rsidRDefault="000215F7" w:rsidP="00290B75">
      <w:pPr>
        <w:spacing w:line="360" w:lineRule="auto"/>
        <w:jc w:val="both"/>
        <w:rPr>
          <w:rFonts w:ascii="Arial" w:hAnsi="Arial" w:cs="Arial"/>
          <w:b/>
          <w:bCs/>
          <w:sz w:val="24"/>
          <w:szCs w:val="24"/>
          <w:u w:val="single"/>
        </w:rPr>
      </w:pPr>
    </w:p>
    <w:p w14:paraId="2013A737" w14:textId="07266C7A" w:rsidR="00290B75" w:rsidRPr="00290B75" w:rsidRDefault="00290B75" w:rsidP="00290B75">
      <w:pPr>
        <w:pStyle w:val="ListParagraph"/>
        <w:numPr>
          <w:ilvl w:val="0"/>
          <w:numId w:val="1"/>
        </w:numPr>
        <w:spacing w:line="360" w:lineRule="auto"/>
        <w:jc w:val="both"/>
        <w:rPr>
          <w:rFonts w:ascii="Arial" w:hAnsi="Arial" w:cs="Arial"/>
          <w:b/>
          <w:bCs/>
          <w:sz w:val="24"/>
          <w:szCs w:val="24"/>
          <w:u w:val="single"/>
        </w:rPr>
      </w:pPr>
      <w:r w:rsidRPr="00290B75">
        <w:rPr>
          <w:rFonts w:ascii="Arial" w:hAnsi="Arial" w:cs="Arial"/>
          <w:b/>
          <w:bCs/>
          <w:sz w:val="24"/>
          <w:szCs w:val="24"/>
          <w:u w:val="single"/>
        </w:rPr>
        <w:lastRenderedPageBreak/>
        <w:t>Definition of Person-Centred Care: Benefits and Limitations</w:t>
      </w:r>
    </w:p>
    <w:p w14:paraId="738B29FD" w14:textId="05F7ADD7" w:rsidR="008F5E03" w:rsidRPr="008043A8" w:rsidRDefault="008F5E03" w:rsidP="008F5E03">
      <w:pPr>
        <w:spacing w:line="360" w:lineRule="auto"/>
        <w:ind w:firstLine="360"/>
        <w:jc w:val="both"/>
        <w:rPr>
          <w:rFonts w:ascii="Arial" w:hAnsi="Arial" w:cs="Arial"/>
        </w:rPr>
      </w:pPr>
      <w:r w:rsidRPr="008043A8">
        <w:rPr>
          <w:rFonts w:ascii="Arial" w:hAnsi="Arial" w:cs="Arial"/>
        </w:rPr>
        <w:t>According to NHS England (2019), person-centred care is an approach that recognizes and respects people as equal participants in the planning and provision of their care. It entails acknowledging the individual beyond their condition and making sure that care is tailored to their unique situation, preferences, and objectives (Morgan and Yoder, 2012).</w:t>
      </w:r>
    </w:p>
    <w:p w14:paraId="028FBC33" w14:textId="77777777" w:rsidR="008F5E03" w:rsidRPr="008043A8" w:rsidRDefault="008F5E03" w:rsidP="008F5E03">
      <w:pPr>
        <w:spacing w:line="360" w:lineRule="auto"/>
        <w:ind w:firstLine="360"/>
        <w:jc w:val="both"/>
        <w:rPr>
          <w:rFonts w:ascii="Arial" w:hAnsi="Arial" w:cs="Arial"/>
          <w:b/>
          <w:bCs/>
        </w:rPr>
      </w:pPr>
      <w:r w:rsidRPr="008043A8">
        <w:rPr>
          <w:rFonts w:ascii="Arial" w:hAnsi="Arial" w:cs="Arial"/>
          <w:b/>
          <w:bCs/>
        </w:rPr>
        <w:t>Benefits of Person-Centred Care</w:t>
      </w:r>
    </w:p>
    <w:p w14:paraId="5F4171B3" w14:textId="21426667" w:rsidR="008F5E03" w:rsidRPr="008043A8" w:rsidRDefault="008F5E03" w:rsidP="008F5E03">
      <w:pPr>
        <w:spacing w:line="360" w:lineRule="auto"/>
        <w:jc w:val="both"/>
        <w:rPr>
          <w:rFonts w:ascii="Arial" w:hAnsi="Arial" w:cs="Arial"/>
        </w:rPr>
      </w:pPr>
      <w:r w:rsidRPr="008043A8">
        <w:rPr>
          <w:rFonts w:ascii="Arial" w:hAnsi="Arial" w:cs="Arial"/>
          <w:b/>
          <w:bCs/>
        </w:rPr>
        <w:tab/>
      </w:r>
      <w:r w:rsidRPr="008043A8">
        <w:rPr>
          <w:rFonts w:ascii="Arial" w:hAnsi="Arial" w:cs="Arial"/>
        </w:rPr>
        <w:t>Increased patient participation and happiness is one of PCC's main advantages. People are more likely to actively participate in their care when they feel valued and heard, which improves treatment plan adherence (Entwistle and Watt, 2013). This is especially significant when it comes to long-term illnesses, when self-management is essential (Coulter et al., 2015).</w:t>
      </w:r>
    </w:p>
    <w:p w14:paraId="0928FD06" w14:textId="0EAE70F1" w:rsidR="008F5E03" w:rsidRPr="008043A8" w:rsidRDefault="008F5E03" w:rsidP="008F5E03">
      <w:pPr>
        <w:spacing w:line="360" w:lineRule="auto"/>
        <w:ind w:firstLine="720"/>
        <w:jc w:val="both"/>
        <w:rPr>
          <w:rFonts w:ascii="Arial" w:hAnsi="Arial" w:cs="Arial"/>
        </w:rPr>
      </w:pPr>
      <w:r w:rsidRPr="008043A8">
        <w:rPr>
          <w:rFonts w:ascii="Arial" w:hAnsi="Arial" w:cs="Arial"/>
        </w:rPr>
        <w:t>PCC improves health results by meeting individuals' overall needs. Instead of focusing primarily on clinical symptoms, it considers psychological, social, and emotional variables, resulting in more holistic care (WHO, 2016). Person-centred approaches, such as those used in mental health treatment, have been found to increase recovery results by empowering individuals.</w:t>
      </w:r>
    </w:p>
    <w:p w14:paraId="36BC895C" w14:textId="79EE518E" w:rsidR="008F5E03" w:rsidRPr="008043A8" w:rsidRDefault="008F5E03" w:rsidP="008F5E03">
      <w:pPr>
        <w:spacing w:line="360" w:lineRule="auto"/>
        <w:ind w:firstLine="720"/>
        <w:jc w:val="both"/>
        <w:rPr>
          <w:rFonts w:ascii="Arial" w:hAnsi="Arial" w:cs="Arial"/>
        </w:rPr>
      </w:pPr>
      <w:r w:rsidRPr="008043A8">
        <w:rPr>
          <w:rFonts w:ascii="Arial" w:hAnsi="Arial" w:cs="Arial"/>
        </w:rPr>
        <w:t>The encouragement of respect and dignity is another important advantage. PCC lowers the possibility of prejudice and inequality by ensuring that care is culturally aware and customized to each patient's values (Equality Act, 2010). It also improves the therapeutic alliance between service users and staff by encouraging communication and trust.</w:t>
      </w:r>
    </w:p>
    <w:p w14:paraId="7807491D" w14:textId="7648ED51" w:rsidR="008F5E03" w:rsidRPr="008043A8" w:rsidRDefault="008F5E03" w:rsidP="008F5E03">
      <w:pPr>
        <w:spacing w:line="360" w:lineRule="auto"/>
        <w:ind w:firstLine="720"/>
        <w:jc w:val="both"/>
        <w:rPr>
          <w:rFonts w:ascii="Arial" w:hAnsi="Arial" w:cs="Arial"/>
        </w:rPr>
      </w:pPr>
      <w:r w:rsidRPr="008043A8">
        <w:rPr>
          <w:rFonts w:ascii="Arial" w:hAnsi="Arial" w:cs="Arial"/>
        </w:rPr>
        <w:t>Economically, PCC can help reduce unnecessary hospital admissions and promote preventative treatment (Coulter et al., 2015). By empowering people to manage their own health, the demand for acute treatments may be reduced.</w:t>
      </w:r>
    </w:p>
    <w:p w14:paraId="4F8EED08" w14:textId="2A077371" w:rsidR="008F5E03" w:rsidRPr="008043A8" w:rsidRDefault="008F5E03" w:rsidP="008F5E03">
      <w:pPr>
        <w:spacing w:line="360" w:lineRule="auto"/>
        <w:jc w:val="both"/>
        <w:rPr>
          <w:rFonts w:ascii="Arial" w:hAnsi="Arial" w:cs="Arial"/>
          <w:b/>
          <w:bCs/>
        </w:rPr>
      </w:pPr>
      <w:r w:rsidRPr="008043A8">
        <w:rPr>
          <w:rFonts w:ascii="Arial" w:hAnsi="Arial" w:cs="Arial"/>
          <w:b/>
          <w:bCs/>
        </w:rPr>
        <w:t xml:space="preserve">      Limitations of Person-Centred Care      </w:t>
      </w:r>
    </w:p>
    <w:p w14:paraId="77925717" w14:textId="295D0CDB" w:rsidR="001C3054" w:rsidRPr="008043A8" w:rsidRDefault="001C3054" w:rsidP="001C3054">
      <w:pPr>
        <w:spacing w:line="360" w:lineRule="auto"/>
        <w:ind w:firstLine="720"/>
        <w:jc w:val="both"/>
        <w:rPr>
          <w:rFonts w:ascii="Arial" w:hAnsi="Arial" w:cs="Arial"/>
        </w:rPr>
      </w:pPr>
      <w:r w:rsidRPr="008043A8">
        <w:rPr>
          <w:rFonts w:ascii="Arial" w:hAnsi="Arial" w:cs="Arial"/>
        </w:rPr>
        <w:t>Despite its advantages, PCC has certain drawbacks. Time constraints in healthcare settings are a significant concern. Professionals frequently work under intense pressure, which limits their ability to participate in meaningful, person-centred interactions (Glasby, 2017).</w:t>
      </w:r>
    </w:p>
    <w:p w14:paraId="7C7E3BF9" w14:textId="77777777" w:rsidR="00803033" w:rsidRPr="008043A8" w:rsidRDefault="00803033" w:rsidP="00803033">
      <w:pPr>
        <w:spacing w:line="360" w:lineRule="auto"/>
        <w:jc w:val="both"/>
        <w:rPr>
          <w:rFonts w:ascii="Arial" w:hAnsi="Arial" w:cs="Arial"/>
        </w:rPr>
      </w:pPr>
      <w:r w:rsidRPr="008043A8">
        <w:rPr>
          <w:rFonts w:ascii="Arial" w:hAnsi="Arial" w:cs="Arial"/>
          <w:b/>
          <w:bCs/>
        </w:rPr>
        <w:tab/>
      </w:r>
      <w:r w:rsidRPr="008043A8">
        <w:rPr>
          <w:rFonts w:ascii="Arial" w:hAnsi="Arial" w:cs="Arial"/>
        </w:rPr>
        <w:t>Another obstacle is a lack of resources. Effective PCC implementation necessitates investments in infrastructure, personnel, and training, all of which may not always be available (The King's Fund, 2018). Inconsistencies in practice between various regions may result from this.</w:t>
      </w:r>
    </w:p>
    <w:p w14:paraId="132382D5" w14:textId="30E13E25" w:rsidR="00803033" w:rsidRPr="008043A8" w:rsidRDefault="00612CBF" w:rsidP="00803033">
      <w:pPr>
        <w:spacing w:line="360" w:lineRule="auto"/>
        <w:jc w:val="both"/>
        <w:rPr>
          <w:rFonts w:ascii="Arial" w:hAnsi="Arial" w:cs="Arial"/>
        </w:rPr>
      </w:pPr>
      <w:r w:rsidRPr="008043A8">
        <w:rPr>
          <w:rFonts w:ascii="Arial" w:hAnsi="Arial" w:cs="Arial"/>
        </w:rPr>
        <w:lastRenderedPageBreak/>
        <w:tab/>
      </w:r>
      <w:r w:rsidRPr="008043A8">
        <w:rPr>
          <w:rFonts w:ascii="Arial" w:hAnsi="Arial" w:cs="Arial"/>
        </w:rPr>
        <w:t>The difficulty of striking a balance between professional duty and autonomy is another drawback. Although PCC places a strong focus on choice, there are circumstances in which people may make choices that could be harmful to their health, creating moral conundrums (Beauchamp and Childress, 2019).</w:t>
      </w:r>
    </w:p>
    <w:p w14:paraId="0F4FE4B6" w14:textId="77777777" w:rsidR="00F731A4" w:rsidRPr="008043A8" w:rsidRDefault="00225D8B" w:rsidP="00225D8B">
      <w:pPr>
        <w:spacing w:line="360" w:lineRule="auto"/>
        <w:jc w:val="both"/>
        <w:rPr>
          <w:rFonts w:ascii="Arial" w:hAnsi="Arial" w:cs="Arial"/>
        </w:rPr>
      </w:pPr>
      <w:r w:rsidRPr="008043A8">
        <w:rPr>
          <w:rFonts w:ascii="Arial" w:hAnsi="Arial" w:cs="Arial"/>
        </w:rPr>
        <w:tab/>
      </w:r>
      <w:r w:rsidRPr="008043A8">
        <w:rPr>
          <w:rFonts w:ascii="Arial" w:hAnsi="Arial" w:cs="Arial"/>
        </w:rPr>
        <w:t>Additionally, not every service user has the capacity or desire to fully engage in decision-making. PCC implementation may be more difficult for those with severe mental health disorders or cognitive impairments who need extra help (M</w:t>
      </w:r>
    </w:p>
    <w:p w14:paraId="15AE214B" w14:textId="476881FF" w:rsidR="00225D8B" w:rsidRPr="008043A8" w:rsidRDefault="00225D8B" w:rsidP="00225D8B">
      <w:pPr>
        <w:spacing w:line="360" w:lineRule="auto"/>
        <w:jc w:val="both"/>
        <w:rPr>
          <w:rFonts w:ascii="Arial" w:hAnsi="Arial" w:cs="Arial"/>
        </w:rPr>
      </w:pPr>
      <w:r w:rsidRPr="008043A8">
        <w:rPr>
          <w:rFonts w:ascii="Arial" w:hAnsi="Arial" w:cs="Arial"/>
        </w:rPr>
        <w:t>organ and Yoder, 2012).</w:t>
      </w:r>
    </w:p>
    <w:p w14:paraId="3DBAEED0" w14:textId="77777777" w:rsidR="00F731A4" w:rsidRPr="00F731A4" w:rsidRDefault="00F731A4" w:rsidP="00F731A4">
      <w:pPr>
        <w:spacing w:line="360" w:lineRule="auto"/>
        <w:jc w:val="both"/>
        <w:rPr>
          <w:rFonts w:ascii="Arial" w:hAnsi="Arial" w:cs="Arial"/>
          <w:b/>
          <w:bCs/>
          <w:sz w:val="24"/>
          <w:szCs w:val="24"/>
          <w:u w:val="single"/>
        </w:rPr>
      </w:pPr>
    </w:p>
    <w:p w14:paraId="35D3B3F6" w14:textId="2EB3E3AD" w:rsidR="00F731A4" w:rsidRPr="00305B40" w:rsidRDefault="00F731A4" w:rsidP="00305B40">
      <w:pPr>
        <w:pStyle w:val="ListParagraph"/>
        <w:numPr>
          <w:ilvl w:val="0"/>
          <w:numId w:val="1"/>
        </w:numPr>
        <w:spacing w:line="360" w:lineRule="auto"/>
        <w:jc w:val="both"/>
        <w:rPr>
          <w:rFonts w:ascii="Arial" w:hAnsi="Arial" w:cs="Arial"/>
          <w:b/>
          <w:bCs/>
          <w:sz w:val="24"/>
          <w:szCs w:val="24"/>
          <w:u w:val="single"/>
        </w:rPr>
      </w:pPr>
      <w:r w:rsidRPr="00305B40">
        <w:rPr>
          <w:rFonts w:ascii="Arial" w:hAnsi="Arial" w:cs="Arial"/>
          <w:b/>
          <w:bCs/>
          <w:sz w:val="24"/>
          <w:szCs w:val="24"/>
          <w:u w:val="single"/>
        </w:rPr>
        <w:t>Critical Examination of a Theory Underpinning PCC</w:t>
      </w:r>
    </w:p>
    <w:p w14:paraId="56FFCEF8" w14:textId="3A32D71F" w:rsidR="00305B40" w:rsidRPr="008043A8" w:rsidRDefault="00966543" w:rsidP="00966543">
      <w:pPr>
        <w:spacing w:line="360" w:lineRule="auto"/>
        <w:ind w:firstLine="360"/>
        <w:jc w:val="both"/>
        <w:rPr>
          <w:rFonts w:ascii="Arial" w:hAnsi="Arial" w:cs="Arial"/>
        </w:rPr>
      </w:pPr>
      <w:r w:rsidRPr="008043A8">
        <w:rPr>
          <w:rFonts w:ascii="Arial" w:hAnsi="Arial" w:cs="Arial"/>
        </w:rPr>
        <w:t>Many people acknowledge Carl Rogers' Person-Centred Theory (1951) as a fundamental underpinning for PCC. According to Rogers, people are naturally capable of developing themselves, and interactions that are encouraging are crucial to this process.</w:t>
      </w:r>
    </w:p>
    <w:p w14:paraId="2931540E" w14:textId="21B56B49" w:rsidR="00966543" w:rsidRPr="008043A8" w:rsidRDefault="00240B48" w:rsidP="00966543">
      <w:pPr>
        <w:spacing w:line="360" w:lineRule="auto"/>
        <w:ind w:firstLine="360"/>
        <w:jc w:val="both"/>
        <w:rPr>
          <w:rFonts w:ascii="Arial" w:hAnsi="Arial" w:cs="Arial"/>
          <w:b/>
          <w:bCs/>
        </w:rPr>
      </w:pPr>
      <w:r w:rsidRPr="008043A8">
        <w:rPr>
          <w:rFonts w:ascii="Arial" w:hAnsi="Arial" w:cs="Arial"/>
          <w:b/>
          <w:bCs/>
        </w:rPr>
        <w:t>Core Concepts</w:t>
      </w:r>
    </w:p>
    <w:p w14:paraId="07E62BA4" w14:textId="77777777" w:rsidR="00D731D1" w:rsidRPr="008043A8" w:rsidRDefault="00D731D1" w:rsidP="00D731D1">
      <w:pPr>
        <w:spacing w:line="360" w:lineRule="auto"/>
        <w:ind w:firstLine="360"/>
        <w:jc w:val="both"/>
        <w:rPr>
          <w:rFonts w:ascii="Arial" w:hAnsi="Arial" w:cs="Arial"/>
        </w:rPr>
      </w:pPr>
      <w:r w:rsidRPr="00D731D1">
        <w:rPr>
          <w:rFonts w:ascii="Arial" w:hAnsi="Arial" w:cs="Arial"/>
        </w:rPr>
        <w:t>Rogers identified three key conditions necessary for effective relationships:</w:t>
      </w:r>
    </w:p>
    <w:p w14:paraId="05B75C21" w14:textId="7C237EF3" w:rsidR="00D731D1" w:rsidRPr="008043A8" w:rsidRDefault="00D731D1" w:rsidP="00D731D1">
      <w:pPr>
        <w:pStyle w:val="ListParagraph"/>
        <w:numPr>
          <w:ilvl w:val="0"/>
          <w:numId w:val="2"/>
        </w:numPr>
        <w:spacing w:line="360" w:lineRule="auto"/>
        <w:jc w:val="both"/>
        <w:rPr>
          <w:rFonts w:ascii="Arial" w:hAnsi="Arial" w:cs="Arial"/>
        </w:rPr>
      </w:pPr>
      <w:r w:rsidRPr="008043A8">
        <w:rPr>
          <w:rFonts w:ascii="Arial" w:hAnsi="Arial" w:cs="Arial"/>
        </w:rPr>
        <w:t>Empathy</w:t>
      </w:r>
    </w:p>
    <w:p w14:paraId="1A3B2AC8" w14:textId="7B43CA67" w:rsidR="00D731D1" w:rsidRPr="008043A8" w:rsidRDefault="00E43B89" w:rsidP="00D731D1">
      <w:pPr>
        <w:pStyle w:val="ListParagraph"/>
        <w:numPr>
          <w:ilvl w:val="0"/>
          <w:numId w:val="2"/>
        </w:numPr>
        <w:spacing w:line="360" w:lineRule="auto"/>
        <w:jc w:val="both"/>
        <w:rPr>
          <w:rFonts w:ascii="Arial" w:hAnsi="Arial" w:cs="Arial"/>
        </w:rPr>
      </w:pPr>
      <w:r w:rsidRPr="008043A8">
        <w:rPr>
          <w:rFonts w:ascii="Arial" w:hAnsi="Arial" w:cs="Arial"/>
        </w:rPr>
        <w:t>Unconditional positive regard</w:t>
      </w:r>
    </w:p>
    <w:p w14:paraId="794B046D" w14:textId="67990AA1" w:rsidR="00E43B89" w:rsidRPr="008043A8" w:rsidRDefault="00E43B89" w:rsidP="00D731D1">
      <w:pPr>
        <w:pStyle w:val="ListParagraph"/>
        <w:numPr>
          <w:ilvl w:val="0"/>
          <w:numId w:val="2"/>
        </w:numPr>
        <w:spacing w:line="360" w:lineRule="auto"/>
        <w:jc w:val="both"/>
        <w:rPr>
          <w:rFonts w:ascii="Arial" w:hAnsi="Arial" w:cs="Arial"/>
        </w:rPr>
      </w:pPr>
      <w:r w:rsidRPr="008043A8">
        <w:rPr>
          <w:rFonts w:ascii="Arial" w:hAnsi="Arial" w:cs="Arial"/>
        </w:rPr>
        <w:t>Congruence</w:t>
      </w:r>
    </w:p>
    <w:p w14:paraId="31F11E04" w14:textId="77777777" w:rsidR="007D3F06" w:rsidRPr="008043A8" w:rsidRDefault="007D3F06" w:rsidP="007D3F06">
      <w:pPr>
        <w:spacing w:line="360" w:lineRule="auto"/>
        <w:ind w:firstLine="720"/>
        <w:jc w:val="both"/>
        <w:rPr>
          <w:rFonts w:ascii="Arial" w:hAnsi="Arial" w:cs="Arial"/>
          <w:b/>
          <w:bCs/>
        </w:rPr>
      </w:pPr>
      <w:r w:rsidRPr="007D3F06">
        <w:rPr>
          <w:rFonts w:ascii="Arial" w:hAnsi="Arial" w:cs="Arial"/>
        </w:rPr>
        <w:t>Because they place a strong focus on appreciating each person's viewpoint and fostering a supportive environment, these ideas are strongly related to PCC (Rogers, 1951).</w:t>
      </w:r>
    </w:p>
    <w:p w14:paraId="03C7D7CF" w14:textId="344585FB" w:rsidR="007D3F06" w:rsidRPr="008043A8" w:rsidRDefault="001C52D3" w:rsidP="007D3F06">
      <w:pPr>
        <w:spacing w:line="360" w:lineRule="auto"/>
        <w:ind w:firstLine="720"/>
        <w:jc w:val="both"/>
        <w:rPr>
          <w:rFonts w:ascii="Arial" w:hAnsi="Arial" w:cs="Arial"/>
          <w:b/>
          <w:bCs/>
        </w:rPr>
      </w:pPr>
      <w:r w:rsidRPr="008043A8">
        <w:rPr>
          <w:rFonts w:ascii="Arial" w:hAnsi="Arial" w:cs="Arial"/>
          <w:b/>
          <w:bCs/>
        </w:rPr>
        <w:t>Application in Health and Social Care</w:t>
      </w:r>
    </w:p>
    <w:p w14:paraId="5E241711" w14:textId="77777777" w:rsidR="00475307" w:rsidRPr="008043A8" w:rsidRDefault="00475307" w:rsidP="00475307">
      <w:pPr>
        <w:spacing w:line="360" w:lineRule="auto"/>
        <w:ind w:firstLine="720"/>
        <w:jc w:val="both"/>
        <w:rPr>
          <w:rFonts w:ascii="Arial" w:hAnsi="Arial" w:cs="Arial"/>
        </w:rPr>
      </w:pPr>
      <w:r w:rsidRPr="00475307">
        <w:rPr>
          <w:rFonts w:ascii="Arial" w:hAnsi="Arial" w:cs="Arial"/>
        </w:rPr>
        <w:t>Rogers' theory influences patient involvement and communication tactics in healthcare settings. For instance, social workers and nurses employ sympathetic listening to comprehend patients' problems, allowing for better individualized care planning (Reeves et al., 2017).</w:t>
      </w:r>
    </w:p>
    <w:p w14:paraId="26D957B1" w14:textId="77777777" w:rsidR="008545BA" w:rsidRPr="008545BA" w:rsidRDefault="008545BA" w:rsidP="008545BA">
      <w:pPr>
        <w:spacing w:line="360" w:lineRule="auto"/>
        <w:ind w:firstLine="720"/>
        <w:jc w:val="both"/>
        <w:rPr>
          <w:rFonts w:ascii="Arial" w:hAnsi="Arial" w:cs="Arial"/>
        </w:rPr>
      </w:pPr>
      <w:r w:rsidRPr="008545BA">
        <w:rPr>
          <w:rFonts w:ascii="Arial" w:hAnsi="Arial" w:cs="Arial"/>
        </w:rPr>
        <w:t>In mental health care, where therapeutic interactions are essential to rehabilitation, the hypothesis is especially pertinent. Practitioners can enable people to actively participate in their treatment by cultivating trust and respect (Entwistle and Watt, 2013).</w:t>
      </w:r>
    </w:p>
    <w:p w14:paraId="267B7CA2" w14:textId="7A14047D" w:rsidR="00475307" w:rsidRPr="008043A8" w:rsidRDefault="005C3052" w:rsidP="00475307">
      <w:pPr>
        <w:spacing w:line="360" w:lineRule="auto"/>
        <w:ind w:firstLine="720"/>
        <w:jc w:val="both"/>
        <w:rPr>
          <w:rFonts w:ascii="Arial" w:hAnsi="Arial" w:cs="Arial"/>
          <w:b/>
          <w:bCs/>
        </w:rPr>
      </w:pPr>
      <w:r w:rsidRPr="008043A8">
        <w:rPr>
          <w:rFonts w:ascii="Arial" w:hAnsi="Arial" w:cs="Arial"/>
          <w:b/>
          <w:bCs/>
        </w:rPr>
        <w:t>Strengths of the Theory</w:t>
      </w:r>
    </w:p>
    <w:p w14:paraId="660DE749" w14:textId="729E40DF" w:rsidR="003D71D6" w:rsidRPr="008043A8" w:rsidRDefault="003D71D6" w:rsidP="003D71D6">
      <w:pPr>
        <w:spacing w:line="360" w:lineRule="auto"/>
        <w:ind w:firstLine="720"/>
        <w:jc w:val="both"/>
        <w:rPr>
          <w:rFonts w:ascii="Arial" w:hAnsi="Arial" w:cs="Arial"/>
        </w:rPr>
      </w:pPr>
      <w:r w:rsidRPr="003D71D6">
        <w:rPr>
          <w:rFonts w:ascii="Arial" w:hAnsi="Arial" w:cs="Arial"/>
        </w:rPr>
        <w:t xml:space="preserve">Rogers' theory's </w:t>
      </w:r>
      <w:r w:rsidRPr="008043A8">
        <w:rPr>
          <w:rFonts w:ascii="Arial" w:hAnsi="Arial" w:cs="Arial"/>
        </w:rPr>
        <w:t>focuses</w:t>
      </w:r>
      <w:r w:rsidRPr="003D71D6">
        <w:rPr>
          <w:rFonts w:ascii="Arial" w:hAnsi="Arial" w:cs="Arial"/>
        </w:rPr>
        <w:t xml:space="preserve"> on the subjective experience of the individual is one of its main advantages. This is consistent with contemporary healthcare policies that place a high </w:t>
      </w:r>
      <w:r w:rsidRPr="003D71D6">
        <w:rPr>
          <w:rFonts w:ascii="Arial" w:hAnsi="Arial" w:cs="Arial"/>
        </w:rPr>
        <w:lastRenderedPageBreak/>
        <w:t>priority on patient autonomy and voice (NHS England, 2019). Additionally, the model is generally relevant because it can be modified to fit various care situations.</w:t>
      </w:r>
    </w:p>
    <w:p w14:paraId="2F22E066" w14:textId="77777777" w:rsidR="00932114" w:rsidRPr="008043A8" w:rsidRDefault="00932114" w:rsidP="00932114">
      <w:pPr>
        <w:spacing w:line="360" w:lineRule="auto"/>
        <w:ind w:firstLine="720"/>
        <w:jc w:val="both"/>
        <w:rPr>
          <w:rFonts w:ascii="Arial" w:hAnsi="Arial" w:cs="Arial"/>
          <w:b/>
          <w:bCs/>
        </w:rPr>
      </w:pPr>
      <w:r w:rsidRPr="00932114">
        <w:rPr>
          <w:rFonts w:ascii="Arial" w:hAnsi="Arial" w:cs="Arial"/>
          <w:b/>
          <w:bCs/>
        </w:rPr>
        <w:t>Limitations of the Theory</w:t>
      </w:r>
    </w:p>
    <w:p w14:paraId="04B11D1D" w14:textId="77777777" w:rsidR="009E3497" w:rsidRPr="008043A8" w:rsidRDefault="009E3497" w:rsidP="009E3497">
      <w:pPr>
        <w:spacing w:line="360" w:lineRule="auto"/>
        <w:ind w:firstLine="720"/>
        <w:jc w:val="both"/>
        <w:rPr>
          <w:rFonts w:ascii="Arial" w:hAnsi="Arial" w:cs="Arial"/>
        </w:rPr>
      </w:pPr>
      <w:r w:rsidRPr="009E3497">
        <w:rPr>
          <w:rFonts w:ascii="Arial" w:hAnsi="Arial" w:cs="Arial"/>
        </w:rPr>
        <w:t>The hypothesis has been criticized, nevertheless, for being unduly utopian. The practical application of these ideas is limited in hospital settings due to time, resource, and organizational concerns (Glasby, 2017).</w:t>
      </w:r>
    </w:p>
    <w:p w14:paraId="25664F5B" w14:textId="77777777" w:rsidR="003B5551" w:rsidRPr="003B5551" w:rsidRDefault="003B5551" w:rsidP="003B5551">
      <w:pPr>
        <w:spacing w:line="360" w:lineRule="auto"/>
        <w:ind w:firstLine="720"/>
        <w:jc w:val="both"/>
        <w:rPr>
          <w:rFonts w:ascii="Arial" w:hAnsi="Arial" w:cs="Arial"/>
        </w:rPr>
      </w:pPr>
      <w:r w:rsidRPr="003B5551">
        <w:rPr>
          <w:rFonts w:ascii="Arial" w:hAnsi="Arial" w:cs="Arial"/>
        </w:rPr>
        <w:t>Furthermore, Rogers' supposition that everyone is capable of self-directed development might not always be accurate. More directive help is needed for some service users, especially those with complex requirements (Beauchamp and Childress, 2019).</w:t>
      </w:r>
    </w:p>
    <w:p w14:paraId="3E38A839" w14:textId="77777777" w:rsidR="009E3497" w:rsidRDefault="009E3497" w:rsidP="009E3497">
      <w:pPr>
        <w:spacing w:line="360" w:lineRule="auto"/>
        <w:ind w:firstLine="720"/>
        <w:jc w:val="both"/>
        <w:rPr>
          <w:rFonts w:ascii="Arial" w:hAnsi="Arial" w:cs="Arial"/>
          <w:sz w:val="24"/>
          <w:szCs w:val="24"/>
        </w:rPr>
      </w:pPr>
    </w:p>
    <w:p w14:paraId="46BDEA29" w14:textId="686ACF42" w:rsidR="00240B79" w:rsidRPr="00240B79" w:rsidRDefault="00240B79" w:rsidP="00240B79">
      <w:pPr>
        <w:pStyle w:val="ListParagraph"/>
        <w:numPr>
          <w:ilvl w:val="0"/>
          <w:numId w:val="1"/>
        </w:numPr>
        <w:spacing w:line="360" w:lineRule="auto"/>
        <w:jc w:val="both"/>
        <w:rPr>
          <w:rFonts w:ascii="Arial" w:hAnsi="Arial" w:cs="Arial"/>
          <w:b/>
          <w:bCs/>
          <w:sz w:val="24"/>
          <w:szCs w:val="24"/>
          <w:u w:val="single"/>
        </w:rPr>
      </w:pPr>
      <w:r w:rsidRPr="00240B79">
        <w:rPr>
          <w:rFonts w:ascii="Arial" w:hAnsi="Arial" w:cs="Arial"/>
          <w:b/>
          <w:bCs/>
          <w:sz w:val="24"/>
          <w:szCs w:val="24"/>
          <w:u w:val="single"/>
        </w:rPr>
        <w:t>Ethical Fundamentals of Health and Social Care</w:t>
      </w:r>
    </w:p>
    <w:p w14:paraId="7D8B69E7" w14:textId="599E7790" w:rsidR="00240B79" w:rsidRPr="008043A8" w:rsidRDefault="00567EF8" w:rsidP="00567EF8">
      <w:pPr>
        <w:spacing w:line="360" w:lineRule="auto"/>
        <w:ind w:firstLine="360"/>
        <w:jc w:val="both"/>
        <w:rPr>
          <w:rFonts w:ascii="Arial" w:hAnsi="Arial" w:cs="Arial"/>
        </w:rPr>
      </w:pPr>
      <w:r w:rsidRPr="008043A8">
        <w:rPr>
          <w:rFonts w:ascii="Arial" w:hAnsi="Arial" w:cs="Arial"/>
        </w:rPr>
        <w:t>Ethical principles are central to health and social care practice, guiding decision-making and ensuring that care is delivered responsibly.</w:t>
      </w:r>
    </w:p>
    <w:p w14:paraId="260A8B25" w14:textId="3D7E53E2" w:rsidR="00C30B3C" w:rsidRPr="00C30B3C" w:rsidRDefault="00A35DA1" w:rsidP="00C30B3C">
      <w:pPr>
        <w:spacing w:line="360" w:lineRule="auto"/>
        <w:ind w:firstLine="720"/>
        <w:jc w:val="both"/>
        <w:rPr>
          <w:rFonts w:ascii="Arial" w:hAnsi="Arial" w:cs="Arial"/>
        </w:rPr>
      </w:pPr>
      <w:r w:rsidRPr="00A35DA1">
        <w:rPr>
          <w:rFonts w:ascii="Arial" w:hAnsi="Arial" w:cs="Arial"/>
          <w:u w:val="single"/>
        </w:rPr>
        <w:t>Autonomy</w:t>
      </w:r>
      <w:r w:rsidRPr="008043A8">
        <w:rPr>
          <w:rFonts w:ascii="Arial" w:hAnsi="Arial" w:cs="Arial"/>
        </w:rPr>
        <w:t xml:space="preserve"> - </w:t>
      </w:r>
      <w:r w:rsidR="0033106E" w:rsidRPr="008043A8">
        <w:rPr>
          <w:rFonts w:ascii="Arial" w:hAnsi="Arial" w:cs="Arial"/>
        </w:rPr>
        <w:t>Respecting people's autonomy entails allowing them to make knowledgeable decisions about their care (Beauchamp and Childress, 2019). By encouraging autonomy and choice, PCC firmly upholds this idea (Morgan and Yoder, 2012).</w:t>
      </w:r>
    </w:p>
    <w:p w14:paraId="7B2C4FFB" w14:textId="6A71AC15" w:rsidR="0082722E" w:rsidRPr="008043A8" w:rsidRDefault="0082722E" w:rsidP="0082722E">
      <w:pPr>
        <w:spacing w:line="360" w:lineRule="auto"/>
        <w:ind w:firstLine="720"/>
        <w:jc w:val="both"/>
        <w:rPr>
          <w:rFonts w:ascii="Arial" w:hAnsi="Arial" w:cs="Arial"/>
        </w:rPr>
      </w:pPr>
      <w:r w:rsidRPr="008043A8">
        <w:rPr>
          <w:rFonts w:ascii="Arial" w:hAnsi="Arial" w:cs="Arial"/>
          <w:u w:val="single"/>
        </w:rPr>
        <w:t xml:space="preserve">Beneficence </w:t>
      </w:r>
      <w:r w:rsidRPr="008043A8">
        <w:rPr>
          <w:rFonts w:ascii="Arial" w:hAnsi="Arial" w:cs="Arial"/>
        </w:rPr>
        <w:t>-</w:t>
      </w:r>
      <w:r w:rsidR="00C30B3C" w:rsidRPr="008043A8">
        <w:rPr>
          <w:rFonts w:ascii="Arial" w:hAnsi="Arial" w:cs="Arial"/>
        </w:rPr>
        <w:t xml:space="preserve"> </w:t>
      </w:r>
      <w:r w:rsidRPr="008043A8">
        <w:rPr>
          <w:rFonts w:ascii="Arial" w:hAnsi="Arial" w:cs="Arial"/>
        </w:rPr>
        <w:t>Beneficence encourages professionals to work in the best interests of service users, providing beneficial and supportive care (WHO, 2016).</w:t>
      </w:r>
    </w:p>
    <w:p w14:paraId="335E17A5" w14:textId="48CC2DEA" w:rsidR="00A3770B" w:rsidRPr="008043A8" w:rsidRDefault="005C053A" w:rsidP="00A3770B">
      <w:pPr>
        <w:spacing w:line="360" w:lineRule="auto"/>
        <w:ind w:firstLine="720"/>
        <w:jc w:val="both"/>
        <w:rPr>
          <w:rFonts w:ascii="Arial" w:hAnsi="Arial" w:cs="Arial"/>
        </w:rPr>
      </w:pPr>
      <w:r w:rsidRPr="005C053A">
        <w:rPr>
          <w:rFonts w:ascii="Arial" w:hAnsi="Arial" w:cs="Arial"/>
          <w:u w:val="single"/>
        </w:rPr>
        <w:t>Non-</w:t>
      </w:r>
      <w:r w:rsidR="00A3770B" w:rsidRPr="008043A8">
        <w:rPr>
          <w:rFonts w:ascii="Arial" w:hAnsi="Arial" w:cs="Arial"/>
          <w:u w:val="single"/>
        </w:rPr>
        <w:t xml:space="preserve">maleficence </w:t>
      </w:r>
      <w:r w:rsidR="00A3770B" w:rsidRPr="008043A8">
        <w:rPr>
          <w:rFonts w:ascii="Arial" w:hAnsi="Arial" w:cs="Arial"/>
        </w:rPr>
        <w:t xml:space="preserve">- </w:t>
      </w:r>
      <w:r w:rsidR="00A3770B" w:rsidRPr="008043A8">
        <w:rPr>
          <w:rFonts w:ascii="Arial" w:hAnsi="Arial" w:cs="Arial"/>
        </w:rPr>
        <w:t>This principle stresses the significance of preventing injury. Healthcare personnel should carefully weigh the risks and benefits of interventions (Beauchamp and Childress, 2019).</w:t>
      </w:r>
    </w:p>
    <w:p w14:paraId="1448915C" w14:textId="77777777" w:rsidR="004D6DAC" w:rsidRPr="008043A8" w:rsidRDefault="00B63E03" w:rsidP="004D6DAC">
      <w:pPr>
        <w:spacing w:line="360" w:lineRule="auto"/>
        <w:ind w:firstLine="720"/>
        <w:jc w:val="both"/>
        <w:rPr>
          <w:rFonts w:ascii="Arial" w:hAnsi="Arial" w:cs="Arial"/>
        </w:rPr>
      </w:pPr>
      <w:r w:rsidRPr="00B63E03">
        <w:rPr>
          <w:rFonts w:ascii="Arial" w:hAnsi="Arial" w:cs="Arial"/>
          <w:u w:val="single"/>
        </w:rPr>
        <w:t>Justice</w:t>
      </w:r>
      <w:r w:rsidRPr="008043A8">
        <w:rPr>
          <w:rFonts w:ascii="Arial" w:hAnsi="Arial" w:cs="Arial"/>
        </w:rPr>
        <w:t xml:space="preserve"> - </w:t>
      </w:r>
      <w:r w:rsidR="004D6DAC" w:rsidRPr="008043A8">
        <w:rPr>
          <w:rFonts w:ascii="Arial" w:hAnsi="Arial" w:cs="Arial"/>
        </w:rPr>
        <w:t>Justice relates to fairness and equality in the distribution of resources and access to care (Equality Act, 2010).</w:t>
      </w:r>
    </w:p>
    <w:p w14:paraId="2D22567A" w14:textId="3062C4C3" w:rsidR="00784782" w:rsidRPr="00784782" w:rsidRDefault="0028603A" w:rsidP="00784782">
      <w:pPr>
        <w:spacing w:line="360" w:lineRule="auto"/>
        <w:ind w:firstLine="720"/>
        <w:jc w:val="both"/>
        <w:rPr>
          <w:rFonts w:ascii="Arial" w:hAnsi="Arial" w:cs="Arial"/>
        </w:rPr>
      </w:pPr>
      <w:r w:rsidRPr="0028603A">
        <w:rPr>
          <w:rFonts w:ascii="Arial" w:hAnsi="Arial" w:cs="Arial"/>
          <w:u w:val="single"/>
        </w:rPr>
        <w:t>Ethical Challenges in Practice</w:t>
      </w:r>
      <w:r w:rsidRPr="008043A8">
        <w:rPr>
          <w:rFonts w:ascii="Arial" w:hAnsi="Arial" w:cs="Arial"/>
        </w:rPr>
        <w:t xml:space="preserve"> - </w:t>
      </w:r>
      <w:r w:rsidR="00FC5A53" w:rsidRPr="008043A8">
        <w:rPr>
          <w:rFonts w:ascii="Arial" w:hAnsi="Arial" w:cs="Arial"/>
        </w:rPr>
        <w:t xml:space="preserve">In practice, </w:t>
      </w:r>
      <w:r w:rsidR="00EC54FA" w:rsidRPr="008043A8">
        <w:rPr>
          <w:rFonts w:ascii="Arial" w:hAnsi="Arial" w:cs="Arial"/>
        </w:rPr>
        <w:t>ethical dilemmas are common</w:t>
      </w:r>
      <w:r w:rsidR="00FC5A53" w:rsidRPr="008043A8">
        <w:rPr>
          <w:rFonts w:ascii="Arial" w:hAnsi="Arial" w:cs="Arial"/>
        </w:rPr>
        <w:t>. For example, respecting autonomy may conflict with the requirement to protect safety, especially in circumstances involving vulnerable individuals (Glasby, 2017). Similarly, insufficient resources might call into question the notion of fairness, requiring challenging prioritization judgments (The King's Fund, 2018).</w:t>
      </w:r>
    </w:p>
    <w:p w14:paraId="5BDCEF93" w14:textId="77777777" w:rsidR="00784782" w:rsidRDefault="00784782" w:rsidP="00784782">
      <w:pPr>
        <w:spacing w:line="360" w:lineRule="auto"/>
        <w:ind w:firstLine="720"/>
        <w:jc w:val="both"/>
        <w:rPr>
          <w:rFonts w:ascii="Arial" w:hAnsi="Arial" w:cs="Arial"/>
          <w:b/>
          <w:bCs/>
          <w:sz w:val="24"/>
          <w:szCs w:val="24"/>
          <w:u w:val="single"/>
        </w:rPr>
      </w:pPr>
    </w:p>
    <w:p w14:paraId="0E7C0D7C" w14:textId="77777777" w:rsidR="000215F7" w:rsidRPr="00784782" w:rsidRDefault="000215F7" w:rsidP="00784782">
      <w:pPr>
        <w:spacing w:line="360" w:lineRule="auto"/>
        <w:ind w:firstLine="720"/>
        <w:jc w:val="both"/>
        <w:rPr>
          <w:rFonts w:ascii="Arial" w:hAnsi="Arial" w:cs="Arial"/>
          <w:b/>
          <w:bCs/>
          <w:sz w:val="24"/>
          <w:szCs w:val="24"/>
          <w:u w:val="single"/>
        </w:rPr>
      </w:pPr>
    </w:p>
    <w:p w14:paraId="5067D73F" w14:textId="37D798B2" w:rsidR="00B123B7" w:rsidRPr="00BA383A" w:rsidRDefault="00784782" w:rsidP="00B123B7">
      <w:pPr>
        <w:pStyle w:val="ListParagraph"/>
        <w:numPr>
          <w:ilvl w:val="0"/>
          <w:numId w:val="1"/>
        </w:numPr>
        <w:spacing w:line="360" w:lineRule="auto"/>
        <w:jc w:val="both"/>
        <w:rPr>
          <w:rFonts w:ascii="Arial" w:hAnsi="Arial" w:cs="Arial"/>
          <w:b/>
          <w:bCs/>
          <w:sz w:val="24"/>
          <w:szCs w:val="24"/>
          <w:u w:val="single"/>
        </w:rPr>
      </w:pPr>
      <w:r w:rsidRPr="00784782">
        <w:rPr>
          <w:rFonts w:ascii="Arial" w:hAnsi="Arial" w:cs="Arial"/>
          <w:b/>
          <w:bCs/>
          <w:sz w:val="24"/>
          <w:szCs w:val="24"/>
          <w:u w:val="single"/>
        </w:rPr>
        <w:lastRenderedPageBreak/>
        <w:t>Evaluation of Partnership Working in Health and Social Care</w:t>
      </w:r>
    </w:p>
    <w:p w14:paraId="34D2C083" w14:textId="3AB97F21" w:rsidR="00784782" w:rsidRPr="008043A8" w:rsidRDefault="00B123B7" w:rsidP="00B123B7">
      <w:pPr>
        <w:spacing w:line="360" w:lineRule="auto"/>
        <w:ind w:firstLine="360"/>
        <w:jc w:val="both"/>
        <w:rPr>
          <w:rFonts w:ascii="Arial" w:hAnsi="Arial" w:cs="Arial"/>
        </w:rPr>
      </w:pPr>
      <w:r w:rsidRPr="008043A8">
        <w:rPr>
          <w:rFonts w:ascii="Arial" w:hAnsi="Arial" w:cs="Arial"/>
        </w:rPr>
        <w:t>Partnership working refers to collaboration between multiple stakeholders to achieve shared goals in care delivery (SCIE, 2013).</w:t>
      </w:r>
    </w:p>
    <w:p w14:paraId="4D32FC01" w14:textId="77777777" w:rsidR="00C11BE0" w:rsidRPr="008043A8" w:rsidRDefault="00C11BE0" w:rsidP="00C11BE0">
      <w:pPr>
        <w:spacing w:line="360" w:lineRule="auto"/>
        <w:ind w:firstLine="360"/>
        <w:jc w:val="both"/>
        <w:rPr>
          <w:rFonts w:ascii="Arial" w:hAnsi="Arial" w:cs="Arial"/>
          <w:b/>
          <w:bCs/>
        </w:rPr>
      </w:pPr>
      <w:r w:rsidRPr="00C11BE0">
        <w:rPr>
          <w:rFonts w:ascii="Arial" w:hAnsi="Arial" w:cs="Arial"/>
          <w:b/>
          <w:bCs/>
        </w:rPr>
        <w:t>Benefits</w:t>
      </w:r>
    </w:p>
    <w:p w14:paraId="37A3B431" w14:textId="77777777" w:rsidR="00C32B17" w:rsidRPr="00C32B17" w:rsidRDefault="00C32B17" w:rsidP="00C32B17">
      <w:pPr>
        <w:spacing w:line="360" w:lineRule="auto"/>
        <w:ind w:firstLine="360"/>
        <w:jc w:val="both"/>
        <w:rPr>
          <w:rFonts w:ascii="Arial" w:hAnsi="Arial" w:cs="Arial"/>
        </w:rPr>
      </w:pPr>
      <w:r w:rsidRPr="00C32B17">
        <w:rPr>
          <w:rFonts w:ascii="Arial" w:hAnsi="Arial" w:cs="Arial"/>
        </w:rPr>
        <w:t>Improved care coordination is a significant advantage. Organizations that collaborate can deliver seamless services while reducing fragmentation (Reeves et al., 2017).</w:t>
      </w:r>
    </w:p>
    <w:p w14:paraId="44A908ED" w14:textId="77777777" w:rsidR="00722075" w:rsidRPr="00722075" w:rsidRDefault="00722075" w:rsidP="00722075">
      <w:pPr>
        <w:spacing w:line="360" w:lineRule="auto"/>
        <w:ind w:firstLine="360"/>
        <w:jc w:val="both"/>
        <w:rPr>
          <w:rFonts w:ascii="Arial" w:hAnsi="Arial" w:cs="Arial"/>
        </w:rPr>
      </w:pPr>
      <w:r w:rsidRPr="00722075">
        <w:rPr>
          <w:rFonts w:ascii="Arial" w:hAnsi="Arial" w:cs="Arial"/>
        </w:rPr>
        <w:t>Collaboration also promotes information sharing, allowing professionals to draw on a wide range of experience to address difficult issues (Glasby, 2017).</w:t>
      </w:r>
    </w:p>
    <w:p w14:paraId="665AC632" w14:textId="77777777" w:rsidR="007A778C" w:rsidRPr="007A778C" w:rsidRDefault="007A778C" w:rsidP="007A778C">
      <w:pPr>
        <w:spacing w:line="360" w:lineRule="auto"/>
        <w:ind w:firstLine="360"/>
        <w:jc w:val="both"/>
        <w:rPr>
          <w:rFonts w:ascii="Arial" w:hAnsi="Arial" w:cs="Arial"/>
        </w:rPr>
      </w:pPr>
      <w:r w:rsidRPr="007A778C">
        <w:rPr>
          <w:rFonts w:ascii="Arial" w:hAnsi="Arial" w:cs="Arial"/>
        </w:rPr>
        <w:t>Additionally, it promotes efficiency by reducing duplication and making better use of resources (The King’s Fund, 2018).</w:t>
      </w:r>
    </w:p>
    <w:p w14:paraId="278B0C94" w14:textId="77777777" w:rsidR="002E1CA7" w:rsidRPr="008043A8" w:rsidRDefault="002E1CA7" w:rsidP="002E1CA7">
      <w:pPr>
        <w:spacing w:line="360" w:lineRule="auto"/>
        <w:ind w:firstLine="360"/>
        <w:jc w:val="both"/>
        <w:rPr>
          <w:rFonts w:ascii="Arial" w:hAnsi="Arial" w:cs="Arial"/>
          <w:b/>
          <w:bCs/>
        </w:rPr>
      </w:pPr>
      <w:r w:rsidRPr="002E1CA7">
        <w:rPr>
          <w:rFonts w:ascii="Arial" w:hAnsi="Arial" w:cs="Arial"/>
          <w:b/>
          <w:bCs/>
        </w:rPr>
        <w:t>Challenges</w:t>
      </w:r>
    </w:p>
    <w:p w14:paraId="2A21E366" w14:textId="43BD492C" w:rsidR="00343EB0" w:rsidRPr="008043A8" w:rsidRDefault="00343EB0" w:rsidP="00343EB0">
      <w:pPr>
        <w:spacing w:line="360" w:lineRule="auto"/>
        <w:ind w:firstLine="360"/>
        <w:jc w:val="both"/>
        <w:rPr>
          <w:rFonts w:ascii="Arial" w:hAnsi="Arial" w:cs="Arial"/>
        </w:rPr>
      </w:pPr>
      <w:r w:rsidRPr="00343EB0">
        <w:rPr>
          <w:rFonts w:ascii="Arial" w:hAnsi="Arial" w:cs="Arial"/>
        </w:rPr>
        <w:t xml:space="preserve">However, working in a partnership is not without </w:t>
      </w:r>
      <w:r w:rsidRPr="008043A8">
        <w:rPr>
          <w:rFonts w:ascii="Arial" w:hAnsi="Arial" w:cs="Arial"/>
        </w:rPr>
        <w:t>challenges</w:t>
      </w:r>
      <w:r w:rsidRPr="00343EB0">
        <w:rPr>
          <w:rFonts w:ascii="Arial" w:hAnsi="Arial" w:cs="Arial"/>
        </w:rPr>
        <w:t>. Communication hurdles can make collaboration difficult, especially between businesses with distinct systems and cultures (Dickinson and Glasby, 2010).</w:t>
      </w:r>
    </w:p>
    <w:p w14:paraId="4017481F" w14:textId="52D08AB8" w:rsidR="00791750" w:rsidRPr="00791750" w:rsidRDefault="003B0F72" w:rsidP="00791750">
      <w:pPr>
        <w:spacing w:line="360" w:lineRule="auto"/>
        <w:ind w:firstLine="360"/>
        <w:jc w:val="both"/>
        <w:rPr>
          <w:rFonts w:ascii="Arial" w:hAnsi="Arial" w:cs="Arial"/>
        </w:rPr>
      </w:pPr>
      <w:r w:rsidRPr="003B0F72">
        <w:rPr>
          <w:rFonts w:ascii="Arial" w:hAnsi="Arial" w:cs="Arial"/>
        </w:rPr>
        <w:t>Decision-making processes may be dominated by some experts or organizations, leading to power inequalities (SCIE, 2013).</w:t>
      </w:r>
    </w:p>
    <w:p w14:paraId="5836AD9E" w14:textId="77777777" w:rsidR="00791750" w:rsidRPr="008043A8" w:rsidRDefault="00791750" w:rsidP="00791750">
      <w:pPr>
        <w:spacing w:line="360" w:lineRule="auto"/>
        <w:ind w:firstLine="360"/>
        <w:jc w:val="both"/>
        <w:rPr>
          <w:rFonts w:ascii="Arial" w:hAnsi="Arial" w:cs="Arial"/>
        </w:rPr>
      </w:pPr>
      <w:r w:rsidRPr="00791750">
        <w:rPr>
          <w:rFonts w:ascii="Arial" w:hAnsi="Arial" w:cs="Arial"/>
        </w:rPr>
        <w:t>Furthermore, unclear roles and responsibilities can lead to confusion and inefficiency (Reeves et al., 2017).</w:t>
      </w:r>
    </w:p>
    <w:p w14:paraId="5EE916D0" w14:textId="77777777" w:rsidR="00BA25CA" w:rsidRDefault="00BA25CA" w:rsidP="00791750">
      <w:pPr>
        <w:spacing w:line="360" w:lineRule="auto"/>
        <w:ind w:firstLine="360"/>
        <w:jc w:val="both"/>
        <w:rPr>
          <w:rFonts w:ascii="Arial" w:hAnsi="Arial" w:cs="Arial"/>
          <w:sz w:val="24"/>
          <w:szCs w:val="24"/>
        </w:rPr>
      </w:pPr>
    </w:p>
    <w:p w14:paraId="2EF9C300" w14:textId="77777777" w:rsidR="00B31513" w:rsidRDefault="00132E54" w:rsidP="00B31513">
      <w:pPr>
        <w:pStyle w:val="ListParagraph"/>
        <w:numPr>
          <w:ilvl w:val="0"/>
          <w:numId w:val="1"/>
        </w:numPr>
        <w:spacing w:line="360" w:lineRule="auto"/>
        <w:jc w:val="both"/>
        <w:rPr>
          <w:rFonts w:ascii="Arial" w:hAnsi="Arial" w:cs="Arial"/>
          <w:b/>
          <w:bCs/>
          <w:sz w:val="24"/>
          <w:szCs w:val="24"/>
          <w:u w:val="single"/>
        </w:rPr>
      </w:pPr>
      <w:r w:rsidRPr="0078646B">
        <w:rPr>
          <w:rFonts w:ascii="Arial" w:hAnsi="Arial" w:cs="Arial"/>
          <w:b/>
          <w:bCs/>
          <w:sz w:val="24"/>
          <w:szCs w:val="24"/>
          <w:u w:val="single"/>
        </w:rPr>
        <w:t>Application of Partnership Working in Practice</w:t>
      </w:r>
    </w:p>
    <w:p w14:paraId="55405BAC" w14:textId="075DA7C4" w:rsidR="0078646B" w:rsidRPr="008043A8" w:rsidRDefault="00BA25CA" w:rsidP="00B31513">
      <w:pPr>
        <w:spacing w:line="360" w:lineRule="auto"/>
        <w:ind w:firstLine="360"/>
        <w:jc w:val="both"/>
        <w:rPr>
          <w:rFonts w:ascii="Arial" w:hAnsi="Arial" w:cs="Arial"/>
        </w:rPr>
      </w:pPr>
      <w:r w:rsidRPr="008043A8">
        <w:rPr>
          <w:rFonts w:ascii="Arial" w:hAnsi="Arial" w:cs="Arial"/>
        </w:rPr>
        <w:t>A key example of partnership working in the UK is the development of integrated care systems (ICSs), which aim to bring together health and social care organisations (The King’s Fund, 2018).</w:t>
      </w:r>
    </w:p>
    <w:p w14:paraId="680E50BE" w14:textId="77777777" w:rsidR="00DD5304" w:rsidRPr="008043A8" w:rsidRDefault="00DD5304" w:rsidP="00DD5304">
      <w:pPr>
        <w:spacing w:line="360" w:lineRule="auto"/>
        <w:ind w:firstLine="360"/>
        <w:jc w:val="both"/>
        <w:rPr>
          <w:rFonts w:ascii="Arial" w:hAnsi="Arial" w:cs="Arial"/>
          <w:b/>
          <w:bCs/>
        </w:rPr>
      </w:pPr>
      <w:r w:rsidRPr="00DD5304">
        <w:rPr>
          <w:rFonts w:ascii="Arial" w:hAnsi="Arial" w:cs="Arial"/>
          <w:b/>
          <w:bCs/>
        </w:rPr>
        <w:t>Case Example: Older Adults Care</w:t>
      </w:r>
    </w:p>
    <w:p w14:paraId="4A8BA427" w14:textId="77777777" w:rsidR="00100AD7" w:rsidRPr="00100AD7" w:rsidRDefault="00100AD7" w:rsidP="00100AD7">
      <w:pPr>
        <w:spacing w:line="360" w:lineRule="auto"/>
        <w:ind w:firstLine="360"/>
        <w:jc w:val="both"/>
        <w:rPr>
          <w:rFonts w:ascii="Arial" w:hAnsi="Arial" w:cs="Arial"/>
        </w:rPr>
      </w:pPr>
      <w:r w:rsidRPr="00100AD7">
        <w:rPr>
          <w:rFonts w:ascii="Arial" w:hAnsi="Arial" w:cs="Arial"/>
        </w:rPr>
        <w:t>Collaboration is crucial in the care of senior citizens. For instance, a patient may need assistance from a variety of professions after being released from the hospital, such as social workers, occupational therapists, and nurses (Glasby, 2017).</w:t>
      </w:r>
    </w:p>
    <w:p w14:paraId="61B7745B" w14:textId="77777777" w:rsidR="00176459" w:rsidRPr="00176459" w:rsidRDefault="00176459" w:rsidP="00176459">
      <w:pPr>
        <w:spacing w:line="360" w:lineRule="auto"/>
        <w:ind w:firstLine="360"/>
        <w:jc w:val="both"/>
        <w:rPr>
          <w:rFonts w:ascii="Arial" w:hAnsi="Arial" w:cs="Arial"/>
        </w:rPr>
      </w:pPr>
      <w:r w:rsidRPr="00176459">
        <w:rPr>
          <w:rFonts w:ascii="Arial" w:hAnsi="Arial" w:cs="Arial"/>
        </w:rPr>
        <w:t>By ensuring that medical, social, and environmental requirements are met, this cooperative approach promotes independent living (SCIE, 2013).</w:t>
      </w:r>
    </w:p>
    <w:p w14:paraId="54236496" w14:textId="77777777" w:rsidR="004E2FB9" w:rsidRPr="008043A8" w:rsidRDefault="00996E2C" w:rsidP="00214B03">
      <w:pPr>
        <w:spacing w:line="360" w:lineRule="auto"/>
        <w:ind w:firstLine="360"/>
        <w:jc w:val="both"/>
        <w:rPr>
          <w:rFonts w:ascii="Arial" w:hAnsi="Arial" w:cs="Arial"/>
          <w:u w:val="single"/>
        </w:rPr>
      </w:pPr>
      <w:r w:rsidRPr="00996E2C">
        <w:rPr>
          <w:rFonts w:ascii="Arial" w:hAnsi="Arial" w:cs="Arial"/>
          <w:u w:val="single"/>
        </w:rPr>
        <w:t>Critical Evaluation</w:t>
      </w:r>
    </w:p>
    <w:p w14:paraId="7CB47165" w14:textId="1FFD5144" w:rsidR="00214B03" w:rsidRPr="008043A8" w:rsidRDefault="00214B03" w:rsidP="00214B03">
      <w:pPr>
        <w:spacing w:line="360" w:lineRule="auto"/>
        <w:ind w:firstLine="360"/>
        <w:jc w:val="both"/>
        <w:rPr>
          <w:rFonts w:ascii="Arial" w:hAnsi="Arial" w:cs="Arial"/>
        </w:rPr>
      </w:pPr>
      <w:r w:rsidRPr="008043A8">
        <w:rPr>
          <w:rFonts w:ascii="Arial" w:hAnsi="Arial" w:cs="Arial"/>
        </w:rPr>
        <w:lastRenderedPageBreak/>
        <w:t>ICSs have improved coordination, but difficulties remain. Differences in finance, organizational agendas, and communication methods can all impede effective collaboration (Dickinson and Glasby, 2010). Nonetheless, collaborative efforts have greatly improved service delivery and patient outcomes.</w:t>
      </w:r>
    </w:p>
    <w:p w14:paraId="25599343" w14:textId="77777777" w:rsidR="0053460D" w:rsidRDefault="0053460D" w:rsidP="00214B03">
      <w:pPr>
        <w:spacing w:line="360" w:lineRule="auto"/>
        <w:ind w:firstLine="360"/>
        <w:jc w:val="both"/>
        <w:rPr>
          <w:rFonts w:ascii="Arial" w:hAnsi="Arial" w:cs="Arial"/>
          <w:sz w:val="24"/>
          <w:szCs w:val="24"/>
        </w:rPr>
      </w:pPr>
    </w:p>
    <w:p w14:paraId="4720ADF4" w14:textId="504D97C0" w:rsidR="007B5244" w:rsidRPr="007B5244" w:rsidRDefault="0053460D" w:rsidP="007B5244">
      <w:pPr>
        <w:pStyle w:val="ListParagraph"/>
        <w:numPr>
          <w:ilvl w:val="0"/>
          <w:numId w:val="1"/>
        </w:numPr>
        <w:spacing w:line="360" w:lineRule="auto"/>
        <w:jc w:val="both"/>
        <w:rPr>
          <w:rFonts w:ascii="Arial" w:hAnsi="Arial" w:cs="Arial"/>
          <w:b/>
          <w:bCs/>
          <w:sz w:val="24"/>
          <w:szCs w:val="24"/>
          <w:u w:val="single"/>
        </w:rPr>
      </w:pPr>
      <w:r w:rsidRPr="0053460D">
        <w:rPr>
          <w:rFonts w:ascii="Arial" w:hAnsi="Arial" w:cs="Arial"/>
          <w:b/>
          <w:bCs/>
          <w:sz w:val="24"/>
          <w:szCs w:val="24"/>
          <w:u w:val="single"/>
        </w:rPr>
        <w:t>Policy and Legislation Related to PCC and PW</w:t>
      </w:r>
    </w:p>
    <w:p w14:paraId="76ED59DA" w14:textId="4BBE4C78" w:rsidR="0053460D" w:rsidRPr="008043A8" w:rsidRDefault="007B5244" w:rsidP="007B5244">
      <w:pPr>
        <w:spacing w:line="360" w:lineRule="auto"/>
        <w:ind w:firstLine="360"/>
        <w:jc w:val="both"/>
        <w:rPr>
          <w:rFonts w:ascii="Arial" w:hAnsi="Arial" w:cs="Arial"/>
        </w:rPr>
      </w:pPr>
      <w:r w:rsidRPr="008043A8">
        <w:rPr>
          <w:rFonts w:ascii="Arial" w:hAnsi="Arial" w:cs="Arial"/>
        </w:rPr>
        <w:t>UK policy and legislation provide a strong framework for PCC and partnership working.</w:t>
      </w:r>
    </w:p>
    <w:p w14:paraId="060BEC2D" w14:textId="4AD978B4" w:rsidR="00044205" w:rsidRPr="00044205" w:rsidRDefault="00044205" w:rsidP="00044205">
      <w:pPr>
        <w:spacing w:line="360" w:lineRule="auto"/>
        <w:ind w:firstLine="360"/>
        <w:jc w:val="both"/>
        <w:rPr>
          <w:rFonts w:ascii="Arial" w:hAnsi="Arial" w:cs="Arial"/>
        </w:rPr>
      </w:pPr>
      <w:r w:rsidRPr="00044205">
        <w:rPr>
          <w:rFonts w:ascii="Arial" w:hAnsi="Arial" w:cs="Arial"/>
        </w:rPr>
        <w:t>The Care Act of 2014 prioritizes individual well-being and compels local governments to promote person-</w:t>
      </w:r>
      <w:r w:rsidRPr="008043A8">
        <w:rPr>
          <w:rFonts w:ascii="Arial" w:hAnsi="Arial" w:cs="Arial"/>
        </w:rPr>
        <w:t>centred</w:t>
      </w:r>
      <w:r w:rsidRPr="00044205">
        <w:rPr>
          <w:rFonts w:ascii="Arial" w:hAnsi="Arial" w:cs="Arial"/>
        </w:rPr>
        <w:t xml:space="preserve"> initiatives (Care Act, 2014). It also emphasizes the value of cross-agency coordination.</w:t>
      </w:r>
    </w:p>
    <w:p w14:paraId="2881F0A5" w14:textId="77777777" w:rsidR="00144853" w:rsidRPr="00144853" w:rsidRDefault="00144853" w:rsidP="00144853">
      <w:pPr>
        <w:spacing w:line="360" w:lineRule="auto"/>
        <w:ind w:firstLine="360"/>
        <w:jc w:val="both"/>
        <w:rPr>
          <w:rFonts w:ascii="Arial" w:hAnsi="Arial" w:cs="Arial"/>
        </w:rPr>
      </w:pPr>
      <w:r w:rsidRPr="00144853">
        <w:rPr>
          <w:rFonts w:ascii="Arial" w:hAnsi="Arial" w:cs="Arial"/>
        </w:rPr>
        <w:t>The Health and Social Care Act of 2012 included improvements to increase service integration and collaborative working (Department of Health, 2012).</w:t>
      </w:r>
    </w:p>
    <w:p w14:paraId="39000646" w14:textId="77777777" w:rsidR="00B4496E" w:rsidRPr="00B4496E" w:rsidRDefault="00B4496E" w:rsidP="00B4496E">
      <w:pPr>
        <w:spacing w:line="360" w:lineRule="auto"/>
        <w:ind w:firstLine="360"/>
        <w:jc w:val="both"/>
        <w:rPr>
          <w:rFonts w:ascii="Arial" w:hAnsi="Arial" w:cs="Arial"/>
        </w:rPr>
      </w:pPr>
      <w:r w:rsidRPr="00B4496E">
        <w:rPr>
          <w:rFonts w:ascii="Arial" w:hAnsi="Arial" w:cs="Arial"/>
        </w:rPr>
        <w:t>The NHS Long Term Plan (2019) emphasizes personalized care and integrated services, emphasizing PCC and PW concepts (NHS England, 2019).</w:t>
      </w:r>
    </w:p>
    <w:p w14:paraId="53C5B71C" w14:textId="4098E411" w:rsidR="00182651" w:rsidRPr="008043A8" w:rsidRDefault="00670FD1" w:rsidP="0081335D">
      <w:pPr>
        <w:spacing w:line="360" w:lineRule="auto"/>
        <w:ind w:firstLine="360"/>
        <w:jc w:val="both"/>
        <w:rPr>
          <w:rFonts w:ascii="Arial" w:hAnsi="Arial" w:cs="Arial"/>
        </w:rPr>
      </w:pPr>
      <w:r w:rsidRPr="00670FD1">
        <w:rPr>
          <w:rFonts w:ascii="Arial" w:hAnsi="Arial" w:cs="Arial"/>
        </w:rPr>
        <w:t xml:space="preserve">The Equality Act of 2010 assures that care is delivered equitably and without discrimination, which promotes ethical </w:t>
      </w:r>
      <w:r w:rsidRPr="008043A8">
        <w:rPr>
          <w:rFonts w:ascii="Arial" w:hAnsi="Arial" w:cs="Arial"/>
        </w:rPr>
        <w:t xml:space="preserve">behaviour </w:t>
      </w:r>
      <w:r w:rsidR="005940F9" w:rsidRPr="008043A8">
        <w:rPr>
          <w:rFonts w:ascii="Arial" w:hAnsi="Arial" w:cs="Arial"/>
        </w:rPr>
        <w:t>(Equality Act, 2010).</w:t>
      </w:r>
    </w:p>
    <w:p w14:paraId="0DA132BB" w14:textId="387DF8FC" w:rsidR="00182651" w:rsidRPr="008043A8" w:rsidRDefault="00182651" w:rsidP="00182651">
      <w:pPr>
        <w:spacing w:line="360" w:lineRule="auto"/>
        <w:ind w:firstLine="360"/>
        <w:jc w:val="both"/>
        <w:rPr>
          <w:rFonts w:ascii="Arial" w:hAnsi="Arial" w:cs="Arial"/>
          <w:u w:val="single"/>
        </w:rPr>
      </w:pPr>
      <w:r w:rsidRPr="00182651">
        <w:rPr>
          <w:rFonts w:ascii="Arial" w:hAnsi="Arial" w:cs="Arial"/>
          <w:u w:val="single"/>
        </w:rPr>
        <w:t>Critical Analysis</w:t>
      </w:r>
    </w:p>
    <w:p w14:paraId="44D0D33F" w14:textId="77777777" w:rsidR="00491B7D" w:rsidRPr="00491B7D" w:rsidRDefault="00491B7D" w:rsidP="00491B7D">
      <w:pPr>
        <w:spacing w:line="360" w:lineRule="auto"/>
        <w:ind w:firstLine="360"/>
        <w:jc w:val="both"/>
        <w:rPr>
          <w:rFonts w:ascii="Arial" w:hAnsi="Arial" w:cs="Arial"/>
        </w:rPr>
      </w:pPr>
      <w:r w:rsidRPr="00491B7D">
        <w:rPr>
          <w:rFonts w:ascii="Arial" w:hAnsi="Arial" w:cs="Arial"/>
        </w:rPr>
        <w:t>While these principles lay a sound framework, their execution is frequently inconsistent due to resource constraints and organizational issues (The King's Fund, 2018). This emphasizes the necessity for ongoing investment and policy alignment</w:t>
      </w:r>
    </w:p>
    <w:p w14:paraId="3F2A9217" w14:textId="77777777" w:rsidR="00182651" w:rsidRDefault="00182651" w:rsidP="00182651">
      <w:pPr>
        <w:spacing w:line="360" w:lineRule="auto"/>
        <w:ind w:firstLine="360"/>
        <w:jc w:val="both"/>
        <w:rPr>
          <w:rFonts w:ascii="Arial" w:hAnsi="Arial" w:cs="Arial"/>
          <w:sz w:val="24"/>
          <w:szCs w:val="24"/>
        </w:rPr>
      </w:pPr>
    </w:p>
    <w:p w14:paraId="6A8DC988" w14:textId="55D18B38" w:rsidR="00143A05" w:rsidRPr="00143A05" w:rsidRDefault="00143A05" w:rsidP="00143A05">
      <w:pPr>
        <w:pStyle w:val="ListParagraph"/>
        <w:numPr>
          <w:ilvl w:val="0"/>
          <w:numId w:val="1"/>
        </w:numPr>
        <w:spacing w:line="360" w:lineRule="auto"/>
        <w:jc w:val="both"/>
        <w:rPr>
          <w:rFonts w:ascii="Arial" w:hAnsi="Arial" w:cs="Arial"/>
          <w:b/>
          <w:bCs/>
          <w:sz w:val="24"/>
          <w:szCs w:val="24"/>
          <w:u w:val="single"/>
        </w:rPr>
      </w:pPr>
      <w:r w:rsidRPr="00143A05">
        <w:rPr>
          <w:rFonts w:ascii="Arial" w:hAnsi="Arial" w:cs="Arial"/>
          <w:b/>
          <w:bCs/>
          <w:sz w:val="24"/>
          <w:szCs w:val="24"/>
          <w:u w:val="single"/>
        </w:rPr>
        <w:t>Expanded Recommendations for Future Development</w:t>
      </w:r>
    </w:p>
    <w:p w14:paraId="1F608B6D" w14:textId="6832E92B" w:rsidR="00143A05" w:rsidRPr="008043A8" w:rsidRDefault="002A2CD5" w:rsidP="002A2CD5">
      <w:pPr>
        <w:spacing w:line="360" w:lineRule="auto"/>
        <w:ind w:firstLine="360"/>
        <w:jc w:val="both"/>
        <w:rPr>
          <w:rFonts w:ascii="Arial" w:hAnsi="Arial" w:cs="Arial"/>
        </w:rPr>
      </w:pPr>
      <w:r w:rsidRPr="008043A8">
        <w:rPr>
          <w:rFonts w:ascii="Arial" w:hAnsi="Arial" w:cs="Arial"/>
        </w:rPr>
        <w:t>While person-</w:t>
      </w:r>
      <w:r w:rsidRPr="008043A8">
        <w:rPr>
          <w:rFonts w:ascii="Arial" w:hAnsi="Arial" w:cs="Arial"/>
        </w:rPr>
        <w:t>centred</w:t>
      </w:r>
      <w:r w:rsidRPr="008043A8">
        <w:rPr>
          <w:rFonts w:ascii="Arial" w:hAnsi="Arial" w:cs="Arial"/>
        </w:rPr>
        <w:t xml:space="preserve"> care (PCC) and partnership working (PW) are well-established in UK health and social care policy, there is still a significant gap between policy intention and actual execution. Addressing this gap involves a multifaceted approach that includes institutional transformation, workforce development, and cultural change.</w:t>
      </w:r>
    </w:p>
    <w:p w14:paraId="0CF59CE3" w14:textId="78703244" w:rsidR="002A2CD5" w:rsidRPr="008043A8" w:rsidRDefault="00606C69" w:rsidP="002A2CD5">
      <w:pPr>
        <w:spacing w:line="360" w:lineRule="auto"/>
        <w:ind w:firstLine="360"/>
        <w:jc w:val="both"/>
        <w:rPr>
          <w:rFonts w:ascii="Arial" w:hAnsi="Arial" w:cs="Arial"/>
          <w:b/>
          <w:bCs/>
        </w:rPr>
      </w:pPr>
      <w:r w:rsidRPr="008043A8">
        <w:rPr>
          <w:rFonts w:ascii="Arial" w:hAnsi="Arial" w:cs="Arial"/>
          <w:b/>
          <w:bCs/>
        </w:rPr>
        <w:t>Increased and Sustained Investment in Services</w:t>
      </w:r>
    </w:p>
    <w:p w14:paraId="091A2C53" w14:textId="77777777" w:rsidR="00DB6F9C" w:rsidRPr="008043A8" w:rsidRDefault="00DB6F9C" w:rsidP="00DB6F9C">
      <w:pPr>
        <w:spacing w:line="360" w:lineRule="auto"/>
        <w:ind w:firstLine="360"/>
        <w:jc w:val="both"/>
        <w:rPr>
          <w:rFonts w:ascii="Arial" w:hAnsi="Arial" w:cs="Arial"/>
        </w:rPr>
      </w:pPr>
      <w:r w:rsidRPr="00DB6F9C">
        <w:rPr>
          <w:rFonts w:ascii="Arial" w:hAnsi="Arial" w:cs="Arial"/>
        </w:rPr>
        <w:t xml:space="preserve">Insufficient financing is a significant hurdle to both PCC and collaboration work. Although initiatives such as the NHS Long Term Plan prioritize customized care, limited financial </w:t>
      </w:r>
      <w:r w:rsidRPr="00DB6F9C">
        <w:rPr>
          <w:rFonts w:ascii="Arial" w:hAnsi="Arial" w:cs="Arial"/>
        </w:rPr>
        <w:lastRenderedPageBreak/>
        <w:t>resources hinder organisations' ability to offer it successfully (NHS England, 2019; The King's Fund, 2018).</w:t>
      </w:r>
    </w:p>
    <w:p w14:paraId="7276EA21" w14:textId="0726F6E8" w:rsidR="00DB6F9C" w:rsidRPr="008043A8" w:rsidRDefault="00EE5A92" w:rsidP="00DB6F9C">
      <w:pPr>
        <w:spacing w:line="360" w:lineRule="auto"/>
        <w:ind w:firstLine="360"/>
        <w:jc w:val="both"/>
        <w:rPr>
          <w:rFonts w:ascii="Arial" w:hAnsi="Arial" w:cs="Arial"/>
          <w:b/>
          <w:bCs/>
        </w:rPr>
      </w:pPr>
      <w:r w:rsidRPr="008043A8">
        <w:rPr>
          <w:rFonts w:ascii="Arial" w:hAnsi="Arial" w:cs="Arial"/>
          <w:b/>
          <w:bCs/>
        </w:rPr>
        <w:t>Workforce Development and Continuous Professional Training</w:t>
      </w:r>
    </w:p>
    <w:p w14:paraId="4FFADAA1" w14:textId="1AC4FED8" w:rsidR="00E8759E" w:rsidRPr="008043A8" w:rsidRDefault="00E8759E" w:rsidP="00E8759E">
      <w:pPr>
        <w:spacing w:line="360" w:lineRule="auto"/>
        <w:ind w:firstLine="360"/>
        <w:jc w:val="both"/>
        <w:rPr>
          <w:rFonts w:ascii="Arial" w:hAnsi="Arial" w:cs="Arial"/>
        </w:rPr>
      </w:pPr>
      <w:r w:rsidRPr="00E8759E">
        <w:rPr>
          <w:rFonts w:ascii="Arial" w:hAnsi="Arial" w:cs="Arial"/>
        </w:rPr>
        <w:t>The workforce's skills and attitudes play a critical role in the successful implementation of PCC and PW. Healthcare practitioners must possess the information and skills required to provide person-</w:t>
      </w:r>
      <w:r w:rsidRPr="008043A8">
        <w:rPr>
          <w:rFonts w:ascii="Arial" w:hAnsi="Arial" w:cs="Arial"/>
        </w:rPr>
        <w:t>centred</w:t>
      </w:r>
      <w:r w:rsidRPr="00E8759E">
        <w:rPr>
          <w:rFonts w:ascii="Arial" w:hAnsi="Arial" w:cs="Arial"/>
        </w:rPr>
        <w:t xml:space="preserve"> and collaborative care (Reeves et al., 2017).</w:t>
      </w:r>
    </w:p>
    <w:p w14:paraId="554C4E98" w14:textId="77777777" w:rsidR="0002587A" w:rsidRPr="008043A8" w:rsidRDefault="0002587A" w:rsidP="0002587A">
      <w:pPr>
        <w:spacing w:line="360" w:lineRule="auto"/>
        <w:ind w:firstLine="360"/>
        <w:jc w:val="both"/>
        <w:rPr>
          <w:rFonts w:ascii="Arial" w:hAnsi="Arial" w:cs="Arial"/>
        </w:rPr>
      </w:pPr>
      <w:r w:rsidRPr="0002587A">
        <w:rPr>
          <w:rFonts w:ascii="Arial" w:hAnsi="Arial" w:cs="Arial"/>
        </w:rPr>
        <w:t>Additionally, training should emphasise reflective practice, enabling professionals to critically evaluate their own behaviours and improve their approach to care delivery (Glasby, 2017).</w:t>
      </w:r>
    </w:p>
    <w:p w14:paraId="6825E37F" w14:textId="77777777" w:rsidR="0081335D" w:rsidRPr="0002587A" w:rsidRDefault="0081335D" w:rsidP="0002587A">
      <w:pPr>
        <w:spacing w:line="360" w:lineRule="auto"/>
        <w:ind w:firstLine="360"/>
        <w:jc w:val="both"/>
        <w:rPr>
          <w:rFonts w:ascii="Arial" w:hAnsi="Arial" w:cs="Arial"/>
        </w:rPr>
      </w:pPr>
    </w:p>
    <w:p w14:paraId="3BC3B638" w14:textId="20A9224D" w:rsidR="00E60C4D" w:rsidRPr="008043A8" w:rsidRDefault="00E60C4D" w:rsidP="00E60C4D">
      <w:pPr>
        <w:spacing w:line="360" w:lineRule="auto"/>
        <w:ind w:firstLine="360"/>
        <w:jc w:val="both"/>
        <w:rPr>
          <w:rFonts w:ascii="Arial" w:hAnsi="Arial" w:cs="Arial"/>
          <w:b/>
          <w:bCs/>
        </w:rPr>
      </w:pPr>
      <w:r w:rsidRPr="008043A8">
        <w:rPr>
          <w:rFonts w:ascii="Arial" w:hAnsi="Arial" w:cs="Arial"/>
          <w:b/>
          <w:bCs/>
        </w:rPr>
        <w:t xml:space="preserve"> </w:t>
      </w:r>
      <w:r w:rsidRPr="00E60C4D">
        <w:rPr>
          <w:rFonts w:ascii="Arial" w:hAnsi="Arial" w:cs="Arial"/>
          <w:b/>
          <w:bCs/>
        </w:rPr>
        <w:t>Strengthening Interprofessional and Interagency Collaboration</w:t>
      </w:r>
    </w:p>
    <w:p w14:paraId="17DD049D" w14:textId="77777777" w:rsidR="00136929" w:rsidRPr="008043A8" w:rsidRDefault="00136929" w:rsidP="00136929">
      <w:pPr>
        <w:spacing w:line="360" w:lineRule="auto"/>
        <w:ind w:firstLine="360"/>
        <w:jc w:val="both"/>
        <w:rPr>
          <w:rFonts w:ascii="Arial" w:hAnsi="Arial" w:cs="Arial"/>
        </w:rPr>
      </w:pPr>
      <w:r w:rsidRPr="00136929">
        <w:rPr>
          <w:rFonts w:ascii="Arial" w:hAnsi="Arial" w:cs="Arial"/>
        </w:rPr>
        <w:t>Although collaborative working is generally encouraged, it is frequently hampered by organizational silos and fragmented systems (Dickinson and Glasby, 2010). To solve this issue, stronger platforms for cross-sector collaboration are required.</w:t>
      </w:r>
    </w:p>
    <w:p w14:paraId="7BD806EC" w14:textId="77777777" w:rsidR="00CC414E" w:rsidRPr="00CC414E" w:rsidRDefault="00CC414E" w:rsidP="00CC414E">
      <w:pPr>
        <w:spacing w:line="360" w:lineRule="auto"/>
        <w:ind w:firstLine="360"/>
        <w:jc w:val="both"/>
        <w:rPr>
          <w:rFonts w:ascii="Arial" w:hAnsi="Arial" w:cs="Arial"/>
        </w:rPr>
      </w:pPr>
      <w:r w:rsidRPr="00CC414E">
        <w:rPr>
          <w:rFonts w:ascii="Arial" w:hAnsi="Arial" w:cs="Arial"/>
        </w:rPr>
        <w:t>Integrated Care Systems (ICSs) represent a positive step forward; however, their effectiveness depends on genuine collaboration rather than superficial partnerships (The King’s Fund, 2018).</w:t>
      </w:r>
    </w:p>
    <w:p w14:paraId="03323BF4" w14:textId="77777777" w:rsidR="0076721A" w:rsidRPr="008043A8" w:rsidRDefault="0076721A" w:rsidP="0076721A">
      <w:pPr>
        <w:spacing w:line="360" w:lineRule="auto"/>
        <w:ind w:firstLine="360"/>
        <w:jc w:val="both"/>
        <w:rPr>
          <w:rFonts w:ascii="Arial" w:hAnsi="Arial" w:cs="Arial"/>
          <w:b/>
          <w:bCs/>
        </w:rPr>
      </w:pPr>
      <w:r w:rsidRPr="0076721A">
        <w:rPr>
          <w:rFonts w:ascii="Arial" w:hAnsi="Arial" w:cs="Arial"/>
          <w:b/>
          <w:bCs/>
        </w:rPr>
        <w:t>Digital Innovation and Information Sharing</w:t>
      </w:r>
    </w:p>
    <w:p w14:paraId="267B7C2C" w14:textId="77777777" w:rsidR="00C2057B" w:rsidRPr="00C2057B" w:rsidRDefault="00C2057B" w:rsidP="00C2057B">
      <w:pPr>
        <w:spacing w:line="360" w:lineRule="auto"/>
        <w:ind w:firstLine="360"/>
        <w:jc w:val="both"/>
        <w:rPr>
          <w:rFonts w:ascii="Arial" w:hAnsi="Arial" w:cs="Arial"/>
        </w:rPr>
      </w:pPr>
      <w:r w:rsidRPr="00C2057B">
        <w:rPr>
          <w:rFonts w:ascii="Arial" w:hAnsi="Arial" w:cs="Arial"/>
        </w:rPr>
        <w:t>Effective communication is critical for both PCC and PW, although many organizations continue to use incompatible IT systems. This hinders information exchange and continuity of care (SCIE, 2013).</w:t>
      </w:r>
    </w:p>
    <w:p w14:paraId="677A3D98" w14:textId="77777777" w:rsidR="00E35276" w:rsidRPr="00E35276" w:rsidRDefault="00E35276" w:rsidP="00E35276">
      <w:pPr>
        <w:spacing w:line="360" w:lineRule="auto"/>
        <w:ind w:firstLine="360"/>
        <w:jc w:val="both"/>
        <w:rPr>
          <w:rFonts w:ascii="Arial" w:hAnsi="Arial" w:cs="Arial"/>
        </w:rPr>
      </w:pPr>
      <w:r w:rsidRPr="00E35276">
        <w:rPr>
          <w:rFonts w:ascii="Arial" w:hAnsi="Arial" w:cs="Arial"/>
        </w:rPr>
        <w:t>Digital innovation has the potential to transform care delivery, but it must be implemented in a way that supports, rather than replaces, human interaction.</w:t>
      </w:r>
    </w:p>
    <w:p w14:paraId="5CFB7240" w14:textId="3ADD9B0D" w:rsidR="0076721A" w:rsidRPr="008043A8" w:rsidRDefault="00F9125C" w:rsidP="0076721A">
      <w:pPr>
        <w:spacing w:line="360" w:lineRule="auto"/>
        <w:ind w:firstLine="360"/>
        <w:jc w:val="both"/>
        <w:rPr>
          <w:rFonts w:ascii="Arial" w:hAnsi="Arial" w:cs="Arial"/>
          <w:b/>
          <w:bCs/>
        </w:rPr>
      </w:pPr>
      <w:r w:rsidRPr="008043A8">
        <w:rPr>
          <w:rFonts w:ascii="Arial" w:hAnsi="Arial" w:cs="Arial"/>
          <w:b/>
          <w:bCs/>
        </w:rPr>
        <w:t>Enhancing Service User and Carer Involvement</w:t>
      </w:r>
    </w:p>
    <w:p w14:paraId="7AC04BDB" w14:textId="47D756DA" w:rsidR="005B6AB1" w:rsidRPr="005B6AB1" w:rsidRDefault="005B6AB1" w:rsidP="005B6AB1">
      <w:pPr>
        <w:spacing w:line="360" w:lineRule="auto"/>
        <w:ind w:firstLine="360"/>
        <w:jc w:val="both"/>
        <w:rPr>
          <w:rFonts w:ascii="Arial" w:hAnsi="Arial" w:cs="Arial"/>
        </w:rPr>
      </w:pPr>
      <w:r w:rsidRPr="005B6AB1">
        <w:rPr>
          <w:rFonts w:ascii="Arial" w:hAnsi="Arial" w:cs="Arial"/>
        </w:rPr>
        <w:t>True person-</w:t>
      </w:r>
      <w:r w:rsidRPr="008043A8">
        <w:rPr>
          <w:rFonts w:ascii="Arial" w:hAnsi="Arial" w:cs="Arial"/>
        </w:rPr>
        <w:t>centred</w:t>
      </w:r>
      <w:r w:rsidRPr="005B6AB1">
        <w:rPr>
          <w:rFonts w:ascii="Arial" w:hAnsi="Arial" w:cs="Arial"/>
        </w:rPr>
        <w:t xml:space="preserve"> care cannot be provided without the genuine participation of service users and their families. While policies encourage participation, actual engagement is frequently limited or tokenistic (Entwistle and Watt, 2013).</w:t>
      </w:r>
    </w:p>
    <w:p w14:paraId="09B2EBA9" w14:textId="77777777" w:rsidR="00057E58" w:rsidRPr="00057E58" w:rsidRDefault="00057E58" w:rsidP="00057E58">
      <w:pPr>
        <w:spacing w:line="360" w:lineRule="auto"/>
        <w:ind w:firstLine="360"/>
        <w:jc w:val="both"/>
        <w:rPr>
          <w:rFonts w:ascii="Arial" w:hAnsi="Arial" w:cs="Arial"/>
        </w:rPr>
      </w:pPr>
      <w:r w:rsidRPr="00057E58">
        <w:rPr>
          <w:rFonts w:ascii="Arial" w:hAnsi="Arial" w:cs="Arial"/>
        </w:rPr>
        <w:t>Empowering individuals not only improves satisfaction but also leads to more effective and sustainable care outcomes.</w:t>
      </w:r>
    </w:p>
    <w:p w14:paraId="3CFBCD21" w14:textId="674D48FE" w:rsidR="00F9125C" w:rsidRPr="008043A8" w:rsidRDefault="00273587" w:rsidP="0076721A">
      <w:pPr>
        <w:spacing w:line="360" w:lineRule="auto"/>
        <w:ind w:firstLine="360"/>
        <w:jc w:val="both"/>
        <w:rPr>
          <w:rFonts w:ascii="Arial" w:hAnsi="Arial" w:cs="Arial"/>
          <w:b/>
          <w:bCs/>
        </w:rPr>
      </w:pPr>
      <w:r w:rsidRPr="008043A8">
        <w:rPr>
          <w:rFonts w:ascii="Arial" w:hAnsi="Arial" w:cs="Arial"/>
          <w:b/>
          <w:bCs/>
        </w:rPr>
        <w:t>Addressing Inequalities in Health and Social Care</w:t>
      </w:r>
    </w:p>
    <w:p w14:paraId="2E4AFC98" w14:textId="77777777" w:rsidR="00894ED3" w:rsidRPr="008043A8" w:rsidRDefault="00894ED3" w:rsidP="00894ED3">
      <w:pPr>
        <w:spacing w:line="360" w:lineRule="auto"/>
        <w:ind w:firstLine="360"/>
        <w:jc w:val="both"/>
        <w:rPr>
          <w:rFonts w:ascii="Arial" w:hAnsi="Arial" w:cs="Arial"/>
        </w:rPr>
      </w:pPr>
      <w:r w:rsidRPr="00894ED3">
        <w:rPr>
          <w:rFonts w:ascii="Arial" w:hAnsi="Arial" w:cs="Arial"/>
        </w:rPr>
        <w:lastRenderedPageBreak/>
        <w:t>Despite the objectives of PCC, disparities in access to care exist throughout the UK. Health outcomes continue to be influenced by socioeconomic level, ethnicity, and geographic location (Equality Act, 2010; WHO, 2016).</w:t>
      </w:r>
    </w:p>
    <w:p w14:paraId="1CA9C95F" w14:textId="77777777" w:rsidR="00CE7DA0" w:rsidRPr="008043A8" w:rsidRDefault="00CE7DA0" w:rsidP="00CE7DA0">
      <w:pPr>
        <w:spacing w:line="360" w:lineRule="auto"/>
        <w:ind w:firstLine="360"/>
        <w:jc w:val="both"/>
        <w:rPr>
          <w:rFonts w:ascii="Arial" w:hAnsi="Arial" w:cs="Arial"/>
          <w:b/>
          <w:bCs/>
        </w:rPr>
      </w:pPr>
      <w:r w:rsidRPr="00CE7DA0">
        <w:rPr>
          <w:rFonts w:ascii="Arial" w:hAnsi="Arial" w:cs="Arial"/>
          <w:b/>
          <w:bCs/>
        </w:rPr>
        <w:t>Policy Integration and Long-Term Strategic Planning</w:t>
      </w:r>
    </w:p>
    <w:p w14:paraId="10288745" w14:textId="77777777" w:rsidR="005E567B" w:rsidRPr="005E567B" w:rsidRDefault="005E567B" w:rsidP="005E567B">
      <w:pPr>
        <w:spacing w:line="360" w:lineRule="auto"/>
        <w:ind w:firstLine="360"/>
        <w:jc w:val="both"/>
        <w:rPr>
          <w:rFonts w:ascii="Arial" w:hAnsi="Arial" w:cs="Arial"/>
        </w:rPr>
      </w:pPr>
      <w:r w:rsidRPr="005E567B">
        <w:rPr>
          <w:rFonts w:ascii="Arial" w:hAnsi="Arial" w:cs="Arial"/>
        </w:rPr>
        <w:t>Although there are several policies to assist PCC and PW, they are frequently fragmented and inconsistently implemented (The King's Fund, 2018). A more coherent, long-term approach is required.</w:t>
      </w:r>
    </w:p>
    <w:p w14:paraId="3B68D518" w14:textId="77777777" w:rsidR="0081335D" w:rsidRPr="008043A8" w:rsidRDefault="00C6269E" w:rsidP="009D1FAB">
      <w:pPr>
        <w:spacing w:line="360" w:lineRule="auto"/>
        <w:jc w:val="both"/>
        <w:rPr>
          <w:rFonts w:ascii="Arial" w:hAnsi="Arial" w:cs="Arial"/>
          <w:b/>
          <w:bCs/>
        </w:rPr>
      </w:pPr>
      <w:r w:rsidRPr="008043A8">
        <w:rPr>
          <w:rFonts w:ascii="Arial" w:hAnsi="Arial" w:cs="Arial"/>
          <w:b/>
          <w:bCs/>
        </w:rPr>
        <w:t xml:space="preserve">     </w:t>
      </w:r>
      <w:r w:rsidRPr="008043A8">
        <w:rPr>
          <w:rFonts w:ascii="Arial" w:hAnsi="Arial" w:cs="Arial"/>
          <w:b/>
          <w:bCs/>
        </w:rPr>
        <w:t>Promoting a Cultural Shift in Care Delivery</w:t>
      </w:r>
    </w:p>
    <w:p w14:paraId="18C72CB3" w14:textId="0A5008A8" w:rsidR="005C22F3" w:rsidRPr="008043A8" w:rsidRDefault="009D1FAB" w:rsidP="009D1FAB">
      <w:pPr>
        <w:spacing w:line="360" w:lineRule="auto"/>
        <w:jc w:val="both"/>
        <w:rPr>
          <w:rFonts w:ascii="Arial" w:hAnsi="Arial" w:cs="Arial"/>
          <w:b/>
          <w:bCs/>
        </w:rPr>
      </w:pPr>
      <w:r w:rsidRPr="008043A8">
        <w:rPr>
          <w:rFonts w:ascii="Arial" w:hAnsi="Arial" w:cs="Arial"/>
        </w:rPr>
        <w:t xml:space="preserve">  </w:t>
      </w:r>
      <w:r w:rsidR="005C22F3" w:rsidRPr="005C22F3">
        <w:rPr>
          <w:rFonts w:ascii="Arial" w:hAnsi="Arial" w:cs="Arial"/>
        </w:rPr>
        <w:t>Perhaps the most fundamental difficulty is a cultural shift inside health and social care companies. Traditional methods of care frequently prioritize efficiency and clinical outcomes over human experience (Glasby, 2017).</w:t>
      </w:r>
    </w:p>
    <w:p w14:paraId="2451F71A" w14:textId="77777777" w:rsidR="0081335D" w:rsidRDefault="0081335D" w:rsidP="009D1FAB">
      <w:pPr>
        <w:spacing w:line="360" w:lineRule="auto"/>
        <w:jc w:val="both"/>
        <w:rPr>
          <w:rFonts w:ascii="Arial" w:hAnsi="Arial" w:cs="Arial"/>
          <w:sz w:val="24"/>
          <w:szCs w:val="24"/>
        </w:rPr>
      </w:pPr>
    </w:p>
    <w:p w14:paraId="252056E4" w14:textId="4E6CC648" w:rsidR="0081335D" w:rsidRDefault="005945C0" w:rsidP="0081335D">
      <w:pPr>
        <w:spacing w:line="360" w:lineRule="auto"/>
        <w:jc w:val="center"/>
        <w:rPr>
          <w:rFonts w:ascii="Arial" w:hAnsi="Arial" w:cs="Arial"/>
          <w:b/>
          <w:bCs/>
          <w:sz w:val="24"/>
          <w:szCs w:val="24"/>
        </w:rPr>
      </w:pPr>
      <w:r w:rsidRPr="005945C0">
        <w:rPr>
          <w:rFonts w:ascii="Arial" w:hAnsi="Arial" w:cs="Arial"/>
          <w:b/>
          <w:bCs/>
          <w:sz w:val="24"/>
          <w:szCs w:val="24"/>
        </w:rPr>
        <w:t>Conclusion</w:t>
      </w:r>
    </w:p>
    <w:p w14:paraId="283A096C" w14:textId="423810C0" w:rsidR="00582A0D" w:rsidRPr="008043A8" w:rsidRDefault="00582A0D" w:rsidP="00582A0D">
      <w:pPr>
        <w:spacing w:line="360" w:lineRule="auto"/>
        <w:ind w:firstLine="720"/>
        <w:jc w:val="both"/>
        <w:rPr>
          <w:rFonts w:ascii="Arial" w:hAnsi="Arial" w:cs="Arial"/>
        </w:rPr>
      </w:pPr>
      <w:r w:rsidRPr="00582A0D">
        <w:rPr>
          <w:rFonts w:ascii="Arial" w:hAnsi="Arial" w:cs="Arial"/>
        </w:rPr>
        <w:t>To summarize, person-</w:t>
      </w:r>
      <w:r w:rsidRPr="008043A8">
        <w:rPr>
          <w:rFonts w:ascii="Arial" w:hAnsi="Arial" w:cs="Arial"/>
        </w:rPr>
        <w:t>centred</w:t>
      </w:r>
      <w:r w:rsidRPr="00582A0D">
        <w:rPr>
          <w:rFonts w:ascii="Arial" w:hAnsi="Arial" w:cs="Arial"/>
        </w:rPr>
        <w:t xml:space="preserve"> care (PCC) and partnership working (PW) are essential components of good health and social care practice in the United Kingdom. PCC guarantees that persons are treated with dignity, respect, and autonomy, whilst partnership functioning allows professionals and organisations to collaborate to provide coordinated and holistic care.</w:t>
      </w:r>
    </w:p>
    <w:p w14:paraId="4458BBA9" w14:textId="2E9B2DE2" w:rsidR="009D5E26" w:rsidRPr="008043A8" w:rsidRDefault="009D5E26" w:rsidP="009D5E26">
      <w:pPr>
        <w:spacing w:line="360" w:lineRule="auto"/>
        <w:ind w:firstLine="720"/>
        <w:jc w:val="both"/>
        <w:rPr>
          <w:rFonts w:ascii="Arial" w:hAnsi="Arial" w:cs="Arial"/>
        </w:rPr>
      </w:pPr>
      <w:r w:rsidRPr="009D5E26">
        <w:rPr>
          <w:rFonts w:ascii="Arial" w:hAnsi="Arial" w:cs="Arial"/>
        </w:rPr>
        <w:t xml:space="preserve">This report </w:t>
      </w:r>
      <w:r w:rsidRPr="008043A8">
        <w:rPr>
          <w:rFonts w:ascii="Arial" w:hAnsi="Arial" w:cs="Arial"/>
        </w:rPr>
        <w:t xml:space="preserve">highlighted </w:t>
      </w:r>
      <w:r w:rsidRPr="009D5E26">
        <w:rPr>
          <w:rFonts w:ascii="Arial" w:hAnsi="Arial" w:cs="Arial"/>
        </w:rPr>
        <w:t>that both techniques provide demonstrable benefits, such as better patient outcomes, higher satisfaction, and more efficient service delivery (Coulter et al., 2015; Reeves et al., 2017). However, their implementation is not without difficulties. Issues such as limited resources, time limits, communication obstacles, and organisational variations continue to have an impact on the regularity and efficacy of PCC and partnership work in practice.</w:t>
      </w:r>
    </w:p>
    <w:p w14:paraId="548AA2BB" w14:textId="3053B4BB" w:rsidR="00C807B8" w:rsidRPr="008043A8" w:rsidRDefault="00C807B8" w:rsidP="00C807B8">
      <w:pPr>
        <w:spacing w:line="360" w:lineRule="auto"/>
        <w:ind w:firstLine="720"/>
        <w:jc w:val="both"/>
        <w:rPr>
          <w:rFonts w:ascii="Arial" w:hAnsi="Arial" w:cs="Arial"/>
        </w:rPr>
      </w:pPr>
      <w:r w:rsidRPr="00C807B8">
        <w:rPr>
          <w:rFonts w:ascii="Arial" w:hAnsi="Arial" w:cs="Arial"/>
        </w:rPr>
        <w:t>The examination of Rogers' person-</w:t>
      </w:r>
      <w:r w:rsidRPr="008043A8">
        <w:rPr>
          <w:rFonts w:ascii="Arial" w:hAnsi="Arial" w:cs="Arial"/>
        </w:rPr>
        <w:t>centred</w:t>
      </w:r>
      <w:r w:rsidRPr="00C807B8">
        <w:rPr>
          <w:rFonts w:ascii="Arial" w:hAnsi="Arial" w:cs="Arial"/>
        </w:rPr>
        <w:t xml:space="preserve"> theory proved its significance in supporting PCC, particularly in fostering empathy and therapeutic interactions. However, the reality of today's healthcare environments may limit its practical implementation. Similarly, ethical values like autonomy and beneficence remain fundamental to care delivery, although they frequently necessitate careful balance in complex settings (Beauchamp &amp; Childress, 2019).</w:t>
      </w:r>
    </w:p>
    <w:p w14:paraId="6C92CC15" w14:textId="77777777" w:rsidR="00830967" w:rsidRPr="00830967" w:rsidRDefault="00830967" w:rsidP="00830967">
      <w:pPr>
        <w:spacing w:line="360" w:lineRule="auto"/>
        <w:ind w:firstLine="720"/>
        <w:jc w:val="both"/>
        <w:rPr>
          <w:rFonts w:ascii="Arial" w:hAnsi="Arial" w:cs="Arial"/>
        </w:rPr>
      </w:pPr>
      <w:r w:rsidRPr="00830967">
        <w:rPr>
          <w:rFonts w:ascii="Arial" w:hAnsi="Arial" w:cs="Arial"/>
        </w:rPr>
        <w:t>UK laws and regulations, such as the Care Act 2014 and the NHS Long Term Plan, provide a solid foundation for both PCC and partnership cooperation. Nonetheless, the gap between policy and practice emphasizes the need for ongoing growth, notably in terms of finance, staff training, and service integration (NHS England, 2019).</w:t>
      </w:r>
    </w:p>
    <w:p w14:paraId="08D8AC8F" w14:textId="212F3524" w:rsidR="003C7B5A" w:rsidRPr="008043A8" w:rsidRDefault="003C7B5A" w:rsidP="003C7B5A">
      <w:pPr>
        <w:spacing w:line="360" w:lineRule="auto"/>
        <w:ind w:firstLine="720"/>
        <w:jc w:val="both"/>
        <w:rPr>
          <w:rFonts w:ascii="Arial" w:hAnsi="Arial" w:cs="Arial"/>
        </w:rPr>
      </w:pPr>
      <w:r w:rsidRPr="003C7B5A">
        <w:rPr>
          <w:rFonts w:ascii="Arial" w:hAnsi="Arial" w:cs="Arial"/>
        </w:rPr>
        <w:lastRenderedPageBreak/>
        <w:t>Overall, great progress has been made, but more effort is needed to ensure that PCC and partnership working are continuously established in practice. Health and social care services may continue to evolve and provide more effective, person-</w:t>
      </w:r>
      <w:r w:rsidRPr="008043A8">
        <w:rPr>
          <w:rFonts w:ascii="Arial" w:hAnsi="Arial" w:cs="Arial"/>
        </w:rPr>
        <w:t>centred</w:t>
      </w:r>
      <w:r w:rsidRPr="003C7B5A">
        <w:rPr>
          <w:rFonts w:ascii="Arial" w:hAnsi="Arial" w:cs="Arial"/>
        </w:rPr>
        <w:t xml:space="preserve"> care by enhancing teamwork, investing in resources, and prioritising service users' needs.</w:t>
      </w:r>
    </w:p>
    <w:p w14:paraId="13DDE99B" w14:textId="77777777" w:rsidR="003C7B5A" w:rsidRDefault="003C7B5A" w:rsidP="003C7B5A">
      <w:pPr>
        <w:spacing w:line="360" w:lineRule="auto"/>
        <w:ind w:firstLine="720"/>
        <w:jc w:val="both"/>
        <w:rPr>
          <w:rFonts w:ascii="Arial" w:hAnsi="Arial" w:cs="Arial"/>
          <w:sz w:val="24"/>
          <w:szCs w:val="24"/>
        </w:rPr>
      </w:pPr>
    </w:p>
    <w:p w14:paraId="125932AD" w14:textId="77777777" w:rsidR="003C7B5A" w:rsidRDefault="003C7B5A" w:rsidP="003C7B5A">
      <w:pPr>
        <w:spacing w:line="360" w:lineRule="auto"/>
        <w:ind w:firstLine="720"/>
        <w:jc w:val="both"/>
        <w:rPr>
          <w:rFonts w:ascii="Arial" w:hAnsi="Arial" w:cs="Arial"/>
          <w:sz w:val="24"/>
          <w:szCs w:val="24"/>
        </w:rPr>
      </w:pPr>
    </w:p>
    <w:p w14:paraId="24475C38" w14:textId="77777777" w:rsidR="0081335D" w:rsidRDefault="0081335D" w:rsidP="003C7B5A">
      <w:pPr>
        <w:spacing w:line="360" w:lineRule="auto"/>
        <w:ind w:firstLine="720"/>
        <w:jc w:val="both"/>
        <w:rPr>
          <w:rFonts w:ascii="Arial" w:hAnsi="Arial" w:cs="Arial"/>
          <w:sz w:val="24"/>
          <w:szCs w:val="24"/>
        </w:rPr>
      </w:pPr>
    </w:p>
    <w:p w14:paraId="65D35730" w14:textId="77777777" w:rsidR="0081335D" w:rsidRDefault="0081335D" w:rsidP="003C7B5A">
      <w:pPr>
        <w:spacing w:line="360" w:lineRule="auto"/>
        <w:ind w:firstLine="720"/>
        <w:jc w:val="both"/>
        <w:rPr>
          <w:rFonts w:ascii="Arial" w:hAnsi="Arial" w:cs="Arial"/>
          <w:sz w:val="24"/>
          <w:szCs w:val="24"/>
        </w:rPr>
      </w:pPr>
    </w:p>
    <w:p w14:paraId="4FD81032" w14:textId="77777777" w:rsidR="0081335D" w:rsidRDefault="0081335D" w:rsidP="003C7B5A">
      <w:pPr>
        <w:spacing w:line="360" w:lineRule="auto"/>
        <w:ind w:firstLine="720"/>
        <w:jc w:val="both"/>
        <w:rPr>
          <w:rFonts w:ascii="Arial" w:hAnsi="Arial" w:cs="Arial"/>
          <w:sz w:val="24"/>
          <w:szCs w:val="24"/>
        </w:rPr>
      </w:pPr>
    </w:p>
    <w:p w14:paraId="1ADE8113" w14:textId="77777777" w:rsidR="0081335D" w:rsidRDefault="0081335D" w:rsidP="003C7B5A">
      <w:pPr>
        <w:spacing w:line="360" w:lineRule="auto"/>
        <w:ind w:firstLine="720"/>
        <w:jc w:val="both"/>
        <w:rPr>
          <w:rFonts w:ascii="Arial" w:hAnsi="Arial" w:cs="Arial"/>
          <w:sz w:val="24"/>
          <w:szCs w:val="24"/>
        </w:rPr>
      </w:pPr>
    </w:p>
    <w:p w14:paraId="5A9949FF" w14:textId="77777777" w:rsidR="0081335D" w:rsidRDefault="0081335D" w:rsidP="003C7B5A">
      <w:pPr>
        <w:spacing w:line="360" w:lineRule="auto"/>
        <w:ind w:firstLine="720"/>
        <w:jc w:val="both"/>
        <w:rPr>
          <w:rFonts w:ascii="Arial" w:hAnsi="Arial" w:cs="Arial"/>
          <w:sz w:val="24"/>
          <w:szCs w:val="24"/>
        </w:rPr>
      </w:pPr>
    </w:p>
    <w:p w14:paraId="5767A2AE" w14:textId="77777777" w:rsidR="0081335D" w:rsidRDefault="0081335D" w:rsidP="003C7B5A">
      <w:pPr>
        <w:spacing w:line="360" w:lineRule="auto"/>
        <w:ind w:firstLine="720"/>
        <w:jc w:val="both"/>
        <w:rPr>
          <w:rFonts w:ascii="Arial" w:hAnsi="Arial" w:cs="Arial"/>
          <w:sz w:val="24"/>
          <w:szCs w:val="24"/>
        </w:rPr>
      </w:pPr>
    </w:p>
    <w:p w14:paraId="3F285D1A" w14:textId="77777777" w:rsidR="0081335D" w:rsidRDefault="0081335D" w:rsidP="003C7B5A">
      <w:pPr>
        <w:spacing w:line="360" w:lineRule="auto"/>
        <w:ind w:firstLine="720"/>
        <w:jc w:val="both"/>
        <w:rPr>
          <w:rFonts w:ascii="Arial" w:hAnsi="Arial" w:cs="Arial"/>
          <w:sz w:val="24"/>
          <w:szCs w:val="24"/>
        </w:rPr>
      </w:pPr>
    </w:p>
    <w:p w14:paraId="3509115D" w14:textId="77777777" w:rsidR="0081335D" w:rsidRDefault="0081335D" w:rsidP="003C7B5A">
      <w:pPr>
        <w:spacing w:line="360" w:lineRule="auto"/>
        <w:ind w:firstLine="720"/>
        <w:jc w:val="both"/>
        <w:rPr>
          <w:rFonts w:ascii="Arial" w:hAnsi="Arial" w:cs="Arial"/>
          <w:sz w:val="24"/>
          <w:szCs w:val="24"/>
        </w:rPr>
      </w:pPr>
    </w:p>
    <w:p w14:paraId="6EB813F4" w14:textId="77777777" w:rsidR="0081335D" w:rsidRDefault="0081335D" w:rsidP="003C7B5A">
      <w:pPr>
        <w:spacing w:line="360" w:lineRule="auto"/>
        <w:ind w:firstLine="720"/>
        <w:jc w:val="both"/>
        <w:rPr>
          <w:rFonts w:ascii="Arial" w:hAnsi="Arial" w:cs="Arial"/>
          <w:sz w:val="24"/>
          <w:szCs w:val="24"/>
        </w:rPr>
      </w:pPr>
    </w:p>
    <w:p w14:paraId="5927EAB2" w14:textId="77777777" w:rsidR="0081335D" w:rsidRDefault="0081335D" w:rsidP="003C7B5A">
      <w:pPr>
        <w:spacing w:line="360" w:lineRule="auto"/>
        <w:ind w:firstLine="720"/>
        <w:jc w:val="both"/>
        <w:rPr>
          <w:rFonts w:ascii="Arial" w:hAnsi="Arial" w:cs="Arial"/>
          <w:sz w:val="24"/>
          <w:szCs w:val="24"/>
        </w:rPr>
      </w:pPr>
    </w:p>
    <w:p w14:paraId="68B9FD85" w14:textId="77777777" w:rsidR="0081335D" w:rsidRDefault="0081335D" w:rsidP="003C7B5A">
      <w:pPr>
        <w:spacing w:line="360" w:lineRule="auto"/>
        <w:ind w:firstLine="720"/>
        <w:jc w:val="both"/>
        <w:rPr>
          <w:rFonts w:ascii="Arial" w:hAnsi="Arial" w:cs="Arial"/>
          <w:sz w:val="24"/>
          <w:szCs w:val="24"/>
        </w:rPr>
      </w:pPr>
    </w:p>
    <w:p w14:paraId="22144AD7" w14:textId="77777777" w:rsidR="0081335D" w:rsidRDefault="0081335D" w:rsidP="003C7B5A">
      <w:pPr>
        <w:spacing w:line="360" w:lineRule="auto"/>
        <w:ind w:firstLine="720"/>
        <w:jc w:val="both"/>
        <w:rPr>
          <w:rFonts w:ascii="Arial" w:hAnsi="Arial" w:cs="Arial"/>
          <w:sz w:val="24"/>
          <w:szCs w:val="24"/>
        </w:rPr>
      </w:pPr>
    </w:p>
    <w:p w14:paraId="1C1F6E2D" w14:textId="77777777" w:rsidR="0081335D" w:rsidRDefault="0081335D" w:rsidP="003C7B5A">
      <w:pPr>
        <w:spacing w:line="360" w:lineRule="auto"/>
        <w:ind w:firstLine="720"/>
        <w:jc w:val="both"/>
        <w:rPr>
          <w:rFonts w:ascii="Arial" w:hAnsi="Arial" w:cs="Arial"/>
          <w:sz w:val="24"/>
          <w:szCs w:val="24"/>
        </w:rPr>
      </w:pPr>
    </w:p>
    <w:p w14:paraId="325B337E" w14:textId="77777777" w:rsidR="0081335D" w:rsidRDefault="0081335D" w:rsidP="003C7B5A">
      <w:pPr>
        <w:spacing w:line="360" w:lineRule="auto"/>
        <w:ind w:firstLine="720"/>
        <w:jc w:val="both"/>
        <w:rPr>
          <w:rFonts w:ascii="Arial" w:hAnsi="Arial" w:cs="Arial"/>
          <w:sz w:val="24"/>
          <w:szCs w:val="24"/>
        </w:rPr>
      </w:pPr>
    </w:p>
    <w:p w14:paraId="162558EB" w14:textId="77777777" w:rsidR="0081335D" w:rsidRDefault="0081335D" w:rsidP="003C7B5A">
      <w:pPr>
        <w:spacing w:line="360" w:lineRule="auto"/>
        <w:ind w:firstLine="720"/>
        <w:jc w:val="both"/>
        <w:rPr>
          <w:rFonts w:ascii="Arial" w:hAnsi="Arial" w:cs="Arial"/>
          <w:sz w:val="24"/>
          <w:szCs w:val="24"/>
        </w:rPr>
      </w:pPr>
    </w:p>
    <w:p w14:paraId="3675E6AD" w14:textId="77777777" w:rsidR="0081335D" w:rsidRDefault="0081335D" w:rsidP="003C7B5A">
      <w:pPr>
        <w:spacing w:line="360" w:lineRule="auto"/>
        <w:ind w:firstLine="720"/>
        <w:jc w:val="both"/>
        <w:rPr>
          <w:rFonts w:ascii="Arial" w:hAnsi="Arial" w:cs="Arial"/>
          <w:sz w:val="24"/>
          <w:szCs w:val="24"/>
        </w:rPr>
      </w:pPr>
    </w:p>
    <w:p w14:paraId="78C9D1A3" w14:textId="77777777" w:rsidR="0081335D" w:rsidRDefault="0081335D" w:rsidP="000215F7">
      <w:pPr>
        <w:spacing w:line="360" w:lineRule="auto"/>
        <w:jc w:val="both"/>
        <w:rPr>
          <w:rFonts w:ascii="Arial" w:hAnsi="Arial" w:cs="Arial"/>
          <w:sz w:val="24"/>
          <w:szCs w:val="24"/>
        </w:rPr>
      </w:pPr>
    </w:p>
    <w:p w14:paraId="30BC4882" w14:textId="77777777" w:rsidR="000215F7" w:rsidRDefault="000215F7" w:rsidP="000215F7">
      <w:pPr>
        <w:spacing w:line="360" w:lineRule="auto"/>
        <w:jc w:val="both"/>
        <w:rPr>
          <w:rFonts w:ascii="Arial" w:hAnsi="Arial" w:cs="Arial"/>
          <w:sz w:val="24"/>
          <w:szCs w:val="24"/>
        </w:rPr>
      </w:pPr>
    </w:p>
    <w:p w14:paraId="12AA3D21" w14:textId="77777777" w:rsidR="0081335D" w:rsidRDefault="0081335D" w:rsidP="00D00E34">
      <w:pPr>
        <w:spacing w:line="360" w:lineRule="auto"/>
        <w:ind w:firstLine="720"/>
        <w:jc w:val="center"/>
        <w:rPr>
          <w:rFonts w:ascii="Arial" w:hAnsi="Arial" w:cs="Arial"/>
          <w:b/>
          <w:bCs/>
          <w:sz w:val="24"/>
          <w:szCs w:val="24"/>
        </w:rPr>
      </w:pPr>
    </w:p>
    <w:p w14:paraId="551876ED" w14:textId="3DFFA002" w:rsidR="003C7B5A" w:rsidRPr="00D00E34" w:rsidRDefault="003C7B5A" w:rsidP="00D00E34">
      <w:pPr>
        <w:spacing w:line="360" w:lineRule="auto"/>
        <w:ind w:firstLine="720"/>
        <w:jc w:val="center"/>
        <w:rPr>
          <w:rFonts w:ascii="Arial" w:hAnsi="Arial" w:cs="Arial"/>
          <w:b/>
          <w:bCs/>
          <w:sz w:val="24"/>
          <w:szCs w:val="24"/>
        </w:rPr>
      </w:pPr>
      <w:r w:rsidRPr="003C7B5A">
        <w:rPr>
          <w:rFonts w:ascii="Arial" w:hAnsi="Arial" w:cs="Arial"/>
          <w:b/>
          <w:bCs/>
          <w:sz w:val="24"/>
          <w:szCs w:val="24"/>
        </w:rPr>
        <w:lastRenderedPageBreak/>
        <w:t>References</w:t>
      </w:r>
    </w:p>
    <w:p w14:paraId="400F833B" w14:textId="1E8A2F73" w:rsidR="008043A8" w:rsidRPr="008043A8" w:rsidRDefault="008043A8" w:rsidP="008043A8">
      <w:pPr>
        <w:spacing w:before="100" w:beforeAutospacing="1" w:after="100" w:afterAutospacing="1" w:line="360" w:lineRule="auto"/>
        <w:ind w:left="720"/>
        <w:rPr>
          <w:rFonts w:ascii="Arial" w:eastAsia="Times New Roman" w:hAnsi="Arial" w:cs="Arial"/>
          <w:kern w:val="0"/>
          <w:lang w:eastAsia="en-GB"/>
          <w14:ligatures w14:val="none"/>
        </w:rPr>
      </w:pPr>
      <w:r w:rsidRPr="008043A8">
        <w:rPr>
          <w:rFonts w:ascii="Arial" w:eastAsia="Times New Roman" w:hAnsi="Arial" w:cs="Arial"/>
          <w:kern w:val="0"/>
          <w:lang w:eastAsia="en-GB"/>
          <w14:ligatures w14:val="none"/>
        </w:rPr>
        <w:t xml:space="preserve">Beauchamp, T.L. and Childress, J.F. (2019). </w:t>
      </w:r>
      <w:r w:rsidRPr="008043A8">
        <w:rPr>
          <w:rFonts w:ascii="Arial" w:eastAsia="Times New Roman" w:hAnsi="Arial" w:cs="Arial"/>
          <w:i/>
          <w:iCs/>
          <w:kern w:val="0"/>
          <w:lang w:eastAsia="en-GB"/>
          <w14:ligatures w14:val="none"/>
        </w:rPr>
        <w:t>Principles of Biomedical Ethics</w:t>
      </w:r>
      <w:r w:rsidRPr="008043A8">
        <w:rPr>
          <w:rFonts w:ascii="Arial" w:eastAsia="Times New Roman" w:hAnsi="Arial" w:cs="Arial"/>
          <w:kern w:val="0"/>
          <w:lang w:eastAsia="en-GB"/>
          <w14:ligatures w14:val="none"/>
        </w:rPr>
        <w:t>. 8th ed. New York: Oxford University Press.</w:t>
      </w:r>
    </w:p>
    <w:p w14:paraId="185F3BF0" w14:textId="6198DAD2" w:rsidR="00723B30" w:rsidRPr="00723B30" w:rsidRDefault="00723B30" w:rsidP="00723B30">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Care Act 2014. London: HMSO. </w:t>
      </w:r>
    </w:p>
    <w:p w14:paraId="188B28F4"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Coulter, A. et al. (2015) </w:t>
      </w:r>
      <w:r w:rsidRPr="00723B30">
        <w:rPr>
          <w:rFonts w:ascii="Arial" w:eastAsia="Times New Roman" w:hAnsi="Arial" w:cs="Arial"/>
          <w:i/>
          <w:iCs/>
          <w:kern w:val="0"/>
          <w:lang w:eastAsia="en-GB"/>
          <w14:ligatures w14:val="none"/>
        </w:rPr>
        <w:t>Delivering better services for people with long-term conditions</w:t>
      </w:r>
      <w:r w:rsidRPr="00723B30">
        <w:rPr>
          <w:rFonts w:ascii="Arial" w:eastAsia="Times New Roman" w:hAnsi="Arial" w:cs="Arial"/>
          <w:kern w:val="0"/>
          <w:lang w:eastAsia="en-GB"/>
          <w14:ligatures w14:val="none"/>
        </w:rPr>
        <w:t xml:space="preserve">. London: King’s Fund. </w:t>
      </w:r>
    </w:p>
    <w:p w14:paraId="2DAEC60C"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Department of Health (2012) </w:t>
      </w:r>
      <w:r w:rsidRPr="00723B30">
        <w:rPr>
          <w:rFonts w:ascii="Arial" w:eastAsia="Times New Roman" w:hAnsi="Arial" w:cs="Arial"/>
          <w:i/>
          <w:iCs/>
          <w:kern w:val="0"/>
          <w:lang w:eastAsia="en-GB"/>
          <w14:ligatures w14:val="none"/>
        </w:rPr>
        <w:t>Health and Social Care Act</w:t>
      </w:r>
      <w:r w:rsidRPr="00723B30">
        <w:rPr>
          <w:rFonts w:ascii="Arial" w:eastAsia="Times New Roman" w:hAnsi="Arial" w:cs="Arial"/>
          <w:kern w:val="0"/>
          <w:lang w:eastAsia="en-GB"/>
          <w14:ligatures w14:val="none"/>
        </w:rPr>
        <w:t xml:space="preserve">. London: HMSO. </w:t>
      </w:r>
    </w:p>
    <w:p w14:paraId="24F0970C"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Equality Act 2010. London: HMSO. </w:t>
      </w:r>
    </w:p>
    <w:p w14:paraId="3CDF7549"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proofErr w:type="spellStart"/>
      <w:r w:rsidRPr="00723B30">
        <w:rPr>
          <w:rFonts w:ascii="Arial" w:eastAsia="Times New Roman" w:hAnsi="Arial" w:cs="Arial"/>
          <w:kern w:val="0"/>
          <w:lang w:eastAsia="en-GB"/>
          <w14:ligatures w14:val="none"/>
        </w:rPr>
        <w:t>Kitwood</w:t>
      </w:r>
      <w:proofErr w:type="spellEnd"/>
      <w:r w:rsidRPr="00723B30">
        <w:rPr>
          <w:rFonts w:ascii="Arial" w:eastAsia="Times New Roman" w:hAnsi="Arial" w:cs="Arial"/>
          <w:kern w:val="0"/>
          <w:lang w:eastAsia="en-GB"/>
          <w14:ligatures w14:val="none"/>
        </w:rPr>
        <w:t xml:space="preserve">, T. (1997) </w:t>
      </w:r>
      <w:r w:rsidRPr="00723B30">
        <w:rPr>
          <w:rFonts w:ascii="Arial" w:eastAsia="Times New Roman" w:hAnsi="Arial" w:cs="Arial"/>
          <w:i/>
          <w:iCs/>
          <w:kern w:val="0"/>
          <w:lang w:eastAsia="en-GB"/>
          <w14:ligatures w14:val="none"/>
        </w:rPr>
        <w:t>Dementia Reconsidered</w:t>
      </w:r>
      <w:r w:rsidRPr="00723B30">
        <w:rPr>
          <w:rFonts w:ascii="Arial" w:eastAsia="Times New Roman" w:hAnsi="Arial" w:cs="Arial"/>
          <w:kern w:val="0"/>
          <w:lang w:eastAsia="en-GB"/>
          <w14:ligatures w14:val="none"/>
        </w:rPr>
        <w:t xml:space="preserve">. Buckingham: Open University Press. </w:t>
      </w:r>
    </w:p>
    <w:p w14:paraId="63A347C3"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NHS England (2019) </w:t>
      </w:r>
      <w:r w:rsidRPr="00723B30">
        <w:rPr>
          <w:rFonts w:ascii="Arial" w:eastAsia="Times New Roman" w:hAnsi="Arial" w:cs="Arial"/>
          <w:i/>
          <w:iCs/>
          <w:kern w:val="0"/>
          <w:lang w:eastAsia="en-GB"/>
          <w14:ligatures w14:val="none"/>
        </w:rPr>
        <w:t>The NHS Long Term Plan</w:t>
      </w:r>
      <w:r w:rsidRPr="00723B30">
        <w:rPr>
          <w:rFonts w:ascii="Arial" w:eastAsia="Times New Roman" w:hAnsi="Arial" w:cs="Arial"/>
          <w:kern w:val="0"/>
          <w:lang w:eastAsia="en-GB"/>
          <w14:ligatures w14:val="none"/>
        </w:rPr>
        <w:t xml:space="preserve">. London: NHS. </w:t>
      </w:r>
    </w:p>
    <w:p w14:paraId="0A04E04E" w14:textId="04380065"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Rogers, C. (1951) </w:t>
      </w:r>
      <w:r w:rsidRPr="00723B30">
        <w:rPr>
          <w:rFonts w:ascii="Arial" w:eastAsia="Times New Roman" w:hAnsi="Arial" w:cs="Arial"/>
          <w:i/>
          <w:iCs/>
          <w:kern w:val="0"/>
          <w:lang w:eastAsia="en-GB"/>
          <w14:ligatures w14:val="none"/>
        </w:rPr>
        <w:t>Client-</w:t>
      </w:r>
      <w:r w:rsidR="00D00E34" w:rsidRPr="008043A8">
        <w:rPr>
          <w:rFonts w:ascii="Arial" w:eastAsia="Times New Roman" w:hAnsi="Arial" w:cs="Arial"/>
          <w:i/>
          <w:iCs/>
          <w:kern w:val="0"/>
          <w:lang w:eastAsia="en-GB"/>
          <w14:ligatures w14:val="none"/>
        </w:rPr>
        <w:t>Centred</w:t>
      </w:r>
      <w:r w:rsidRPr="00723B30">
        <w:rPr>
          <w:rFonts w:ascii="Arial" w:eastAsia="Times New Roman" w:hAnsi="Arial" w:cs="Arial"/>
          <w:i/>
          <w:iCs/>
          <w:kern w:val="0"/>
          <w:lang w:eastAsia="en-GB"/>
          <w14:ligatures w14:val="none"/>
        </w:rPr>
        <w:t xml:space="preserve"> Therapy</w:t>
      </w:r>
      <w:r w:rsidRPr="00723B30">
        <w:rPr>
          <w:rFonts w:ascii="Arial" w:eastAsia="Times New Roman" w:hAnsi="Arial" w:cs="Arial"/>
          <w:kern w:val="0"/>
          <w:lang w:eastAsia="en-GB"/>
          <w14:ligatures w14:val="none"/>
        </w:rPr>
        <w:t xml:space="preserve">. Boston: Houghton Mifflin. </w:t>
      </w:r>
    </w:p>
    <w:p w14:paraId="781DC95A"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Glasby, J. (2017) </w:t>
      </w:r>
      <w:r w:rsidRPr="00723B30">
        <w:rPr>
          <w:rFonts w:ascii="Arial" w:eastAsia="Times New Roman" w:hAnsi="Arial" w:cs="Arial"/>
          <w:i/>
          <w:iCs/>
          <w:kern w:val="0"/>
          <w:lang w:eastAsia="en-GB"/>
          <w14:ligatures w14:val="none"/>
        </w:rPr>
        <w:t>Understanding Health and Social Care</w:t>
      </w:r>
      <w:r w:rsidRPr="00723B30">
        <w:rPr>
          <w:rFonts w:ascii="Arial" w:eastAsia="Times New Roman" w:hAnsi="Arial" w:cs="Arial"/>
          <w:kern w:val="0"/>
          <w:lang w:eastAsia="en-GB"/>
          <w14:ligatures w14:val="none"/>
        </w:rPr>
        <w:t xml:space="preserve">. Bristol: Policy Press. </w:t>
      </w:r>
    </w:p>
    <w:p w14:paraId="4ED029AB" w14:textId="23FFEC8C" w:rsidR="00DB20E7" w:rsidRPr="00723B30" w:rsidRDefault="00723B30" w:rsidP="00DB20E7">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Dickinson, H. and Glasby, J. (2010) ‘</w:t>
      </w:r>
      <w:r w:rsidRPr="00723B30">
        <w:rPr>
          <w:rFonts w:ascii="Arial" w:eastAsia="Times New Roman" w:hAnsi="Arial" w:cs="Arial"/>
          <w:i/>
          <w:iCs/>
          <w:kern w:val="0"/>
          <w:lang w:eastAsia="en-GB"/>
          <w14:ligatures w14:val="none"/>
        </w:rPr>
        <w:t>Why partnership working doesn’t work’</w:t>
      </w:r>
      <w:r w:rsidRPr="00723B30">
        <w:rPr>
          <w:rFonts w:ascii="Arial" w:eastAsia="Times New Roman" w:hAnsi="Arial" w:cs="Arial"/>
          <w:kern w:val="0"/>
          <w:lang w:eastAsia="en-GB"/>
          <w14:ligatures w14:val="none"/>
        </w:rPr>
        <w:t xml:space="preserve">, </w:t>
      </w:r>
      <w:r w:rsidRPr="00723B30">
        <w:rPr>
          <w:rFonts w:ascii="Arial" w:eastAsia="Times New Roman" w:hAnsi="Arial" w:cs="Arial"/>
          <w:i/>
          <w:iCs/>
          <w:kern w:val="0"/>
          <w:lang w:eastAsia="en-GB"/>
          <w14:ligatures w14:val="none"/>
        </w:rPr>
        <w:t>Public Management Review</w:t>
      </w:r>
      <w:r w:rsidRPr="00723B30">
        <w:rPr>
          <w:rFonts w:ascii="Arial" w:eastAsia="Times New Roman" w:hAnsi="Arial" w:cs="Arial"/>
          <w:kern w:val="0"/>
          <w:lang w:eastAsia="en-GB"/>
          <w14:ligatures w14:val="none"/>
        </w:rPr>
        <w:t xml:space="preserve">, 12(6), pp. 811–828. </w:t>
      </w:r>
    </w:p>
    <w:p w14:paraId="274E7719"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Entwistle, V. and Watt, I. (2013) ‘</w:t>
      </w:r>
      <w:r w:rsidRPr="00723B30">
        <w:rPr>
          <w:rFonts w:ascii="Arial" w:eastAsia="Times New Roman" w:hAnsi="Arial" w:cs="Arial"/>
          <w:i/>
          <w:iCs/>
          <w:kern w:val="0"/>
          <w:lang w:eastAsia="en-GB"/>
          <w14:ligatures w14:val="none"/>
        </w:rPr>
        <w:t>Treating patients as persons’</w:t>
      </w:r>
      <w:r w:rsidRPr="00723B30">
        <w:rPr>
          <w:rFonts w:ascii="Arial" w:eastAsia="Times New Roman" w:hAnsi="Arial" w:cs="Arial"/>
          <w:kern w:val="0"/>
          <w:lang w:eastAsia="en-GB"/>
          <w14:ligatures w14:val="none"/>
        </w:rPr>
        <w:t xml:space="preserve">, </w:t>
      </w:r>
      <w:r w:rsidRPr="00723B30">
        <w:rPr>
          <w:rFonts w:ascii="Arial" w:eastAsia="Times New Roman" w:hAnsi="Arial" w:cs="Arial"/>
          <w:i/>
          <w:iCs/>
          <w:kern w:val="0"/>
          <w:lang w:eastAsia="en-GB"/>
          <w14:ligatures w14:val="none"/>
        </w:rPr>
        <w:t>BMJ</w:t>
      </w:r>
      <w:r w:rsidRPr="00723B30">
        <w:rPr>
          <w:rFonts w:ascii="Arial" w:eastAsia="Times New Roman" w:hAnsi="Arial" w:cs="Arial"/>
          <w:kern w:val="0"/>
          <w:lang w:eastAsia="en-GB"/>
          <w14:ligatures w14:val="none"/>
        </w:rPr>
        <w:t xml:space="preserve">, 347. </w:t>
      </w:r>
    </w:p>
    <w:p w14:paraId="083BBDAC" w14:textId="40E170CD"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Morgan, S. and Yoder, L. (2012) </w:t>
      </w:r>
      <w:r w:rsidRPr="00723B30">
        <w:rPr>
          <w:rFonts w:ascii="Arial" w:eastAsia="Times New Roman" w:hAnsi="Arial" w:cs="Arial"/>
          <w:i/>
          <w:iCs/>
          <w:kern w:val="0"/>
          <w:lang w:eastAsia="en-GB"/>
          <w14:ligatures w14:val="none"/>
        </w:rPr>
        <w:t>‘A concept analysis of person-centred care’</w:t>
      </w:r>
      <w:r w:rsidRPr="00723B30">
        <w:rPr>
          <w:rFonts w:ascii="Arial" w:eastAsia="Times New Roman" w:hAnsi="Arial" w:cs="Arial"/>
          <w:kern w:val="0"/>
          <w:lang w:eastAsia="en-GB"/>
          <w14:ligatures w14:val="none"/>
        </w:rPr>
        <w:t xml:space="preserve">, </w:t>
      </w:r>
      <w:r w:rsidRPr="00723B30">
        <w:rPr>
          <w:rFonts w:ascii="Arial" w:eastAsia="Times New Roman" w:hAnsi="Arial" w:cs="Arial"/>
          <w:i/>
          <w:iCs/>
          <w:kern w:val="0"/>
          <w:lang w:eastAsia="en-GB"/>
          <w14:ligatures w14:val="none"/>
        </w:rPr>
        <w:t>Journal</w:t>
      </w:r>
      <w:r w:rsidR="00D00E34" w:rsidRPr="008043A8">
        <w:rPr>
          <w:rFonts w:ascii="Arial" w:eastAsia="Times New Roman" w:hAnsi="Arial" w:cs="Arial"/>
          <w:i/>
          <w:iCs/>
          <w:kern w:val="0"/>
          <w:lang w:eastAsia="en-GB"/>
          <w14:ligatures w14:val="none"/>
        </w:rPr>
        <w:t xml:space="preserve"> </w:t>
      </w:r>
      <w:r w:rsidRPr="00723B30">
        <w:rPr>
          <w:rFonts w:ascii="Arial" w:eastAsia="Times New Roman" w:hAnsi="Arial" w:cs="Arial"/>
          <w:i/>
          <w:iCs/>
          <w:kern w:val="0"/>
          <w:lang w:eastAsia="en-GB"/>
          <w14:ligatures w14:val="none"/>
        </w:rPr>
        <w:t>of Holistic Nursing</w:t>
      </w:r>
      <w:r w:rsidRPr="00723B30">
        <w:rPr>
          <w:rFonts w:ascii="Arial" w:eastAsia="Times New Roman" w:hAnsi="Arial" w:cs="Arial"/>
          <w:kern w:val="0"/>
          <w:lang w:eastAsia="en-GB"/>
          <w14:ligatures w14:val="none"/>
        </w:rPr>
        <w:t xml:space="preserve">, 30(1), pp. 6–15. </w:t>
      </w:r>
    </w:p>
    <w:p w14:paraId="76E81CD0"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Reeves, S. et al. (2017) </w:t>
      </w:r>
      <w:r w:rsidRPr="00723B30">
        <w:rPr>
          <w:rFonts w:ascii="Arial" w:eastAsia="Times New Roman" w:hAnsi="Arial" w:cs="Arial"/>
          <w:i/>
          <w:iCs/>
          <w:kern w:val="0"/>
          <w:lang w:eastAsia="en-GB"/>
          <w14:ligatures w14:val="none"/>
        </w:rPr>
        <w:t>Interprofessional teamwork</w:t>
      </w:r>
      <w:r w:rsidRPr="00723B30">
        <w:rPr>
          <w:rFonts w:ascii="Arial" w:eastAsia="Times New Roman" w:hAnsi="Arial" w:cs="Arial"/>
          <w:kern w:val="0"/>
          <w:lang w:eastAsia="en-GB"/>
          <w14:ligatures w14:val="none"/>
        </w:rPr>
        <w:t xml:space="preserve">. Oxford: Wiley-Blackwell. </w:t>
      </w:r>
    </w:p>
    <w:p w14:paraId="41A653A5"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SCIE (2013) </w:t>
      </w:r>
      <w:r w:rsidRPr="00723B30">
        <w:rPr>
          <w:rFonts w:ascii="Arial" w:eastAsia="Times New Roman" w:hAnsi="Arial" w:cs="Arial"/>
          <w:i/>
          <w:iCs/>
          <w:kern w:val="0"/>
          <w:lang w:eastAsia="en-GB"/>
          <w14:ligatures w14:val="none"/>
        </w:rPr>
        <w:t>Partnership working in health and social care</w:t>
      </w:r>
      <w:r w:rsidRPr="00723B30">
        <w:rPr>
          <w:rFonts w:ascii="Arial" w:eastAsia="Times New Roman" w:hAnsi="Arial" w:cs="Arial"/>
          <w:kern w:val="0"/>
          <w:lang w:eastAsia="en-GB"/>
          <w14:ligatures w14:val="none"/>
        </w:rPr>
        <w:t xml:space="preserve">. London: SCIE. </w:t>
      </w:r>
    </w:p>
    <w:p w14:paraId="24E3B2FD" w14:textId="77777777" w:rsidR="00723B30" w:rsidRPr="00723B30"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The King’s Fund (2018) </w:t>
      </w:r>
      <w:r w:rsidRPr="00723B30">
        <w:rPr>
          <w:rFonts w:ascii="Arial" w:eastAsia="Times New Roman" w:hAnsi="Arial" w:cs="Arial"/>
          <w:i/>
          <w:iCs/>
          <w:kern w:val="0"/>
          <w:lang w:eastAsia="en-GB"/>
          <w14:ligatures w14:val="none"/>
        </w:rPr>
        <w:t>Integrated care systems explained</w:t>
      </w:r>
      <w:r w:rsidRPr="00723B30">
        <w:rPr>
          <w:rFonts w:ascii="Arial" w:eastAsia="Times New Roman" w:hAnsi="Arial" w:cs="Arial"/>
          <w:kern w:val="0"/>
          <w:lang w:eastAsia="en-GB"/>
          <w14:ligatures w14:val="none"/>
        </w:rPr>
        <w:t xml:space="preserve">. London: King’s Fund. </w:t>
      </w:r>
    </w:p>
    <w:p w14:paraId="7FBCAAA2" w14:textId="4C475C09" w:rsidR="00290B75" w:rsidRPr="008043A8" w:rsidRDefault="00723B30" w:rsidP="00D00E34">
      <w:pPr>
        <w:spacing w:before="100" w:beforeAutospacing="1" w:after="100" w:afterAutospacing="1" w:line="360" w:lineRule="auto"/>
        <w:ind w:left="720"/>
        <w:rPr>
          <w:rFonts w:ascii="Arial" w:eastAsia="Times New Roman" w:hAnsi="Arial" w:cs="Arial"/>
          <w:kern w:val="0"/>
          <w:lang w:eastAsia="en-GB"/>
          <w14:ligatures w14:val="none"/>
        </w:rPr>
      </w:pPr>
      <w:r w:rsidRPr="00723B30">
        <w:rPr>
          <w:rFonts w:ascii="Arial" w:eastAsia="Times New Roman" w:hAnsi="Arial" w:cs="Arial"/>
          <w:kern w:val="0"/>
          <w:lang w:eastAsia="en-GB"/>
          <w14:ligatures w14:val="none"/>
        </w:rPr>
        <w:t xml:space="preserve">World Health Organization (2016) </w:t>
      </w:r>
      <w:r w:rsidRPr="00723B30">
        <w:rPr>
          <w:rFonts w:ascii="Arial" w:eastAsia="Times New Roman" w:hAnsi="Arial" w:cs="Arial"/>
          <w:i/>
          <w:iCs/>
          <w:kern w:val="0"/>
          <w:lang w:eastAsia="en-GB"/>
          <w14:ligatures w14:val="none"/>
        </w:rPr>
        <w:t>Framework on integrated, people-centred health services</w:t>
      </w:r>
      <w:r w:rsidRPr="00723B30">
        <w:rPr>
          <w:rFonts w:ascii="Arial" w:eastAsia="Times New Roman" w:hAnsi="Arial" w:cs="Arial"/>
          <w:kern w:val="0"/>
          <w:lang w:eastAsia="en-GB"/>
          <w14:ligatures w14:val="none"/>
        </w:rPr>
        <w:t>. Geneva: WHO.</w:t>
      </w:r>
    </w:p>
    <w:sectPr w:rsidR="00290B75" w:rsidRPr="008043A8" w:rsidSect="00290B7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29BD8" w14:textId="77777777" w:rsidR="00D17747" w:rsidRDefault="00D17747" w:rsidP="00B31513">
      <w:pPr>
        <w:spacing w:after="0" w:line="240" w:lineRule="auto"/>
      </w:pPr>
      <w:r>
        <w:separator/>
      </w:r>
    </w:p>
  </w:endnote>
  <w:endnote w:type="continuationSeparator" w:id="0">
    <w:p w14:paraId="22C632CD" w14:textId="77777777" w:rsidR="00D17747" w:rsidRDefault="00D17747" w:rsidP="00B31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240252"/>
      <w:docPartObj>
        <w:docPartGallery w:val="Page Numbers (Bottom of Page)"/>
        <w:docPartUnique/>
      </w:docPartObj>
    </w:sdtPr>
    <w:sdtEndPr>
      <w:rPr>
        <w:noProof/>
      </w:rPr>
    </w:sdtEndPr>
    <w:sdtContent>
      <w:p w14:paraId="40ACB69F" w14:textId="596A95DE" w:rsidR="00B31513" w:rsidRDefault="00B315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59F9DA" w14:textId="77777777" w:rsidR="00B31513" w:rsidRDefault="00B31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8F800" w14:textId="77777777" w:rsidR="00D17747" w:rsidRDefault="00D17747" w:rsidP="00B31513">
      <w:pPr>
        <w:spacing w:after="0" w:line="240" w:lineRule="auto"/>
      </w:pPr>
      <w:r>
        <w:separator/>
      </w:r>
    </w:p>
  </w:footnote>
  <w:footnote w:type="continuationSeparator" w:id="0">
    <w:p w14:paraId="778F21A3" w14:textId="77777777" w:rsidR="00D17747" w:rsidRDefault="00D17747" w:rsidP="00B315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746D8"/>
    <w:multiLevelType w:val="multilevel"/>
    <w:tmpl w:val="334A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B35003"/>
    <w:multiLevelType w:val="hybridMultilevel"/>
    <w:tmpl w:val="B2E818D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78C1470"/>
    <w:multiLevelType w:val="hybridMultilevel"/>
    <w:tmpl w:val="2D961D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4666885">
    <w:abstractNumId w:val="2"/>
  </w:num>
  <w:num w:numId="2" w16cid:durableId="78252625">
    <w:abstractNumId w:val="1"/>
  </w:num>
  <w:num w:numId="3" w16cid:durableId="289820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B75"/>
    <w:rsid w:val="000215F7"/>
    <w:rsid w:val="0002315E"/>
    <w:rsid w:val="0002587A"/>
    <w:rsid w:val="00044205"/>
    <w:rsid w:val="0005497D"/>
    <w:rsid w:val="00057E58"/>
    <w:rsid w:val="00100AD7"/>
    <w:rsid w:val="00132E54"/>
    <w:rsid w:val="00136929"/>
    <w:rsid w:val="00143A05"/>
    <w:rsid w:val="00144853"/>
    <w:rsid w:val="001715B0"/>
    <w:rsid w:val="00176459"/>
    <w:rsid w:val="00182651"/>
    <w:rsid w:val="001C3054"/>
    <w:rsid w:val="001C52D3"/>
    <w:rsid w:val="00214B03"/>
    <w:rsid w:val="00225D8B"/>
    <w:rsid w:val="002276E3"/>
    <w:rsid w:val="00240B48"/>
    <w:rsid w:val="00240B79"/>
    <w:rsid w:val="00273587"/>
    <w:rsid w:val="0028603A"/>
    <w:rsid w:val="00290B75"/>
    <w:rsid w:val="002A2CD5"/>
    <w:rsid w:val="002E1CA7"/>
    <w:rsid w:val="00305B40"/>
    <w:rsid w:val="0033106E"/>
    <w:rsid w:val="00343EB0"/>
    <w:rsid w:val="003875A4"/>
    <w:rsid w:val="003B0F72"/>
    <w:rsid w:val="003B5551"/>
    <w:rsid w:val="003C57E5"/>
    <w:rsid w:val="003C7B5A"/>
    <w:rsid w:val="003D2EEA"/>
    <w:rsid w:val="003D71D6"/>
    <w:rsid w:val="00475307"/>
    <w:rsid w:val="00491B7D"/>
    <w:rsid w:val="004D6DAC"/>
    <w:rsid w:val="004E2FB9"/>
    <w:rsid w:val="0053460D"/>
    <w:rsid w:val="00544EDF"/>
    <w:rsid w:val="00567EF8"/>
    <w:rsid w:val="00582A0D"/>
    <w:rsid w:val="005940F9"/>
    <w:rsid w:val="005945C0"/>
    <w:rsid w:val="005B6AB1"/>
    <w:rsid w:val="005C053A"/>
    <w:rsid w:val="005C22F3"/>
    <w:rsid w:val="005C3052"/>
    <w:rsid w:val="005C742A"/>
    <w:rsid w:val="005D13EC"/>
    <w:rsid w:val="005E567B"/>
    <w:rsid w:val="00606C69"/>
    <w:rsid w:val="00610CDE"/>
    <w:rsid w:val="00612CBF"/>
    <w:rsid w:val="006345C1"/>
    <w:rsid w:val="00670FD1"/>
    <w:rsid w:val="00722075"/>
    <w:rsid w:val="00723B30"/>
    <w:rsid w:val="0076721A"/>
    <w:rsid w:val="00784782"/>
    <w:rsid w:val="0078646B"/>
    <w:rsid w:val="00791750"/>
    <w:rsid w:val="00792655"/>
    <w:rsid w:val="007A778C"/>
    <w:rsid w:val="007B5244"/>
    <w:rsid w:val="007D3F06"/>
    <w:rsid w:val="00803033"/>
    <w:rsid w:val="008043A8"/>
    <w:rsid w:val="00811449"/>
    <w:rsid w:val="0081335D"/>
    <w:rsid w:val="0082722E"/>
    <w:rsid w:val="00830967"/>
    <w:rsid w:val="008545BA"/>
    <w:rsid w:val="00894ED3"/>
    <w:rsid w:val="008F5E03"/>
    <w:rsid w:val="00932114"/>
    <w:rsid w:val="00966543"/>
    <w:rsid w:val="00987DF6"/>
    <w:rsid w:val="00996E2C"/>
    <w:rsid w:val="009D1FAB"/>
    <w:rsid w:val="009D5E26"/>
    <w:rsid w:val="009E3497"/>
    <w:rsid w:val="00A35DA1"/>
    <w:rsid w:val="00A3770B"/>
    <w:rsid w:val="00AB0930"/>
    <w:rsid w:val="00B123B7"/>
    <w:rsid w:val="00B31513"/>
    <w:rsid w:val="00B4496E"/>
    <w:rsid w:val="00B63E03"/>
    <w:rsid w:val="00BA25CA"/>
    <w:rsid w:val="00BA383A"/>
    <w:rsid w:val="00C11BE0"/>
    <w:rsid w:val="00C2057B"/>
    <w:rsid w:val="00C30B3C"/>
    <w:rsid w:val="00C32B17"/>
    <w:rsid w:val="00C6269E"/>
    <w:rsid w:val="00C807B8"/>
    <w:rsid w:val="00C867DD"/>
    <w:rsid w:val="00CC414E"/>
    <w:rsid w:val="00CE7DA0"/>
    <w:rsid w:val="00D00E34"/>
    <w:rsid w:val="00D17747"/>
    <w:rsid w:val="00D25307"/>
    <w:rsid w:val="00D731D1"/>
    <w:rsid w:val="00DB20E7"/>
    <w:rsid w:val="00DB6F9C"/>
    <w:rsid w:val="00DD5304"/>
    <w:rsid w:val="00E147B8"/>
    <w:rsid w:val="00E35276"/>
    <w:rsid w:val="00E43B89"/>
    <w:rsid w:val="00E5365E"/>
    <w:rsid w:val="00E60C4D"/>
    <w:rsid w:val="00E76488"/>
    <w:rsid w:val="00E8759E"/>
    <w:rsid w:val="00EC54FA"/>
    <w:rsid w:val="00EE5A92"/>
    <w:rsid w:val="00EE5D94"/>
    <w:rsid w:val="00F731A4"/>
    <w:rsid w:val="00F90CCB"/>
    <w:rsid w:val="00F9125C"/>
    <w:rsid w:val="00FC5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DD43"/>
  <w15:chartTrackingRefBased/>
  <w15:docId w15:val="{D5F5E5CF-6F75-4E9E-9C4C-DB7D356B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B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0B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0B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B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B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B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B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B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B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B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0B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0B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B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B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B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B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B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B75"/>
    <w:rPr>
      <w:rFonts w:eastAsiaTheme="majorEastAsia" w:cstheme="majorBidi"/>
      <w:color w:val="272727" w:themeColor="text1" w:themeTint="D8"/>
    </w:rPr>
  </w:style>
  <w:style w:type="paragraph" w:styleId="Title">
    <w:name w:val="Title"/>
    <w:basedOn w:val="Normal"/>
    <w:next w:val="Normal"/>
    <w:link w:val="TitleChar"/>
    <w:uiPriority w:val="10"/>
    <w:qFormat/>
    <w:rsid w:val="00290B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B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B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B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B75"/>
    <w:pPr>
      <w:spacing w:before="160"/>
      <w:jc w:val="center"/>
    </w:pPr>
    <w:rPr>
      <w:i/>
      <w:iCs/>
      <w:color w:val="404040" w:themeColor="text1" w:themeTint="BF"/>
    </w:rPr>
  </w:style>
  <w:style w:type="character" w:customStyle="1" w:styleId="QuoteChar">
    <w:name w:val="Quote Char"/>
    <w:basedOn w:val="DefaultParagraphFont"/>
    <w:link w:val="Quote"/>
    <w:uiPriority w:val="29"/>
    <w:rsid w:val="00290B75"/>
    <w:rPr>
      <w:i/>
      <w:iCs/>
      <w:color w:val="404040" w:themeColor="text1" w:themeTint="BF"/>
    </w:rPr>
  </w:style>
  <w:style w:type="paragraph" w:styleId="ListParagraph">
    <w:name w:val="List Paragraph"/>
    <w:basedOn w:val="Normal"/>
    <w:uiPriority w:val="34"/>
    <w:qFormat/>
    <w:rsid w:val="00290B75"/>
    <w:pPr>
      <w:ind w:left="720"/>
      <w:contextualSpacing/>
    </w:pPr>
  </w:style>
  <w:style w:type="character" w:styleId="IntenseEmphasis">
    <w:name w:val="Intense Emphasis"/>
    <w:basedOn w:val="DefaultParagraphFont"/>
    <w:uiPriority w:val="21"/>
    <w:qFormat/>
    <w:rsid w:val="00290B75"/>
    <w:rPr>
      <w:i/>
      <w:iCs/>
      <w:color w:val="0F4761" w:themeColor="accent1" w:themeShade="BF"/>
    </w:rPr>
  </w:style>
  <w:style w:type="paragraph" w:styleId="IntenseQuote">
    <w:name w:val="Intense Quote"/>
    <w:basedOn w:val="Normal"/>
    <w:next w:val="Normal"/>
    <w:link w:val="IntenseQuoteChar"/>
    <w:uiPriority w:val="30"/>
    <w:qFormat/>
    <w:rsid w:val="00290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B75"/>
    <w:rPr>
      <w:i/>
      <w:iCs/>
      <w:color w:val="0F4761" w:themeColor="accent1" w:themeShade="BF"/>
    </w:rPr>
  </w:style>
  <w:style w:type="character" w:styleId="IntenseReference">
    <w:name w:val="Intense Reference"/>
    <w:basedOn w:val="DefaultParagraphFont"/>
    <w:uiPriority w:val="32"/>
    <w:qFormat/>
    <w:rsid w:val="00290B75"/>
    <w:rPr>
      <w:b/>
      <w:bCs/>
      <w:smallCaps/>
      <w:color w:val="0F4761" w:themeColor="accent1" w:themeShade="BF"/>
      <w:spacing w:val="5"/>
    </w:rPr>
  </w:style>
  <w:style w:type="paragraph" w:styleId="NoSpacing">
    <w:name w:val="No Spacing"/>
    <w:link w:val="NoSpacingChar"/>
    <w:uiPriority w:val="1"/>
    <w:qFormat/>
    <w:rsid w:val="00290B7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90B75"/>
    <w:rPr>
      <w:rFonts w:eastAsiaTheme="minorEastAsia"/>
      <w:kern w:val="0"/>
      <w:lang w:val="en-US"/>
      <w14:ligatures w14:val="none"/>
    </w:rPr>
  </w:style>
  <w:style w:type="paragraph" w:styleId="Header">
    <w:name w:val="header"/>
    <w:basedOn w:val="Normal"/>
    <w:link w:val="HeaderChar"/>
    <w:uiPriority w:val="99"/>
    <w:unhideWhenUsed/>
    <w:rsid w:val="00B31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513"/>
  </w:style>
  <w:style w:type="paragraph" w:styleId="Footer">
    <w:name w:val="footer"/>
    <w:basedOn w:val="Normal"/>
    <w:link w:val="FooterChar"/>
    <w:uiPriority w:val="99"/>
    <w:unhideWhenUsed/>
    <w:rsid w:val="00B31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 2422978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12</Pages>
  <Words>2673</Words>
  <Characters>15239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Person-Centred Care and Partnership Working in Health and Social Care</dc:title>
  <dc:subject>Principles of Health and Social Care Practice - BMHP5016</dc:subject>
  <dc:creator>By Florenta Anisoara Chistol</dc:creator>
  <cp:keywords/>
  <dc:description/>
  <cp:lastModifiedBy>alex chistol</cp:lastModifiedBy>
  <cp:revision>116</cp:revision>
  <dcterms:created xsi:type="dcterms:W3CDTF">2026-03-23T18:54:00Z</dcterms:created>
  <dcterms:modified xsi:type="dcterms:W3CDTF">2026-03-28T19:51:00Z</dcterms:modified>
</cp:coreProperties>
</file>