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949C5" w:rsidRPr="00640A0A" w:rsidRDefault="00B23744">
      <w:pPr>
        <w:rPr>
          <w:rFonts w:cstheme="minorHAnsi"/>
          <w:b/>
        </w:rPr>
      </w:pPr>
      <w:r>
        <w:rPr>
          <w:rFonts w:cstheme="minorHAnsi"/>
          <w:b/>
          <w:shd w:val="clear" w:color="auto" w:fill="FFFFFF"/>
        </w:rPr>
        <w:t>Does the example of T</w:t>
      </w:r>
      <w:r w:rsidR="00C061C6" w:rsidRPr="00640A0A">
        <w:rPr>
          <w:rFonts w:cstheme="minorHAnsi"/>
          <w:b/>
          <w:shd w:val="clear" w:color="auto" w:fill="FFFFFF"/>
        </w:rPr>
        <w:t>he Ship of Theseus resolve issues about the continuing identity of persons?</w:t>
      </w:r>
    </w:p>
    <w:p w:rsidR="005B2462" w:rsidRDefault="00A24D07" w:rsidP="009949C5">
      <w:pPr>
        <w:rPr>
          <w:rFonts w:cstheme="minorHAnsi"/>
        </w:rPr>
      </w:pPr>
      <w:r>
        <w:rPr>
          <w:rFonts w:cstheme="minorHAnsi"/>
        </w:rPr>
        <w:t xml:space="preserve">Here it will be argued that the example of The Ship of Theseus does not resolve issues about the continuing identity of persons, but merely illustrates the problems, providing a ‘gateway’ into the issue from which we can </w:t>
      </w:r>
      <w:r w:rsidR="001E00EB">
        <w:rPr>
          <w:rFonts w:cstheme="minorHAnsi"/>
        </w:rPr>
        <w:t xml:space="preserve">at least </w:t>
      </w:r>
      <w:r>
        <w:rPr>
          <w:rFonts w:cstheme="minorHAnsi"/>
        </w:rPr>
        <w:t xml:space="preserve">begin to </w:t>
      </w:r>
      <w:r w:rsidR="001E00EB">
        <w:rPr>
          <w:rFonts w:cstheme="minorHAnsi"/>
        </w:rPr>
        <w:t xml:space="preserve">resolve said issues. The </w:t>
      </w:r>
      <w:r w:rsidR="00E41F4B">
        <w:rPr>
          <w:rFonts w:cstheme="minorHAnsi"/>
        </w:rPr>
        <w:t>example is therefore a tool in solving the issues surrounding continuing identity</w:t>
      </w:r>
      <w:r w:rsidR="00F671D0">
        <w:rPr>
          <w:rFonts w:cstheme="minorHAnsi"/>
        </w:rPr>
        <w:t xml:space="preserve"> of persons</w:t>
      </w:r>
      <w:r w:rsidR="00E41F4B">
        <w:rPr>
          <w:rFonts w:cstheme="minorHAnsi"/>
        </w:rPr>
        <w:t xml:space="preserve">. </w:t>
      </w:r>
      <w:r w:rsidR="00EB6615">
        <w:rPr>
          <w:rFonts w:cstheme="minorHAnsi"/>
        </w:rPr>
        <w:t xml:space="preserve">In this essay, </w:t>
      </w:r>
      <w:r w:rsidR="0096337B">
        <w:rPr>
          <w:rFonts w:cstheme="minorHAnsi"/>
        </w:rPr>
        <w:t xml:space="preserve">it will be discussed </w:t>
      </w:r>
      <w:r w:rsidR="00973E01">
        <w:rPr>
          <w:rFonts w:cstheme="minorHAnsi"/>
        </w:rPr>
        <w:t>how helpful</w:t>
      </w:r>
      <w:r w:rsidR="00EB6615">
        <w:rPr>
          <w:rFonts w:cstheme="minorHAnsi"/>
        </w:rPr>
        <w:t xml:space="preserve"> </w:t>
      </w:r>
      <w:r w:rsidR="0096337B">
        <w:rPr>
          <w:rFonts w:cstheme="minorHAnsi"/>
        </w:rPr>
        <w:t xml:space="preserve">the analogy </w:t>
      </w:r>
      <w:r w:rsidR="006A737E">
        <w:rPr>
          <w:rFonts w:cstheme="minorHAnsi"/>
        </w:rPr>
        <w:t xml:space="preserve">is </w:t>
      </w:r>
      <w:r w:rsidR="00973E01">
        <w:rPr>
          <w:rFonts w:cstheme="minorHAnsi"/>
        </w:rPr>
        <w:t>in answering questions of</w:t>
      </w:r>
      <w:r w:rsidR="0096337B">
        <w:rPr>
          <w:rFonts w:cstheme="minorHAnsi"/>
        </w:rPr>
        <w:t xml:space="preserve"> </w:t>
      </w:r>
      <w:r w:rsidR="00973E01">
        <w:rPr>
          <w:rFonts w:cstheme="minorHAnsi"/>
        </w:rPr>
        <w:t xml:space="preserve">the </w:t>
      </w:r>
      <w:r w:rsidR="004050DE">
        <w:rPr>
          <w:rFonts w:cstheme="minorHAnsi"/>
        </w:rPr>
        <w:t>continuing identity of a person</w:t>
      </w:r>
      <w:r w:rsidR="009B79A3">
        <w:rPr>
          <w:rFonts w:cstheme="minorHAnsi"/>
        </w:rPr>
        <w:t>.</w:t>
      </w:r>
      <w:r w:rsidR="00EB6615">
        <w:rPr>
          <w:rFonts w:cstheme="minorHAnsi"/>
        </w:rPr>
        <w:t xml:space="preserve"> </w:t>
      </w:r>
      <w:r w:rsidR="005B2462">
        <w:rPr>
          <w:rFonts w:cstheme="minorHAnsi"/>
        </w:rPr>
        <w:t>The</w:t>
      </w:r>
      <w:r w:rsidR="00E41F4B">
        <w:rPr>
          <w:rFonts w:cstheme="minorHAnsi"/>
        </w:rPr>
        <w:t xml:space="preserve"> Ship of Theseus is an analogy whereby the planks of a ship are gradually replaced over time. It brings the quest</w:t>
      </w:r>
      <w:r w:rsidR="00640A0A">
        <w:rPr>
          <w:rFonts w:cstheme="minorHAnsi"/>
        </w:rPr>
        <w:t>ion of when, if at all</w:t>
      </w:r>
      <w:r w:rsidR="00340282">
        <w:rPr>
          <w:rFonts w:cstheme="minorHAnsi"/>
        </w:rPr>
        <w:t>,</w:t>
      </w:r>
      <w:r w:rsidR="00640A0A">
        <w:rPr>
          <w:rFonts w:cstheme="minorHAnsi"/>
        </w:rPr>
        <w:t xml:space="preserve"> can the ship no longer be regarded as </w:t>
      </w:r>
      <w:r w:rsidR="00340282">
        <w:rPr>
          <w:rFonts w:cstheme="minorHAnsi"/>
        </w:rPr>
        <w:t>the same ship. For example, is this when over half the planks are no longer the original, or after the last plank has been replaced? Or, does the ship retain its identity as The Ship of Theseus even after none of the original planks remain?</w:t>
      </w:r>
    </w:p>
    <w:p w:rsidR="0035376E" w:rsidRDefault="00F73A44" w:rsidP="009949C5">
      <w:pPr>
        <w:rPr>
          <w:rFonts w:cstheme="minorHAnsi"/>
          <w:vertAlign w:val="superscript"/>
        </w:rPr>
      </w:pPr>
      <w:r>
        <w:rPr>
          <w:rFonts w:cstheme="minorHAnsi"/>
        </w:rPr>
        <w:t>The Ship of Theseus e</w:t>
      </w:r>
      <w:r w:rsidR="009713EE">
        <w:rPr>
          <w:rFonts w:cstheme="minorHAnsi"/>
        </w:rPr>
        <w:t xml:space="preserve">xample is helpful when discussing physical </w:t>
      </w:r>
      <w:r w:rsidR="00992893">
        <w:rPr>
          <w:rFonts w:cstheme="minorHAnsi"/>
        </w:rPr>
        <w:t>continuity as a way the identity of the self</w:t>
      </w:r>
      <w:r w:rsidR="008800D3">
        <w:rPr>
          <w:rFonts w:cstheme="minorHAnsi"/>
        </w:rPr>
        <w:t xml:space="preserve"> is continued due to the physical nature of the both the ship and the body.</w:t>
      </w:r>
      <w:r w:rsidR="00307F39">
        <w:rPr>
          <w:rFonts w:cstheme="minorHAnsi"/>
        </w:rPr>
        <w:t xml:space="preserve"> </w:t>
      </w:r>
      <w:r w:rsidR="00406A4C">
        <w:rPr>
          <w:rFonts w:cstheme="minorHAnsi"/>
        </w:rPr>
        <w:t>This parall</w:t>
      </w:r>
      <w:r w:rsidR="00795ACD">
        <w:rPr>
          <w:rFonts w:cstheme="minorHAnsi"/>
        </w:rPr>
        <w:t xml:space="preserve">el </w:t>
      </w:r>
      <w:r w:rsidR="00D233BF">
        <w:rPr>
          <w:rFonts w:cstheme="minorHAnsi"/>
        </w:rPr>
        <w:t xml:space="preserve">is particularly useful in the issue of the constantly changing nature of the body in relation to the continuing identity of the self, </w:t>
      </w:r>
      <w:r w:rsidR="00013936">
        <w:rPr>
          <w:rFonts w:cstheme="minorHAnsi"/>
        </w:rPr>
        <w:t xml:space="preserve">such as ageing and </w:t>
      </w:r>
      <w:r w:rsidR="00B23744">
        <w:rPr>
          <w:rFonts w:cstheme="minorHAnsi"/>
        </w:rPr>
        <w:t>cell replication. Like in The Ship of Theseus example, the body/ship changes gradually, over a long period of time and does not drastically change physical location (rather, it moves from one location to another gradually)</w:t>
      </w:r>
      <w:r w:rsidR="009950EC">
        <w:rPr>
          <w:rFonts w:cstheme="minorHAnsi"/>
        </w:rPr>
        <w:t xml:space="preserve">. </w:t>
      </w:r>
      <w:r w:rsidR="006210C4">
        <w:rPr>
          <w:rFonts w:cstheme="minorHAnsi"/>
        </w:rPr>
        <w:t xml:space="preserve">This shows how the continuing identity of persons highly </w:t>
      </w:r>
      <w:r w:rsidR="00CF3CCB">
        <w:rPr>
          <w:rFonts w:cstheme="minorHAnsi"/>
        </w:rPr>
        <w:t xml:space="preserve">rests on continuity. Here there is spatiotemporal continuity between the body/ship in one instance and another, allowing it to retain its personal identity. </w:t>
      </w:r>
      <w:r w:rsidR="00D84454">
        <w:rPr>
          <w:rFonts w:cstheme="minorHAnsi"/>
        </w:rPr>
        <w:t xml:space="preserve">Furthermore, as Heraclitus could have been suggesting in his statements “Into the same rivers we do and do not step.” and “We </w:t>
      </w:r>
      <w:proofErr w:type="gramStart"/>
      <w:r w:rsidR="00D84454">
        <w:rPr>
          <w:rFonts w:cstheme="minorHAnsi"/>
        </w:rPr>
        <w:t>are</w:t>
      </w:r>
      <w:proofErr w:type="gramEnd"/>
      <w:r w:rsidR="00D84454">
        <w:rPr>
          <w:rFonts w:cstheme="minorHAnsi"/>
        </w:rPr>
        <w:t xml:space="preserve"> and we are not.” </w:t>
      </w:r>
      <w:r w:rsidR="00094670">
        <w:rPr>
          <w:rFonts w:cstheme="minorHAnsi"/>
        </w:rPr>
        <w:t xml:space="preserve">the identity of things are not defined by their material constitution, but by this continuity in their </w:t>
      </w:r>
      <w:r w:rsidR="004050DE">
        <w:rPr>
          <w:rFonts w:cstheme="minorHAnsi"/>
        </w:rPr>
        <w:t>change.</w:t>
      </w:r>
      <w:r w:rsidR="004050DE">
        <w:rPr>
          <w:rFonts w:cstheme="minorHAnsi"/>
          <w:vertAlign w:val="superscript"/>
        </w:rPr>
        <w:t xml:space="preserve"> [</w:t>
      </w:r>
      <w:r w:rsidR="007F3892">
        <w:rPr>
          <w:rStyle w:val="FootnoteReference"/>
          <w:rFonts w:cstheme="minorHAnsi"/>
        </w:rPr>
        <w:footnoteReference w:id="1"/>
      </w:r>
      <w:r w:rsidR="007F3892">
        <w:rPr>
          <w:rFonts w:cstheme="minorHAnsi"/>
          <w:vertAlign w:val="superscript"/>
        </w:rPr>
        <w:t>]</w:t>
      </w:r>
    </w:p>
    <w:p w:rsidR="00E02B2E" w:rsidRPr="0056026A" w:rsidRDefault="00E87886" w:rsidP="009949C5">
      <w:pPr>
        <w:rPr>
          <w:rFonts w:cstheme="minorHAnsi"/>
        </w:rPr>
      </w:pPr>
      <w:r>
        <w:rPr>
          <w:rFonts w:cstheme="minorHAnsi"/>
        </w:rPr>
        <w:t xml:space="preserve">An extension to The Ship of Theseus example </w:t>
      </w:r>
      <w:r w:rsidR="0070789A">
        <w:rPr>
          <w:rFonts w:cstheme="minorHAnsi"/>
        </w:rPr>
        <w:t xml:space="preserve">is that the old, discarded planks are collected and a ship with identical plans remade. The question </w:t>
      </w:r>
      <w:r w:rsidR="008671AC">
        <w:rPr>
          <w:rFonts w:cstheme="minorHAnsi"/>
        </w:rPr>
        <w:t xml:space="preserve">is now whether this ship </w:t>
      </w:r>
      <w:r w:rsidR="0070789A">
        <w:rPr>
          <w:rFonts w:cstheme="minorHAnsi"/>
        </w:rPr>
        <w:t xml:space="preserve">has the identity of </w:t>
      </w:r>
      <w:r w:rsidR="008671AC">
        <w:rPr>
          <w:rFonts w:cstheme="minorHAnsi"/>
        </w:rPr>
        <w:t xml:space="preserve">The Ship of Theseus, or whether the ship of the previous example has the identity of The Ship of Theseus. Following the same reasoning as previously, it can be concluded that the rebuilt ship does not have continuing identity as </w:t>
      </w:r>
      <w:r w:rsidR="00310421">
        <w:rPr>
          <w:rFonts w:cstheme="minorHAnsi"/>
        </w:rPr>
        <w:t xml:space="preserve">it is not material constitution that accounts for continuing identity, but continuity. Moreover, it seems somewhat incoherent to speak of rebuilding the ship with the old materials, as they were replaced due to not being fit for use, and due to rot would be somewhat </w:t>
      </w:r>
      <w:r w:rsidR="00D167E1">
        <w:rPr>
          <w:rFonts w:cstheme="minorHAnsi"/>
        </w:rPr>
        <w:t xml:space="preserve">disintegrated, therefore not there. To further show how this concept simply doesn’t work, consider the same is done with a body: a body is built using the old cells that have since been regenerated to form the new body. It is quite simply nonsense to expect the body that is somehow rebuilt with old, dead cells to </w:t>
      </w:r>
      <w:r w:rsidR="00626FF5">
        <w:rPr>
          <w:rFonts w:cstheme="minorHAnsi"/>
        </w:rPr>
        <w:t>have a claim of continuing personal identity over the new body.</w:t>
      </w:r>
      <w:r w:rsidR="0056026A">
        <w:rPr>
          <w:rFonts w:cstheme="minorHAnsi"/>
        </w:rPr>
        <w:t xml:space="preserve"> </w:t>
      </w:r>
    </w:p>
    <w:p w:rsidR="00D65E24" w:rsidRDefault="0035376E" w:rsidP="0056026A">
      <w:pPr>
        <w:rPr>
          <w:rFonts w:cstheme="minorHAnsi"/>
          <w:vertAlign w:val="superscript"/>
        </w:rPr>
      </w:pPr>
      <w:r>
        <w:rPr>
          <w:rFonts w:cstheme="minorHAnsi"/>
        </w:rPr>
        <w:t>From this it follows that we don’t expect complete continuity of the body, as we accept someone remains themselves after they have for example a heart transplant we continue to think of them as the same person, so why should this be any different in the case of the brain</w:t>
      </w:r>
      <w:r w:rsidR="0056026A">
        <w:rPr>
          <w:rFonts w:cstheme="minorHAnsi"/>
        </w:rPr>
        <w:t>? The difference is that as well as having physical continuity, the brain is also responsible for the psychological continuity of the self.</w:t>
      </w:r>
      <w:r w:rsidR="0072197A">
        <w:rPr>
          <w:rFonts w:cstheme="minorHAnsi"/>
        </w:rPr>
        <w:t xml:space="preserve"> 2</w:t>
      </w:r>
      <w:r w:rsidR="0056026A">
        <w:rPr>
          <w:rFonts w:cstheme="minorHAnsi"/>
        </w:rPr>
        <w:t xml:space="preserve"> </w:t>
      </w:r>
      <w:r w:rsidR="00E02B2E">
        <w:rPr>
          <w:rFonts w:cstheme="minorHAnsi"/>
        </w:rPr>
        <w:t>In the case of the body changing over time</w:t>
      </w:r>
      <w:r w:rsidR="00EE7D22">
        <w:rPr>
          <w:rFonts w:cstheme="minorHAnsi"/>
        </w:rPr>
        <w:t xml:space="preserve"> with cell regeneration and so forth</w:t>
      </w:r>
      <w:r w:rsidR="00E02B2E">
        <w:rPr>
          <w:rFonts w:cstheme="minorHAnsi"/>
        </w:rPr>
        <w:t xml:space="preserve">, </w:t>
      </w:r>
      <w:r w:rsidR="00973E01">
        <w:rPr>
          <w:rFonts w:cstheme="minorHAnsi"/>
        </w:rPr>
        <w:t>there is a gradual change, so when Parfit uses an analogy of teleportation where the molecules are destroyed and remade in another location</w:t>
      </w:r>
      <w:r w:rsidR="00773407">
        <w:rPr>
          <w:rFonts w:cstheme="minorHAnsi"/>
        </w:rPr>
        <w:t xml:space="preserve"> he adds further complication. </w:t>
      </w:r>
      <w:r w:rsidR="006A737E">
        <w:rPr>
          <w:rFonts w:cstheme="minorHAnsi"/>
        </w:rPr>
        <w:t xml:space="preserve">This is because it removes the </w:t>
      </w:r>
      <w:r w:rsidR="008B68ED">
        <w:rPr>
          <w:rFonts w:cstheme="minorHAnsi"/>
        </w:rPr>
        <w:t xml:space="preserve">physical </w:t>
      </w:r>
      <w:r w:rsidR="008B68ED">
        <w:rPr>
          <w:rFonts w:cstheme="minorHAnsi"/>
        </w:rPr>
        <w:lastRenderedPageBreak/>
        <w:t>conti</w:t>
      </w:r>
      <w:r w:rsidR="00CE69D4">
        <w:rPr>
          <w:rFonts w:cstheme="minorHAnsi"/>
        </w:rPr>
        <w:t>nuity</w:t>
      </w:r>
      <w:r w:rsidR="00816145">
        <w:rPr>
          <w:rFonts w:cstheme="minorHAnsi"/>
        </w:rPr>
        <w:t xml:space="preserve">. This does not mean an end to the continuing identity of the persons though, because there </w:t>
      </w:r>
      <w:proofErr w:type="gramStart"/>
      <w:r w:rsidR="00816145">
        <w:rPr>
          <w:rFonts w:cstheme="minorHAnsi"/>
        </w:rPr>
        <w:t>still rema</w:t>
      </w:r>
      <w:r w:rsidR="00266625">
        <w:rPr>
          <w:rFonts w:cstheme="minorHAnsi"/>
        </w:rPr>
        <w:t>ins</w:t>
      </w:r>
      <w:proofErr w:type="gramEnd"/>
      <w:r w:rsidR="00266625">
        <w:rPr>
          <w:rFonts w:cstheme="minorHAnsi"/>
        </w:rPr>
        <w:t xml:space="preserve"> a psychological continuity. </w:t>
      </w:r>
      <w:r w:rsidR="00D0447E">
        <w:rPr>
          <w:rFonts w:cstheme="minorHAnsi"/>
          <w:vertAlign w:val="superscript"/>
        </w:rPr>
        <w:t>[</w:t>
      </w:r>
      <w:r w:rsidR="00FD3FCF">
        <w:rPr>
          <w:rStyle w:val="FootnoteReference"/>
          <w:rFonts w:cstheme="minorHAnsi"/>
        </w:rPr>
        <w:footnoteReference w:id="2"/>
      </w:r>
      <w:r w:rsidR="00D0447E">
        <w:rPr>
          <w:rFonts w:cstheme="minorHAnsi"/>
          <w:vertAlign w:val="superscript"/>
        </w:rPr>
        <w:t>]</w:t>
      </w:r>
    </w:p>
    <w:p w:rsidR="00006FD3" w:rsidRDefault="00816145" w:rsidP="0056026A">
      <w:pPr>
        <w:rPr>
          <w:rFonts w:cstheme="minorHAnsi"/>
        </w:rPr>
      </w:pPr>
      <w:r>
        <w:rPr>
          <w:rFonts w:cstheme="minorHAnsi"/>
        </w:rPr>
        <w:t>The Ship of Theseus can also be applied to psychological continuity</w:t>
      </w:r>
      <w:r w:rsidR="00E4214E">
        <w:rPr>
          <w:rFonts w:cstheme="minorHAnsi"/>
        </w:rPr>
        <w:t xml:space="preserve"> in a similar way to how it is applied to physical continuity. </w:t>
      </w:r>
      <w:r w:rsidR="00161120">
        <w:rPr>
          <w:rFonts w:cstheme="minorHAnsi"/>
        </w:rPr>
        <w:t>People’s characteristics</w:t>
      </w:r>
      <w:r w:rsidR="0051411F">
        <w:rPr>
          <w:rFonts w:cstheme="minorHAnsi"/>
        </w:rPr>
        <w:t xml:space="preserve">, beliefs, memories </w:t>
      </w:r>
      <w:r w:rsidR="00161120">
        <w:rPr>
          <w:rFonts w:cstheme="minorHAnsi"/>
        </w:rPr>
        <w:t xml:space="preserve">and values do generally change over time, so to what extent do they remain the same person? </w:t>
      </w:r>
      <w:r w:rsidR="00860D3B">
        <w:rPr>
          <w:rFonts w:cstheme="minorHAnsi"/>
        </w:rPr>
        <w:t>This can be explored by comparing the situation to one’</w:t>
      </w:r>
      <w:r w:rsidR="002B6F56">
        <w:rPr>
          <w:rFonts w:cstheme="minorHAnsi"/>
        </w:rPr>
        <w:t xml:space="preserve">s views of The Ship of Theseus. If you believe that The Ship of Theseus keeps its identity </w:t>
      </w:r>
      <w:proofErr w:type="gramStart"/>
      <w:r w:rsidR="002B6F56">
        <w:rPr>
          <w:rFonts w:cstheme="minorHAnsi"/>
        </w:rPr>
        <w:t>as long as</w:t>
      </w:r>
      <w:proofErr w:type="gramEnd"/>
      <w:r w:rsidR="002B6F56">
        <w:rPr>
          <w:rFonts w:cstheme="minorHAnsi"/>
        </w:rPr>
        <w:t xml:space="preserve"> some of the original planks remain then you may be tempted to think as long as some of the persons original psychological characteristics remain, they still have their personal identity. </w:t>
      </w:r>
      <w:r w:rsidR="0051411F">
        <w:rPr>
          <w:rFonts w:cstheme="minorHAnsi"/>
        </w:rPr>
        <w:t xml:space="preserve">Perhaps some psychological characteristics are valued more than others. For </w:t>
      </w:r>
      <w:r w:rsidR="00E70E2B">
        <w:rPr>
          <w:rFonts w:cstheme="minorHAnsi"/>
        </w:rPr>
        <w:t>example, John Locke believed that memories of oneself in the past were what was crucial to one’s continuing personal identity.</w:t>
      </w:r>
      <w:r w:rsidR="00F1364A">
        <w:rPr>
          <w:rFonts w:cstheme="minorHAnsi"/>
        </w:rPr>
        <w:t xml:space="preserve"> </w:t>
      </w:r>
      <w:r w:rsidR="00006FD3">
        <w:rPr>
          <w:rFonts w:cstheme="minorHAnsi"/>
          <w:vertAlign w:val="superscript"/>
        </w:rPr>
        <w:t>[</w:t>
      </w:r>
      <w:r w:rsidR="00006FD3">
        <w:rPr>
          <w:rStyle w:val="FootnoteReference"/>
          <w:rFonts w:cstheme="minorHAnsi"/>
        </w:rPr>
        <w:footnoteReference w:id="3"/>
      </w:r>
      <w:r w:rsidR="00F1364A">
        <w:rPr>
          <w:rFonts w:cstheme="minorHAnsi"/>
          <w:vertAlign w:val="superscript"/>
        </w:rPr>
        <w:t>]</w:t>
      </w:r>
      <w:r w:rsidR="00E70E2B">
        <w:rPr>
          <w:rFonts w:cstheme="minorHAnsi"/>
        </w:rPr>
        <w:t xml:space="preserve"> </w:t>
      </w:r>
      <w:r w:rsidR="00F1364A">
        <w:rPr>
          <w:rFonts w:cstheme="minorHAnsi"/>
        </w:rPr>
        <w:t xml:space="preserve">This could be paralleled with the Ship of Theseus in so much as if some or the original planks represent the earliest memories </w:t>
      </w:r>
      <w:r w:rsidR="00006FD3">
        <w:rPr>
          <w:rFonts w:cstheme="minorHAnsi"/>
        </w:rPr>
        <w:t>and newer planks represent older memories, once there are no remaining memories of the original ship (no original planks left) one may be inclined to think that although the ship is still The Ship of Theseus, it does not have any continuing identity due to there being no memory of the original, so it is a different Ship of Theseus.</w:t>
      </w:r>
    </w:p>
    <w:p w:rsidR="002B7946" w:rsidRDefault="002B6F56" w:rsidP="00E13254">
      <w:pPr>
        <w:rPr>
          <w:rFonts w:cstheme="minorHAnsi"/>
        </w:rPr>
      </w:pPr>
      <w:r>
        <w:rPr>
          <w:rFonts w:cstheme="minorHAnsi"/>
        </w:rPr>
        <w:t>Alternatively</w:t>
      </w:r>
      <w:r w:rsidR="005247DD">
        <w:rPr>
          <w:rFonts w:cstheme="minorHAnsi"/>
        </w:rPr>
        <w:t xml:space="preserve">, it could be argued that </w:t>
      </w:r>
      <w:proofErr w:type="gramStart"/>
      <w:r w:rsidR="005247DD">
        <w:rPr>
          <w:rFonts w:cstheme="minorHAnsi"/>
        </w:rPr>
        <w:t>as long as</w:t>
      </w:r>
      <w:proofErr w:type="gramEnd"/>
      <w:r w:rsidR="005247DD">
        <w:rPr>
          <w:rFonts w:cstheme="minorHAnsi"/>
        </w:rPr>
        <w:t xml:space="preserve"> there is continuity between the planks, that is to say when some are replaced it is alongside ones which were previously there, then there is continuing identity of the self. In the case of psychological continuity such as Locke’s memory focussed theory of continuity</w:t>
      </w:r>
      <w:r w:rsidR="008E15B9">
        <w:rPr>
          <w:rFonts w:cstheme="minorHAnsi"/>
        </w:rPr>
        <w:t>, the ship of entirely original planks could be the same as a ship partl</w:t>
      </w:r>
      <w:r w:rsidR="00B07AEA">
        <w:rPr>
          <w:rFonts w:cstheme="minorHAnsi"/>
        </w:rPr>
        <w:t>y consisting of original planks</w:t>
      </w:r>
      <w:r w:rsidR="008E15B9">
        <w:rPr>
          <w:rFonts w:cstheme="minorHAnsi"/>
        </w:rPr>
        <w:t xml:space="preserve"> but also of secondary planks</w:t>
      </w:r>
      <w:r w:rsidR="00B07AEA">
        <w:rPr>
          <w:rFonts w:cstheme="minorHAnsi"/>
        </w:rPr>
        <w:t>. However</w:t>
      </w:r>
      <w:r w:rsidR="00AB1760">
        <w:rPr>
          <w:rFonts w:cstheme="minorHAnsi"/>
        </w:rPr>
        <w:t>,</w:t>
      </w:r>
      <w:r w:rsidR="00B07AEA">
        <w:rPr>
          <w:rFonts w:cstheme="minorHAnsi"/>
        </w:rPr>
        <w:t xml:space="preserve"> this throws up a problem presented by Thomas Reid explained through an example: a young boy is flogged for stealing apples</w:t>
      </w:r>
      <w:r w:rsidR="00AB1760">
        <w:rPr>
          <w:rFonts w:cstheme="minorHAnsi"/>
        </w:rPr>
        <w:t>, 30 years later this boy was now a man being made an officer who had memory of the flogging of his childhood, thus he is the same person. Another 30 years later this officer has been made a general, and though he can remember being made an officer he cannot remember being flogged as a boy. By Locke’s argument the boy and general are not the same person, however the captain is both the boy and the general-this is the contradiction</w:t>
      </w:r>
      <w:r w:rsidR="00622771">
        <w:rPr>
          <w:rFonts w:cstheme="minorHAnsi"/>
        </w:rPr>
        <w:t xml:space="preserve"> in Locke’s reasoning that</w:t>
      </w:r>
      <w:r w:rsidR="00AB1760">
        <w:rPr>
          <w:rFonts w:cstheme="minorHAnsi"/>
        </w:rPr>
        <w:t xml:space="preserve"> Reid sought to </w:t>
      </w:r>
      <w:r w:rsidR="00622771">
        <w:rPr>
          <w:rFonts w:cstheme="minorHAnsi"/>
        </w:rPr>
        <w:t>bring to the surface</w:t>
      </w:r>
      <w:r w:rsidR="00AB1760">
        <w:rPr>
          <w:rFonts w:cstheme="minorHAnsi"/>
        </w:rPr>
        <w:t xml:space="preserve">. </w:t>
      </w:r>
      <w:r w:rsidR="00AB1760">
        <w:rPr>
          <w:rFonts w:cstheme="minorHAnsi"/>
          <w:vertAlign w:val="superscript"/>
        </w:rPr>
        <w:t>[</w:t>
      </w:r>
      <w:r w:rsidR="00AB1760">
        <w:rPr>
          <w:rStyle w:val="FootnoteReference"/>
          <w:rFonts w:cstheme="minorHAnsi"/>
        </w:rPr>
        <w:footnoteReference w:id="4"/>
      </w:r>
      <w:r w:rsidR="00AB1760">
        <w:rPr>
          <w:rFonts w:cstheme="minorHAnsi"/>
          <w:vertAlign w:val="superscript"/>
        </w:rPr>
        <w:t>]</w:t>
      </w:r>
      <w:r w:rsidR="00C7287A">
        <w:rPr>
          <w:rFonts w:cstheme="minorHAnsi"/>
          <w:vertAlign w:val="superscript"/>
        </w:rPr>
        <w:t xml:space="preserve"> </w:t>
      </w:r>
      <w:r w:rsidR="00292A4E">
        <w:rPr>
          <w:rFonts w:cstheme="minorHAnsi"/>
        </w:rPr>
        <w:t>When looked at in tandem to The Ship of Theseus, the contradiction can be described as such: Ship 1 (the original Ship of Theseus) is the same ship as Ship 2 (which has some original planks and some secondary planks) and Ship 2 is the same ship as Ship 3 (which has some secondary planks and some tertiary planks), but Ship 1 and Ship 3 are not the same.</w:t>
      </w:r>
      <w:r w:rsidR="007A18F1">
        <w:rPr>
          <w:rFonts w:cstheme="minorHAnsi"/>
        </w:rPr>
        <w:t xml:space="preserve"> </w:t>
      </w:r>
      <w:r w:rsidR="00EA22BD">
        <w:rPr>
          <w:rFonts w:cstheme="minorHAnsi"/>
        </w:rPr>
        <w:t xml:space="preserve">This view can be modified to accommodate for this, thus avoiding the contradiction. </w:t>
      </w:r>
      <w:r w:rsidR="002E6DB6">
        <w:rPr>
          <w:rFonts w:cstheme="minorHAnsi"/>
        </w:rPr>
        <w:t xml:space="preserve">This modification is that because there is continuity </w:t>
      </w:r>
      <w:r w:rsidR="003B276A">
        <w:rPr>
          <w:rFonts w:cstheme="minorHAnsi"/>
        </w:rPr>
        <w:t>of the memories over</w:t>
      </w:r>
      <w:r w:rsidR="002E6DB6">
        <w:rPr>
          <w:rFonts w:cstheme="minorHAnsi"/>
        </w:rPr>
        <w:t xml:space="preserve"> the three ages</w:t>
      </w:r>
      <w:r w:rsidR="003B276A">
        <w:rPr>
          <w:rFonts w:cstheme="minorHAnsi"/>
        </w:rPr>
        <w:t xml:space="preserve"> of the man in the example</w:t>
      </w:r>
      <w:r w:rsidR="002E6DB6">
        <w:rPr>
          <w:rFonts w:cstheme="minorHAnsi"/>
        </w:rPr>
        <w:t>, they remain the same person</w:t>
      </w:r>
      <w:r w:rsidR="003B276A">
        <w:rPr>
          <w:rFonts w:cstheme="minorHAnsi"/>
        </w:rPr>
        <w:t>, so have continuing identity over time, despite not having the same memories at the beginning to at the end.</w:t>
      </w:r>
    </w:p>
    <w:p w:rsidR="008C1692" w:rsidRPr="009B0900" w:rsidRDefault="00DB1B2B" w:rsidP="00E13254">
      <w:pPr>
        <w:rPr>
          <w:rFonts w:cstheme="minorHAnsi"/>
        </w:rPr>
      </w:pPr>
      <w:r>
        <w:rPr>
          <w:rFonts w:cstheme="minorHAnsi"/>
        </w:rPr>
        <w:t>Another objection to Locke’s memory theory o</w:t>
      </w:r>
      <w:r w:rsidR="0068753E">
        <w:rPr>
          <w:rFonts w:cstheme="minorHAnsi"/>
        </w:rPr>
        <w:t>f personal identity is the dup</w:t>
      </w:r>
      <w:r w:rsidR="009B0900">
        <w:rPr>
          <w:rFonts w:cstheme="minorHAnsi"/>
        </w:rPr>
        <w:t>lication problem</w:t>
      </w:r>
      <w:r w:rsidR="0068753E">
        <w:rPr>
          <w:rFonts w:cstheme="minorHAnsi"/>
        </w:rPr>
        <w:t xml:space="preserve"> </w:t>
      </w:r>
      <w:r w:rsidR="0001398D">
        <w:rPr>
          <w:rFonts w:cstheme="minorHAnsi"/>
        </w:rPr>
        <w:t>explained</w:t>
      </w:r>
      <w:r w:rsidR="0068753E">
        <w:rPr>
          <w:rFonts w:cstheme="minorHAnsi"/>
        </w:rPr>
        <w:t xml:space="preserve"> by Bernard Williams.</w:t>
      </w:r>
      <w:r w:rsidR="003E7978">
        <w:rPr>
          <w:rFonts w:cstheme="minorHAnsi"/>
        </w:rPr>
        <w:t xml:space="preserve"> </w:t>
      </w:r>
      <w:r w:rsidR="007F263E">
        <w:rPr>
          <w:rFonts w:cstheme="minorHAnsi"/>
        </w:rPr>
        <w:t xml:space="preserve">If someone has the memories of Guy Fawkes, are they then Guy Fawkes? If </w:t>
      </w:r>
      <w:r w:rsidR="004E4851">
        <w:rPr>
          <w:rFonts w:cstheme="minorHAnsi"/>
        </w:rPr>
        <w:t xml:space="preserve">it is accepted that he is, </w:t>
      </w:r>
      <w:r w:rsidR="007F263E">
        <w:rPr>
          <w:rFonts w:cstheme="minorHAnsi"/>
        </w:rPr>
        <w:t xml:space="preserve">what </w:t>
      </w:r>
      <w:r w:rsidR="00EB74D8">
        <w:rPr>
          <w:rFonts w:cstheme="minorHAnsi"/>
        </w:rPr>
        <w:t xml:space="preserve">are we to do if there are two people who have the </w:t>
      </w:r>
      <w:r w:rsidR="00EB74D8">
        <w:rPr>
          <w:rFonts w:cstheme="minorHAnsi"/>
        </w:rPr>
        <w:lastRenderedPageBreak/>
        <w:t>memories of Guy Fawkes</w:t>
      </w:r>
      <w:r w:rsidR="002E7B42">
        <w:rPr>
          <w:rFonts w:cstheme="minorHAnsi"/>
        </w:rPr>
        <w:t xml:space="preserve"> </w:t>
      </w:r>
      <w:r w:rsidR="004E4851">
        <w:rPr>
          <w:rFonts w:cstheme="minorHAnsi"/>
        </w:rPr>
        <w:t>as surely it cannot be concluded that they both have the identity of Guy</w:t>
      </w:r>
      <w:r w:rsidR="009B0900">
        <w:rPr>
          <w:rFonts w:cstheme="minorHAnsi"/>
        </w:rPr>
        <w:t xml:space="preserve"> </w:t>
      </w:r>
      <w:r w:rsidR="004E4851">
        <w:rPr>
          <w:rFonts w:cstheme="minorHAnsi"/>
        </w:rPr>
        <w:t>Fawkes.</w:t>
      </w:r>
      <w:r w:rsidR="009B0900">
        <w:rPr>
          <w:rFonts w:cstheme="minorHAnsi"/>
        </w:rPr>
        <w:t xml:space="preserve"> </w:t>
      </w:r>
      <w:r w:rsidR="009B0900">
        <w:rPr>
          <w:rFonts w:cstheme="minorHAnsi"/>
          <w:vertAlign w:val="superscript"/>
        </w:rPr>
        <w:t>[</w:t>
      </w:r>
      <w:r w:rsidR="009B0900">
        <w:rPr>
          <w:rStyle w:val="FootnoteReference"/>
          <w:rFonts w:cstheme="minorHAnsi"/>
        </w:rPr>
        <w:footnoteReference w:id="5"/>
      </w:r>
      <w:r w:rsidR="009B0900">
        <w:rPr>
          <w:rFonts w:cstheme="minorHAnsi"/>
          <w:vertAlign w:val="superscript"/>
        </w:rPr>
        <w:t xml:space="preserve">] </w:t>
      </w:r>
      <w:r w:rsidR="009B0900">
        <w:rPr>
          <w:rFonts w:cstheme="minorHAnsi"/>
        </w:rPr>
        <w:t>Here too The Ship of Theseus example is helpful as it allows us to see that it is incoherent to say that two separate beings have the same continuing identity, as it would be impossible for two ships to possess the same planks (here representing the memories).</w:t>
      </w:r>
    </w:p>
    <w:p w:rsidR="002B7946" w:rsidRPr="00D0447E" w:rsidRDefault="00C0660E" w:rsidP="002B7946">
      <w:pPr>
        <w:rPr>
          <w:rFonts w:cstheme="minorHAnsi"/>
        </w:rPr>
      </w:pPr>
      <w:r>
        <w:rPr>
          <w:rFonts w:cstheme="minorHAnsi"/>
        </w:rPr>
        <w:t>Here it has been demonstrated</w:t>
      </w:r>
      <w:r w:rsidR="00E805FB">
        <w:rPr>
          <w:rFonts w:cstheme="minorHAnsi"/>
        </w:rPr>
        <w:t xml:space="preserve"> how The Ship of T</w:t>
      </w:r>
      <w:r w:rsidR="002B7946">
        <w:rPr>
          <w:rFonts w:cstheme="minorHAnsi"/>
        </w:rPr>
        <w:t xml:space="preserve">heseus is </w:t>
      </w:r>
      <w:r w:rsidR="004C5447">
        <w:rPr>
          <w:rFonts w:cstheme="minorHAnsi"/>
        </w:rPr>
        <w:t xml:space="preserve">in fact </w:t>
      </w:r>
      <w:r w:rsidR="002B7946">
        <w:rPr>
          <w:rFonts w:cstheme="minorHAnsi"/>
        </w:rPr>
        <w:t xml:space="preserve">a </w:t>
      </w:r>
      <w:r w:rsidR="009B0900">
        <w:rPr>
          <w:rFonts w:cstheme="minorHAnsi"/>
        </w:rPr>
        <w:t xml:space="preserve">helpful </w:t>
      </w:r>
      <w:r w:rsidR="002B7946">
        <w:rPr>
          <w:rFonts w:cstheme="minorHAnsi"/>
        </w:rPr>
        <w:t>tool in discussing issues of continuing identity because the initially simple si</w:t>
      </w:r>
      <w:r w:rsidR="00E805FB">
        <w:rPr>
          <w:rFonts w:cstheme="minorHAnsi"/>
        </w:rPr>
        <w:t>t</w:t>
      </w:r>
      <w:r w:rsidR="002B7946">
        <w:rPr>
          <w:rFonts w:cstheme="minorHAnsi"/>
        </w:rPr>
        <w:t xml:space="preserve">uation it puts forward causes us to delve deeper into the issues of continuing identity to more complex </w:t>
      </w:r>
      <w:r w:rsidR="00E805FB">
        <w:rPr>
          <w:rFonts w:cstheme="minorHAnsi"/>
        </w:rPr>
        <w:t>situations such as P</w:t>
      </w:r>
      <w:r w:rsidR="00133A9B">
        <w:rPr>
          <w:rFonts w:cstheme="minorHAnsi"/>
        </w:rPr>
        <w:t>arfit’s teleportation example</w:t>
      </w:r>
      <w:r w:rsidR="00220F04">
        <w:rPr>
          <w:rFonts w:cstheme="minorHAnsi"/>
        </w:rPr>
        <w:t xml:space="preserve"> and William’s duplication problem</w:t>
      </w:r>
      <w:bookmarkStart w:id="0" w:name="_GoBack"/>
      <w:bookmarkEnd w:id="0"/>
      <w:r w:rsidR="00133A9B">
        <w:rPr>
          <w:rFonts w:cstheme="minorHAnsi"/>
        </w:rPr>
        <w:t xml:space="preserve">. Hence </w:t>
      </w:r>
      <w:r w:rsidR="00E805FB">
        <w:rPr>
          <w:rFonts w:cstheme="minorHAnsi"/>
        </w:rPr>
        <w:t>the example of the ship of T</w:t>
      </w:r>
      <w:r w:rsidR="00133A9B">
        <w:rPr>
          <w:rFonts w:cstheme="minorHAnsi"/>
        </w:rPr>
        <w:t xml:space="preserve">heseus is relevant in both the cases of physical and psychological continuity. It provides a way in which the issues of continuing identity can be visualised, thus allowing one to </w:t>
      </w:r>
      <w:r w:rsidR="009A2146">
        <w:rPr>
          <w:rFonts w:cstheme="minorHAnsi"/>
        </w:rPr>
        <w:t>grasp the issues more securely in the mind so one can decide for themselves how the issues of continuing identity</w:t>
      </w:r>
      <w:r w:rsidR="00FB25A2">
        <w:rPr>
          <w:rFonts w:cstheme="minorHAnsi"/>
        </w:rPr>
        <w:t xml:space="preserve"> can, or</w:t>
      </w:r>
      <w:r w:rsidR="009A2146">
        <w:rPr>
          <w:rFonts w:cstheme="minorHAnsi"/>
        </w:rPr>
        <w:t xml:space="preserve"> </w:t>
      </w:r>
      <w:r w:rsidR="00FB25A2">
        <w:rPr>
          <w:rFonts w:cstheme="minorHAnsi"/>
        </w:rPr>
        <w:t>should,</w:t>
      </w:r>
      <w:r w:rsidR="009A2146">
        <w:rPr>
          <w:rFonts w:cstheme="minorHAnsi"/>
        </w:rPr>
        <w:t xml:space="preserve"> be resolved.</w:t>
      </w:r>
      <w:r w:rsidR="00DB1B2B">
        <w:rPr>
          <w:rFonts w:cstheme="minorHAnsi"/>
        </w:rPr>
        <w:t xml:space="preserve"> This alternative way of viewing the problem of continuing self also aids the critique of theories as it enables us to see problems with said theories that otherwise may not have been considered. This is therefore invaluable, because after all it is only through critique that we will be able to reach the </w:t>
      </w:r>
      <w:r w:rsidR="008C4F85">
        <w:rPr>
          <w:rFonts w:cstheme="minorHAnsi"/>
        </w:rPr>
        <w:t>truth.</w:t>
      </w:r>
    </w:p>
    <w:p w:rsidR="00E13254" w:rsidRPr="002B7946" w:rsidRDefault="00E13254" w:rsidP="002B7946">
      <w:pPr>
        <w:rPr>
          <w:rFonts w:cstheme="minorHAnsi"/>
        </w:rPr>
      </w:pPr>
    </w:p>
    <w:sectPr w:rsidR="00E13254" w:rsidRPr="002B7946" w:rsidSect="00CE79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F3B10" w:rsidRDefault="002F3B10" w:rsidP="007F3892">
      <w:pPr>
        <w:spacing w:after="0" w:line="240" w:lineRule="auto"/>
      </w:pPr>
      <w:r>
        <w:separator/>
      </w:r>
    </w:p>
  </w:endnote>
  <w:endnote w:type="continuationSeparator" w:id="0">
    <w:p w:rsidR="002F3B10" w:rsidRDefault="002F3B10" w:rsidP="007F38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F3B10" w:rsidRDefault="002F3B10" w:rsidP="007F3892">
      <w:pPr>
        <w:spacing w:after="0" w:line="240" w:lineRule="auto"/>
      </w:pPr>
      <w:r>
        <w:separator/>
      </w:r>
    </w:p>
  </w:footnote>
  <w:footnote w:type="continuationSeparator" w:id="0">
    <w:p w:rsidR="002F3B10" w:rsidRDefault="002F3B10" w:rsidP="007F3892">
      <w:pPr>
        <w:spacing w:after="0" w:line="240" w:lineRule="auto"/>
      </w:pPr>
      <w:r>
        <w:continuationSeparator/>
      </w:r>
    </w:p>
  </w:footnote>
  <w:footnote w:id="1">
    <w:p w:rsidR="00266625" w:rsidRPr="00B57EE6" w:rsidRDefault="00266625">
      <w:pPr>
        <w:pStyle w:val="FootnoteText"/>
      </w:pPr>
      <w:r>
        <w:rPr>
          <w:vertAlign w:val="superscript"/>
        </w:rPr>
        <w:t>[</w:t>
      </w:r>
      <w:r>
        <w:rPr>
          <w:rStyle w:val="FootnoteReference"/>
        </w:rPr>
        <w:footnoteRef/>
      </w:r>
      <w:r>
        <w:rPr>
          <w:vertAlign w:val="superscript"/>
        </w:rPr>
        <w:t xml:space="preserve">] </w:t>
      </w:r>
      <w:r w:rsidRPr="007F3892">
        <w:t>Hayden, Gary.</w:t>
      </w:r>
      <w:r>
        <w:t xml:space="preserve"> </w:t>
      </w:r>
      <w:r w:rsidRPr="00B57EE6">
        <w:rPr>
          <w:i/>
        </w:rPr>
        <w:t>You Kant Make It Up</w:t>
      </w:r>
      <w:r>
        <w:rPr>
          <w:i/>
        </w:rPr>
        <w:t xml:space="preserve"> </w:t>
      </w:r>
      <w:r>
        <w:t xml:space="preserve">(London: </w:t>
      </w:r>
      <w:proofErr w:type="spellStart"/>
      <w:r>
        <w:t>Oneworld</w:t>
      </w:r>
      <w:proofErr w:type="spellEnd"/>
      <w:r>
        <w:t xml:space="preserve"> Publications, 2014), pg. 23-27.</w:t>
      </w:r>
    </w:p>
  </w:footnote>
  <w:footnote w:id="2">
    <w:p w:rsidR="00FD3FCF" w:rsidRDefault="00D0447E" w:rsidP="00427052">
      <w:pPr>
        <w:pStyle w:val="FootnoteText"/>
      </w:pPr>
      <w:r>
        <w:rPr>
          <w:vertAlign w:val="superscript"/>
        </w:rPr>
        <w:t>[</w:t>
      </w:r>
      <w:r w:rsidR="00FD3FCF">
        <w:rPr>
          <w:rStyle w:val="FootnoteReference"/>
        </w:rPr>
        <w:footnoteRef/>
      </w:r>
      <w:r>
        <w:rPr>
          <w:vertAlign w:val="superscript"/>
        </w:rPr>
        <w:t>]</w:t>
      </w:r>
      <w:r w:rsidR="00740600">
        <w:t xml:space="preserve"> </w:t>
      </w:r>
      <w:r w:rsidR="00443F0E">
        <w:t xml:space="preserve">Parfit, Derek. </w:t>
      </w:r>
      <w:r w:rsidR="009A2B8D">
        <w:t xml:space="preserve">“Reasons and Persons.” in Western Philosophy </w:t>
      </w:r>
      <w:proofErr w:type="gramStart"/>
      <w:r w:rsidR="009A2B8D">
        <w:t>An</w:t>
      </w:r>
      <w:proofErr w:type="gramEnd"/>
      <w:r w:rsidR="009A2B8D">
        <w:t xml:space="preserve"> Anthology, ed. John Cottingham. </w:t>
      </w:r>
      <w:r w:rsidR="00427052">
        <w:tab/>
      </w:r>
      <w:r w:rsidR="009A2B8D">
        <w:t xml:space="preserve">(Oxford: Blackwell Publishing, 2008) </w:t>
      </w:r>
      <w:proofErr w:type="spellStart"/>
      <w:r w:rsidR="009A2B8D">
        <w:t>P</w:t>
      </w:r>
      <w:r w:rsidR="00FD3FCF">
        <w:t>g</w:t>
      </w:r>
      <w:proofErr w:type="spellEnd"/>
      <w:r w:rsidR="00FD3FCF">
        <w:t xml:space="preserve"> 300</w:t>
      </w:r>
      <w:r w:rsidR="001D3F27">
        <w:t>-302</w:t>
      </w:r>
      <w:r w:rsidR="009A2B8D">
        <w:t>.</w:t>
      </w:r>
    </w:p>
  </w:footnote>
  <w:footnote w:id="3">
    <w:p w:rsidR="00006FD3" w:rsidRDefault="00006FD3" w:rsidP="00DD3A51">
      <w:pPr>
        <w:pStyle w:val="FootnoteText"/>
      </w:pPr>
      <w:r>
        <w:rPr>
          <w:vertAlign w:val="superscript"/>
        </w:rPr>
        <w:t>[</w:t>
      </w:r>
      <w:r>
        <w:rPr>
          <w:rStyle w:val="FootnoteReference"/>
        </w:rPr>
        <w:footnoteRef/>
      </w:r>
      <w:r>
        <w:rPr>
          <w:vertAlign w:val="superscript"/>
        </w:rPr>
        <w:t xml:space="preserve">] </w:t>
      </w:r>
      <w:r>
        <w:t>Lock</w:t>
      </w:r>
      <w:r w:rsidR="00E76C12">
        <w:t>e, John</w:t>
      </w:r>
      <w:r w:rsidR="001A6ABF">
        <w:t xml:space="preserve">. </w:t>
      </w:r>
      <w:r w:rsidR="00DD3A51">
        <w:t xml:space="preserve">“An Essay Concerning Human Understanding Book II: Ideas.” Aug 2007. </w:t>
      </w:r>
      <w:r w:rsidR="00DD3A51">
        <w:tab/>
      </w:r>
      <w:r w:rsidR="00DD3A51">
        <w:tab/>
      </w:r>
      <w:r w:rsidR="00DD3A51">
        <w:tab/>
        <w:t>Accessed 05 Nov 2017. Pg. 115-119.</w:t>
      </w:r>
    </w:p>
    <w:p w:rsidR="00DD3A51" w:rsidRPr="00000506" w:rsidRDefault="00DD3A51" w:rsidP="00DD3A51">
      <w:pPr>
        <w:pStyle w:val="FootnoteText"/>
        <w:rPr>
          <w:vertAlign w:val="superscript"/>
        </w:rPr>
      </w:pPr>
      <w:r>
        <w:tab/>
        <w:t>&lt;</w:t>
      </w:r>
      <w:r w:rsidRPr="00DD3A51">
        <w:t>http://www.earlymoderntexts.com/assets/pdfs/locke1690book2.pdf</w:t>
      </w:r>
      <w:r>
        <w:t>&gt;</w:t>
      </w:r>
    </w:p>
  </w:footnote>
  <w:footnote w:id="4">
    <w:p w:rsidR="00E90565" w:rsidRDefault="00E76C12">
      <w:pPr>
        <w:pStyle w:val="FootnoteText"/>
      </w:pPr>
      <w:r>
        <w:rPr>
          <w:vertAlign w:val="superscript"/>
        </w:rPr>
        <w:t>[</w:t>
      </w:r>
      <w:r w:rsidR="00AB1760">
        <w:rPr>
          <w:rStyle w:val="FootnoteReference"/>
        </w:rPr>
        <w:footnoteRef/>
      </w:r>
      <w:r>
        <w:rPr>
          <w:vertAlign w:val="superscript"/>
        </w:rPr>
        <w:t>]</w:t>
      </w:r>
      <w:r w:rsidR="00740600">
        <w:t xml:space="preserve"> Speaks, Jeff.</w:t>
      </w:r>
      <w:r w:rsidR="00740600" w:rsidRPr="00740600">
        <w:t xml:space="preserve"> </w:t>
      </w:r>
      <w:r w:rsidR="00740600">
        <w:t>“Thomas Reid on personal identity.”</w:t>
      </w:r>
      <w:r w:rsidR="00E90565">
        <w:t xml:space="preserve"> 05 Oct 2006. Accessed 06 Nov 2017.</w:t>
      </w:r>
      <w:r w:rsidR="00740600">
        <w:t xml:space="preserve"> </w:t>
      </w:r>
      <w:r w:rsidR="00E90565">
        <w:t xml:space="preserve"> </w:t>
      </w:r>
      <w:r w:rsidR="00E90565">
        <w:tab/>
      </w:r>
      <w:r w:rsidR="00E90565">
        <w:tab/>
      </w:r>
      <w:r w:rsidR="00E90565">
        <w:tab/>
      </w:r>
      <w:proofErr w:type="spellStart"/>
      <w:r w:rsidR="00E90565">
        <w:t>Pg</w:t>
      </w:r>
      <w:proofErr w:type="spellEnd"/>
      <w:r w:rsidR="00E90565">
        <w:t xml:space="preserve"> 5-6. </w:t>
      </w:r>
    </w:p>
    <w:p w:rsidR="00AB1760" w:rsidRPr="00E76C12" w:rsidRDefault="00E90565" w:rsidP="00E90565">
      <w:pPr>
        <w:pStyle w:val="FootnoteText"/>
        <w:ind w:firstLine="720"/>
      </w:pPr>
      <w:r>
        <w:t>&lt;</w:t>
      </w:r>
      <w:r w:rsidRPr="00E90565">
        <w:t>https://www3.nd.edu/~jspeaks/courses/2006-7/20208/reid-personal-identity.pdf</w:t>
      </w:r>
      <w:r>
        <w:t>&gt;</w:t>
      </w:r>
    </w:p>
  </w:footnote>
  <w:footnote w:id="5">
    <w:p w:rsidR="009B0900" w:rsidRDefault="009B0900">
      <w:pPr>
        <w:pStyle w:val="FootnoteText"/>
      </w:pPr>
      <w:r>
        <w:rPr>
          <w:vertAlign w:val="superscript"/>
        </w:rPr>
        <w:t>[</w:t>
      </w:r>
      <w:r>
        <w:rPr>
          <w:rStyle w:val="FootnoteReference"/>
        </w:rPr>
        <w:footnoteRef/>
      </w:r>
      <w:r>
        <w:rPr>
          <w:vertAlign w:val="superscript"/>
        </w:rPr>
        <w:t xml:space="preserve">] </w:t>
      </w:r>
      <w:r>
        <w:t>Williams, Bernard</w:t>
      </w:r>
      <w:r w:rsidR="00021D6B">
        <w:t>. “Personal Identity and Individuation.”</w:t>
      </w:r>
      <w:r w:rsidR="00554268">
        <w:t xml:space="preserve"> Wiley. 11 Mar 1957. Accessed 06 Nov 2017. </w:t>
      </w:r>
      <w:r w:rsidR="00554268">
        <w:tab/>
      </w:r>
      <w:r w:rsidR="00554268">
        <w:tab/>
        <w:t xml:space="preserve">Pg. 237-241. </w:t>
      </w:r>
    </w:p>
    <w:p w:rsidR="00554268" w:rsidRDefault="00554268">
      <w:pPr>
        <w:pStyle w:val="FootnoteText"/>
      </w:pPr>
      <w:r>
        <w:tab/>
        <w:t>&lt;</w:t>
      </w:r>
      <w:r w:rsidRPr="00554268">
        <w:t>http://www.jstor.org/stable/pdf/4544578.pdf</w:t>
      </w:r>
      <w:r>
        <w:t>&gt;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561331"/>
    <w:multiLevelType w:val="hybridMultilevel"/>
    <w:tmpl w:val="67EADF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1C6"/>
    <w:rsid w:val="00000506"/>
    <w:rsid w:val="00006FD3"/>
    <w:rsid w:val="00011C02"/>
    <w:rsid w:val="00013936"/>
    <w:rsid w:val="0001398D"/>
    <w:rsid w:val="00021D6B"/>
    <w:rsid w:val="000239E4"/>
    <w:rsid w:val="00050F8E"/>
    <w:rsid w:val="00094670"/>
    <w:rsid w:val="000C16BA"/>
    <w:rsid w:val="00133A9B"/>
    <w:rsid w:val="00161120"/>
    <w:rsid w:val="0016609F"/>
    <w:rsid w:val="00181A2D"/>
    <w:rsid w:val="001A6ABF"/>
    <w:rsid w:val="001D3F27"/>
    <w:rsid w:val="001E00EB"/>
    <w:rsid w:val="00220F04"/>
    <w:rsid w:val="00266625"/>
    <w:rsid w:val="00292A4E"/>
    <w:rsid w:val="002B6F56"/>
    <w:rsid w:val="002B7946"/>
    <w:rsid w:val="002E6DB6"/>
    <w:rsid w:val="002E7B42"/>
    <w:rsid w:val="002F3B10"/>
    <w:rsid w:val="00307F39"/>
    <w:rsid w:val="00310421"/>
    <w:rsid w:val="00340282"/>
    <w:rsid w:val="0035376E"/>
    <w:rsid w:val="00382A20"/>
    <w:rsid w:val="003B276A"/>
    <w:rsid w:val="003E7978"/>
    <w:rsid w:val="004050DE"/>
    <w:rsid w:val="00406A4C"/>
    <w:rsid w:val="00427052"/>
    <w:rsid w:val="00443F0E"/>
    <w:rsid w:val="0048160A"/>
    <w:rsid w:val="00483386"/>
    <w:rsid w:val="004C5447"/>
    <w:rsid w:val="004E4851"/>
    <w:rsid w:val="0051411F"/>
    <w:rsid w:val="00516641"/>
    <w:rsid w:val="005247DD"/>
    <w:rsid w:val="005307D4"/>
    <w:rsid w:val="00554268"/>
    <w:rsid w:val="0056026A"/>
    <w:rsid w:val="005833B2"/>
    <w:rsid w:val="005B2462"/>
    <w:rsid w:val="005B350E"/>
    <w:rsid w:val="005E15E8"/>
    <w:rsid w:val="006210C4"/>
    <w:rsid w:val="00622771"/>
    <w:rsid w:val="00626FF5"/>
    <w:rsid w:val="00640A0A"/>
    <w:rsid w:val="00641D4D"/>
    <w:rsid w:val="0068753E"/>
    <w:rsid w:val="006A737E"/>
    <w:rsid w:val="006B0340"/>
    <w:rsid w:val="006B3FF1"/>
    <w:rsid w:val="0070789A"/>
    <w:rsid w:val="0072197A"/>
    <w:rsid w:val="00740600"/>
    <w:rsid w:val="00773407"/>
    <w:rsid w:val="0079173D"/>
    <w:rsid w:val="00795ACD"/>
    <w:rsid w:val="00796642"/>
    <w:rsid w:val="007A18F1"/>
    <w:rsid w:val="007F263E"/>
    <w:rsid w:val="007F3892"/>
    <w:rsid w:val="00816145"/>
    <w:rsid w:val="00860D3B"/>
    <w:rsid w:val="008671AC"/>
    <w:rsid w:val="008800D3"/>
    <w:rsid w:val="008B171C"/>
    <w:rsid w:val="008B2CD4"/>
    <w:rsid w:val="008B38CB"/>
    <w:rsid w:val="008B68ED"/>
    <w:rsid w:val="008C1692"/>
    <w:rsid w:val="008C4F85"/>
    <w:rsid w:val="008E15B9"/>
    <w:rsid w:val="008E29C5"/>
    <w:rsid w:val="0096337B"/>
    <w:rsid w:val="009713EE"/>
    <w:rsid w:val="00973E01"/>
    <w:rsid w:val="00992893"/>
    <w:rsid w:val="009949C5"/>
    <w:rsid w:val="009950EC"/>
    <w:rsid w:val="009A2146"/>
    <w:rsid w:val="009A2B8D"/>
    <w:rsid w:val="009B0900"/>
    <w:rsid w:val="009B79A3"/>
    <w:rsid w:val="009F5B66"/>
    <w:rsid w:val="00A24D07"/>
    <w:rsid w:val="00AB1760"/>
    <w:rsid w:val="00B07AEA"/>
    <w:rsid w:val="00B12F70"/>
    <w:rsid w:val="00B23744"/>
    <w:rsid w:val="00B57EE6"/>
    <w:rsid w:val="00B63F68"/>
    <w:rsid w:val="00C061C6"/>
    <w:rsid w:val="00C0660E"/>
    <w:rsid w:val="00C64EE6"/>
    <w:rsid w:val="00C7287A"/>
    <w:rsid w:val="00CE69D4"/>
    <w:rsid w:val="00CE7928"/>
    <w:rsid w:val="00CF3CCB"/>
    <w:rsid w:val="00D0447E"/>
    <w:rsid w:val="00D167E1"/>
    <w:rsid w:val="00D233BF"/>
    <w:rsid w:val="00D65E24"/>
    <w:rsid w:val="00D81A7A"/>
    <w:rsid w:val="00D84454"/>
    <w:rsid w:val="00D94B24"/>
    <w:rsid w:val="00DB1B2B"/>
    <w:rsid w:val="00DD3A51"/>
    <w:rsid w:val="00E02B2E"/>
    <w:rsid w:val="00E13254"/>
    <w:rsid w:val="00E41F4B"/>
    <w:rsid w:val="00E4214E"/>
    <w:rsid w:val="00E70E2B"/>
    <w:rsid w:val="00E76C12"/>
    <w:rsid w:val="00E805FB"/>
    <w:rsid w:val="00E87886"/>
    <w:rsid w:val="00E90565"/>
    <w:rsid w:val="00EA22BD"/>
    <w:rsid w:val="00EB6615"/>
    <w:rsid w:val="00EB74D8"/>
    <w:rsid w:val="00EE7D22"/>
    <w:rsid w:val="00F1364A"/>
    <w:rsid w:val="00F47BD7"/>
    <w:rsid w:val="00F653A5"/>
    <w:rsid w:val="00F671D0"/>
    <w:rsid w:val="00F73A44"/>
    <w:rsid w:val="00FA25A1"/>
    <w:rsid w:val="00FB25A2"/>
    <w:rsid w:val="00FD3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68B586"/>
  <w15:chartTrackingRefBased/>
  <w15:docId w15:val="{E1A918BA-E3E7-4FF2-BD4F-94B1A7A22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E7928"/>
  </w:style>
  <w:style w:type="paragraph" w:styleId="Heading1">
    <w:name w:val="heading 1"/>
    <w:basedOn w:val="Normal"/>
    <w:next w:val="Normal"/>
    <w:link w:val="Heading1Char"/>
    <w:uiPriority w:val="9"/>
    <w:qFormat/>
    <w:rsid w:val="00E87886"/>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061C6"/>
    <w:rPr>
      <w:color w:val="0000FF"/>
      <w:u w:val="single"/>
    </w:rPr>
  </w:style>
  <w:style w:type="paragraph" w:styleId="ListParagraph">
    <w:name w:val="List Paragraph"/>
    <w:basedOn w:val="Normal"/>
    <w:uiPriority w:val="34"/>
    <w:qFormat/>
    <w:rsid w:val="00795ACD"/>
    <w:pPr>
      <w:ind w:left="720"/>
      <w:contextualSpacing/>
    </w:pPr>
  </w:style>
  <w:style w:type="paragraph" w:styleId="EndnoteText">
    <w:name w:val="endnote text"/>
    <w:basedOn w:val="Normal"/>
    <w:link w:val="EndnoteTextChar"/>
    <w:uiPriority w:val="99"/>
    <w:semiHidden/>
    <w:unhideWhenUsed/>
    <w:rsid w:val="007F389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F3892"/>
    <w:rPr>
      <w:sz w:val="20"/>
      <w:szCs w:val="20"/>
    </w:rPr>
  </w:style>
  <w:style w:type="character" w:styleId="EndnoteReference">
    <w:name w:val="endnote reference"/>
    <w:basedOn w:val="DefaultParagraphFont"/>
    <w:uiPriority w:val="99"/>
    <w:semiHidden/>
    <w:unhideWhenUsed/>
    <w:rsid w:val="007F3892"/>
    <w:rPr>
      <w:vertAlign w:val="superscript"/>
    </w:rPr>
  </w:style>
  <w:style w:type="paragraph" w:styleId="FootnoteText">
    <w:name w:val="footnote text"/>
    <w:basedOn w:val="Normal"/>
    <w:link w:val="FootnoteTextChar"/>
    <w:uiPriority w:val="99"/>
    <w:semiHidden/>
    <w:unhideWhenUsed/>
    <w:rsid w:val="007F389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F3892"/>
    <w:rPr>
      <w:sz w:val="20"/>
      <w:szCs w:val="20"/>
    </w:rPr>
  </w:style>
  <w:style w:type="character" w:styleId="FootnoteReference">
    <w:name w:val="footnote reference"/>
    <w:basedOn w:val="DefaultParagraphFont"/>
    <w:uiPriority w:val="99"/>
    <w:semiHidden/>
    <w:unhideWhenUsed/>
    <w:rsid w:val="007F3892"/>
    <w:rPr>
      <w:vertAlign w:val="superscript"/>
    </w:rPr>
  </w:style>
  <w:style w:type="character" w:customStyle="1" w:styleId="Heading1Char">
    <w:name w:val="Heading 1 Char"/>
    <w:basedOn w:val="DefaultParagraphFont"/>
    <w:link w:val="Heading1"/>
    <w:uiPriority w:val="9"/>
    <w:rsid w:val="00E87886"/>
    <w:rPr>
      <w:rFonts w:asciiTheme="majorHAnsi" w:eastAsiaTheme="majorEastAsia" w:hAnsiTheme="majorHAnsi" w:cstheme="majorBidi"/>
      <w:color w:val="365F91"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29E8F5-5D01-4E09-8FC3-E2B63B6D47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1542</TotalTime>
  <Pages>3</Pages>
  <Words>1295</Words>
  <Characters>7388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indi</dc:creator>
  <cp:keywords/>
  <dc:description/>
  <cp:lastModifiedBy>indi</cp:lastModifiedBy>
  <cp:revision>86</cp:revision>
  <dcterms:created xsi:type="dcterms:W3CDTF">2017-10-31T12:27:00Z</dcterms:created>
  <dcterms:modified xsi:type="dcterms:W3CDTF">2017-11-07T19:02:00Z</dcterms:modified>
</cp:coreProperties>
</file>