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5D8538" w14:textId="77777777" w:rsidR="008C71C6" w:rsidRDefault="008C71C6" w:rsidP="008C71C6">
      <w:pPr>
        <w:jc w:val="center"/>
      </w:pPr>
      <w:r>
        <w:rPr>
          <w:noProof/>
        </w:rPr>
        <mc:AlternateContent>
          <mc:Choice Requires="wpg">
            <w:drawing>
              <wp:anchor distT="0" distB="0" distL="114300" distR="114300" simplePos="0" relativeHeight="251660288" behindDoc="0" locked="0" layoutInCell="1" allowOverlap="1" wp14:anchorId="51A5CA2C" wp14:editId="6049D1A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66D635"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AFCBB14" wp14:editId="1CA1A5B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AC27BC" w14:textId="77777777" w:rsidR="008C71C6" w:rsidRDefault="008C71C6" w:rsidP="008C71C6">
                            <w:pPr>
                              <w:pStyle w:val="NoSpacing"/>
                              <w:jc w:val="center"/>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AFCBB14" id="_x0000_t202" coordsize="21600,21600" o:spt="202" path="m,l,21600r21600,l21600,xe">
                <v:stroke joinstyle="miter"/>
                <v:path gradientshapeok="t" o:connecttype="rect"/>
              </v:shapetype>
              <v:shape id="Text Box 153" o:spid="_x0000_s1026" type="#_x0000_t202" style="position:absolute;left:0;text-align:left;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38AC27BC" w14:textId="77777777" w:rsidR="008C71C6" w:rsidRDefault="008C71C6" w:rsidP="008C71C6">
                      <w:pPr>
                        <w:pStyle w:val="NoSpacing"/>
                        <w:jc w:val="center"/>
                        <w:rPr>
                          <w:color w:val="595959" w:themeColor="text1" w:themeTint="A6"/>
                          <w:sz w:val="20"/>
                          <w:szCs w:val="20"/>
                        </w:rPr>
                      </w:pPr>
                    </w:p>
                  </w:txbxContent>
                </v:textbox>
                <w10:wrap type="square" anchorx="page" anchory="page"/>
              </v:shape>
            </w:pict>
          </mc:Fallback>
        </mc:AlternateContent>
      </w:r>
    </w:p>
    <w:p w14:paraId="47CC9208" w14:textId="77777777" w:rsidR="008C71C6" w:rsidRPr="008236FF" w:rsidRDefault="008C71C6" w:rsidP="008C71C6">
      <w:pPr>
        <w:jc w:val="center"/>
      </w:pPr>
    </w:p>
    <w:p w14:paraId="0E0B0AD6" w14:textId="77777777" w:rsidR="008C71C6" w:rsidRDefault="008C71C6" w:rsidP="008C71C6">
      <w:pPr>
        <w:jc w:val="center"/>
        <w:rPr>
          <w:b/>
          <w:bCs/>
          <w:i/>
          <w:iCs/>
          <w:sz w:val="40"/>
          <w:szCs w:val="40"/>
        </w:rPr>
      </w:pPr>
      <w:r w:rsidRPr="008236FF">
        <w:rPr>
          <w:noProof/>
        </w:rPr>
        <w:drawing>
          <wp:inline distT="0" distB="0" distL="0" distR="0" wp14:anchorId="005F20D8" wp14:editId="5C7BBD42">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58AB639F" w14:textId="77777777" w:rsidR="008C71C6" w:rsidRDefault="008C71C6" w:rsidP="008C71C6">
      <w:pPr>
        <w:jc w:val="center"/>
        <w:rPr>
          <w:b/>
          <w:bCs/>
          <w:i/>
          <w:iCs/>
          <w:sz w:val="40"/>
          <w:szCs w:val="40"/>
        </w:rPr>
      </w:pPr>
    </w:p>
    <w:p w14:paraId="4219A739" w14:textId="77777777" w:rsidR="008C71C6" w:rsidRPr="008236FF" w:rsidRDefault="008C71C6" w:rsidP="008C71C6">
      <w:pPr>
        <w:jc w:val="center"/>
        <w:rPr>
          <w:sz w:val="40"/>
          <w:szCs w:val="40"/>
        </w:rPr>
      </w:pPr>
      <w:r w:rsidRPr="008236FF">
        <w:rPr>
          <w:b/>
          <w:bCs/>
          <w:i/>
          <w:iCs/>
          <w:sz w:val="40"/>
          <w:szCs w:val="40"/>
        </w:rPr>
        <w:t>Programme: BA Business Management</w:t>
      </w:r>
    </w:p>
    <w:p w14:paraId="6D311517" w14:textId="77777777" w:rsidR="008C71C6" w:rsidRPr="008236FF" w:rsidRDefault="008C71C6" w:rsidP="008C71C6">
      <w:pPr>
        <w:jc w:val="center"/>
        <w:rPr>
          <w:b/>
          <w:bCs/>
          <w:i/>
          <w:iCs/>
          <w:sz w:val="40"/>
          <w:szCs w:val="40"/>
        </w:rPr>
      </w:pPr>
      <w:r>
        <w:rPr>
          <w:b/>
          <w:bCs/>
          <w:i/>
          <w:iCs/>
          <w:sz w:val="40"/>
          <w:szCs w:val="40"/>
        </w:rPr>
        <w:t>Module</w:t>
      </w:r>
      <w:r w:rsidRPr="008236FF">
        <w:rPr>
          <w:b/>
          <w:bCs/>
          <w:i/>
          <w:iCs/>
          <w:sz w:val="40"/>
          <w:szCs w:val="40"/>
        </w:rPr>
        <w:t xml:space="preserve"> code:</w:t>
      </w:r>
      <w:r w:rsidRPr="008236FF">
        <w:rPr>
          <w:sz w:val="40"/>
          <w:szCs w:val="40"/>
        </w:rPr>
        <w:t xml:space="preserve"> </w:t>
      </w:r>
      <w:r w:rsidRPr="00875A56">
        <w:rPr>
          <w:b/>
          <w:bCs/>
          <w:i/>
          <w:iCs/>
          <w:sz w:val="40"/>
          <w:szCs w:val="40"/>
        </w:rPr>
        <w:t>LCBB500</w:t>
      </w:r>
      <w:r>
        <w:rPr>
          <w:b/>
          <w:bCs/>
          <w:i/>
          <w:iCs/>
          <w:sz w:val="40"/>
          <w:szCs w:val="40"/>
        </w:rPr>
        <w:t>4</w:t>
      </w:r>
    </w:p>
    <w:p w14:paraId="0F02F5F7" w14:textId="77777777" w:rsidR="008C71C6" w:rsidRDefault="008C71C6" w:rsidP="008C71C6">
      <w:pPr>
        <w:jc w:val="center"/>
        <w:rPr>
          <w:b/>
          <w:bCs/>
          <w:i/>
          <w:iCs/>
          <w:sz w:val="40"/>
          <w:szCs w:val="40"/>
        </w:rPr>
      </w:pPr>
      <w:r>
        <w:rPr>
          <w:b/>
          <w:bCs/>
          <w:i/>
          <w:iCs/>
          <w:sz w:val="40"/>
          <w:szCs w:val="40"/>
        </w:rPr>
        <w:t>Module</w:t>
      </w:r>
      <w:r w:rsidRPr="008236FF">
        <w:rPr>
          <w:b/>
          <w:bCs/>
          <w:i/>
          <w:iCs/>
          <w:sz w:val="40"/>
          <w:szCs w:val="40"/>
        </w:rPr>
        <w:t xml:space="preserve"> name:</w:t>
      </w:r>
      <w:r w:rsidRPr="008236FF">
        <w:rPr>
          <w:sz w:val="40"/>
          <w:szCs w:val="40"/>
        </w:rPr>
        <w:t xml:space="preserve"> </w:t>
      </w:r>
      <w:r>
        <w:rPr>
          <w:b/>
          <w:bCs/>
          <w:i/>
          <w:iCs/>
          <w:sz w:val="40"/>
          <w:szCs w:val="40"/>
        </w:rPr>
        <w:t>Managing people</w:t>
      </w:r>
    </w:p>
    <w:p w14:paraId="7FA2B9B4" w14:textId="77777777" w:rsidR="008C71C6" w:rsidRPr="008236FF" w:rsidRDefault="008C71C6" w:rsidP="008C71C6">
      <w:pPr>
        <w:jc w:val="center"/>
        <w:rPr>
          <w:b/>
          <w:bCs/>
          <w:i/>
          <w:iCs/>
          <w:sz w:val="40"/>
          <w:szCs w:val="40"/>
        </w:rPr>
      </w:pPr>
    </w:p>
    <w:p w14:paraId="20BB1857" w14:textId="2BC7E3A5" w:rsidR="008C71C6" w:rsidRDefault="008C71C6" w:rsidP="008C71C6">
      <w:pPr>
        <w:jc w:val="center"/>
        <w:rPr>
          <w:b/>
          <w:bCs/>
          <w:i/>
          <w:iCs/>
          <w:sz w:val="40"/>
          <w:szCs w:val="40"/>
        </w:rPr>
      </w:pPr>
      <w:r w:rsidRPr="008236FF">
        <w:rPr>
          <w:b/>
          <w:bCs/>
          <w:i/>
          <w:iCs/>
          <w:sz w:val="40"/>
          <w:szCs w:val="40"/>
        </w:rPr>
        <w:t xml:space="preserve">Assessment </w:t>
      </w:r>
      <w:r>
        <w:rPr>
          <w:b/>
          <w:bCs/>
          <w:i/>
          <w:iCs/>
          <w:sz w:val="40"/>
          <w:szCs w:val="40"/>
        </w:rPr>
        <w:t>2</w:t>
      </w:r>
    </w:p>
    <w:p w14:paraId="2E750DEE" w14:textId="7955FC22" w:rsidR="006436C6" w:rsidRDefault="006436C6" w:rsidP="008C71C6">
      <w:pPr>
        <w:jc w:val="center"/>
        <w:rPr>
          <w:b/>
          <w:bCs/>
          <w:i/>
          <w:iCs/>
          <w:sz w:val="40"/>
          <w:szCs w:val="40"/>
        </w:rPr>
      </w:pPr>
      <w:r>
        <w:rPr>
          <w:b/>
          <w:bCs/>
          <w:i/>
          <w:iCs/>
          <w:sz w:val="40"/>
          <w:szCs w:val="40"/>
        </w:rPr>
        <w:t>Report</w:t>
      </w:r>
    </w:p>
    <w:p w14:paraId="44A19573" w14:textId="77777777" w:rsidR="008C71C6" w:rsidRPr="008236FF" w:rsidRDefault="008C71C6" w:rsidP="008C71C6">
      <w:pPr>
        <w:rPr>
          <w:b/>
          <w:bCs/>
          <w:i/>
          <w:iCs/>
        </w:rPr>
      </w:pPr>
    </w:p>
    <w:p w14:paraId="05EF4070" w14:textId="77777777" w:rsidR="008C71C6" w:rsidRPr="008236FF" w:rsidRDefault="008C71C6" w:rsidP="008C71C6">
      <w:pPr>
        <w:rPr>
          <w:b/>
          <w:bCs/>
          <w:i/>
          <w:iCs/>
        </w:rPr>
      </w:pPr>
    </w:p>
    <w:p w14:paraId="4687AC21" w14:textId="77777777" w:rsidR="008C71C6" w:rsidRDefault="008C71C6" w:rsidP="008C71C6">
      <w:pPr>
        <w:rPr>
          <w:sz w:val="40"/>
          <w:szCs w:val="40"/>
        </w:rPr>
      </w:pPr>
      <w:r w:rsidRPr="008236FF">
        <w:rPr>
          <w:sz w:val="40"/>
          <w:szCs w:val="40"/>
          <w:u w:val="single"/>
        </w:rPr>
        <w:t xml:space="preserve">Summited by: </w:t>
      </w:r>
      <w:r w:rsidRPr="008236FF">
        <w:rPr>
          <w:sz w:val="40"/>
          <w:szCs w:val="40"/>
        </w:rPr>
        <w:t xml:space="preserve">      Sebastian Gabriel Boncu     </w:t>
      </w:r>
    </w:p>
    <w:p w14:paraId="5DE3449B" w14:textId="77777777" w:rsidR="008C71C6" w:rsidRPr="001D1612" w:rsidRDefault="008C71C6" w:rsidP="008C71C6">
      <w:pPr>
        <w:rPr>
          <w:sz w:val="40"/>
          <w:szCs w:val="40"/>
        </w:rPr>
      </w:pPr>
      <w:r w:rsidRPr="001D1612">
        <w:rPr>
          <w:sz w:val="40"/>
          <w:szCs w:val="40"/>
          <w:u w:val="single"/>
        </w:rPr>
        <w:t>Student number:</w:t>
      </w:r>
      <w:r w:rsidRPr="001D1612">
        <w:rPr>
          <w:sz w:val="40"/>
          <w:szCs w:val="40"/>
        </w:rPr>
        <w:t xml:space="preserve"> 2011090</w:t>
      </w:r>
    </w:p>
    <w:p w14:paraId="72CBC73F" w14:textId="77777777" w:rsidR="008C71C6" w:rsidRDefault="008C71C6" w:rsidP="008C71C6">
      <w:pPr>
        <w:rPr>
          <w:sz w:val="40"/>
          <w:szCs w:val="40"/>
          <w:u w:val="single"/>
        </w:rPr>
      </w:pPr>
    </w:p>
    <w:p w14:paraId="0EA7AD08" w14:textId="7D18642C" w:rsidR="008C71C6" w:rsidRDefault="008C71C6" w:rsidP="008C71C6">
      <w:pPr>
        <w:rPr>
          <w:sz w:val="40"/>
          <w:szCs w:val="40"/>
        </w:rPr>
      </w:pPr>
      <w:r>
        <w:rPr>
          <w:sz w:val="40"/>
          <w:szCs w:val="40"/>
          <w:u w:val="single"/>
        </w:rPr>
        <w:t xml:space="preserve">Summited to: </w:t>
      </w:r>
      <w:r w:rsidRPr="001D1612">
        <w:rPr>
          <w:sz w:val="40"/>
          <w:szCs w:val="40"/>
        </w:rPr>
        <w:t xml:space="preserve">   </w:t>
      </w:r>
      <w:r>
        <w:rPr>
          <w:sz w:val="40"/>
          <w:szCs w:val="40"/>
        </w:rPr>
        <w:t xml:space="preserve">  </w:t>
      </w:r>
      <w:r w:rsidR="006436C6" w:rsidRPr="006436C6">
        <w:rPr>
          <w:sz w:val="40"/>
          <w:szCs w:val="40"/>
        </w:rPr>
        <w:t xml:space="preserve">Charles </w:t>
      </w:r>
      <w:proofErr w:type="spellStart"/>
      <w:r w:rsidR="006436C6" w:rsidRPr="006436C6">
        <w:rPr>
          <w:sz w:val="40"/>
          <w:szCs w:val="40"/>
        </w:rPr>
        <w:t>Oham</w:t>
      </w:r>
      <w:proofErr w:type="spellEnd"/>
      <w:r>
        <w:rPr>
          <w:sz w:val="40"/>
          <w:szCs w:val="40"/>
        </w:rPr>
        <w:t xml:space="preserve"> </w:t>
      </w:r>
    </w:p>
    <w:p w14:paraId="4852D6A4" w14:textId="72B69078" w:rsidR="00905310" w:rsidRDefault="00905310"/>
    <w:p w14:paraId="60D14FFE" w14:textId="58F69B9D" w:rsidR="006436C6" w:rsidRDefault="006436C6"/>
    <w:p w14:paraId="07BCB5CC" w14:textId="6D970BD4" w:rsidR="006436C6" w:rsidRDefault="006436C6"/>
    <w:p w14:paraId="56ADB11C" w14:textId="60706AFE" w:rsidR="006436C6" w:rsidRDefault="006436C6"/>
    <w:p w14:paraId="661DB0EB" w14:textId="685C2497" w:rsidR="00EE1789" w:rsidRDefault="00EE1789" w:rsidP="00EE1789">
      <w:pPr>
        <w:rPr>
          <w:rFonts w:ascii="Arial" w:hAnsi="Arial" w:cs="Arial"/>
          <w:sz w:val="40"/>
          <w:szCs w:val="40"/>
        </w:rPr>
      </w:pPr>
    </w:p>
    <w:sdt>
      <w:sdtPr>
        <w:id w:val="10815706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12DD966" w14:textId="7656A6E5" w:rsidR="00BD025D" w:rsidRDefault="00BD025D" w:rsidP="00BD025D">
          <w:pPr>
            <w:pStyle w:val="TOCHeading"/>
            <w:jc w:val="center"/>
            <w:rPr>
              <w:rFonts w:ascii="Arial" w:hAnsi="Arial" w:cs="Arial"/>
              <w:b/>
              <w:bCs/>
              <w:color w:val="000000" w:themeColor="text1"/>
            </w:rPr>
          </w:pPr>
          <w:r>
            <w:t xml:space="preserve"> </w:t>
          </w:r>
          <w:r w:rsidRPr="00BD025D">
            <w:rPr>
              <w:rFonts w:ascii="Arial" w:hAnsi="Arial" w:cs="Arial"/>
              <w:b/>
              <w:bCs/>
              <w:color w:val="000000" w:themeColor="text1"/>
            </w:rPr>
            <w:t>Table of Contents</w:t>
          </w:r>
        </w:p>
        <w:p w14:paraId="754D9786" w14:textId="3CBAE518" w:rsidR="00BD025D" w:rsidRDefault="00BD025D" w:rsidP="00BD025D">
          <w:pPr>
            <w:rPr>
              <w:lang w:val="en-US"/>
            </w:rPr>
          </w:pPr>
        </w:p>
        <w:p w14:paraId="68F39578" w14:textId="77777777" w:rsidR="00BD025D" w:rsidRPr="00BD025D" w:rsidRDefault="00BD025D" w:rsidP="00BD025D">
          <w:pPr>
            <w:rPr>
              <w:rFonts w:ascii="Arial" w:hAnsi="Arial" w:cs="Arial"/>
              <w:sz w:val="24"/>
              <w:szCs w:val="24"/>
              <w:lang w:val="en-US"/>
            </w:rPr>
          </w:pPr>
        </w:p>
        <w:p w14:paraId="6DCA303A" w14:textId="2523FB4E" w:rsidR="00BD025D" w:rsidRPr="00BD025D" w:rsidRDefault="00BD025D">
          <w:pPr>
            <w:pStyle w:val="TOC1"/>
            <w:tabs>
              <w:tab w:val="right" w:leader="dot" w:pos="9016"/>
            </w:tabs>
            <w:rPr>
              <w:rFonts w:ascii="Arial" w:hAnsi="Arial" w:cs="Arial"/>
              <w:noProof/>
              <w:sz w:val="24"/>
              <w:szCs w:val="24"/>
            </w:rPr>
          </w:pPr>
          <w:r w:rsidRPr="00BD025D">
            <w:rPr>
              <w:rFonts w:ascii="Arial" w:hAnsi="Arial" w:cs="Arial"/>
              <w:sz w:val="24"/>
              <w:szCs w:val="24"/>
            </w:rPr>
            <w:fldChar w:fldCharType="begin"/>
          </w:r>
          <w:r w:rsidRPr="00BD025D">
            <w:rPr>
              <w:rFonts w:ascii="Arial" w:hAnsi="Arial" w:cs="Arial"/>
              <w:sz w:val="24"/>
              <w:szCs w:val="24"/>
            </w:rPr>
            <w:instrText xml:space="preserve"> TOC \o "1-3" \h \z \u </w:instrText>
          </w:r>
          <w:r w:rsidRPr="00BD025D">
            <w:rPr>
              <w:rFonts w:ascii="Arial" w:hAnsi="Arial" w:cs="Arial"/>
              <w:sz w:val="24"/>
              <w:szCs w:val="24"/>
            </w:rPr>
            <w:fldChar w:fldCharType="separate"/>
          </w:r>
          <w:hyperlink w:anchor="_Toc102595294" w:history="1">
            <w:r w:rsidRPr="00BD025D">
              <w:rPr>
                <w:rStyle w:val="Hyperlink"/>
                <w:rFonts w:ascii="Arial" w:hAnsi="Arial" w:cs="Arial"/>
                <w:noProof/>
                <w:sz w:val="24"/>
                <w:szCs w:val="24"/>
              </w:rPr>
              <w:t>Introduction</w:t>
            </w:r>
            <w:r w:rsidRPr="00BD025D">
              <w:rPr>
                <w:rFonts w:ascii="Arial" w:hAnsi="Arial" w:cs="Arial"/>
                <w:noProof/>
                <w:webHidden/>
                <w:sz w:val="24"/>
                <w:szCs w:val="24"/>
              </w:rPr>
              <w:tab/>
            </w:r>
            <w:r w:rsidRPr="00BD025D">
              <w:rPr>
                <w:rFonts w:ascii="Arial" w:hAnsi="Arial" w:cs="Arial"/>
                <w:noProof/>
                <w:webHidden/>
                <w:sz w:val="24"/>
                <w:szCs w:val="24"/>
              </w:rPr>
              <w:fldChar w:fldCharType="begin"/>
            </w:r>
            <w:r w:rsidRPr="00BD025D">
              <w:rPr>
                <w:rFonts w:ascii="Arial" w:hAnsi="Arial" w:cs="Arial"/>
                <w:noProof/>
                <w:webHidden/>
                <w:sz w:val="24"/>
                <w:szCs w:val="24"/>
              </w:rPr>
              <w:instrText xml:space="preserve"> PAGEREF _Toc102595294 \h </w:instrText>
            </w:r>
            <w:r w:rsidRPr="00BD025D">
              <w:rPr>
                <w:rFonts w:ascii="Arial" w:hAnsi="Arial" w:cs="Arial"/>
                <w:noProof/>
                <w:webHidden/>
                <w:sz w:val="24"/>
                <w:szCs w:val="24"/>
              </w:rPr>
            </w:r>
            <w:r w:rsidRPr="00BD025D">
              <w:rPr>
                <w:rFonts w:ascii="Arial" w:hAnsi="Arial" w:cs="Arial"/>
                <w:noProof/>
                <w:webHidden/>
                <w:sz w:val="24"/>
                <w:szCs w:val="24"/>
              </w:rPr>
              <w:fldChar w:fldCharType="separate"/>
            </w:r>
            <w:r w:rsidRPr="00BD025D">
              <w:rPr>
                <w:rFonts w:ascii="Arial" w:hAnsi="Arial" w:cs="Arial"/>
                <w:noProof/>
                <w:webHidden/>
                <w:sz w:val="24"/>
                <w:szCs w:val="24"/>
              </w:rPr>
              <w:t>3</w:t>
            </w:r>
            <w:r w:rsidRPr="00BD025D">
              <w:rPr>
                <w:rFonts w:ascii="Arial" w:hAnsi="Arial" w:cs="Arial"/>
                <w:noProof/>
                <w:webHidden/>
                <w:sz w:val="24"/>
                <w:szCs w:val="24"/>
              </w:rPr>
              <w:fldChar w:fldCharType="end"/>
            </w:r>
          </w:hyperlink>
        </w:p>
        <w:p w14:paraId="00A91CC8" w14:textId="13DE49E0" w:rsidR="00BD025D" w:rsidRPr="00BD025D" w:rsidRDefault="00BD025D">
          <w:pPr>
            <w:pStyle w:val="TOC1"/>
            <w:tabs>
              <w:tab w:val="right" w:leader="dot" w:pos="9016"/>
            </w:tabs>
            <w:rPr>
              <w:rFonts w:ascii="Arial" w:hAnsi="Arial" w:cs="Arial"/>
              <w:noProof/>
              <w:sz w:val="24"/>
              <w:szCs w:val="24"/>
            </w:rPr>
          </w:pPr>
          <w:hyperlink w:anchor="_Toc102595295" w:history="1">
            <w:r w:rsidRPr="00BD025D">
              <w:rPr>
                <w:rStyle w:val="Hyperlink"/>
                <w:rFonts w:ascii="Arial" w:hAnsi="Arial" w:cs="Arial"/>
                <w:noProof/>
                <w:sz w:val="24"/>
                <w:szCs w:val="24"/>
              </w:rPr>
              <w:t>Concept of employee engagement</w:t>
            </w:r>
            <w:r w:rsidRPr="00BD025D">
              <w:rPr>
                <w:rFonts w:ascii="Arial" w:hAnsi="Arial" w:cs="Arial"/>
                <w:noProof/>
                <w:webHidden/>
                <w:sz w:val="24"/>
                <w:szCs w:val="24"/>
              </w:rPr>
              <w:tab/>
            </w:r>
            <w:r w:rsidRPr="00BD025D">
              <w:rPr>
                <w:rFonts w:ascii="Arial" w:hAnsi="Arial" w:cs="Arial"/>
                <w:noProof/>
                <w:webHidden/>
                <w:sz w:val="24"/>
                <w:szCs w:val="24"/>
              </w:rPr>
              <w:fldChar w:fldCharType="begin"/>
            </w:r>
            <w:r w:rsidRPr="00BD025D">
              <w:rPr>
                <w:rFonts w:ascii="Arial" w:hAnsi="Arial" w:cs="Arial"/>
                <w:noProof/>
                <w:webHidden/>
                <w:sz w:val="24"/>
                <w:szCs w:val="24"/>
              </w:rPr>
              <w:instrText xml:space="preserve"> PAGEREF _Toc102595295 \h </w:instrText>
            </w:r>
            <w:r w:rsidRPr="00BD025D">
              <w:rPr>
                <w:rFonts w:ascii="Arial" w:hAnsi="Arial" w:cs="Arial"/>
                <w:noProof/>
                <w:webHidden/>
                <w:sz w:val="24"/>
                <w:szCs w:val="24"/>
              </w:rPr>
            </w:r>
            <w:r w:rsidRPr="00BD025D">
              <w:rPr>
                <w:rFonts w:ascii="Arial" w:hAnsi="Arial" w:cs="Arial"/>
                <w:noProof/>
                <w:webHidden/>
                <w:sz w:val="24"/>
                <w:szCs w:val="24"/>
              </w:rPr>
              <w:fldChar w:fldCharType="separate"/>
            </w:r>
            <w:r w:rsidRPr="00BD025D">
              <w:rPr>
                <w:rFonts w:ascii="Arial" w:hAnsi="Arial" w:cs="Arial"/>
                <w:noProof/>
                <w:webHidden/>
                <w:sz w:val="24"/>
                <w:szCs w:val="24"/>
              </w:rPr>
              <w:t>3</w:t>
            </w:r>
            <w:r w:rsidRPr="00BD025D">
              <w:rPr>
                <w:rFonts w:ascii="Arial" w:hAnsi="Arial" w:cs="Arial"/>
                <w:noProof/>
                <w:webHidden/>
                <w:sz w:val="24"/>
                <w:szCs w:val="24"/>
              </w:rPr>
              <w:fldChar w:fldCharType="end"/>
            </w:r>
          </w:hyperlink>
        </w:p>
        <w:p w14:paraId="72C1D3EF" w14:textId="4FA9A74A" w:rsidR="00BD025D" w:rsidRPr="00BD025D" w:rsidRDefault="00BD025D">
          <w:pPr>
            <w:pStyle w:val="TOC1"/>
            <w:tabs>
              <w:tab w:val="right" w:leader="dot" w:pos="9016"/>
            </w:tabs>
            <w:rPr>
              <w:rFonts w:ascii="Arial" w:hAnsi="Arial" w:cs="Arial"/>
              <w:noProof/>
              <w:sz w:val="24"/>
              <w:szCs w:val="24"/>
            </w:rPr>
          </w:pPr>
          <w:hyperlink w:anchor="_Toc102595296" w:history="1">
            <w:r w:rsidRPr="00BD025D">
              <w:rPr>
                <w:rStyle w:val="Hyperlink"/>
                <w:rFonts w:ascii="Arial" w:hAnsi="Arial" w:cs="Arial"/>
                <w:noProof/>
                <w:sz w:val="24"/>
                <w:szCs w:val="24"/>
              </w:rPr>
              <w:t>Drivers of Employee Engagement</w:t>
            </w:r>
            <w:r w:rsidRPr="00BD025D">
              <w:rPr>
                <w:rFonts w:ascii="Arial" w:hAnsi="Arial" w:cs="Arial"/>
                <w:noProof/>
                <w:webHidden/>
                <w:sz w:val="24"/>
                <w:szCs w:val="24"/>
              </w:rPr>
              <w:tab/>
            </w:r>
            <w:r w:rsidRPr="00BD025D">
              <w:rPr>
                <w:rFonts w:ascii="Arial" w:hAnsi="Arial" w:cs="Arial"/>
                <w:noProof/>
                <w:webHidden/>
                <w:sz w:val="24"/>
                <w:szCs w:val="24"/>
              </w:rPr>
              <w:fldChar w:fldCharType="begin"/>
            </w:r>
            <w:r w:rsidRPr="00BD025D">
              <w:rPr>
                <w:rFonts w:ascii="Arial" w:hAnsi="Arial" w:cs="Arial"/>
                <w:noProof/>
                <w:webHidden/>
                <w:sz w:val="24"/>
                <w:szCs w:val="24"/>
              </w:rPr>
              <w:instrText xml:space="preserve"> PAGEREF _Toc102595296 \h </w:instrText>
            </w:r>
            <w:r w:rsidRPr="00BD025D">
              <w:rPr>
                <w:rFonts w:ascii="Arial" w:hAnsi="Arial" w:cs="Arial"/>
                <w:noProof/>
                <w:webHidden/>
                <w:sz w:val="24"/>
                <w:szCs w:val="24"/>
              </w:rPr>
            </w:r>
            <w:r w:rsidRPr="00BD025D">
              <w:rPr>
                <w:rFonts w:ascii="Arial" w:hAnsi="Arial" w:cs="Arial"/>
                <w:noProof/>
                <w:webHidden/>
                <w:sz w:val="24"/>
                <w:szCs w:val="24"/>
              </w:rPr>
              <w:fldChar w:fldCharType="separate"/>
            </w:r>
            <w:r w:rsidRPr="00BD025D">
              <w:rPr>
                <w:rFonts w:ascii="Arial" w:hAnsi="Arial" w:cs="Arial"/>
                <w:noProof/>
                <w:webHidden/>
                <w:sz w:val="24"/>
                <w:szCs w:val="24"/>
              </w:rPr>
              <w:t>4</w:t>
            </w:r>
            <w:r w:rsidRPr="00BD025D">
              <w:rPr>
                <w:rFonts w:ascii="Arial" w:hAnsi="Arial" w:cs="Arial"/>
                <w:noProof/>
                <w:webHidden/>
                <w:sz w:val="24"/>
                <w:szCs w:val="24"/>
              </w:rPr>
              <w:fldChar w:fldCharType="end"/>
            </w:r>
          </w:hyperlink>
        </w:p>
        <w:p w14:paraId="10EC6945" w14:textId="03DF728D" w:rsidR="00BD025D" w:rsidRPr="00BD025D" w:rsidRDefault="00BD025D">
          <w:pPr>
            <w:pStyle w:val="TOC1"/>
            <w:tabs>
              <w:tab w:val="right" w:leader="dot" w:pos="9016"/>
            </w:tabs>
            <w:rPr>
              <w:rFonts w:ascii="Arial" w:hAnsi="Arial" w:cs="Arial"/>
              <w:noProof/>
              <w:sz w:val="24"/>
              <w:szCs w:val="24"/>
            </w:rPr>
          </w:pPr>
          <w:hyperlink w:anchor="_Toc102595297" w:history="1">
            <w:r w:rsidRPr="00BD025D">
              <w:rPr>
                <w:rStyle w:val="Hyperlink"/>
                <w:rFonts w:ascii="Arial" w:hAnsi="Arial" w:cs="Arial"/>
                <w:noProof/>
                <w:sz w:val="24"/>
                <w:szCs w:val="24"/>
              </w:rPr>
              <w:t>Evaluation of the diagnostic tools to measure engagement</w:t>
            </w:r>
            <w:r w:rsidRPr="00BD025D">
              <w:rPr>
                <w:rFonts w:ascii="Arial" w:hAnsi="Arial" w:cs="Arial"/>
                <w:noProof/>
                <w:webHidden/>
                <w:sz w:val="24"/>
                <w:szCs w:val="24"/>
              </w:rPr>
              <w:tab/>
            </w:r>
            <w:r w:rsidRPr="00BD025D">
              <w:rPr>
                <w:rFonts w:ascii="Arial" w:hAnsi="Arial" w:cs="Arial"/>
                <w:noProof/>
                <w:webHidden/>
                <w:sz w:val="24"/>
                <w:szCs w:val="24"/>
              </w:rPr>
              <w:fldChar w:fldCharType="begin"/>
            </w:r>
            <w:r w:rsidRPr="00BD025D">
              <w:rPr>
                <w:rFonts w:ascii="Arial" w:hAnsi="Arial" w:cs="Arial"/>
                <w:noProof/>
                <w:webHidden/>
                <w:sz w:val="24"/>
                <w:szCs w:val="24"/>
              </w:rPr>
              <w:instrText xml:space="preserve"> PAGEREF _Toc102595297 \h </w:instrText>
            </w:r>
            <w:r w:rsidRPr="00BD025D">
              <w:rPr>
                <w:rFonts w:ascii="Arial" w:hAnsi="Arial" w:cs="Arial"/>
                <w:noProof/>
                <w:webHidden/>
                <w:sz w:val="24"/>
                <w:szCs w:val="24"/>
              </w:rPr>
            </w:r>
            <w:r w:rsidRPr="00BD025D">
              <w:rPr>
                <w:rFonts w:ascii="Arial" w:hAnsi="Arial" w:cs="Arial"/>
                <w:noProof/>
                <w:webHidden/>
                <w:sz w:val="24"/>
                <w:szCs w:val="24"/>
              </w:rPr>
              <w:fldChar w:fldCharType="separate"/>
            </w:r>
            <w:r w:rsidRPr="00BD025D">
              <w:rPr>
                <w:rFonts w:ascii="Arial" w:hAnsi="Arial" w:cs="Arial"/>
                <w:noProof/>
                <w:webHidden/>
                <w:sz w:val="24"/>
                <w:szCs w:val="24"/>
              </w:rPr>
              <w:t>6</w:t>
            </w:r>
            <w:r w:rsidRPr="00BD025D">
              <w:rPr>
                <w:rFonts w:ascii="Arial" w:hAnsi="Arial" w:cs="Arial"/>
                <w:noProof/>
                <w:webHidden/>
                <w:sz w:val="24"/>
                <w:szCs w:val="24"/>
              </w:rPr>
              <w:fldChar w:fldCharType="end"/>
            </w:r>
          </w:hyperlink>
        </w:p>
        <w:p w14:paraId="588F3B3B" w14:textId="7A730A2F" w:rsidR="00BD025D" w:rsidRPr="00BD025D" w:rsidRDefault="00BD025D">
          <w:pPr>
            <w:pStyle w:val="TOC1"/>
            <w:tabs>
              <w:tab w:val="right" w:leader="dot" w:pos="9016"/>
            </w:tabs>
            <w:rPr>
              <w:rFonts w:ascii="Arial" w:hAnsi="Arial" w:cs="Arial"/>
              <w:noProof/>
              <w:sz w:val="24"/>
              <w:szCs w:val="24"/>
            </w:rPr>
          </w:pPr>
          <w:hyperlink w:anchor="_Toc102595298" w:history="1">
            <w:r w:rsidRPr="00BD025D">
              <w:rPr>
                <w:rStyle w:val="Hyperlink"/>
                <w:rFonts w:ascii="Arial" w:hAnsi="Arial" w:cs="Arial"/>
                <w:noProof/>
                <w:sz w:val="24"/>
                <w:szCs w:val="24"/>
              </w:rPr>
              <w:t>Strategies to raise levels of engagement.</w:t>
            </w:r>
            <w:r w:rsidRPr="00BD025D">
              <w:rPr>
                <w:rFonts w:ascii="Arial" w:hAnsi="Arial" w:cs="Arial"/>
                <w:noProof/>
                <w:webHidden/>
                <w:sz w:val="24"/>
                <w:szCs w:val="24"/>
              </w:rPr>
              <w:tab/>
            </w:r>
            <w:r w:rsidRPr="00BD025D">
              <w:rPr>
                <w:rFonts w:ascii="Arial" w:hAnsi="Arial" w:cs="Arial"/>
                <w:noProof/>
                <w:webHidden/>
                <w:sz w:val="24"/>
                <w:szCs w:val="24"/>
              </w:rPr>
              <w:fldChar w:fldCharType="begin"/>
            </w:r>
            <w:r w:rsidRPr="00BD025D">
              <w:rPr>
                <w:rFonts w:ascii="Arial" w:hAnsi="Arial" w:cs="Arial"/>
                <w:noProof/>
                <w:webHidden/>
                <w:sz w:val="24"/>
                <w:szCs w:val="24"/>
              </w:rPr>
              <w:instrText xml:space="preserve"> PAGEREF _Toc102595298 \h </w:instrText>
            </w:r>
            <w:r w:rsidRPr="00BD025D">
              <w:rPr>
                <w:rFonts w:ascii="Arial" w:hAnsi="Arial" w:cs="Arial"/>
                <w:noProof/>
                <w:webHidden/>
                <w:sz w:val="24"/>
                <w:szCs w:val="24"/>
              </w:rPr>
            </w:r>
            <w:r w:rsidRPr="00BD025D">
              <w:rPr>
                <w:rFonts w:ascii="Arial" w:hAnsi="Arial" w:cs="Arial"/>
                <w:noProof/>
                <w:webHidden/>
                <w:sz w:val="24"/>
                <w:szCs w:val="24"/>
              </w:rPr>
              <w:fldChar w:fldCharType="separate"/>
            </w:r>
            <w:r w:rsidRPr="00BD025D">
              <w:rPr>
                <w:rFonts w:ascii="Arial" w:hAnsi="Arial" w:cs="Arial"/>
                <w:noProof/>
                <w:webHidden/>
                <w:sz w:val="24"/>
                <w:szCs w:val="24"/>
              </w:rPr>
              <w:t>7</w:t>
            </w:r>
            <w:r w:rsidRPr="00BD025D">
              <w:rPr>
                <w:rFonts w:ascii="Arial" w:hAnsi="Arial" w:cs="Arial"/>
                <w:noProof/>
                <w:webHidden/>
                <w:sz w:val="24"/>
                <w:szCs w:val="24"/>
              </w:rPr>
              <w:fldChar w:fldCharType="end"/>
            </w:r>
          </w:hyperlink>
        </w:p>
        <w:p w14:paraId="09E024FF" w14:textId="276AB146" w:rsidR="00BD025D" w:rsidRPr="00BD025D" w:rsidRDefault="00BD025D">
          <w:pPr>
            <w:pStyle w:val="TOC1"/>
            <w:tabs>
              <w:tab w:val="right" w:leader="dot" w:pos="9016"/>
            </w:tabs>
            <w:rPr>
              <w:rFonts w:ascii="Arial" w:hAnsi="Arial" w:cs="Arial"/>
              <w:noProof/>
              <w:sz w:val="24"/>
              <w:szCs w:val="24"/>
            </w:rPr>
          </w:pPr>
          <w:hyperlink w:anchor="_Toc102595299" w:history="1">
            <w:r w:rsidRPr="00BD025D">
              <w:rPr>
                <w:rStyle w:val="Hyperlink"/>
                <w:rFonts w:ascii="Arial" w:hAnsi="Arial" w:cs="Arial"/>
                <w:noProof/>
                <w:sz w:val="24"/>
                <w:szCs w:val="24"/>
              </w:rPr>
              <w:t>Conclusion</w:t>
            </w:r>
            <w:r w:rsidRPr="00BD025D">
              <w:rPr>
                <w:rFonts w:ascii="Arial" w:hAnsi="Arial" w:cs="Arial"/>
                <w:noProof/>
                <w:webHidden/>
                <w:sz w:val="24"/>
                <w:szCs w:val="24"/>
              </w:rPr>
              <w:tab/>
            </w:r>
            <w:r w:rsidRPr="00BD025D">
              <w:rPr>
                <w:rFonts w:ascii="Arial" w:hAnsi="Arial" w:cs="Arial"/>
                <w:noProof/>
                <w:webHidden/>
                <w:sz w:val="24"/>
                <w:szCs w:val="24"/>
              </w:rPr>
              <w:fldChar w:fldCharType="begin"/>
            </w:r>
            <w:r w:rsidRPr="00BD025D">
              <w:rPr>
                <w:rFonts w:ascii="Arial" w:hAnsi="Arial" w:cs="Arial"/>
                <w:noProof/>
                <w:webHidden/>
                <w:sz w:val="24"/>
                <w:szCs w:val="24"/>
              </w:rPr>
              <w:instrText xml:space="preserve"> PAGEREF _Toc102595299 \h </w:instrText>
            </w:r>
            <w:r w:rsidRPr="00BD025D">
              <w:rPr>
                <w:rFonts w:ascii="Arial" w:hAnsi="Arial" w:cs="Arial"/>
                <w:noProof/>
                <w:webHidden/>
                <w:sz w:val="24"/>
                <w:szCs w:val="24"/>
              </w:rPr>
            </w:r>
            <w:r w:rsidRPr="00BD025D">
              <w:rPr>
                <w:rFonts w:ascii="Arial" w:hAnsi="Arial" w:cs="Arial"/>
                <w:noProof/>
                <w:webHidden/>
                <w:sz w:val="24"/>
                <w:szCs w:val="24"/>
              </w:rPr>
              <w:fldChar w:fldCharType="separate"/>
            </w:r>
            <w:r w:rsidRPr="00BD025D">
              <w:rPr>
                <w:rFonts w:ascii="Arial" w:hAnsi="Arial" w:cs="Arial"/>
                <w:noProof/>
                <w:webHidden/>
                <w:sz w:val="24"/>
                <w:szCs w:val="24"/>
              </w:rPr>
              <w:t>7</w:t>
            </w:r>
            <w:r w:rsidRPr="00BD025D">
              <w:rPr>
                <w:rFonts w:ascii="Arial" w:hAnsi="Arial" w:cs="Arial"/>
                <w:noProof/>
                <w:webHidden/>
                <w:sz w:val="24"/>
                <w:szCs w:val="24"/>
              </w:rPr>
              <w:fldChar w:fldCharType="end"/>
            </w:r>
          </w:hyperlink>
        </w:p>
        <w:p w14:paraId="76F806F3" w14:textId="3E6C55AD" w:rsidR="00BD025D" w:rsidRPr="00BD025D" w:rsidRDefault="00BD025D">
          <w:pPr>
            <w:pStyle w:val="TOC1"/>
            <w:tabs>
              <w:tab w:val="right" w:leader="dot" w:pos="9016"/>
            </w:tabs>
            <w:rPr>
              <w:rFonts w:ascii="Arial" w:hAnsi="Arial" w:cs="Arial"/>
              <w:noProof/>
              <w:sz w:val="24"/>
              <w:szCs w:val="24"/>
            </w:rPr>
          </w:pPr>
          <w:hyperlink w:anchor="_Toc102595300" w:history="1">
            <w:r w:rsidRPr="00BD025D">
              <w:rPr>
                <w:rStyle w:val="Hyperlink"/>
                <w:rFonts w:ascii="Arial" w:hAnsi="Arial" w:cs="Arial"/>
                <w:noProof/>
                <w:sz w:val="24"/>
                <w:szCs w:val="24"/>
              </w:rPr>
              <w:t>References</w:t>
            </w:r>
            <w:r w:rsidRPr="00BD025D">
              <w:rPr>
                <w:rFonts w:ascii="Arial" w:hAnsi="Arial" w:cs="Arial"/>
                <w:noProof/>
                <w:webHidden/>
                <w:sz w:val="24"/>
                <w:szCs w:val="24"/>
              </w:rPr>
              <w:tab/>
            </w:r>
            <w:r w:rsidRPr="00BD025D">
              <w:rPr>
                <w:rFonts w:ascii="Arial" w:hAnsi="Arial" w:cs="Arial"/>
                <w:noProof/>
                <w:webHidden/>
                <w:sz w:val="24"/>
                <w:szCs w:val="24"/>
              </w:rPr>
              <w:fldChar w:fldCharType="begin"/>
            </w:r>
            <w:r w:rsidRPr="00BD025D">
              <w:rPr>
                <w:rFonts w:ascii="Arial" w:hAnsi="Arial" w:cs="Arial"/>
                <w:noProof/>
                <w:webHidden/>
                <w:sz w:val="24"/>
                <w:szCs w:val="24"/>
              </w:rPr>
              <w:instrText xml:space="preserve"> PAGEREF _Toc102595300 \h </w:instrText>
            </w:r>
            <w:r w:rsidRPr="00BD025D">
              <w:rPr>
                <w:rFonts w:ascii="Arial" w:hAnsi="Arial" w:cs="Arial"/>
                <w:noProof/>
                <w:webHidden/>
                <w:sz w:val="24"/>
                <w:szCs w:val="24"/>
              </w:rPr>
            </w:r>
            <w:r w:rsidRPr="00BD025D">
              <w:rPr>
                <w:rFonts w:ascii="Arial" w:hAnsi="Arial" w:cs="Arial"/>
                <w:noProof/>
                <w:webHidden/>
                <w:sz w:val="24"/>
                <w:szCs w:val="24"/>
              </w:rPr>
              <w:fldChar w:fldCharType="separate"/>
            </w:r>
            <w:r w:rsidRPr="00BD025D">
              <w:rPr>
                <w:rFonts w:ascii="Arial" w:hAnsi="Arial" w:cs="Arial"/>
                <w:noProof/>
                <w:webHidden/>
                <w:sz w:val="24"/>
                <w:szCs w:val="24"/>
              </w:rPr>
              <w:t>8</w:t>
            </w:r>
            <w:r w:rsidRPr="00BD025D">
              <w:rPr>
                <w:rFonts w:ascii="Arial" w:hAnsi="Arial" w:cs="Arial"/>
                <w:noProof/>
                <w:webHidden/>
                <w:sz w:val="24"/>
                <w:szCs w:val="24"/>
              </w:rPr>
              <w:fldChar w:fldCharType="end"/>
            </w:r>
          </w:hyperlink>
        </w:p>
        <w:p w14:paraId="56F9BE1F" w14:textId="5D1F958D" w:rsidR="00BD025D" w:rsidRDefault="00BD025D">
          <w:r w:rsidRPr="00BD025D">
            <w:rPr>
              <w:rFonts w:ascii="Arial" w:hAnsi="Arial" w:cs="Arial"/>
              <w:b/>
              <w:bCs/>
              <w:noProof/>
              <w:sz w:val="24"/>
              <w:szCs w:val="24"/>
            </w:rPr>
            <w:fldChar w:fldCharType="end"/>
          </w:r>
        </w:p>
      </w:sdtContent>
    </w:sdt>
    <w:p w14:paraId="0407477D" w14:textId="46968975" w:rsidR="00AE1BBC" w:rsidRDefault="00AE1BBC" w:rsidP="00EE1789">
      <w:pPr>
        <w:rPr>
          <w:rFonts w:ascii="Arial" w:hAnsi="Arial" w:cs="Arial"/>
          <w:sz w:val="40"/>
          <w:szCs w:val="40"/>
        </w:rPr>
      </w:pPr>
    </w:p>
    <w:p w14:paraId="18242AA4" w14:textId="3E84A6F3" w:rsidR="009A467A" w:rsidRDefault="009A467A" w:rsidP="00EE1789">
      <w:pPr>
        <w:rPr>
          <w:rFonts w:ascii="Arial" w:hAnsi="Arial" w:cs="Arial"/>
          <w:sz w:val="40"/>
          <w:szCs w:val="40"/>
        </w:rPr>
      </w:pPr>
    </w:p>
    <w:p w14:paraId="02059C29" w14:textId="2C44893E" w:rsidR="009A467A" w:rsidRDefault="009A467A" w:rsidP="00EE1789">
      <w:pPr>
        <w:rPr>
          <w:rFonts w:ascii="Arial" w:hAnsi="Arial" w:cs="Arial"/>
          <w:sz w:val="40"/>
          <w:szCs w:val="40"/>
        </w:rPr>
      </w:pPr>
    </w:p>
    <w:p w14:paraId="5C51D9C7" w14:textId="4B1C985C" w:rsidR="009A467A" w:rsidRDefault="009A467A" w:rsidP="00EE1789">
      <w:pPr>
        <w:rPr>
          <w:rFonts w:ascii="Arial" w:hAnsi="Arial" w:cs="Arial"/>
          <w:sz w:val="40"/>
          <w:szCs w:val="40"/>
        </w:rPr>
      </w:pPr>
    </w:p>
    <w:p w14:paraId="230DDEEF" w14:textId="662E44AC" w:rsidR="009A467A" w:rsidRDefault="009A467A" w:rsidP="00EE1789">
      <w:pPr>
        <w:rPr>
          <w:rFonts w:ascii="Arial" w:hAnsi="Arial" w:cs="Arial"/>
          <w:sz w:val="40"/>
          <w:szCs w:val="40"/>
        </w:rPr>
      </w:pPr>
    </w:p>
    <w:p w14:paraId="180D7020" w14:textId="569335D8" w:rsidR="009A467A" w:rsidRDefault="009A467A" w:rsidP="00EE1789">
      <w:pPr>
        <w:rPr>
          <w:rFonts w:ascii="Arial" w:hAnsi="Arial" w:cs="Arial"/>
          <w:sz w:val="40"/>
          <w:szCs w:val="40"/>
        </w:rPr>
      </w:pPr>
    </w:p>
    <w:p w14:paraId="68857E7A" w14:textId="6451F472" w:rsidR="009A467A" w:rsidRDefault="009A467A" w:rsidP="00EE1789">
      <w:pPr>
        <w:rPr>
          <w:rFonts w:ascii="Arial" w:hAnsi="Arial" w:cs="Arial"/>
          <w:sz w:val="40"/>
          <w:szCs w:val="40"/>
        </w:rPr>
      </w:pPr>
    </w:p>
    <w:p w14:paraId="371BA95C" w14:textId="3B3CF022" w:rsidR="009A467A" w:rsidRDefault="009A467A" w:rsidP="00EE1789">
      <w:pPr>
        <w:rPr>
          <w:rFonts w:ascii="Arial" w:hAnsi="Arial" w:cs="Arial"/>
          <w:sz w:val="40"/>
          <w:szCs w:val="40"/>
        </w:rPr>
      </w:pPr>
    </w:p>
    <w:p w14:paraId="2BD52DA8" w14:textId="2C454FB0" w:rsidR="009A467A" w:rsidRDefault="009A467A" w:rsidP="00EE1789">
      <w:pPr>
        <w:rPr>
          <w:rFonts w:ascii="Arial" w:hAnsi="Arial" w:cs="Arial"/>
          <w:sz w:val="40"/>
          <w:szCs w:val="40"/>
        </w:rPr>
      </w:pPr>
    </w:p>
    <w:p w14:paraId="7A0EDB9D" w14:textId="270C1D95" w:rsidR="009A467A" w:rsidRDefault="009A467A" w:rsidP="00EE1789">
      <w:pPr>
        <w:rPr>
          <w:rFonts w:ascii="Arial" w:hAnsi="Arial" w:cs="Arial"/>
          <w:sz w:val="40"/>
          <w:szCs w:val="40"/>
        </w:rPr>
      </w:pPr>
    </w:p>
    <w:p w14:paraId="36E1C75B" w14:textId="28641F66" w:rsidR="009A467A" w:rsidRDefault="009A467A" w:rsidP="00EE1789">
      <w:pPr>
        <w:rPr>
          <w:rFonts w:ascii="Arial" w:hAnsi="Arial" w:cs="Arial"/>
          <w:sz w:val="40"/>
          <w:szCs w:val="40"/>
        </w:rPr>
      </w:pPr>
    </w:p>
    <w:p w14:paraId="2415599C" w14:textId="77777777" w:rsidR="00BD025D" w:rsidRDefault="00BD025D" w:rsidP="00EE1789">
      <w:pPr>
        <w:rPr>
          <w:rFonts w:ascii="Arial" w:hAnsi="Arial" w:cs="Arial"/>
          <w:sz w:val="40"/>
          <w:szCs w:val="40"/>
        </w:rPr>
      </w:pPr>
    </w:p>
    <w:p w14:paraId="20ABE825" w14:textId="77777777" w:rsidR="009A467A" w:rsidRDefault="009A467A" w:rsidP="00EE1789">
      <w:pPr>
        <w:rPr>
          <w:rFonts w:ascii="Arial" w:hAnsi="Arial" w:cs="Arial"/>
          <w:sz w:val="40"/>
          <w:szCs w:val="40"/>
        </w:rPr>
      </w:pPr>
    </w:p>
    <w:p w14:paraId="620177D1" w14:textId="31B80FFE" w:rsidR="006436C6" w:rsidRPr="00BD025D" w:rsidRDefault="00C27CFF" w:rsidP="00BD025D">
      <w:pPr>
        <w:pStyle w:val="Heading1"/>
        <w:rPr>
          <w:rFonts w:ascii="Arial" w:hAnsi="Arial" w:cs="Arial"/>
          <w:b/>
          <w:bCs/>
          <w:color w:val="000000" w:themeColor="text1"/>
        </w:rPr>
      </w:pPr>
      <w:bookmarkStart w:id="0" w:name="_Toc102595294"/>
      <w:r w:rsidRPr="00BD025D">
        <w:rPr>
          <w:rFonts w:ascii="Arial" w:hAnsi="Arial" w:cs="Arial"/>
          <w:b/>
          <w:bCs/>
          <w:color w:val="000000" w:themeColor="text1"/>
        </w:rPr>
        <w:t>Introduction</w:t>
      </w:r>
      <w:bookmarkEnd w:id="0"/>
    </w:p>
    <w:p w14:paraId="7D4A55C4" w14:textId="11DE31BB" w:rsidR="00C27CFF" w:rsidRPr="00BD025D" w:rsidRDefault="00C27CFF" w:rsidP="00C27CFF">
      <w:pPr>
        <w:rPr>
          <w:rFonts w:ascii="Arial" w:hAnsi="Arial" w:cs="Arial"/>
          <w:b/>
          <w:bCs/>
          <w:color w:val="000000" w:themeColor="text1"/>
        </w:rPr>
      </w:pPr>
    </w:p>
    <w:p w14:paraId="14268237" w14:textId="618DFD74" w:rsidR="00C27CFF" w:rsidRDefault="004C7DB9" w:rsidP="001F230D">
      <w:pPr>
        <w:spacing w:line="360" w:lineRule="auto"/>
        <w:rPr>
          <w:rFonts w:ascii="Arial" w:hAnsi="Arial" w:cs="Arial"/>
        </w:rPr>
      </w:pPr>
      <w:r w:rsidRPr="004C7DB9">
        <w:rPr>
          <w:rFonts w:ascii="Arial" w:hAnsi="Arial" w:cs="Arial"/>
        </w:rPr>
        <w:t>According to a variety of studies, including a YouGov survey and CIPD study, the majority of workers wish to continue working from home at least portion of the time after the pandemic, giving new potential for organisations to build new methods of working.</w:t>
      </w:r>
      <w:r w:rsidR="00573A5A" w:rsidRPr="00573A5A">
        <w:t xml:space="preserve"> </w:t>
      </w:r>
      <w:r w:rsidR="00573A5A" w:rsidRPr="00573A5A">
        <w:rPr>
          <w:rFonts w:ascii="Arial" w:hAnsi="Arial" w:cs="Arial"/>
        </w:rPr>
        <w:t>While some employees wish to work from home full-time following the pandemic, the majority would prefer a balance in which they are at the office for part of the week and at home for the rest. As a result, a relatively new word has emerged: hybrid working. Many organisations are now thinking about what the term "hybrid" means for them, how they will fulfil this new employee demand, and what will be required in order for these new methods of working to be effective.</w:t>
      </w:r>
    </w:p>
    <w:p w14:paraId="1F413CA9" w14:textId="02B9987C" w:rsidR="009F09F3" w:rsidRDefault="009F09F3" w:rsidP="009F09F3">
      <w:pPr>
        <w:spacing w:line="360" w:lineRule="auto"/>
        <w:rPr>
          <w:rFonts w:ascii="Arial" w:hAnsi="Arial" w:cs="Arial"/>
        </w:rPr>
      </w:pPr>
      <w:r w:rsidRPr="009F09F3">
        <w:rPr>
          <w:rFonts w:ascii="Arial" w:hAnsi="Arial" w:cs="Arial"/>
        </w:rPr>
        <w:t xml:space="preserve">Despite the many </w:t>
      </w:r>
      <w:r w:rsidR="004E4FF0" w:rsidRPr="009F09F3">
        <w:rPr>
          <w:rFonts w:ascii="Arial" w:hAnsi="Arial" w:cs="Arial"/>
        </w:rPr>
        <w:t>complexities</w:t>
      </w:r>
      <w:r w:rsidRPr="009F09F3">
        <w:rPr>
          <w:rFonts w:ascii="Arial" w:hAnsi="Arial" w:cs="Arial"/>
        </w:rPr>
        <w:t xml:space="preserve"> and problems of living and working in the midst of a worldwide pandemic, employees have recognised several benefits to working from home for both themselves and their employers. These advantages include improved work–life balance, more attention with less distractions, more time for family and friends, reduced travel time and costs, IT upskilling, and increased motivation. Other advantages of flexible working include lower office space costs, greater levels of employee job satisfaction, and lower absence rates. The complete benefits of hybrid working as a type of flexible working have yet to be extensively investigated, but we can anticipate that when properly implemented and supported, it will result in comparable benefits for both people and organisations.</w:t>
      </w:r>
    </w:p>
    <w:p w14:paraId="7D9377E8" w14:textId="77777777" w:rsidR="00BD025D" w:rsidRDefault="004E4FF0" w:rsidP="00BD025D">
      <w:pPr>
        <w:spacing w:line="360" w:lineRule="auto"/>
        <w:rPr>
          <w:rFonts w:ascii="Arial" w:hAnsi="Arial" w:cs="Arial"/>
        </w:rPr>
      </w:pPr>
      <w:r w:rsidRPr="004E4FF0">
        <w:rPr>
          <w:rFonts w:ascii="Arial" w:hAnsi="Arial" w:cs="Arial"/>
        </w:rPr>
        <w:t>Any strategy for returning to work must include communication and reassurance regarding COVID-19 safety precautions. It will also need continual well-being assistance, particularly for employees who may be nervous about returning to work or taking public transportation.</w:t>
      </w:r>
      <w:r w:rsidR="0027063B" w:rsidRPr="0027063B">
        <w:t xml:space="preserve"> </w:t>
      </w:r>
      <w:r w:rsidR="0027063B" w:rsidRPr="0027063B">
        <w:rPr>
          <w:rFonts w:ascii="Arial" w:hAnsi="Arial" w:cs="Arial"/>
        </w:rPr>
        <w:t xml:space="preserve">COVID-19's ramifications for employee well-being will demand attention for some time. This may involve assisting employees who are suffering from poor mental health, as well as </w:t>
      </w:r>
      <w:r w:rsidR="0027063B" w:rsidRPr="0027063B">
        <w:rPr>
          <w:rFonts w:ascii="Arial" w:hAnsi="Arial" w:cs="Arial"/>
        </w:rPr>
        <w:lastRenderedPageBreak/>
        <w:t>addressing specific issues and anxiety about returning to work and the impact of Long COVID.</w:t>
      </w:r>
      <w:bookmarkStart w:id="1" w:name="_Toc102595295"/>
    </w:p>
    <w:p w14:paraId="5EB0FA04" w14:textId="278D94D5" w:rsidR="000519E3" w:rsidRPr="00BD025D" w:rsidRDefault="000519E3" w:rsidP="00BD025D">
      <w:pPr>
        <w:spacing w:line="360" w:lineRule="auto"/>
        <w:rPr>
          <w:rFonts w:ascii="Arial" w:hAnsi="Arial" w:cs="Arial"/>
          <w:sz w:val="32"/>
          <w:szCs w:val="32"/>
        </w:rPr>
      </w:pPr>
      <w:r w:rsidRPr="00BD025D">
        <w:rPr>
          <w:rFonts w:ascii="Arial" w:hAnsi="Arial" w:cs="Arial"/>
          <w:b/>
          <w:bCs/>
          <w:color w:val="000000" w:themeColor="text1"/>
          <w:sz w:val="32"/>
          <w:szCs w:val="32"/>
        </w:rPr>
        <w:t xml:space="preserve">Concept </w:t>
      </w:r>
      <w:r w:rsidR="00066FE9" w:rsidRPr="00BD025D">
        <w:rPr>
          <w:rFonts w:ascii="Arial" w:hAnsi="Arial" w:cs="Arial"/>
          <w:b/>
          <w:bCs/>
          <w:color w:val="000000" w:themeColor="text1"/>
          <w:sz w:val="32"/>
          <w:szCs w:val="32"/>
        </w:rPr>
        <w:t>of</w:t>
      </w:r>
      <w:r w:rsidRPr="00BD025D">
        <w:rPr>
          <w:rFonts w:ascii="Arial" w:hAnsi="Arial" w:cs="Arial"/>
          <w:b/>
          <w:bCs/>
          <w:color w:val="000000" w:themeColor="text1"/>
          <w:sz w:val="32"/>
          <w:szCs w:val="32"/>
        </w:rPr>
        <w:t xml:space="preserve"> employee engagement</w:t>
      </w:r>
      <w:bookmarkEnd w:id="1"/>
    </w:p>
    <w:p w14:paraId="06B6A67C" w14:textId="7877BBCD" w:rsidR="00DA1E5B" w:rsidRDefault="007238E2" w:rsidP="009F09F3">
      <w:pPr>
        <w:spacing w:line="360" w:lineRule="auto"/>
        <w:rPr>
          <w:rFonts w:ascii="Arial" w:hAnsi="Arial" w:cs="Arial"/>
        </w:rPr>
      </w:pPr>
      <w:r w:rsidRPr="007238E2">
        <w:rPr>
          <w:rFonts w:ascii="Arial" w:hAnsi="Arial" w:cs="Arial"/>
        </w:rPr>
        <w:t>Employee engagement is a notion that has grown in popularity over the last ten years</w:t>
      </w:r>
      <w:r w:rsidR="00225ECB">
        <w:rPr>
          <w:rFonts w:ascii="Arial" w:hAnsi="Arial" w:cs="Arial"/>
        </w:rPr>
        <w:t>, and now because of the pandemic this matter has been taken serios consideration.</w:t>
      </w:r>
      <w:r w:rsidR="00225ECB" w:rsidRPr="007238E2">
        <w:rPr>
          <w:rFonts w:ascii="Arial" w:hAnsi="Arial" w:cs="Arial"/>
        </w:rPr>
        <w:t xml:space="preserve"> Today’s</w:t>
      </w:r>
      <w:r w:rsidRPr="007238E2">
        <w:rPr>
          <w:rFonts w:ascii="Arial" w:hAnsi="Arial" w:cs="Arial"/>
        </w:rPr>
        <w:t xml:space="preserve"> organisations leverage engaged workers as a strategic partner in the business. Employee engagement is becoming increasingly important as a result of the identification of several elements that influence employee performance and well-being at work. Physical and mental well-being of employees will be one of the major factors that HR managers must tend to focus on as firms across sectors try to survive and climb above the harsh competition. As a result, in these difficult times, employee engagement is now regarded as a potent source of competitive advantage.</w:t>
      </w:r>
      <w:r w:rsidR="00564EC6" w:rsidRPr="00564EC6">
        <w:t xml:space="preserve"> </w:t>
      </w:r>
      <w:r w:rsidR="00564EC6" w:rsidRPr="00564EC6">
        <w:rPr>
          <w:rFonts w:ascii="Arial" w:hAnsi="Arial" w:cs="Arial"/>
        </w:rPr>
        <w:t xml:space="preserve">The research investigates the notion of employee engagement and provides light on important drivers of employee engagement by studying three particular variables: communication, work-life balance, and leadership. This study will also look at how these factors affect employee performance and well-being in the workplace. According to the extant literature on employee engagement drivers, there is a scarcity of material on these three factors and their influence on employee engagement. </w:t>
      </w:r>
    </w:p>
    <w:p w14:paraId="246C9C97" w14:textId="2BAF37CF" w:rsidR="0048000F" w:rsidRDefault="0048000F" w:rsidP="009F09F3">
      <w:pPr>
        <w:spacing w:line="360" w:lineRule="auto"/>
        <w:rPr>
          <w:rFonts w:ascii="Arial" w:hAnsi="Arial" w:cs="Arial"/>
        </w:rPr>
      </w:pPr>
      <w:r w:rsidRPr="0048000F">
        <w:rPr>
          <w:rFonts w:ascii="Arial" w:hAnsi="Arial" w:cs="Arial"/>
        </w:rPr>
        <w:t>Over the years, one of the most difficult issues confronting CEOs, HR professionals, and business executives in many firms has been ensuring that when their staff check in every day, they do so not just physically, but also psychologically and emotionally. Simply put, they must guarantee that their personnel are actually engaged. Today, employee engagement has emerged as a major corporate driver. It has a direct impact on staff morale, productivity, and reasons for staying with the organisation. Organizations use engaged workers as a strategic competence tool. A highly engaged employee outperforms and sets new norms on a consistent basis.</w:t>
      </w:r>
    </w:p>
    <w:p w14:paraId="7BFCC2F5" w14:textId="0D115323" w:rsidR="00EE798B" w:rsidRDefault="00EE798B" w:rsidP="009F09F3">
      <w:pPr>
        <w:spacing w:line="360" w:lineRule="auto"/>
        <w:rPr>
          <w:rFonts w:ascii="Arial" w:hAnsi="Arial" w:cs="Arial"/>
        </w:rPr>
      </w:pPr>
      <w:r w:rsidRPr="00EE798B">
        <w:rPr>
          <w:rFonts w:ascii="Arial" w:hAnsi="Arial" w:cs="Arial"/>
        </w:rPr>
        <w:t>Employee engagement is a source of worry for leaders and managers worldwide, as it is acknowledged as a critical factor in determining the level of organisational performance, creativity, and competitiveness. Although the word "employee engagement" has its roots in academic research, it was mostly seen as a practical consultancy problem until the 1990s. Though the topic has received more attention from researchers in areas like as business and management, psychology, and organisational behaviour since then, there is still a scarcity of critical academic literature on the issue. Defining involvement and outlining its scope is a challenging and time-consuming task.</w:t>
      </w:r>
    </w:p>
    <w:p w14:paraId="3915A6B4" w14:textId="19E5B384" w:rsidR="00066FE9" w:rsidRDefault="00066FE9" w:rsidP="00BD025D">
      <w:pPr>
        <w:pStyle w:val="Heading1"/>
        <w:rPr>
          <w:rFonts w:ascii="Arial" w:hAnsi="Arial" w:cs="Arial"/>
          <w:b/>
          <w:bCs/>
          <w:color w:val="000000" w:themeColor="text1"/>
        </w:rPr>
      </w:pPr>
      <w:bookmarkStart w:id="2" w:name="_Toc102595296"/>
      <w:r w:rsidRPr="00BD025D">
        <w:rPr>
          <w:rFonts w:ascii="Arial" w:hAnsi="Arial" w:cs="Arial"/>
          <w:b/>
          <w:bCs/>
          <w:color w:val="000000" w:themeColor="text1"/>
        </w:rPr>
        <w:lastRenderedPageBreak/>
        <w:t>Drivers of Employee Engagement</w:t>
      </w:r>
      <w:bookmarkEnd w:id="2"/>
    </w:p>
    <w:p w14:paraId="7B1046C8" w14:textId="77777777" w:rsidR="00BD025D" w:rsidRDefault="00BD025D" w:rsidP="00207C61">
      <w:pPr>
        <w:spacing w:line="360" w:lineRule="auto"/>
      </w:pPr>
    </w:p>
    <w:p w14:paraId="50078914" w14:textId="099A2F2B" w:rsidR="00E17B60" w:rsidRDefault="00207C61" w:rsidP="00207C61">
      <w:pPr>
        <w:spacing w:line="360" w:lineRule="auto"/>
        <w:rPr>
          <w:rFonts w:ascii="Arial" w:hAnsi="Arial" w:cs="Arial"/>
        </w:rPr>
      </w:pPr>
      <w:r w:rsidRPr="00207C61">
        <w:rPr>
          <w:rFonts w:ascii="Arial" w:hAnsi="Arial" w:cs="Arial"/>
        </w:rPr>
        <w:t xml:space="preserve">It's no secret that people are crucial to a company's success. Aside from that obvious reality, the future workforce has come to expect more from their employers and work </w:t>
      </w:r>
      <w:r w:rsidR="00BE168C" w:rsidRPr="00207C61">
        <w:rPr>
          <w:rFonts w:ascii="Arial" w:hAnsi="Arial" w:cs="Arial"/>
        </w:rPr>
        <w:t>environment. Engaging</w:t>
      </w:r>
      <w:r w:rsidRPr="00207C61">
        <w:rPr>
          <w:rFonts w:ascii="Arial" w:hAnsi="Arial" w:cs="Arial"/>
        </w:rPr>
        <w:t xml:space="preserve"> employees must be a major concern in order to recruit and retain talent. Value your employees, empower them, and trust them, and you will reap the benefits and positive effect of a productive, loyal, and collaborative </w:t>
      </w:r>
      <w:r w:rsidR="00E17B60" w:rsidRPr="00207C61">
        <w:rPr>
          <w:rFonts w:ascii="Arial" w:hAnsi="Arial" w:cs="Arial"/>
        </w:rPr>
        <w:t>team.</w:t>
      </w:r>
    </w:p>
    <w:p w14:paraId="48CAFFBB" w14:textId="4780D6AD" w:rsidR="00207C61" w:rsidRDefault="00E17B60" w:rsidP="00207C61">
      <w:pPr>
        <w:spacing w:line="360" w:lineRule="auto"/>
        <w:rPr>
          <w:rFonts w:ascii="Arial" w:hAnsi="Arial" w:cs="Arial"/>
        </w:rPr>
      </w:pPr>
      <w:r>
        <w:rPr>
          <w:rFonts w:ascii="Arial" w:hAnsi="Arial" w:cs="Arial"/>
        </w:rPr>
        <w:t xml:space="preserve"> In the next paragraphs I will explain </w:t>
      </w:r>
      <w:r w:rsidRPr="00207C61">
        <w:rPr>
          <w:rFonts w:ascii="Arial" w:hAnsi="Arial" w:cs="Arial"/>
        </w:rPr>
        <w:t>the</w:t>
      </w:r>
      <w:r w:rsidR="00207C61" w:rsidRPr="00207C61">
        <w:rPr>
          <w:rFonts w:ascii="Arial" w:hAnsi="Arial" w:cs="Arial"/>
        </w:rPr>
        <w:t xml:space="preserve"> advantages of employee engagement.</w:t>
      </w:r>
    </w:p>
    <w:p w14:paraId="34B87999" w14:textId="7008E899" w:rsidR="00026AF7" w:rsidRDefault="005E3220" w:rsidP="00134D58">
      <w:pPr>
        <w:spacing w:line="360" w:lineRule="auto"/>
        <w:rPr>
          <w:rFonts w:ascii="Arial" w:hAnsi="Arial" w:cs="Arial"/>
        </w:rPr>
      </w:pPr>
      <w:r>
        <w:rPr>
          <w:rFonts w:ascii="Arial" w:hAnsi="Arial" w:cs="Arial"/>
        </w:rPr>
        <w:t>One of the main drivers of employee engagement is that it</w:t>
      </w:r>
      <w:r w:rsidR="00134D58">
        <w:rPr>
          <w:rFonts w:ascii="Arial" w:hAnsi="Arial" w:cs="Arial"/>
        </w:rPr>
        <w:t xml:space="preserve">’s cultivating passion. </w:t>
      </w:r>
      <w:r w:rsidR="00134D58" w:rsidRPr="00134D58">
        <w:rPr>
          <w:rFonts w:ascii="Arial" w:hAnsi="Arial" w:cs="Arial"/>
        </w:rPr>
        <w:t xml:space="preserve">Organizations with healthy working environments do not use social stigma, stress, or fear to encourage people; instead, they depend on passion. Employee engagement and performance are heavily influenced by corporate mission alignment and a strong organisational </w:t>
      </w:r>
      <w:r w:rsidR="00BE168C" w:rsidRPr="00134D58">
        <w:rPr>
          <w:rFonts w:ascii="Arial" w:hAnsi="Arial" w:cs="Arial"/>
        </w:rPr>
        <w:t>culture. Employee</w:t>
      </w:r>
      <w:r w:rsidR="00134D58" w:rsidRPr="00134D58">
        <w:rPr>
          <w:rFonts w:ascii="Arial" w:hAnsi="Arial" w:cs="Arial"/>
        </w:rPr>
        <w:t xml:space="preserve"> engagement at the managerial level has a huge influence on team behaviours. Passion is contagious, and a leader's passion for their company's collective endeavour will motivate people to engage in their own job just as deeply.</w:t>
      </w:r>
    </w:p>
    <w:p w14:paraId="20D03A22" w14:textId="54BD42BC" w:rsidR="000610B7" w:rsidRDefault="000610B7" w:rsidP="00017E29">
      <w:pPr>
        <w:spacing w:line="360" w:lineRule="auto"/>
        <w:rPr>
          <w:rFonts w:ascii="Arial" w:hAnsi="Arial" w:cs="Arial"/>
        </w:rPr>
      </w:pPr>
      <w:r>
        <w:rPr>
          <w:rFonts w:ascii="Arial" w:hAnsi="Arial" w:cs="Arial"/>
        </w:rPr>
        <w:t>The second advan</w:t>
      </w:r>
      <w:r w:rsidR="004839AF">
        <w:rPr>
          <w:rFonts w:ascii="Arial" w:hAnsi="Arial" w:cs="Arial"/>
        </w:rPr>
        <w:t>tage of the employee engagement is that is retain</w:t>
      </w:r>
      <w:r w:rsidR="006E20AA">
        <w:rPr>
          <w:rFonts w:ascii="Arial" w:hAnsi="Arial" w:cs="Arial"/>
        </w:rPr>
        <w:t>ing talent.</w:t>
      </w:r>
      <w:r w:rsidR="00017E29" w:rsidRPr="00017E29">
        <w:t xml:space="preserve"> </w:t>
      </w:r>
      <w:r w:rsidR="00017E29" w:rsidRPr="00017E29">
        <w:rPr>
          <w:rFonts w:ascii="Arial" w:hAnsi="Arial" w:cs="Arial"/>
        </w:rPr>
        <w:t xml:space="preserve">It is difficult to find the ideal personnel for the job, and filling such positions necessitates substantial resources. Making the most of your current talent pool, developing their capabilities, and finding a teaching moment after failure may feel difficult, but the time, effort, and danger of acquiring new employees should be viewed as considerably more </w:t>
      </w:r>
      <w:r w:rsidR="009A1E7A" w:rsidRPr="00017E29">
        <w:rPr>
          <w:rFonts w:ascii="Arial" w:hAnsi="Arial" w:cs="Arial"/>
        </w:rPr>
        <w:t>difficult. Employee</w:t>
      </w:r>
      <w:r w:rsidR="00017E29" w:rsidRPr="00017E29">
        <w:rPr>
          <w:rFonts w:ascii="Arial" w:hAnsi="Arial" w:cs="Arial"/>
        </w:rPr>
        <w:t xml:space="preserve"> turnover is reduced as a result of an engagement strategy, saving time, money, and effort. Furthermore, there are significant advantages to keeping important historical organisational knowledge that a dedicated, long-term workforce may possess.</w:t>
      </w:r>
      <w:r w:rsidR="009A1E7A" w:rsidRPr="009A1E7A">
        <w:t xml:space="preserve"> </w:t>
      </w:r>
      <w:r w:rsidR="009A1E7A" w:rsidRPr="009A1E7A">
        <w:rPr>
          <w:rFonts w:ascii="Arial" w:hAnsi="Arial" w:cs="Arial"/>
        </w:rPr>
        <w:t>It is critical to concentrate on measures to increase trust and employee engagement. Most team members will be less likely to quit if they believe they will be recognised for their efforts, have opportunities for personal growth, and understand when and why corporate change occurs. Retaining long-term talent is becoming a true competitive advantage as individuals learn from prior rivals and market events and are therefore well-positioned to foresee future competitive advantages.</w:t>
      </w:r>
    </w:p>
    <w:p w14:paraId="7BB60394" w14:textId="09D5C273" w:rsidR="00263B0B" w:rsidRDefault="00BE0A23" w:rsidP="00665048">
      <w:pPr>
        <w:spacing w:line="360" w:lineRule="auto"/>
        <w:rPr>
          <w:rFonts w:ascii="Arial" w:hAnsi="Arial" w:cs="Arial"/>
        </w:rPr>
      </w:pPr>
      <w:r>
        <w:rPr>
          <w:rFonts w:ascii="Arial" w:hAnsi="Arial" w:cs="Arial"/>
        </w:rPr>
        <w:t xml:space="preserve">Another driver of employee engagement is </w:t>
      </w:r>
      <w:r w:rsidR="00AE243E">
        <w:rPr>
          <w:rFonts w:ascii="Arial" w:hAnsi="Arial" w:cs="Arial"/>
        </w:rPr>
        <w:t xml:space="preserve">the boost of productivity. </w:t>
      </w:r>
      <w:r w:rsidR="00665048" w:rsidRPr="00665048">
        <w:rPr>
          <w:rFonts w:ascii="Arial" w:hAnsi="Arial" w:cs="Arial"/>
        </w:rPr>
        <w:t>Productive employees perform more cooperatively, have a better understanding of business-critical workstreams, and are more inclined to prioritise pressing initiatives. They spend less time alone and spend more time talking with one another. They also have higher work satisfaction and are more connected with business culture. This creates a virtuous cycle in which they are more likely to be appreciated by the organisation and to obtain wage raises or promotions.</w:t>
      </w:r>
    </w:p>
    <w:p w14:paraId="68916E1F" w14:textId="09C4C7C7" w:rsidR="00DC425C" w:rsidRDefault="009E0BDD" w:rsidP="00665048">
      <w:pPr>
        <w:spacing w:line="360" w:lineRule="auto"/>
        <w:rPr>
          <w:rFonts w:ascii="Arial" w:hAnsi="Arial" w:cs="Arial"/>
        </w:rPr>
      </w:pPr>
      <w:r>
        <w:rPr>
          <w:rFonts w:ascii="Arial" w:hAnsi="Arial" w:cs="Arial"/>
        </w:rPr>
        <w:lastRenderedPageBreak/>
        <w:t>Furthermore,</w:t>
      </w:r>
      <w:r w:rsidR="00DA626A">
        <w:rPr>
          <w:rFonts w:ascii="Arial" w:hAnsi="Arial" w:cs="Arial"/>
        </w:rPr>
        <w:t xml:space="preserve"> another </w:t>
      </w:r>
      <w:r>
        <w:rPr>
          <w:rFonts w:ascii="Arial" w:hAnsi="Arial" w:cs="Arial"/>
        </w:rPr>
        <w:t xml:space="preserve">benefit of the employee engagement is the </w:t>
      </w:r>
      <w:r w:rsidR="008033F2">
        <w:rPr>
          <w:rFonts w:ascii="Arial" w:hAnsi="Arial" w:cs="Arial"/>
        </w:rPr>
        <w:t>l</w:t>
      </w:r>
      <w:r w:rsidR="008033F2" w:rsidRPr="008033F2">
        <w:rPr>
          <w:rFonts w:ascii="Arial" w:hAnsi="Arial" w:cs="Arial"/>
        </w:rPr>
        <w:t>ower absenteeism</w:t>
      </w:r>
      <w:r w:rsidR="008033F2">
        <w:rPr>
          <w:rFonts w:ascii="Arial" w:hAnsi="Arial" w:cs="Arial"/>
        </w:rPr>
        <w:t>.</w:t>
      </w:r>
      <w:r w:rsidR="00B503EF" w:rsidRPr="00B503EF">
        <w:t xml:space="preserve"> </w:t>
      </w:r>
      <w:r w:rsidR="00B503EF" w:rsidRPr="00B503EF">
        <w:rPr>
          <w:rFonts w:ascii="Arial" w:hAnsi="Arial" w:cs="Arial"/>
        </w:rPr>
        <w:t xml:space="preserve">When you're involved in your job and care about the company's success, you're more likely to show up to work. When a person feels appreciated and safe in their work, as well as involved in the company's mission, their internal accountability for delivery increases. Interestingly, it may also imply that they are more willing to take the occasional day off due to sickness without fear of repercussions. This is associated with speedier recovery and less sickness transmission to </w:t>
      </w:r>
      <w:r w:rsidR="00BA4F2C" w:rsidRPr="00B503EF">
        <w:rPr>
          <w:rFonts w:ascii="Arial" w:hAnsi="Arial" w:cs="Arial"/>
        </w:rPr>
        <w:t>co-workers</w:t>
      </w:r>
      <w:r w:rsidR="00B503EF" w:rsidRPr="00B503EF">
        <w:rPr>
          <w:rFonts w:ascii="Arial" w:hAnsi="Arial" w:cs="Arial"/>
        </w:rPr>
        <w:t>, resulting in greater team health. The odd day off can thus be a sign of strong employee engagement since it leads to decreased total absenteeism and is likely to offset considerably more significant concerns of long-term absence owing to burnout.</w:t>
      </w:r>
    </w:p>
    <w:p w14:paraId="567E39A7" w14:textId="03C6D776" w:rsidR="00B503EF" w:rsidRDefault="00B503EF" w:rsidP="00665048">
      <w:pPr>
        <w:spacing w:line="360" w:lineRule="auto"/>
        <w:rPr>
          <w:rFonts w:ascii="Arial" w:hAnsi="Arial" w:cs="Arial"/>
        </w:rPr>
      </w:pPr>
      <w:r>
        <w:rPr>
          <w:rFonts w:ascii="Arial" w:hAnsi="Arial" w:cs="Arial"/>
        </w:rPr>
        <w:t>And this are just some examples of</w:t>
      </w:r>
      <w:r w:rsidR="00BA4F2C">
        <w:rPr>
          <w:rFonts w:ascii="Arial" w:hAnsi="Arial" w:cs="Arial"/>
        </w:rPr>
        <w:t xml:space="preserve"> the benefits and drivers of the employee engagement. </w:t>
      </w:r>
    </w:p>
    <w:p w14:paraId="7E448BCD" w14:textId="1DF05A27" w:rsidR="00642568" w:rsidRDefault="00353104" w:rsidP="00BD025D">
      <w:pPr>
        <w:pStyle w:val="Heading1"/>
        <w:rPr>
          <w:rFonts w:ascii="Arial" w:hAnsi="Arial" w:cs="Arial"/>
          <w:b/>
          <w:bCs/>
          <w:color w:val="000000" w:themeColor="text1"/>
        </w:rPr>
      </w:pPr>
      <w:bookmarkStart w:id="3" w:name="_Toc102595297"/>
      <w:r w:rsidRPr="00BD025D">
        <w:rPr>
          <w:rFonts w:ascii="Arial" w:hAnsi="Arial" w:cs="Arial"/>
          <w:b/>
          <w:bCs/>
          <w:color w:val="000000" w:themeColor="text1"/>
        </w:rPr>
        <w:t>Eval</w:t>
      </w:r>
      <w:r w:rsidRPr="00BD025D">
        <w:rPr>
          <w:rFonts w:ascii="Arial" w:hAnsi="Arial" w:cs="Arial"/>
          <w:b/>
          <w:bCs/>
          <w:color w:val="000000" w:themeColor="text1"/>
        </w:rPr>
        <w:t>uation of the</w:t>
      </w:r>
      <w:r w:rsidRPr="00BD025D">
        <w:rPr>
          <w:rFonts w:ascii="Arial" w:hAnsi="Arial" w:cs="Arial"/>
          <w:b/>
          <w:bCs/>
          <w:color w:val="000000" w:themeColor="text1"/>
        </w:rPr>
        <w:t xml:space="preserve"> diagnostic tools to measure engagement</w:t>
      </w:r>
      <w:bookmarkEnd w:id="3"/>
    </w:p>
    <w:p w14:paraId="28BF5B2B" w14:textId="77777777" w:rsidR="00BD025D" w:rsidRPr="00BD025D" w:rsidRDefault="00BD025D" w:rsidP="00BD025D"/>
    <w:p w14:paraId="149DBFA9" w14:textId="36CCF029" w:rsidR="00353104" w:rsidRDefault="001F2768" w:rsidP="00353104">
      <w:pPr>
        <w:spacing w:line="360" w:lineRule="auto"/>
        <w:rPr>
          <w:rFonts w:ascii="Arial" w:hAnsi="Arial" w:cs="Arial"/>
        </w:rPr>
      </w:pPr>
      <w:r w:rsidRPr="001F2768">
        <w:rPr>
          <w:rFonts w:ascii="Arial" w:hAnsi="Arial" w:cs="Arial"/>
        </w:rPr>
        <w:t>With today's multigenerational and mobile workforce, business leaders confront unique hurdles in creating an engaged team culture that will drive their company's success. According to a Deloitte survey, 87 percent of firms regard engagement and culture issues to be one of their top difficulties, while just 12 percent of employees believe their company is great at effectively creating the desired culture.</w:t>
      </w:r>
      <w:r w:rsidR="00875839">
        <w:rPr>
          <w:rFonts w:ascii="Arial" w:hAnsi="Arial" w:cs="Arial"/>
        </w:rPr>
        <w:t xml:space="preserve"> Also,</w:t>
      </w:r>
      <w:r w:rsidR="00E340C6" w:rsidRPr="00E340C6">
        <w:t xml:space="preserve"> </w:t>
      </w:r>
      <w:r w:rsidR="00875839">
        <w:rPr>
          <w:rFonts w:ascii="Arial" w:hAnsi="Arial" w:cs="Arial"/>
        </w:rPr>
        <w:t>a</w:t>
      </w:r>
      <w:r w:rsidR="00E340C6" w:rsidRPr="00E340C6">
        <w:rPr>
          <w:rFonts w:ascii="Arial" w:hAnsi="Arial" w:cs="Arial"/>
        </w:rPr>
        <w:t xml:space="preserve">nother Gallup study conducted </w:t>
      </w:r>
      <w:r w:rsidR="00A6693A" w:rsidRPr="00E340C6">
        <w:rPr>
          <w:rFonts w:ascii="Arial" w:hAnsi="Arial" w:cs="Arial"/>
        </w:rPr>
        <w:t>discovered</w:t>
      </w:r>
      <w:r w:rsidR="00E340C6" w:rsidRPr="00E340C6">
        <w:rPr>
          <w:rFonts w:ascii="Arial" w:hAnsi="Arial" w:cs="Arial"/>
        </w:rPr>
        <w:t xml:space="preserve"> that just 32% of the workforce is actually engaged, meaning that the remainder are either not completely engaged or actively disengaged. This causes issues for businesses because Gallup research have indicated that employee engagement has a direct impact on a company's bottom line. Businesses should search for measures to monitor and quantify employee engagement levels in order to ensure future </w:t>
      </w:r>
      <w:r w:rsidR="00EB0032" w:rsidRPr="00E340C6">
        <w:rPr>
          <w:rFonts w:ascii="Arial" w:hAnsi="Arial" w:cs="Arial"/>
        </w:rPr>
        <w:t>success.</w:t>
      </w:r>
      <w:r w:rsidR="00EB0032">
        <w:rPr>
          <w:rFonts w:ascii="Arial" w:hAnsi="Arial" w:cs="Arial"/>
        </w:rPr>
        <w:t xml:space="preserve"> Hence, I will evaluate and describe </w:t>
      </w:r>
      <w:r w:rsidR="00450DD6">
        <w:rPr>
          <w:rFonts w:ascii="Arial" w:hAnsi="Arial" w:cs="Arial"/>
        </w:rPr>
        <w:t>some</w:t>
      </w:r>
      <w:r w:rsidR="00EB0032" w:rsidRPr="00EB0032">
        <w:rPr>
          <w:rFonts w:ascii="Arial" w:hAnsi="Arial" w:cs="Arial"/>
        </w:rPr>
        <w:t xml:space="preserve"> </w:t>
      </w:r>
      <w:r w:rsidR="00450DD6">
        <w:rPr>
          <w:rFonts w:ascii="Arial" w:hAnsi="Arial" w:cs="Arial"/>
        </w:rPr>
        <w:t>t</w:t>
      </w:r>
      <w:r w:rsidR="00EB0032" w:rsidRPr="00EB0032">
        <w:rPr>
          <w:rFonts w:ascii="Arial" w:hAnsi="Arial" w:cs="Arial"/>
        </w:rPr>
        <w:t xml:space="preserve">ools </w:t>
      </w:r>
      <w:r w:rsidR="00EB0032">
        <w:rPr>
          <w:rFonts w:ascii="Arial" w:hAnsi="Arial" w:cs="Arial"/>
        </w:rPr>
        <w:t>that</w:t>
      </w:r>
      <w:r w:rsidR="00EB0032" w:rsidRPr="00EB0032">
        <w:rPr>
          <w:rFonts w:ascii="Arial" w:hAnsi="Arial" w:cs="Arial"/>
        </w:rPr>
        <w:t xml:space="preserve"> </w:t>
      </w:r>
      <w:r w:rsidR="00EB0032">
        <w:rPr>
          <w:rFonts w:ascii="Arial" w:hAnsi="Arial" w:cs="Arial"/>
        </w:rPr>
        <w:t>c</w:t>
      </w:r>
      <w:r w:rsidR="00EB0032" w:rsidRPr="00EB0032">
        <w:rPr>
          <w:rFonts w:ascii="Arial" w:hAnsi="Arial" w:cs="Arial"/>
        </w:rPr>
        <w:t>an</w:t>
      </w:r>
      <w:r w:rsidR="00EB0032">
        <w:rPr>
          <w:rFonts w:ascii="Arial" w:hAnsi="Arial" w:cs="Arial"/>
        </w:rPr>
        <w:t xml:space="preserve"> be</w:t>
      </w:r>
      <w:r w:rsidR="00EB0032" w:rsidRPr="00EB0032">
        <w:rPr>
          <w:rFonts w:ascii="Arial" w:hAnsi="Arial" w:cs="Arial"/>
        </w:rPr>
        <w:t xml:space="preserve"> </w:t>
      </w:r>
      <w:r w:rsidR="00EB0032">
        <w:rPr>
          <w:rFonts w:ascii="Arial" w:hAnsi="Arial" w:cs="Arial"/>
        </w:rPr>
        <w:t>u</w:t>
      </w:r>
      <w:r w:rsidR="00EB0032" w:rsidRPr="00EB0032">
        <w:rPr>
          <w:rFonts w:ascii="Arial" w:hAnsi="Arial" w:cs="Arial"/>
        </w:rPr>
        <w:t>se</w:t>
      </w:r>
      <w:r w:rsidR="00EB0032">
        <w:rPr>
          <w:rFonts w:ascii="Arial" w:hAnsi="Arial" w:cs="Arial"/>
        </w:rPr>
        <w:t>d</w:t>
      </w:r>
      <w:r w:rsidR="00EB0032" w:rsidRPr="00EB0032">
        <w:rPr>
          <w:rFonts w:ascii="Arial" w:hAnsi="Arial" w:cs="Arial"/>
        </w:rPr>
        <w:t xml:space="preserve"> to </w:t>
      </w:r>
      <w:r w:rsidR="00EB0032">
        <w:rPr>
          <w:rFonts w:ascii="Arial" w:hAnsi="Arial" w:cs="Arial"/>
        </w:rPr>
        <w:t>e</w:t>
      </w:r>
      <w:r w:rsidR="00EB0032" w:rsidRPr="00EB0032">
        <w:rPr>
          <w:rFonts w:ascii="Arial" w:hAnsi="Arial" w:cs="Arial"/>
        </w:rPr>
        <w:t xml:space="preserve">valuate </w:t>
      </w:r>
      <w:r w:rsidR="00EB0032">
        <w:rPr>
          <w:rFonts w:ascii="Arial" w:hAnsi="Arial" w:cs="Arial"/>
        </w:rPr>
        <w:t>e</w:t>
      </w:r>
      <w:r w:rsidR="00EB0032" w:rsidRPr="00EB0032">
        <w:rPr>
          <w:rFonts w:ascii="Arial" w:hAnsi="Arial" w:cs="Arial"/>
        </w:rPr>
        <w:t xml:space="preserve">mployee </w:t>
      </w:r>
      <w:r w:rsidR="00EB0032">
        <w:rPr>
          <w:rFonts w:ascii="Arial" w:hAnsi="Arial" w:cs="Arial"/>
        </w:rPr>
        <w:t>e</w:t>
      </w:r>
      <w:r w:rsidR="00EB0032" w:rsidRPr="00EB0032">
        <w:rPr>
          <w:rFonts w:ascii="Arial" w:hAnsi="Arial" w:cs="Arial"/>
        </w:rPr>
        <w:t>ngagement</w:t>
      </w:r>
      <w:r w:rsidR="00EB0032">
        <w:rPr>
          <w:rFonts w:ascii="Arial" w:hAnsi="Arial" w:cs="Arial"/>
        </w:rPr>
        <w:t>.</w:t>
      </w:r>
    </w:p>
    <w:p w14:paraId="2EA14E4F" w14:textId="2435CF44" w:rsidR="00D31DC2" w:rsidRDefault="00D31DC2" w:rsidP="002D4F43">
      <w:pPr>
        <w:spacing w:line="360" w:lineRule="auto"/>
        <w:rPr>
          <w:rFonts w:ascii="Arial" w:hAnsi="Arial" w:cs="Arial"/>
        </w:rPr>
      </w:pPr>
      <w:r>
        <w:rPr>
          <w:rFonts w:ascii="Arial" w:hAnsi="Arial" w:cs="Arial"/>
        </w:rPr>
        <w:t>First tool is the e</w:t>
      </w:r>
      <w:r w:rsidRPr="00D31DC2">
        <w:rPr>
          <w:rFonts w:ascii="Arial" w:hAnsi="Arial" w:cs="Arial"/>
        </w:rPr>
        <w:t>mployee surveys</w:t>
      </w:r>
      <w:r>
        <w:rPr>
          <w:rFonts w:ascii="Arial" w:hAnsi="Arial" w:cs="Arial"/>
        </w:rPr>
        <w:t>.</w:t>
      </w:r>
      <w:r w:rsidR="002D4F43" w:rsidRPr="002D4F43">
        <w:t xml:space="preserve"> </w:t>
      </w:r>
      <w:r w:rsidR="002D4F43" w:rsidRPr="002D4F43">
        <w:rPr>
          <w:rFonts w:ascii="Arial" w:hAnsi="Arial" w:cs="Arial"/>
        </w:rPr>
        <w:t xml:space="preserve">Surveys are the most often utilised technique for assessing employee engagement since they provide input on employee sentiments and opinions. The most successful surveys may be completed and submitted anonymously, increasing participation </w:t>
      </w:r>
      <w:r w:rsidR="002D4F43" w:rsidRPr="002D4F43">
        <w:rPr>
          <w:rFonts w:ascii="Arial" w:hAnsi="Arial" w:cs="Arial"/>
        </w:rPr>
        <w:t>rates,</w:t>
      </w:r>
      <w:r w:rsidR="002D4F43" w:rsidRPr="002D4F43">
        <w:rPr>
          <w:rFonts w:ascii="Arial" w:hAnsi="Arial" w:cs="Arial"/>
        </w:rPr>
        <w:t xml:space="preserve"> and allowing staff to provide more honest </w:t>
      </w:r>
      <w:r w:rsidR="0072589A" w:rsidRPr="002D4F43">
        <w:rPr>
          <w:rFonts w:ascii="Arial" w:hAnsi="Arial" w:cs="Arial"/>
        </w:rPr>
        <w:t>comments. Using</w:t>
      </w:r>
      <w:r w:rsidR="002D4F43" w:rsidRPr="002D4F43">
        <w:rPr>
          <w:rFonts w:ascii="Arial" w:hAnsi="Arial" w:cs="Arial"/>
        </w:rPr>
        <w:t xml:space="preserve"> a third-party administrator (such as Survey Monkey) might also give employees more confidence that they can express themselves freely without fear of reprisal.</w:t>
      </w:r>
      <w:r w:rsidR="0072589A" w:rsidRPr="0072589A">
        <w:t xml:space="preserve"> </w:t>
      </w:r>
      <w:r w:rsidR="0072589A" w:rsidRPr="0072589A">
        <w:rPr>
          <w:rFonts w:ascii="Arial" w:hAnsi="Arial" w:cs="Arial"/>
        </w:rPr>
        <w:t>A successful survey should be able to assist you understand your employees' motivations, interests, job satisfaction levels, and work relationship quality. Employees, for example, are frequently motivated by professional development, work/life balance, and community participation in addition to monetary incentives.</w:t>
      </w:r>
    </w:p>
    <w:p w14:paraId="3F5D2A23" w14:textId="073D912E" w:rsidR="00E2114B" w:rsidRDefault="00450DD6" w:rsidP="00450DD6">
      <w:pPr>
        <w:spacing w:line="360" w:lineRule="auto"/>
        <w:rPr>
          <w:rFonts w:ascii="Arial" w:hAnsi="Arial" w:cs="Arial"/>
        </w:rPr>
      </w:pPr>
      <w:r>
        <w:rPr>
          <w:rFonts w:ascii="Arial" w:hAnsi="Arial" w:cs="Arial"/>
        </w:rPr>
        <w:t>Also,</w:t>
      </w:r>
      <w:r w:rsidR="00623C73">
        <w:rPr>
          <w:rFonts w:ascii="Arial" w:hAnsi="Arial" w:cs="Arial"/>
        </w:rPr>
        <w:t xml:space="preserve"> HR tools are really practical</w:t>
      </w:r>
      <w:r w:rsidR="00412599">
        <w:rPr>
          <w:rFonts w:ascii="Arial" w:hAnsi="Arial" w:cs="Arial"/>
        </w:rPr>
        <w:t>.</w:t>
      </w:r>
      <w:r w:rsidRPr="00450DD6">
        <w:t xml:space="preserve"> </w:t>
      </w:r>
      <w:r w:rsidRPr="00450DD6">
        <w:rPr>
          <w:rFonts w:ascii="Arial" w:hAnsi="Arial" w:cs="Arial"/>
        </w:rPr>
        <w:t xml:space="preserve">While surveying personnel once or twice a year is a fine place to start, it does not give real-time, continuous, or holistic input. As a result, businesses </w:t>
      </w:r>
      <w:r w:rsidRPr="00450DD6">
        <w:rPr>
          <w:rFonts w:ascii="Arial" w:hAnsi="Arial" w:cs="Arial"/>
        </w:rPr>
        <w:lastRenderedPageBreak/>
        <w:t xml:space="preserve">are increasingly augmenting periodic surveys with adaptable software systems that can collect and measure employee engagement </w:t>
      </w:r>
      <w:r w:rsidRPr="00450DD6">
        <w:rPr>
          <w:rFonts w:ascii="Arial" w:hAnsi="Arial" w:cs="Arial"/>
        </w:rPr>
        <w:t>year-round. Modern</w:t>
      </w:r>
      <w:r w:rsidRPr="00450DD6">
        <w:rPr>
          <w:rFonts w:ascii="Arial" w:hAnsi="Arial" w:cs="Arial"/>
        </w:rPr>
        <w:t xml:space="preserve"> HR solutions enable you to collect feedback and analyse employee satisfaction while also managing your employees and their data by collecting survey findings in one location. More regular dialogues and feedback between managers and staff may be facilitated (and tracked!) with the help of performance management software. This helps to guarantee that everyone is pleased, on track, and working together to achieve individual, departmental, and company-wide objectives.</w:t>
      </w:r>
    </w:p>
    <w:p w14:paraId="5FF74A21" w14:textId="03BCFA0E" w:rsidR="005D2726" w:rsidRDefault="005D2726" w:rsidP="00450DD6">
      <w:pPr>
        <w:spacing w:line="360" w:lineRule="auto"/>
        <w:rPr>
          <w:rFonts w:ascii="Arial" w:hAnsi="Arial" w:cs="Arial"/>
        </w:rPr>
      </w:pPr>
      <w:r>
        <w:rPr>
          <w:rFonts w:ascii="Arial" w:hAnsi="Arial" w:cs="Arial"/>
        </w:rPr>
        <w:t>Social media is another way of measuring the empl</w:t>
      </w:r>
      <w:r w:rsidR="00D0510D">
        <w:rPr>
          <w:rFonts w:ascii="Arial" w:hAnsi="Arial" w:cs="Arial"/>
        </w:rPr>
        <w:t xml:space="preserve">oyee engagement. </w:t>
      </w:r>
      <w:r w:rsidR="00D0510D" w:rsidRPr="00D0510D">
        <w:rPr>
          <w:rFonts w:ascii="Arial" w:hAnsi="Arial" w:cs="Arial"/>
        </w:rPr>
        <w:t>With the growth of social media, employers now have another strong weapon at their disposal. Companies, for example, can watch Glassdoor ratings and reviews to gauge employee opinion. An internal social media network, such as the corporate intranet, that allows workers to publish ideas and participate in discussions is also beneficial. This allows managers to have a better understanding of their staff' morale and the broader business culture.</w:t>
      </w:r>
    </w:p>
    <w:p w14:paraId="03D19101" w14:textId="6AC17D22" w:rsidR="00CB2A07" w:rsidRDefault="004E58BD" w:rsidP="00450DD6">
      <w:pPr>
        <w:spacing w:line="360" w:lineRule="auto"/>
        <w:rPr>
          <w:rFonts w:ascii="Arial" w:hAnsi="Arial" w:cs="Arial"/>
        </w:rPr>
      </w:pPr>
      <w:r>
        <w:rPr>
          <w:rFonts w:ascii="Arial" w:hAnsi="Arial" w:cs="Arial"/>
        </w:rPr>
        <w:t>Furthermore</w:t>
      </w:r>
      <w:r w:rsidR="00897C6F">
        <w:rPr>
          <w:rFonts w:ascii="Arial" w:hAnsi="Arial" w:cs="Arial"/>
        </w:rPr>
        <w:t xml:space="preserve">, </w:t>
      </w:r>
      <w:r>
        <w:rPr>
          <w:rFonts w:ascii="Arial" w:hAnsi="Arial" w:cs="Arial"/>
        </w:rPr>
        <w:t>e</w:t>
      </w:r>
      <w:r w:rsidRPr="004E58BD">
        <w:rPr>
          <w:rFonts w:ascii="Arial" w:hAnsi="Arial" w:cs="Arial"/>
        </w:rPr>
        <w:t>xit interviews</w:t>
      </w:r>
      <w:r>
        <w:rPr>
          <w:rFonts w:ascii="Arial" w:hAnsi="Arial" w:cs="Arial"/>
        </w:rPr>
        <w:t xml:space="preserve"> is a must to </w:t>
      </w:r>
      <w:r w:rsidR="0036192A">
        <w:rPr>
          <w:rFonts w:ascii="Arial" w:hAnsi="Arial" w:cs="Arial"/>
        </w:rPr>
        <w:t>achieving</w:t>
      </w:r>
      <w:r>
        <w:rPr>
          <w:rFonts w:ascii="Arial" w:hAnsi="Arial" w:cs="Arial"/>
        </w:rPr>
        <w:t xml:space="preserve"> a good knowledge of </w:t>
      </w:r>
      <w:r w:rsidR="0036192A">
        <w:rPr>
          <w:rFonts w:ascii="Arial" w:hAnsi="Arial" w:cs="Arial"/>
        </w:rPr>
        <w:t xml:space="preserve">employee engagement. </w:t>
      </w:r>
      <w:r w:rsidR="0036192A" w:rsidRPr="0036192A">
        <w:rPr>
          <w:rFonts w:ascii="Arial" w:hAnsi="Arial" w:cs="Arial"/>
        </w:rPr>
        <w:t>It is vital to ask the correct questions through a well-designed engagement survey, but it is also necessary to ask the difficult questions about why workers, particularly high performers, choose to leave the organisation. This useful input can assist in identifying areas for development in order to recruit and keep the greatest, totally engaged super star personnel. Many experts recommend combining a written questionnaire with an exit interview during the employee's final week on the job, as well as a follow-up phone call a month or more after they depart.</w:t>
      </w:r>
    </w:p>
    <w:p w14:paraId="28E0B763" w14:textId="560B95B1" w:rsidR="00D7725F" w:rsidRDefault="00D7725F" w:rsidP="00BD025D">
      <w:pPr>
        <w:pStyle w:val="Heading1"/>
        <w:rPr>
          <w:rFonts w:ascii="Arial" w:hAnsi="Arial" w:cs="Arial"/>
          <w:b/>
          <w:bCs/>
          <w:color w:val="000000" w:themeColor="text1"/>
        </w:rPr>
      </w:pPr>
      <w:bookmarkStart w:id="4" w:name="_Toc102595298"/>
      <w:r w:rsidRPr="00BD025D">
        <w:rPr>
          <w:rFonts w:ascii="Arial" w:hAnsi="Arial" w:cs="Arial"/>
          <w:b/>
          <w:bCs/>
          <w:color w:val="000000" w:themeColor="text1"/>
        </w:rPr>
        <w:t>S</w:t>
      </w:r>
      <w:r w:rsidRPr="00BD025D">
        <w:rPr>
          <w:rFonts w:ascii="Arial" w:hAnsi="Arial" w:cs="Arial"/>
          <w:b/>
          <w:bCs/>
          <w:color w:val="000000" w:themeColor="text1"/>
        </w:rPr>
        <w:t>trategies to raise levels of engagement.</w:t>
      </w:r>
      <w:bookmarkEnd w:id="4"/>
    </w:p>
    <w:p w14:paraId="157A9DEA" w14:textId="77777777" w:rsidR="00BD025D" w:rsidRPr="00BD025D" w:rsidRDefault="00BD025D" w:rsidP="00BD025D"/>
    <w:p w14:paraId="60EA7B9B" w14:textId="74C1A11B" w:rsidR="00652709" w:rsidRDefault="007E220C" w:rsidP="008A436C">
      <w:pPr>
        <w:spacing w:line="360" w:lineRule="auto"/>
      </w:pPr>
      <w:r w:rsidRPr="007E220C">
        <w:rPr>
          <w:rFonts w:ascii="Arial" w:hAnsi="Arial" w:cs="Arial"/>
        </w:rPr>
        <w:t>The demand for increased engagement is urgent. Recent surveys indicate that it is on the rise, but the overall situation remains poor. According to Gallup data, just approximately 34% of UK workers</w:t>
      </w:r>
      <w:r>
        <w:rPr>
          <w:rFonts w:ascii="Arial" w:hAnsi="Arial" w:cs="Arial"/>
        </w:rPr>
        <w:t xml:space="preserve"> </w:t>
      </w:r>
      <w:r w:rsidRPr="007E220C">
        <w:rPr>
          <w:rFonts w:ascii="Arial" w:hAnsi="Arial" w:cs="Arial"/>
        </w:rPr>
        <w:t>and 13% globally</w:t>
      </w:r>
      <w:r>
        <w:rPr>
          <w:rFonts w:ascii="Arial" w:hAnsi="Arial" w:cs="Arial"/>
        </w:rPr>
        <w:t xml:space="preserve"> </w:t>
      </w:r>
      <w:r w:rsidRPr="007E220C">
        <w:rPr>
          <w:rFonts w:ascii="Arial" w:hAnsi="Arial" w:cs="Arial"/>
        </w:rPr>
        <w:t>report being engaged at work.</w:t>
      </w:r>
      <w:r w:rsidR="007D007E" w:rsidRPr="007D007E">
        <w:t xml:space="preserve"> </w:t>
      </w:r>
      <w:r w:rsidR="007D007E" w:rsidRPr="007D007E">
        <w:rPr>
          <w:rFonts w:ascii="Arial" w:hAnsi="Arial" w:cs="Arial"/>
        </w:rPr>
        <w:t>Those figures translate into more than simply a lack of smiles in the lunch time. Productivity, customer service, and profitability are all linked to employee engagement. According to the Hay Group, a management consulting firm, enterprises with high levels of employee engagement grow their income 2.5 times faster than those with low levels.</w:t>
      </w:r>
      <w:r w:rsidR="008A436C" w:rsidRPr="008A436C">
        <w:t xml:space="preserve"> </w:t>
      </w:r>
    </w:p>
    <w:p w14:paraId="434E6BF0" w14:textId="538CF987" w:rsidR="00CE76CD" w:rsidRDefault="00F8085C" w:rsidP="008A436C">
      <w:pPr>
        <w:spacing w:line="360" w:lineRule="auto"/>
        <w:rPr>
          <w:rFonts w:ascii="Arial" w:hAnsi="Arial" w:cs="Arial"/>
        </w:rPr>
      </w:pPr>
      <w:r>
        <w:rPr>
          <w:rFonts w:ascii="Arial" w:hAnsi="Arial" w:cs="Arial"/>
        </w:rPr>
        <w:t>Some strategies to raise the levels of engagement are simple such as</w:t>
      </w:r>
      <w:r w:rsidR="001D47FF">
        <w:rPr>
          <w:rFonts w:ascii="Arial" w:hAnsi="Arial" w:cs="Arial"/>
        </w:rPr>
        <w:t xml:space="preserve"> giving individual attention to the employees </w:t>
      </w:r>
      <w:r w:rsidR="00337B56">
        <w:rPr>
          <w:rFonts w:ascii="Arial" w:hAnsi="Arial" w:cs="Arial"/>
        </w:rPr>
        <w:t xml:space="preserve">with 1 to 1 chatting sessions between managers and employees. </w:t>
      </w:r>
      <w:r w:rsidR="00867958" w:rsidRPr="00867958">
        <w:rPr>
          <w:rFonts w:ascii="Arial" w:hAnsi="Arial" w:cs="Arial"/>
        </w:rPr>
        <w:t xml:space="preserve">Provide </w:t>
      </w:r>
      <w:r w:rsidR="00867958">
        <w:rPr>
          <w:rFonts w:ascii="Arial" w:hAnsi="Arial" w:cs="Arial"/>
        </w:rPr>
        <w:t>t</w:t>
      </w:r>
      <w:r w:rsidR="00867958" w:rsidRPr="00867958">
        <w:rPr>
          <w:rFonts w:ascii="Arial" w:hAnsi="Arial" w:cs="Arial"/>
        </w:rPr>
        <w:t xml:space="preserve">raining and </w:t>
      </w:r>
      <w:r w:rsidR="00867958">
        <w:rPr>
          <w:rFonts w:ascii="Arial" w:hAnsi="Arial" w:cs="Arial"/>
        </w:rPr>
        <w:t>c</w:t>
      </w:r>
      <w:r w:rsidR="00867958" w:rsidRPr="00867958">
        <w:rPr>
          <w:rFonts w:ascii="Arial" w:hAnsi="Arial" w:cs="Arial"/>
        </w:rPr>
        <w:t>oaching</w:t>
      </w:r>
      <w:r w:rsidR="00333904">
        <w:rPr>
          <w:rFonts w:ascii="Arial" w:hAnsi="Arial" w:cs="Arial"/>
        </w:rPr>
        <w:t xml:space="preserve"> as t</w:t>
      </w:r>
      <w:r w:rsidR="00333904" w:rsidRPr="00333904">
        <w:rPr>
          <w:rFonts w:ascii="Arial" w:hAnsi="Arial" w:cs="Arial"/>
        </w:rPr>
        <w:t xml:space="preserve">he more the employee feels the company is investing in </w:t>
      </w:r>
      <w:r w:rsidR="00333904" w:rsidRPr="00333904">
        <w:rPr>
          <w:rFonts w:ascii="Arial" w:hAnsi="Arial" w:cs="Arial"/>
        </w:rPr>
        <w:lastRenderedPageBreak/>
        <w:t>their future, the higher the level of engagement</w:t>
      </w:r>
      <w:r w:rsidR="00333904">
        <w:rPr>
          <w:rFonts w:ascii="Arial" w:hAnsi="Arial" w:cs="Arial"/>
        </w:rPr>
        <w:t xml:space="preserve"> will be.</w:t>
      </w:r>
      <w:r w:rsidR="00F41B4B">
        <w:rPr>
          <w:rFonts w:ascii="Arial" w:hAnsi="Arial" w:cs="Arial"/>
        </w:rPr>
        <w:t xml:space="preserve"> </w:t>
      </w:r>
      <w:r w:rsidR="00484C4A">
        <w:rPr>
          <w:rFonts w:ascii="Arial" w:hAnsi="Arial" w:cs="Arial"/>
        </w:rPr>
        <w:t>L</w:t>
      </w:r>
      <w:r w:rsidR="00F41B4B">
        <w:rPr>
          <w:rFonts w:ascii="Arial" w:hAnsi="Arial" w:cs="Arial"/>
        </w:rPr>
        <w:t>isten to the employees and try as a manager to serve others</w:t>
      </w:r>
      <w:r w:rsidR="005D43B7">
        <w:rPr>
          <w:rFonts w:ascii="Arial" w:hAnsi="Arial" w:cs="Arial"/>
        </w:rPr>
        <w:t xml:space="preserve"> is another strategy to raise the level of engagement. </w:t>
      </w:r>
    </w:p>
    <w:p w14:paraId="624D8E60" w14:textId="4E1F70EB" w:rsidR="00E64E58" w:rsidRDefault="00E64E58" w:rsidP="00BD025D">
      <w:pPr>
        <w:pStyle w:val="Heading1"/>
        <w:rPr>
          <w:rFonts w:ascii="Arial" w:hAnsi="Arial" w:cs="Arial"/>
          <w:b/>
          <w:bCs/>
          <w:color w:val="000000" w:themeColor="text1"/>
        </w:rPr>
      </w:pPr>
      <w:bookmarkStart w:id="5" w:name="_Toc102595299"/>
      <w:r w:rsidRPr="00BD025D">
        <w:rPr>
          <w:rFonts w:ascii="Arial" w:hAnsi="Arial" w:cs="Arial"/>
          <w:b/>
          <w:bCs/>
          <w:color w:val="000000" w:themeColor="text1"/>
        </w:rPr>
        <w:t>Conclusion</w:t>
      </w:r>
      <w:bookmarkEnd w:id="5"/>
    </w:p>
    <w:p w14:paraId="273BCCE7" w14:textId="77777777" w:rsidR="00BD025D" w:rsidRPr="00BD025D" w:rsidRDefault="00BD025D" w:rsidP="00BD025D"/>
    <w:p w14:paraId="293814FD" w14:textId="767EACF7" w:rsidR="00D7725F" w:rsidRDefault="008A436C" w:rsidP="008A436C">
      <w:pPr>
        <w:spacing w:line="360" w:lineRule="auto"/>
        <w:rPr>
          <w:rFonts w:ascii="Arial" w:hAnsi="Arial" w:cs="Arial"/>
        </w:rPr>
      </w:pPr>
      <w:r w:rsidRPr="008A436C">
        <w:rPr>
          <w:rFonts w:ascii="Arial" w:hAnsi="Arial" w:cs="Arial"/>
        </w:rPr>
        <w:t xml:space="preserve">A variety of things might obstruct genuine engagement. These include organisational turmoil, management distrust, job market uncertainty, and a lack of connection among workers and </w:t>
      </w:r>
      <w:r w:rsidR="001373E0" w:rsidRPr="008A436C">
        <w:rPr>
          <w:rFonts w:ascii="Arial" w:hAnsi="Arial" w:cs="Arial"/>
        </w:rPr>
        <w:t>teams. Organizations</w:t>
      </w:r>
      <w:r w:rsidRPr="008A436C">
        <w:rPr>
          <w:rFonts w:ascii="Arial" w:hAnsi="Arial" w:cs="Arial"/>
        </w:rPr>
        <w:t xml:space="preserve"> that attempt to purchase their employees' passion and devotion, on the other hand, are likely to be disappointed. While more compensation and better benefits often boost a worker's pleasure and overall contentment, engagement experts believe they don't genuinely promote engagement and the additional effort that comes with it.</w:t>
      </w:r>
      <w:r w:rsidR="001373E0">
        <w:rPr>
          <w:rFonts w:ascii="Arial" w:hAnsi="Arial" w:cs="Arial"/>
        </w:rPr>
        <w:t xml:space="preserve"> </w:t>
      </w:r>
    </w:p>
    <w:p w14:paraId="74BE6EC5" w14:textId="7DF59B4B" w:rsidR="00597C7D" w:rsidRDefault="00597C7D" w:rsidP="008A436C">
      <w:pPr>
        <w:spacing w:line="360" w:lineRule="auto"/>
        <w:rPr>
          <w:rFonts w:ascii="Arial" w:hAnsi="Arial" w:cs="Arial"/>
        </w:rPr>
      </w:pPr>
      <w:r>
        <w:rPr>
          <w:rFonts w:ascii="Arial" w:hAnsi="Arial" w:cs="Arial"/>
        </w:rPr>
        <w:t xml:space="preserve">An organization and every type of business needs to have at hart </w:t>
      </w:r>
      <w:r w:rsidR="009A467A">
        <w:rPr>
          <w:rFonts w:ascii="Arial" w:hAnsi="Arial" w:cs="Arial"/>
        </w:rPr>
        <w:t>these drivers, tools and strategies</w:t>
      </w:r>
      <w:r>
        <w:rPr>
          <w:rFonts w:ascii="Arial" w:hAnsi="Arial" w:cs="Arial"/>
        </w:rPr>
        <w:t xml:space="preserve"> </w:t>
      </w:r>
      <w:r w:rsidR="00F96FFB">
        <w:rPr>
          <w:rFonts w:ascii="Arial" w:hAnsi="Arial" w:cs="Arial"/>
        </w:rPr>
        <w:t xml:space="preserve">as employee engagement </w:t>
      </w:r>
      <w:r w:rsidR="005B241B">
        <w:rPr>
          <w:rFonts w:ascii="Arial" w:hAnsi="Arial" w:cs="Arial"/>
        </w:rPr>
        <w:t xml:space="preserve">needs to be a fundamental measure for the prosperity of a business. </w:t>
      </w:r>
    </w:p>
    <w:p w14:paraId="525393DE" w14:textId="77777777" w:rsidR="009A467A" w:rsidRPr="007E220C" w:rsidRDefault="009A467A" w:rsidP="008A436C">
      <w:pPr>
        <w:spacing w:line="360" w:lineRule="auto"/>
        <w:rPr>
          <w:rFonts w:ascii="Arial" w:hAnsi="Arial" w:cs="Arial"/>
        </w:rPr>
      </w:pPr>
    </w:p>
    <w:p w14:paraId="5943C86D" w14:textId="77777777" w:rsidR="009A467A" w:rsidRPr="00BD025D" w:rsidRDefault="009A467A" w:rsidP="00BD025D">
      <w:pPr>
        <w:pStyle w:val="Heading1"/>
        <w:rPr>
          <w:rFonts w:ascii="Arial" w:hAnsi="Arial" w:cs="Arial"/>
          <w:b/>
          <w:bCs/>
          <w:color w:val="000000" w:themeColor="text1"/>
        </w:rPr>
      </w:pPr>
      <w:bookmarkStart w:id="6" w:name="_Toc102595300"/>
      <w:r w:rsidRPr="00BD025D">
        <w:rPr>
          <w:rFonts w:ascii="Arial" w:hAnsi="Arial" w:cs="Arial"/>
          <w:b/>
          <w:bCs/>
          <w:color w:val="000000" w:themeColor="text1"/>
        </w:rPr>
        <w:t>References</w:t>
      </w:r>
      <w:bookmarkEnd w:id="6"/>
    </w:p>
    <w:p w14:paraId="5562F731" w14:textId="77777777" w:rsidR="00BD025D" w:rsidRDefault="00BD025D" w:rsidP="009A467A">
      <w:pPr>
        <w:spacing w:line="360" w:lineRule="auto"/>
        <w:rPr>
          <w:rFonts w:ascii="Arial" w:hAnsi="Arial" w:cs="Arial"/>
          <w:b/>
          <w:bCs/>
          <w:color w:val="000000" w:themeColor="text1"/>
        </w:rPr>
      </w:pPr>
    </w:p>
    <w:p w14:paraId="16B0AAE3" w14:textId="50B206CA" w:rsidR="00BD025D" w:rsidRDefault="00BD025D" w:rsidP="009A467A">
      <w:pPr>
        <w:spacing w:line="360" w:lineRule="auto"/>
        <w:rPr>
          <w:rFonts w:ascii="Arial" w:hAnsi="Arial" w:cs="Arial"/>
        </w:rPr>
      </w:pPr>
      <w:r w:rsidRPr="009A467A">
        <w:rPr>
          <w:rFonts w:ascii="Arial" w:hAnsi="Arial" w:cs="Arial"/>
        </w:rPr>
        <w:t xml:space="preserve">Aaron Brown. 2020 “How to Measure Employee Engagement the Right Way” [online] Available at: </w:t>
      </w:r>
      <w:hyperlink r:id="rId10" w:history="1">
        <w:r w:rsidRPr="00E5184C">
          <w:rPr>
            <w:rStyle w:val="Hyperlink"/>
            <w:rFonts w:ascii="Arial" w:hAnsi="Arial" w:cs="Arial"/>
          </w:rPr>
          <w:t>https://www.quantumworkplace.com/future-of-work/the-right-way-to-measure-employee-engagement</w:t>
        </w:r>
      </w:hyperlink>
      <w:r>
        <w:rPr>
          <w:rFonts w:ascii="Arial" w:hAnsi="Arial" w:cs="Arial"/>
        </w:rPr>
        <w:t xml:space="preserve"> </w:t>
      </w:r>
      <w:r w:rsidRPr="009A467A">
        <w:rPr>
          <w:rFonts w:ascii="Arial" w:hAnsi="Arial" w:cs="Arial"/>
        </w:rPr>
        <w:t xml:space="preserve"> ( Accessed 04 May 2022)</w:t>
      </w:r>
    </w:p>
    <w:p w14:paraId="58BB541D" w14:textId="77777777" w:rsidR="00BD025D" w:rsidRPr="009A467A" w:rsidRDefault="00BD025D" w:rsidP="009A467A">
      <w:pPr>
        <w:spacing w:line="360" w:lineRule="auto"/>
        <w:rPr>
          <w:rFonts w:ascii="Arial" w:hAnsi="Arial" w:cs="Arial"/>
        </w:rPr>
      </w:pPr>
    </w:p>
    <w:p w14:paraId="12987AC5" w14:textId="2596C97C" w:rsidR="00BD025D" w:rsidRDefault="00BD025D" w:rsidP="009A467A">
      <w:pPr>
        <w:spacing w:line="360" w:lineRule="auto"/>
        <w:rPr>
          <w:rFonts w:ascii="Arial" w:hAnsi="Arial" w:cs="Arial"/>
        </w:rPr>
      </w:pPr>
      <w:r w:rsidRPr="009A467A">
        <w:rPr>
          <w:rFonts w:ascii="Arial" w:hAnsi="Arial" w:cs="Arial"/>
        </w:rPr>
        <w:t xml:space="preserve">CIPD, 2021. “Planning for hybrid working” [online], Available at: </w:t>
      </w:r>
      <w:hyperlink r:id="rId11" w:history="1">
        <w:r w:rsidRPr="00E5184C">
          <w:rPr>
            <w:rStyle w:val="Hyperlink"/>
            <w:rFonts w:ascii="Arial" w:hAnsi="Arial" w:cs="Arial"/>
          </w:rPr>
          <w:t>https://www.cipd.co.uk/knowledge/fundamentals/relations/flexible-working/planning-hybrid-working?googlecpcCIPD_NEW_CONTENT_DEC_ENflexible%20workingHYBRID_WORKING&amp;gclid=Cj0KCQjwyMiTBhDKARIsAAJ-9VtUmy2nDTH92OqwpoSNCn8XvW0wROffYEQw23iEV5gQXLVP4QUnyuYaApXuEALw_wcB</w:t>
        </w:r>
      </w:hyperlink>
      <w:r>
        <w:rPr>
          <w:rFonts w:ascii="Arial" w:hAnsi="Arial" w:cs="Arial"/>
        </w:rPr>
        <w:t xml:space="preserve"> </w:t>
      </w:r>
      <w:r w:rsidRPr="009A467A">
        <w:rPr>
          <w:rFonts w:ascii="Arial" w:hAnsi="Arial" w:cs="Arial"/>
        </w:rPr>
        <w:t xml:space="preserve"> (Accessed 04 May 2022)</w:t>
      </w:r>
    </w:p>
    <w:p w14:paraId="24BC5192" w14:textId="77777777" w:rsidR="00BD025D" w:rsidRPr="009A467A" w:rsidRDefault="00BD025D" w:rsidP="009A467A">
      <w:pPr>
        <w:spacing w:line="360" w:lineRule="auto"/>
        <w:rPr>
          <w:rFonts w:ascii="Arial" w:hAnsi="Arial" w:cs="Arial"/>
        </w:rPr>
      </w:pPr>
    </w:p>
    <w:p w14:paraId="7EAA82CC" w14:textId="6792185E" w:rsidR="00BD025D" w:rsidRDefault="00BD025D" w:rsidP="009A467A">
      <w:pPr>
        <w:spacing w:line="360" w:lineRule="auto"/>
        <w:rPr>
          <w:rFonts w:ascii="Arial" w:hAnsi="Arial" w:cs="Arial"/>
        </w:rPr>
      </w:pPr>
      <w:r w:rsidRPr="009A467A">
        <w:rPr>
          <w:rFonts w:ascii="Arial" w:hAnsi="Arial" w:cs="Arial"/>
        </w:rPr>
        <w:t xml:space="preserve">Kris </w:t>
      </w:r>
      <w:proofErr w:type="spellStart"/>
      <w:r w:rsidRPr="009A467A">
        <w:rPr>
          <w:rFonts w:ascii="Arial" w:hAnsi="Arial" w:cs="Arial"/>
        </w:rPr>
        <w:t>Kitto</w:t>
      </w:r>
      <w:proofErr w:type="spellEnd"/>
      <w:r w:rsidRPr="009A467A">
        <w:rPr>
          <w:rFonts w:ascii="Arial" w:hAnsi="Arial" w:cs="Arial"/>
        </w:rPr>
        <w:t xml:space="preserve">. 2020 “What Are the Drivers of Employee Engagement?” [online] Available at: </w:t>
      </w:r>
      <w:hyperlink r:id="rId12" w:history="1">
        <w:r w:rsidRPr="00E5184C">
          <w:rPr>
            <w:rStyle w:val="Hyperlink"/>
            <w:rFonts w:ascii="Arial" w:hAnsi="Arial" w:cs="Arial"/>
          </w:rPr>
          <w:t>https://www.glintinc.com/blog/drivers-of-employee-engagement/</w:t>
        </w:r>
      </w:hyperlink>
      <w:r>
        <w:rPr>
          <w:rFonts w:ascii="Arial" w:hAnsi="Arial" w:cs="Arial"/>
        </w:rPr>
        <w:t xml:space="preserve"> </w:t>
      </w:r>
      <w:r w:rsidRPr="009A467A">
        <w:rPr>
          <w:rFonts w:ascii="Arial" w:hAnsi="Arial" w:cs="Arial"/>
        </w:rPr>
        <w:t xml:space="preserve"> ( Accessed 04 May 2022)</w:t>
      </w:r>
    </w:p>
    <w:p w14:paraId="6ABDAF2E" w14:textId="77777777" w:rsidR="00BD025D" w:rsidRPr="00207C61" w:rsidRDefault="00BD025D" w:rsidP="009A467A">
      <w:pPr>
        <w:spacing w:line="360" w:lineRule="auto"/>
        <w:rPr>
          <w:rFonts w:ascii="Arial" w:hAnsi="Arial" w:cs="Arial"/>
        </w:rPr>
      </w:pPr>
    </w:p>
    <w:p w14:paraId="6E68C4E4" w14:textId="09F65A2C" w:rsidR="00BD025D" w:rsidRDefault="00BD025D" w:rsidP="009A467A">
      <w:pPr>
        <w:spacing w:line="360" w:lineRule="auto"/>
        <w:rPr>
          <w:rFonts w:ascii="Arial" w:hAnsi="Arial" w:cs="Arial"/>
        </w:rPr>
      </w:pPr>
      <w:r w:rsidRPr="009A467A">
        <w:rPr>
          <w:rFonts w:ascii="Arial" w:hAnsi="Arial" w:cs="Arial"/>
        </w:rPr>
        <w:t xml:space="preserve">Madhura </w:t>
      </w:r>
      <w:proofErr w:type="spellStart"/>
      <w:r w:rsidRPr="009A467A">
        <w:rPr>
          <w:rFonts w:ascii="Arial" w:hAnsi="Arial" w:cs="Arial"/>
        </w:rPr>
        <w:t>Bedarkar</w:t>
      </w:r>
      <w:proofErr w:type="spellEnd"/>
      <w:r w:rsidRPr="009A467A">
        <w:rPr>
          <w:rFonts w:ascii="Arial" w:hAnsi="Arial" w:cs="Arial"/>
        </w:rPr>
        <w:t xml:space="preserve"> and </w:t>
      </w:r>
      <w:proofErr w:type="spellStart"/>
      <w:r w:rsidRPr="009A467A">
        <w:rPr>
          <w:rFonts w:ascii="Arial" w:hAnsi="Arial" w:cs="Arial"/>
        </w:rPr>
        <w:t>DeepikaPandita</w:t>
      </w:r>
      <w:proofErr w:type="spellEnd"/>
      <w:r w:rsidRPr="009A467A">
        <w:rPr>
          <w:rFonts w:ascii="Arial" w:hAnsi="Arial" w:cs="Arial"/>
        </w:rPr>
        <w:t xml:space="preserve">, 2014. “A Study on the Drivers of Employee Engagement Impacting Employee Performance”. Procedia - Social and </w:t>
      </w:r>
      <w:proofErr w:type="spellStart"/>
      <w:r w:rsidRPr="009A467A">
        <w:rPr>
          <w:rFonts w:ascii="Arial" w:hAnsi="Arial" w:cs="Arial"/>
        </w:rPr>
        <w:t>Behavioral</w:t>
      </w:r>
      <w:proofErr w:type="spellEnd"/>
      <w:r w:rsidRPr="009A467A">
        <w:rPr>
          <w:rFonts w:ascii="Arial" w:hAnsi="Arial" w:cs="Arial"/>
        </w:rPr>
        <w:t xml:space="preserve"> Sciences. Volume 133, 15 May 2014, Pages 106-115. [online] Available at: </w:t>
      </w:r>
      <w:hyperlink r:id="rId13" w:history="1">
        <w:r w:rsidRPr="00E5184C">
          <w:rPr>
            <w:rStyle w:val="Hyperlink"/>
            <w:rFonts w:ascii="Arial" w:hAnsi="Arial" w:cs="Arial"/>
          </w:rPr>
          <w:t>https://www.sciencedirect.com/science/article/pii/S1877042814030845</w:t>
        </w:r>
      </w:hyperlink>
      <w:r>
        <w:rPr>
          <w:rFonts w:ascii="Arial" w:hAnsi="Arial" w:cs="Arial"/>
        </w:rPr>
        <w:t xml:space="preserve"> </w:t>
      </w:r>
      <w:r w:rsidRPr="009A467A">
        <w:rPr>
          <w:rFonts w:ascii="Arial" w:hAnsi="Arial" w:cs="Arial"/>
        </w:rPr>
        <w:t xml:space="preserve"> (Accessed 04 May 2022)</w:t>
      </w:r>
    </w:p>
    <w:p w14:paraId="4AEDF106" w14:textId="77777777" w:rsidR="00BD025D" w:rsidRPr="009A467A" w:rsidRDefault="00BD025D" w:rsidP="009A467A">
      <w:pPr>
        <w:spacing w:line="360" w:lineRule="auto"/>
        <w:rPr>
          <w:rFonts w:ascii="Arial" w:hAnsi="Arial" w:cs="Arial"/>
        </w:rPr>
      </w:pPr>
    </w:p>
    <w:p w14:paraId="4456578A" w14:textId="77777777" w:rsidR="00BD025D" w:rsidRPr="009A467A" w:rsidRDefault="00BD025D" w:rsidP="009A467A">
      <w:pPr>
        <w:spacing w:line="360" w:lineRule="auto"/>
        <w:rPr>
          <w:rFonts w:ascii="Arial" w:hAnsi="Arial" w:cs="Arial"/>
        </w:rPr>
      </w:pPr>
      <w:r w:rsidRPr="009A467A">
        <w:rPr>
          <w:rFonts w:ascii="Arial" w:hAnsi="Arial" w:cs="Arial"/>
        </w:rPr>
        <w:t xml:space="preserve">Tamara Lytle. 2016. “Tips to Increase Employee Engagement Without Spending a Dime” [online] Available at: </w:t>
      </w:r>
      <w:hyperlink r:id="rId14" w:history="1">
        <w:r w:rsidRPr="00E5184C">
          <w:rPr>
            <w:rStyle w:val="Hyperlink"/>
            <w:rFonts w:ascii="Arial" w:hAnsi="Arial" w:cs="Arial"/>
          </w:rPr>
          <w:t>https://www.shrm.org/hr-today/news/hr-magazine/1016/pages/7-tips-to-increase-employee-engagement-without-spending-a-dime.aspx</w:t>
        </w:r>
      </w:hyperlink>
      <w:r>
        <w:rPr>
          <w:rFonts w:ascii="Arial" w:hAnsi="Arial" w:cs="Arial"/>
        </w:rPr>
        <w:t xml:space="preserve"> </w:t>
      </w:r>
      <w:r w:rsidRPr="009A467A">
        <w:rPr>
          <w:rFonts w:ascii="Arial" w:hAnsi="Arial" w:cs="Arial"/>
        </w:rPr>
        <w:t xml:space="preserve"> ( Accessed 05 May 2022)</w:t>
      </w:r>
    </w:p>
    <w:p w14:paraId="3F691496" w14:textId="25443F02" w:rsidR="00BD025D" w:rsidRDefault="00BD025D" w:rsidP="009A467A">
      <w:pPr>
        <w:spacing w:line="360" w:lineRule="auto"/>
        <w:rPr>
          <w:rFonts w:ascii="Arial" w:hAnsi="Arial" w:cs="Arial"/>
        </w:rPr>
      </w:pPr>
      <w:r w:rsidRPr="009A467A">
        <w:rPr>
          <w:rFonts w:ascii="Arial" w:hAnsi="Arial" w:cs="Arial"/>
        </w:rPr>
        <w:t xml:space="preserve">uk.sodexo.com.2022. “Improving employee engagement in a hybrid-working model”. [online] Available at: </w:t>
      </w:r>
      <w:hyperlink r:id="rId15" w:history="1">
        <w:r w:rsidRPr="00E5184C">
          <w:rPr>
            <w:rStyle w:val="Hyperlink"/>
            <w:rFonts w:ascii="Arial" w:hAnsi="Arial" w:cs="Arial"/>
          </w:rPr>
          <w:t>https://uk.sodexo.com/inspired-thinking/insights/employee-engagement-in-hybridworking.html?utm_source=google&amp;utm_medium=cpc&amp;utm_campaign=UK_CS_GS_PSP_Employee&amp;creative=556794033060&amp;utm_term=employee%20engagement&amp;matchtype=p&amp;device=c&amp;gclid=Cj0KCQjwyMiTBhDKARIsAAJ-9VtXJgm3pb6O5peRzWFHwaOVf0MTWmMlMKVpNwzcnJJj8Z5wt9PeeoIaAoKIEALw_wcB</w:t>
        </w:r>
      </w:hyperlink>
      <w:r>
        <w:rPr>
          <w:rFonts w:ascii="Arial" w:hAnsi="Arial" w:cs="Arial"/>
        </w:rPr>
        <w:t xml:space="preserve"> </w:t>
      </w:r>
      <w:r w:rsidRPr="009A467A">
        <w:rPr>
          <w:rFonts w:ascii="Arial" w:hAnsi="Arial" w:cs="Arial"/>
        </w:rPr>
        <w:t xml:space="preserve"> (Accessed 04 May 2022)</w:t>
      </w:r>
    </w:p>
    <w:p w14:paraId="463202AC" w14:textId="77777777" w:rsidR="00BD025D" w:rsidRPr="009A467A" w:rsidRDefault="00BD025D" w:rsidP="009A467A">
      <w:pPr>
        <w:spacing w:line="360" w:lineRule="auto"/>
        <w:rPr>
          <w:rFonts w:ascii="Arial" w:hAnsi="Arial" w:cs="Arial"/>
        </w:rPr>
      </w:pPr>
    </w:p>
    <w:p w14:paraId="3D4794F6" w14:textId="77777777" w:rsidR="00BD025D" w:rsidRPr="009A467A" w:rsidRDefault="00BD025D" w:rsidP="009A467A">
      <w:pPr>
        <w:spacing w:line="360" w:lineRule="auto"/>
        <w:rPr>
          <w:rFonts w:ascii="Arial" w:hAnsi="Arial" w:cs="Arial"/>
        </w:rPr>
      </w:pPr>
      <w:r w:rsidRPr="009A467A">
        <w:rPr>
          <w:rFonts w:ascii="Arial" w:hAnsi="Arial" w:cs="Arial"/>
        </w:rPr>
        <w:t xml:space="preserve">Yao Liu. 2017 “Think You’re Dealing with Employee Disengagement? Here Are 5 Tools You Can Use to Evaluate Employee Engagement” [online] Available at: </w:t>
      </w:r>
      <w:hyperlink r:id="rId16" w:history="1">
        <w:r w:rsidRPr="00E5184C">
          <w:rPr>
            <w:rStyle w:val="Hyperlink"/>
            <w:rFonts w:ascii="Arial" w:hAnsi="Arial" w:cs="Arial"/>
          </w:rPr>
          <w:t>https://www.trinet.com/insights/think-youre-dealing-with-employee-disengagment-here-are-5-tools-you-can-use-to-evaluate-employee-engagement</w:t>
        </w:r>
      </w:hyperlink>
      <w:r>
        <w:rPr>
          <w:rFonts w:ascii="Arial" w:hAnsi="Arial" w:cs="Arial"/>
        </w:rPr>
        <w:t xml:space="preserve"> </w:t>
      </w:r>
      <w:r w:rsidRPr="009A467A">
        <w:rPr>
          <w:rFonts w:ascii="Arial" w:hAnsi="Arial" w:cs="Arial"/>
        </w:rPr>
        <w:t xml:space="preserve"> ( Accessed 05 May 2022)</w:t>
      </w:r>
    </w:p>
    <w:p w14:paraId="5AEEF398" w14:textId="1C03E391" w:rsidR="00C27CFF" w:rsidRDefault="00C27CFF" w:rsidP="001F230D">
      <w:pPr>
        <w:spacing w:line="360" w:lineRule="auto"/>
        <w:rPr>
          <w:rFonts w:ascii="Arial" w:hAnsi="Arial" w:cs="Arial"/>
          <w:sz w:val="40"/>
          <w:szCs w:val="40"/>
        </w:rPr>
      </w:pPr>
    </w:p>
    <w:p w14:paraId="5C3DE0E1" w14:textId="77777777" w:rsidR="00C27CFF" w:rsidRDefault="00C27CFF" w:rsidP="00C27CFF">
      <w:pPr>
        <w:rPr>
          <w:rFonts w:ascii="Arial" w:hAnsi="Arial" w:cs="Arial"/>
          <w:sz w:val="40"/>
          <w:szCs w:val="40"/>
        </w:rPr>
      </w:pPr>
    </w:p>
    <w:p w14:paraId="130690ED" w14:textId="77777777" w:rsidR="00C27CFF" w:rsidRPr="006436C6" w:rsidRDefault="00C27CFF" w:rsidP="006436C6">
      <w:pPr>
        <w:jc w:val="center"/>
        <w:rPr>
          <w:rFonts w:ascii="Arial" w:hAnsi="Arial" w:cs="Arial"/>
          <w:sz w:val="40"/>
          <w:szCs w:val="40"/>
        </w:rPr>
      </w:pPr>
    </w:p>
    <w:sectPr w:rsidR="00C27CFF" w:rsidRPr="006436C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D523B" w14:textId="77777777" w:rsidR="00D7229A" w:rsidRDefault="00D7229A" w:rsidP="00D7229A">
      <w:pPr>
        <w:spacing w:after="0" w:line="240" w:lineRule="auto"/>
      </w:pPr>
      <w:r>
        <w:separator/>
      </w:r>
    </w:p>
  </w:endnote>
  <w:endnote w:type="continuationSeparator" w:id="0">
    <w:p w14:paraId="50864A29" w14:textId="77777777" w:rsidR="00D7229A" w:rsidRDefault="00D7229A" w:rsidP="00D72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571267"/>
      <w:docPartObj>
        <w:docPartGallery w:val="Page Numbers (Bottom of Page)"/>
        <w:docPartUnique/>
      </w:docPartObj>
    </w:sdtPr>
    <w:sdtContent>
      <w:p w14:paraId="49078FAD" w14:textId="574B794A" w:rsidR="00D7229A" w:rsidRDefault="00D7229A">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F77D70F" w14:textId="77777777" w:rsidR="00D7229A" w:rsidRDefault="00D72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919B1" w14:textId="77777777" w:rsidR="00D7229A" w:rsidRDefault="00D7229A" w:rsidP="00D7229A">
      <w:pPr>
        <w:spacing w:after="0" w:line="240" w:lineRule="auto"/>
      </w:pPr>
      <w:r>
        <w:separator/>
      </w:r>
    </w:p>
  </w:footnote>
  <w:footnote w:type="continuationSeparator" w:id="0">
    <w:p w14:paraId="5AA50C25" w14:textId="77777777" w:rsidR="00D7229A" w:rsidRDefault="00D7229A" w:rsidP="00D722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EC0"/>
    <w:rsid w:val="00001EC0"/>
    <w:rsid w:val="00017E29"/>
    <w:rsid w:val="00022609"/>
    <w:rsid w:val="00026AF7"/>
    <w:rsid w:val="000409A8"/>
    <w:rsid w:val="000519E3"/>
    <w:rsid w:val="000610B7"/>
    <w:rsid w:val="00066FE9"/>
    <w:rsid w:val="000708C9"/>
    <w:rsid w:val="0012142D"/>
    <w:rsid w:val="00134D58"/>
    <w:rsid w:val="001373E0"/>
    <w:rsid w:val="001935AD"/>
    <w:rsid w:val="001D47FF"/>
    <w:rsid w:val="001F230D"/>
    <w:rsid w:val="001F2768"/>
    <w:rsid w:val="00207C61"/>
    <w:rsid w:val="00225ECB"/>
    <w:rsid w:val="00263B0B"/>
    <w:rsid w:val="0027063B"/>
    <w:rsid w:val="002B010B"/>
    <w:rsid w:val="002B64A0"/>
    <w:rsid w:val="002D4F43"/>
    <w:rsid w:val="00333904"/>
    <w:rsid w:val="00337B56"/>
    <w:rsid w:val="00353104"/>
    <w:rsid w:val="0036192A"/>
    <w:rsid w:val="00412599"/>
    <w:rsid w:val="00450DD6"/>
    <w:rsid w:val="0048000F"/>
    <w:rsid w:val="004839AF"/>
    <w:rsid w:val="00484C4A"/>
    <w:rsid w:val="004C7DB9"/>
    <w:rsid w:val="004E4FF0"/>
    <w:rsid w:val="004E58BD"/>
    <w:rsid w:val="004E6121"/>
    <w:rsid w:val="00564EC6"/>
    <w:rsid w:val="00573A5A"/>
    <w:rsid w:val="00590082"/>
    <w:rsid w:val="00597C7D"/>
    <w:rsid w:val="005B241B"/>
    <w:rsid w:val="005D2726"/>
    <w:rsid w:val="005D43B7"/>
    <w:rsid w:val="005E3220"/>
    <w:rsid w:val="0061715B"/>
    <w:rsid w:val="00623C73"/>
    <w:rsid w:val="00642568"/>
    <w:rsid w:val="006436C6"/>
    <w:rsid w:val="00652709"/>
    <w:rsid w:val="00665048"/>
    <w:rsid w:val="006E20AA"/>
    <w:rsid w:val="00703958"/>
    <w:rsid w:val="00707239"/>
    <w:rsid w:val="007238E2"/>
    <w:rsid w:val="0072589A"/>
    <w:rsid w:val="007B7777"/>
    <w:rsid w:val="007D007E"/>
    <w:rsid w:val="007E220C"/>
    <w:rsid w:val="007E2FE6"/>
    <w:rsid w:val="008033F2"/>
    <w:rsid w:val="00854A7F"/>
    <w:rsid w:val="00867958"/>
    <w:rsid w:val="00875839"/>
    <w:rsid w:val="00897C6F"/>
    <w:rsid w:val="008A436C"/>
    <w:rsid w:val="008C3AB6"/>
    <w:rsid w:val="008C71C6"/>
    <w:rsid w:val="00905310"/>
    <w:rsid w:val="00971EE7"/>
    <w:rsid w:val="009A1E7A"/>
    <w:rsid w:val="009A467A"/>
    <w:rsid w:val="009E0BDD"/>
    <w:rsid w:val="009F09F3"/>
    <w:rsid w:val="00A6693A"/>
    <w:rsid w:val="00AE1BBC"/>
    <w:rsid w:val="00AE243E"/>
    <w:rsid w:val="00B503EF"/>
    <w:rsid w:val="00B60BF2"/>
    <w:rsid w:val="00B80E54"/>
    <w:rsid w:val="00BA4F2C"/>
    <w:rsid w:val="00BD025D"/>
    <w:rsid w:val="00BE0A23"/>
    <w:rsid w:val="00BE168C"/>
    <w:rsid w:val="00BF4093"/>
    <w:rsid w:val="00C27CFF"/>
    <w:rsid w:val="00C4798A"/>
    <w:rsid w:val="00CB2A07"/>
    <w:rsid w:val="00CE76CD"/>
    <w:rsid w:val="00D0510D"/>
    <w:rsid w:val="00D114B2"/>
    <w:rsid w:val="00D31DC2"/>
    <w:rsid w:val="00D7229A"/>
    <w:rsid w:val="00D7725F"/>
    <w:rsid w:val="00DA1E5B"/>
    <w:rsid w:val="00DA626A"/>
    <w:rsid w:val="00DC425C"/>
    <w:rsid w:val="00E001CD"/>
    <w:rsid w:val="00E17B60"/>
    <w:rsid w:val="00E2114B"/>
    <w:rsid w:val="00E340C6"/>
    <w:rsid w:val="00E64E58"/>
    <w:rsid w:val="00EB0032"/>
    <w:rsid w:val="00EE1789"/>
    <w:rsid w:val="00EE798B"/>
    <w:rsid w:val="00F41B4B"/>
    <w:rsid w:val="00F8085C"/>
    <w:rsid w:val="00F96FFB"/>
    <w:rsid w:val="00F97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E6FD7"/>
  <w15:chartTrackingRefBased/>
  <w15:docId w15:val="{9691F159-B5C0-4BC5-933F-7498D8C7F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71C6"/>
  </w:style>
  <w:style w:type="paragraph" w:styleId="Heading1">
    <w:name w:val="heading 1"/>
    <w:basedOn w:val="Normal"/>
    <w:next w:val="Normal"/>
    <w:link w:val="Heading1Char"/>
    <w:uiPriority w:val="9"/>
    <w:qFormat/>
    <w:rsid w:val="00BD02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71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71C6"/>
    <w:rPr>
      <w:rFonts w:eastAsiaTheme="minorEastAsia"/>
      <w:lang w:val="en-US"/>
    </w:rPr>
  </w:style>
  <w:style w:type="character" w:styleId="Hyperlink">
    <w:name w:val="Hyperlink"/>
    <w:basedOn w:val="DefaultParagraphFont"/>
    <w:uiPriority w:val="99"/>
    <w:unhideWhenUsed/>
    <w:rsid w:val="00590082"/>
    <w:rPr>
      <w:color w:val="0563C1" w:themeColor="hyperlink"/>
      <w:u w:val="single"/>
    </w:rPr>
  </w:style>
  <w:style w:type="character" w:styleId="UnresolvedMention">
    <w:name w:val="Unresolved Mention"/>
    <w:basedOn w:val="DefaultParagraphFont"/>
    <w:uiPriority w:val="99"/>
    <w:semiHidden/>
    <w:unhideWhenUsed/>
    <w:rsid w:val="00590082"/>
    <w:rPr>
      <w:color w:val="605E5C"/>
      <w:shd w:val="clear" w:color="auto" w:fill="E1DFDD"/>
    </w:rPr>
  </w:style>
  <w:style w:type="character" w:customStyle="1" w:styleId="Heading1Char">
    <w:name w:val="Heading 1 Char"/>
    <w:basedOn w:val="DefaultParagraphFont"/>
    <w:link w:val="Heading1"/>
    <w:uiPriority w:val="9"/>
    <w:rsid w:val="00BD025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025D"/>
    <w:pPr>
      <w:outlineLvl w:val="9"/>
    </w:pPr>
    <w:rPr>
      <w:lang w:val="en-US"/>
    </w:rPr>
  </w:style>
  <w:style w:type="paragraph" w:styleId="TOC1">
    <w:name w:val="toc 1"/>
    <w:basedOn w:val="Normal"/>
    <w:next w:val="Normal"/>
    <w:autoRedefine/>
    <w:uiPriority w:val="39"/>
    <w:unhideWhenUsed/>
    <w:rsid w:val="00BD025D"/>
    <w:pPr>
      <w:spacing w:after="100"/>
    </w:pPr>
  </w:style>
  <w:style w:type="paragraph" w:styleId="Header">
    <w:name w:val="header"/>
    <w:basedOn w:val="Normal"/>
    <w:link w:val="HeaderChar"/>
    <w:uiPriority w:val="99"/>
    <w:unhideWhenUsed/>
    <w:rsid w:val="00D72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29A"/>
  </w:style>
  <w:style w:type="paragraph" w:styleId="Footer">
    <w:name w:val="footer"/>
    <w:basedOn w:val="Normal"/>
    <w:link w:val="FooterChar"/>
    <w:uiPriority w:val="99"/>
    <w:unhideWhenUsed/>
    <w:rsid w:val="00D72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1845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science/article/pii/S187704281403084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lintinc.com/blog/drivers-of-employee-engagemen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rinet.com/insights/think-youre-dealing-with-employee-disengagment-here-are-5-tools-you-can-use-to-evaluate-employee-engage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pd.co.uk/knowledge/fundamentals/relations/flexible-working/planning-hybrid-working?googlecpcCIPD_NEW_CONTENT_DEC_ENflexible%20workingHYBRID_WORKING&amp;gclid=Cj0KCQjwyMiTBhDKARIsAAJ-9VtUmy2nDTH92OqwpoSNCn8XvW0wROffYEQw23iEV5gQXLVP4QUnyuYaApXuEALw_wcB" TargetMode="External"/><Relationship Id="rId5" Type="http://schemas.openxmlformats.org/officeDocument/2006/relationships/footnotes" Target="footnotes.xml"/><Relationship Id="rId15" Type="http://schemas.openxmlformats.org/officeDocument/2006/relationships/hyperlink" Target="https://uk.sodexo.com/inspired-thinking/insights/employee-engagement-in-hybridworking.html?utm_source=google&amp;utm_medium=cpc&amp;utm_campaign=UK_CS_GS_PSP_Employee&amp;creative=556794033060&amp;utm_term=employee%20engagement&amp;matchtype=p&amp;device=c&amp;gclid=Cj0KCQjwyMiTBhDKARIsAAJ-9VtXJgm3pb6O5peRzWFHwaOVf0MTWmMlMKVpNwzcnJJj8Z5wt9PeeoIaAoKIEALw_wcB" TargetMode="External"/><Relationship Id="rId10" Type="http://schemas.openxmlformats.org/officeDocument/2006/relationships/hyperlink" Target="https://www.quantumworkplace.com/future-of-work/the-right-way-to-measure-employee-engagemen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hrm.org/hr-today/news/hr-magazine/1016/pages/7-tips-to-increase-employee-engagement-without-spending-a-dim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8ECAD-55AA-42AD-ABEF-23AF3006A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9</Pages>
  <Words>2726</Words>
  <Characters>15541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Sebastian Boncu</dc:creator>
  <cp:keywords/>
  <dc:description/>
  <cp:lastModifiedBy>Sebastian Boncu</cp:lastModifiedBy>
  <cp:revision>106</cp:revision>
  <dcterms:created xsi:type="dcterms:W3CDTF">2022-05-04T14:20:00Z</dcterms:created>
  <dcterms:modified xsi:type="dcterms:W3CDTF">2022-05-04T21:25:00Z</dcterms:modified>
</cp:coreProperties>
</file>