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BB5C7" w14:textId="77777777" w:rsidR="00984311" w:rsidRDefault="00000000">
      <w:pPr>
        <w:spacing w:after="100"/>
        <w:jc w:val="center"/>
      </w:pPr>
      <w:r>
        <w:rPr>
          <w:noProof/>
        </w:rPr>
        <w:drawing>
          <wp:inline distT="0" distB="0" distL="0" distR="0" wp14:anchorId="581910A8" wp14:editId="54A0E688">
            <wp:extent cx="2605514" cy="108465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05514" cy="1084657"/>
                    </a:xfrm>
                    <a:prstGeom prst="rect">
                      <a:avLst/>
                    </a:prstGeom>
                    <a:ln/>
                  </pic:spPr>
                </pic:pic>
              </a:graphicData>
            </a:graphic>
          </wp:inline>
        </w:drawing>
      </w:r>
    </w:p>
    <w:p w14:paraId="5D596DCE" w14:textId="77777777" w:rsidR="00984311" w:rsidRDefault="00984311">
      <w:pPr>
        <w:spacing w:after="100"/>
        <w:jc w:val="center"/>
        <w:rPr>
          <w:b/>
          <w:bCs/>
          <w:sz w:val="28"/>
          <w:szCs w:val="28"/>
        </w:rPr>
      </w:pPr>
    </w:p>
    <w:p w14:paraId="4AD661DC" w14:textId="77777777" w:rsidR="00984311" w:rsidRDefault="00984311">
      <w:pPr>
        <w:spacing w:after="100"/>
        <w:jc w:val="center"/>
        <w:rPr>
          <w:b/>
          <w:bCs/>
          <w:sz w:val="28"/>
          <w:szCs w:val="28"/>
        </w:rPr>
      </w:pPr>
    </w:p>
    <w:p w14:paraId="1D750F96" w14:textId="77777777" w:rsidR="00984311" w:rsidRDefault="00000000">
      <w:pPr>
        <w:spacing w:after="100"/>
        <w:jc w:val="center"/>
        <w:rPr>
          <w:b/>
          <w:bCs/>
          <w:sz w:val="28"/>
          <w:szCs w:val="28"/>
        </w:rPr>
      </w:pPr>
      <w:r>
        <w:rPr>
          <w:b/>
          <w:bCs/>
          <w:sz w:val="28"/>
          <w:szCs w:val="28"/>
        </w:rPr>
        <w:t>Module name:</w:t>
      </w:r>
    </w:p>
    <w:p w14:paraId="2EE3BF17" w14:textId="77777777" w:rsidR="00984311" w:rsidRDefault="00000000">
      <w:pPr>
        <w:spacing w:after="100"/>
        <w:jc w:val="center"/>
      </w:pPr>
      <w:r>
        <w:t>Health Care System Organisation and Leadership</w:t>
      </w:r>
    </w:p>
    <w:p w14:paraId="7226A7C6" w14:textId="77777777" w:rsidR="00984311" w:rsidRDefault="00000000">
      <w:pPr>
        <w:spacing w:after="100"/>
        <w:jc w:val="center"/>
        <w:rPr>
          <w:b/>
          <w:bCs/>
          <w:sz w:val="28"/>
          <w:szCs w:val="28"/>
        </w:rPr>
      </w:pPr>
      <w:r>
        <w:rPr>
          <w:b/>
          <w:bCs/>
          <w:sz w:val="28"/>
          <w:szCs w:val="28"/>
        </w:rPr>
        <w:t xml:space="preserve">Module code: </w:t>
      </w:r>
    </w:p>
    <w:p w14:paraId="4FFF4FA3" w14:textId="77777777" w:rsidR="00984311" w:rsidRDefault="00000000">
      <w:pPr>
        <w:spacing w:after="100"/>
        <w:jc w:val="center"/>
      </w:pPr>
      <w:r>
        <w:t>LCHS7002</w:t>
      </w:r>
    </w:p>
    <w:p w14:paraId="109F1209" w14:textId="77777777" w:rsidR="00984311" w:rsidRDefault="00000000">
      <w:pPr>
        <w:spacing w:after="100"/>
        <w:jc w:val="center"/>
        <w:rPr>
          <w:b/>
          <w:bCs/>
        </w:rPr>
      </w:pPr>
      <w:r>
        <w:rPr>
          <w:b/>
          <w:bCs/>
        </w:rPr>
        <w:t>Student name:</w:t>
      </w:r>
    </w:p>
    <w:p w14:paraId="41839360" w14:textId="77777777" w:rsidR="00984311" w:rsidRDefault="00000000">
      <w:pPr>
        <w:spacing w:after="100"/>
        <w:jc w:val="center"/>
      </w:pPr>
      <w:proofErr w:type="spellStart"/>
      <w:r>
        <w:t>Rikinpuri</w:t>
      </w:r>
      <w:proofErr w:type="spellEnd"/>
      <w:r>
        <w:t xml:space="preserve"> Swami</w:t>
      </w:r>
    </w:p>
    <w:p w14:paraId="6FB994E0" w14:textId="77777777" w:rsidR="00984311" w:rsidRDefault="00000000">
      <w:pPr>
        <w:spacing w:after="100"/>
        <w:jc w:val="center"/>
      </w:pPr>
      <w:r>
        <w:t>Student ID:2503602</w:t>
      </w:r>
    </w:p>
    <w:p w14:paraId="3D914EC2" w14:textId="77777777" w:rsidR="00984311" w:rsidRDefault="00984311">
      <w:pPr>
        <w:spacing w:after="100"/>
        <w:jc w:val="center"/>
      </w:pPr>
    </w:p>
    <w:p w14:paraId="0A874C36" w14:textId="77777777" w:rsidR="00984311" w:rsidRDefault="00000000">
      <w:pPr>
        <w:spacing w:after="100"/>
        <w:jc w:val="center"/>
        <w:rPr>
          <w:b/>
          <w:bCs/>
          <w:sz w:val="28"/>
          <w:szCs w:val="28"/>
        </w:rPr>
      </w:pPr>
      <w:r>
        <w:rPr>
          <w:b/>
          <w:bCs/>
          <w:sz w:val="28"/>
          <w:szCs w:val="28"/>
        </w:rPr>
        <w:t>Assignment title:</w:t>
      </w:r>
    </w:p>
    <w:p w14:paraId="03835E08" w14:textId="77777777" w:rsidR="00984311" w:rsidRDefault="00000000">
      <w:pPr>
        <w:spacing w:after="100"/>
        <w:jc w:val="center"/>
      </w:pPr>
      <w:r>
        <w:t>Case Study Analysis Report</w:t>
      </w:r>
    </w:p>
    <w:p w14:paraId="61BB050A" w14:textId="77777777" w:rsidR="00984311" w:rsidRDefault="00000000">
      <w:pPr>
        <w:spacing w:after="100"/>
        <w:jc w:val="center"/>
        <w:rPr>
          <w:b/>
          <w:bCs/>
          <w:sz w:val="28"/>
          <w:szCs w:val="28"/>
        </w:rPr>
      </w:pPr>
      <w:r>
        <w:rPr>
          <w:b/>
          <w:bCs/>
          <w:sz w:val="28"/>
          <w:szCs w:val="28"/>
        </w:rPr>
        <w:t>Lecturer Name</w:t>
      </w:r>
    </w:p>
    <w:p w14:paraId="5EBD29F2" w14:textId="77777777" w:rsidR="00650E94" w:rsidRDefault="00000000">
      <w:pPr>
        <w:spacing w:after="100"/>
        <w:jc w:val="center"/>
      </w:pPr>
      <w:r>
        <w:t>Tonia Babalola</w:t>
      </w:r>
    </w:p>
    <w:p w14:paraId="19FF1689" w14:textId="77777777" w:rsidR="00650E94" w:rsidRDefault="00650E94">
      <w:r>
        <w:br w:type="page"/>
      </w:r>
    </w:p>
    <w:sdt>
      <w:sdtPr>
        <w:rPr>
          <w:b/>
          <w:bCs/>
          <w:sz w:val="28"/>
          <w:szCs w:val="28"/>
        </w:rPr>
        <w:id w:val="-851649315"/>
        <w:docPartObj>
          <w:docPartGallery w:val="Table of Contents"/>
          <w:docPartUnique/>
        </w:docPartObj>
      </w:sdtPr>
      <w:sdtEndPr>
        <w:rPr>
          <w:noProof/>
          <w:sz w:val="24"/>
          <w:szCs w:val="24"/>
        </w:rPr>
      </w:sdtEndPr>
      <w:sdtContent>
        <w:p w14:paraId="6A1055A4" w14:textId="77777777" w:rsidR="00650E94" w:rsidRPr="00650E94" w:rsidRDefault="00650E94" w:rsidP="00650E94">
          <w:pPr>
            <w:jc w:val="center"/>
            <w:rPr>
              <w:b/>
              <w:bCs/>
              <w:sz w:val="28"/>
              <w:szCs w:val="28"/>
            </w:rPr>
          </w:pPr>
          <w:r w:rsidRPr="00650E94">
            <w:rPr>
              <w:b/>
              <w:bCs/>
              <w:sz w:val="28"/>
              <w:szCs w:val="28"/>
            </w:rPr>
            <w:t>Table of Contents</w:t>
          </w:r>
        </w:p>
        <w:p w14:paraId="175D3406" w14:textId="325567D5" w:rsidR="005D3639" w:rsidRDefault="00650E94">
          <w:pPr>
            <w:pStyle w:val="TOC1"/>
            <w:tabs>
              <w:tab w:val="right" w:leader="dot" w:pos="9016"/>
            </w:tabs>
            <w:rPr>
              <w:rFonts w:asciiTheme="minorHAnsi" w:eastAsiaTheme="minorEastAsia" w:hAnsiTheme="minorHAnsi" w:cstheme="minorBidi"/>
              <w:noProof/>
              <w:kern w:val="2"/>
              <w:highlight w:val="none"/>
              <w:lang w:val="en-IN" w:eastAsia="en-IN"/>
              <w14:ligatures w14:val="standardContextual"/>
            </w:rPr>
          </w:pPr>
          <w:r>
            <w:fldChar w:fldCharType="begin"/>
          </w:r>
          <w:r>
            <w:instrText xml:space="preserve"> TOC \o "1-3" \h \z \u </w:instrText>
          </w:r>
          <w:r>
            <w:fldChar w:fldCharType="separate"/>
          </w:r>
          <w:hyperlink w:anchor="_Toc237213755" w:history="1">
            <w:r w:rsidR="005D3639" w:rsidRPr="00E341E8">
              <w:rPr>
                <w:rStyle w:val="Hyperlink"/>
                <w:noProof/>
              </w:rPr>
              <w:t>CASE STUDY - 3</w:t>
            </w:r>
            <w:r w:rsidR="005D3639">
              <w:rPr>
                <w:noProof/>
                <w:webHidden/>
              </w:rPr>
              <w:tab/>
            </w:r>
            <w:r w:rsidR="005D3639">
              <w:rPr>
                <w:noProof/>
                <w:webHidden/>
              </w:rPr>
              <w:fldChar w:fldCharType="begin"/>
            </w:r>
            <w:r w:rsidR="005D3639">
              <w:rPr>
                <w:noProof/>
                <w:webHidden/>
              </w:rPr>
              <w:instrText xml:space="preserve"> PAGEREF _Toc237213755 \h </w:instrText>
            </w:r>
            <w:r w:rsidR="005D3639">
              <w:rPr>
                <w:noProof/>
                <w:webHidden/>
              </w:rPr>
            </w:r>
            <w:r w:rsidR="005D3639">
              <w:rPr>
                <w:noProof/>
                <w:webHidden/>
              </w:rPr>
              <w:fldChar w:fldCharType="separate"/>
            </w:r>
            <w:r w:rsidR="005D3639">
              <w:rPr>
                <w:noProof/>
                <w:webHidden/>
              </w:rPr>
              <w:t>4</w:t>
            </w:r>
            <w:r w:rsidR="005D3639">
              <w:rPr>
                <w:noProof/>
                <w:webHidden/>
              </w:rPr>
              <w:fldChar w:fldCharType="end"/>
            </w:r>
          </w:hyperlink>
        </w:p>
        <w:p w14:paraId="6DA197A7" w14:textId="70960B64" w:rsidR="005D3639" w:rsidRDefault="00000000">
          <w:pPr>
            <w:pStyle w:val="TOC1"/>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56" w:history="1">
            <w:r w:rsidR="005D3639" w:rsidRPr="00E341E8">
              <w:rPr>
                <w:rStyle w:val="Hyperlink"/>
                <w:noProof/>
              </w:rPr>
              <w:t>Introduction</w:t>
            </w:r>
            <w:r w:rsidR="005D3639">
              <w:rPr>
                <w:noProof/>
                <w:webHidden/>
              </w:rPr>
              <w:tab/>
            </w:r>
            <w:r w:rsidR="005D3639">
              <w:rPr>
                <w:noProof/>
                <w:webHidden/>
              </w:rPr>
              <w:fldChar w:fldCharType="begin"/>
            </w:r>
            <w:r w:rsidR="005D3639">
              <w:rPr>
                <w:noProof/>
                <w:webHidden/>
              </w:rPr>
              <w:instrText xml:space="preserve"> PAGEREF _Toc237213756 \h </w:instrText>
            </w:r>
            <w:r w:rsidR="005D3639">
              <w:rPr>
                <w:noProof/>
                <w:webHidden/>
              </w:rPr>
            </w:r>
            <w:r w:rsidR="005D3639">
              <w:rPr>
                <w:noProof/>
                <w:webHidden/>
              </w:rPr>
              <w:fldChar w:fldCharType="separate"/>
            </w:r>
            <w:r w:rsidR="005D3639">
              <w:rPr>
                <w:noProof/>
                <w:webHidden/>
              </w:rPr>
              <w:t>4</w:t>
            </w:r>
            <w:r w:rsidR="005D3639">
              <w:rPr>
                <w:noProof/>
                <w:webHidden/>
              </w:rPr>
              <w:fldChar w:fldCharType="end"/>
            </w:r>
          </w:hyperlink>
        </w:p>
        <w:p w14:paraId="6B43DAD3" w14:textId="1D80226A" w:rsidR="005D3639" w:rsidRDefault="00000000">
          <w:pPr>
            <w:pStyle w:val="TOC1"/>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57" w:history="1">
            <w:r w:rsidR="005D3639" w:rsidRPr="00E341E8">
              <w:rPr>
                <w:rStyle w:val="Hyperlink"/>
                <w:noProof/>
              </w:rPr>
              <w:t>Main body</w:t>
            </w:r>
            <w:r w:rsidR="005D3639">
              <w:rPr>
                <w:noProof/>
                <w:webHidden/>
              </w:rPr>
              <w:tab/>
            </w:r>
            <w:r w:rsidR="005D3639">
              <w:rPr>
                <w:noProof/>
                <w:webHidden/>
              </w:rPr>
              <w:fldChar w:fldCharType="begin"/>
            </w:r>
            <w:r w:rsidR="005D3639">
              <w:rPr>
                <w:noProof/>
                <w:webHidden/>
              </w:rPr>
              <w:instrText xml:space="preserve"> PAGEREF _Toc237213757 \h </w:instrText>
            </w:r>
            <w:r w:rsidR="005D3639">
              <w:rPr>
                <w:noProof/>
                <w:webHidden/>
              </w:rPr>
            </w:r>
            <w:r w:rsidR="005D3639">
              <w:rPr>
                <w:noProof/>
                <w:webHidden/>
              </w:rPr>
              <w:fldChar w:fldCharType="separate"/>
            </w:r>
            <w:r w:rsidR="005D3639">
              <w:rPr>
                <w:noProof/>
                <w:webHidden/>
              </w:rPr>
              <w:t>5</w:t>
            </w:r>
            <w:r w:rsidR="005D3639">
              <w:rPr>
                <w:noProof/>
                <w:webHidden/>
              </w:rPr>
              <w:fldChar w:fldCharType="end"/>
            </w:r>
          </w:hyperlink>
        </w:p>
        <w:p w14:paraId="252EC5EB" w14:textId="63CE834F" w:rsidR="005D3639" w:rsidRDefault="00000000">
          <w:pPr>
            <w:pStyle w:val="TOC2"/>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58" w:history="1">
            <w:r w:rsidR="005D3639" w:rsidRPr="00E341E8">
              <w:rPr>
                <w:rStyle w:val="Hyperlink"/>
                <w:noProof/>
              </w:rPr>
              <w:t>Identifying the Problem and Setting the System Context</w:t>
            </w:r>
            <w:r w:rsidR="005D3639">
              <w:rPr>
                <w:noProof/>
                <w:webHidden/>
              </w:rPr>
              <w:tab/>
            </w:r>
            <w:r w:rsidR="005D3639">
              <w:rPr>
                <w:noProof/>
                <w:webHidden/>
              </w:rPr>
              <w:fldChar w:fldCharType="begin"/>
            </w:r>
            <w:r w:rsidR="005D3639">
              <w:rPr>
                <w:noProof/>
                <w:webHidden/>
              </w:rPr>
              <w:instrText xml:space="preserve"> PAGEREF _Toc237213758 \h </w:instrText>
            </w:r>
            <w:r w:rsidR="005D3639">
              <w:rPr>
                <w:noProof/>
                <w:webHidden/>
              </w:rPr>
            </w:r>
            <w:r w:rsidR="005D3639">
              <w:rPr>
                <w:noProof/>
                <w:webHidden/>
              </w:rPr>
              <w:fldChar w:fldCharType="separate"/>
            </w:r>
            <w:r w:rsidR="005D3639">
              <w:rPr>
                <w:noProof/>
                <w:webHidden/>
              </w:rPr>
              <w:t>5</w:t>
            </w:r>
            <w:r w:rsidR="005D3639">
              <w:rPr>
                <w:noProof/>
                <w:webHidden/>
              </w:rPr>
              <w:fldChar w:fldCharType="end"/>
            </w:r>
          </w:hyperlink>
        </w:p>
        <w:p w14:paraId="0E6B8631" w14:textId="44609900"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59" w:history="1">
            <w:r w:rsidR="005D3639" w:rsidRPr="00E341E8">
              <w:rPr>
                <w:rStyle w:val="Hyperlink"/>
                <w:noProof/>
              </w:rPr>
              <w:t>Central Problem Description</w:t>
            </w:r>
            <w:r w:rsidR="005D3639">
              <w:rPr>
                <w:noProof/>
                <w:webHidden/>
              </w:rPr>
              <w:tab/>
            </w:r>
            <w:r w:rsidR="005D3639">
              <w:rPr>
                <w:noProof/>
                <w:webHidden/>
              </w:rPr>
              <w:fldChar w:fldCharType="begin"/>
            </w:r>
            <w:r w:rsidR="005D3639">
              <w:rPr>
                <w:noProof/>
                <w:webHidden/>
              </w:rPr>
              <w:instrText xml:space="preserve"> PAGEREF _Toc237213759 \h </w:instrText>
            </w:r>
            <w:r w:rsidR="005D3639">
              <w:rPr>
                <w:noProof/>
                <w:webHidden/>
              </w:rPr>
            </w:r>
            <w:r w:rsidR="005D3639">
              <w:rPr>
                <w:noProof/>
                <w:webHidden/>
              </w:rPr>
              <w:fldChar w:fldCharType="separate"/>
            </w:r>
            <w:r w:rsidR="005D3639">
              <w:rPr>
                <w:noProof/>
                <w:webHidden/>
              </w:rPr>
              <w:t>5</w:t>
            </w:r>
            <w:r w:rsidR="005D3639">
              <w:rPr>
                <w:noProof/>
                <w:webHidden/>
              </w:rPr>
              <w:fldChar w:fldCharType="end"/>
            </w:r>
          </w:hyperlink>
        </w:p>
        <w:p w14:paraId="4E07B3A8" w14:textId="20BA9B78"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60" w:history="1">
            <w:r w:rsidR="005D3639" w:rsidRPr="00E341E8">
              <w:rPr>
                <w:rStyle w:val="Hyperlink"/>
                <w:noProof/>
              </w:rPr>
              <w:t>Global Statistical Insights</w:t>
            </w:r>
            <w:r w:rsidR="005D3639">
              <w:rPr>
                <w:noProof/>
                <w:webHidden/>
              </w:rPr>
              <w:tab/>
            </w:r>
            <w:r w:rsidR="005D3639">
              <w:rPr>
                <w:noProof/>
                <w:webHidden/>
              </w:rPr>
              <w:fldChar w:fldCharType="begin"/>
            </w:r>
            <w:r w:rsidR="005D3639">
              <w:rPr>
                <w:noProof/>
                <w:webHidden/>
              </w:rPr>
              <w:instrText xml:space="preserve"> PAGEREF _Toc237213760 \h </w:instrText>
            </w:r>
            <w:r w:rsidR="005D3639">
              <w:rPr>
                <w:noProof/>
                <w:webHidden/>
              </w:rPr>
            </w:r>
            <w:r w:rsidR="005D3639">
              <w:rPr>
                <w:noProof/>
                <w:webHidden/>
              </w:rPr>
              <w:fldChar w:fldCharType="separate"/>
            </w:r>
            <w:r w:rsidR="005D3639">
              <w:rPr>
                <w:noProof/>
                <w:webHidden/>
              </w:rPr>
              <w:t>6</w:t>
            </w:r>
            <w:r w:rsidR="005D3639">
              <w:rPr>
                <w:noProof/>
                <w:webHidden/>
              </w:rPr>
              <w:fldChar w:fldCharType="end"/>
            </w:r>
          </w:hyperlink>
        </w:p>
        <w:p w14:paraId="1884142B" w14:textId="3EC01FC4"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61" w:history="1">
            <w:r w:rsidR="005D3639" w:rsidRPr="00E341E8">
              <w:rPr>
                <w:rStyle w:val="Hyperlink"/>
                <w:noProof/>
              </w:rPr>
              <w:t>National (UK) Statistical Insights</w:t>
            </w:r>
            <w:r w:rsidR="005D3639">
              <w:rPr>
                <w:noProof/>
                <w:webHidden/>
              </w:rPr>
              <w:tab/>
            </w:r>
            <w:r w:rsidR="005D3639">
              <w:rPr>
                <w:noProof/>
                <w:webHidden/>
              </w:rPr>
              <w:fldChar w:fldCharType="begin"/>
            </w:r>
            <w:r w:rsidR="005D3639">
              <w:rPr>
                <w:noProof/>
                <w:webHidden/>
              </w:rPr>
              <w:instrText xml:space="preserve"> PAGEREF _Toc237213761 \h </w:instrText>
            </w:r>
            <w:r w:rsidR="005D3639">
              <w:rPr>
                <w:noProof/>
                <w:webHidden/>
              </w:rPr>
            </w:r>
            <w:r w:rsidR="005D3639">
              <w:rPr>
                <w:noProof/>
                <w:webHidden/>
              </w:rPr>
              <w:fldChar w:fldCharType="separate"/>
            </w:r>
            <w:r w:rsidR="005D3639">
              <w:rPr>
                <w:noProof/>
                <w:webHidden/>
              </w:rPr>
              <w:t>6</w:t>
            </w:r>
            <w:r w:rsidR="005D3639">
              <w:rPr>
                <w:noProof/>
                <w:webHidden/>
              </w:rPr>
              <w:fldChar w:fldCharType="end"/>
            </w:r>
          </w:hyperlink>
        </w:p>
        <w:p w14:paraId="1E066AD3" w14:textId="2F086347"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62" w:history="1">
            <w:r w:rsidR="005D3639" w:rsidRPr="00E341E8">
              <w:rPr>
                <w:rStyle w:val="Hyperlink"/>
                <w:noProof/>
              </w:rPr>
              <w:t>National Organisation Figures and Global Links</w:t>
            </w:r>
            <w:r w:rsidR="005D3639">
              <w:rPr>
                <w:noProof/>
                <w:webHidden/>
              </w:rPr>
              <w:tab/>
            </w:r>
            <w:r w:rsidR="005D3639">
              <w:rPr>
                <w:noProof/>
                <w:webHidden/>
              </w:rPr>
              <w:fldChar w:fldCharType="begin"/>
            </w:r>
            <w:r w:rsidR="005D3639">
              <w:rPr>
                <w:noProof/>
                <w:webHidden/>
              </w:rPr>
              <w:instrText xml:space="preserve"> PAGEREF _Toc237213762 \h </w:instrText>
            </w:r>
            <w:r w:rsidR="005D3639">
              <w:rPr>
                <w:noProof/>
                <w:webHidden/>
              </w:rPr>
            </w:r>
            <w:r w:rsidR="005D3639">
              <w:rPr>
                <w:noProof/>
                <w:webHidden/>
              </w:rPr>
              <w:fldChar w:fldCharType="separate"/>
            </w:r>
            <w:r w:rsidR="005D3639">
              <w:rPr>
                <w:noProof/>
                <w:webHidden/>
              </w:rPr>
              <w:t>6</w:t>
            </w:r>
            <w:r w:rsidR="005D3639">
              <w:rPr>
                <w:noProof/>
                <w:webHidden/>
              </w:rPr>
              <w:fldChar w:fldCharType="end"/>
            </w:r>
          </w:hyperlink>
        </w:p>
        <w:p w14:paraId="773CD2C7" w14:textId="4CE67468"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63" w:history="1">
            <w:r w:rsidR="005D3639" w:rsidRPr="00E341E8">
              <w:rPr>
                <w:rStyle w:val="Hyperlink"/>
                <w:noProof/>
              </w:rPr>
              <w:t>Systemic Weaknesses Reflected</w:t>
            </w:r>
            <w:r w:rsidR="005D3639">
              <w:rPr>
                <w:noProof/>
                <w:webHidden/>
              </w:rPr>
              <w:tab/>
            </w:r>
            <w:r w:rsidR="005D3639">
              <w:rPr>
                <w:noProof/>
                <w:webHidden/>
              </w:rPr>
              <w:fldChar w:fldCharType="begin"/>
            </w:r>
            <w:r w:rsidR="005D3639">
              <w:rPr>
                <w:noProof/>
                <w:webHidden/>
              </w:rPr>
              <w:instrText xml:space="preserve"> PAGEREF _Toc237213763 \h </w:instrText>
            </w:r>
            <w:r w:rsidR="005D3639">
              <w:rPr>
                <w:noProof/>
                <w:webHidden/>
              </w:rPr>
            </w:r>
            <w:r w:rsidR="005D3639">
              <w:rPr>
                <w:noProof/>
                <w:webHidden/>
              </w:rPr>
              <w:fldChar w:fldCharType="separate"/>
            </w:r>
            <w:r w:rsidR="005D3639">
              <w:rPr>
                <w:noProof/>
                <w:webHidden/>
              </w:rPr>
              <w:t>7</w:t>
            </w:r>
            <w:r w:rsidR="005D3639">
              <w:rPr>
                <w:noProof/>
                <w:webHidden/>
              </w:rPr>
              <w:fldChar w:fldCharType="end"/>
            </w:r>
          </w:hyperlink>
        </w:p>
        <w:p w14:paraId="736F09FC" w14:textId="6E574D41"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64" w:history="1">
            <w:r w:rsidR="005D3639" w:rsidRPr="00E341E8">
              <w:rPr>
                <w:rStyle w:val="Hyperlink"/>
                <w:noProof/>
              </w:rPr>
              <w:t>Governance Level Influencing the Problem</w:t>
            </w:r>
            <w:r w:rsidR="005D3639">
              <w:rPr>
                <w:noProof/>
                <w:webHidden/>
              </w:rPr>
              <w:tab/>
            </w:r>
            <w:r w:rsidR="005D3639">
              <w:rPr>
                <w:noProof/>
                <w:webHidden/>
              </w:rPr>
              <w:fldChar w:fldCharType="begin"/>
            </w:r>
            <w:r w:rsidR="005D3639">
              <w:rPr>
                <w:noProof/>
                <w:webHidden/>
              </w:rPr>
              <w:instrText xml:space="preserve"> PAGEREF _Toc237213764 \h </w:instrText>
            </w:r>
            <w:r w:rsidR="005D3639">
              <w:rPr>
                <w:noProof/>
                <w:webHidden/>
              </w:rPr>
            </w:r>
            <w:r w:rsidR="005D3639">
              <w:rPr>
                <w:noProof/>
                <w:webHidden/>
              </w:rPr>
              <w:fldChar w:fldCharType="separate"/>
            </w:r>
            <w:r w:rsidR="005D3639">
              <w:rPr>
                <w:noProof/>
                <w:webHidden/>
              </w:rPr>
              <w:t>7</w:t>
            </w:r>
            <w:r w:rsidR="005D3639">
              <w:rPr>
                <w:noProof/>
                <w:webHidden/>
              </w:rPr>
              <w:fldChar w:fldCharType="end"/>
            </w:r>
          </w:hyperlink>
        </w:p>
        <w:p w14:paraId="05DF05C2" w14:textId="16EE3A88"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65" w:history="1">
            <w:r w:rsidR="005D3639" w:rsidRPr="00E341E8">
              <w:rPr>
                <w:rStyle w:val="Hyperlink"/>
                <w:noProof/>
              </w:rPr>
              <w:t>Underlying Challenges with Supporting Data</w:t>
            </w:r>
            <w:r w:rsidR="005D3639">
              <w:rPr>
                <w:noProof/>
                <w:webHidden/>
              </w:rPr>
              <w:tab/>
            </w:r>
            <w:r w:rsidR="005D3639">
              <w:rPr>
                <w:noProof/>
                <w:webHidden/>
              </w:rPr>
              <w:fldChar w:fldCharType="begin"/>
            </w:r>
            <w:r w:rsidR="005D3639">
              <w:rPr>
                <w:noProof/>
                <w:webHidden/>
              </w:rPr>
              <w:instrText xml:space="preserve"> PAGEREF _Toc237213765 \h </w:instrText>
            </w:r>
            <w:r w:rsidR="005D3639">
              <w:rPr>
                <w:noProof/>
                <w:webHidden/>
              </w:rPr>
            </w:r>
            <w:r w:rsidR="005D3639">
              <w:rPr>
                <w:noProof/>
                <w:webHidden/>
              </w:rPr>
              <w:fldChar w:fldCharType="separate"/>
            </w:r>
            <w:r w:rsidR="005D3639">
              <w:rPr>
                <w:noProof/>
                <w:webHidden/>
              </w:rPr>
              <w:t>7</w:t>
            </w:r>
            <w:r w:rsidR="005D3639">
              <w:rPr>
                <w:noProof/>
                <w:webHidden/>
              </w:rPr>
              <w:fldChar w:fldCharType="end"/>
            </w:r>
          </w:hyperlink>
        </w:p>
        <w:p w14:paraId="57EC84AB" w14:textId="5B5FAABD" w:rsidR="005D3639" w:rsidRDefault="00000000">
          <w:pPr>
            <w:pStyle w:val="TOC2"/>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66" w:history="1">
            <w:r w:rsidR="005D3639" w:rsidRPr="00E341E8">
              <w:rPr>
                <w:rStyle w:val="Hyperlink"/>
                <w:noProof/>
              </w:rPr>
              <w:t>Centralisation or Decentralisation</w:t>
            </w:r>
            <w:r w:rsidR="005D3639">
              <w:rPr>
                <w:noProof/>
                <w:webHidden/>
              </w:rPr>
              <w:tab/>
            </w:r>
            <w:r w:rsidR="005D3639">
              <w:rPr>
                <w:noProof/>
                <w:webHidden/>
              </w:rPr>
              <w:fldChar w:fldCharType="begin"/>
            </w:r>
            <w:r w:rsidR="005D3639">
              <w:rPr>
                <w:noProof/>
                <w:webHidden/>
              </w:rPr>
              <w:instrText xml:space="preserve"> PAGEREF _Toc237213766 \h </w:instrText>
            </w:r>
            <w:r w:rsidR="005D3639">
              <w:rPr>
                <w:noProof/>
                <w:webHidden/>
              </w:rPr>
            </w:r>
            <w:r w:rsidR="005D3639">
              <w:rPr>
                <w:noProof/>
                <w:webHidden/>
              </w:rPr>
              <w:fldChar w:fldCharType="separate"/>
            </w:r>
            <w:r w:rsidR="005D3639">
              <w:rPr>
                <w:noProof/>
                <w:webHidden/>
              </w:rPr>
              <w:t>8</w:t>
            </w:r>
            <w:r w:rsidR="005D3639">
              <w:rPr>
                <w:noProof/>
                <w:webHidden/>
              </w:rPr>
              <w:fldChar w:fldCharType="end"/>
            </w:r>
          </w:hyperlink>
        </w:p>
        <w:p w14:paraId="27AA7FDF" w14:textId="28EC885E"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67" w:history="1">
            <w:r w:rsidR="005D3639" w:rsidRPr="00E341E8">
              <w:rPr>
                <w:rStyle w:val="Hyperlink"/>
                <w:noProof/>
              </w:rPr>
              <w:t>Centralised System in the Case Study</w:t>
            </w:r>
            <w:r w:rsidR="005D3639">
              <w:rPr>
                <w:noProof/>
                <w:webHidden/>
              </w:rPr>
              <w:tab/>
            </w:r>
            <w:r w:rsidR="005D3639">
              <w:rPr>
                <w:noProof/>
                <w:webHidden/>
              </w:rPr>
              <w:fldChar w:fldCharType="begin"/>
            </w:r>
            <w:r w:rsidR="005D3639">
              <w:rPr>
                <w:noProof/>
                <w:webHidden/>
              </w:rPr>
              <w:instrText xml:space="preserve"> PAGEREF _Toc237213767 \h </w:instrText>
            </w:r>
            <w:r w:rsidR="005D3639">
              <w:rPr>
                <w:noProof/>
                <w:webHidden/>
              </w:rPr>
            </w:r>
            <w:r w:rsidR="005D3639">
              <w:rPr>
                <w:noProof/>
                <w:webHidden/>
              </w:rPr>
              <w:fldChar w:fldCharType="separate"/>
            </w:r>
            <w:r w:rsidR="005D3639">
              <w:rPr>
                <w:noProof/>
                <w:webHidden/>
              </w:rPr>
              <w:t>8</w:t>
            </w:r>
            <w:r w:rsidR="005D3639">
              <w:rPr>
                <w:noProof/>
                <w:webHidden/>
              </w:rPr>
              <w:fldChar w:fldCharType="end"/>
            </w:r>
          </w:hyperlink>
        </w:p>
        <w:p w14:paraId="52F84921" w14:textId="52F84661"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68" w:history="1">
            <w:r w:rsidR="005D3639" w:rsidRPr="00E341E8">
              <w:rPr>
                <w:rStyle w:val="Hyperlink"/>
                <w:noProof/>
              </w:rPr>
              <w:t>Advantages and disadvantages of Centralisation</w:t>
            </w:r>
            <w:r w:rsidR="005D3639">
              <w:rPr>
                <w:noProof/>
                <w:webHidden/>
              </w:rPr>
              <w:tab/>
            </w:r>
            <w:r w:rsidR="005D3639">
              <w:rPr>
                <w:noProof/>
                <w:webHidden/>
              </w:rPr>
              <w:fldChar w:fldCharType="begin"/>
            </w:r>
            <w:r w:rsidR="005D3639">
              <w:rPr>
                <w:noProof/>
                <w:webHidden/>
              </w:rPr>
              <w:instrText xml:space="preserve"> PAGEREF _Toc237213768 \h </w:instrText>
            </w:r>
            <w:r w:rsidR="005D3639">
              <w:rPr>
                <w:noProof/>
                <w:webHidden/>
              </w:rPr>
            </w:r>
            <w:r w:rsidR="005D3639">
              <w:rPr>
                <w:noProof/>
                <w:webHidden/>
              </w:rPr>
              <w:fldChar w:fldCharType="separate"/>
            </w:r>
            <w:r w:rsidR="005D3639">
              <w:rPr>
                <w:noProof/>
                <w:webHidden/>
              </w:rPr>
              <w:t>9</w:t>
            </w:r>
            <w:r w:rsidR="005D3639">
              <w:rPr>
                <w:noProof/>
                <w:webHidden/>
              </w:rPr>
              <w:fldChar w:fldCharType="end"/>
            </w:r>
          </w:hyperlink>
        </w:p>
        <w:p w14:paraId="1A1A5CE5" w14:textId="1182C2E8"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69" w:history="1">
            <w:r w:rsidR="005D3639" w:rsidRPr="00E341E8">
              <w:rPr>
                <w:rStyle w:val="Hyperlink"/>
                <w:noProof/>
              </w:rPr>
              <w:t>Decentralised System in the Case Study</w:t>
            </w:r>
            <w:r w:rsidR="005D3639">
              <w:rPr>
                <w:noProof/>
                <w:webHidden/>
              </w:rPr>
              <w:tab/>
            </w:r>
            <w:r w:rsidR="005D3639">
              <w:rPr>
                <w:noProof/>
                <w:webHidden/>
              </w:rPr>
              <w:fldChar w:fldCharType="begin"/>
            </w:r>
            <w:r w:rsidR="005D3639">
              <w:rPr>
                <w:noProof/>
                <w:webHidden/>
              </w:rPr>
              <w:instrText xml:space="preserve"> PAGEREF _Toc237213769 \h </w:instrText>
            </w:r>
            <w:r w:rsidR="005D3639">
              <w:rPr>
                <w:noProof/>
                <w:webHidden/>
              </w:rPr>
            </w:r>
            <w:r w:rsidR="005D3639">
              <w:rPr>
                <w:noProof/>
                <w:webHidden/>
              </w:rPr>
              <w:fldChar w:fldCharType="separate"/>
            </w:r>
            <w:r w:rsidR="005D3639">
              <w:rPr>
                <w:noProof/>
                <w:webHidden/>
              </w:rPr>
              <w:t>9</w:t>
            </w:r>
            <w:r w:rsidR="005D3639">
              <w:rPr>
                <w:noProof/>
                <w:webHidden/>
              </w:rPr>
              <w:fldChar w:fldCharType="end"/>
            </w:r>
          </w:hyperlink>
        </w:p>
        <w:p w14:paraId="006A71DF" w14:textId="3C6CB1CA"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70" w:history="1">
            <w:r w:rsidR="005D3639" w:rsidRPr="00E341E8">
              <w:rPr>
                <w:rStyle w:val="Hyperlink"/>
                <w:noProof/>
              </w:rPr>
              <w:t>Advantages and disadvantages of Decentralisation</w:t>
            </w:r>
            <w:r w:rsidR="005D3639">
              <w:rPr>
                <w:noProof/>
                <w:webHidden/>
              </w:rPr>
              <w:tab/>
            </w:r>
            <w:r w:rsidR="005D3639">
              <w:rPr>
                <w:noProof/>
                <w:webHidden/>
              </w:rPr>
              <w:fldChar w:fldCharType="begin"/>
            </w:r>
            <w:r w:rsidR="005D3639">
              <w:rPr>
                <w:noProof/>
                <w:webHidden/>
              </w:rPr>
              <w:instrText xml:space="preserve"> PAGEREF _Toc237213770 \h </w:instrText>
            </w:r>
            <w:r w:rsidR="005D3639">
              <w:rPr>
                <w:noProof/>
                <w:webHidden/>
              </w:rPr>
            </w:r>
            <w:r w:rsidR="005D3639">
              <w:rPr>
                <w:noProof/>
                <w:webHidden/>
              </w:rPr>
              <w:fldChar w:fldCharType="separate"/>
            </w:r>
            <w:r w:rsidR="005D3639">
              <w:rPr>
                <w:noProof/>
                <w:webHidden/>
              </w:rPr>
              <w:t>9</w:t>
            </w:r>
            <w:r w:rsidR="005D3639">
              <w:rPr>
                <w:noProof/>
                <w:webHidden/>
              </w:rPr>
              <w:fldChar w:fldCharType="end"/>
            </w:r>
          </w:hyperlink>
        </w:p>
        <w:p w14:paraId="0E9F1FBA" w14:textId="024AFD8D"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71" w:history="1">
            <w:r w:rsidR="005D3639" w:rsidRPr="00E341E8">
              <w:rPr>
                <w:rStyle w:val="Hyperlink"/>
                <w:noProof/>
              </w:rPr>
              <w:t>Critical Comparison: Impact on Decision-Making, Crisis Management, and Accountability</w:t>
            </w:r>
            <w:r w:rsidR="005D3639">
              <w:rPr>
                <w:noProof/>
                <w:webHidden/>
              </w:rPr>
              <w:tab/>
            </w:r>
            <w:r w:rsidR="005D3639">
              <w:rPr>
                <w:noProof/>
                <w:webHidden/>
              </w:rPr>
              <w:fldChar w:fldCharType="begin"/>
            </w:r>
            <w:r w:rsidR="005D3639">
              <w:rPr>
                <w:noProof/>
                <w:webHidden/>
              </w:rPr>
              <w:instrText xml:space="preserve"> PAGEREF _Toc237213771 \h </w:instrText>
            </w:r>
            <w:r w:rsidR="005D3639">
              <w:rPr>
                <w:noProof/>
                <w:webHidden/>
              </w:rPr>
            </w:r>
            <w:r w:rsidR="005D3639">
              <w:rPr>
                <w:noProof/>
                <w:webHidden/>
              </w:rPr>
              <w:fldChar w:fldCharType="separate"/>
            </w:r>
            <w:r w:rsidR="005D3639">
              <w:rPr>
                <w:noProof/>
                <w:webHidden/>
              </w:rPr>
              <w:t>10</w:t>
            </w:r>
            <w:r w:rsidR="005D3639">
              <w:rPr>
                <w:noProof/>
                <w:webHidden/>
              </w:rPr>
              <w:fldChar w:fldCharType="end"/>
            </w:r>
          </w:hyperlink>
        </w:p>
        <w:p w14:paraId="0990E064" w14:textId="526755FD" w:rsidR="005D3639" w:rsidRDefault="00000000">
          <w:pPr>
            <w:pStyle w:val="TOC2"/>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72" w:history="1">
            <w:r w:rsidR="005D3639" w:rsidRPr="00E341E8">
              <w:rPr>
                <w:rStyle w:val="Hyperlink"/>
                <w:noProof/>
              </w:rPr>
              <w:t>Leadership Theories and Application</w:t>
            </w:r>
            <w:r w:rsidR="005D3639">
              <w:rPr>
                <w:noProof/>
                <w:webHidden/>
              </w:rPr>
              <w:tab/>
            </w:r>
            <w:r w:rsidR="005D3639">
              <w:rPr>
                <w:noProof/>
                <w:webHidden/>
              </w:rPr>
              <w:fldChar w:fldCharType="begin"/>
            </w:r>
            <w:r w:rsidR="005D3639">
              <w:rPr>
                <w:noProof/>
                <w:webHidden/>
              </w:rPr>
              <w:instrText xml:space="preserve"> PAGEREF _Toc237213772 \h </w:instrText>
            </w:r>
            <w:r w:rsidR="005D3639">
              <w:rPr>
                <w:noProof/>
                <w:webHidden/>
              </w:rPr>
            </w:r>
            <w:r w:rsidR="005D3639">
              <w:rPr>
                <w:noProof/>
                <w:webHidden/>
              </w:rPr>
              <w:fldChar w:fldCharType="separate"/>
            </w:r>
            <w:r w:rsidR="005D3639">
              <w:rPr>
                <w:noProof/>
                <w:webHidden/>
              </w:rPr>
              <w:t>10</w:t>
            </w:r>
            <w:r w:rsidR="005D3639">
              <w:rPr>
                <w:noProof/>
                <w:webHidden/>
              </w:rPr>
              <w:fldChar w:fldCharType="end"/>
            </w:r>
          </w:hyperlink>
        </w:p>
        <w:p w14:paraId="15FD15B0" w14:textId="39ACB59F"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73" w:history="1">
            <w:r w:rsidR="005D3639" w:rsidRPr="00E341E8">
              <w:rPr>
                <w:rStyle w:val="Hyperlink"/>
                <w:noProof/>
              </w:rPr>
              <w:t>Theory 1: Transactional Leadership</w:t>
            </w:r>
            <w:r w:rsidR="005D3639">
              <w:rPr>
                <w:noProof/>
                <w:webHidden/>
              </w:rPr>
              <w:tab/>
            </w:r>
            <w:r w:rsidR="005D3639">
              <w:rPr>
                <w:noProof/>
                <w:webHidden/>
              </w:rPr>
              <w:fldChar w:fldCharType="begin"/>
            </w:r>
            <w:r w:rsidR="005D3639">
              <w:rPr>
                <w:noProof/>
                <w:webHidden/>
              </w:rPr>
              <w:instrText xml:space="preserve"> PAGEREF _Toc237213773 \h </w:instrText>
            </w:r>
            <w:r w:rsidR="005D3639">
              <w:rPr>
                <w:noProof/>
                <w:webHidden/>
              </w:rPr>
            </w:r>
            <w:r w:rsidR="005D3639">
              <w:rPr>
                <w:noProof/>
                <w:webHidden/>
              </w:rPr>
              <w:fldChar w:fldCharType="separate"/>
            </w:r>
            <w:r w:rsidR="005D3639">
              <w:rPr>
                <w:noProof/>
                <w:webHidden/>
              </w:rPr>
              <w:t>10</w:t>
            </w:r>
            <w:r w:rsidR="005D3639">
              <w:rPr>
                <w:noProof/>
                <w:webHidden/>
              </w:rPr>
              <w:fldChar w:fldCharType="end"/>
            </w:r>
          </w:hyperlink>
        </w:p>
        <w:p w14:paraId="2935C95B" w14:textId="04E870A0"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74" w:history="1">
            <w:r w:rsidR="005D3639" w:rsidRPr="00E341E8">
              <w:rPr>
                <w:rStyle w:val="Hyperlink"/>
                <w:noProof/>
              </w:rPr>
              <w:t>Theory 2: Distributed Leadership</w:t>
            </w:r>
            <w:r w:rsidR="005D3639">
              <w:rPr>
                <w:noProof/>
                <w:webHidden/>
              </w:rPr>
              <w:tab/>
            </w:r>
            <w:r w:rsidR="005D3639">
              <w:rPr>
                <w:noProof/>
                <w:webHidden/>
              </w:rPr>
              <w:fldChar w:fldCharType="begin"/>
            </w:r>
            <w:r w:rsidR="005D3639">
              <w:rPr>
                <w:noProof/>
                <w:webHidden/>
              </w:rPr>
              <w:instrText xml:space="preserve"> PAGEREF _Toc237213774 \h </w:instrText>
            </w:r>
            <w:r w:rsidR="005D3639">
              <w:rPr>
                <w:noProof/>
                <w:webHidden/>
              </w:rPr>
            </w:r>
            <w:r w:rsidR="005D3639">
              <w:rPr>
                <w:noProof/>
                <w:webHidden/>
              </w:rPr>
              <w:fldChar w:fldCharType="separate"/>
            </w:r>
            <w:r w:rsidR="005D3639">
              <w:rPr>
                <w:noProof/>
                <w:webHidden/>
              </w:rPr>
              <w:t>11</w:t>
            </w:r>
            <w:r w:rsidR="005D3639">
              <w:rPr>
                <w:noProof/>
                <w:webHidden/>
              </w:rPr>
              <w:fldChar w:fldCharType="end"/>
            </w:r>
          </w:hyperlink>
        </w:p>
        <w:p w14:paraId="0F7A8409" w14:textId="43C1BDF5"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75" w:history="1">
            <w:r w:rsidR="005D3639" w:rsidRPr="00E341E8">
              <w:rPr>
                <w:rStyle w:val="Hyperlink"/>
                <w:noProof/>
              </w:rPr>
              <w:t>Theory 3: Situational Leadership</w:t>
            </w:r>
            <w:r w:rsidR="005D3639">
              <w:rPr>
                <w:noProof/>
                <w:webHidden/>
              </w:rPr>
              <w:tab/>
            </w:r>
            <w:r w:rsidR="005D3639">
              <w:rPr>
                <w:noProof/>
                <w:webHidden/>
              </w:rPr>
              <w:fldChar w:fldCharType="begin"/>
            </w:r>
            <w:r w:rsidR="005D3639">
              <w:rPr>
                <w:noProof/>
                <w:webHidden/>
              </w:rPr>
              <w:instrText xml:space="preserve"> PAGEREF _Toc237213775 \h </w:instrText>
            </w:r>
            <w:r w:rsidR="005D3639">
              <w:rPr>
                <w:noProof/>
                <w:webHidden/>
              </w:rPr>
            </w:r>
            <w:r w:rsidR="005D3639">
              <w:rPr>
                <w:noProof/>
                <w:webHidden/>
              </w:rPr>
              <w:fldChar w:fldCharType="separate"/>
            </w:r>
            <w:r w:rsidR="005D3639">
              <w:rPr>
                <w:noProof/>
                <w:webHidden/>
              </w:rPr>
              <w:t>12</w:t>
            </w:r>
            <w:r w:rsidR="005D3639">
              <w:rPr>
                <w:noProof/>
                <w:webHidden/>
              </w:rPr>
              <w:fldChar w:fldCharType="end"/>
            </w:r>
          </w:hyperlink>
        </w:p>
        <w:p w14:paraId="6A28128A" w14:textId="58972070" w:rsidR="005D3639" w:rsidRDefault="00000000">
          <w:pPr>
            <w:pStyle w:val="TOC2"/>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76" w:history="1">
            <w:r w:rsidR="005D3639" w:rsidRPr="00E341E8">
              <w:rPr>
                <w:rStyle w:val="Hyperlink"/>
                <w:noProof/>
              </w:rPr>
              <w:t>Improvement, and Lessons Learned</w:t>
            </w:r>
            <w:r w:rsidR="005D3639">
              <w:rPr>
                <w:noProof/>
                <w:webHidden/>
              </w:rPr>
              <w:tab/>
            </w:r>
            <w:r w:rsidR="005D3639">
              <w:rPr>
                <w:noProof/>
                <w:webHidden/>
              </w:rPr>
              <w:fldChar w:fldCharType="begin"/>
            </w:r>
            <w:r w:rsidR="005D3639">
              <w:rPr>
                <w:noProof/>
                <w:webHidden/>
              </w:rPr>
              <w:instrText xml:space="preserve"> PAGEREF _Toc237213776 \h </w:instrText>
            </w:r>
            <w:r w:rsidR="005D3639">
              <w:rPr>
                <w:noProof/>
                <w:webHidden/>
              </w:rPr>
            </w:r>
            <w:r w:rsidR="005D3639">
              <w:rPr>
                <w:noProof/>
                <w:webHidden/>
              </w:rPr>
              <w:fldChar w:fldCharType="separate"/>
            </w:r>
            <w:r w:rsidR="005D3639">
              <w:rPr>
                <w:noProof/>
                <w:webHidden/>
              </w:rPr>
              <w:t>13</w:t>
            </w:r>
            <w:r w:rsidR="005D3639">
              <w:rPr>
                <w:noProof/>
                <w:webHidden/>
              </w:rPr>
              <w:fldChar w:fldCharType="end"/>
            </w:r>
          </w:hyperlink>
        </w:p>
        <w:p w14:paraId="1E5C2259" w14:textId="6F312A8B"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77" w:history="1">
            <w:r w:rsidR="005D3639" w:rsidRPr="00E341E8">
              <w:rPr>
                <w:rStyle w:val="Hyperlink"/>
                <w:noProof/>
              </w:rPr>
              <w:t>Critical analysis of leadership and governance in healthcare</w:t>
            </w:r>
            <w:r w:rsidR="005D3639">
              <w:rPr>
                <w:noProof/>
                <w:webHidden/>
              </w:rPr>
              <w:tab/>
            </w:r>
            <w:r w:rsidR="005D3639">
              <w:rPr>
                <w:noProof/>
                <w:webHidden/>
              </w:rPr>
              <w:fldChar w:fldCharType="begin"/>
            </w:r>
            <w:r w:rsidR="005D3639">
              <w:rPr>
                <w:noProof/>
                <w:webHidden/>
              </w:rPr>
              <w:instrText xml:space="preserve"> PAGEREF _Toc237213777 \h </w:instrText>
            </w:r>
            <w:r w:rsidR="005D3639">
              <w:rPr>
                <w:noProof/>
                <w:webHidden/>
              </w:rPr>
            </w:r>
            <w:r w:rsidR="005D3639">
              <w:rPr>
                <w:noProof/>
                <w:webHidden/>
              </w:rPr>
              <w:fldChar w:fldCharType="separate"/>
            </w:r>
            <w:r w:rsidR="005D3639">
              <w:rPr>
                <w:noProof/>
                <w:webHidden/>
              </w:rPr>
              <w:t>14</w:t>
            </w:r>
            <w:r w:rsidR="005D3639">
              <w:rPr>
                <w:noProof/>
                <w:webHidden/>
              </w:rPr>
              <w:fldChar w:fldCharType="end"/>
            </w:r>
          </w:hyperlink>
        </w:p>
        <w:p w14:paraId="4F9E62D5" w14:textId="7D711295"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78" w:history="1">
            <w:r w:rsidR="005D3639" w:rsidRPr="00E341E8">
              <w:rPr>
                <w:rStyle w:val="Hyperlink"/>
                <w:noProof/>
              </w:rPr>
              <w:t>Problem identified</w:t>
            </w:r>
            <w:r w:rsidR="005D3639">
              <w:rPr>
                <w:noProof/>
                <w:webHidden/>
              </w:rPr>
              <w:tab/>
            </w:r>
            <w:r w:rsidR="005D3639">
              <w:rPr>
                <w:noProof/>
                <w:webHidden/>
              </w:rPr>
              <w:fldChar w:fldCharType="begin"/>
            </w:r>
            <w:r w:rsidR="005D3639">
              <w:rPr>
                <w:noProof/>
                <w:webHidden/>
              </w:rPr>
              <w:instrText xml:space="preserve"> PAGEREF _Toc237213778 \h </w:instrText>
            </w:r>
            <w:r w:rsidR="005D3639">
              <w:rPr>
                <w:noProof/>
                <w:webHidden/>
              </w:rPr>
            </w:r>
            <w:r w:rsidR="005D3639">
              <w:rPr>
                <w:noProof/>
                <w:webHidden/>
              </w:rPr>
              <w:fldChar w:fldCharType="separate"/>
            </w:r>
            <w:r w:rsidR="005D3639">
              <w:rPr>
                <w:noProof/>
                <w:webHidden/>
              </w:rPr>
              <w:t>14</w:t>
            </w:r>
            <w:r w:rsidR="005D3639">
              <w:rPr>
                <w:noProof/>
                <w:webHidden/>
              </w:rPr>
              <w:fldChar w:fldCharType="end"/>
            </w:r>
          </w:hyperlink>
        </w:p>
        <w:p w14:paraId="0A426F8E" w14:textId="1A7D5F19"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79" w:history="1">
            <w:r w:rsidR="005D3639" w:rsidRPr="00E341E8">
              <w:rPr>
                <w:rStyle w:val="Hyperlink"/>
                <w:noProof/>
              </w:rPr>
              <w:t>Data and Evidence</w:t>
            </w:r>
            <w:r w:rsidR="005D3639">
              <w:rPr>
                <w:noProof/>
                <w:webHidden/>
              </w:rPr>
              <w:tab/>
            </w:r>
            <w:r w:rsidR="005D3639">
              <w:rPr>
                <w:noProof/>
                <w:webHidden/>
              </w:rPr>
              <w:fldChar w:fldCharType="begin"/>
            </w:r>
            <w:r w:rsidR="005D3639">
              <w:rPr>
                <w:noProof/>
                <w:webHidden/>
              </w:rPr>
              <w:instrText xml:space="preserve"> PAGEREF _Toc237213779 \h </w:instrText>
            </w:r>
            <w:r w:rsidR="005D3639">
              <w:rPr>
                <w:noProof/>
                <w:webHidden/>
              </w:rPr>
            </w:r>
            <w:r w:rsidR="005D3639">
              <w:rPr>
                <w:noProof/>
                <w:webHidden/>
              </w:rPr>
              <w:fldChar w:fldCharType="separate"/>
            </w:r>
            <w:r w:rsidR="005D3639">
              <w:rPr>
                <w:noProof/>
                <w:webHidden/>
              </w:rPr>
              <w:t>15</w:t>
            </w:r>
            <w:r w:rsidR="005D3639">
              <w:rPr>
                <w:noProof/>
                <w:webHidden/>
              </w:rPr>
              <w:fldChar w:fldCharType="end"/>
            </w:r>
          </w:hyperlink>
        </w:p>
        <w:p w14:paraId="31BE5CD3" w14:textId="2F77E29E" w:rsidR="005D3639" w:rsidRDefault="00000000">
          <w:pPr>
            <w:pStyle w:val="TOC3"/>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80" w:history="1">
            <w:r w:rsidR="005D3639" w:rsidRPr="00E341E8">
              <w:rPr>
                <w:rStyle w:val="Hyperlink"/>
                <w:noProof/>
              </w:rPr>
              <w:t>Areas of improvement for future</w:t>
            </w:r>
            <w:r w:rsidR="005D3639">
              <w:rPr>
                <w:noProof/>
                <w:webHidden/>
              </w:rPr>
              <w:tab/>
            </w:r>
            <w:r w:rsidR="005D3639">
              <w:rPr>
                <w:noProof/>
                <w:webHidden/>
              </w:rPr>
              <w:fldChar w:fldCharType="begin"/>
            </w:r>
            <w:r w:rsidR="005D3639">
              <w:rPr>
                <w:noProof/>
                <w:webHidden/>
              </w:rPr>
              <w:instrText xml:space="preserve"> PAGEREF _Toc237213780 \h </w:instrText>
            </w:r>
            <w:r w:rsidR="005D3639">
              <w:rPr>
                <w:noProof/>
                <w:webHidden/>
              </w:rPr>
            </w:r>
            <w:r w:rsidR="005D3639">
              <w:rPr>
                <w:noProof/>
                <w:webHidden/>
              </w:rPr>
              <w:fldChar w:fldCharType="separate"/>
            </w:r>
            <w:r w:rsidR="005D3639">
              <w:rPr>
                <w:noProof/>
                <w:webHidden/>
              </w:rPr>
              <w:t>15</w:t>
            </w:r>
            <w:r w:rsidR="005D3639">
              <w:rPr>
                <w:noProof/>
                <w:webHidden/>
              </w:rPr>
              <w:fldChar w:fldCharType="end"/>
            </w:r>
          </w:hyperlink>
        </w:p>
        <w:p w14:paraId="6EFBD401" w14:textId="4A9984F9" w:rsidR="005D3639" w:rsidRDefault="00000000">
          <w:pPr>
            <w:pStyle w:val="TOC1"/>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81" w:history="1">
            <w:r w:rsidR="005D3639" w:rsidRPr="00E341E8">
              <w:rPr>
                <w:rStyle w:val="Hyperlink"/>
                <w:noProof/>
              </w:rPr>
              <w:t>Recommendation</w:t>
            </w:r>
            <w:r w:rsidR="005D3639">
              <w:rPr>
                <w:noProof/>
                <w:webHidden/>
              </w:rPr>
              <w:tab/>
            </w:r>
            <w:r w:rsidR="005D3639">
              <w:rPr>
                <w:noProof/>
                <w:webHidden/>
              </w:rPr>
              <w:fldChar w:fldCharType="begin"/>
            </w:r>
            <w:r w:rsidR="005D3639">
              <w:rPr>
                <w:noProof/>
                <w:webHidden/>
              </w:rPr>
              <w:instrText xml:space="preserve"> PAGEREF _Toc237213781 \h </w:instrText>
            </w:r>
            <w:r w:rsidR="005D3639">
              <w:rPr>
                <w:noProof/>
                <w:webHidden/>
              </w:rPr>
            </w:r>
            <w:r w:rsidR="005D3639">
              <w:rPr>
                <w:noProof/>
                <w:webHidden/>
              </w:rPr>
              <w:fldChar w:fldCharType="separate"/>
            </w:r>
            <w:r w:rsidR="005D3639">
              <w:rPr>
                <w:noProof/>
                <w:webHidden/>
              </w:rPr>
              <w:t>16</w:t>
            </w:r>
            <w:r w:rsidR="005D3639">
              <w:rPr>
                <w:noProof/>
                <w:webHidden/>
              </w:rPr>
              <w:fldChar w:fldCharType="end"/>
            </w:r>
          </w:hyperlink>
        </w:p>
        <w:p w14:paraId="4E0123E5" w14:textId="041824AC" w:rsidR="005D3639" w:rsidRDefault="00000000">
          <w:pPr>
            <w:pStyle w:val="TOC2"/>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82" w:history="1">
            <w:r w:rsidR="005D3639" w:rsidRPr="00E341E8">
              <w:rPr>
                <w:rStyle w:val="Hyperlink"/>
                <w:noProof/>
              </w:rPr>
              <w:t>Priority actions</w:t>
            </w:r>
            <w:r w:rsidR="005D3639">
              <w:rPr>
                <w:noProof/>
                <w:webHidden/>
              </w:rPr>
              <w:tab/>
            </w:r>
            <w:r w:rsidR="005D3639">
              <w:rPr>
                <w:noProof/>
                <w:webHidden/>
              </w:rPr>
              <w:fldChar w:fldCharType="begin"/>
            </w:r>
            <w:r w:rsidR="005D3639">
              <w:rPr>
                <w:noProof/>
                <w:webHidden/>
              </w:rPr>
              <w:instrText xml:space="preserve"> PAGEREF _Toc237213782 \h </w:instrText>
            </w:r>
            <w:r w:rsidR="005D3639">
              <w:rPr>
                <w:noProof/>
                <w:webHidden/>
              </w:rPr>
            </w:r>
            <w:r w:rsidR="005D3639">
              <w:rPr>
                <w:noProof/>
                <w:webHidden/>
              </w:rPr>
              <w:fldChar w:fldCharType="separate"/>
            </w:r>
            <w:r w:rsidR="005D3639">
              <w:rPr>
                <w:noProof/>
                <w:webHidden/>
              </w:rPr>
              <w:t>16</w:t>
            </w:r>
            <w:r w:rsidR="005D3639">
              <w:rPr>
                <w:noProof/>
                <w:webHidden/>
              </w:rPr>
              <w:fldChar w:fldCharType="end"/>
            </w:r>
          </w:hyperlink>
        </w:p>
        <w:p w14:paraId="1CCAFA03" w14:textId="12477608" w:rsidR="005D3639" w:rsidRDefault="00000000">
          <w:pPr>
            <w:pStyle w:val="TOC2"/>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83" w:history="1">
            <w:r w:rsidR="005D3639" w:rsidRPr="00E341E8">
              <w:rPr>
                <w:rStyle w:val="Hyperlink"/>
                <w:noProof/>
              </w:rPr>
              <w:t>Leadership style to sustain improvement</w:t>
            </w:r>
            <w:r w:rsidR="005D3639">
              <w:rPr>
                <w:noProof/>
                <w:webHidden/>
              </w:rPr>
              <w:tab/>
            </w:r>
            <w:r w:rsidR="005D3639">
              <w:rPr>
                <w:noProof/>
                <w:webHidden/>
              </w:rPr>
              <w:fldChar w:fldCharType="begin"/>
            </w:r>
            <w:r w:rsidR="005D3639">
              <w:rPr>
                <w:noProof/>
                <w:webHidden/>
              </w:rPr>
              <w:instrText xml:space="preserve"> PAGEREF _Toc237213783 \h </w:instrText>
            </w:r>
            <w:r w:rsidR="005D3639">
              <w:rPr>
                <w:noProof/>
                <w:webHidden/>
              </w:rPr>
            </w:r>
            <w:r w:rsidR="005D3639">
              <w:rPr>
                <w:noProof/>
                <w:webHidden/>
              </w:rPr>
              <w:fldChar w:fldCharType="separate"/>
            </w:r>
            <w:r w:rsidR="005D3639">
              <w:rPr>
                <w:noProof/>
                <w:webHidden/>
              </w:rPr>
              <w:t>16</w:t>
            </w:r>
            <w:r w:rsidR="005D3639">
              <w:rPr>
                <w:noProof/>
                <w:webHidden/>
              </w:rPr>
              <w:fldChar w:fldCharType="end"/>
            </w:r>
          </w:hyperlink>
        </w:p>
        <w:p w14:paraId="31E5F532" w14:textId="79B07BDA" w:rsidR="005D3639" w:rsidRDefault="00000000">
          <w:pPr>
            <w:pStyle w:val="TOC2"/>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84" w:history="1">
            <w:r w:rsidR="005D3639" w:rsidRPr="00E341E8">
              <w:rPr>
                <w:rStyle w:val="Hyperlink"/>
                <w:noProof/>
              </w:rPr>
              <w:t>Strengthening governance, communication, and system integration</w:t>
            </w:r>
            <w:r w:rsidR="005D3639">
              <w:rPr>
                <w:noProof/>
                <w:webHidden/>
              </w:rPr>
              <w:tab/>
            </w:r>
            <w:r w:rsidR="005D3639">
              <w:rPr>
                <w:noProof/>
                <w:webHidden/>
              </w:rPr>
              <w:fldChar w:fldCharType="begin"/>
            </w:r>
            <w:r w:rsidR="005D3639">
              <w:rPr>
                <w:noProof/>
                <w:webHidden/>
              </w:rPr>
              <w:instrText xml:space="preserve"> PAGEREF _Toc237213784 \h </w:instrText>
            </w:r>
            <w:r w:rsidR="005D3639">
              <w:rPr>
                <w:noProof/>
                <w:webHidden/>
              </w:rPr>
            </w:r>
            <w:r w:rsidR="005D3639">
              <w:rPr>
                <w:noProof/>
                <w:webHidden/>
              </w:rPr>
              <w:fldChar w:fldCharType="separate"/>
            </w:r>
            <w:r w:rsidR="005D3639">
              <w:rPr>
                <w:noProof/>
                <w:webHidden/>
              </w:rPr>
              <w:t>16</w:t>
            </w:r>
            <w:r w:rsidR="005D3639">
              <w:rPr>
                <w:noProof/>
                <w:webHidden/>
              </w:rPr>
              <w:fldChar w:fldCharType="end"/>
            </w:r>
          </w:hyperlink>
        </w:p>
        <w:p w14:paraId="5DFC4A2A" w14:textId="0838A3D2" w:rsidR="005D3639" w:rsidRDefault="00000000">
          <w:pPr>
            <w:pStyle w:val="TOC2"/>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85" w:history="1">
            <w:r w:rsidR="005D3639" w:rsidRPr="00E341E8">
              <w:rPr>
                <w:rStyle w:val="Hyperlink"/>
                <w:noProof/>
              </w:rPr>
              <w:t>Enhancing technical and allocative efficiency</w:t>
            </w:r>
            <w:r w:rsidR="005D3639">
              <w:rPr>
                <w:noProof/>
                <w:webHidden/>
              </w:rPr>
              <w:tab/>
            </w:r>
            <w:r w:rsidR="005D3639">
              <w:rPr>
                <w:noProof/>
                <w:webHidden/>
              </w:rPr>
              <w:fldChar w:fldCharType="begin"/>
            </w:r>
            <w:r w:rsidR="005D3639">
              <w:rPr>
                <w:noProof/>
                <w:webHidden/>
              </w:rPr>
              <w:instrText xml:space="preserve"> PAGEREF _Toc237213785 \h </w:instrText>
            </w:r>
            <w:r w:rsidR="005D3639">
              <w:rPr>
                <w:noProof/>
                <w:webHidden/>
              </w:rPr>
            </w:r>
            <w:r w:rsidR="005D3639">
              <w:rPr>
                <w:noProof/>
                <w:webHidden/>
              </w:rPr>
              <w:fldChar w:fldCharType="separate"/>
            </w:r>
            <w:r w:rsidR="005D3639">
              <w:rPr>
                <w:noProof/>
                <w:webHidden/>
              </w:rPr>
              <w:t>17</w:t>
            </w:r>
            <w:r w:rsidR="005D3639">
              <w:rPr>
                <w:noProof/>
                <w:webHidden/>
              </w:rPr>
              <w:fldChar w:fldCharType="end"/>
            </w:r>
          </w:hyperlink>
        </w:p>
        <w:p w14:paraId="32B626A5" w14:textId="3FDFAFC9" w:rsidR="005D3639" w:rsidRDefault="00000000">
          <w:pPr>
            <w:pStyle w:val="TOC1"/>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86" w:history="1">
            <w:r w:rsidR="005D3639" w:rsidRPr="00E341E8">
              <w:rPr>
                <w:rStyle w:val="Hyperlink"/>
                <w:noProof/>
              </w:rPr>
              <w:t>Conclusion</w:t>
            </w:r>
            <w:r w:rsidR="005D3639">
              <w:rPr>
                <w:noProof/>
                <w:webHidden/>
              </w:rPr>
              <w:tab/>
            </w:r>
            <w:r w:rsidR="005D3639">
              <w:rPr>
                <w:noProof/>
                <w:webHidden/>
              </w:rPr>
              <w:fldChar w:fldCharType="begin"/>
            </w:r>
            <w:r w:rsidR="005D3639">
              <w:rPr>
                <w:noProof/>
                <w:webHidden/>
              </w:rPr>
              <w:instrText xml:space="preserve"> PAGEREF _Toc237213786 \h </w:instrText>
            </w:r>
            <w:r w:rsidR="005D3639">
              <w:rPr>
                <w:noProof/>
                <w:webHidden/>
              </w:rPr>
            </w:r>
            <w:r w:rsidR="005D3639">
              <w:rPr>
                <w:noProof/>
                <w:webHidden/>
              </w:rPr>
              <w:fldChar w:fldCharType="separate"/>
            </w:r>
            <w:r w:rsidR="005D3639">
              <w:rPr>
                <w:noProof/>
                <w:webHidden/>
              </w:rPr>
              <w:t>18</w:t>
            </w:r>
            <w:r w:rsidR="005D3639">
              <w:rPr>
                <w:noProof/>
                <w:webHidden/>
              </w:rPr>
              <w:fldChar w:fldCharType="end"/>
            </w:r>
          </w:hyperlink>
        </w:p>
        <w:p w14:paraId="10F54550" w14:textId="26F6222A" w:rsidR="005D3639" w:rsidRDefault="00000000">
          <w:pPr>
            <w:pStyle w:val="TOC1"/>
            <w:tabs>
              <w:tab w:val="right" w:leader="dot" w:pos="9016"/>
            </w:tabs>
            <w:rPr>
              <w:rFonts w:asciiTheme="minorHAnsi" w:eastAsiaTheme="minorEastAsia" w:hAnsiTheme="minorHAnsi" w:cstheme="minorBidi"/>
              <w:noProof/>
              <w:kern w:val="2"/>
              <w:highlight w:val="none"/>
              <w:lang w:val="en-IN" w:eastAsia="en-IN"/>
              <w14:ligatures w14:val="standardContextual"/>
            </w:rPr>
          </w:pPr>
          <w:hyperlink w:anchor="_Toc237213787" w:history="1">
            <w:r w:rsidR="005D3639" w:rsidRPr="00E341E8">
              <w:rPr>
                <w:rStyle w:val="Hyperlink"/>
                <w:noProof/>
              </w:rPr>
              <w:t>References</w:t>
            </w:r>
            <w:r w:rsidR="005D3639">
              <w:rPr>
                <w:noProof/>
                <w:webHidden/>
              </w:rPr>
              <w:tab/>
            </w:r>
            <w:r w:rsidR="005D3639">
              <w:rPr>
                <w:noProof/>
                <w:webHidden/>
              </w:rPr>
              <w:fldChar w:fldCharType="begin"/>
            </w:r>
            <w:r w:rsidR="005D3639">
              <w:rPr>
                <w:noProof/>
                <w:webHidden/>
              </w:rPr>
              <w:instrText xml:space="preserve"> PAGEREF _Toc237213787 \h </w:instrText>
            </w:r>
            <w:r w:rsidR="005D3639">
              <w:rPr>
                <w:noProof/>
                <w:webHidden/>
              </w:rPr>
            </w:r>
            <w:r w:rsidR="005D3639">
              <w:rPr>
                <w:noProof/>
                <w:webHidden/>
              </w:rPr>
              <w:fldChar w:fldCharType="separate"/>
            </w:r>
            <w:r w:rsidR="005D3639">
              <w:rPr>
                <w:noProof/>
                <w:webHidden/>
              </w:rPr>
              <w:t>20</w:t>
            </w:r>
            <w:r w:rsidR="005D3639">
              <w:rPr>
                <w:noProof/>
                <w:webHidden/>
              </w:rPr>
              <w:fldChar w:fldCharType="end"/>
            </w:r>
          </w:hyperlink>
        </w:p>
        <w:p w14:paraId="3E615134" w14:textId="2C70B879" w:rsidR="00650E94" w:rsidRDefault="00650E94">
          <w:r>
            <w:rPr>
              <w:b/>
              <w:bCs/>
              <w:noProof/>
            </w:rPr>
            <w:fldChar w:fldCharType="end"/>
          </w:r>
        </w:p>
      </w:sdtContent>
    </w:sdt>
    <w:p w14:paraId="36750C56" w14:textId="77777777" w:rsidR="00984311" w:rsidRDefault="00984311">
      <w:pPr>
        <w:spacing w:after="100"/>
        <w:jc w:val="center"/>
      </w:pPr>
    </w:p>
    <w:p w14:paraId="43670DEB" w14:textId="77777777" w:rsidR="00984311" w:rsidRDefault="00000000">
      <w:pPr>
        <w:spacing w:after="100"/>
        <w:jc w:val="left"/>
      </w:pPr>
      <w:r>
        <w:br w:type="page"/>
      </w:r>
    </w:p>
    <w:p w14:paraId="638DBF92" w14:textId="77777777" w:rsidR="00984311" w:rsidRDefault="00000000">
      <w:pPr>
        <w:pStyle w:val="Heading1"/>
        <w:spacing w:before="200" w:after="120"/>
      </w:pPr>
      <w:bookmarkStart w:id="0" w:name="_Toc237213755"/>
      <w:r>
        <w:lastRenderedPageBreak/>
        <w:t xml:space="preserve">CASE STUDY - </w:t>
      </w:r>
      <w:r w:rsidR="00C50EA7">
        <w:t>3</w:t>
      </w:r>
      <w:bookmarkEnd w:id="0"/>
    </w:p>
    <w:p w14:paraId="4FFB1DA7" w14:textId="77777777" w:rsidR="00984311" w:rsidRDefault="00000000">
      <w:pPr>
        <w:pStyle w:val="Heading1"/>
        <w:spacing w:before="200" w:after="120"/>
      </w:pPr>
      <w:bookmarkStart w:id="1" w:name="_Toc237213756"/>
      <w:r>
        <w:t>Introduction</w:t>
      </w:r>
      <w:bookmarkEnd w:id="1"/>
      <w:r>
        <w:t xml:space="preserve"> </w:t>
      </w:r>
    </w:p>
    <w:p w14:paraId="6FAD72CC" w14:textId="10FD7DF6" w:rsidR="00984311" w:rsidRPr="00C11FA8" w:rsidRDefault="00C11FA8">
      <w:pPr>
        <w:spacing w:after="100"/>
        <w:rPr>
          <w:bCs/>
        </w:rPr>
      </w:pPr>
      <w:r w:rsidRPr="00C11FA8">
        <w:rPr>
          <w:bCs/>
        </w:rPr>
        <w:t xml:space="preserve">This study explores Len's journey of care transition after a fall. Len was 89 and had Charcot-Marie-Tooth disease. He presented with chest pain and </w:t>
      </w:r>
      <w:proofErr w:type="spellStart"/>
      <w:r w:rsidRPr="00C11FA8">
        <w:rPr>
          <w:bCs/>
        </w:rPr>
        <w:t>dyspnea</w:t>
      </w:r>
      <w:proofErr w:type="spellEnd"/>
      <w:r w:rsidRPr="00C11FA8">
        <w:rPr>
          <w:bCs/>
        </w:rPr>
        <w:t xml:space="preserve"> and was administered oral solution of Morphine. Len and his wife misinterpreted the concentration (10mg/5ml) of the medicine and wrongly thought it was the dose prescribed. Len hence took 5ml instead of the recommended amount of 1.25-2.5ml. Next morning, he was taken in unresponsive, and readmitted. Initially he improved but later died of suspected morphine toxicity, pneumonia and worsening of his original disease. It was not possible to conclude whether the accidental overdose played a part, or what level of contribution, in his death in the investigation (Health Services Safety Investigations Body (HSSIB), 2022). This case thus illustrates issues around the labelling of medicines, patient and carer education, and the interface between care settings.</w:t>
      </w:r>
    </w:p>
    <w:p w14:paraId="6C19E1DC" w14:textId="77777777" w:rsidR="00984311" w:rsidRDefault="00000000">
      <w:pPr>
        <w:spacing w:after="100"/>
      </w:pPr>
      <w:r>
        <w:t>Health and social care leadership is important in the prevention of such incidents through safe practices, effective communication and coordination of service delivery (Curry et al., 2022). It entails gathering people and groups to accomplish common objectives like patient safety and quality care. In systems such as the NHS, leadership exists in a decentralised and centralised systems. Centralisation promotes uniformity with standard policies and prescribing guidelines, but can inhibit local flexibility. Decentralisation in contrast gives the frontline professionals, including GPs, to provide care according to the needs of individual patients, but it also may create variability, unless well-coordinated (Traylor et al., 2025).</w:t>
      </w:r>
    </w:p>
    <w:p w14:paraId="37FAA889" w14:textId="77777777" w:rsidR="00984311" w:rsidRPr="00650E94" w:rsidRDefault="00000000">
      <w:pPr>
        <w:spacing w:after="100"/>
      </w:pPr>
      <w:r w:rsidRPr="00650E94">
        <w:t>Various leadership styles have different advantages to solving intricate healthcare issues. Transformational leadership is aimed at creating change that is inspiring, enhancing the safety culture, and promoting innovation. The transactional leadership, in it</w:t>
      </w:r>
      <w:r w:rsidR="00650E94">
        <w:t xml:space="preserve"> i</w:t>
      </w:r>
      <w:r w:rsidRPr="00650E94">
        <w:t xml:space="preserve">s turn, focuses on compliance with rules and procedures by means of monitoring and rewards (Deng et al., 2023). Although this can help to comply, it might not work in scenarios that need critical thinking and flexibility. Situational leadership emphasizes the importance of varying leadership styles in regard to the situation and competence of the team members. In Len's case, the central weakness was not the existence of protocols, but the failure to adapt communication and confirm medication understanding. </w:t>
      </w:r>
      <w:proofErr w:type="spellStart"/>
      <w:r w:rsidRPr="00650E94">
        <w:t>Haimovich</w:t>
      </w:r>
      <w:proofErr w:type="spellEnd"/>
      <w:r w:rsidRPr="00650E94">
        <w:t xml:space="preserve"> et al. (2024) found that medication instructions were among the least well-understood components of discharge information for older adults.</w:t>
      </w:r>
    </w:p>
    <w:p w14:paraId="2620741A" w14:textId="77777777" w:rsidR="00F35770" w:rsidRPr="00650E94" w:rsidRDefault="00000000">
      <w:pPr>
        <w:spacing w:after="100"/>
      </w:pPr>
      <w:r w:rsidRPr="00650E94">
        <w:t xml:space="preserve">In this report, systems thinking is applied in investigating the cause of the incident and identifying that mistakes are not caused by single actions but rather as a result of system </w:t>
      </w:r>
      <w:r w:rsidRPr="00650E94">
        <w:lastRenderedPageBreak/>
        <w:t>failures. It also assesses the role of leadership, governance and organisational structures on care quality and safety (</w:t>
      </w:r>
      <w:proofErr w:type="spellStart"/>
      <w:r w:rsidRPr="00650E94">
        <w:t>Castelyn</w:t>
      </w:r>
      <w:proofErr w:type="spellEnd"/>
      <w:r w:rsidRPr="00650E94">
        <w:t>, 2024). Through the analysis of this case, the report will seek to establish some of the most important lessons and give evidence based-based recommendations to enhance discharge processes, communication strategies and leadership practices. In conclusion, it shows that adaptive leadership and the integrated systems can help to improve patient outcomes and reduce avoidable harm.</w:t>
      </w:r>
    </w:p>
    <w:p w14:paraId="4612C53D" w14:textId="77777777" w:rsidR="00984311" w:rsidRDefault="00000000">
      <w:pPr>
        <w:pStyle w:val="Heading1"/>
        <w:spacing w:before="200" w:after="120"/>
      </w:pPr>
      <w:bookmarkStart w:id="2" w:name="_Toc237213757"/>
      <w:r>
        <w:t>Main body</w:t>
      </w:r>
      <w:bookmarkEnd w:id="2"/>
    </w:p>
    <w:p w14:paraId="59258D0D" w14:textId="77777777" w:rsidR="00984311" w:rsidRDefault="00000000">
      <w:pPr>
        <w:pStyle w:val="Heading2"/>
        <w:spacing w:before="200" w:after="120"/>
      </w:pPr>
      <w:bookmarkStart w:id="3" w:name="_Toc237213758"/>
      <w:r>
        <w:t>Identifying the Problem and Setting the System Context</w:t>
      </w:r>
      <w:bookmarkEnd w:id="3"/>
      <w:r>
        <w:t xml:space="preserve"> </w:t>
      </w:r>
    </w:p>
    <w:p w14:paraId="10A1080A" w14:textId="77777777" w:rsidR="00984311" w:rsidRDefault="00000000">
      <w:pPr>
        <w:pStyle w:val="Heading3"/>
        <w:spacing w:before="200" w:after="120"/>
      </w:pPr>
      <w:bookmarkStart w:id="4" w:name="_Toc237213759"/>
      <w:r>
        <w:t>Central Problem Description</w:t>
      </w:r>
      <w:bookmarkEnd w:id="4"/>
    </w:p>
    <w:p w14:paraId="0CBE12B8" w14:textId="04957B02" w:rsidR="00984311" w:rsidRPr="00C11FA8" w:rsidRDefault="00C11FA8">
      <w:pPr>
        <w:spacing w:after="100"/>
        <w:rPr>
          <w:bCs/>
        </w:rPr>
      </w:pPr>
      <w:r w:rsidRPr="00C11FA8">
        <w:rPr>
          <w:bCs/>
        </w:rPr>
        <w:t xml:space="preserve">The main issue was inadequate communication, poor medication-safety practices and inappropriate labelling. Len was prescribed to take morphine </w:t>
      </w:r>
      <w:proofErr w:type="spellStart"/>
      <w:r w:rsidRPr="00C11FA8">
        <w:rPr>
          <w:bCs/>
        </w:rPr>
        <w:t>sulfate</w:t>
      </w:r>
      <w:proofErr w:type="spellEnd"/>
      <w:r w:rsidRPr="00C11FA8">
        <w:rPr>
          <w:bCs/>
        </w:rPr>
        <w:t xml:space="preserve"> oral solution at 1.25-2.5 ml as needed, every four hours. The manufacturer, however, had attached the dispensing label to the outer box which Len and his wife read as "10 mg/5 ml" and thus believed that 5 ml was the required concentration. Len consequently took three 5 ml doses. He was readmitted and later died, but it remains unclear whether and to what extent the overdose contributed to his death (HSSIB, 2022). For a visualisation of Len's pathway of discharge and medication, see Figure 1.</w:t>
      </w:r>
    </w:p>
    <w:p w14:paraId="72E0E153" w14:textId="77777777" w:rsidR="00984311" w:rsidRDefault="00000000">
      <w:pPr>
        <w:keepNext/>
        <w:spacing w:after="100"/>
        <w:jc w:val="center"/>
        <w:rPr>
          <w:color w:val="000000"/>
        </w:rPr>
      </w:pPr>
      <w:r>
        <w:rPr>
          <w:noProof/>
          <w:color w:val="000000"/>
        </w:rPr>
        <w:drawing>
          <wp:inline distT="0" distB="0" distL="0" distR="0" wp14:anchorId="3BB8BFA8" wp14:editId="399D581D">
            <wp:extent cx="5551065" cy="3341374"/>
            <wp:effectExtent l="19050" t="19050" r="12065" b="1143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t="9710"/>
                    <a:stretch>
                      <a:fillRect/>
                    </a:stretch>
                  </pic:blipFill>
                  <pic:spPr>
                    <a:xfrm>
                      <a:off x="0" y="0"/>
                      <a:ext cx="5551065" cy="3341374"/>
                    </a:xfrm>
                    <a:prstGeom prst="rect">
                      <a:avLst/>
                    </a:prstGeom>
                    <a:ln>
                      <a:solidFill>
                        <a:schemeClr val="tx1"/>
                      </a:solidFill>
                    </a:ln>
                  </pic:spPr>
                </pic:pic>
              </a:graphicData>
            </a:graphic>
          </wp:inline>
        </w:drawing>
      </w:r>
    </w:p>
    <w:p w14:paraId="38312E1B" w14:textId="77777777" w:rsidR="00984311" w:rsidRDefault="00000000">
      <w:pPr>
        <w:pBdr>
          <w:top w:val="nil"/>
          <w:left w:val="nil"/>
          <w:bottom w:val="nil"/>
          <w:right w:val="nil"/>
          <w:between w:val="nil"/>
        </w:pBdr>
        <w:spacing w:after="100"/>
        <w:jc w:val="center"/>
        <w:rPr>
          <w:i/>
          <w:iCs/>
          <w:color w:val="000000"/>
        </w:rPr>
      </w:pPr>
      <w:r>
        <w:rPr>
          <w:i/>
          <w:iCs/>
          <w:color w:val="000000"/>
        </w:rPr>
        <w:t>Figure 1: Rich Picture: Len’s Discharge and Medication Pathways</w:t>
      </w:r>
    </w:p>
    <w:p w14:paraId="1E3845A9" w14:textId="316375B4" w:rsidR="005D3639" w:rsidRPr="005D3639" w:rsidRDefault="005D3639">
      <w:pPr>
        <w:pBdr>
          <w:top w:val="nil"/>
          <w:left w:val="nil"/>
          <w:bottom w:val="nil"/>
          <w:right w:val="nil"/>
          <w:between w:val="nil"/>
        </w:pBdr>
        <w:spacing w:after="100"/>
        <w:jc w:val="center"/>
        <w:rPr>
          <w:color w:val="000000"/>
        </w:rPr>
      </w:pPr>
      <w:r w:rsidRPr="005D3639">
        <w:rPr>
          <w:color w:val="000000"/>
        </w:rPr>
        <w:lastRenderedPageBreak/>
        <w:t>(Source: Self-made)</w:t>
      </w:r>
    </w:p>
    <w:p w14:paraId="51C28C83" w14:textId="77777777" w:rsidR="00984311" w:rsidRDefault="00000000">
      <w:pPr>
        <w:pStyle w:val="Heading3"/>
        <w:spacing w:before="200" w:after="120"/>
      </w:pPr>
      <w:bookmarkStart w:id="5" w:name="_Toc237213760"/>
      <w:r>
        <w:t>Global Statistical Insights</w:t>
      </w:r>
      <w:bookmarkEnd w:id="5"/>
    </w:p>
    <w:p w14:paraId="2F955B1A" w14:textId="77777777" w:rsidR="00984311" w:rsidRPr="00650E94" w:rsidRDefault="00000000">
      <w:pPr>
        <w:spacing w:after="100"/>
      </w:pPr>
      <w:r w:rsidRPr="00650E94">
        <w:t xml:space="preserve">Globally, the issue of medication error is a significant health issue of concern. According to the estimates of the World Health Organization (WHO), about 1% of the health spending in the world is attributed to medication-related harm, which is estimated to cost about US 42 billion in a year (World Health Organization, 2022). </w:t>
      </w:r>
      <w:proofErr w:type="spellStart"/>
      <w:r w:rsidRPr="00650E94">
        <w:t>Haimovich</w:t>
      </w:r>
      <w:proofErr w:type="spellEnd"/>
      <w:r w:rsidRPr="00650E94">
        <w:t xml:space="preserve"> et al. (2024) found that older adults understood only 41% of medication instructions after emergency-department discharge, identifying medication communication as a particularly vulnerable part of care transitions.</w:t>
      </w:r>
    </w:p>
    <w:p w14:paraId="0FD4C24D" w14:textId="77777777" w:rsidR="00F35770" w:rsidRPr="00650E94" w:rsidRDefault="00000000">
      <w:pPr>
        <w:spacing w:after="100"/>
        <w:rPr>
          <w:bCs/>
        </w:rPr>
      </w:pPr>
      <w:r w:rsidRPr="00650E94">
        <w:rPr>
          <w:bCs/>
        </w:rPr>
        <w:t>Older adults are particularly vulnerable to medication-related harm because age-related physiological changes, multimorbidity and polypharmacy increase treatment complexity. Research shows that about 36.7 percent of older patients in the outpatient setting have potentially inappropriate medications (PIMs), which are likely to cause adverse drug events (Tian et al., 2023).</w:t>
      </w:r>
      <w:r w:rsidR="00650E94">
        <w:rPr>
          <w:bCs/>
        </w:rPr>
        <w:t xml:space="preserve"> </w:t>
      </w:r>
      <w:r>
        <w:t>The Medication Without Harm program of the WHO is expected to reduce severe, avoidable medication-related harm by 50 percent, which will focus on high-risk circumstances, including transitions of care, polypharmacy, and lack of communication (World Health Organization, 2022). This situation is directly applied to the case of Len as he faced the dangers of not obtaining clear dosing instructions and patient-inadequate understanding.</w:t>
      </w:r>
    </w:p>
    <w:p w14:paraId="702EACE2" w14:textId="77777777" w:rsidR="00984311" w:rsidRDefault="00000000">
      <w:pPr>
        <w:pStyle w:val="Heading3"/>
        <w:spacing w:before="200" w:after="120"/>
      </w:pPr>
      <w:bookmarkStart w:id="6" w:name="_Toc237213761"/>
      <w:r>
        <w:t>National (UK) Statistical Insights</w:t>
      </w:r>
      <w:bookmarkEnd w:id="6"/>
    </w:p>
    <w:p w14:paraId="49AB3AAF" w14:textId="77777777" w:rsidR="00F35770" w:rsidRPr="00650E94" w:rsidRDefault="00000000">
      <w:pPr>
        <w:spacing w:after="100"/>
      </w:pPr>
      <w:r w:rsidRPr="00650E94">
        <w:t>Medication error is prevalent in the National Health Service (NHS) in the UK. The number of medication errors has been estimated to be around 237 million annually, most of which are during administration (54%), and prescribing (21%) (Elliott et al., 2021). Despite the fact that hospitals have a high number of clients, the number of errors is larger in care homes (42%), where elderly people frequently need to be taken care of by carers who administer medication to them.</w:t>
      </w:r>
      <w:r w:rsidR="00C50EA7" w:rsidRPr="00650E94">
        <w:t xml:space="preserve"> </w:t>
      </w:r>
      <w:r w:rsidRPr="00650E94">
        <w:t>Older adults are also vulnerable at discharge because medication communication is frequently passive rather than collaborative. Tobiano et al. (2023) found that older patients often had limited participation in discharge medication conversations, especially as the number of medicines discussed increased.</w:t>
      </w:r>
    </w:p>
    <w:p w14:paraId="48F72AA8" w14:textId="77777777" w:rsidR="00984311" w:rsidRDefault="00000000">
      <w:pPr>
        <w:pStyle w:val="Heading3"/>
        <w:spacing w:before="200" w:after="120"/>
      </w:pPr>
      <w:bookmarkStart w:id="7" w:name="_Toc237213762"/>
      <w:r>
        <w:t>National Organisation Figures and Global Links</w:t>
      </w:r>
      <w:bookmarkEnd w:id="7"/>
    </w:p>
    <w:p w14:paraId="4D2C5C20" w14:textId="77777777" w:rsidR="00F35770" w:rsidRPr="00650E94" w:rsidRDefault="00000000">
      <w:pPr>
        <w:spacing w:after="100"/>
      </w:pPr>
      <w:r w:rsidRPr="00650E94">
        <w:t xml:space="preserve">National organisations also strengthen the linkage between the local and the global trends. The Health Services Safety Investigations Body (HSSIB) identified weaknesses in medication labelling, patient and carer understanding, and safety safeguards in Len's case (HSSIB, 2022). </w:t>
      </w:r>
      <w:r w:rsidRPr="00650E94">
        <w:lastRenderedPageBreak/>
        <w:t>Through these findings, there is focus on the need to have better communication strategies and safer prescribing methods.</w:t>
      </w:r>
      <w:r w:rsidR="00C50EA7" w:rsidRPr="00650E94">
        <w:t xml:space="preserve"> </w:t>
      </w:r>
      <w:proofErr w:type="spellStart"/>
      <w:r w:rsidRPr="00650E94">
        <w:t>Jošt</w:t>
      </w:r>
      <w:proofErr w:type="spellEnd"/>
      <w:r w:rsidRPr="00650E94">
        <w:t xml:space="preserve"> et al. (2024) found that pharmacist-led medication reconciliation can reduce medication errors at hospital discharge, demonstrating that transition-related risks can be addressed through structured system interventions.</w:t>
      </w:r>
    </w:p>
    <w:p w14:paraId="39D72373" w14:textId="77777777" w:rsidR="00984311" w:rsidRDefault="00000000">
      <w:pPr>
        <w:pStyle w:val="Heading3"/>
        <w:spacing w:before="200" w:after="120"/>
      </w:pPr>
      <w:bookmarkStart w:id="8" w:name="_Toc237213763"/>
      <w:r>
        <w:t>Systemic Weaknesses Reflected</w:t>
      </w:r>
      <w:bookmarkEnd w:id="8"/>
    </w:p>
    <w:p w14:paraId="0D77B4DE" w14:textId="77777777" w:rsidR="00984311" w:rsidRDefault="00000000">
      <w:pPr>
        <w:spacing w:after="100"/>
      </w:pPr>
      <w:r>
        <w:t>There are some severe systemic flaws that are revealed in the case. To begin with, it has a breakdown in communication. Len and his wife were not properly instructed on the administration of the medication and no confirmation was made on whether they understood how to administer the medication. There was no use of a teach-back approach and thus their misperception was not recognized (</w:t>
      </w:r>
      <w:proofErr w:type="spellStart"/>
      <w:r>
        <w:t>Saadatian</w:t>
      </w:r>
      <w:proofErr w:type="spellEnd"/>
      <w:r>
        <w:t xml:space="preserve"> et al., 2022). Secondly, the medication system is poorly designed. The most noticeable piece of information on the medications bottle was the label of it</w:t>
      </w:r>
      <w:r w:rsidR="00650E94">
        <w:t xml:space="preserve"> i</w:t>
      </w:r>
      <w:r>
        <w:t xml:space="preserve">s manufacturer which contradicted the dose prescribed. This caused a misunderstanding and chances of making a mistake. Thirdly, accountability and continuity of care is lacking. </w:t>
      </w:r>
    </w:p>
    <w:p w14:paraId="44626411" w14:textId="77777777" w:rsidR="00984311" w:rsidRDefault="00000000">
      <w:pPr>
        <w:pStyle w:val="Heading3"/>
        <w:spacing w:before="200" w:after="120"/>
      </w:pPr>
      <w:bookmarkStart w:id="9" w:name="_Toc237213764"/>
      <w:r>
        <w:t>Governance Level Influencing the Problem</w:t>
      </w:r>
      <w:bookmarkEnd w:id="9"/>
    </w:p>
    <w:p w14:paraId="0DA5BB97" w14:textId="77777777" w:rsidR="00984311" w:rsidRPr="00650E94" w:rsidRDefault="00000000">
      <w:pPr>
        <w:spacing w:after="100"/>
      </w:pPr>
      <w:r w:rsidRPr="00650E94">
        <w:t>There are various levels of governance that impact the problem. At national level, central standards shape prescribing and patient-safety expectations, while regional and local systems translate these expectations into coordinated care. Integrated Care Systems (ICS) at the regional level are in charge of the coordination of services at primary and secondary levels (Correia de Matos et al., 2025).</w:t>
      </w:r>
    </w:p>
    <w:p w14:paraId="2A1A5A69" w14:textId="77777777" w:rsidR="00984311" w:rsidRDefault="00000000">
      <w:pPr>
        <w:pStyle w:val="Heading3"/>
        <w:spacing w:before="200" w:after="120"/>
      </w:pPr>
      <w:bookmarkStart w:id="10" w:name="_Toc237213765"/>
      <w:r>
        <w:t>Underlying Challenges with Supporting Data</w:t>
      </w:r>
      <w:bookmarkEnd w:id="10"/>
    </w:p>
    <w:p w14:paraId="500B3DB8" w14:textId="77777777" w:rsidR="00984311" w:rsidRPr="00650E94" w:rsidRDefault="00000000">
      <w:pPr>
        <w:spacing w:after="100"/>
      </w:pPr>
      <w:r w:rsidRPr="00650E94">
        <w:t>Such incidents have a number of underlying issues. Workforce pressure can reduce the time available for detailed patient education and discharge planning; however, the case evidence does not establish staffing shortage as a direct cause of Len's incident. Please see Figure 2 for a visualisation of relevant factors that contributed to the morphine overdose error.</w:t>
      </w:r>
    </w:p>
    <w:p w14:paraId="5A4B91EF" w14:textId="77777777" w:rsidR="001C239C" w:rsidRDefault="001C239C">
      <w:pPr>
        <w:spacing w:after="100"/>
      </w:pPr>
    </w:p>
    <w:p w14:paraId="202A72B7" w14:textId="77777777" w:rsidR="00984311" w:rsidRDefault="00000000">
      <w:pPr>
        <w:keepNext/>
        <w:spacing w:after="100"/>
        <w:jc w:val="center"/>
      </w:pPr>
      <w:r>
        <w:rPr>
          <w:noProof/>
        </w:rPr>
        <w:lastRenderedPageBreak/>
        <w:drawing>
          <wp:inline distT="0" distB="0" distL="0" distR="0" wp14:anchorId="644A2055" wp14:editId="0AC747E1">
            <wp:extent cx="4998711" cy="2909315"/>
            <wp:effectExtent l="19050" t="19050" r="12065" b="2476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t="12698"/>
                    <a:stretch>
                      <a:fillRect/>
                    </a:stretch>
                  </pic:blipFill>
                  <pic:spPr>
                    <a:xfrm>
                      <a:off x="0" y="0"/>
                      <a:ext cx="4998711" cy="2909315"/>
                    </a:xfrm>
                    <a:prstGeom prst="rect">
                      <a:avLst/>
                    </a:prstGeom>
                    <a:ln>
                      <a:solidFill>
                        <a:schemeClr val="tx1"/>
                      </a:solidFill>
                    </a:ln>
                  </pic:spPr>
                </pic:pic>
              </a:graphicData>
            </a:graphic>
          </wp:inline>
        </w:drawing>
      </w:r>
    </w:p>
    <w:p w14:paraId="177F97BF" w14:textId="77777777" w:rsidR="00984311" w:rsidRDefault="00000000">
      <w:pPr>
        <w:pBdr>
          <w:top w:val="nil"/>
          <w:left w:val="nil"/>
          <w:bottom w:val="nil"/>
          <w:right w:val="nil"/>
          <w:between w:val="nil"/>
        </w:pBdr>
        <w:spacing w:after="100"/>
        <w:jc w:val="center"/>
        <w:rPr>
          <w:i/>
          <w:iCs/>
          <w:color w:val="000000"/>
        </w:rPr>
      </w:pPr>
      <w:r>
        <w:rPr>
          <w:i/>
          <w:iCs/>
          <w:color w:val="000000"/>
        </w:rPr>
        <w:t>Figure 2: Fishbone (Cause and effect) diagram</w:t>
      </w:r>
    </w:p>
    <w:p w14:paraId="7BF8246F" w14:textId="1F93CC31" w:rsidR="005D3639" w:rsidRPr="005D3639" w:rsidRDefault="005D3639">
      <w:pPr>
        <w:pBdr>
          <w:top w:val="nil"/>
          <w:left w:val="nil"/>
          <w:bottom w:val="nil"/>
          <w:right w:val="nil"/>
          <w:between w:val="nil"/>
        </w:pBdr>
        <w:spacing w:after="100"/>
        <w:jc w:val="center"/>
        <w:rPr>
          <w:color w:val="000000"/>
        </w:rPr>
      </w:pPr>
      <w:r w:rsidRPr="005D3639">
        <w:rPr>
          <w:color w:val="000000"/>
        </w:rPr>
        <w:t>(Source: Self-made)</w:t>
      </w:r>
    </w:p>
    <w:p w14:paraId="14ED35E2" w14:textId="77777777" w:rsidR="00984311" w:rsidRDefault="00000000">
      <w:pPr>
        <w:pStyle w:val="Heading2"/>
        <w:spacing w:before="200" w:after="120"/>
      </w:pPr>
      <w:bookmarkStart w:id="11" w:name="_Toc237213766"/>
      <w:r>
        <w:t>Centralisation or Decentralisation</w:t>
      </w:r>
      <w:bookmarkEnd w:id="11"/>
      <w:r>
        <w:t xml:space="preserve"> </w:t>
      </w:r>
    </w:p>
    <w:p w14:paraId="6B38DB1E" w14:textId="45A58D38" w:rsidR="00984311" w:rsidRPr="00C11FA8" w:rsidRDefault="00C11FA8">
      <w:pPr>
        <w:spacing w:after="100"/>
        <w:rPr>
          <w:bCs/>
        </w:rPr>
      </w:pPr>
      <w:r w:rsidRPr="00C11FA8">
        <w:rPr>
          <w:bCs/>
        </w:rPr>
        <w:t>The type of overdose Len suffered was an accidental overdose of Morphine and was followed by readmission and death, but the investigation was unable to determine the role that the overdose played in his death (HSSIB, 2022). The incident exposes significant flaws in the way care is delivered in the NHS. Len's care was provided via NHS services, but the legacy investigation is now held at HSSIB. This section considers the hybrid nature of the NHS, where policy is more centralised and service delivery has a strong local dimension and assesses the impact on decision-making, on crisis management and on accountability.</w:t>
      </w:r>
    </w:p>
    <w:p w14:paraId="7F3AFAB1" w14:textId="77777777" w:rsidR="00984311" w:rsidRDefault="00000000">
      <w:pPr>
        <w:pStyle w:val="Heading3"/>
        <w:spacing w:before="200" w:after="120"/>
      </w:pPr>
      <w:bookmarkStart w:id="12" w:name="_Toc237213767"/>
      <w:r>
        <w:t>Centralised System in the Case Study</w:t>
      </w:r>
      <w:bookmarkEnd w:id="12"/>
    </w:p>
    <w:p w14:paraId="14B04E9E" w14:textId="77777777" w:rsidR="00984311" w:rsidRDefault="00000000">
      <w:pPr>
        <w:spacing w:after="100"/>
        <w:rPr>
          <w:b/>
          <w:bCs/>
        </w:rPr>
      </w:pPr>
      <w:r>
        <w:rPr>
          <w:b/>
          <w:bCs/>
        </w:rPr>
        <w:t>Nature of Centralisation</w:t>
      </w:r>
    </w:p>
    <w:p w14:paraId="4AC4AFAE" w14:textId="02DCFF08" w:rsidR="00984311" w:rsidRPr="00C11FA8" w:rsidRDefault="00C11FA8">
      <w:pPr>
        <w:spacing w:after="100"/>
        <w:rPr>
          <w:bCs/>
        </w:rPr>
      </w:pPr>
      <w:r w:rsidRPr="00C11FA8">
        <w:rPr>
          <w:bCs/>
        </w:rPr>
        <w:t>Centralisation in healthcare involves making decisions at a higher level in the organisation, aiming to create uniformity and standardisation of services (Ramsay et al., 2025). In England, national guidelines on prescribing and reviewing opioid use, and on risk management and medication-safety, are published by NHS England (</w:t>
      </w:r>
      <w:r w:rsidR="005D3639">
        <w:rPr>
          <w:bCs/>
        </w:rPr>
        <w:t>2026</w:t>
      </w:r>
      <w:r w:rsidRPr="00C11FA8">
        <w:rPr>
          <w:bCs/>
        </w:rPr>
        <w:t>). These national expectations aim to minimise unsafe variance, and their impact will rely on the consistent implementation of the expectation at the point of care.</w:t>
      </w:r>
    </w:p>
    <w:p w14:paraId="76948D76" w14:textId="77777777" w:rsidR="00984311" w:rsidRDefault="00000000">
      <w:pPr>
        <w:pStyle w:val="Heading3"/>
        <w:spacing w:before="200" w:after="120"/>
      </w:pPr>
      <w:bookmarkStart w:id="13" w:name="_Toc237213768"/>
      <w:r>
        <w:lastRenderedPageBreak/>
        <w:t>Advantages and disadvantages of Centralisation</w:t>
      </w:r>
      <w:bookmarkEnd w:id="13"/>
    </w:p>
    <w:p w14:paraId="3C03CD3F" w14:textId="56759871" w:rsidR="00984311" w:rsidRPr="00C11FA8" w:rsidRDefault="00C11FA8">
      <w:pPr>
        <w:spacing w:after="100"/>
        <w:rPr>
          <w:bCs/>
        </w:rPr>
      </w:pPr>
      <w:r w:rsidRPr="00C11FA8">
        <w:rPr>
          <w:bCs/>
        </w:rPr>
        <w:t>Centralisation brings benefits in terms of uniformity (</w:t>
      </w:r>
      <w:proofErr w:type="spellStart"/>
      <w:r w:rsidRPr="00C11FA8">
        <w:rPr>
          <w:bCs/>
        </w:rPr>
        <w:t>Shishkin</w:t>
      </w:r>
      <w:proofErr w:type="spellEnd"/>
      <w:r w:rsidRPr="00C11FA8">
        <w:rPr>
          <w:bCs/>
        </w:rPr>
        <w:t xml:space="preserve"> et al., 2025). While standardised prescribing guidance can help evidence-based practice and minimise unwanted variation, it needs to be effectively implemented locally. Centralisation can also help to facilitate the speedy dissemination of medication-safety alerts and guidance to NHS organisations. Evidence regarding health system decentralisation, however, suggests that accountability and coordination are key to local responsiveness (Sapkota et al., 2023). Too much central control can, therefore, limit the ability to make proper local adaptations and too little decentralisation can lead to more inconsistencies.</w:t>
      </w:r>
    </w:p>
    <w:p w14:paraId="78E5BA95" w14:textId="77777777" w:rsidR="00984311" w:rsidRDefault="00000000">
      <w:pPr>
        <w:pStyle w:val="Heading3"/>
        <w:spacing w:before="200" w:after="120"/>
      </w:pPr>
      <w:bookmarkStart w:id="14" w:name="_Toc237213769"/>
      <w:r>
        <w:t>Decentralised System in the Case Study</w:t>
      </w:r>
      <w:bookmarkEnd w:id="14"/>
    </w:p>
    <w:p w14:paraId="2033D806" w14:textId="77777777" w:rsidR="00984311" w:rsidRPr="00650E94" w:rsidRDefault="00000000">
      <w:pPr>
        <w:spacing w:after="100"/>
      </w:pPr>
      <w:r w:rsidRPr="00650E94">
        <w:t>Decentralisation is the decentralization of authority to the local levels whereby frontline healthcare professionals can make decisions based on the needs of patients (Sapkota et al., 2023). This is identified within the NHS through the work of GPs, hospital clinicians and pharmacists, which are charged with the responsibility of delivering care and providing safe patient outcomes. In the case of Len, there is decentralisation in the process of discharge and patient education. Local healthcare professionals were tasked with explaining the medication, making sure that it was understood, and safe administration.</w:t>
      </w:r>
    </w:p>
    <w:p w14:paraId="7FF31540" w14:textId="77777777" w:rsidR="00984311" w:rsidRDefault="00000000">
      <w:pPr>
        <w:pStyle w:val="Heading3"/>
        <w:spacing w:before="200" w:after="120"/>
      </w:pPr>
      <w:bookmarkStart w:id="15" w:name="_Toc237213770"/>
      <w:r>
        <w:t>Advantages and disadvantages of Decentralisation</w:t>
      </w:r>
      <w:bookmarkEnd w:id="15"/>
    </w:p>
    <w:p w14:paraId="2B83257F" w14:textId="77777777" w:rsidR="00984311" w:rsidRPr="00650E94" w:rsidRDefault="00000000">
      <w:pPr>
        <w:spacing w:after="100"/>
      </w:pPr>
      <w:r w:rsidRPr="00650E94">
        <w:t>The decentralisation makes it possible to provide care which is personalised, flexible and is per the need of the patients. Medical workers have an opportunity to change the way they communicate and treat the patient to suit his or her needs. These adaptations could have reduced misunderstanding, although the evidence does not justify claiming that decentralisation alone would have prevented the incident. As an example, they might have given clearer instructions, made use of visual aids, or have made sure that the information on the dosage was clearly comprehended before discharge by the clinicians (</w:t>
      </w:r>
      <w:proofErr w:type="spellStart"/>
      <w:r w:rsidRPr="00650E94">
        <w:t>Birru</w:t>
      </w:r>
      <w:proofErr w:type="spellEnd"/>
      <w:r w:rsidRPr="00650E94">
        <w:t xml:space="preserve"> et al., 2024).</w:t>
      </w:r>
    </w:p>
    <w:p w14:paraId="61424CAE" w14:textId="77777777" w:rsidR="00984311" w:rsidRDefault="00000000">
      <w:pPr>
        <w:spacing w:after="100"/>
      </w:pPr>
      <w:r>
        <w:t>However, there is also variability and inconsistency brought about by decentralisation. In the absence of a powerful supervisory control, the quality of care will be subject to individual practice. In the case of Len, there was no standardisation in discharge communication leading to a critical failure. Furthermore, decentralisation resulted in the fragmented systems, poor coordination between departments, that created difficulty in maintaining accountability. This inconsistency has increased the risk of errors and reduces overall system efficiency.</w:t>
      </w:r>
    </w:p>
    <w:p w14:paraId="47849D5B" w14:textId="77777777" w:rsidR="00984311" w:rsidRDefault="00000000">
      <w:pPr>
        <w:pStyle w:val="Heading3"/>
        <w:spacing w:before="200" w:after="120"/>
      </w:pPr>
      <w:bookmarkStart w:id="16" w:name="_Toc237213771"/>
      <w:r>
        <w:lastRenderedPageBreak/>
        <w:t>Critical Comparison: Impact on Decision-Making, Crisis Management, and Accountability</w:t>
      </w:r>
      <w:bookmarkEnd w:id="16"/>
    </w:p>
    <w:p w14:paraId="45958659" w14:textId="77777777" w:rsidR="00984311" w:rsidRPr="00650E94" w:rsidRDefault="00000000">
      <w:pPr>
        <w:spacing w:after="100"/>
      </w:pPr>
      <w:r w:rsidRPr="00650E94">
        <w:t xml:space="preserve">The situation of Len underlines two-sidedness of centralisation in the NHS. On the one hand, national prescribing guidelines were effective in determining the risks of using morphine in older patients, especially by obliging to change the dose of vulnerable populations (Pickering et al., 2024). This shows that clinical accuracy and evidence-based practice is supported by centralised decision-making. Centralisation, however, also resulted in poor management of crisis as there were loopholes in local implementation. The weakness was not a demonstrated fixed counselling-time limit, but the absence of a reliable process for verifying patient and carer understanding at discharge. </w:t>
      </w:r>
      <w:proofErr w:type="spellStart"/>
      <w:r w:rsidRPr="00650E94">
        <w:t>Haimovich</w:t>
      </w:r>
      <w:proofErr w:type="spellEnd"/>
      <w:r w:rsidRPr="00650E94">
        <w:t xml:space="preserve"> et al. (2024) show that medication comprehension is a recognised vulnerability among older adults after discharge. Consequently, important safety procedures like ensuring understanding were not taken into consideration.</w:t>
      </w:r>
    </w:p>
    <w:p w14:paraId="144FD974" w14:textId="654ACAB7" w:rsidR="001C239C" w:rsidRPr="00C11FA8" w:rsidRDefault="00C11FA8">
      <w:pPr>
        <w:spacing w:after="100"/>
        <w:rPr>
          <w:bCs/>
        </w:rPr>
      </w:pPr>
      <w:r w:rsidRPr="00C11FA8">
        <w:rPr>
          <w:bCs/>
        </w:rPr>
        <w:t>The sense of responsibility was also reduced throughout the pathway. There was a missed opportunity to formal learning as the medication error did not appear in the investigation record as a Yellow Card report. A more localised response, for example timely follow up by the GP/community service to ensure correct administration is given, may have prevented ongoing misunderstandings, but cannot be assumed to have prevented the outcome. Len's case thus illustrates the need to share information promptly, be careful about the follow-up process and have a clear responsibility between primary and secondary care (HSSIB, 2022).</w:t>
      </w:r>
    </w:p>
    <w:p w14:paraId="5655F7CD" w14:textId="77777777" w:rsidR="00984311" w:rsidRDefault="00000000">
      <w:pPr>
        <w:pStyle w:val="Heading2"/>
        <w:spacing w:before="200" w:after="120"/>
      </w:pPr>
      <w:bookmarkStart w:id="17" w:name="_Toc237213772"/>
      <w:r>
        <w:t>Leadership Theories and Application</w:t>
      </w:r>
      <w:bookmarkEnd w:id="17"/>
      <w:r>
        <w:t xml:space="preserve"> </w:t>
      </w:r>
    </w:p>
    <w:p w14:paraId="3B106A4F" w14:textId="2018E173" w:rsidR="00984311" w:rsidRPr="00C11FA8" w:rsidRDefault="00C11FA8">
      <w:pPr>
        <w:spacing w:after="100"/>
        <w:rPr>
          <w:bCs/>
        </w:rPr>
      </w:pPr>
      <w:r w:rsidRPr="00C11FA8">
        <w:rPr>
          <w:bCs/>
        </w:rPr>
        <w:t>Len's case is an example of the impact of weak leadership on patient-safety outcomes. The investigation found that there was communication, risk management and coordination failures but not that the overdose caused Len's death. (HSSIB, 2022) Transactional, distributed and situational leadership offer pertinent lenses through which to explore how the spread of unsafe practices might be reduced and responsibility increased.</w:t>
      </w:r>
    </w:p>
    <w:p w14:paraId="7FCB35AF" w14:textId="77777777" w:rsidR="00984311" w:rsidRDefault="00000000">
      <w:pPr>
        <w:pStyle w:val="Heading3"/>
        <w:spacing w:before="200" w:after="120"/>
      </w:pPr>
      <w:bookmarkStart w:id="18" w:name="_Toc237213773"/>
      <w:r>
        <w:t>Theory 1: Transactional Leadership</w:t>
      </w:r>
      <w:bookmarkEnd w:id="18"/>
    </w:p>
    <w:p w14:paraId="31D76460" w14:textId="77777777" w:rsidR="00984311" w:rsidRPr="00650E94" w:rsidRDefault="00000000">
      <w:pPr>
        <w:spacing w:after="100"/>
        <w:rPr>
          <w:bCs/>
        </w:rPr>
      </w:pPr>
      <w:r w:rsidRPr="00650E94">
        <w:rPr>
          <w:bCs/>
        </w:rPr>
        <w:t xml:space="preserve">Transactional leadership uses clear expectations, monitoring, feedback and contingent reinforcement to support consistent performance. </w:t>
      </w:r>
      <w:proofErr w:type="spellStart"/>
      <w:r w:rsidRPr="00650E94">
        <w:rPr>
          <w:bCs/>
        </w:rPr>
        <w:t>Palweni</w:t>
      </w:r>
      <w:proofErr w:type="spellEnd"/>
      <w:r w:rsidRPr="00650E94">
        <w:rPr>
          <w:bCs/>
        </w:rPr>
        <w:t xml:space="preserve"> et al. (2023) found that leadership approaches influence patient safety through staff interaction, adherence to safety practices and the work environment. In Len's case, relevant reinforcement could include audit feedback, formal recognition for reliable completion of safety checks, and clear accountability when </w:t>
      </w:r>
      <w:r w:rsidRPr="00650E94">
        <w:rPr>
          <w:bCs/>
        </w:rPr>
        <w:lastRenderedPageBreak/>
        <w:t>required checks are missed. However, rewards are secondary to ensuring that the safety process itself verifies patient understanding rather than only recording task completion.</w:t>
      </w:r>
    </w:p>
    <w:p w14:paraId="2F327CA2" w14:textId="77777777" w:rsidR="00984311" w:rsidRPr="00650E94" w:rsidRDefault="00000000">
      <w:pPr>
        <w:spacing w:after="100"/>
        <w:rPr>
          <w:bCs/>
        </w:rPr>
      </w:pPr>
      <w:r w:rsidRPr="00650E94">
        <w:rPr>
          <w:bCs/>
        </w:rPr>
        <w:t>Transactional leadership is most useful where high-risk processes require reliable monitoring and verification. It is important to understand how staff involved in medication administration are supported and encouraged to carry out their responsibilities safely and effectively. The intended dose of the oral solution was 1.25 to 2.5 ml every 4 hours when required (Health Services Safety Investigations Body, 2022). Further, the medication was also provided as per the prescription by the pharmacist and a formal prescribing pathway was also followed. However, the safe execution was also an extremely important part of such a situation, and it was dependent on the control and verification. Placing the pharmacy label on the outer box predominantly displayed 10 mg in 5 ml. Due to this, 5 ml was administered as the repeated dosage, leading to a failure in terms of the controlled use, communication, and checking systems.</w:t>
      </w:r>
    </w:p>
    <w:p w14:paraId="3EE430D0" w14:textId="77777777" w:rsidR="00984311" w:rsidRPr="00650E94" w:rsidRDefault="00000000">
      <w:pPr>
        <w:spacing w:after="100"/>
      </w:pPr>
      <w:r w:rsidRPr="00650E94">
        <w:t>As per the World Health Organisation, medication errors cause at least US$42 billion annually in global health costs (World Health Organization, 2022).</w:t>
      </w:r>
      <w:r w:rsidR="00650E94" w:rsidRPr="00650E94">
        <w:t xml:space="preserve"> </w:t>
      </w:r>
      <w:r w:rsidRPr="00650E94">
        <w:t xml:space="preserve">The response was primarily compliance-focused: prescription and dispensing steps were completed, but the process did not verify how the caregiver understood the medication. Transactional leadership was therefore only partially effective because monitoring concentrated on task completion rather than the safety outcome of confirmed understanding. </w:t>
      </w:r>
      <w:proofErr w:type="spellStart"/>
      <w:r w:rsidRPr="00650E94">
        <w:t>Palweni</w:t>
      </w:r>
      <w:proofErr w:type="spellEnd"/>
      <w:r w:rsidRPr="00650E94">
        <w:t xml:space="preserve"> et al. (2023) emphasise that leadership styles affect patient safety through staff behaviour and adherence to safety practices; audit feedback and explicit accountability for comprehension checks would have strengthened this approach.</w:t>
      </w:r>
    </w:p>
    <w:p w14:paraId="53316CDC" w14:textId="77777777" w:rsidR="00984311" w:rsidRDefault="00000000">
      <w:pPr>
        <w:pStyle w:val="Heading3"/>
        <w:spacing w:before="200" w:after="120"/>
      </w:pPr>
      <w:bookmarkStart w:id="19" w:name="_Toc237213774"/>
      <w:r>
        <w:t>Theory 2: Distributed Leadership</w:t>
      </w:r>
      <w:bookmarkEnd w:id="19"/>
    </w:p>
    <w:p w14:paraId="2A2A10D6" w14:textId="6997F570" w:rsidR="00984311" w:rsidRPr="00C11FA8" w:rsidRDefault="00C11FA8">
      <w:pPr>
        <w:spacing w:after="100"/>
        <w:rPr>
          <w:bCs/>
        </w:rPr>
      </w:pPr>
      <w:r w:rsidRPr="00C11FA8">
        <w:rPr>
          <w:bCs/>
        </w:rPr>
        <w:t>Distributed leadership is the idea of teamwork and shared responsibility and authority beyond professional lines and not dependent on one person in charge. Aligned distributed-leadership practices can foster advancement in health quality-improvement collaboratives, Carstensen et al. (2024) determined. The GP, community pharmacist, hospital clinicians and Len's wife all had different information and responsibilities in Len's pathway. Shared leadership would involve these participants coordinating their input, but also making sure there is a clear accountability of safe medication understanding.</w:t>
      </w:r>
    </w:p>
    <w:p w14:paraId="2AD49E36" w14:textId="77777777" w:rsidR="00984311" w:rsidRDefault="00000000">
      <w:pPr>
        <w:spacing w:after="100"/>
      </w:pPr>
      <w:r>
        <w:t xml:space="preserve">The presence of distributed leadership was important in this particular case because there was involvement of several people, including the GP who assessed the pain and prescribed </w:t>
      </w:r>
      <w:r>
        <w:lastRenderedPageBreak/>
        <w:t xml:space="preserve">morphine, the pharmacist dispensing the medicine, clinicians treating the overdose, and the spouse of the person who was the medicine administrator. Due to the lack of coordination, it was not possible to carry out the process effectively, and due to this, the safety of the patient was compromised. The major problem in this situation is due to the communication breakdown, which made it difficult to provide the required treatment. For the purpose of improving safety, culture and reducing adverse events, the emphasis can be laid on using programs like </w:t>
      </w:r>
      <w:proofErr w:type="spellStart"/>
      <w:r>
        <w:t>TeamSTEPPS</w:t>
      </w:r>
      <w:proofErr w:type="spellEnd"/>
      <w:r>
        <w:t xml:space="preserve"> (Brooks, Fitzpatrick and Dunlap, 2022). </w:t>
      </w:r>
    </w:p>
    <w:p w14:paraId="39C6477F" w14:textId="77777777" w:rsidR="00984311" w:rsidRPr="00650E94" w:rsidRDefault="00000000">
      <w:pPr>
        <w:spacing w:after="100"/>
        <w:rPr>
          <w:bCs/>
        </w:rPr>
      </w:pPr>
      <w:r w:rsidRPr="00650E94">
        <w:rPr>
          <w:bCs/>
        </w:rPr>
        <w:t>Fernández Castillo et al. (2024) argue that effective interprofessional teamwork depends on more than information transfer alone; teams also need structures that support coordination, shared understanding and psychologically safe communication. However, in this particular case, the emphasis was more on having a reactive approach instead of proactively taking the situation under control. The action occurred much later when the patient had already become unresponsive and the presence of anticipatory safeguards would have made it possible to control the situation. The focus was to be laid on follow-up, pharmacist counselling, or electronic alerts for the purpose of performing better on the indicators of patient safety.</w:t>
      </w:r>
    </w:p>
    <w:p w14:paraId="06B1B0BA" w14:textId="05F714CD" w:rsidR="00984311" w:rsidRPr="00C11FA8" w:rsidRDefault="00C11FA8">
      <w:pPr>
        <w:spacing w:after="100"/>
        <w:rPr>
          <w:bCs/>
        </w:rPr>
      </w:pPr>
      <w:r w:rsidRPr="00C11FA8">
        <w:rPr>
          <w:bCs/>
        </w:rPr>
        <w:t>There is scope for more distributed leadership to enhance safety, creating a shared responsibility for medication risks with clear role ownership. The GP could have identified the risks within the referral documentation, the community pharmacist could have tackled confusing packaging and community services could have assisted in follow up if necessary. These synchronised safeguards might have minimised the risk of misinterpretation, but there is no evidence to show that a single measure would have prevented this. Leask and Macleod (2023) identified a distributed model of leadership implemented in an integrated health-and-care environment in the UK was linked to greater collaboration, autonomy and staff satisfaction, with a clear governance and escalation framework still required. For an overview and comparison of the leadership theories, see Table 1.</w:t>
      </w:r>
    </w:p>
    <w:p w14:paraId="69D57E06" w14:textId="77777777" w:rsidR="009915C5" w:rsidRDefault="00000000">
      <w:pPr>
        <w:pStyle w:val="Heading3"/>
        <w:spacing w:before="200" w:after="120"/>
      </w:pPr>
      <w:bookmarkStart w:id="20" w:name="_Toc237213775"/>
      <w:r>
        <w:t>Theory 3: Situational Leadership</w:t>
      </w:r>
      <w:bookmarkEnd w:id="20"/>
    </w:p>
    <w:p w14:paraId="3E509DB2" w14:textId="77777777" w:rsidR="009915C5" w:rsidRPr="00650E94" w:rsidRDefault="00000000">
      <w:pPr>
        <w:spacing w:after="100"/>
        <w:rPr>
          <w:bCs/>
        </w:rPr>
      </w:pPr>
      <w:r w:rsidRPr="00650E94">
        <w:rPr>
          <w:bCs/>
        </w:rPr>
        <w:t xml:space="preserve">Situational leadership adapts the amount of direction and support to the needs and capability of the people involved. Wang et al. (2024) found that the approach is widely applied in nursing management because leaders can adjust their style to follower maturity, although the evidence base remains heterogeneous. Applied to Len, a routine discharge process was insufficient for an older patient and carer facing a complex medication transition. A situational approach would have required more supportive communication and explicit confirmation of understanding </w:t>
      </w:r>
      <w:r w:rsidRPr="00650E94">
        <w:rPr>
          <w:bCs/>
        </w:rPr>
        <w:lastRenderedPageBreak/>
        <w:t>where comprehension was uncertain. However, situational leadership should complement, not replace, standardised safety controls because excessive individual discretion could reproduce the variability already identified in decentralised care.</w:t>
      </w:r>
    </w:p>
    <w:tbl>
      <w:tblPr>
        <w:tblStyle w:val="a"/>
        <w:tblW w:w="8906" w:type="dxa"/>
        <w:tblInd w:w="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95"/>
        <w:gridCol w:w="1559"/>
        <w:gridCol w:w="1701"/>
        <w:gridCol w:w="1888"/>
        <w:gridCol w:w="2263"/>
      </w:tblGrid>
      <w:tr w:rsidR="00984311" w:rsidRPr="00C11FA8" w14:paraId="38CA5F8B" w14:textId="77777777" w:rsidTr="00C11FA8">
        <w:trPr>
          <w:cantSplit/>
          <w:tblHeader/>
        </w:trPr>
        <w:tc>
          <w:tcPr>
            <w:tcW w:w="1495" w:type="dxa"/>
            <w:shd w:val="clear" w:color="auto" w:fill="000000" w:themeFill="text1"/>
            <w:tcMar>
              <w:top w:w="45" w:type="dxa"/>
              <w:left w:w="60" w:type="dxa"/>
              <w:bottom w:w="45" w:type="dxa"/>
              <w:right w:w="60" w:type="dxa"/>
            </w:tcMar>
            <w:vAlign w:val="center"/>
          </w:tcPr>
          <w:p w14:paraId="35BE969F" w14:textId="77777777" w:rsidR="009915C5" w:rsidRPr="00C11FA8" w:rsidRDefault="00000000" w:rsidP="00C11FA8">
            <w:pPr>
              <w:jc w:val="center"/>
              <w:rPr>
                <w:b/>
                <w:bCs/>
                <w:color w:val="000000" w:themeColor="text1"/>
              </w:rPr>
            </w:pPr>
            <w:r w:rsidRPr="00C11FA8">
              <w:rPr>
                <w:b/>
                <w:bCs/>
                <w:color w:val="000000" w:themeColor="text1"/>
              </w:rPr>
              <w:t>Theory</w:t>
            </w:r>
          </w:p>
        </w:tc>
        <w:tc>
          <w:tcPr>
            <w:tcW w:w="1559" w:type="dxa"/>
            <w:shd w:val="clear" w:color="auto" w:fill="1F4E78"/>
            <w:tcMar>
              <w:top w:w="45" w:type="dxa"/>
              <w:left w:w="60" w:type="dxa"/>
              <w:bottom w:w="45" w:type="dxa"/>
              <w:right w:w="60" w:type="dxa"/>
            </w:tcMar>
            <w:vAlign w:val="center"/>
          </w:tcPr>
          <w:p w14:paraId="6BA52D3F" w14:textId="77777777" w:rsidR="009915C5" w:rsidRPr="00C11FA8" w:rsidRDefault="00000000" w:rsidP="00C11FA8">
            <w:pPr>
              <w:jc w:val="center"/>
              <w:rPr>
                <w:b/>
                <w:bCs/>
                <w:color w:val="000000" w:themeColor="text1"/>
              </w:rPr>
            </w:pPr>
            <w:r w:rsidRPr="00C11FA8">
              <w:rPr>
                <w:b/>
                <w:bCs/>
                <w:color w:val="000000" w:themeColor="text1"/>
              </w:rPr>
              <w:t>Core Idea</w:t>
            </w:r>
          </w:p>
        </w:tc>
        <w:tc>
          <w:tcPr>
            <w:tcW w:w="1701" w:type="dxa"/>
            <w:shd w:val="clear" w:color="auto" w:fill="1F4E78"/>
            <w:tcMar>
              <w:top w:w="45" w:type="dxa"/>
              <w:left w:w="60" w:type="dxa"/>
              <w:bottom w:w="45" w:type="dxa"/>
              <w:right w:w="60" w:type="dxa"/>
            </w:tcMar>
            <w:vAlign w:val="center"/>
          </w:tcPr>
          <w:p w14:paraId="3AC5C1C6" w14:textId="77777777" w:rsidR="009915C5" w:rsidRPr="00C11FA8" w:rsidRDefault="00000000" w:rsidP="00C11FA8">
            <w:pPr>
              <w:jc w:val="center"/>
              <w:rPr>
                <w:b/>
                <w:bCs/>
                <w:color w:val="000000" w:themeColor="text1"/>
              </w:rPr>
            </w:pPr>
            <w:r w:rsidRPr="00C11FA8">
              <w:rPr>
                <w:b/>
                <w:bCs/>
                <w:color w:val="000000" w:themeColor="text1"/>
              </w:rPr>
              <w:t>Strength</w:t>
            </w:r>
          </w:p>
        </w:tc>
        <w:tc>
          <w:tcPr>
            <w:tcW w:w="1888" w:type="dxa"/>
            <w:shd w:val="clear" w:color="auto" w:fill="1F4E78"/>
            <w:tcMar>
              <w:top w:w="45" w:type="dxa"/>
              <w:left w:w="60" w:type="dxa"/>
              <w:bottom w:w="45" w:type="dxa"/>
              <w:right w:w="60" w:type="dxa"/>
            </w:tcMar>
            <w:vAlign w:val="center"/>
          </w:tcPr>
          <w:p w14:paraId="4FA79462" w14:textId="77777777" w:rsidR="009915C5" w:rsidRPr="00C11FA8" w:rsidRDefault="00000000" w:rsidP="00C11FA8">
            <w:pPr>
              <w:jc w:val="center"/>
              <w:rPr>
                <w:b/>
                <w:bCs/>
                <w:color w:val="000000" w:themeColor="text1"/>
              </w:rPr>
            </w:pPr>
            <w:r w:rsidRPr="00C11FA8">
              <w:rPr>
                <w:b/>
                <w:bCs/>
                <w:color w:val="000000" w:themeColor="text1"/>
              </w:rPr>
              <w:t>Weakness</w:t>
            </w:r>
          </w:p>
        </w:tc>
        <w:tc>
          <w:tcPr>
            <w:tcW w:w="2263" w:type="dxa"/>
            <w:shd w:val="clear" w:color="auto" w:fill="1F4E78"/>
            <w:tcMar>
              <w:top w:w="45" w:type="dxa"/>
              <w:left w:w="60" w:type="dxa"/>
              <w:bottom w:w="45" w:type="dxa"/>
              <w:right w:w="60" w:type="dxa"/>
            </w:tcMar>
            <w:vAlign w:val="center"/>
          </w:tcPr>
          <w:p w14:paraId="6AF44A11" w14:textId="77777777" w:rsidR="009915C5" w:rsidRPr="00C11FA8" w:rsidRDefault="00000000" w:rsidP="00C11FA8">
            <w:pPr>
              <w:jc w:val="center"/>
              <w:rPr>
                <w:b/>
                <w:bCs/>
                <w:color w:val="000000" w:themeColor="text1"/>
              </w:rPr>
            </w:pPr>
            <w:r w:rsidRPr="00C11FA8">
              <w:rPr>
                <w:b/>
                <w:bCs/>
                <w:color w:val="000000" w:themeColor="text1"/>
              </w:rPr>
              <w:t>Application to Len</w:t>
            </w:r>
          </w:p>
        </w:tc>
      </w:tr>
      <w:tr w:rsidR="00984311" w:rsidRPr="00C11FA8" w14:paraId="6C0B03C8" w14:textId="77777777" w:rsidTr="00C11FA8">
        <w:trPr>
          <w:cantSplit/>
        </w:trPr>
        <w:tc>
          <w:tcPr>
            <w:tcW w:w="1495" w:type="dxa"/>
            <w:tcMar>
              <w:top w:w="45" w:type="dxa"/>
              <w:left w:w="60" w:type="dxa"/>
              <w:bottom w:w="45" w:type="dxa"/>
              <w:right w:w="60" w:type="dxa"/>
            </w:tcMar>
            <w:vAlign w:val="center"/>
          </w:tcPr>
          <w:p w14:paraId="46C02A97" w14:textId="77777777" w:rsidR="009915C5" w:rsidRPr="00C11FA8" w:rsidRDefault="00000000" w:rsidP="00C11FA8">
            <w:pPr>
              <w:jc w:val="left"/>
              <w:rPr>
                <w:bCs/>
                <w:i/>
                <w:iCs/>
              </w:rPr>
            </w:pPr>
            <w:r w:rsidRPr="00C11FA8">
              <w:rPr>
                <w:bCs/>
                <w:i/>
                <w:iCs/>
              </w:rPr>
              <w:t>Transactional</w:t>
            </w:r>
          </w:p>
        </w:tc>
        <w:tc>
          <w:tcPr>
            <w:tcW w:w="1559" w:type="dxa"/>
            <w:tcMar>
              <w:top w:w="45" w:type="dxa"/>
              <w:left w:w="60" w:type="dxa"/>
              <w:bottom w:w="45" w:type="dxa"/>
              <w:right w:w="60" w:type="dxa"/>
            </w:tcMar>
            <w:vAlign w:val="center"/>
          </w:tcPr>
          <w:p w14:paraId="552ECD8D" w14:textId="77777777" w:rsidR="009915C5" w:rsidRPr="00C11FA8" w:rsidRDefault="00000000" w:rsidP="00C11FA8">
            <w:pPr>
              <w:jc w:val="left"/>
              <w:rPr>
                <w:bCs/>
              </w:rPr>
            </w:pPr>
            <w:r w:rsidRPr="00C11FA8">
              <w:rPr>
                <w:bCs/>
              </w:rPr>
              <w:t>Clear expectations, monitoring, feedback and contingent reinforcement</w:t>
            </w:r>
          </w:p>
        </w:tc>
        <w:tc>
          <w:tcPr>
            <w:tcW w:w="1701" w:type="dxa"/>
            <w:tcMar>
              <w:top w:w="45" w:type="dxa"/>
              <w:left w:w="60" w:type="dxa"/>
              <w:bottom w:w="45" w:type="dxa"/>
              <w:right w:w="60" w:type="dxa"/>
            </w:tcMar>
            <w:vAlign w:val="center"/>
          </w:tcPr>
          <w:p w14:paraId="7F908D3C" w14:textId="77777777" w:rsidR="009915C5" w:rsidRPr="00C11FA8" w:rsidRDefault="00000000" w:rsidP="00C11FA8">
            <w:pPr>
              <w:jc w:val="left"/>
              <w:rPr>
                <w:bCs/>
              </w:rPr>
            </w:pPr>
            <w:r w:rsidRPr="00C11FA8">
              <w:rPr>
                <w:bCs/>
              </w:rPr>
              <w:t>Supports consistency and accountability in high-risk processes</w:t>
            </w:r>
          </w:p>
        </w:tc>
        <w:tc>
          <w:tcPr>
            <w:tcW w:w="1888" w:type="dxa"/>
            <w:tcMar>
              <w:top w:w="45" w:type="dxa"/>
              <w:left w:w="60" w:type="dxa"/>
              <w:bottom w:w="45" w:type="dxa"/>
              <w:right w:w="60" w:type="dxa"/>
            </w:tcMar>
            <w:vAlign w:val="center"/>
          </w:tcPr>
          <w:p w14:paraId="67873007" w14:textId="77777777" w:rsidR="009915C5" w:rsidRPr="00C11FA8" w:rsidRDefault="00000000" w:rsidP="00C11FA8">
            <w:pPr>
              <w:jc w:val="left"/>
              <w:rPr>
                <w:bCs/>
              </w:rPr>
            </w:pPr>
            <w:r w:rsidRPr="00C11FA8">
              <w:rPr>
                <w:bCs/>
              </w:rPr>
              <w:t>Can become task-focused if measures emphasise completion rather than outcomes</w:t>
            </w:r>
          </w:p>
        </w:tc>
        <w:tc>
          <w:tcPr>
            <w:tcW w:w="2263" w:type="dxa"/>
            <w:tcMar>
              <w:top w:w="45" w:type="dxa"/>
              <w:left w:w="60" w:type="dxa"/>
              <w:bottom w:w="45" w:type="dxa"/>
              <w:right w:w="60" w:type="dxa"/>
            </w:tcMar>
            <w:vAlign w:val="center"/>
          </w:tcPr>
          <w:p w14:paraId="484A78D9" w14:textId="77777777" w:rsidR="009915C5" w:rsidRPr="00C11FA8" w:rsidRDefault="00000000" w:rsidP="00C11FA8">
            <w:pPr>
              <w:jc w:val="left"/>
              <w:rPr>
                <w:bCs/>
              </w:rPr>
            </w:pPr>
            <w:r w:rsidRPr="00C11FA8">
              <w:rPr>
                <w:bCs/>
              </w:rPr>
              <w:t>Formal prescribing and dispensing steps were completed, but confirmed understanding was not reliably monitored</w:t>
            </w:r>
          </w:p>
        </w:tc>
      </w:tr>
      <w:tr w:rsidR="00984311" w:rsidRPr="00C11FA8" w14:paraId="05C961A6" w14:textId="77777777" w:rsidTr="00C11FA8">
        <w:trPr>
          <w:cantSplit/>
        </w:trPr>
        <w:tc>
          <w:tcPr>
            <w:tcW w:w="1495" w:type="dxa"/>
            <w:tcMar>
              <w:top w:w="45" w:type="dxa"/>
              <w:left w:w="60" w:type="dxa"/>
              <w:bottom w:w="45" w:type="dxa"/>
              <w:right w:w="60" w:type="dxa"/>
            </w:tcMar>
            <w:vAlign w:val="center"/>
          </w:tcPr>
          <w:p w14:paraId="7D9CFF85" w14:textId="77777777" w:rsidR="009915C5" w:rsidRPr="00C11FA8" w:rsidRDefault="00000000" w:rsidP="00C11FA8">
            <w:pPr>
              <w:jc w:val="left"/>
              <w:rPr>
                <w:bCs/>
                <w:i/>
                <w:iCs/>
              </w:rPr>
            </w:pPr>
            <w:r w:rsidRPr="00C11FA8">
              <w:rPr>
                <w:bCs/>
                <w:i/>
                <w:iCs/>
              </w:rPr>
              <w:t>Distributed</w:t>
            </w:r>
          </w:p>
        </w:tc>
        <w:tc>
          <w:tcPr>
            <w:tcW w:w="1559" w:type="dxa"/>
            <w:tcMar>
              <w:top w:w="45" w:type="dxa"/>
              <w:left w:w="60" w:type="dxa"/>
              <w:bottom w:w="45" w:type="dxa"/>
              <w:right w:w="60" w:type="dxa"/>
            </w:tcMar>
            <w:vAlign w:val="center"/>
          </w:tcPr>
          <w:p w14:paraId="0B0398DE" w14:textId="77777777" w:rsidR="009915C5" w:rsidRPr="00C11FA8" w:rsidRDefault="00000000" w:rsidP="00C11FA8">
            <w:pPr>
              <w:jc w:val="left"/>
              <w:rPr>
                <w:bCs/>
              </w:rPr>
            </w:pPr>
            <w:r w:rsidRPr="00C11FA8">
              <w:rPr>
                <w:bCs/>
              </w:rPr>
              <w:t>Shares leadership and responsibility across professional roles</w:t>
            </w:r>
          </w:p>
        </w:tc>
        <w:tc>
          <w:tcPr>
            <w:tcW w:w="1701" w:type="dxa"/>
            <w:tcMar>
              <w:top w:w="45" w:type="dxa"/>
              <w:left w:w="60" w:type="dxa"/>
              <w:bottom w:w="45" w:type="dxa"/>
              <w:right w:w="60" w:type="dxa"/>
            </w:tcMar>
            <w:vAlign w:val="center"/>
          </w:tcPr>
          <w:p w14:paraId="240C2064" w14:textId="77777777" w:rsidR="009915C5" w:rsidRPr="00C11FA8" w:rsidRDefault="00000000" w:rsidP="00C11FA8">
            <w:pPr>
              <w:jc w:val="left"/>
              <w:rPr>
                <w:bCs/>
              </w:rPr>
            </w:pPr>
            <w:r w:rsidRPr="00C11FA8">
              <w:rPr>
                <w:bCs/>
              </w:rPr>
              <w:t>Supports collaboration across organisational and professional boundaries</w:t>
            </w:r>
          </w:p>
        </w:tc>
        <w:tc>
          <w:tcPr>
            <w:tcW w:w="1888" w:type="dxa"/>
            <w:tcMar>
              <w:top w:w="45" w:type="dxa"/>
              <w:left w:w="60" w:type="dxa"/>
              <w:bottom w:w="45" w:type="dxa"/>
              <w:right w:w="60" w:type="dxa"/>
            </w:tcMar>
            <w:vAlign w:val="center"/>
          </w:tcPr>
          <w:p w14:paraId="00436876" w14:textId="77777777" w:rsidR="009915C5" w:rsidRPr="00C11FA8" w:rsidRDefault="00000000" w:rsidP="00C11FA8">
            <w:pPr>
              <w:jc w:val="left"/>
              <w:rPr>
                <w:bCs/>
              </w:rPr>
            </w:pPr>
            <w:r w:rsidRPr="00C11FA8">
              <w:rPr>
                <w:bCs/>
              </w:rPr>
              <w:t>Can dilute accountability when roles and escalation routes are unclear</w:t>
            </w:r>
          </w:p>
        </w:tc>
        <w:tc>
          <w:tcPr>
            <w:tcW w:w="2263" w:type="dxa"/>
            <w:tcMar>
              <w:top w:w="45" w:type="dxa"/>
              <w:left w:w="60" w:type="dxa"/>
              <w:bottom w:w="45" w:type="dxa"/>
              <w:right w:w="60" w:type="dxa"/>
            </w:tcMar>
            <w:vAlign w:val="center"/>
          </w:tcPr>
          <w:p w14:paraId="350B18F6" w14:textId="77777777" w:rsidR="009915C5" w:rsidRPr="00C11FA8" w:rsidRDefault="00000000" w:rsidP="00C11FA8">
            <w:pPr>
              <w:jc w:val="left"/>
              <w:rPr>
                <w:bCs/>
              </w:rPr>
            </w:pPr>
            <w:r w:rsidRPr="00C11FA8">
              <w:rPr>
                <w:bCs/>
              </w:rPr>
              <w:t>Responsibility was spread across services, but no single professional owned the confirmed-understanding outcome</w:t>
            </w:r>
          </w:p>
        </w:tc>
      </w:tr>
      <w:tr w:rsidR="009915C5" w:rsidRPr="00C11FA8" w14:paraId="30694681" w14:textId="77777777" w:rsidTr="00C11FA8">
        <w:trPr>
          <w:cantSplit/>
        </w:trPr>
        <w:tc>
          <w:tcPr>
            <w:tcW w:w="1495" w:type="dxa"/>
            <w:tcMar>
              <w:top w:w="45" w:type="dxa"/>
              <w:left w:w="60" w:type="dxa"/>
              <w:bottom w:w="45" w:type="dxa"/>
              <w:right w:w="60" w:type="dxa"/>
            </w:tcMar>
            <w:vAlign w:val="center"/>
          </w:tcPr>
          <w:p w14:paraId="19B3DBB9" w14:textId="77777777" w:rsidR="009915C5" w:rsidRPr="00C11FA8" w:rsidRDefault="00000000" w:rsidP="00C11FA8">
            <w:pPr>
              <w:jc w:val="left"/>
              <w:rPr>
                <w:bCs/>
                <w:i/>
                <w:iCs/>
              </w:rPr>
            </w:pPr>
            <w:r w:rsidRPr="00C11FA8">
              <w:rPr>
                <w:bCs/>
                <w:i/>
                <w:iCs/>
              </w:rPr>
              <w:t>Situational</w:t>
            </w:r>
          </w:p>
        </w:tc>
        <w:tc>
          <w:tcPr>
            <w:tcW w:w="1559" w:type="dxa"/>
            <w:tcMar>
              <w:top w:w="45" w:type="dxa"/>
              <w:left w:w="60" w:type="dxa"/>
              <w:bottom w:w="45" w:type="dxa"/>
              <w:right w:w="60" w:type="dxa"/>
            </w:tcMar>
            <w:vAlign w:val="center"/>
          </w:tcPr>
          <w:p w14:paraId="24010773" w14:textId="77777777" w:rsidR="009915C5" w:rsidRPr="00C11FA8" w:rsidRDefault="00000000" w:rsidP="00C11FA8">
            <w:pPr>
              <w:jc w:val="left"/>
              <w:rPr>
                <w:bCs/>
              </w:rPr>
            </w:pPr>
            <w:r w:rsidRPr="00C11FA8">
              <w:rPr>
                <w:bCs/>
              </w:rPr>
              <w:t>Adapts direction and support to the needs and capability of those involved</w:t>
            </w:r>
          </w:p>
        </w:tc>
        <w:tc>
          <w:tcPr>
            <w:tcW w:w="1701" w:type="dxa"/>
            <w:tcMar>
              <w:top w:w="45" w:type="dxa"/>
              <w:left w:w="60" w:type="dxa"/>
              <w:bottom w:w="45" w:type="dxa"/>
              <w:right w:w="60" w:type="dxa"/>
            </w:tcMar>
            <w:vAlign w:val="center"/>
          </w:tcPr>
          <w:p w14:paraId="568785F1" w14:textId="77777777" w:rsidR="009915C5" w:rsidRPr="00C11FA8" w:rsidRDefault="00000000" w:rsidP="00C11FA8">
            <w:pPr>
              <w:jc w:val="left"/>
              <w:rPr>
                <w:bCs/>
              </w:rPr>
            </w:pPr>
            <w:r w:rsidRPr="00C11FA8">
              <w:rPr>
                <w:bCs/>
              </w:rPr>
              <w:t>Allows communication and support to be tailored to vulnerability and comprehension</w:t>
            </w:r>
          </w:p>
        </w:tc>
        <w:tc>
          <w:tcPr>
            <w:tcW w:w="1888" w:type="dxa"/>
            <w:tcMar>
              <w:top w:w="45" w:type="dxa"/>
              <w:left w:w="60" w:type="dxa"/>
              <w:bottom w:w="45" w:type="dxa"/>
              <w:right w:w="60" w:type="dxa"/>
            </w:tcMar>
            <w:vAlign w:val="center"/>
          </w:tcPr>
          <w:p w14:paraId="282A4D1D" w14:textId="77777777" w:rsidR="009915C5" w:rsidRPr="00C11FA8" w:rsidRDefault="00000000" w:rsidP="00C11FA8">
            <w:pPr>
              <w:jc w:val="left"/>
              <w:rPr>
                <w:bCs/>
              </w:rPr>
            </w:pPr>
            <w:r w:rsidRPr="00C11FA8">
              <w:rPr>
                <w:bCs/>
              </w:rPr>
              <w:t>Too much discretion can increase variation without standard safeguards</w:t>
            </w:r>
          </w:p>
        </w:tc>
        <w:tc>
          <w:tcPr>
            <w:tcW w:w="2263" w:type="dxa"/>
            <w:tcMar>
              <w:top w:w="45" w:type="dxa"/>
              <w:left w:w="60" w:type="dxa"/>
              <w:bottom w:w="45" w:type="dxa"/>
              <w:right w:w="60" w:type="dxa"/>
            </w:tcMar>
            <w:vAlign w:val="center"/>
          </w:tcPr>
          <w:p w14:paraId="79DD0DD9" w14:textId="77777777" w:rsidR="009915C5" w:rsidRPr="00C11FA8" w:rsidRDefault="00000000" w:rsidP="00C11FA8">
            <w:pPr>
              <w:jc w:val="left"/>
              <w:rPr>
                <w:bCs/>
              </w:rPr>
            </w:pPr>
            <w:r w:rsidRPr="00C11FA8">
              <w:rPr>
                <w:bCs/>
              </w:rPr>
              <w:t>Len and his carer required greater supportive communication and confirmation of understanding</w:t>
            </w:r>
          </w:p>
        </w:tc>
      </w:tr>
    </w:tbl>
    <w:p w14:paraId="51C28254" w14:textId="77777777" w:rsidR="00984311" w:rsidRDefault="00000000">
      <w:pPr>
        <w:spacing w:before="80" w:after="100"/>
        <w:jc w:val="center"/>
      </w:pPr>
      <w:r>
        <w:rPr>
          <w:i/>
          <w:iCs/>
          <w:sz w:val="21"/>
          <w:szCs w:val="21"/>
        </w:rPr>
        <w:t>Table 1. Comparison of leadership theories applied to Len's case.</w:t>
      </w:r>
    </w:p>
    <w:p w14:paraId="2E0EA496" w14:textId="77777777" w:rsidR="00984311" w:rsidRDefault="00000000">
      <w:pPr>
        <w:pStyle w:val="Heading2"/>
        <w:spacing w:before="200" w:after="120"/>
      </w:pPr>
      <w:bookmarkStart w:id="21" w:name="_Toc237213776"/>
      <w:r>
        <w:t>Improvement, and Lessons Learned</w:t>
      </w:r>
      <w:bookmarkEnd w:id="21"/>
      <w:r>
        <w:t xml:space="preserve"> </w:t>
      </w:r>
    </w:p>
    <w:p w14:paraId="02CCE0B1" w14:textId="6CA557E8" w:rsidR="00984311" w:rsidRPr="00C11FA8" w:rsidRDefault="00C11FA8">
      <w:pPr>
        <w:spacing w:after="100"/>
        <w:rPr>
          <w:bCs/>
        </w:rPr>
      </w:pPr>
      <w:r w:rsidRPr="00C11FA8">
        <w:rPr>
          <w:bCs/>
        </w:rPr>
        <w:t xml:space="preserve">Len's case was not one act, but a combination of governance and leadership weaknesses, system design, and communication. These deficits put him at very high risk of medication-related issues and of a lack of proactive leadership and clarity of accountability. Leaders need to be </w:t>
      </w:r>
      <w:r w:rsidRPr="00C11FA8">
        <w:rPr>
          <w:bCs/>
        </w:rPr>
        <w:lastRenderedPageBreak/>
        <w:t>effective in setting priorities, and to foresee potential medication hazards and ensure that safeguarding measures are robust at the point of care.</w:t>
      </w:r>
    </w:p>
    <w:p w14:paraId="08D4A3BF" w14:textId="77777777" w:rsidR="00984311" w:rsidRDefault="00000000">
      <w:pPr>
        <w:pStyle w:val="Heading3"/>
        <w:spacing w:before="200" w:after="120"/>
      </w:pPr>
      <w:bookmarkStart w:id="22" w:name="_Toc237213777"/>
      <w:r>
        <w:t>Critical analysis of leadership and governance in healthcare</w:t>
      </w:r>
      <w:bookmarkEnd w:id="22"/>
      <w:r>
        <w:t xml:space="preserve"> </w:t>
      </w:r>
    </w:p>
    <w:p w14:paraId="609A87C4" w14:textId="77777777" w:rsidR="00984311" w:rsidRDefault="00000000">
      <w:pPr>
        <w:spacing w:after="100"/>
      </w:pPr>
      <w:r>
        <w:t xml:space="preserve">The systems through which the organisations are directed, monitored and held accountable for their actions are referred to as governance (Pilon and </w:t>
      </w:r>
      <w:proofErr w:type="spellStart"/>
      <w:r>
        <w:t>Brouard</w:t>
      </w:r>
      <w:proofErr w:type="spellEnd"/>
      <w:r>
        <w:t xml:space="preserve">, 2023). There was a formal governance mechanism in the present situation, where there was a legal prescription as well as the management of the situation by the hospital later. However, in the situation, the safety of the patient was compromised, and only the procedural completion was focused on. It was important to understand the risks involved in the situation, mainly because of the elderly patient and the spouse being his caretaker. The outcome was also significantly impacted due to the presence of reactive leadership, where GP duly responded to the pain systems, but the anticipatory risk assessment was not done, considering the situation of the patients. </w:t>
      </w:r>
    </w:p>
    <w:p w14:paraId="23574F93" w14:textId="77777777" w:rsidR="00984311" w:rsidRDefault="00000000">
      <w:pPr>
        <w:spacing w:after="100"/>
      </w:pPr>
      <w:r>
        <w:t>Further, the process was also effectively carried out by the pharmacy where the medicine was dispensed, but the briefing confirmation with regard to the understanding of the dose was not focused on (</w:t>
      </w:r>
      <w:proofErr w:type="spellStart"/>
      <w:r>
        <w:t>Naseralallah</w:t>
      </w:r>
      <w:proofErr w:type="spellEnd"/>
      <w:r>
        <w:t xml:space="preserve"> </w:t>
      </w:r>
      <w:r>
        <w:rPr>
          <w:i/>
          <w:iCs/>
        </w:rPr>
        <w:t>et al.,</w:t>
      </w:r>
      <w:r>
        <w:t xml:space="preserve"> 2024). Their responsibility was divided among all the parties that are a part of the situation, but the accountability continues to be lacking. When there is the presence of decentralization, it is possible to ensure the improvement in responsiveness with the presence of local autonomy, but it also leads to inconsistency when the arrangements and communication are not integrated.</w:t>
      </w:r>
    </w:p>
    <w:p w14:paraId="67947BBD" w14:textId="77777777" w:rsidR="00984311" w:rsidRDefault="00000000">
      <w:pPr>
        <w:pStyle w:val="Heading3"/>
        <w:spacing w:before="200" w:after="120"/>
      </w:pPr>
      <w:bookmarkStart w:id="23" w:name="_Toc237213778"/>
      <w:r>
        <w:t>Problem identified</w:t>
      </w:r>
      <w:bookmarkEnd w:id="23"/>
      <w:r>
        <w:t xml:space="preserve"> </w:t>
      </w:r>
    </w:p>
    <w:p w14:paraId="465BEA7C" w14:textId="77777777" w:rsidR="00984311" w:rsidRDefault="00000000">
      <w:pPr>
        <w:spacing w:after="100"/>
      </w:pPr>
      <w:r>
        <w:t xml:space="preserve">There are certain missed opportunities that are present in this particular situation. Firstly, in terms of the medicine labelling and risk communication, there was a presence of inadequacy because it was prominently displayed as 10 mg in 5 ml, but the prescribed dosage was 1.25 ml to 2.5 ml (Health Services Safety Investigations Body, 2022). It can be observed that there is a failure in terms of design, medicine governance, and the local checking system. </w:t>
      </w:r>
    </w:p>
    <w:p w14:paraId="4F3F754E" w14:textId="77777777" w:rsidR="00984311" w:rsidRDefault="00000000">
      <w:pPr>
        <w:spacing w:after="100"/>
      </w:pPr>
      <w:r>
        <w:t xml:space="preserve">Further, another problem can be observed in terms of the lack of patient and caregiver education, where even after clear verbal counselling, there was a lack of understanding because there was no confirmation or communication of the risk involved in this process. The safety of the patient was not prioritised, and the mechanical process was focused on ensuring only formal compliance.  </w:t>
      </w:r>
    </w:p>
    <w:p w14:paraId="50841E81" w14:textId="500B7A76" w:rsidR="00984311" w:rsidRPr="00C11FA8" w:rsidRDefault="00C11FA8">
      <w:pPr>
        <w:spacing w:after="100"/>
        <w:rPr>
          <w:bCs/>
        </w:rPr>
      </w:pPr>
      <w:r w:rsidRPr="00C11FA8">
        <w:rPr>
          <w:bCs/>
        </w:rPr>
        <w:lastRenderedPageBreak/>
        <w:t>Risk management was not carried out adequately as there was no confirmation that Len and his wife had viewed and understood the dispensing label. Specific risks identified in the investigation were those related to the dispensing label, strength of medicine/dose prescribed and appropriateness of aids to measure dose (HSSIB, 2022). The results highlight the need for further investigation learning to be translated into stronger local labelling, counselling and verification safeguards.</w:t>
      </w:r>
    </w:p>
    <w:p w14:paraId="77932DA6" w14:textId="77777777" w:rsidR="00984311" w:rsidRDefault="00000000">
      <w:pPr>
        <w:pStyle w:val="Heading3"/>
        <w:spacing w:before="200" w:after="120"/>
      </w:pPr>
      <w:bookmarkStart w:id="24" w:name="_Toc237213779"/>
      <w:r>
        <w:t>Data and Evidence</w:t>
      </w:r>
      <w:bookmarkEnd w:id="24"/>
      <w:r>
        <w:t xml:space="preserve"> </w:t>
      </w:r>
    </w:p>
    <w:p w14:paraId="644B43FF" w14:textId="77777777" w:rsidR="00984311" w:rsidRPr="00650E94" w:rsidRDefault="00000000">
      <w:pPr>
        <w:spacing w:after="100"/>
      </w:pPr>
      <w:r w:rsidRPr="00650E94">
        <w:t>The harm due to medication is one of the most significant international challenges and as per the World Health Organisation, medication errors cost around US$42 billion annually worldwide (World Health Organization, 2022). Being amongst the most commonly reported patient safety events, it is important to now focus on such medicine-related incidents actively to mitigate their occurrence in the future. Due to the presence of altered drug metabolism and other factors, older adults are significantly vulnerable to such consumption. It is important to focus on improving the understanding and adherence to medicine with the help of clear counselling and teach-back methods. Further focusing on pharmacist-led medication can also help in dealing with this problem, and such organisations where there is a stronger safety culture can achieve better outcomes for the patients. The quality of communication has a very important role to play in the area of safe care, and it is important to proactively focus on the same.</w:t>
      </w:r>
    </w:p>
    <w:p w14:paraId="367C6FDE" w14:textId="77777777" w:rsidR="00984311" w:rsidRDefault="00000000">
      <w:pPr>
        <w:pStyle w:val="Heading3"/>
        <w:spacing w:before="200" w:after="120"/>
      </w:pPr>
      <w:bookmarkStart w:id="25" w:name="_Toc237213780"/>
      <w:r>
        <w:t>Areas of improvement for future</w:t>
      </w:r>
      <w:bookmarkEnd w:id="25"/>
    </w:p>
    <w:p w14:paraId="5EDC7682" w14:textId="77777777" w:rsidR="00984311" w:rsidRDefault="00000000">
      <w:pPr>
        <w:spacing w:after="100"/>
      </w:pPr>
      <w:r>
        <w:t xml:space="preserve">To ensure that such issues are duly dealt with, it is important to focus on certain solutions through which it will be possible to provide effective care and ensure that such mistakes are avoided in the future. Firstly, the emphasis needs to be laid on Redesigning labelling and packaging systems where the dose instructions are duly mentioned on the medicine. The presence of Standardised warning labels and the separation of the “strength” from “dose” will lead to the reduction of confusion. </w:t>
      </w:r>
    </w:p>
    <w:p w14:paraId="4ABB316B" w14:textId="77777777" w:rsidR="00984311" w:rsidRPr="00650E94" w:rsidRDefault="00000000">
      <w:pPr>
        <w:spacing w:after="100"/>
        <w:rPr>
          <w:bCs/>
        </w:rPr>
      </w:pPr>
      <w:r w:rsidRPr="00650E94">
        <w:rPr>
          <w:bCs/>
        </w:rPr>
        <w:t>Tobiano et al. (2023) show that older patients may participate passively in discharge medication conversations, supporting more active patient-centred counselling and confirmation of understanding. It is important to focus on the inclusion of a syringe demonstration and verbal explanation.</w:t>
      </w:r>
      <w:r w:rsidR="00650E94" w:rsidRPr="00650E94">
        <w:rPr>
          <w:bCs/>
        </w:rPr>
        <w:t xml:space="preserve"> </w:t>
      </w:r>
      <w:r w:rsidRPr="00650E94">
        <w:rPr>
          <w:bCs/>
        </w:rPr>
        <w:t xml:space="preserve">The presence of risk stratification will make it possible to focus on electronic prescribing systems and ensure that there is an effective review of the actions. </w:t>
      </w:r>
      <w:r w:rsidR="00650E94" w:rsidRPr="00650E94">
        <w:rPr>
          <w:bCs/>
        </w:rPr>
        <w:t xml:space="preserve"> </w:t>
      </w:r>
      <w:r w:rsidRPr="00650E94">
        <w:rPr>
          <w:bCs/>
        </w:rPr>
        <w:t xml:space="preserve">Along with this, stronger shared leadership should link discharge teams with pharmacy </w:t>
      </w:r>
      <w:r w:rsidRPr="00650E94">
        <w:rPr>
          <w:bCs/>
        </w:rPr>
        <w:lastRenderedPageBreak/>
        <w:t xml:space="preserve">and community follow-up. </w:t>
      </w:r>
      <w:proofErr w:type="spellStart"/>
      <w:r w:rsidRPr="00650E94">
        <w:rPr>
          <w:bCs/>
        </w:rPr>
        <w:t>Jošt</w:t>
      </w:r>
      <w:proofErr w:type="spellEnd"/>
      <w:r w:rsidRPr="00650E94">
        <w:rPr>
          <w:bCs/>
        </w:rPr>
        <w:t xml:space="preserve"> et al. (2024) found that pharmacist-led medication reconciliation reduced medication errors at hospital discharge, supporting a structured rather than optional transition process.</w:t>
      </w:r>
      <w:r w:rsidR="00650E94" w:rsidRPr="00650E94">
        <w:rPr>
          <w:bCs/>
        </w:rPr>
        <w:t xml:space="preserve"> </w:t>
      </w:r>
      <w:r w:rsidRPr="00650E94">
        <w:rPr>
          <w:bCs/>
        </w:rPr>
        <w:t xml:space="preserve">The presence of local incident reviews and national safety alerts will help in strengthening accountability and taking appropriate action in the future. </w:t>
      </w:r>
    </w:p>
    <w:p w14:paraId="0A63A7B2" w14:textId="77777777" w:rsidR="00984311" w:rsidRDefault="00000000">
      <w:pPr>
        <w:pStyle w:val="Heading1"/>
        <w:spacing w:before="200" w:after="120"/>
      </w:pPr>
      <w:bookmarkStart w:id="26" w:name="_Toc237213781"/>
      <w:r>
        <w:t>Recommendation</w:t>
      </w:r>
      <w:bookmarkEnd w:id="26"/>
      <w:r>
        <w:t xml:space="preserve"> </w:t>
      </w:r>
    </w:p>
    <w:p w14:paraId="2C2518A1" w14:textId="77777777" w:rsidR="00984311" w:rsidRDefault="00000000">
      <w:pPr>
        <w:pStyle w:val="Heading2"/>
        <w:spacing w:before="200" w:after="120"/>
      </w:pPr>
      <w:bookmarkStart w:id="27" w:name="_Toc237213782"/>
      <w:r>
        <w:t>Priority actions</w:t>
      </w:r>
      <w:bookmarkEnd w:id="27"/>
    </w:p>
    <w:p w14:paraId="262E9E79" w14:textId="7587E376" w:rsidR="000F0BF2" w:rsidRPr="00C11FA8" w:rsidRDefault="00C11FA8">
      <w:pPr>
        <w:spacing w:after="100"/>
        <w:rPr>
          <w:bCs/>
        </w:rPr>
      </w:pPr>
      <w:r w:rsidRPr="00C11FA8">
        <w:rPr>
          <w:bCs/>
        </w:rPr>
        <w:t xml:space="preserve">The organisation should improve the safety of medicines at discharge, particularly where high-risk medicines are used, such as liquid opioids. The example in Len's case highlights the need to manage discharge as a </w:t>
      </w:r>
      <w:proofErr w:type="gramStart"/>
      <w:r w:rsidRPr="00C11FA8">
        <w:rPr>
          <w:bCs/>
        </w:rPr>
        <w:t>high risk</w:t>
      </w:r>
      <w:proofErr w:type="gramEnd"/>
      <w:r w:rsidRPr="00C11FA8">
        <w:rPr>
          <w:bCs/>
        </w:rPr>
        <w:t xml:space="preserve"> handover and not a simple administrative process. Safeguards to be put in place should include clear patient friendly labelling, patient centred counselling and confirmation that the patient (or carer) understands the dose before discharge (</w:t>
      </w:r>
      <w:proofErr w:type="spellStart"/>
      <w:r w:rsidRPr="00C11FA8">
        <w:rPr>
          <w:bCs/>
        </w:rPr>
        <w:t>Bourne</w:t>
      </w:r>
      <w:proofErr w:type="spellEnd"/>
      <w:r w:rsidRPr="00C11FA8">
        <w:rPr>
          <w:bCs/>
        </w:rPr>
        <w:t xml:space="preserve"> et al., 2022). A standardised teach-back method should include the patient/carer teaching back how the medicine will be measured and given. The prescribed dose should be clearly printed on the bottle as well as on the outer packaging. For older people and others taking high-risk medicines, risk-based follow-up should also be planned, where further support is needed.</w:t>
      </w:r>
    </w:p>
    <w:p w14:paraId="65825475" w14:textId="77777777" w:rsidR="00984311" w:rsidRDefault="00000000">
      <w:pPr>
        <w:pStyle w:val="Heading2"/>
        <w:spacing w:before="200" w:after="120"/>
      </w:pPr>
      <w:bookmarkStart w:id="28" w:name="_Toc237213783"/>
      <w:r>
        <w:t>Leadership style to sustain improvement</w:t>
      </w:r>
      <w:bookmarkEnd w:id="28"/>
    </w:p>
    <w:p w14:paraId="53EEF7CD" w14:textId="1CE5E2D2" w:rsidR="000F0BF2" w:rsidRPr="00C11FA8" w:rsidRDefault="00C11FA8">
      <w:pPr>
        <w:spacing w:after="100"/>
        <w:rPr>
          <w:bCs/>
        </w:rPr>
      </w:pPr>
      <w:r w:rsidRPr="00C11FA8">
        <w:rPr>
          <w:bCs/>
        </w:rPr>
        <w:t>Leadership based on patient safety and consistent system performance is key to long-term improvement. A blend of transformational, situational and distributed leadership should be implemented. Transformational leadership can boost a safety culture that prioritizes confirmed patient understanding over the completion of a procedure (Deng et al., 2023). Situational leadership allows leaders to vary the direction and communication support based on the needs and capability of each patient and carer (Wang et al., 2024). Distributed leadership would spread the medication-safety task between the GP, community pharmacist and hospital clinicians who prescribe and dispense/discharge medication, and would include a named professional with responsibility for confirming understanding. These can be combined to move focus from completing processes to the safety outcome, which was missing in Len's case.</w:t>
      </w:r>
    </w:p>
    <w:p w14:paraId="11A55183" w14:textId="77777777" w:rsidR="00984311" w:rsidRDefault="00000000">
      <w:pPr>
        <w:pStyle w:val="Heading2"/>
        <w:spacing w:before="200" w:after="120"/>
      </w:pPr>
      <w:bookmarkStart w:id="29" w:name="_Toc237213784"/>
      <w:r>
        <w:t>Strengthening governance, communication, and system integration</w:t>
      </w:r>
      <w:bookmarkEnd w:id="29"/>
    </w:p>
    <w:p w14:paraId="0E34C07F" w14:textId="77777777" w:rsidR="000F0BF2" w:rsidRDefault="00000000" w:rsidP="00C50EA7">
      <w:r>
        <w:t>Governance, communication, system integration are essential areas that should be enhanced to make sure that the policies are actually put into practice (</w:t>
      </w:r>
      <w:proofErr w:type="spellStart"/>
      <w:r>
        <w:t>Ongesa</w:t>
      </w:r>
      <w:proofErr w:type="spellEnd"/>
      <w:r>
        <w:t xml:space="preserve"> et al., 2025). There should be a shift in governance devoid of mere guidelines to their implementation at the point of care. </w:t>
      </w:r>
      <w:r>
        <w:lastRenderedPageBreak/>
        <w:t xml:space="preserve">This can be through the appointment of a named medical worker in charge of medication safety at discharge which includes checking and recording patient comprehension. Medication safety processes must be audit-able, such as the rate of high-risk discharges in which the teach-back checks and follow-up checks are carried out. The reporting systems on incidents also need to be enhanced so that medication errors and near-misses are always reported and utilized to learn and improve. Plain-language labelling of everything and large fonts as well as pictograms to help people understand should simplify and standardise communication. They should be demonstrated practically with the use of oral syringes, written and pictorial instructions. </w:t>
      </w:r>
    </w:p>
    <w:p w14:paraId="18C97A91" w14:textId="77777777" w:rsidR="00984311" w:rsidRDefault="00000000">
      <w:pPr>
        <w:pStyle w:val="Heading2"/>
        <w:spacing w:before="200" w:after="120"/>
      </w:pPr>
      <w:bookmarkStart w:id="30" w:name="_Toc237213785"/>
      <w:r>
        <w:t>Enhancing technical and allocative efficiency</w:t>
      </w:r>
      <w:bookmarkEnd w:id="30"/>
    </w:p>
    <w:p w14:paraId="046FC986" w14:textId="77777777" w:rsidR="000F0BF2" w:rsidRDefault="00000000">
      <w:pPr>
        <w:spacing w:after="100"/>
      </w:pPr>
      <w:r>
        <w:t>Improving the technical and allocative efficiency is necessary in improving the performance of the systems. Technical efficiency may be enhanced through standardisation of safer labelling formats and provision of calibrated/pre-measured dosing devices in order to minimise chances of error. Electronic prescribing systems can be used to support clinical decision-making tools that can be used to identify high-risk medications and provide relevant counselling (Armando et al., 2023). Digital tools, including QR codes that open short instructional videos can also be used to promote patient comprehension. Allocative efficiency involves allocation of resources to the riskiest areas. These involve giving priority to the elderly patients, those patients who are under multiple medications and those patients who are under opioids to assist them during discharge. Instead of using a uniform approach with all patients, risk-based approach ought to be used whereby staff time is limited and used where it can benefit most. Simple, low-cost interventions, like better labelling and visual aids can be highly beneficial in reducing the downstream costs due to avoidable harm.</w:t>
      </w:r>
      <w:r w:rsidR="000F0BF2">
        <w:t xml:space="preserve"> </w:t>
      </w:r>
      <w:r w:rsidR="000F0BF2" w:rsidRPr="000F0BF2">
        <w:t>Please find in Table 2 an overview of the key recommendations</w:t>
      </w:r>
    </w:p>
    <w:tbl>
      <w:tblPr>
        <w:tblStyle w:val="a0"/>
        <w:tblW w:w="8906" w:type="dxa"/>
        <w:tblInd w:w="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786"/>
        <w:gridCol w:w="3733"/>
        <w:gridCol w:w="1387"/>
      </w:tblGrid>
      <w:tr w:rsidR="000F0BF2" w:rsidRPr="00C11FA8" w14:paraId="32C908AA" w14:textId="77777777" w:rsidTr="000F0BF2">
        <w:trPr>
          <w:cantSplit/>
          <w:tblHeader/>
        </w:trPr>
        <w:tc>
          <w:tcPr>
            <w:tcW w:w="3786" w:type="dxa"/>
            <w:shd w:val="clear" w:color="auto" w:fill="244061" w:themeFill="accent1" w:themeFillShade="80"/>
            <w:tcMar>
              <w:top w:w="60" w:type="dxa"/>
              <w:left w:w="60" w:type="dxa"/>
              <w:bottom w:w="60" w:type="dxa"/>
              <w:right w:w="60" w:type="dxa"/>
            </w:tcMar>
            <w:vAlign w:val="center"/>
          </w:tcPr>
          <w:p w14:paraId="4F92B9AC" w14:textId="77777777" w:rsidR="000F0BF2" w:rsidRPr="00C11FA8" w:rsidRDefault="000F0BF2" w:rsidP="00C11FA8">
            <w:pPr>
              <w:pBdr>
                <w:top w:val="nil"/>
                <w:left w:val="nil"/>
                <w:bottom w:val="nil"/>
                <w:right w:val="nil"/>
                <w:between w:val="nil"/>
              </w:pBdr>
              <w:spacing w:line="360" w:lineRule="auto"/>
              <w:jc w:val="center"/>
              <w:rPr>
                <w:b/>
                <w:bCs/>
                <w:color w:val="000000" w:themeColor="text1"/>
              </w:rPr>
            </w:pPr>
            <w:r w:rsidRPr="00C11FA8">
              <w:rPr>
                <w:b/>
                <w:bCs/>
                <w:color w:val="000000" w:themeColor="text1"/>
              </w:rPr>
              <w:t>Problem</w:t>
            </w:r>
          </w:p>
        </w:tc>
        <w:tc>
          <w:tcPr>
            <w:tcW w:w="3733" w:type="dxa"/>
            <w:shd w:val="clear" w:color="auto" w:fill="244061" w:themeFill="accent1" w:themeFillShade="80"/>
            <w:tcMar>
              <w:top w:w="60" w:type="dxa"/>
              <w:left w:w="60" w:type="dxa"/>
              <w:bottom w:w="60" w:type="dxa"/>
              <w:right w:w="60" w:type="dxa"/>
            </w:tcMar>
            <w:vAlign w:val="center"/>
          </w:tcPr>
          <w:p w14:paraId="4AE9EAD4" w14:textId="77777777" w:rsidR="000F0BF2" w:rsidRPr="00C11FA8" w:rsidRDefault="000F0BF2" w:rsidP="00C11FA8">
            <w:pPr>
              <w:pBdr>
                <w:top w:val="nil"/>
                <w:left w:val="nil"/>
                <w:bottom w:val="nil"/>
                <w:right w:val="nil"/>
                <w:between w:val="nil"/>
              </w:pBdr>
              <w:spacing w:line="360" w:lineRule="auto"/>
              <w:jc w:val="center"/>
              <w:rPr>
                <w:b/>
                <w:bCs/>
                <w:color w:val="000000" w:themeColor="text1"/>
              </w:rPr>
            </w:pPr>
            <w:r w:rsidRPr="00C11FA8">
              <w:rPr>
                <w:b/>
                <w:bCs/>
                <w:color w:val="000000" w:themeColor="text1"/>
              </w:rPr>
              <w:t>Recommendation</w:t>
            </w:r>
          </w:p>
        </w:tc>
        <w:tc>
          <w:tcPr>
            <w:tcW w:w="1387" w:type="dxa"/>
            <w:shd w:val="clear" w:color="auto" w:fill="244061" w:themeFill="accent1" w:themeFillShade="80"/>
            <w:tcMar>
              <w:top w:w="60" w:type="dxa"/>
              <w:left w:w="60" w:type="dxa"/>
              <w:bottom w:w="60" w:type="dxa"/>
              <w:right w:w="60" w:type="dxa"/>
            </w:tcMar>
            <w:vAlign w:val="center"/>
          </w:tcPr>
          <w:p w14:paraId="0AE29DB6" w14:textId="77777777" w:rsidR="000F0BF2" w:rsidRPr="00C11FA8" w:rsidRDefault="000F0BF2" w:rsidP="00C11FA8">
            <w:pPr>
              <w:pBdr>
                <w:top w:val="nil"/>
                <w:left w:val="nil"/>
                <w:bottom w:val="nil"/>
                <w:right w:val="nil"/>
                <w:between w:val="nil"/>
              </w:pBdr>
              <w:spacing w:line="360" w:lineRule="auto"/>
              <w:jc w:val="center"/>
              <w:rPr>
                <w:b/>
                <w:bCs/>
                <w:color w:val="000000" w:themeColor="text1"/>
              </w:rPr>
            </w:pPr>
            <w:r w:rsidRPr="00C11FA8">
              <w:rPr>
                <w:b/>
                <w:bCs/>
                <w:color w:val="000000" w:themeColor="text1"/>
              </w:rPr>
              <w:t>Evidence</w:t>
            </w:r>
          </w:p>
        </w:tc>
      </w:tr>
      <w:tr w:rsidR="000F0BF2" w:rsidRPr="00C11FA8" w14:paraId="6E5EB9AD" w14:textId="77777777" w:rsidTr="006A46A5">
        <w:trPr>
          <w:cantSplit/>
        </w:trPr>
        <w:tc>
          <w:tcPr>
            <w:tcW w:w="3786" w:type="dxa"/>
            <w:tcMar>
              <w:top w:w="60" w:type="dxa"/>
              <w:left w:w="60" w:type="dxa"/>
              <w:bottom w:w="60" w:type="dxa"/>
              <w:right w:w="60" w:type="dxa"/>
            </w:tcMar>
            <w:vAlign w:val="center"/>
          </w:tcPr>
          <w:p w14:paraId="655E286A" w14:textId="77777777" w:rsidR="000F0BF2" w:rsidRPr="00C11FA8" w:rsidRDefault="000F0BF2" w:rsidP="00C11FA8">
            <w:pPr>
              <w:spacing w:line="360" w:lineRule="auto"/>
              <w:jc w:val="left"/>
            </w:pPr>
            <w:r w:rsidRPr="00C11FA8">
              <w:t xml:space="preserve">Discharge of high-risk medicines treated as </w:t>
            </w:r>
            <w:r w:rsidR="00650E94" w:rsidRPr="00C11FA8">
              <w:t>routine;</w:t>
            </w:r>
            <w:r w:rsidRPr="00C11FA8">
              <w:t xml:space="preserve"> with no confirmation the patient/carer understood the dose</w:t>
            </w:r>
          </w:p>
        </w:tc>
        <w:tc>
          <w:tcPr>
            <w:tcW w:w="3733" w:type="dxa"/>
            <w:tcMar>
              <w:top w:w="60" w:type="dxa"/>
              <w:left w:w="60" w:type="dxa"/>
              <w:bottom w:w="60" w:type="dxa"/>
              <w:right w:w="60" w:type="dxa"/>
            </w:tcMar>
            <w:vAlign w:val="center"/>
          </w:tcPr>
          <w:p w14:paraId="68414F5C" w14:textId="77777777" w:rsidR="000F0BF2" w:rsidRPr="00C11FA8" w:rsidRDefault="000F0BF2" w:rsidP="00C11FA8">
            <w:pPr>
              <w:spacing w:line="360" w:lineRule="auto"/>
              <w:jc w:val="left"/>
            </w:pPr>
            <w:r w:rsidRPr="00C11FA8">
              <w:t>Mandatory Teach-Back method, with dosing instructions labelled directly on the bottle</w:t>
            </w:r>
          </w:p>
        </w:tc>
        <w:tc>
          <w:tcPr>
            <w:tcW w:w="1387" w:type="dxa"/>
            <w:tcMar>
              <w:top w:w="60" w:type="dxa"/>
              <w:left w:w="60" w:type="dxa"/>
              <w:bottom w:w="60" w:type="dxa"/>
              <w:right w:w="60" w:type="dxa"/>
            </w:tcMar>
            <w:vAlign w:val="center"/>
          </w:tcPr>
          <w:p w14:paraId="2C8E68FF" w14:textId="77777777" w:rsidR="000F0BF2" w:rsidRPr="00C11FA8" w:rsidRDefault="000F0BF2" w:rsidP="00C11FA8">
            <w:pPr>
              <w:spacing w:line="360" w:lineRule="auto"/>
              <w:jc w:val="left"/>
            </w:pPr>
            <w:proofErr w:type="spellStart"/>
            <w:r w:rsidRPr="00C11FA8">
              <w:t>Bourne</w:t>
            </w:r>
            <w:proofErr w:type="spellEnd"/>
            <w:r w:rsidRPr="00C11FA8">
              <w:t xml:space="preserve"> et al. (2022)</w:t>
            </w:r>
          </w:p>
        </w:tc>
      </w:tr>
      <w:tr w:rsidR="000F0BF2" w:rsidRPr="00C11FA8" w14:paraId="6B28C588" w14:textId="77777777" w:rsidTr="006A46A5">
        <w:trPr>
          <w:cantSplit/>
        </w:trPr>
        <w:tc>
          <w:tcPr>
            <w:tcW w:w="3786" w:type="dxa"/>
            <w:tcMar>
              <w:top w:w="60" w:type="dxa"/>
              <w:left w:w="60" w:type="dxa"/>
              <w:bottom w:w="60" w:type="dxa"/>
              <w:right w:w="60" w:type="dxa"/>
            </w:tcMar>
            <w:vAlign w:val="center"/>
          </w:tcPr>
          <w:p w14:paraId="43062725" w14:textId="77777777" w:rsidR="000F0BF2" w:rsidRPr="00C11FA8" w:rsidRDefault="000F0BF2" w:rsidP="00C11FA8">
            <w:pPr>
              <w:spacing w:line="360" w:lineRule="auto"/>
              <w:jc w:val="left"/>
            </w:pPr>
            <w:r w:rsidRPr="00C11FA8">
              <w:lastRenderedPageBreak/>
              <w:t>Culture prioritises task completion over patient understanding</w:t>
            </w:r>
          </w:p>
        </w:tc>
        <w:tc>
          <w:tcPr>
            <w:tcW w:w="3733" w:type="dxa"/>
            <w:tcMar>
              <w:top w:w="60" w:type="dxa"/>
              <w:left w:w="60" w:type="dxa"/>
              <w:bottom w:w="60" w:type="dxa"/>
              <w:right w:w="60" w:type="dxa"/>
            </w:tcMar>
            <w:vAlign w:val="center"/>
          </w:tcPr>
          <w:p w14:paraId="5E1895AC" w14:textId="77777777" w:rsidR="009915C5" w:rsidRPr="00C11FA8" w:rsidRDefault="00000000" w:rsidP="00C11FA8">
            <w:pPr>
              <w:spacing w:line="360" w:lineRule="auto"/>
              <w:jc w:val="left"/>
              <w:rPr>
                <w:bCs/>
              </w:rPr>
            </w:pPr>
            <w:r w:rsidRPr="00C11FA8">
              <w:rPr>
                <w:bCs/>
              </w:rPr>
              <w:t>Blend of transformational, situational and distributed leadership to prioritise patient understanding</w:t>
            </w:r>
          </w:p>
        </w:tc>
        <w:tc>
          <w:tcPr>
            <w:tcW w:w="1387" w:type="dxa"/>
            <w:tcMar>
              <w:top w:w="60" w:type="dxa"/>
              <w:left w:w="60" w:type="dxa"/>
              <w:bottom w:w="60" w:type="dxa"/>
              <w:right w:w="60" w:type="dxa"/>
            </w:tcMar>
            <w:vAlign w:val="center"/>
          </w:tcPr>
          <w:p w14:paraId="7032E284" w14:textId="77777777" w:rsidR="009915C5" w:rsidRPr="00C11FA8" w:rsidRDefault="00000000" w:rsidP="00C11FA8">
            <w:pPr>
              <w:spacing w:line="360" w:lineRule="auto"/>
              <w:jc w:val="left"/>
              <w:rPr>
                <w:bCs/>
              </w:rPr>
            </w:pPr>
            <w:r w:rsidRPr="00C11FA8">
              <w:rPr>
                <w:bCs/>
              </w:rPr>
              <w:t>Deng et al. (2023); Wang et al. (2024); Carstensen et al. (2024)</w:t>
            </w:r>
          </w:p>
        </w:tc>
      </w:tr>
      <w:tr w:rsidR="000F0BF2" w:rsidRPr="00C11FA8" w14:paraId="3644647E" w14:textId="77777777" w:rsidTr="006A46A5">
        <w:trPr>
          <w:cantSplit/>
        </w:trPr>
        <w:tc>
          <w:tcPr>
            <w:tcW w:w="3786" w:type="dxa"/>
            <w:tcMar>
              <w:top w:w="60" w:type="dxa"/>
              <w:left w:w="60" w:type="dxa"/>
              <w:bottom w:w="60" w:type="dxa"/>
              <w:right w:w="60" w:type="dxa"/>
            </w:tcMar>
            <w:vAlign w:val="center"/>
          </w:tcPr>
          <w:p w14:paraId="162EDBAF" w14:textId="77777777" w:rsidR="000F0BF2" w:rsidRPr="00C11FA8" w:rsidRDefault="000F0BF2" w:rsidP="00C11FA8">
            <w:pPr>
              <w:spacing w:line="360" w:lineRule="auto"/>
              <w:jc w:val="left"/>
            </w:pPr>
            <w:r w:rsidRPr="00C11FA8">
              <w:t>National guidelines not implemented or audited at the point of care</w:t>
            </w:r>
          </w:p>
        </w:tc>
        <w:tc>
          <w:tcPr>
            <w:tcW w:w="3733" w:type="dxa"/>
            <w:tcMar>
              <w:top w:w="60" w:type="dxa"/>
              <w:left w:w="60" w:type="dxa"/>
              <w:bottom w:w="60" w:type="dxa"/>
              <w:right w:w="60" w:type="dxa"/>
            </w:tcMar>
            <w:vAlign w:val="center"/>
          </w:tcPr>
          <w:p w14:paraId="1EAE83FF" w14:textId="77777777" w:rsidR="000F0BF2" w:rsidRPr="00C11FA8" w:rsidRDefault="000F0BF2" w:rsidP="00C11FA8">
            <w:pPr>
              <w:spacing w:line="360" w:lineRule="auto"/>
              <w:jc w:val="left"/>
            </w:pPr>
            <w:r w:rsidRPr="00C11FA8">
              <w:t>Named clinician accountable for medication safety at discharge, with auditable checks</w:t>
            </w:r>
          </w:p>
        </w:tc>
        <w:tc>
          <w:tcPr>
            <w:tcW w:w="1387" w:type="dxa"/>
            <w:tcMar>
              <w:top w:w="60" w:type="dxa"/>
              <w:left w:w="60" w:type="dxa"/>
              <w:bottom w:w="60" w:type="dxa"/>
              <w:right w:w="60" w:type="dxa"/>
            </w:tcMar>
            <w:vAlign w:val="center"/>
          </w:tcPr>
          <w:p w14:paraId="280A82B0" w14:textId="77777777" w:rsidR="000F0BF2" w:rsidRPr="00C11FA8" w:rsidRDefault="000F0BF2" w:rsidP="00C11FA8">
            <w:pPr>
              <w:spacing w:line="360" w:lineRule="auto"/>
              <w:jc w:val="left"/>
            </w:pPr>
            <w:proofErr w:type="spellStart"/>
            <w:r w:rsidRPr="00C11FA8">
              <w:t>Ongesa</w:t>
            </w:r>
            <w:proofErr w:type="spellEnd"/>
            <w:r w:rsidRPr="00C11FA8">
              <w:t xml:space="preserve"> et al. (2025)</w:t>
            </w:r>
          </w:p>
        </w:tc>
      </w:tr>
      <w:tr w:rsidR="000F0BF2" w:rsidRPr="00C11FA8" w14:paraId="350325C2" w14:textId="77777777" w:rsidTr="006A46A5">
        <w:trPr>
          <w:cantSplit/>
        </w:trPr>
        <w:tc>
          <w:tcPr>
            <w:tcW w:w="3786" w:type="dxa"/>
            <w:tcMar>
              <w:top w:w="60" w:type="dxa"/>
              <w:left w:w="60" w:type="dxa"/>
              <w:bottom w:w="60" w:type="dxa"/>
              <w:right w:w="60" w:type="dxa"/>
            </w:tcMar>
            <w:vAlign w:val="center"/>
          </w:tcPr>
          <w:p w14:paraId="78D00558" w14:textId="77777777" w:rsidR="000F0BF2" w:rsidRPr="00C11FA8" w:rsidRDefault="000F0BF2" w:rsidP="00C11FA8">
            <w:pPr>
              <w:spacing w:line="360" w:lineRule="auto"/>
              <w:jc w:val="left"/>
            </w:pPr>
            <w:r w:rsidRPr="00C11FA8">
              <w:t>Inconsistent labelling and no decision-support at the point of prescribing</w:t>
            </w:r>
          </w:p>
        </w:tc>
        <w:tc>
          <w:tcPr>
            <w:tcW w:w="3733" w:type="dxa"/>
            <w:tcMar>
              <w:top w:w="60" w:type="dxa"/>
              <w:left w:w="60" w:type="dxa"/>
              <w:bottom w:w="60" w:type="dxa"/>
              <w:right w:w="60" w:type="dxa"/>
            </w:tcMar>
            <w:vAlign w:val="center"/>
          </w:tcPr>
          <w:p w14:paraId="5F69FD6C" w14:textId="77777777" w:rsidR="000F0BF2" w:rsidRPr="00C11FA8" w:rsidRDefault="000F0BF2" w:rsidP="00C11FA8">
            <w:pPr>
              <w:spacing w:line="360" w:lineRule="auto"/>
              <w:jc w:val="left"/>
            </w:pPr>
            <w:r w:rsidRPr="00C11FA8">
              <w:t>Standardised safer labelling formats and electronic prescribing decision-support tools</w:t>
            </w:r>
          </w:p>
        </w:tc>
        <w:tc>
          <w:tcPr>
            <w:tcW w:w="1387" w:type="dxa"/>
            <w:tcMar>
              <w:top w:w="60" w:type="dxa"/>
              <w:left w:w="60" w:type="dxa"/>
              <w:bottom w:w="60" w:type="dxa"/>
              <w:right w:w="60" w:type="dxa"/>
            </w:tcMar>
            <w:vAlign w:val="center"/>
          </w:tcPr>
          <w:p w14:paraId="002C0D34" w14:textId="77777777" w:rsidR="000F0BF2" w:rsidRPr="00C11FA8" w:rsidRDefault="000F0BF2" w:rsidP="00C11FA8">
            <w:pPr>
              <w:spacing w:line="360" w:lineRule="auto"/>
              <w:jc w:val="left"/>
            </w:pPr>
            <w:r w:rsidRPr="00C11FA8">
              <w:t>Armando et al., (2023)</w:t>
            </w:r>
          </w:p>
        </w:tc>
      </w:tr>
    </w:tbl>
    <w:p w14:paraId="54CC6136" w14:textId="77777777" w:rsidR="000F0BF2" w:rsidRDefault="000F0BF2" w:rsidP="000F0BF2">
      <w:pPr>
        <w:spacing w:before="80" w:after="100"/>
        <w:jc w:val="center"/>
        <w:rPr>
          <w:i/>
          <w:iCs/>
        </w:rPr>
      </w:pPr>
      <w:r>
        <w:rPr>
          <w:i/>
          <w:iCs/>
        </w:rPr>
        <w:t>Table 2: Key Recommendations</w:t>
      </w:r>
    </w:p>
    <w:p w14:paraId="3FBA45C2" w14:textId="77777777" w:rsidR="00984311" w:rsidRDefault="00000000">
      <w:pPr>
        <w:pStyle w:val="Heading1"/>
        <w:spacing w:before="200" w:after="120"/>
      </w:pPr>
      <w:bookmarkStart w:id="31" w:name="_Toc237213786"/>
      <w:r>
        <w:t>Conclusion</w:t>
      </w:r>
      <w:bookmarkEnd w:id="31"/>
      <w:r>
        <w:t xml:space="preserve"> </w:t>
      </w:r>
    </w:p>
    <w:p w14:paraId="681307F4" w14:textId="77777777" w:rsidR="00984311" w:rsidRPr="00650E94" w:rsidRDefault="00000000">
      <w:pPr>
        <w:spacing w:after="100"/>
      </w:pPr>
      <w:r w:rsidRPr="00650E94">
        <w:t>Finally, the case of Len shows that a blend of system malfunctions, and not an individual mistake, that result in a dangerous situation in health care provision. Although these centralised structures in NHS made sure that the prescribing decision made was clinically sound and in accordance with national guidelines, these decentralised processes at the point of care did not provide the assurance of effective communication and patient comprehension. The central weakness was therefore the gap between system-level safety expectations and local verification of patient understanding. As the case shows, patient safety is not just a matter of proper clinical judgment but also the way that this judgment is applied in the real world and comprehended. The evaluation indicates that leadership, governance and system design are important factors that influence patient outcomes.</w:t>
      </w:r>
    </w:p>
    <w:p w14:paraId="3D250BBC" w14:textId="77777777" w:rsidR="00984311" w:rsidRDefault="00650E94" w:rsidP="00C50EA7">
      <w:pPr>
        <w:spacing w:after="100"/>
      </w:pPr>
      <w:r w:rsidRPr="00650E94">
        <w:t xml:space="preserve">More emphasis on the communication with patients that is patient-centred, the effective accountability, and the integrated care process are needed to avoid similar incidents. The recommendations include the need for improved discharge practices, adaptive leadership practices, improved system integration and ongoing learning. Lastly, Len's story illustrates why systems thinking is important in healthcare, where errors are seen as a result of a series of interrelated errors, rather than individual errors. Healthcare organisations can ensure safe </w:t>
      </w:r>
      <w:r w:rsidRPr="00650E94">
        <w:lastRenderedPageBreak/>
        <w:t>decisions are translated into safe, effective care by closing the loop between the centre and the point of delivery.</w:t>
      </w:r>
      <w:r>
        <w:br w:type="page"/>
      </w:r>
    </w:p>
    <w:p w14:paraId="513FFAF2" w14:textId="77777777" w:rsidR="00984311" w:rsidRDefault="00000000">
      <w:pPr>
        <w:pStyle w:val="Heading1"/>
        <w:spacing w:before="200" w:after="240"/>
      </w:pPr>
      <w:bookmarkStart w:id="32" w:name="_Toc237213787"/>
      <w:r>
        <w:lastRenderedPageBreak/>
        <w:t>References</w:t>
      </w:r>
      <w:bookmarkEnd w:id="32"/>
    </w:p>
    <w:p w14:paraId="1E8AF2FA" w14:textId="77777777" w:rsidR="00C50EA7" w:rsidRPr="00C50EA7" w:rsidRDefault="00C50EA7" w:rsidP="008C30F9">
      <w:pPr>
        <w:pStyle w:val="ListParagraph"/>
        <w:numPr>
          <w:ilvl w:val="0"/>
          <w:numId w:val="5"/>
        </w:numPr>
        <w:spacing w:after="120"/>
      </w:pPr>
      <w:r w:rsidRPr="00C50EA7">
        <w:t xml:space="preserve">Armando, L.G., Miglio, G., de Cosmo, P. and Cena, C. (2023) ‘Clinical decision support systems to improve drug prescription and therapy optimisation in clinical practice: a scoping review’, BMJ Health &amp; Care Informatics, 30(1), e100683. </w:t>
      </w:r>
      <w:hyperlink r:id="rId11" w:history="1">
        <w:r w:rsidRPr="00C50EA7">
          <w:rPr>
            <w:rStyle w:val="Hyperlink"/>
          </w:rPr>
          <w:t>https://doi.org/10.1136/bmjhci-2022-100683</w:t>
        </w:r>
      </w:hyperlink>
    </w:p>
    <w:p w14:paraId="53982B39" w14:textId="77777777" w:rsidR="00C50EA7" w:rsidRPr="00C50EA7" w:rsidRDefault="00C50EA7" w:rsidP="008C30F9">
      <w:pPr>
        <w:pStyle w:val="ListParagraph"/>
        <w:numPr>
          <w:ilvl w:val="0"/>
          <w:numId w:val="5"/>
        </w:numPr>
        <w:spacing w:after="120"/>
      </w:pPr>
      <w:proofErr w:type="spellStart"/>
      <w:r w:rsidRPr="00C50EA7">
        <w:t>Birru</w:t>
      </w:r>
      <w:proofErr w:type="spellEnd"/>
      <w:r w:rsidRPr="00C50EA7">
        <w:t xml:space="preserve">, E., </w:t>
      </w:r>
      <w:proofErr w:type="spellStart"/>
      <w:r w:rsidRPr="00C50EA7">
        <w:t>Ndayizigiye</w:t>
      </w:r>
      <w:proofErr w:type="spellEnd"/>
      <w:r w:rsidRPr="00C50EA7">
        <w:t xml:space="preserve">, M., </w:t>
      </w:r>
      <w:proofErr w:type="spellStart"/>
      <w:r w:rsidRPr="00C50EA7">
        <w:t>Wanje</w:t>
      </w:r>
      <w:proofErr w:type="spellEnd"/>
      <w:r w:rsidRPr="00C50EA7">
        <w:t xml:space="preserve">, G., </w:t>
      </w:r>
      <w:proofErr w:type="spellStart"/>
      <w:r w:rsidRPr="00C50EA7">
        <w:t>Marole</w:t>
      </w:r>
      <w:proofErr w:type="spellEnd"/>
      <w:r w:rsidRPr="00C50EA7">
        <w:t xml:space="preserve">, T., Smith, P.D., Koto, M. and Mukherjee, J. (2024) ‘Healthcare workers’ views on decentralized primary health care management in Lesotho: a qualitative study’, BMC Health Services Research, 24, 801. </w:t>
      </w:r>
      <w:hyperlink r:id="rId12" w:history="1">
        <w:r w:rsidRPr="00C50EA7">
          <w:rPr>
            <w:rStyle w:val="Hyperlink"/>
          </w:rPr>
          <w:t>https://doi.org/10.1186/s12913-024-11279-3</w:t>
        </w:r>
      </w:hyperlink>
    </w:p>
    <w:p w14:paraId="0FBF11B6" w14:textId="77777777" w:rsidR="00C50EA7" w:rsidRPr="00C50EA7" w:rsidRDefault="00C50EA7" w:rsidP="008C30F9">
      <w:pPr>
        <w:pStyle w:val="ListParagraph"/>
        <w:numPr>
          <w:ilvl w:val="0"/>
          <w:numId w:val="5"/>
        </w:numPr>
        <w:spacing w:after="120"/>
      </w:pPr>
      <w:proofErr w:type="spellStart"/>
      <w:r w:rsidRPr="00C50EA7">
        <w:t>Bourne</w:t>
      </w:r>
      <w:proofErr w:type="spellEnd"/>
      <w:r w:rsidRPr="00C50EA7">
        <w:t xml:space="preserve">, R.S., Jennings, J.K., </w:t>
      </w:r>
      <w:proofErr w:type="spellStart"/>
      <w:r w:rsidRPr="00C50EA7">
        <w:t>Panagioti</w:t>
      </w:r>
      <w:proofErr w:type="spellEnd"/>
      <w:r w:rsidRPr="00C50EA7">
        <w:t xml:space="preserve">, M., Hodkinson, A., Sutton, A. and Ashcroft, D.M. (2022) ‘Medication-related interventions to improve medication safety and patient outcomes on transition from adult intensive care settings: a systematic review and meta-analysis’, BMJ Quality &amp; Safety, 31(8), pp. 609–622. </w:t>
      </w:r>
      <w:hyperlink r:id="rId13" w:history="1">
        <w:r w:rsidRPr="00C50EA7">
          <w:rPr>
            <w:rStyle w:val="Hyperlink"/>
          </w:rPr>
          <w:t>https://doi.org/10.1136/bmjqs-2021-013760</w:t>
        </w:r>
      </w:hyperlink>
    </w:p>
    <w:p w14:paraId="5A6ADBC2" w14:textId="194EA5CC" w:rsidR="00C11FA8" w:rsidRPr="00C11FA8" w:rsidRDefault="00C50EA7" w:rsidP="008C30F9">
      <w:pPr>
        <w:pStyle w:val="ListParagraph"/>
        <w:numPr>
          <w:ilvl w:val="0"/>
          <w:numId w:val="5"/>
        </w:numPr>
        <w:spacing w:after="120"/>
      </w:pPr>
      <w:r w:rsidRPr="00C50EA7">
        <w:t xml:space="preserve">Brooks, A., Fitzpatrick, S. and Dunlap, E. (2022) ‘Creating a culture of teamwork through the use of the </w:t>
      </w:r>
      <w:proofErr w:type="spellStart"/>
      <w:r w:rsidRPr="00C50EA7">
        <w:t>TeamSTEPPS</w:t>
      </w:r>
      <w:proofErr w:type="spellEnd"/>
      <w:r w:rsidRPr="00C50EA7">
        <w:t xml:space="preserve"> framework: a review of the literature and considerations for nurse practitioners’, Journal of Leadership Education, 21(1), pp. 155–162</w:t>
      </w:r>
      <w:r>
        <w:rPr>
          <w:b/>
        </w:rPr>
        <w:t>.</w:t>
      </w:r>
      <w:r w:rsidR="00C11FA8">
        <w:t xml:space="preserve"> </w:t>
      </w:r>
      <w:hyperlink r:id="rId14" w:history="1">
        <w:r w:rsidR="008C30F9" w:rsidRPr="00FD02CE">
          <w:rPr>
            <w:rStyle w:val="Hyperlink"/>
          </w:rPr>
          <w:t>https://doi.org/10.12806/V21/I1/R11</w:t>
        </w:r>
      </w:hyperlink>
    </w:p>
    <w:p w14:paraId="03DCDF23" w14:textId="77777777" w:rsidR="00C50EA7" w:rsidRPr="00C50EA7" w:rsidRDefault="00C50EA7" w:rsidP="008C30F9">
      <w:pPr>
        <w:pStyle w:val="ListParagraph"/>
        <w:numPr>
          <w:ilvl w:val="0"/>
          <w:numId w:val="5"/>
        </w:numPr>
        <w:spacing w:after="120"/>
      </w:pPr>
      <w:r w:rsidRPr="00C50EA7">
        <w:t xml:space="preserve">Carstensen, K., Kjeldsen, A.M. and Nielsen, C.P. (2024) ‘Distributed leadership in health quality improvement collaboratives’, Health Care Management Review, 49(1), pp. 46–58. </w:t>
      </w:r>
      <w:hyperlink r:id="rId15" w:history="1">
        <w:r w:rsidRPr="00C50EA7">
          <w:rPr>
            <w:rStyle w:val="Hyperlink"/>
          </w:rPr>
          <w:t>https://doi.org/10.1097/HMR.0000000000000385</w:t>
        </w:r>
      </w:hyperlink>
    </w:p>
    <w:p w14:paraId="4B68E3A8" w14:textId="77777777" w:rsidR="00C50EA7" w:rsidRPr="00C50EA7" w:rsidRDefault="00C50EA7" w:rsidP="008C30F9">
      <w:pPr>
        <w:pStyle w:val="ListParagraph"/>
        <w:numPr>
          <w:ilvl w:val="0"/>
          <w:numId w:val="5"/>
        </w:numPr>
        <w:spacing w:after="120"/>
      </w:pPr>
      <w:proofErr w:type="spellStart"/>
      <w:r w:rsidRPr="00C50EA7">
        <w:t>Castelyn</w:t>
      </w:r>
      <w:proofErr w:type="spellEnd"/>
      <w:r w:rsidRPr="00C50EA7">
        <w:t xml:space="preserve">, C. (2024) ‘Leadership in healthcare during a pandemic: for a systems leadership approach’, Frontiers in Public Health, 12, 1361046. </w:t>
      </w:r>
      <w:hyperlink r:id="rId16" w:history="1">
        <w:r w:rsidRPr="00C50EA7">
          <w:rPr>
            <w:rStyle w:val="Hyperlink"/>
          </w:rPr>
          <w:t>https://doi.org/10.3389/fpubh.2024.1361046</w:t>
        </w:r>
      </w:hyperlink>
    </w:p>
    <w:p w14:paraId="5F011771" w14:textId="5EDB5EF7" w:rsidR="00C11FA8" w:rsidRPr="00C50EA7" w:rsidRDefault="00C50EA7" w:rsidP="008C30F9">
      <w:pPr>
        <w:pStyle w:val="ListParagraph"/>
        <w:numPr>
          <w:ilvl w:val="0"/>
          <w:numId w:val="5"/>
        </w:numPr>
        <w:spacing w:after="120"/>
      </w:pPr>
      <w:r w:rsidRPr="00C50EA7">
        <w:t>Correia de Matos, R., do Nascimento, G. and Campos Fernandes, A. (2025) ‘Integrated care: an insight into the national models and their impact on patients and health systems – a narrative review’, Journal of Integrated Care, 33(1), pp. 63–74.</w:t>
      </w:r>
      <w:r w:rsidR="00C11FA8">
        <w:rPr>
          <w:b/>
        </w:rPr>
        <w:t xml:space="preserve"> </w:t>
      </w:r>
      <w:hyperlink r:id="rId17" w:history="1">
        <w:r w:rsidR="00C11FA8" w:rsidRPr="00152A19">
          <w:rPr>
            <w:rStyle w:val="Hyperlink"/>
          </w:rPr>
          <w:t>https://doi.org/10.1108/JICA-08-2024-0047</w:t>
        </w:r>
      </w:hyperlink>
    </w:p>
    <w:p w14:paraId="207472EF" w14:textId="77777777" w:rsidR="00C50EA7" w:rsidRPr="00C50EA7" w:rsidRDefault="00C50EA7" w:rsidP="008C30F9">
      <w:pPr>
        <w:pStyle w:val="ListParagraph"/>
        <w:numPr>
          <w:ilvl w:val="0"/>
          <w:numId w:val="5"/>
        </w:numPr>
        <w:spacing w:after="120"/>
      </w:pPr>
      <w:r w:rsidRPr="00C50EA7">
        <w:t xml:space="preserve">Curry, L., </w:t>
      </w:r>
      <w:proofErr w:type="spellStart"/>
      <w:r w:rsidRPr="00C50EA7">
        <w:t>Ayedun</w:t>
      </w:r>
      <w:proofErr w:type="spellEnd"/>
      <w:r w:rsidRPr="00C50EA7">
        <w:t xml:space="preserve">, A., Cherlin, E., Taylor, B., Castle-Clarke, S. and </w:t>
      </w:r>
      <w:proofErr w:type="spellStart"/>
      <w:r w:rsidRPr="00C50EA7">
        <w:t>Linnander</w:t>
      </w:r>
      <w:proofErr w:type="spellEnd"/>
      <w:r w:rsidRPr="00C50EA7">
        <w:t xml:space="preserve">, E. (2022) ‘The role of leadership in times of systems disruption: a qualitative study of health and social care integration’, BMJ Open, 12(5), e054847. </w:t>
      </w:r>
      <w:hyperlink r:id="rId18" w:history="1">
        <w:r w:rsidRPr="00C50EA7">
          <w:rPr>
            <w:rStyle w:val="Hyperlink"/>
          </w:rPr>
          <w:t>https://doi.org/10.1136/bmjopen-2021-054847</w:t>
        </w:r>
      </w:hyperlink>
    </w:p>
    <w:p w14:paraId="2E69FE1C" w14:textId="77777777" w:rsidR="00C50EA7" w:rsidRPr="00C50EA7" w:rsidRDefault="00C50EA7" w:rsidP="008C30F9">
      <w:pPr>
        <w:pStyle w:val="ListParagraph"/>
        <w:numPr>
          <w:ilvl w:val="0"/>
          <w:numId w:val="5"/>
        </w:numPr>
        <w:spacing w:after="120"/>
      </w:pPr>
      <w:r w:rsidRPr="00C50EA7">
        <w:lastRenderedPageBreak/>
        <w:t xml:space="preserve">Deng, C., </w:t>
      </w:r>
      <w:proofErr w:type="spellStart"/>
      <w:r w:rsidRPr="00C50EA7">
        <w:t>Gulseren</w:t>
      </w:r>
      <w:proofErr w:type="spellEnd"/>
      <w:r w:rsidRPr="00C50EA7">
        <w:t xml:space="preserve">, D., Isola, C., </w:t>
      </w:r>
      <w:proofErr w:type="spellStart"/>
      <w:r w:rsidRPr="00C50EA7">
        <w:t>Grocutt</w:t>
      </w:r>
      <w:proofErr w:type="spellEnd"/>
      <w:r w:rsidRPr="00C50EA7">
        <w:t xml:space="preserve">, K. and Turner, N. (2023) ‘Transformational leadership effectiveness: an evidence-based primer’, Human Resource Development International, 26(5), pp. 627–641. </w:t>
      </w:r>
      <w:hyperlink r:id="rId19" w:history="1">
        <w:r w:rsidRPr="00C50EA7">
          <w:rPr>
            <w:rStyle w:val="Hyperlink"/>
          </w:rPr>
          <w:t>https://doi.org/10.1080/13678868.2022.2135938</w:t>
        </w:r>
      </w:hyperlink>
    </w:p>
    <w:p w14:paraId="3346565C" w14:textId="77777777" w:rsidR="00C50EA7" w:rsidRPr="00C50EA7" w:rsidRDefault="00C50EA7" w:rsidP="008C30F9">
      <w:pPr>
        <w:pStyle w:val="ListParagraph"/>
        <w:numPr>
          <w:ilvl w:val="0"/>
          <w:numId w:val="5"/>
        </w:numPr>
        <w:spacing w:after="120"/>
      </w:pPr>
      <w:r w:rsidRPr="00C50EA7">
        <w:t xml:space="preserve">Elliott, R.A., Camacho, E., Jankovic, D., </w:t>
      </w:r>
      <w:proofErr w:type="spellStart"/>
      <w:r w:rsidRPr="00C50EA7">
        <w:t>Sculpher</w:t>
      </w:r>
      <w:proofErr w:type="spellEnd"/>
      <w:r w:rsidRPr="00C50EA7">
        <w:t xml:space="preserve">, M.J. and Faria, R. (2021) ‘Economic analysis of the prevalence and clinical and economic burden of medication error in England’, BMJ Quality &amp; Safety, 30(2), pp. 96–105. </w:t>
      </w:r>
      <w:hyperlink r:id="rId20" w:history="1">
        <w:r w:rsidRPr="00C50EA7">
          <w:rPr>
            <w:rStyle w:val="Hyperlink"/>
          </w:rPr>
          <w:t>https://doi.org/10.1136/bmjqs-2019-010206</w:t>
        </w:r>
      </w:hyperlink>
    </w:p>
    <w:p w14:paraId="2C6BC743" w14:textId="77777777" w:rsidR="00C50EA7" w:rsidRPr="00C50EA7" w:rsidRDefault="00C50EA7" w:rsidP="008C30F9">
      <w:pPr>
        <w:pStyle w:val="ListParagraph"/>
        <w:numPr>
          <w:ilvl w:val="0"/>
          <w:numId w:val="5"/>
        </w:numPr>
        <w:spacing w:after="120"/>
      </w:pPr>
      <w:r w:rsidRPr="00C50EA7">
        <w:t xml:space="preserve">Fernández Castillo, G., Khalid, M. and Salas, E. (2024) ‘Beyond communication: an update on transforming healthcare teams’, Frontiers in Medicine, 11, 1282173. </w:t>
      </w:r>
      <w:hyperlink r:id="rId21" w:history="1">
        <w:r w:rsidRPr="00C50EA7">
          <w:rPr>
            <w:rStyle w:val="Hyperlink"/>
          </w:rPr>
          <w:t>https://doi.org/10.3389/fmed.2024.1282173</w:t>
        </w:r>
      </w:hyperlink>
    </w:p>
    <w:p w14:paraId="3DC825E3" w14:textId="77777777" w:rsidR="00C50EA7" w:rsidRPr="00C50EA7" w:rsidRDefault="00C50EA7" w:rsidP="008C30F9">
      <w:pPr>
        <w:pStyle w:val="ListParagraph"/>
        <w:numPr>
          <w:ilvl w:val="0"/>
          <w:numId w:val="5"/>
        </w:numPr>
        <w:spacing w:after="120"/>
      </w:pPr>
      <w:proofErr w:type="spellStart"/>
      <w:r w:rsidRPr="00C50EA7">
        <w:t>Haimovich</w:t>
      </w:r>
      <w:proofErr w:type="spellEnd"/>
      <w:r w:rsidRPr="00C50EA7">
        <w:t xml:space="preserve">, A.D., </w:t>
      </w:r>
      <w:proofErr w:type="spellStart"/>
      <w:r w:rsidRPr="00C50EA7">
        <w:t>Mulqueen</w:t>
      </w:r>
      <w:proofErr w:type="spellEnd"/>
      <w:r w:rsidRPr="00C50EA7">
        <w:t>, S., Carreras-</w:t>
      </w:r>
      <w:proofErr w:type="spellStart"/>
      <w:r w:rsidRPr="00C50EA7">
        <w:t>Tartak</w:t>
      </w:r>
      <w:proofErr w:type="spellEnd"/>
      <w:r w:rsidRPr="00C50EA7">
        <w:t xml:space="preserve">, J., </w:t>
      </w:r>
      <w:proofErr w:type="spellStart"/>
      <w:r w:rsidRPr="00C50EA7">
        <w:t>Gettel</w:t>
      </w:r>
      <w:proofErr w:type="spellEnd"/>
      <w:r w:rsidRPr="00C50EA7">
        <w:t xml:space="preserve">, C., Schonberg, M.A., Hastings, S.N., Carpenter, C., Liu, S.W. and Thomas, S.H. (2024) ‘Discharge instruction comprehension by older adults in the emergency department: a systematic review and meta-analysis’, Academic Emergency Medicine, 31(11), pp. 1165–1172. </w:t>
      </w:r>
      <w:hyperlink r:id="rId22" w:history="1">
        <w:r w:rsidRPr="00C50EA7">
          <w:rPr>
            <w:rStyle w:val="Hyperlink"/>
          </w:rPr>
          <w:t>https://doi.org/10.1111/acem.15013</w:t>
        </w:r>
      </w:hyperlink>
    </w:p>
    <w:p w14:paraId="4262596B" w14:textId="7B2431D0" w:rsidR="00C50EA7" w:rsidRPr="008C30F9" w:rsidRDefault="00C50EA7" w:rsidP="008C30F9">
      <w:pPr>
        <w:pStyle w:val="ListParagraph"/>
        <w:numPr>
          <w:ilvl w:val="0"/>
          <w:numId w:val="5"/>
        </w:numPr>
        <w:spacing w:after="120"/>
        <w:rPr>
          <w:bCs/>
        </w:rPr>
      </w:pPr>
      <w:r w:rsidRPr="00C11FA8">
        <w:rPr>
          <w:bCs/>
        </w:rPr>
        <w:t xml:space="preserve">Health Services Safety Investigations Body (HSSIB) (2022) Unintentional overdose of morphine sulfate oral solution: investigation report [HSIB legacy content]. Available at: </w:t>
      </w:r>
      <w:hyperlink r:id="rId23" w:history="1">
        <w:r w:rsidR="008C30F9" w:rsidRPr="00FD02CE">
          <w:rPr>
            <w:rStyle w:val="Hyperlink"/>
            <w:bCs/>
          </w:rPr>
          <w:t>https://www.hssib.org.uk/patient-safety-investigations/unintentional-overdose-of-morphine-sulfate-oral-solution/investigation-report/</w:t>
        </w:r>
      </w:hyperlink>
      <w:r w:rsidRPr="008C30F9">
        <w:rPr>
          <w:bCs/>
        </w:rPr>
        <w:t xml:space="preserve"> (Accessed: 20 April 2026).</w:t>
      </w:r>
    </w:p>
    <w:p w14:paraId="520D438C" w14:textId="77777777" w:rsidR="00C50EA7" w:rsidRPr="00C50EA7" w:rsidRDefault="00C50EA7" w:rsidP="008C30F9">
      <w:pPr>
        <w:pStyle w:val="ListParagraph"/>
        <w:numPr>
          <w:ilvl w:val="0"/>
          <w:numId w:val="5"/>
        </w:numPr>
        <w:spacing w:after="120"/>
      </w:pPr>
      <w:proofErr w:type="spellStart"/>
      <w:r w:rsidRPr="00C50EA7">
        <w:t>Jošt</w:t>
      </w:r>
      <w:proofErr w:type="spellEnd"/>
      <w:r w:rsidRPr="00C50EA7">
        <w:t xml:space="preserve">, M., </w:t>
      </w:r>
      <w:proofErr w:type="spellStart"/>
      <w:r w:rsidRPr="00C50EA7">
        <w:t>Kerec</w:t>
      </w:r>
      <w:proofErr w:type="spellEnd"/>
      <w:r w:rsidRPr="00C50EA7">
        <w:t xml:space="preserve"> Kos, M., Kos, M. and Knez, L. (2024) ‘Effectiveness of pharmacist-led medication reconciliation on medication errors at hospital discharge and healthcare utilization in the next 30 days: a pragmatic clinical trial’, Frontiers in Pharmacology, 15, 1377781. </w:t>
      </w:r>
      <w:hyperlink r:id="rId24" w:history="1">
        <w:r w:rsidRPr="00C50EA7">
          <w:rPr>
            <w:rStyle w:val="Hyperlink"/>
          </w:rPr>
          <w:t>https://doi.org/10.3389/fphar.2024.1377781</w:t>
        </w:r>
      </w:hyperlink>
    </w:p>
    <w:p w14:paraId="61E53E5B" w14:textId="77777777" w:rsidR="00C50EA7" w:rsidRPr="00C50EA7" w:rsidRDefault="00C50EA7" w:rsidP="008C30F9">
      <w:pPr>
        <w:pStyle w:val="ListParagraph"/>
        <w:numPr>
          <w:ilvl w:val="0"/>
          <w:numId w:val="5"/>
        </w:numPr>
        <w:spacing w:after="120"/>
      </w:pPr>
      <w:r w:rsidRPr="00C50EA7">
        <w:t xml:space="preserve">Leask, C.F. and Macleod, S. (2023) ‘Exploring the implementation and evaluation of a distributed leadership model within a Scottish, integrated health and care context’, BMJ Leader, 7(4), e000664. </w:t>
      </w:r>
      <w:hyperlink r:id="rId25" w:history="1">
        <w:r w:rsidRPr="00C50EA7">
          <w:rPr>
            <w:rStyle w:val="Hyperlink"/>
          </w:rPr>
          <w:t>https://doi.org/10.1136/leader-2022-000664</w:t>
        </w:r>
      </w:hyperlink>
    </w:p>
    <w:p w14:paraId="32960380" w14:textId="3C897AFA" w:rsidR="00C50EA7" w:rsidRPr="00C50EA7" w:rsidRDefault="00C50EA7" w:rsidP="008C30F9">
      <w:pPr>
        <w:pStyle w:val="ListParagraph"/>
        <w:numPr>
          <w:ilvl w:val="0"/>
          <w:numId w:val="5"/>
        </w:numPr>
        <w:spacing w:after="120"/>
      </w:pPr>
      <w:proofErr w:type="spellStart"/>
      <w:r w:rsidRPr="00C50EA7">
        <w:t>Naseralallah</w:t>
      </w:r>
      <w:proofErr w:type="spellEnd"/>
      <w:r w:rsidRPr="00C50EA7">
        <w:t xml:space="preserve">, L., </w:t>
      </w:r>
      <w:proofErr w:type="spellStart"/>
      <w:r w:rsidRPr="00C50EA7">
        <w:t>Koraysh</w:t>
      </w:r>
      <w:proofErr w:type="spellEnd"/>
      <w:r w:rsidRPr="00C50EA7">
        <w:t xml:space="preserve">, S., </w:t>
      </w:r>
      <w:proofErr w:type="spellStart"/>
      <w:r w:rsidRPr="00C50EA7">
        <w:t>Aboujabal</w:t>
      </w:r>
      <w:proofErr w:type="spellEnd"/>
      <w:r w:rsidRPr="00C50EA7">
        <w:t xml:space="preserve">, B. and </w:t>
      </w:r>
      <w:proofErr w:type="spellStart"/>
      <w:r w:rsidRPr="00C50EA7">
        <w:t>Alasmar</w:t>
      </w:r>
      <w:proofErr w:type="spellEnd"/>
      <w:r w:rsidRPr="00C50EA7">
        <w:t>, M. (2024) ‘Interventions and impact of pharmacist-delivered services in perioperative setting on clinically important outcomes: a systematic review and meta-analysis’, Therapeutic Advances in Drug Safety, 15, 20420986241260169</w:t>
      </w:r>
      <w:r>
        <w:rPr>
          <w:b/>
        </w:rPr>
        <w:t>.</w:t>
      </w:r>
      <w:r w:rsidR="005D3639">
        <w:rPr>
          <w:b/>
        </w:rPr>
        <w:t xml:space="preserve"> </w:t>
      </w:r>
      <w:hyperlink r:id="rId26" w:history="1">
        <w:r w:rsidR="005D3639" w:rsidRPr="00152A19">
          <w:rPr>
            <w:rStyle w:val="Hyperlink"/>
          </w:rPr>
          <w:t>https://doi.org/10.1177/20420986241260169</w:t>
        </w:r>
      </w:hyperlink>
    </w:p>
    <w:p w14:paraId="40110231" w14:textId="1ADB14A3" w:rsidR="003A2A39" w:rsidRPr="005D3639" w:rsidRDefault="00000000" w:rsidP="008C30F9">
      <w:pPr>
        <w:pStyle w:val="ListParagraph"/>
        <w:numPr>
          <w:ilvl w:val="0"/>
          <w:numId w:val="5"/>
        </w:numPr>
        <w:spacing w:after="120"/>
        <w:rPr>
          <w:bCs/>
        </w:rPr>
      </w:pPr>
      <w:r w:rsidRPr="005D3639">
        <w:rPr>
          <w:bCs/>
        </w:rPr>
        <w:t>NHS England (</w:t>
      </w:r>
      <w:r w:rsidR="005D3639" w:rsidRPr="005D3639">
        <w:rPr>
          <w:bCs/>
        </w:rPr>
        <w:t>2026</w:t>
      </w:r>
      <w:r w:rsidRPr="005D3639">
        <w:rPr>
          <w:bCs/>
        </w:rPr>
        <w:t>) Medication safety. Available at:</w:t>
      </w:r>
      <w:r w:rsidR="005D3639">
        <w:rPr>
          <w:bCs/>
        </w:rPr>
        <w:t xml:space="preserve"> </w:t>
      </w:r>
      <w:hyperlink r:id="rId27" w:history="1">
        <w:r w:rsidR="005D3639" w:rsidRPr="00152A19">
          <w:rPr>
            <w:rStyle w:val="Hyperlink"/>
          </w:rPr>
          <w:t>https://www.england.nhs.uk/patient-safety/patient-safety-insight/patient-safety-</w:t>
        </w:r>
        <w:r w:rsidR="005D3639" w:rsidRPr="00152A19">
          <w:rPr>
            <w:rStyle w:val="Hyperlink"/>
          </w:rPr>
          <w:lastRenderedPageBreak/>
          <w:t>alerts/enduring-standards/standards-that-remain-valid/medication-safety/</w:t>
        </w:r>
      </w:hyperlink>
      <w:r w:rsidRPr="005D3639">
        <w:rPr>
          <w:bCs/>
        </w:rPr>
        <w:t xml:space="preserve"> (Accessed: 9 August 2026).</w:t>
      </w:r>
    </w:p>
    <w:p w14:paraId="678DF095" w14:textId="480A4972" w:rsidR="00C50EA7" w:rsidRPr="00C50EA7" w:rsidRDefault="00C50EA7" w:rsidP="008C30F9">
      <w:pPr>
        <w:pStyle w:val="ListParagraph"/>
        <w:numPr>
          <w:ilvl w:val="0"/>
          <w:numId w:val="5"/>
        </w:numPr>
        <w:spacing w:after="120"/>
      </w:pPr>
      <w:proofErr w:type="spellStart"/>
      <w:r w:rsidRPr="00C50EA7">
        <w:t>Ongesa</w:t>
      </w:r>
      <w:proofErr w:type="spellEnd"/>
      <w:r w:rsidRPr="00C50EA7">
        <w:t xml:space="preserve">, T.N., Ugwu, O.P.C., Ugwu, C.N., Alum, E.U., Eze, V.H.U., </w:t>
      </w:r>
      <w:proofErr w:type="spellStart"/>
      <w:r w:rsidRPr="00C50EA7">
        <w:t>Basajja</w:t>
      </w:r>
      <w:proofErr w:type="spellEnd"/>
      <w:r w:rsidRPr="00C50EA7">
        <w:t>, M. et al. (2025) ‘Optimizing emergency response systems in urban health crises: a project management approach to public health preparedness and response’, Medicine, 104(3), e41279.</w:t>
      </w:r>
      <w:r w:rsidR="005D3639">
        <w:rPr>
          <w:b/>
        </w:rPr>
        <w:t xml:space="preserve"> </w:t>
      </w:r>
      <w:hyperlink r:id="rId28" w:history="1">
        <w:r w:rsidR="005D3639" w:rsidRPr="00152A19">
          <w:rPr>
            <w:rStyle w:val="Hyperlink"/>
          </w:rPr>
          <w:t>https://doi.org/10.1097/MD.0000000000041279</w:t>
        </w:r>
      </w:hyperlink>
    </w:p>
    <w:p w14:paraId="4B537BB7" w14:textId="77777777" w:rsidR="00C50EA7" w:rsidRPr="00C50EA7" w:rsidRDefault="00C50EA7" w:rsidP="008C30F9">
      <w:pPr>
        <w:pStyle w:val="ListParagraph"/>
        <w:numPr>
          <w:ilvl w:val="0"/>
          <w:numId w:val="5"/>
        </w:numPr>
        <w:spacing w:after="120"/>
      </w:pPr>
      <w:proofErr w:type="spellStart"/>
      <w:r w:rsidRPr="00C50EA7">
        <w:t>Palweni</w:t>
      </w:r>
      <w:proofErr w:type="spellEnd"/>
      <w:r w:rsidRPr="00C50EA7">
        <w:t xml:space="preserve">, V.S., </w:t>
      </w:r>
      <w:proofErr w:type="spellStart"/>
      <w:r w:rsidRPr="00C50EA7">
        <w:t>Malesela</w:t>
      </w:r>
      <w:proofErr w:type="spellEnd"/>
      <w:r w:rsidRPr="00C50EA7">
        <w:t xml:space="preserve">, J.M. and Randa, M.B. (2023) ‘Nurse managers’ leadership styles as an impetus to patient safety in an academic hospital’, Health SA </w:t>
      </w:r>
      <w:proofErr w:type="spellStart"/>
      <w:r w:rsidRPr="00C50EA7">
        <w:t>Gesondheid</w:t>
      </w:r>
      <w:proofErr w:type="spellEnd"/>
      <w:r w:rsidRPr="00C50EA7">
        <w:t xml:space="preserve">, 28, a2344. </w:t>
      </w:r>
      <w:hyperlink r:id="rId29" w:history="1">
        <w:r w:rsidRPr="00C50EA7">
          <w:rPr>
            <w:rStyle w:val="Hyperlink"/>
          </w:rPr>
          <w:t>https://doi.org/10.4102/hsag.v28i0.2344</w:t>
        </w:r>
      </w:hyperlink>
    </w:p>
    <w:p w14:paraId="5CBDF16C" w14:textId="77777777" w:rsidR="00C50EA7" w:rsidRPr="00C50EA7" w:rsidRDefault="00C50EA7" w:rsidP="008C30F9">
      <w:pPr>
        <w:pStyle w:val="ListParagraph"/>
        <w:numPr>
          <w:ilvl w:val="0"/>
          <w:numId w:val="5"/>
        </w:numPr>
        <w:spacing w:after="120"/>
      </w:pPr>
      <w:r w:rsidRPr="00C50EA7">
        <w:t xml:space="preserve">Pickering, G., </w:t>
      </w:r>
      <w:proofErr w:type="spellStart"/>
      <w:r w:rsidRPr="00C50EA7">
        <w:t>Kotlińska-Lemieszek</w:t>
      </w:r>
      <w:proofErr w:type="spellEnd"/>
      <w:r w:rsidRPr="00C50EA7">
        <w:t xml:space="preserve">, A., </w:t>
      </w:r>
      <w:proofErr w:type="spellStart"/>
      <w:r w:rsidRPr="00C50EA7">
        <w:t>Krcevski</w:t>
      </w:r>
      <w:proofErr w:type="spellEnd"/>
      <w:r w:rsidRPr="00C50EA7">
        <w:t xml:space="preserve"> </w:t>
      </w:r>
      <w:proofErr w:type="spellStart"/>
      <w:r w:rsidRPr="00C50EA7">
        <w:t>Skvarc</w:t>
      </w:r>
      <w:proofErr w:type="spellEnd"/>
      <w:r w:rsidRPr="00C50EA7">
        <w:t xml:space="preserve">, N., </w:t>
      </w:r>
      <w:proofErr w:type="spellStart"/>
      <w:r w:rsidRPr="00C50EA7">
        <w:t>O’Mahony</w:t>
      </w:r>
      <w:proofErr w:type="spellEnd"/>
      <w:r w:rsidRPr="00C50EA7">
        <w:t xml:space="preserve">, D., </w:t>
      </w:r>
      <w:proofErr w:type="spellStart"/>
      <w:r w:rsidRPr="00C50EA7">
        <w:t>Monacelli</w:t>
      </w:r>
      <w:proofErr w:type="spellEnd"/>
      <w:r w:rsidRPr="00C50EA7">
        <w:t xml:space="preserve">, F., Knaggs, R. and </w:t>
      </w:r>
      <w:proofErr w:type="spellStart"/>
      <w:r w:rsidRPr="00C50EA7">
        <w:t>Kocot-Kępska</w:t>
      </w:r>
      <w:proofErr w:type="spellEnd"/>
      <w:r w:rsidRPr="00C50EA7">
        <w:t xml:space="preserve">, M. (2024) ‘Pharmacological pain treatment in older persons’, Drugs &amp; Aging, 41(12), pp. 959–976. </w:t>
      </w:r>
      <w:hyperlink r:id="rId30" w:history="1">
        <w:r w:rsidRPr="00C50EA7">
          <w:rPr>
            <w:rStyle w:val="Hyperlink"/>
          </w:rPr>
          <w:t>https://doi.org/10.1007/s40266-024-01151-8</w:t>
        </w:r>
      </w:hyperlink>
    </w:p>
    <w:p w14:paraId="7DE3A32F" w14:textId="68BE0F4B" w:rsidR="00C50EA7" w:rsidRPr="00C50EA7" w:rsidRDefault="00C50EA7" w:rsidP="008C30F9">
      <w:pPr>
        <w:pStyle w:val="ListParagraph"/>
        <w:numPr>
          <w:ilvl w:val="0"/>
          <w:numId w:val="5"/>
        </w:numPr>
        <w:spacing w:after="120"/>
      </w:pPr>
      <w:r w:rsidRPr="00C50EA7">
        <w:t xml:space="preserve">Pilon, M. and </w:t>
      </w:r>
      <w:proofErr w:type="spellStart"/>
      <w:r w:rsidRPr="00C50EA7">
        <w:t>Brouard</w:t>
      </w:r>
      <w:proofErr w:type="spellEnd"/>
      <w:r w:rsidRPr="00C50EA7">
        <w:t>, F. (2023) ‘Conceptualizing accountability as an integrated system of relationships, governance, and information’, Financial Accountability &amp; Management, 39(2), pp. 421–446.</w:t>
      </w:r>
      <w:r>
        <w:rPr>
          <w:b/>
        </w:rPr>
        <w:t xml:space="preserve"> </w:t>
      </w:r>
      <w:hyperlink r:id="rId31" w:history="1">
        <w:r w:rsidR="005D3639" w:rsidRPr="00152A19">
          <w:rPr>
            <w:rStyle w:val="Hyperlink"/>
          </w:rPr>
          <w:t>https://doi.org/10.1111/faam.12323</w:t>
        </w:r>
      </w:hyperlink>
    </w:p>
    <w:p w14:paraId="20F831F2" w14:textId="70678233" w:rsidR="00C50EA7" w:rsidRPr="00C50EA7" w:rsidRDefault="00C50EA7" w:rsidP="008C30F9">
      <w:pPr>
        <w:pStyle w:val="ListParagraph"/>
        <w:numPr>
          <w:ilvl w:val="0"/>
          <w:numId w:val="5"/>
        </w:numPr>
        <w:spacing w:after="120"/>
      </w:pPr>
      <w:r w:rsidRPr="00C50EA7">
        <w:t xml:space="preserve">Ramsay, A.I., </w:t>
      </w:r>
      <w:proofErr w:type="spellStart"/>
      <w:r w:rsidRPr="00C50EA7">
        <w:t>Tomini</w:t>
      </w:r>
      <w:proofErr w:type="spellEnd"/>
      <w:r w:rsidRPr="00C50EA7">
        <w:t xml:space="preserve">, S.M., Gandhi, S., </w:t>
      </w:r>
      <w:proofErr w:type="spellStart"/>
      <w:r w:rsidRPr="00C50EA7">
        <w:t>Fulop</w:t>
      </w:r>
      <w:proofErr w:type="spellEnd"/>
      <w:r w:rsidRPr="00C50EA7">
        <w:t>, N.J., Morris, S. et al. (2025) ‘Centralisation of specialised healthcare services: a scoping review of definitions, types, and impact on outcomes’, Health and Social Care Delivery Research, 13(43), pp. 1–70</w:t>
      </w:r>
      <w:r>
        <w:rPr>
          <w:b/>
        </w:rPr>
        <w:t>.</w:t>
      </w:r>
      <w:r w:rsidR="005D3639">
        <w:rPr>
          <w:b/>
        </w:rPr>
        <w:t xml:space="preserve"> </w:t>
      </w:r>
      <w:hyperlink r:id="rId32" w:history="1">
        <w:r w:rsidR="005D3639" w:rsidRPr="00152A19">
          <w:rPr>
            <w:rStyle w:val="Hyperlink"/>
          </w:rPr>
          <w:t>https://doi.org/10.3310/REMD6648</w:t>
        </w:r>
      </w:hyperlink>
    </w:p>
    <w:p w14:paraId="6CA0CBBB" w14:textId="12A5F90A" w:rsidR="00C50EA7" w:rsidRPr="00C50EA7" w:rsidRDefault="00C50EA7" w:rsidP="008C30F9">
      <w:pPr>
        <w:pStyle w:val="ListParagraph"/>
        <w:numPr>
          <w:ilvl w:val="0"/>
          <w:numId w:val="5"/>
        </w:numPr>
        <w:spacing w:after="120"/>
      </w:pPr>
      <w:proofErr w:type="spellStart"/>
      <w:r w:rsidRPr="00C50EA7">
        <w:t>Saadatian</w:t>
      </w:r>
      <w:proofErr w:type="spellEnd"/>
      <w:r w:rsidRPr="00C50EA7">
        <w:t xml:space="preserve">, M., </w:t>
      </w:r>
      <w:proofErr w:type="spellStart"/>
      <w:r w:rsidRPr="00C50EA7">
        <w:t>Yoosefian</w:t>
      </w:r>
      <w:proofErr w:type="spellEnd"/>
      <w:r w:rsidRPr="00C50EA7">
        <w:t xml:space="preserve">, N., </w:t>
      </w:r>
      <w:proofErr w:type="spellStart"/>
      <w:r w:rsidRPr="00C50EA7">
        <w:t>Saravi</w:t>
      </w:r>
      <w:proofErr w:type="spellEnd"/>
      <w:r w:rsidRPr="00C50EA7">
        <w:t xml:space="preserve">, F.K. and </w:t>
      </w:r>
      <w:proofErr w:type="spellStart"/>
      <w:r w:rsidRPr="00C50EA7">
        <w:t>Yaghoubinia</w:t>
      </w:r>
      <w:proofErr w:type="spellEnd"/>
      <w:r w:rsidRPr="00C50EA7">
        <w:t>, F. (2022) ‘The effect of the teach-back method on illness perception and self-efficacy in patients with coronary artery disease’, Medical-Surgical Nursing Journal, 11(1), pp. 1–9.</w:t>
      </w:r>
      <w:r>
        <w:rPr>
          <w:b/>
        </w:rPr>
        <w:t xml:space="preserve"> </w:t>
      </w:r>
      <w:hyperlink r:id="rId33" w:history="1">
        <w:r w:rsidR="005D3639" w:rsidRPr="00152A19">
          <w:rPr>
            <w:rStyle w:val="Hyperlink"/>
          </w:rPr>
          <w:t>https://doi.org/10.5812/msnj-130535</w:t>
        </w:r>
      </w:hyperlink>
    </w:p>
    <w:p w14:paraId="6FB4B553" w14:textId="77777777" w:rsidR="00C50EA7" w:rsidRPr="00C50EA7" w:rsidRDefault="00C50EA7" w:rsidP="008C30F9">
      <w:pPr>
        <w:pStyle w:val="ListParagraph"/>
        <w:numPr>
          <w:ilvl w:val="0"/>
          <w:numId w:val="5"/>
        </w:numPr>
        <w:spacing w:after="120"/>
      </w:pPr>
      <w:r w:rsidRPr="00C50EA7">
        <w:t xml:space="preserve">Sapkota, S., </w:t>
      </w:r>
      <w:proofErr w:type="spellStart"/>
      <w:r w:rsidRPr="00C50EA7">
        <w:t>Dhakal</w:t>
      </w:r>
      <w:proofErr w:type="spellEnd"/>
      <w:r w:rsidRPr="00C50EA7">
        <w:t xml:space="preserve">, A., Rushton, S., van </w:t>
      </w:r>
      <w:proofErr w:type="spellStart"/>
      <w:r w:rsidRPr="00C50EA7">
        <w:t>Teijlingen</w:t>
      </w:r>
      <w:proofErr w:type="spellEnd"/>
      <w:r w:rsidRPr="00C50EA7">
        <w:t xml:space="preserve">, E., </w:t>
      </w:r>
      <w:proofErr w:type="spellStart"/>
      <w:r w:rsidRPr="00C50EA7">
        <w:t>Marahatta</w:t>
      </w:r>
      <w:proofErr w:type="spellEnd"/>
      <w:r w:rsidRPr="00C50EA7">
        <w:t xml:space="preserve">, S.B., </w:t>
      </w:r>
      <w:proofErr w:type="spellStart"/>
      <w:r w:rsidRPr="00C50EA7">
        <w:t>Balen</w:t>
      </w:r>
      <w:proofErr w:type="spellEnd"/>
      <w:r w:rsidRPr="00C50EA7">
        <w:t xml:space="preserve">, J. and Lee, A.C. (2023) ‘The impact of decentralisation on health systems: a systematic review of reviews’, BMJ Global Health, 8(12), e013317. </w:t>
      </w:r>
      <w:hyperlink r:id="rId34" w:history="1">
        <w:r w:rsidRPr="00C50EA7">
          <w:rPr>
            <w:rStyle w:val="Hyperlink"/>
          </w:rPr>
          <w:t>https://doi.org/10.1136/bmjgh-2023-013317</w:t>
        </w:r>
      </w:hyperlink>
    </w:p>
    <w:p w14:paraId="029D1CAE" w14:textId="77777777" w:rsidR="00C50EA7" w:rsidRPr="00C50EA7" w:rsidRDefault="00C50EA7" w:rsidP="008C30F9">
      <w:pPr>
        <w:pStyle w:val="ListParagraph"/>
        <w:numPr>
          <w:ilvl w:val="0"/>
          <w:numId w:val="5"/>
        </w:numPr>
        <w:spacing w:after="120"/>
      </w:pPr>
      <w:proofErr w:type="spellStart"/>
      <w:r w:rsidRPr="00C50EA7">
        <w:t>Shishkin</w:t>
      </w:r>
      <w:proofErr w:type="spellEnd"/>
      <w:r w:rsidRPr="00C50EA7">
        <w:t xml:space="preserve">, S., </w:t>
      </w:r>
      <w:proofErr w:type="spellStart"/>
      <w:r w:rsidRPr="00C50EA7">
        <w:t>Sheiman</w:t>
      </w:r>
      <w:proofErr w:type="spellEnd"/>
      <w:r w:rsidRPr="00C50EA7">
        <w:t xml:space="preserve">, I., </w:t>
      </w:r>
      <w:proofErr w:type="spellStart"/>
      <w:r w:rsidRPr="00C50EA7">
        <w:t>Potapchik</w:t>
      </w:r>
      <w:proofErr w:type="spellEnd"/>
      <w:r w:rsidRPr="00C50EA7">
        <w:t xml:space="preserve">, E., </w:t>
      </w:r>
      <w:proofErr w:type="spellStart"/>
      <w:r w:rsidRPr="00C50EA7">
        <w:t>Vlassov</w:t>
      </w:r>
      <w:proofErr w:type="spellEnd"/>
      <w:r w:rsidRPr="00C50EA7">
        <w:t xml:space="preserve">, V. and </w:t>
      </w:r>
      <w:proofErr w:type="spellStart"/>
      <w:r w:rsidRPr="00C50EA7">
        <w:t>Sazhina</w:t>
      </w:r>
      <w:proofErr w:type="spellEnd"/>
      <w:r w:rsidRPr="00C50EA7">
        <w:t xml:space="preserve">, S. (2025) ‘The impact of centralization on structural changes in healthcare: when </w:t>
      </w:r>
      <w:proofErr w:type="gramStart"/>
      <w:r w:rsidRPr="00C50EA7">
        <w:t>it</w:t>
      </w:r>
      <w:proofErr w:type="gramEnd"/>
      <w:r w:rsidRPr="00C50EA7">
        <w:t xml:space="preserve"> works’, Frontiers in Health Services, 5, 1484225. </w:t>
      </w:r>
      <w:hyperlink r:id="rId35" w:history="1">
        <w:r w:rsidRPr="00C50EA7">
          <w:rPr>
            <w:rStyle w:val="Hyperlink"/>
          </w:rPr>
          <w:t>https://doi.org/10.3389/frhs.2025.1484225</w:t>
        </w:r>
      </w:hyperlink>
    </w:p>
    <w:p w14:paraId="6061E57F" w14:textId="3B6912CC" w:rsidR="00C50EA7" w:rsidRPr="00C50EA7" w:rsidRDefault="00C50EA7" w:rsidP="008C30F9">
      <w:pPr>
        <w:pStyle w:val="ListParagraph"/>
        <w:numPr>
          <w:ilvl w:val="0"/>
          <w:numId w:val="5"/>
        </w:numPr>
        <w:spacing w:after="120"/>
      </w:pPr>
      <w:r w:rsidRPr="00C50EA7">
        <w:t xml:space="preserve">Tian, F., Chen, Z., Zeng, Y., Feng, Q. and Chen, X. (2023) ‘Prevalence of use of potentially inappropriate medications among older adults worldwide: a systematic </w:t>
      </w:r>
      <w:r w:rsidRPr="00C50EA7">
        <w:lastRenderedPageBreak/>
        <w:t>review and meta-analysis’, JAMA Network Open, 6(8), e2326910.</w:t>
      </w:r>
      <w:r w:rsidR="005D3639">
        <w:rPr>
          <w:b/>
        </w:rPr>
        <w:t xml:space="preserve"> </w:t>
      </w:r>
      <w:hyperlink r:id="rId36" w:history="1">
        <w:r w:rsidR="005D3639" w:rsidRPr="00152A19">
          <w:rPr>
            <w:rStyle w:val="Hyperlink"/>
          </w:rPr>
          <w:t>https://doi.org/10.1001/jamanetworkopen.2023.26910</w:t>
        </w:r>
      </w:hyperlink>
    </w:p>
    <w:p w14:paraId="26AE3260" w14:textId="77777777" w:rsidR="00C50EA7" w:rsidRPr="00C50EA7" w:rsidRDefault="00C50EA7" w:rsidP="008C30F9">
      <w:pPr>
        <w:pStyle w:val="ListParagraph"/>
        <w:numPr>
          <w:ilvl w:val="0"/>
          <w:numId w:val="5"/>
        </w:numPr>
        <w:spacing w:after="120"/>
      </w:pPr>
      <w:r w:rsidRPr="00C50EA7">
        <w:t xml:space="preserve">Tobiano, G., Manias, E., </w:t>
      </w:r>
      <w:proofErr w:type="spellStart"/>
      <w:r w:rsidRPr="00C50EA7">
        <w:t>Thalib</w:t>
      </w:r>
      <w:proofErr w:type="spellEnd"/>
      <w:r w:rsidRPr="00C50EA7">
        <w:t xml:space="preserve">, L., Dornan, G., Teasdale, T., Wellwood, J. and </w:t>
      </w:r>
      <w:proofErr w:type="spellStart"/>
      <w:r w:rsidRPr="00C50EA7">
        <w:t>Chaboyer</w:t>
      </w:r>
      <w:proofErr w:type="spellEnd"/>
      <w:r w:rsidRPr="00C50EA7">
        <w:t xml:space="preserve">, W. (2023) ‘Older patient participation in discharge medication communication: an observational study’, BMJ Open, 13(3), e064750. </w:t>
      </w:r>
      <w:hyperlink r:id="rId37" w:history="1">
        <w:r w:rsidRPr="00C50EA7">
          <w:rPr>
            <w:rStyle w:val="Hyperlink"/>
          </w:rPr>
          <w:t>https://doi.org/10.1136/bmjopen-2022-064750</w:t>
        </w:r>
      </w:hyperlink>
    </w:p>
    <w:p w14:paraId="03CF5350" w14:textId="0601314E" w:rsidR="00C50EA7" w:rsidRPr="00C50EA7" w:rsidRDefault="00C50EA7" w:rsidP="008C30F9">
      <w:pPr>
        <w:pStyle w:val="ListParagraph"/>
        <w:numPr>
          <w:ilvl w:val="0"/>
          <w:numId w:val="5"/>
        </w:numPr>
      </w:pPr>
      <w:r>
        <w:t xml:space="preserve">Traylor, D.O., Anderson, E.E., Etsey, M., Fenton, B., Cheema, N., McCampbell, D., Patel, D. and Clark, B. (2025) ‘Practical care coordination for primary care providers: bridging the gap between clinical practice and patient outcomes’, in Wojda, T.R. (ed.) Enhancing Primary Care Delivery. </w:t>
      </w:r>
      <w:proofErr w:type="spellStart"/>
      <w:r>
        <w:t>IntechOpen</w:t>
      </w:r>
      <w:proofErr w:type="spellEnd"/>
      <w:r>
        <w:t>.</w:t>
      </w:r>
      <w:r w:rsidR="005D3639">
        <w:t xml:space="preserve"> </w:t>
      </w:r>
      <w:hyperlink r:id="rId38" w:history="1">
        <w:r w:rsidR="005D3639" w:rsidRPr="00152A19">
          <w:rPr>
            <w:rStyle w:val="Hyperlink"/>
          </w:rPr>
          <w:t>https://doi.org/10.5772/intechopen.1011662</w:t>
        </w:r>
      </w:hyperlink>
    </w:p>
    <w:p w14:paraId="43BBCDA6" w14:textId="77777777" w:rsidR="00C50EA7" w:rsidRPr="00C50EA7" w:rsidRDefault="00C50EA7" w:rsidP="008C30F9">
      <w:pPr>
        <w:pStyle w:val="ListParagraph"/>
        <w:numPr>
          <w:ilvl w:val="0"/>
          <w:numId w:val="5"/>
        </w:numPr>
        <w:spacing w:after="120"/>
      </w:pPr>
      <w:r w:rsidRPr="00C50EA7">
        <w:t xml:space="preserve">Wang, X., Liu, Y., Peng, Z., Li, B., Liang, Q., Liao, S. and Liu, M. (2024) ‘Situational leadership theory in nursing management: a scoping review’, BMC Nursing, 23, 930. </w:t>
      </w:r>
      <w:hyperlink r:id="rId39" w:history="1">
        <w:r w:rsidRPr="00C50EA7">
          <w:rPr>
            <w:rStyle w:val="Hyperlink"/>
          </w:rPr>
          <w:t>https://doi.org/10.1186/s12912-024-02582-9</w:t>
        </w:r>
      </w:hyperlink>
    </w:p>
    <w:p w14:paraId="16CD2BE1" w14:textId="77777777" w:rsidR="00C50EA7" w:rsidRPr="00C50EA7" w:rsidRDefault="00C50EA7" w:rsidP="008C30F9">
      <w:pPr>
        <w:pStyle w:val="ListParagraph"/>
        <w:numPr>
          <w:ilvl w:val="0"/>
          <w:numId w:val="5"/>
        </w:numPr>
        <w:spacing w:after="120"/>
      </w:pPr>
      <w:r w:rsidRPr="00C50EA7">
        <w:t xml:space="preserve">World Health Organization (2022) Medication without harm: WHO’s third global patient safety challenge. Available at: </w:t>
      </w:r>
      <w:hyperlink r:id="rId40" w:history="1">
        <w:r w:rsidRPr="00C50EA7">
          <w:rPr>
            <w:rStyle w:val="Hyperlink"/>
          </w:rPr>
          <w:t>https://www.who.int/initiatives/medication-without-harm</w:t>
        </w:r>
      </w:hyperlink>
      <w:r w:rsidRPr="00C50EA7">
        <w:t xml:space="preserve"> (Accessed: 20 April 2026).</w:t>
      </w:r>
    </w:p>
    <w:sectPr w:rsidR="00C50EA7" w:rsidRPr="00C50EA7" w:rsidSect="00650E94">
      <w:footerReference w:type="default" r:id="rId4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23449" w14:textId="77777777" w:rsidR="003D0FC5" w:rsidRDefault="003D0FC5">
      <w:pPr>
        <w:spacing w:line="240" w:lineRule="auto"/>
      </w:pPr>
      <w:r>
        <w:separator/>
      </w:r>
    </w:p>
  </w:endnote>
  <w:endnote w:type="continuationSeparator" w:id="0">
    <w:p w14:paraId="64FCE6E0" w14:textId="77777777" w:rsidR="003D0FC5" w:rsidRDefault="003D0F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Lucida Sans">
    <w:panose1 w:val="020B0602030504020204"/>
    <w:charset w:val="00"/>
    <w:family w:val="swiss"/>
    <w:pitch w:val="variable"/>
    <w:sig w:usb0="00000003" w:usb1="00000000" w:usb2="00000000" w:usb3="00000000" w:csb0="00000001" w:csb1="00000000"/>
    <w:embedRegular r:id="rId1" w:fontKey="{84B3E3ED-A0A6-4AF6-A58E-C3CD8B8CF9DD}"/>
    <w:embedItalic r:id="rId2" w:fontKey="{A96E6E01-52E8-4FF1-A963-5A9A467090B7}"/>
    <w:embedBoldItalic r:id="rId3" w:fontKey="{8DA95CA0-DCB1-4E57-ADA7-D85CDDAC92FA}"/>
  </w:font>
  <w:font w:name="Calibri">
    <w:panose1 w:val="020F0502020204030204"/>
    <w:charset w:val="00"/>
    <w:family w:val="swiss"/>
    <w:pitch w:val="variable"/>
    <w:sig w:usb0="E4002EFF" w:usb1="C200247B" w:usb2="00000009" w:usb3="00000000" w:csb0="000001FF" w:csb1="00000000"/>
    <w:embedRegular r:id="rId4" w:fontKey="{740B3C9A-1B52-447B-8235-0ED0AC3DF0EC}"/>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DD662F7F-4D51-46D1-8A5D-D63DEB3AE43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262337"/>
      <w:docPartObj>
        <w:docPartGallery w:val="Page Numbers (Bottom of Page)"/>
        <w:docPartUnique/>
      </w:docPartObj>
    </w:sdtPr>
    <w:sdtEndPr>
      <w:rPr>
        <w:noProof/>
      </w:rPr>
    </w:sdtEndPr>
    <w:sdtContent>
      <w:p w14:paraId="728CC2DD" w14:textId="77777777" w:rsidR="00650E94" w:rsidRDefault="00650E94">
        <w:pPr>
          <w:pStyle w:val="Footer"/>
          <w:jc w:val="right"/>
        </w:pPr>
        <w:r w:rsidRPr="00650E94">
          <w:rPr>
            <w:sz w:val="20"/>
            <w:szCs w:val="20"/>
          </w:rPr>
          <w:fldChar w:fldCharType="begin"/>
        </w:r>
        <w:r w:rsidRPr="00650E94">
          <w:rPr>
            <w:sz w:val="20"/>
            <w:szCs w:val="20"/>
          </w:rPr>
          <w:instrText xml:space="preserve"> PAGE   \* MERGEFORMAT </w:instrText>
        </w:r>
        <w:r w:rsidRPr="00650E94">
          <w:rPr>
            <w:sz w:val="20"/>
            <w:szCs w:val="20"/>
          </w:rPr>
          <w:fldChar w:fldCharType="separate"/>
        </w:r>
        <w:r w:rsidRPr="00650E94">
          <w:rPr>
            <w:noProof/>
            <w:sz w:val="20"/>
            <w:szCs w:val="20"/>
          </w:rPr>
          <w:t>2</w:t>
        </w:r>
        <w:r w:rsidRPr="00650E94">
          <w:rPr>
            <w:noProof/>
            <w:sz w:val="20"/>
            <w:szCs w:val="20"/>
          </w:rPr>
          <w:fldChar w:fldCharType="end"/>
        </w:r>
      </w:p>
    </w:sdtContent>
  </w:sdt>
  <w:p w14:paraId="1D1C8E99" w14:textId="77777777" w:rsidR="00650E94" w:rsidRDefault="00650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51D93" w14:textId="77777777" w:rsidR="003D0FC5" w:rsidRDefault="003D0FC5">
      <w:pPr>
        <w:spacing w:line="240" w:lineRule="auto"/>
      </w:pPr>
      <w:r>
        <w:separator/>
      </w:r>
    </w:p>
  </w:footnote>
  <w:footnote w:type="continuationSeparator" w:id="0">
    <w:p w14:paraId="47D23AB4" w14:textId="77777777" w:rsidR="003D0FC5" w:rsidRDefault="003D0F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73FD9"/>
    <w:multiLevelType w:val="hybridMultilevel"/>
    <w:tmpl w:val="3080E966"/>
    <w:lvl w:ilvl="0" w:tplc="42CE57BA">
      <w:numFmt w:val="bullet"/>
      <w:lvlText w:val="•"/>
      <w:lvlJc w:val="left"/>
      <w:pPr>
        <w:ind w:left="520" w:hanging="360"/>
      </w:pPr>
      <w:rPr>
        <w:rFonts w:ascii="Times New Roman" w:eastAsia="Times New Roman" w:hAnsi="Times New Roman" w:cs="Times New Roman" w:hint="default"/>
      </w:rPr>
    </w:lvl>
    <w:lvl w:ilvl="1" w:tplc="40090003" w:tentative="1">
      <w:start w:val="1"/>
      <w:numFmt w:val="bullet"/>
      <w:lvlText w:val="o"/>
      <w:lvlJc w:val="left"/>
      <w:pPr>
        <w:ind w:left="1240" w:hanging="360"/>
      </w:pPr>
      <w:rPr>
        <w:rFonts w:ascii="Courier New" w:hAnsi="Courier New" w:cs="Courier New" w:hint="default"/>
      </w:rPr>
    </w:lvl>
    <w:lvl w:ilvl="2" w:tplc="40090005" w:tentative="1">
      <w:start w:val="1"/>
      <w:numFmt w:val="bullet"/>
      <w:lvlText w:val=""/>
      <w:lvlJc w:val="left"/>
      <w:pPr>
        <w:ind w:left="1960" w:hanging="360"/>
      </w:pPr>
      <w:rPr>
        <w:rFonts w:ascii="Wingdings" w:hAnsi="Wingdings" w:hint="default"/>
      </w:rPr>
    </w:lvl>
    <w:lvl w:ilvl="3" w:tplc="40090001" w:tentative="1">
      <w:start w:val="1"/>
      <w:numFmt w:val="bullet"/>
      <w:lvlText w:val=""/>
      <w:lvlJc w:val="left"/>
      <w:pPr>
        <w:ind w:left="2680" w:hanging="360"/>
      </w:pPr>
      <w:rPr>
        <w:rFonts w:ascii="Symbol" w:hAnsi="Symbol" w:hint="default"/>
      </w:rPr>
    </w:lvl>
    <w:lvl w:ilvl="4" w:tplc="40090003" w:tentative="1">
      <w:start w:val="1"/>
      <w:numFmt w:val="bullet"/>
      <w:lvlText w:val="o"/>
      <w:lvlJc w:val="left"/>
      <w:pPr>
        <w:ind w:left="3400" w:hanging="360"/>
      </w:pPr>
      <w:rPr>
        <w:rFonts w:ascii="Courier New" w:hAnsi="Courier New" w:cs="Courier New" w:hint="default"/>
      </w:rPr>
    </w:lvl>
    <w:lvl w:ilvl="5" w:tplc="40090005" w:tentative="1">
      <w:start w:val="1"/>
      <w:numFmt w:val="bullet"/>
      <w:lvlText w:val=""/>
      <w:lvlJc w:val="left"/>
      <w:pPr>
        <w:ind w:left="4120" w:hanging="360"/>
      </w:pPr>
      <w:rPr>
        <w:rFonts w:ascii="Wingdings" w:hAnsi="Wingdings" w:hint="default"/>
      </w:rPr>
    </w:lvl>
    <w:lvl w:ilvl="6" w:tplc="40090001" w:tentative="1">
      <w:start w:val="1"/>
      <w:numFmt w:val="bullet"/>
      <w:lvlText w:val=""/>
      <w:lvlJc w:val="left"/>
      <w:pPr>
        <w:ind w:left="4840" w:hanging="360"/>
      </w:pPr>
      <w:rPr>
        <w:rFonts w:ascii="Symbol" w:hAnsi="Symbol" w:hint="default"/>
      </w:rPr>
    </w:lvl>
    <w:lvl w:ilvl="7" w:tplc="40090003" w:tentative="1">
      <w:start w:val="1"/>
      <w:numFmt w:val="bullet"/>
      <w:lvlText w:val="o"/>
      <w:lvlJc w:val="left"/>
      <w:pPr>
        <w:ind w:left="5560" w:hanging="360"/>
      </w:pPr>
      <w:rPr>
        <w:rFonts w:ascii="Courier New" w:hAnsi="Courier New" w:cs="Courier New" w:hint="default"/>
      </w:rPr>
    </w:lvl>
    <w:lvl w:ilvl="8" w:tplc="40090005" w:tentative="1">
      <w:start w:val="1"/>
      <w:numFmt w:val="bullet"/>
      <w:lvlText w:val=""/>
      <w:lvlJc w:val="left"/>
      <w:pPr>
        <w:ind w:left="6280" w:hanging="360"/>
      </w:pPr>
      <w:rPr>
        <w:rFonts w:ascii="Wingdings" w:hAnsi="Wingdings" w:hint="default"/>
      </w:rPr>
    </w:lvl>
  </w:abstractNum>
  <w:abstractNum w:abstractNumId="1" w15:restartNumberingAfterBreak="0">
    <w:nsid w:val="13125102"/>
    <w:multiLevelType w:val="hybridMultilevel"/>
    <w:tmpl w:val="ECAC17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45E258B"/>
    <w:multiLevelType w:val="hybridMultilevel"/>
    <w:tmpl w:val="1E888C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C26D43"/>
    <w:multiLevelType w:val="hybridMultilevel"/>
    <w:tmpl w:val="04F8E9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BBD6025"/>
    <w:multiLevelType w:val="hybridMultilevel"/>
    <w:tmpl w:val="835E2D7A"/>
    <w:lvl w:ilvl="0" w:tplc="40090001">
      <w:start w:val="1"/>
      <w:numFmt w:val="bullet"/>
      <w:lvlText w:val=""/>
      <w:lvlJc w:val="left"/>
      <w:pPr>
        <w:ind w:left="880" w:hanging="360"/>
      </w:pPr>
      <w:rPr>
        <w:rFonts w:ascii="Symbol" w:hAnsi="Symbol" w:hint="default"/>
      </w:rPr>
    </w:lvl>
    <w:lvl w:ilvl="1" w:tplc="40090003" w:tentative="1">
      <w:start w:val="1"/>
      <w:numFmt w:val="bullet"/>
      <w:lvlText w:val="o"/>
      <w:lvlJc w:val="left"/>
      <w:pPr>
        <w:ind w:left="1600" w:hanging="360"/>
      </w:pPr>
      <w:rPr>
        <w:rFonts w:ascii="Courier New" w:hAnsi="Courier New" w:cs="Courier New" w:hint="default"/>
      </w:rPr>
    </w:lvl>
    <w:lvl w:ilvl="2" w:tplc="40090005" w:tentative="1">
      <w:start w:val="1"/>
      <w:numFmt w:val="bullet"/>
      <w:lvlText w:val=""/>
      <w:lvlJc w:val="left"/>
      <w:pPr>
        <w:ind w:left="2320" w:hanging="360"/>
      </w:pPr>
      <w:rPr>
        <w:rFonts w:ascii="Wingdings" w:hAnsi="Wingdings" w:hint="default"/>
      </w:rPr>
    </w:lvl>
    <w:lvl w:ilvl="3" w:tplc="40090001" w:tentative="1">
      <w:start w:val="1"/>
      <w:numFmt w:val="bullet"/>
      <w:lvlText w:val=""/>
      <w:lvlJc w:val="left"/>
      <w:pPr>
        <w:ind w:left="3040" w:hanging="360"/>
      </w:pPr>
      <w:rPr>
        <w:rFonts w:ascii="Symbol" w:hAnsi="Symbol" w:hint="default"/>
      </w:rPr>
    </w:lvl>
    <w:lvl w:ilvl="4" w:tplc="40090003" w:tentative="1">
      <w:start w:val="1"/>
      <w:numFmt w:val="bullet"/>
      <w:lvlText w:val="o"/>
      <w:lvlJc w:val="left"/>
      <w:pPr>
        <w:ind w:left="3760" w:hanging="360"/>
      </w:pPr>
      <w:rPr>
        <w:rFonts w:ascii="Courier New" w:hAnsi="Courier New" w:cs="Courier New" w:hint="default"/>
      </w:rPr>
    </w:lvl>
    <w:lvl w:ilvl="5" w:tplc="40090005" w:tentative="1">
      <w:start w:val="1"/>
      <w:numFmt w:val="bullet"/>
      <w:lvlText w:val=""/>
      <w:lvlJc w:val="left"/>
      <w:pPr>
        <w:ind w:left="4480" w:hanging="360"/>
      </w:pPr>
      <w:rPr>
        <w:rFonts w:ascii="Wingdings" w:hAnsi="Wingdings" w:hint="default"/>
      </w:rPr>
    </w:lvl>
    <w:lvl w:ilvl="6" w:tplc="40090001" w:tentative="1">
      <w:start w:val="1"/>
      <w:numFmt w:val="bullet"/>
      <w:lvlText w:val=""/>
      <w:lvlJc w:val="left"/>
      <w:pPr>
        <w:ind w:left="5200" w:hanging="360"/>
      </w:pPr>
      <w:rPr>
        <w:rFonts w:ascii="Symbol" w:hAnsi="Symbol" w:hint="default"/>
      </w:rPr>
    </w:lvl>
    <w:lvl w:ilvl="7" w:tplc="40090003" w:tentative="1">
      <w:start w:val="1"/>
      <w:numFmt w:val="bullet"/>
      <w:lvlText w:val="o"/>
      <w:lvlJc w:val="left"/>
      <w:pPr>
        <w:ind w:left="5920" w:hanging="360"/>
      </w:pPr>
      <w:rPr>
        <w:rFonts w:ascii="Courier New" w:hAnsi="Courier New" w:cs="Courier New" w:hint="default"/>
      </w:rPr>
    </w:lvl>
    <w:lvl w:ilvl="8" w:tplc="40090005" w:tentative="1">
      <w:start w:val="1"/>
      <w:numFmt w:val="bullet"/>
      <w:lvlText w:val=""/>
      <w:lvlJc w:val="left"/>
      <w:pPr>
        <w:ind w:left="6640" w:hanging="360"/>
      </w:pPr>
      <w:rPr>
        <w:rFonts w:ascii="Wingdings" w:hAnsi="Wingdings" w:hint="default"/>
      </w:rPr>
    </w:lvl>
  </w:abstractNum>
  <w:num w:numId="1" w16cid:durableId="289745366">
    <w:abstractNumId w:val="2"/>
  </w:num>
  <w:num w:numId="2" w16cid:durableId="1294404467">
    <w:abstractNumId w:val="3"/>
  </w:num>
  <w:num w:numId="3" w16cid:durableId="87384823">
    <w:abstractNumId w:val="4"/>
  </w:num>
  <w:num w:numId="4" w16cid:durableId="1346787057">
    <w:abstractNumId w:val="0"/>
  </w:num>
  <w:num w:numId="5" w16cid:durableId="1547606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311"/>
    <w:rsid w:val="000F0BF2"/>
    <w:rsid w:val="001C239C"/>
    <w:rsid w:val="002A11B1"/>
    <w:rsid w:val="002C2A64"/>
    <w:rsid w:val="003A2A39"/>
    <w:rsid w:val="003D0FC5"/>
    <w:rsid w:val="0042388D"/>
    <w:rsid w:val="00574DA3"/>
    <w:rsid w:val="005D3639"/>
    <w:rsid w:val="00631C15"/>
    <w:rsid w:val="00650E94"/>
    <w:rsid w:val="00690BEE"/>
    <w:rsid w:val="00754C8C"/>
    <w:rsid w:val="008C30F9"/>
    <w:rsid w:val="009072CC"/>
    <w:rsid w:val="00984311"/>
    <w:rsid w:val="009915C5"/>
    <w:rsid w:val="00A24303"/>
    <w:rsid w:val="00A35EE3"/>
    <w:rsid w:val="00AF6546"/>
    <w:rsid w:val="00C11FA8"/>
    <w:rsid w:val="00C50EA7"/>
    <w:rsid w:val="00D26447"/>
    <w:rsid w:val="00D62D11"/>
    <w:rsid w:val="00DB601C"/>
    <w:rsid w:val="00E16BE3"/>
    <w:rsid w:val="00E23DA9"/>
    <w:rsid w:val="00F35770"/>
    <w:rsid w:val="00FD5F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A1AFD"/>
  <w15:docId w15:val="{B196C597-EF39-4525-B9EB-FA79992AA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highlight w:val="white"/>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639"/>
  </w:style>
  <w:style w:type="paragraph" w:styleId="Heading1">
    <w:name w:val="heading 1"/>
    <w:basedOn w:val="Normal"/>
    <w:next w:val="Normal"/>
    <w:uiPriority w:val="9"/>
    <w:qFormat/>
    <w:pPr>
      <w:keepNext/>
      <w:keepLines/>
      <w:jc w:val="left"/>
      <w:outlineLvl w:val="0"/>
    </w:pPr>
    <w:rPr>
      <w:b/>
      <w:bCs/>
      <w:color w:val="000000"/>
      <w:sz w:val="28"/>
      <w:szCs w:val="28"/>
    </w:rPr>
  </w:style>
  <w:style w:type="paragraph" w:styleId="Heading2">
    <w:name w:val="heading 2"/>
    <w:basedOn w:val="Normal"/>
    <w:next w:val="Normal"/>
    <w:uiPriority w:val="9"/>
    <w:unhideWhenUsed/>
    <w:qFormat/>
    <w:pPr>
      <w:keepNext/>
      <w:keepLines/>
      <w:outlineLvl w:val="1"/>
    </w:pPr>
    <w:rPr>
      <w:color w:val="000000"/>
      <w:u w:val="single"/>
    </w:rPr>
  </w:style>
  <w:style w:type="paragraph" w:styleId="Heading3">
    <w:name w:val="heading 3"/>
    <w:basedOn w:val="Normal"/>
    <w:next w:val="Normal"/>
    <w:uiPriority w:val="9"/>
    <w:unhideWhenUsed/>
    <w:qFormat/>
    <w:pPr>
      <w:keepNext/>
      <w:keepLines/>
      <w:outlineLvl w:val="2"/>
    </w:pPr>
    <w:rPr>
      <w:b/>
      <w:bCs/>
      <w:i/>
      <w:iCs/>
      <w:color w:val="000000"/>
    </w:rPr>
  </w:style>
  <w:style w:type="paragraph" w:styleId="Heading4">
    <w:name w:val="heading 4"/>
    <w:basedOn w:val="Normal"/>
    <w:next w:val="Normal"/>
    <w:uiPriority w:val="9"/>
    <w:semiHidden/>
    <w:unhideWhenUsed/>
    <w:qFormat/>
    <w:pPr>
      <w:keepNext/>
      <w:keepLines/>
      <w:spacing w:before="200"/>
      <w:outlineLvl w:val="3"/>
    </w:pPr>
    <w:rPr>
      <w:rFonts w:ascii="Lucida Sans" w:eastAsia="Lucida Sans" w:hAnsi="Lucida Sans" w:cs="Lucida Sans"/>
      <w:b/>
      <w:bCs/>
      <w:i/>
      <w:iCs/>
      <w:color w:val="4F81BD"/>
    </w:rPr>
  </w:style>
  <w:style w:type="paragraph" w:styleId="Heading5">
    <w:name w:val="heading 5"/>
    <w:basedOn w:val="Normal"/>
    <w:next w:val="Normal"/>
    <w:uiPriority w:val="9"/>
    <w:semiHidden/>
    <w:unhideWhenUsed/>
    <w:qFormat/>
    <w:pPr>
      <w:keepNext/>
      <w:keepLines/>
      <w:spacing w:before="200"/>
      <w:outlineLvl w:val="4"/>
    </w:pPr>
    <w:rPr>
      <w:rFonts w:ascii="Lucida Sans" w:eastAsia="Lucida Sans" w:hAnsi="Lucida Sans" w:cs="Lucida Sans"/>
      <w:color w:val="243F61"/>
    </w:rPr>
  </w:style>
  <w:style w:type="paragraph" w:styleId="Heading6">
    <w:name w:val="heading 6"/>
    <w:basedOn w:val="Normal"/>
    <w:next w:val="Normal"/>
    <w:uiPriority w:val="9"/>
    <w:semiHidden/>
    <w:unhideWhenUsed/>
    <w:qFormat/>
    <w:pPr>
      <w:keepNext/>
      <w:keepLines/>
      <w:spacing w:before="200"/>
      <w:outlineLvl w:val="5"/>
    </w:pPr>
    <w:rPr>
      <w:rFonts w:ascii="Lucida Sans" w:eastAsia="Lucida Sans" w:hAnsi="Lucida Sans" w:cs="Lucida Sans"/>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jc w:val="center"/>
    </w:pPr>
    <w:rPr>
      <w:sz w:val="52"/>
      <w:szCs w:val="52"/>
    </w:rPr>
  </w:style>
  <w:style w:type="paragraph" w:styleId="Subtitle">
    <w:name w:val="Subtitle"/>
    <w:basedOn w:val="Normal"/>
    <w:next w:val="Normal"/>
    <w:uiPriority w:val="11"/>
    <w:qFormat/>
    <w:pPr>
      <w:jc w:val="center"/>
    </w:pPr>
    <w:rPr>
      <w:rFonts w:ascii="Lucida Sans" w:eastAsia="Lucida Sans" w:hAnsi="Lucida Sans" w:cs="Lucida Sans"/>
      <w:i/>
      <w:iCs/>
      <w:color w:val="4F81BD"/>
    </w:rPr>
  </w:style>
  <w:style w:type="table" w:customStyle="1" w:styleId="a">
    <w:basedOn w:val="TableNormal0"/>
    <w:tblPr>
      <w:tblStyleRowBandSize w:val="1"/>
      <w:tblStyleColBandSize w:val="1"/>
      <w:tblCellMar>
        <w:top w:w="0" w:type="dxa"/>
        <w:left w:w="10" w:type="dxa"/>
        <w:bottom w:w="0" w:type="dxa"/>
        <w:right w:w="10" w:type="dxa"/>
      </w:tblCellMar>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D26447"/>
    <w:pPr>
      <w:ind w:left="720"/>
      <w:contextualSpacing/>
    </w:pPr>
  </w:style>
  <w:style w:type="character" w:styleId="Hyperlink">
    <w:name w:val="Hyperlink"/>
    <w:basedOn w:val="DefaultParagraphFont"/>
    <w:uiPriority w:val="99"/>
    <w:unhideWhenUsed/>
    <w:rsid w:val="000F0BF2"/>
    <w:rPr>
      <w:color w:val="0000FF" w:themeColor="hyperlink"/>
      <w:u w:val="single"/>
    </w:rPr>
  </w:style>
  <w:style w:type="character" w:styleId="UnresolvedMention">
    <w:name w:val="Unresolved Mention"/>
    <w:basedOn w:val="DefaultParagraphFont"/>
    <w:uiPriority w:val="99"/>
    <w:semiHidden/>
    <w:unhideWhenUsed/>
    <w:rsid w:val="000F0BF2"/>
    <w:rPr>
      <w:color w:val="605E5C"/>
      <w:shd w:val="clear" w:color="auto" w:fill="E1DFDD"/>
    </w:rPr>
  </w:style>
  <w:style w:type="paragraph" w:styleId="Header">
    <w:name w:val="header"/>
    <w:basedOn w:val="Normal"/>
    <w:link w:val="HeaderChar"/>
    <w:uiPriority w:val="99"/>
    <w:unhideWhenUsed/>
    <w:rsid w:val="00650E94"/>
    <w:pPr>
      <w:tabs>
        <w:tab w:val="center" w:pos="4513"/>
        <w:tab w:val="right" w:pos="9026"/>
      </w:tabs>
      <w:spacing w:line="240" w:lineRule="auto"/>
    </w:pPr>
  </w:style>
  <w:style w:type="character" w:customStyle="1" w:styleId="HeaderChar">
    <w:name w:val="Header Char"/>
    <w:basedOn w:val="DefaultParagraphFont"/>
    <w:link w:val="Header"/>
    <w:uiPriority w:val="99"/>
    <w:rsid w:val="00650E94"/>
  </w:style>
  <w:style w:type="paragraph" w:styleId="Footer">
    <w:name w:val="footer"/>
    <w:basedOn w:val="Normal"/>
    <w:link w:val="FooterChar"/>
    <w:uiPriority w:val="99"/>
    <w:unhideWhenUsed/>
    <w:rsid w:val="00650E94"/>
    <w:pPr>
      <w:tabs>
        <w:tab w:val="center" w:pos="4513"/>
        <w:tab w:val="right" w:pos="9026"/>
      </w:tabs>
      <w:spacing w:line="240" w:lineRule="auto"/>
    </w:pPr>
  </w:style>
  <w:style w:type="character" w:customStyle="1" w:styleId="FooterChar">
    <w:name w:val="Footer Char"/>
    <w:basedOn w:val="DefaultParagraphFont"/>
    <w:link w:val="Footer"/>
    <w:uiPriority w:val="99"/>
    <w:rsid w:val="00650E94"/>
  </w:style>
  <w:style w:type="paragraph" w:styleId="TOCHeading">
    <w:name w:val="TOC Heading"/>
    <w:basedOn w:val="Heading1"/>
    <w:next w:val="Normal"/>
    <w:uiPriority w:val="39"/>
    <w:unhideWhenUsed/>
    <w:qFormat/>
    <w:rsid w:val="00650E94"/>
    <w:pPr>
      <w:spacing w:before="240" w:line="259" w:lineRule="auto"/>
      <w:outlineLvl w:val="9"/>
    </w:pPr>
    <w:rPr>
      <w:rFonts w:asciiTheme="majorHAnsi" w:eastAsiaTheme="majorEastAsia" w:hAnsiTheme="majorHAnsi" w:cstheme="majorBidi"/>
      <w:b w:val="0"/>
      <w:bCs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650E94"/>
    <w:pPr>
      <w:spacing w:after="100"/>
    </w:pPr>
  </w:style>
  <w:style w:type="paragraph" w:styleId="TOC2">
    <w:name w:val="toc 2"/>
    <w:basedOn w:val="Normal"/>
    <w:next w:val="Normal"/>
    <w:autoRedefine/>
    <w:uiPriority w:val="39"/>
    <w:unhideWhenUsed/>
    <w:rsid w:val="00650E94"/>
    <w:pPr>
      <w:spacing w:after="100"/>
      <w:ind w:left="240"/>
    </w:pPr>
  </w:style>
  <w:style w:type="paragraph" w:styleId="TOC3">
    <w:name w:val="toc 3"/>
    <w:basedOn w:val="Normal"/>
    <w:next w:val="Normal"/>
    <w:autoRedefine/>
    <w:uiPriority w:val="39"/>
    <w:unhideWhenUsed/>
    <w:rsid w:val="00650E94"/>
    <w:pPr>
      <w:spacing w:after="100"/>
      <w:ind w:left="480"/>
    </w:pPr>
  </w:style>
  <w:style w:type="character" w:styleId="FollowedHyperlink">
    <w:name w:val="FollowedHyperlink"/>
    <w:basedOn w:val="DefaultParagraphFont"/>
    <w:uiPriority w:val="99"/>
    <w:semiHidden/>
    <w:unhideWhenUsed/>
    <w:rsid w:val="00C11FA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175971">
      <w:bodyDiv w:val="1"/>
      <w:marLeft w:val="0"/>
      <w:marRight w:val="0"/>
      <w:marTop w:val="0"/>
      <w:marBottom w:val="0"/>
      <w:divBdr>
        <w:top w:val="none" w:sz="0" w:space="0" w:color="auto"/>
        <w:left w:val="none" w:sz="0" w:space="0" w:color="auto"/>
        <w:bottom w:val="none" w:sz="0" w:space="0" w:color="auto"/>
        <w:right w:val="none" w:sz="0" w:space="0" w:color="auto"/>
      </w:divBdr>
      <w:divsChild>
        <w:div w:id="1955286258">
          <w:marLeft w:val="0"/>
          <w:marRight w:val="0"/>
          <w:marTop w:val="0"/>
          <w:marBottom w:val="0"/>
          <w:divBdr>
            <w:top w:val="none" w:sz="0" w:space="0" w:color="auto"/>
            <w:left w:val="none" w:sz="0" w:space="0" w:color="auto"/>
            <w:bottom w:val="none" w:sz="0" w:space="0" w:color="auto"/>
            <w:right w:val="none" w:sz="0" w:space="0" w:color="auto"/>
          </w:divBdr>
          <w:divsChild>
            <w:div w:id="50810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886325">
      <w:bodyDiv w:val="1"/>
      <w:marLeft w:val="0"/>
      <w:marRight w:val="0"/>
      <w:marTop w:val="0"/>
      <w:marBottom w:val="0"/>
      <w:divBdr>
        <w:top w:val="none" w:sz="0" w:space="0" w:color="auto"/>
        <w:left w:val="none" w:sz="0" w:space="0" w:color="auto"/>
        <w:bottom w:val="none" w:sz="0" w:space="0" w:color="auto"/>
        <w:right w:val="none" w:sz="0" w:space="0" w:color="auto"/>
      </w:divBdr>
      <w:divsChild>
        <w:div w:id="1034040111">
          <w:marLeft w:val="0"/>
          <w:marRight w:val="0"/>
          <w:marTop w:val="0"/>
          <w:marBottom w:val="0"/>
          <w:divBdr>
            <w:top w:val="none" w:sz="0" w:space="0" w:color="auto"/>
            <w:left w:val="none" w:sz="0" w:space="0" w:color="auto"/>
            <w:bottom w:val="none" w:sz="0" w:space="0" w:color="auto"/>
            <w:right w:val="none" w:sz="0" w:space="0" w:color="auto"/>
          </w:divBdr>
          <w:divsChild>
            <w:div w:id="37639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695647">
      <w:bodyDiv w:val="1"/>
      <w:marLeft w:val="0"/>
      <w:marRight w:val="0"/>
      <w:marTop w:val="0"/>
      <w:marBottom w:val="0"/>
      <w:divBdr>
        <w:top w:val="none" w:sz="0" w:space="0" w:color="auto"/>
        <w:left w:val="none" w:sz="0" w:space="0" w:color="auto"/>
        <w:bottom w:val="none" w:sz="0" w:space="0" w:color="auto"/>
        <w:right w:val="none" w:sz="0" w:space="0" w:color="auto"/>
      </w:divBdr>
      <w:divsChild>
        <w:div w:id="1111825218">
          <w:marLeft w:val="0"/>
          <w:marRight w:val="0"/>
          <w:marTop w:val="0"/>
          <w:marBottom w:val="0"/>
          <w:divBdr>
            <w:top w:val="none" w:sz="0" w:space="0" w:color="auto"/>
            <w:left w:val="none" w:sz="0" w:space="0" w:color="auto"/>
            <w:bottom w:val="none" w:sz="0" w:space="0" w:color="auto"/>
            <w:right w:val="none" w:sz="0" w:space="0" w:color="auto"/>
          </w:divBdr>
          <w:divsChild>
            <w:div w:id="163205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359050">
      <w:bodyDiv w:val="1"/>
      <w:marLeft w:val="0"/>
      <w:marRight w:val="0"/>
      <w:marTop w:val="0"/>
      <w:marBottom w:val="0"/>
      <w:divBdr>
        <w:top w:val="none" w:sz="0" w:space="0" w:color="auto"/>
        <w:left w:val="none" w:sz="0" w:space="0" w:color="auto"/>
        <w:bottom w:val="none" w:sz="0" w:space="0" w:color="auto"/>
        <w:right w:val="none" w:sz="0" w:space="0" w:color="auto"/>
      </w:divBdr>
      <w:divsChild>
        <w:div w:id="2039547396">
          <w:marLeft w:val="0"/>
          <w:marRight w:val="0"/>
          <w:marTop w:val="0"/>
          <w:marBottom w:val="0"/>
          <w:divBdr>
            <w:top w:val="none" w:sz="0" w:space="0" w:color="auto"/>
            <w:left w:val="none" w:sz="0" w:space="0" w:color="auto"/>
            <w:bottom w:val="none" w:sz="0" w:space="0" w:color="auto"/>
            <w:right w:val="none" w:sz="0" w:space="0" w:color="auto"/>
          </w:divBdr>
          <w:divsChild>
            <w:div w:id="169018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136/bmjqs-2021-013760" TargetMode="External"/><Relationship Id="rId18" Type="http://schemas.openxmlformats.org/officeDocument/2006/relationships/hyperlink" Target="https://doi.org/10.1136/bmjopen-2021-054847" TargetMode="External"/><Relationship Id="rId26" Type="http://schemas.openxmlformats.org/officeDocument/2006/relationships/hyperlink" Target="https://doi.org/10.1177/20420986241260169" TargetMode="External"/><Relationship Id="rId39" Type="http://schemas.openxmlformats.org/officeDocument/2006/relationships/hyperlink" Target="https://doi.org/10.1186/s12912-024-02582-9" TargetMode="External"/><Relationship Id="rId21" Type="http://schemas.openxmlformats.org/officeDocument/2006/relationships/hyperlink" Target="https://doi.org/10.3389/fmed.2024.1282173" TargetMode="External"/><Relationship Id="rId34" Type="http://schemas.openxmlformats.org/officeDocument/2006/relationships/hyperlink" Target="https://doi.org/10.1136/bmjgh-2023-013317"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89/fpubh.2024.1361046" TargetMode="External"/><Relationship Id="rId20" Type="http://schemas.openxmlformats.org/officeDocument/2006/relationships/hyperlink" Target="https://doi.org/10.1136/bmjqs-2019-010206" TargetMode="External"/><Relationship Id="rId29" Type="http://schemas.openxmlformats.org/officeDocument/2006/relationships/hyperlink" Target="https://doi.org/10.4102/hsag.v28i0.2344"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hci-2022-100683" TargetMode="External"/><Relationship Id="rId24" Type="http://schemas.openxmlformats.org/officeDocument/2006/relationships/hyperlink" Target="https://doi.org/10.3389/fphar.2024.1377781" TargetMode="External"/><Relationship Id="rId32" Type="http://schemas.openxmlformats.org/officeDocument/2006/relationships/hyperlink" Target="https://doi.org/10.3310/REMD6648" TargetMode="External"/><Relationship Id="rId37" Type="http://schemas.openxmlformats.org/officeDocument/2006/relationships/hyperlink" Target="https://doi.org/10.1136/bmjopen-2022-064750" TargetMode="External"/><Relationship Id="rId40" Type="http://schemas.openxmlformats.org/officeDocument/2006/relationships/hyperlink" Target="https://www.who.int/initiatives/medication-without-harm" TargetMode="External"/><Relationship Id="rId5" Type="http://schemas.openxmlformats.org/officeDocument/2006/relationships/webSettings" Target="webSettings.xml"/><Relationship Id="rId15" Type="http://schemas.openxmlformats.org/officeDocument/2006/relationships/hyperlink" Target="https://doi.org/10.1097/HMR.0000000000000385" TargetMode="External"/><Relationship Id="rId23" Type="http://schemas.openxmlformats.org/officeDocument/2006/relationships/hyperlink" Target="https://www.hssib.org.uk/patient-safety-investigations/unintentional-overdose-of-morphine-sulfate-oral-solution/investigation-report/" TargetMode="External"/><Relationship Id="rId28" Type="http://schemas.openxmlformats.org/officeDocument/2006/relationships/hyperlink" Target="https://doi.org/10.1097/MD.0000000000041279" TargetMode="External"/><Relationship Id="rId36" Type="http://schemas.openxmlformats.org/officeDocument/2006/relationships/hyperlink" Target="https://doi.org/10.1001/jamanetworkopen.2023.26910" TargetMode="External"/><Relationship Id="rId10" Type="http://schemas.openxmlformats.org/officeDocument/2006/relationships/image" Target="media/image3.png"/><Relationship Id="rId19" Type="http://schemas.openxmlformats.org/officeDocument/2006/relationships/hyperlink" Target="https://doi.org/10.1080/13678868.2022.2135938" TargetMode="External"/><Relationship Id="rId31" Type="http://schemas.openxmlformats.org/officeDocument/2006/relationships/hyperlink" Target="https://doi.org/10.1111/faam.123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2806/V21/I1/R11" TargetMode="External"/><Relationship Id="rId22" Type="http://schemas.openxmlformats.org/officeDocument/2006/relationships/hyperlink" Target="https://doi.org/10.1111/acem.15013" TargetMode="External"/><Relationship Id="rId27" Type="http://schemas.openxmlformats.org/officeDocument/2006/relationships/hyperlink" Target="https://www.england.nhs.uk/patient-safety/patient-safety-insight/patient-safety-alerts/enduring-standards/standards-that-remain-valid/medication-safety/" TargetMode="External"/><Relationship Id="rId30" Type="http://schemas.openxmlformats.org/officeDocument/2006/relationships/hyperlink" Target="https://doi.org/10.1007/s40266-024-01151-8" TargetMode="External"/><Relationship Id="rId35" Type="http://schemas.openxmlformats.org/officeDocument/2006/relationships/hyperlink" Target="https://doi.org/10.3389/frhs.2025.1484225"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86/s12913-024-11279-3" TargetMode="External"/><Relationship Id="rId17" Type="http://schemas.openxmlformats.org/officeDocument/2006/relationships/hyperlink" Target="https://doi.org/10.1108/JICA-08-2024-0047" TargetMode="External"/><Relationship Id="rId25" Type="http://schemas.openxmlformats.org/officeDocument/2006/relationships/hyperlink" Target="https://doi.org/10.1136/leader-2022-000664" TargetMode="External"/><Relationship Id="rId33" Type="http://schemas.openxmlformats.org/officeDocument/2006/relationships/hyperlink" Target="https://doi.org/10.5812/msnj-130535" TargetMode="External"/><Relationship Id="rId38" Type="http://schemas.openxmlformats.org/officeDocument/2006/relationships/hyperlink" Target="https://doi.org/10.5772/intechopen.101166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0824B-9018-4619-8CB5-C74A6850F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7141</Words>
  <Characters>40706</Characters>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2026-08-09T19:09:00Z</dcterms:created>
  <dcterms:modified xsi:type="dcterms:W3CDTF">2026-08-09T19:09:00Z</dcterms:modified>
</cp:coreProperties>
</file>