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Default Extension="bin" ContentType="application/vnd.openxmlformats-officedocument.oleObject"/>
  <Override PartName="/word/numbering.xml" ContentType="application/vnd.openxmlformats-officedocument.wordprocessingml.numbering+xml"/>
  <Default Extension="wmf" ContentType="image/x-wmf"/>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0" w:line="240"/>
        <w:ind w:right="0" w:left="0" w:firstLine="0"/>
        <w:jc w:val="center"/>
        <w:rPr>
          <w:rFonts w:ascii="Arial" w:hAnsi="Arial" w:cs="Arial" w:eastAsia="Arial"/>
          <w:b/>
          <w:color w:val="auto"/>
          <w:spacing w:val="0"/>
          <w:position w:val="0"/>
          <w:sz w:val="28"/>
          <w:shd w:fill="auto" w:val="clear"/>
        </w:rPr>
      </w:pPr>
    </w:p>
    <w:p>
      <w:pPr>
        <w:spacing w:before="0" w:after="0" w:line="240"/>
        <w:ind w:right="0" w:left="0" w:firstLine="0"/>
        <w:jc w:val="center"/>
        <w:rPr>
          <w:rFonts w:ascii="Arial" w:hAnsi="Arial" w:cs="Arial" w:eastAsia="Arial"/>
          <w:b/>
          <w:color w:val="auto"/>
          <w:spacing w:val="0"/>
          <w:position w:val="0"/>
          <w:sz w:val="28"/>
          <w:shd w:fill="auto" w:val="clear"/>
        </w:rPr>
      </w:pPr>
    </w:p>
    <w:p>
      <w:pPr>
        <w:spacing w:before="0" w:after="0" w:line="240"/>
        <w:ind w:right="0" w:left="0" w:firstLine="0"/>
        <w:jc w:val="center"/>
        <w:rPr>
          <w:rFonts w:ascii="Arial" w:hAnsi="Arial" w:cs="Arial" w:eastAsia="Arial"/>
          <w:b/>
          <w:color w:val="auto"/>
          <w:spacing w:val="0"/>
          <w:position w:val="0"/>
          <w:sz w:val="28"/>
          <w:shd w:fill="auto" w:val="clear"/>
        </w:rPr>
      </w:pPr>
      <w:r>
        <w:rPr>
          <w:rFonts w:ascii="Arial" w:hAnsi="Arial" w:cs="Arial" w:eastAsia="Arial"/>
          <w:b/>
          <w:color w:val="auto"/>
          <w:spacing w:val="0"/>
          <w:position w:val="0"/>
          <w:sz w:val="28"/>
          <w:shd w:fill="auto" w:val="clear"/>
        </w:rPr>
        <w:t xml:space="preserve">Module Code and Title: LCHS4008 Introduction to Public Health</w:t>
      </w:r>
    </w:p>
    <w:p>
      <w:pPr>
        <w:spacing w:before="0" w:after="0" w:line="240"/>
        <w:ind w:right="0" w:left="0" w:firstLine="0"/>
        <w:jc w:val="center"/>
        <w:rPr>
          <w:rFonts w:ascii="Arial" w:hAnsi="Arial" w:cs="Arial" w:eastAsia="Arial"/>
          <w:b/>
          <w:color w:val="auto"/>
          <w:spacing w:val="0"/>
          <w:position w:val="0"/>
          <w:sz w:val="28"/>
          <w:shd w:fill="auto" w:val="clear"/>
        </w:rPr>
      </w:pPr>
    </w:p>
    <w:p>
      <w:pPr>
        <w:spacing w:before="0" w:after="0" w:line="240"/>
        <w:ind w:right="0" w:left="0" w:firstLine="0"/>
        <w:jc w:val="center"/>
        <w:rPr>
          <w:rFonts w:ascii="Arial" w:hAnsi="Arial" w:cs="Arial" w:eastAsia="Arial"/>
          <w:b/>
          <w:color w:val="auto"/>
          <w:spacing w:val="0"/>
          <w:position w:val="0"/>
          <w:sz w:val="28"/>
          <w:shd w:fill="auto" w:val="clear"/>
        </w:rPr>
      </w:pPr>
      <w:r>
        <w:rPr>
          <w:rFonts w:ascii="Arial" w:hAnsi="Arial" w:cs="Arial" w:eastAsia="Arial"/>
          <w:b/>
          <w:color w:val="auto"/>
          <w:spacing w:val="0"/>
          <w:position w:val="0"/>
          <w:sz w:val="28"/>
          <w:shd w:fill="auto" w:val="clear"/>
        </w:rPr>
        <w:t xml:space="preserve">Assignment Tittle: Component 2: Report on a Health Issue</w:t>
      </w:r>
    </w:p>
    <w:p>
      <w:pPr>
        <w:spacing w:before="0" w:after="0" w:line="240"/>
        <w:ind w:right="0" w:left="0" w:firstLine="0"/>
        <w:jc w:val="center"/>
        <w:rPr>
          <w:rFonts w:ascii="Arial" w:hAnsi="Arial" w:cs="Arial" w:eastAsia="Arial"/>
          <w:b/>
          <w:color w:val="auto"/>
          <w:spacing w:val="0"/>
          <w:position w:val="0"/>
          <w:sz w:val="24"/>
          <w:shd w:fill="auto" w:val="clear"/>
        </w:rPr>
      </w:pPr>
    </w:p>
    <w:p>
      <w:pPr>
        <w:spacing w:before="0" w:after="0" w:line="240"/>
        <w:ind w:right="0" w:left="0" w:firstLine="0"/>
        <w:jc w:val="center"/>
        <w:rPr>
          <w:rFonts w:ascii="Arial" w:hAnsi="Arial" w:cs="Arial" w:eastAsia="Arial"/>
          <w:b/>
          <w:color w:val="auto"/>
          <w:spacing w:val="0"/>
          <w:position w:val="0"/>
          <w:sz w:val="24"/>
          <w:shd w:fill="auto" w:val="clear"/>
        </w:rPr>
      </w:pPr>
    </w:p>
    <w:p>
      <w:pPr>
        <w:spacing w:before="0" w:after="0" w:line="240"/>
        <w:ind w:right="0" w:left="0" w:firstLine="0"/>
        <w:jc w:val="center"/>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Name : Fenciuc Alin Constantin </w:t>
      </w:r>
    </w:p>
    <w:p>
      <w:pPr>
        <w:spacing w:before="0" w:after="0" w:line="240"/>
        <w:ind w:right="0" w:left="0" w:firstLine="0"/>
        <w:jc w:val="center"/>
        <w:rPr>
          <w:rFonts w:ascii="Arial" w:hAnsi="Arial" w:cs="Arial" w:eastAsia="Arial"/>
          <w:b/>
          <w:color w:val="auto"/>
          <w:spacing w:val="0"/>
          <w:position w:val="0"/>
          <w:sz w:val="24"/>
          <w:shd w:fill="auto" w:val="clear"/>
        </w:rPr>
      </w:pPr>
    </w:p>
    <w:p>
      <w:pPr>
        <w:spacing w:before="0" w:after="0" w:line="240"/>
        <w:ind w:right="0" w:left="0" w:firstLine="0"/>
        <w:jc w:val="center"/>
        <w:rPr>
          <w:rFonts w:ascii="Arial" w:hAnsi="Arial" w:cs="Arial" w:eastAsia="Arial"/>
          <w:b/>
          <w:color w:val="auto"/>
          <w:spacing w:val="0"/>
          <w:position w:val="0"/>
          <w:sz w:val="24"/>
          <w:shd w:fill="auto" w:val="clear"/>
        </w:rPr>
      </w:pPr>
    </w:p>
    <w:p>
      <w:pPr>
        <w:spacing w:before="0" w:after="0" w:line="240"/>
        <w:ind w:right="0" w:left="0" w:firstLine="0"/>
        <w:jc w:val="center"/>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Date : 18.08.2026 </w:t>
      </w:r>
    </w:p>
    <w:p>
      <w:pPr>
        <w:spacing w:before="0" w:after="0" w:line="360"/>
        <w:ind w:right="0" w:left="0" w:firstLine="0"/>
        <w:jc w:val="center"/>
        <w:rPr>
          <w:rFonts w:ascii="Arial" w:hAnsi="Arial" w:cs="Arial" w:eastAsia="Arial"/>
          <w:b/>
          <w:color w:val="auto"/>
          <w:spacing w:val="0"/>
          <w:position w:val="0"/>
          <w:sz w:val="24"/>
          <w:shd w:fill="auto" w:val="clear"/>
        </w:rPr>
      </w:pPr>
    </w:p>
    <w:p>
      <w:pPr>
        <w:spacing w:before="0" w:after="0" w:line="360"/>
        <w:ind w:right="0" w:left="0" w:firstLine="0"/>
        <w:jc w:val="center"/>
        <w:rPr>
          <w:rFonts w:ascii="Arial" w:hAnsi="Arial" w:cs="Arial" w:eastAsia="Arial"/>
          <w:b/>
          <w:color w:val="auto"/>
          <w:spacing w:val="0"/>
          <w:position w:val="0"/>
          <w:sz w:val="24"/>
          <w:shd w:fill="auto" w:val="clear"/>
        </w:rPr>
      </w:pPr>
    </w:p>
    <w:p>
      <w:pPr>
        <w:spacing w:before="0" w:after="0" w:line="360"/>
        <w:ind w:right="0" w:left="0" w:firstLine="0"/>
        <w:jc w:val="center"/>
        <w:rPr>
          <w:rFonts w:ascii="Arial" w:hAnsi="Arial" w:cs="Arial" w:eastAsia="Arial"/>
          <w:b/>
          <w:color w:val="auto"/>
          <w:spacing w:val="0"/>
          <w:position w:val="0"/>
          <w:sz w:val="24"/>
          <w:shd w:fill="auto" w:val="clear"/>
        </w:rPr>
      </w:pPr>
    </w:p>
    <w:p>
      <w:pPr>
        <w:spacing w:before="0" w:after="0" w:line="360"/>
        <w:ind w:right="0" w:left="0" w:firstLine="0"/>
        <w:jc w:val="center"/>
        <w:rPr>
          <w:rFonts w:ascii="Arial" w:hAnsi="Arial" w:cs="Arial" w:eastAsia="Arial"/>
          <w:b/>
          <w:color w:val="auto"/>
          <w:spacing w:val="0"/>
          <w:position w:val="0"/>
          <w:sz w:val="24"/>
          <w:shd w:fill="auto" w:val="clear"/>
        </w:rPr>
      </w:pPr>
    </w:p>
    <w:p>
      <w:pPr>
        <w:spacing w:before="0" w:after="0" w:line="240"/>
        <w:ind w:right="0" w:left="0" w:firstLine="0"/>
        <w:jc w:val="left"/>
        <w:rPr>
          <w:rFonts w:ascii="Arial" w:hAnsi="Arial" w:cs="Arial" w:eastAsia="Arial"/>
          <w:color w:val="auto"/>
          <w:spacing w:val="0"/>
          <w:position w:val="0"/>
          <w:sz w:val="22"/>
          <w:shd w:fill="auto" w:val="clear"/>
        </w:rPr>
      </w:pPr>
    </w:p>
    <w:p>
      <w:pPr>
        <w:spacing w:before="0" w:after="160" w:line="240"/>
        <w:ind w:right="0" w:left="0" w:firstLine="0"/>
        <w:jc w:val="left"/>
        <w:rPr>
          <w:rFonts w:ascii="Arial" w:hAnsi="Arial" w:cs="Arial" w:eastAsia="Arial"/>
          <w:b/>
          <w:color w:val="2E74B5"/>
          <w:spacing w:val="0"/>
          <w:position w:val="0"/>
          <w:sz w:val="30"/>
          <w:shd w:fill="auto" w:val="clear"/>
        </w:rPr>
      </w:pPr>
    </w:p>
    <w:p>
      <w:pPr>
        <w:spacing w:before="0" w:after="160" w:line="240"/>
        <w:ind w:right="0" w:left="0" w:firstLine="0"/>
        <w:jc w:val="left"/>
        <w:rPr>
          <w:rFonts w:ascii="Arial" w:hAnsi="Arial" w:cs="Arial" w:eastAsia="Arial"/>
          <w:b/>
          <w:color w:val="2E74B5"/>
          <w:spacing w:val="0"/>
          <w:position w:val="0"/>
          <w:sz w:val="30"/>
          <w:shd w:fill="auto" w:val="clear"/>
        </w:rPr>
      </w:pPr>
      <w:r>
        <w:rPr>
          <w:rFonts w:ascii="Arial" w:hAnsi="Arial" w:cs="Arial" w:eastAsia="Arial"/>
          <w:b/>
          <w:color w:val="2E74B5"/>
          <w:spacing w:val="0"/>
          <w:position w:val="0"/>
          <w:sz w:val="30"/>
          <w:shd w:fill="auto" w:val="clear"/>
        </w:rPr>
        <w:t xml:space="preserve">Introduction</w:t>
      </w:r>
    </w:p>
    <w:p>
      <w:pPr>
        <w:spacing w:before="0" w:after="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Coronary heart disease (CHD), or ischaemic heart disease, is caused by a narrowing of the coronary arteries that feed the heart muscle with oxygen-rich blood, or by the formation of fatty deposits in the coronary arteries, which block the arteries and stop the blood from flowing freely (Anderson et al., 2016). These include pain or discomfort in the chest (angina), shortness of breath, fatigue and, in acute cases, a heart attack, characterized by crushing pain in the chest, an arm/neck/jaw pain, sweating and nausea. The scale and severity of CHD as a health problem is underscored by the fact that globally CHD is the main single cause of death, accounting for approximately 9.1 million deaths annually and in the UK there are currently estimated 2.3 million people living with CHD.</w:t>
      </w:r>
    </w:p>
    <w:p>
      <w:pPr>
        <w:spacing w:before="240" w:after="160" w:line="240"/>
        <w:ind w:right="0" w:left="0" w:firstLine="0"/>
        <w:jc w:val="left"/>
        <w:rPr>
          <w:rFonts w:ascii="Arial" w:hAnsi="Arial" w:cs="Arial" w:eastAsia="Arial"/>
          <w:b/>
          <w:color w:val="2E74B5"/>
          <w:spacing w:val="0"/>
          <w:position w:val="0"/>
          <w:sz w:val="30"/>
          <w:shd w:fill="auto" w:val="clear"/>
        </w:rPr>
      </w:pPr>
      <w:r>
        <w:rPr>
          <w:rFonts w:ascii="Arial" w:hAnsi="Arial" w:cs="Arial" w:eastAsia="Arial"/>
          <w:b/>
          <w:color w:val="2E74B5"/>
          <w:spacing w:val="0"/>
          <w:position w:val="0"/>
          <w:sz w:val="30"/>
          <w:shd w:fill="auto" w:val="clear"/>
        </w:rPr>
        <w:t xml:space="preserve">Measuring and Monitoring Coronary Heart Disease</w:t>
      </w:r>
    </w:p>
    <w:p>
      <w:pPr>
        <w:spacing w:before="0" w:after="12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CHD is measured and monitored using epidemiological, clinical and administrative approaches. At practice level, national registers record the prevalence of people diagnosed with a condition such as the National GP register, England, which records the proportion of people who are diagnosed with the condition, and at hospital level, the number of admissions for a condition, its outcomes and complications is recorded, such as hospital episode statistics for heart attacks, and the Myocardial Ischaemia National Audit Project. The diagnosis and monitoring in the clinic uses electrocardiograms (ECGs), to look for abnormal heart rhythms, blood tests for troponin and levels of cholesterol, blood pressure (BP) measurements, and imaging studies such as coronary angiography or imaging by computed tomography (CT) for calcium. International organisations such as the World Health Organization (2025) and NHS (2024) study based on death registries and survey data, support population-level surveillance through estimation of country-level incidence and prevalence through death registration, survey data and modelling. </w:t>
      </w:r>
    </w:p>
    <w:p>
      <w:pPr>
        <w:spacing w:before="0" w:after="12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Risk-prediction tools are available in primary-care settings in the UK to calculate the ten-year risk of cardiovascular disease to enable early identification of patients who would benefit from aggressive risk reduction programs. Ambulance services and emergency departments also provide monitoring data on out of hospital cardiac arrests and time to treatment of suspected heart attacks (STs) to inform the national quality-improvement benchmarks. Further, longitudinal cohort studies e.g. Zou et al. (2021) and Ramrakha et al. (2025) studies, provide insight into changes of risk factors and disease pattern over decades in different populations, which will help in future prevention strategy. There is also the potential for earlier preventive action to be taken for people at higher cardiovascular risk to be identified through screening programmes for related conditions (e.g. diabetes and chronic kidney disease) before they develop symptoms of CHD. These surveillance and diagnostic systems enable health authorities to monitor trends over time, assess and evaluate prevention programmes and focus resources towards those populations and communities that have the highest needs.</w:t>
      </w:r>
    </w:p>
    <w:p>
      <w:pPr>
        <w:spacing w:before="240" w:after="160" w:line="240"/>
        <w:ind w:right="0" w:left="0" w:firstLine="0"/>
        <w:jc w:val="left"/>
        <w:rPr>
          <w:rFonts w:ascii="Arial" w:hAnsi="Arial" w:cs="Arial" w:eastAsia="Arial"/>
          <w:b/>
          <w:color w:val="2E74B5"/>
          <w:spacing w:val="0"/>
          <w:position w:val="0"/>
          <w:sz w:val="30"/>
          <w:shd w:fill="auto" w:val="clear"/>
        </w:rPr>
      </w:pPr>
      <w:r>
        <w:rPr>
          <w:rFonts w:ascii="Arial" w:hAnsi="Arial" w:cs="Arial" w:eastAsia="Arial"/>
          <w:b/>
          <w:color w:val="2E74B5"/>
          <w:spacing w:val="0"/>
          <w:position w:val="0"/>
          <w:sz w:val="30"/>
          <w:shd w:fill="auto" w:val="clear"/>
        </w:rPr>
        <w:t xml:space="preserve">Controlling and Managing the Disease</w:t>
      </w:r>
    </w:p>
    <w:p>
      <w:pPr>
        <w:spacing w:before="0" w:after="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Control of CHD involves individual and population control. Lifestyle modification is key at the individual level: smokeless, low fat diet, more physical exercise, less alcohol consumption and better weight control significantly reduce risk (British Heart Foundation, 2025). The huge part is medication </w:t>
      </w:r>
      <w:r>
        <w:rPr>
          <w:rFonts w:ascii="Arial" w:hAnsi="Arial" w:cs="Arial" w:eastAsia="Arial"/>
          <w:color w:val="auto"/>
          <w:spacing w:val="0"/>
          <w:position w:val="0"/>
          <w:sz w:val="22"/>
          <w:shd w:fill="auto" w:val="clear"/>
        </w:rPr>
        <w:t xml:space="preserve">–</w:t>
      </w:r>
      <w:r>
        <w:rPr>
          <w:rFonts w:ascii="Arial" w:hAnsi="Arial" w:cs="Arial" w:eastAsia="Arial"/>
          <w:color w:val="auto"/>
          <w:spacing w:val="0"/>
          <w:position w:val="0"/>
          <w:sz w:val="22"/>
          <w:shd w:fill="auto" w:val="clear"/>
        </w:rPr>
        <w:t xml:space="preserve"> statins will lower cholesterol, anti-hypertensives control blood pressure, and anti-platelet drugs like aspirin reduce the clots in the picture. In more severe disease, the blood flow to the heart muscle can be restored through medical procedures including percutaneous coronary intervention (PCI) where a balloon may be inflated in the artery and then deflated to widen it for the stent to open it up, or coronary artery bypass graft surgery (CABG), which necessitates surgical intervention. Public health measures such as smoking-cessation services, national policies on salt and sugar reductions, mass media campaigns promoting healthier behaviours and NHS Health Checks for adults aged 40-74 are public health strategies that are essential for controlling at the population level (NHS, 2024). Legislative approaches include restricting tobacco advertising, limiting trans-fat content in processed foods and introducing a sugar levy on soft drinks, among other policy directives, which can help influence the overall environment in which consumers make health decisions. Supervised exercise, education and psychological support are combined in cardiac rehabilitation programmes that help patients overcome a cardiac event, and makes a recurrence less likely</w:t>
      </w:r>
      <w:r>
        <w:rPr>
          <w:rFonts w:ascii="Arial" w:hAnsi="Arial" w:cs="Arial" w:eastAsia="Arial"/>
          <w:color w:val="auto"/>
          <w:spacing w:val="0"/>
          <w:position w:val="0"/>
          <w:sz w:val="22"/>
          <w:shd w:fill="auto" w:val="clear"/>
        </w:rPr>
        <w:t xml:space="preserve">—</w:t>
      </w:r>
      <w:r>
        <w:rPr>
          <w:rFonts w:ascii="Arial" w:hAnsi="Arial" w:cs="Arial" w:eastAsia="Arial"/>
          <w:color w:val="auto"/>
          <w:spacing w:val="0"/>
          <w:position w:val="0"/>
          <w:sz w:val="22"/>
          <w:shd w:fill="auto" w:val="clear"/>
        </w:rPr>
        <w:t xml:space="preserve">these are increasingly delivered digitally to make them more accessible for those unable to attend in person. As a whole, this multi-layered 'prevention, early detection, medication and intervention' has helped to bring about a long-term fall in death rates from CHD in the UK despite the high numbers of patients with CHD.</w:t>
      </w:r>
    </w:p>
    <w:p>
      <w:pPr>
        <w:spacing w:before="240" w:after="160" w:line="240"/>
        <w:ind w:right="0" w:left="0" w:firstLine="0"/>
        <w:jc w:val="left"/>
        <w:rPr>
          <w:rFonts w:ascii="Arial" w:hAnsi="Arial" w:cs="Arial" w:eastAsia="Arial"/>
          <w:b/>
          <w:color w:val="2E74B5"/>
          <w:spacing w:val="0"/>
          <w:position w:val="0"/>
          <w:sz w:val="30"/>
          <w:shd w:fill="auto" w:val="clear"/>
        </w:rPr>
      </w:pPr>
      <w:r>
        <w:rPr>
          <w:rFonts w:ascii="Arial" w:hAnsi="Arial" w:cs="Arial" w:eastAsia="Arial"/>
          <w:b/>
          <w:color w:val="2E74B5"/>
          <w:spacing w:val="0"/>
          <w:position w:val="0"/>
          <w:sz w:val="30"/>
          <w:shd w:fill="auto" w:val="clear"/>
        </w:rPr>
        <w:t xml:space="preserve">Consequences for Individuals and the Community</w:t>
      </w:r>
    </w:p>
    <w:p>
      <w:pPr>
        <w:spacing w:before="0" w:after="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CHD has a particularly severe physical, psychological, social and economic impact. Physically, it can lead to disability, limited exercise tolerance and death itself: while some may survive, they may suffer from chronic breathlessness or fatigue, affecting their day to day activity and independence (Libby et al., 2021). Diagnosis and recovery from this can also result in psychological issues such as anxiety, depression and fear of future cardiac events which may also decrease quality of life and interfere with recovery. Socially, the condition impacts family life, because family members may assume caring duties, and employment, where patients may have difficulties in getting back to a physically demanding job, especially for younger of working age. But CHD imposes a much higher cost on the community, both economically and in well-being terms: cardiovascular disease is estimated to cost the UK economy several billion pounds every year due to healthcare services, loss of productivity and informal carers; NHS services related to CHD cost is estimated to be billions of pounds annually. There is a distribution of burden; the prevalence and mortality for CHD are significantly higher in these more deprived communities and there are larger inequalities in diet, smoking, access to health care and living conditions (Hippisley-Cox et al., 2017). This inequity creates an additional burden on limited local healthcare resources and social support in deprived areas, compounding problems of ill health and deprivation passed down from generation to generation. The impact can also be larger as chronic diseases can cause greater pressure on ambulance crews, the emergency departments and the budget for long-term social care in the affected region.</w:t>
      </w:r>
    </w:p>
    <w:p>
      <w:pPr>
        <w:spacing w:before="240" w:after="160" w:line="240"/>
        <w:ind w:right="0" w:left="0" w:firstLine="0"/>
        <w:jc w:val="left"/>
        <w:rPr>
          <w:rFonts w:ascii="Arial" w:hAnsi="Arial" w:cs="Arial" w:eastAsia="Arial"/>
          <w:b/>
          <w:color w:val="2E74B5"/>
          <w:spacing w:val="0"/>
          <w:position w:val="0"/>
          <w:sz w:val="30"/>
          <w:shd w:fill="auto" w:val="clear"/>
        </w:rPr>
      </w:pPr>
      <w:r>
        <w:rPr>
          <w:rFonts w:ascii="Arial" w:hAnsi="Arial" w:cs="Arial" w:eastAsia="Arial"/>
          <w:b/>
          <w:color w:val="2E74B5"/>
          <w:spacing w:val="0"/>
          <w:position w:val="0"/>
          <w:sz w:val="30"/>
          <w:shd w:fill="auto" w:val="clear"/>
        </w:rPr>
        <w:t xml:space="preserve">Health and Social Care Support Services</w:t>
      </w:r>
    </w:p>
    <w:p>
      <w:pPr>
        <w:spacing w:before="0" w:after="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Coordinated health and social care support is needed to meet the needs of those impacted by CHD. Ongoing monitoring, medication reviews and referral to specialist cardiology services for diagnosis and treatment are provided by primary care teams such as GPs and Practice Nurses. Cardiac interventions like angioplasty and surgery are performed by cardiac teams in a hospital after which structured cardiac rehab is provided by physiotherapists, dietitians and exercise specialists (Anderson et al., 2016). Community nursing and district nurse services are available for those with long term symptoms in the home and counselling/mental health services for the psychological aspects of diagnosis and recovery. Social care support includes helping individuals to remain independent and maintain their quality of life (e.g. home care assistance, mobility support, support for respite care for family carers etc.), while social workers can also provide benefits advice and work with residents on adaptive home supports (Ramrakha et al., 2025). In addition to statutory provision, there are helplines, patient information and peer support groups run by charitable organisations (notably the British Heart Foundation), as well as funding for research, and local community groups may run schemes which can reduce isolation amongst patients, for example, exercise and befrienders schemes. Multidisciplinary teams that include specialists from the medical, nursing, social work and voluntary sectors can play a key role in providing holistic, person-centred care, ensuring that people with CHD have all aspects of their care (including their physical, emotional and practical needs) covered, throughout the process from initial diagnosis to long term management in the community.</w:t>
      </w:r>
    </w:p>
    <w:p>
      <w:pPr>
        <w:spacing w:before="200" w:after="80" w:line="240"/>
        <w:ind w:right="0" w:left="0" w:firstLine="0"/>
        <w:jc w:val="center"/>
        <w:rPr>
          <w:rFonts w:ascii="Arial" w:hAnsi="Arial" w:cs="Arial" w:eastAsia="Arial"/>
          <w:color w:val="auto"/>
          <w:spacing w:val="0"/>
          <w:position w:val="0"/>
          <w:sz w:val="22"/>
          <w:shd w:fill="auto" w:val="clear"/>
        </w:rPr>
      </w:pPr>
      <w:r>
        <w:object w:dxaOrig="7421" w:dyaOrig="4953">
          <v:rect xmlns:o="urn:schemas-microsoft-com:office:office" xmlns:v="urn:schemas-microsoft-com:vml" id="rectole0000000000" style="width:371.050000pt;height:247.650000pt" o:preferrelative="t" o:ole="">
            <o:lock v:ext="edit"/>
            <v:imagedata xmlns:r="http://schemas.openxmlformats.org/officeDocument/2006/relationships" r:id="docRId1" o:title=""/>
          </v:rect>
          <o:OLEObject xmlns:r="http://schemas.openxmlformats.org/officeDocument/2006/relationships" xmlns:o="urn:schemas-microsoft-com:office:office" Type="Embed" ProgID="StaticMetafile" DrawAspect="Content" ObjectID="0000000000" ShapeID="rectole0000000000" r:id="docRId0"/>
        </w:object>
      </w:r>
    </w:p>
    <w:p>
      <w:pPr>
        <w:spacing w:before="0" w:after="240" w:line="240"/>
        <w:ind w:right="0" w:left="0" w:firstLine="0"/>
        <w:jc w:val="center"/>
        <w:rPr>
          <w:rFonts w:ascii="Arial" w:hAnsi="Arial" w:cs="Arial" w:eastAsia="Arial"/>
          <w:i/>
          <w:color w:val="auto"/>
          <w:spacing w:val="0"/>
          <w:position w:val="0"/>
          <w:sz w:val="20"/>
          <w:shd w:fill="auto" w:val="clear"/>
        </w:rPr>
      </w:pPr>
      <w:r>
        <w:rPr>
          <w:rFonts w:ascii="Arial" w:hAnsi="Arial" w:cs="Arial" w:eastAsia="Arial"/>
          <w:i/>
          <w:color w:val="auto"/>
          <w:spacing w:val="0"/>
          <w:position w:val="0"/>
          <w:sz w:val="20"/>
          <w:shd w:fill="auto" w:val="clear"/>
        </w:rPr>
        <w:t xml:space="preserve">Figure 1: Scale of cardiovascular disease (CVD) and coronary heart disease (CHD), global vs UK (Source: World Health Organization, 2025; NHS, 2024) </w:t>
      </w:r>
    </w:p>
    <w:p>
      <w:pPr>
        <w:spacing w:before="80" w:after="120" w:line="240"/>
        <w:ind w:right="0" w:left="0" w:firstLine="0"/>
        <w:jc w:val="left"/>
        <w:rPr>
          <w:rFonts w:ascii="Arial" w:hAnsi="Arial" w:cs="Arial" w:eastAsia="Arial"/>
          <w:color w:val="auto"/>
          <w:spacing w:val="0"/>
          <w:position w:val="0"/>
          <w:sz w:val="24"/>
          <w:shd w:fill="auto" w:val="clear"/>
        </w:rPr>
      </w:pPr>
      <w:r>
        <w:rPr>
          <w:rFonts w:ascii="Arial" w:hAnsi="Arial" w:cs="Arial" w:eastAsia="Arial"/>
          <w:i/>
          <w:color w:val="auto"/>
          <w:spacing w:val="0"/>
          <w:position w:val="0"/>
          <w:sz w:val="20"/>
          <w:shd w:fill="auto" w:val="clear"/>
        </w:rPr>
        <w:t xml:space="preserve">Table 1: Summary of CHD incidence and mortality, worldwide and UK (Source: World Health Organization, 2025; British Heart Foundation, 2025)</w:t>
      </w:r>
    </w:p>
    <w:tbl>
      <w:tblPr/>
      <w:tblGrid>
        <w:gridCol w:w="2605"/>
        <w:gridCol w:w="3240"/>
        <w:gridCol w:w="3155"/>
      </w:tblGrid>
      <w:tr>
        <w:trPr>
          <w:trHeight w:val="1" w:hRule="atLeast"/>
          <w:jc w:val="center"/>
        </w:trPr>
        <w:tc>
          <w:tcPr>
            <w:tcW w:w="2605" w:type="dxa"/>
            <w:tcBorders>
              <w:top w:val="single" w:color="000000" w:sz="4"/>
              <w:left w:val="single" w:color="000000" w:sz="4"/>
              <w:bottom w:val="single" w:color="000000" w:sz="4"/>
              <w:right w:val="single" w:color="000000" w:sz="4"/>
            </w:tcBorders>
            <w:shd w:color="auto" w:fill="8b2e2e" w:val="clear"/>
            <w:tcMar>
              <w:left w:w="10" w:type="dxa"/>
              <w:right w:w="10" w:type="dxa"/>
            </w:tcMar>
            <w:vAlign w:val="top"/>
          </w:tcPr>
          <w:p>
            <w:pPr>
              <w:spacing w:before="0" w:after="0" w:line="240"/>
              <w:ind w:right="0" w:left="0" w:firstLine="0"/>
              <w:jc w:val="left"/>
              <w:rPr>
                <w:spacing w:val="0"/>
                <w:position w:val="0"/>
                <w:shd w:fill="auto" w:val="clear"/>
              </w:rPr>
            </w:pPr>
            <w:r>
              <w:rPr>
                <w:rFonts w:ascii="Arial" w:hAnsi="Arial" w:cs="Arial" w:eastAsia="Arial"/>
                <w:b/>
                <w:color w:val="FFFFFF"/>
                <w:spacing w:val="0"/>
                <w:position w:val="0"/>
                <w:sz w:val="20"/>
                <w:shd w:fill="auto" w:val="clear"/>
              </w:rPr>
              <w:t xml:space="preserve">Measure</w:t>
            </w:r>
          </w:p>
        </w:tc>
        <w:tc>
          <w:tcPr>
            <w:tcW w:w="3240" w:type="dxa"/>
            <w:tcBorders>
              <w:top w:val="single" w:color="000000" w:sz="4"/>
              <w:left w:val="single" w:color="000000" w:sz="4"/>
              <w:bottom w:val="single" w:color="000000" w:sz="4"/>
              <w:right w:val="single" w:color="000000" w:sz="4"/>
            </w:tcBorders>
            <w:shd w:color="auto" w:fill="8b2e2e" w:val="clear"/>
            <w:tcMar>
              <w:left w:w="10" w:type="dxa"/>
              <w:right w:w="10" w:type="dxa"/>
            </w:tcMar>
            <w:vAlign w:val="top"/>
          </w:tcPr>
          <w:p>
            <w:pPr>
              <w:spacing w:before="0" w:after="0" w:line="240"/>
              <w:ind w:right="0" w:left="0" w:firstLine="0"/>
              <w:jc w:val="left"/>
              <w:rPr>
                <w:spacing w:val="0"/>
                <w:position w:val="0"/>
                <w:shd w:fill="auto" w:val="clear"/>
              </w:rPr>
            </w:pPr>
            <w:r>
              <w:rPr>
                <w:rFonts w:ascii="Arial" w:hAnsi="Arial" w:cs="Arial" w:eastAsia="Arial"/>
                <w:b/>
                <w:color w:val="FFFFFF"/>
                <w:spacing w:val="0"/>
                <w:position w:val="0"/>
                <w:sz w:val="20"/>
                <w:shd w:fill="auto" w:val="clear"/>
              </w:rPr>
              <w:t xml:space="preserve">Worldwide</w:t>
            </w:r>
          </w:p>
        </w:tc>
        <w:tc>
          <w:tcPr>
            <w:tcW w:w="3155" w:type="dxa"/>
            <w:tcBorders>
              <w:top w:val="single" w:color="000000" w:sz="4"/>
              <w:left w:val="single" w:color="000000" w:sz="4"/>
              <w:bottom w:val="single" w:color="000000" w:sz="4"/>
              <w:right w:val="single" w:color="000000" w:sz="4"/>
            </w:tcBorders>
            <w:shd w:color="auto" w:fill="8b2e2e" w:val="clear"/>
            <w:tcMar>
              <w:left w:w="10" w:type="dxa"/>
              <w:right w:w="10" w:type="dxa"/>
            </w:tcMar>
            <w:vAlign w:val="top"/>
          </w:tcPr>
          <w:p>
            <w:pPr>
              <w:spacing w:before="0" w:after="0" w:line="240"/>
              <w:ind w:right="0" w:left="0" w:firstLine="0"/>
              <w:jc w:val="left"/>
              <w:rPr>
                <w:spacing w:val="0"/>
                <w:position w:val="0"/>
                <w:shd w:fill="auto" w:val="clear"/>
              </w:rPr>
            </w:pPr>
            <w:r>
              <w:rPr>
                <w:rFonts w:ascii="Arial" w:hAnsi="Arial" w:cs="Arial" w:eastAsia="Arial"/>
                <w:b/>
                <w:color w:val="FFFFFF"/>
                <w:spacing w:val="0"/>
                <w:position w:val="0"/>
                <w:sz w:val="20"/>
                <w:shd w:fill="auto" w:val="clear"/>
              </w:rPr>
              <w:t xml:space="preserve">United Kingdom</w:t>
            </w:r>
          </w:p>
        </w:tc>
      </w:tr>
      <w:tr>
        <w:trPr>
          <w:trHeight w:val="1" w:hRule="atLeast"/>
          <w:jc w:val="center"/>
        </w:trPr>
        <w:tc>
          <w:tcPr>
            <w:tcW w:w="2605" w:type="dxa"/>
            <w:tcBorders>
              <w:top w:val="single" w:color="000000" w:sz="4"/>
              <w:left w:val="single" w:color="000000" w:sz="4"/>
              <w:bottom w:val="single" w:color="000000" w:sz="4"/>
              <w:right w:val="single" w:color="000000" w:sz="4"/>
            </w:tcBorders>
            <w:shd w:color="000000" w:fill="ffffff" w:val="clear"/>
            <w:tcMar>
              <w:left w:w="10" w:type="dxa"/>
              <w:right w:w="10" w:type="dxa"/>
            </w:tcMar>
            <w:vAlign w:val="top"/>
          </w:tcPr>
          <w:p>
            <w:pPr>
              <w:spacing w:before="0" w:after="0" w:line="240"/>
              <w:ind w:right="0" w:left="0" w:firstLine="0"/>
              <w:jc w:val="left"/>
              <w:rPr>
                <w:spacing w:val="0"/>
                <w:position w:val="0"/>
                <w:shd w:fill="auto" w:val="clear"/>
              </w:rPr>
            </w:pPr>
            <w:r>
              <w:rPr>
                <w:rFonts w:ascii="Arial" w:hAnsi="Arial" w:cs="Arial" w:eastAsia="Arial"/>
                <w:color w:val="000000"/>
                <w:spacing w:val="0"/>
                <w:position w:val="0"/>
                <w:sz w:val="20"/>
                <w:shd w:fill="auto" w:val="clear"/>
              </w:rPr>
              <w:t xml:space="preserve">People affected / prevalence</w:t>
            </w:r>
          </w:p>
        </w:tc>
        <w:tc>
          <w:tcPr>
            <w:tcW w:w="3240" w:type="dxa"/>
            <w:tcBorders>
              <w:top w:val="single" w:color="000000" w:sz="4"/>
              <w:left w:val="single" w:color="000000" w:sz="4"/>
              <w:bottom w:val="single" w:color="000000" w:sz="4"/>
              <w:right w:val="single" w:color="000000" w:sz="4"/>
            </w:tcBorders>
            <w:shd w:color="000000" w:fill="ffffff" w:val="clear"/>
            <w:tcMar>
              <w:left w:w="10" w:type="dxa"/>
              <w:right w:w="10" w:type="dxa"/>
            </w:tcMar>
            <w:vAlign w:val="top"/>
          </w:tcPr>
          <w:p>
            <w:pPr>
              <w:spacing w:before="0" w:after="0" w:line="240"/>
              <w:ind w:right="0" w:left="0" w:firstLine="0"/>
              <w:jc w:val="left"/>
              <w:rPr>
                <w:spacing w:val="0"/>
                <w:position w:val="0"/>
                <w:shd w:fill="auto" w:val="clear"/>
              </w:rPr>
            </w:pPr>
            <w:r>
              <w:rPr>
                <w:rFonts w:ascii="Arial" w:hAnsi="Arial" w:cs="Arial" w:eastAsia="Arial"/>
                <w:color w:val="000000"/>
                <w:spacing w:val="0"/>
                <w:position w:val="0"/>
                <w:sz w:val="20"/>
                <w:shd w:fill="auto" w:val="clear"/>
              </w:rPr>
              <w:t xml:space="preserve">~197 million with CHD (2021 est.)</w:t>
            </w:r>
          </w:p>
        </w:tc>
        <w:tc>
          <w:tcPr>
            <w:tcW w:w="3155" w:type="dxa"/>
            <w:tcBorders>
              <w:top w:val="single" w:color="000000" w:sz="4"/>
              <w:left w:val="single" w:color="000000" w:sz="4"/>
              <w:bottom w:val="single" w:color="000000" w:sz="4"/>
              <w:right w:val="single" w:color="000000" w:sz="4"/>
            </w:tcBorders>
            <w:shd w:color="000000" w:fill="ffffff" w:val="clear"/>
            <w:tcMar>
              <w:left w:w="10" w:type="dxa"/>
              <w:right w:w="10" w:type="dxa"/>
            </w:tcMar>
            <w:vAlign w:val="top"/>
          </w:tcPr>
          <w:p>
            <w:pPr>
              <w:spacing w:before="0" w:after="0" w:line="240"/>
              <w:ind w:right="0" w:left="0" w:firstLine="0"/>
              <w:jc w:val="left"/>
              <w:rPr>
                <w:spacing w:val="0"/>
                <w:position w:val="0"/>
                <w:shd w:fill="auto" w:val="clear"/>
              </w:rPr>
            </w:pPr>
            <w:r>
              <w:rPr>
                <w:rFonts w:ascii="Arial" w:hAnsi="Arial" w:cs="Arial" w:eastAsia="Arial"/>
                <w:color w:val="000000"/>
                <w:spacing w:val="0"/>
                <w:position w:val="0"/>
                <w:sz w:val="20"/>
                <w:shd w:fill="auto" w:val="clear"/>
              </w:rPr>
              <w:t xml:space="preserve">~2.3 million living with CHD</w:t>
            </w:r>
          </w:p>
        </w:tc>
      </w:tr>
      <w:tr>
        <w:trPr>
          <w:trHeight w:val="1" w:hRule="atLeast"/>
          <w:jc w:val="center"/>
        </w:trPr>
        <w:tc>
          <w:tcPr>
            <w:tcW w:w="2605" w:type="dxa"/>
            <w:tcBorders>
              <w:top w:val="single" w:color="000000" w:sz="4"/>
              <w:left w:val="single" w:color="000000" w:sz="4"/>
              <w:bottom w:val="single" w:color="000000" w:sz="4"/>
              <w:right w:val="single" w:color="000000" w:sz="4"/>
            </w:tcBorders>
            <w:shd w:color="000000" w:fill="ffffff" w:val="clear"/>
            <w:tcMar>
              <w:left w:w="10" w:type="dxa"/>
              <w:right w:w="10" w:type="dxa"/>
            </w:tcMar>
            <w:vAlign w:val="top"/>
          </w:tcPr>
          <w:p>
            <w:pPr>
              <w:spacing w:before="0" w:after="0" w:line="240"/>
              <w:ind w:right="0" w:left="0" w:firstLine="0"/>
              <w:jc w:val="left"/>
              <w:rPr>
                <w:spacing w:val="0"/>
                <w:position w:val="0"/>
                <w:shd w:fill="auto" w:val="clear"/>
              </w:rPr>
            </w:pPr>
            <w:r>
              <w:rPr>
                <w:rFonts w:ascii="Arial" w:hAnsi="Arial" w:cs="Arial" w:eastAsia="Arial"/>
                <w:color w:val="000000"/>
                <w:spacing w:val="0"/>
                <w:position w:val="0"/>
                <w:sz w:val="20"/>
                <w:shd w:fill="auto" w:val="clear"/>
              </w:rPr>
              <w:t xml:space="preserve">Annual deaths</w:t>
            </w:r>
          </w:p>
        </w:tc>
        <w:tc>
          <w:tcPr>
            <w:tcW w:w="3240" w:type="dxa"/>
            <w:tcBorders>
              <w:top w:val="single" w:color="000000" w:sz="4"/>
              <w:left w:val="single" w:color="000000" w:sz="4"/>
              <w:bottom w:val="single" w:color="000000" w:sz="4"/>
              <w:right w:val="single" w:color="000000" w:sz="4"/>
            </w:tcBorders>
            <w:shd w:color="000000" w:fill="ffffff" w:val="clear"/>
            <w:tcMar>
              <w:left w:w="10" w:type="dxa"/>
              <w:right w:w="10" w:type="dxa"/>
            </w:tcMar>
            <w:vAlign w:val="top"/>
          </w:tcPr>
          <w:p>
            <w:pPr>
              <w:spacing w:before="0" w:after="0" w:line="240"/>
              <w:ind w:right="0" w:left="0" w:firstLine="0"/>
              <w:jc w:val="left"/>
              <w:rPr>
                <w:spacing w:val="0"/>
                <w:position w:val="0"/>
                <w:shd w:fill="auto" w:val="clear"/>
              </w:rPr>
            </w:pPr>
            <w:r>
              <w:rPr>
                <w:rFonts w:ascii="Arial" w:hAnsi="Arial" w:cs="Arial" w:eastAsia="Arial"/>
                <w:color w:val="000000"/>
                <w:spacing w:val="0"/>
                <w:position w:val="0"/>
                <w:sz w:val="20"/>
                <w:shd w:fill="auto" w:val="clear"/>
              </w:rPr>
              <w:t xml:space="preserve">~9.1 million</w:t>
            </w:r>
          </w:p>
        </w:tc>
        <w:tc>
          <w:tcPr>
            <w:tcW w:w="3155" w:type="dxa"/>
            <w:tcBorders>
              <w:top w:val="single" w:color="000000" w:sz="4"/>
              <w:left w:val="single" w:color="000000" w:sz="4"/>
              <w:bottom w:val="single" w:color="000000" w:sz="4"/>
              <w:right w:val="single" w:color="000000" w:sz="4"/>
            </w:tcBorders>
            <w:shd w:color="000000" w:fill="ffffff" w:val="clear"/>
            <w:tcMar>
              <w:left w:w="10" w:type="dxa"/>
              <w:right w:w="10" w:type="dxa"/>
            </w:tcMar>
            <w:vAlign w:val="top"/>
          </w:tcPr>
          <w:p>
            <w:pPr>
              <w:spacing w:before="0" w:after="0" w:line="240"/>
              <w:ind w:right="0" w:left="0" w:firstLine="0"/>
              <w:jc w:val="left"/>
              <w:rPr>
                <w:spacing w:val="0"/>
                <w:position w:val="0"/>
                <w:shd w:fill="auto" w:val="clear"/>
              </w:rPr>
            </w:pPr>
            <w:r>
              <w:rPr>
                <w:rFonts w:ascii="Arial" w:hAnsi="Arial" w:cs="Arial" w:eastAsia="Arial"/>
                <w:color w:val="000000"/>
                <w:spacing w:val="0"/>
                <w:position w:val="0"/>
                <w:sz w:val="20"/>
                <w:shd w:fill="auto" w:val="clear"/>
              </w:rPr>
              <w:t xml:space="preserve">~64,000</w:t>
            </w:r>
          </w:p>
        </w:tc>
      </w:tr>
      <w:tr>
        <w:trPr>
          <w:trHeight w:val="1" w:hRule="atLeast"/>
          <w:jc w:val="center"/>
        </w:trPr>
        <w:tc>
          <w:tcPr>
            <w:tcW w:w="2605" w:type="dxa"/>
            <w:tcBorders>
              <w:top w:val="single" w:color="000000" w:sz="4"/>
              <w:left w:val="single" w:color="000000" w:sz="4"/>
              <w:bottom w:val="single" w:color="000000" w:sz="4"/>
              <w:right w:val="single" w:color="000000" w:sz="4"/>
            </w:tcBorders>
            <w:shd w:color="000000" w:fill="ffffff" w:val="clear"/>
            <w:tcMar>
              <w:left w:w="10" w:type="dxa"/>
              <w:right w:w="10" w:type="dxa"/>
            </w:tcMar>
            <w:vAlign w:val="top"/>
          </w:tcPr>
          <w:p>
            <w:pPr>
              <w:spacing w:before="0" w:after="0" w:line="240"/>
              <w:ind w:right="0" w:left="0" w:firstLine="0"/>
              <w:jc w:val="left"/>
              <w:rPr>
                <w:spacing w:val="0"/>
                <w:position w:val="0"/>
                <w:shd w:fill="auto" w:val="clear"/>
              </w:rPr>
            </w:pPr>
            <w:r>
              <w:rPr>
                <w:rFonts w:ascii="Arial" w:hAnsi="Arial" w:cs="Arial" w:eastAsia="Arial"/>
                <w:color w:val="000000"/>
                <w:spacing w:val="0"/>
                <w:position w:val="0"/>
                <w:sz w:val="20"/>
                <w:shd w:fill="auto" w:val="clear"/>
              </w:rPr>
              <w:t xml:space="preserve">Rank as cause of death</w:t>
            </w:r>
          </w:p>
        </w:tc>
        <w:tc>
          <w:tcPr>
            <w:tcW w:w="3240" w:type="dxa"/>
            <w:tcBorders>
              <w:top w:val="single" w:color="000000" w:sz="4"/>
              <w:left w:val="single" w:color="000000" w:sz="4"/>
              <w:bottom w:val="single" w:color="000000" w:sz="4"/>
              <w:right w:val="single" w:color="000000" w:sz="4"/>
            </w:tcBorders>
            <w:shd w:color="000000" w:fill="ffffff" w:val="clear"/>
            <w:tcMar>
              <w:left w:w="10" w:type="dxa"/>
              <w:right w:w="10" w:type="dxa"/>
            </w:tcMar>
            <w:vAlign w:val="top"/>
          </w:tcPr>
          <w:p>
            <w:pPr>
              <w:spacing w:before="0" w:after="0" w:line="240"/>
              <w:ind w:right="0" w:left="0" w:firstLine="0"/>
              <w:jc w:val="left"/>
              <w:rPr>
                <w:spacing w:val="0"/>
                <w:position w:val="0"/>
                <w:shd w:fill="auto" w:val="clear"/>
              </w:rPr>
            </w:pPr>
            <w:r>
              <w:rPr>
                <w:rFonts w:ascii="Arial" w:hAnsi="Arial" w:cs="Arial" w:eastAsia="Arial"/>
                <w:color w:val="000000"/>
                <w:spacing w:val="0"/>
                <w:position w:val="0"/>
                <w:sz w:val="20"/>
                <w:shd w:fill="auto" w:val="clear"/>
              </w:rPr>
              <w:t xml:space="preserve">1st (single leading cause)</w:t>
            </w:r>
          </w:p>
        </w:tc>
        <w:tc>
          <w:tcPr>
            <w:tcW w:w="3155" w:type="dxa"/>
            <w:tcBorders>
              <w:top w:val="single" w:color="000000" w:sz="4"/>
              <w:left w:val="single" w:color="000000" w:sz="4"/>
              <w:bottom w:val="single" w:color="000000" w:sz="4"/>
              <w:right w:val="single" w:color="000000" w:sz="4"/>
            </w:tcBorders>
            <w:shd w:color="000000" w:fill="ffffff" w:val="clear"/>
            <w:tcMar>
              <w:left w:w="10" w:type="dxa"/>
              <w:right w:w="10" w:type="dxa"/>
            </w:tcMar>
            <w:vAlign w:val="top"/>
          </w:tcPr>
          <w:p>
            <w:pPr>
              <w:spacing w:before="0" w:after="0" w:line="240"/>
              <w:ind w:right="0" w:left="0" w:firstLine="0"/>
              <w:jc w:val="left"/>
              <w:rPr>
                <w:spacing w:val="0"/>
                <w:position w:val="0"/>
                <w:shd w:fill="auto" w:val="clear"/>
              </w:rPr>
            </w:pPr>
            <w:r>
              <w:rPr>
                <w:rFonts w:ascii="Arial" w:hAnsi="Arial" w:cs="Arial" w:eastAsia="Arial"/>
                <w:color w:val="000000"/>
                <w:spacing w:val="0"/>
                <w:position w:val="0"/>
                <w:sz w:val="20"/>
                <w:shd w:fill="auto" w:val="clear"/>
              </w:rPr>
              <w:t xml:space="preserve">2nd (after all cancers combined)</w:t>
            </w:r>
          </w:p>
        </w:tc>
      </w:tr>
    </w:tbl>
    <w:p>
      <w:pPr>
        <w:spacing w:before="200" w:after="80" w:line="240"/>
        <w:ind w:right="0" w:left="0" w:firstLine="0"/>
        <w:jc w:val="center"/>
        <w:rPr>
          <w:rFonts w:ascii="Arial" w:hAnsi="Arial" w:cs="Arial" w:eastAsia="Arial"/>
          <w:color w:val="auto"/>
          <w:spacing w:val="0"/>
          <w:position w:val="0"/>
          <w:sz w:val="22"/>
          <w:shd w:fill="auto" w:val="clear"/>
        </w:rPr>
      </w:pPr>
      <w:r>
        <w:object w:dxaOrig="5990" w:dyaOrig="5438">
          <v:rect xmlns:o="urn:schemas-microsoft-com:office:office" xmlns:v="urn:schemas-microsoft-com:vml" id="rectole0000000001" style="width:299.500000pt;height:271.900000pt" o:preferrelative="t" o:ole="">
            <o:lock v:ext="edit"/>
            <v:imagedata xmlns:r="http://schemas.openxmlformats.org/officeDocument/2006/relationships" r:id="docRId3" o:title=""/>
          </v:rect>
          <o:OLEObject xmlns:r="http://schemas.openxmlformats.org/officeDocument/2006/relationships" xmlns:o="urn:schemas-microsoft-com:office:office" Type="Embed" ProgID="StaticMetafile" DrawAspect="Content" ObjectID="0000000001" ShapeID="rectole0000000001" r:id="docRId2"/>
        </w:object>
      </w:r>
    </w:p>
    <w:p>
      <w:pPr>
        <w:spacing w:before="0" w:after="240" w:line="240"/>
        <w:ind w:right="0" w:left="0" w:firstLine="0"/>
        <w:jc w:val="center"/>
        <w:rPr>
          <w:rFonts w:ascii="Arial" w:hAnsi="Arial" w:cs="Arial" w:eastAsia="Arial"/>
          <w:color w:val="auto"/>
          <w:spacing w:val="0"/>
          <w:position w:val="0"/>
          <w:sz w:val="24"/>
          <w:shd w:fill="auto" w:val="clear"/>
        </w:rPr>
      </w:pPr>
      <w:r>
        <w:rPr>
          <w:rFonts w:ascii="Arial" w:hAnsi="Arial" w:cs="Arial" w:eastAsia="Arial"/>
          <w:i/>
          <w:color w:val="auto"/>
          <w:spacing w:val="0"/>
          <w:position w:val="0"/>
          <w:sz w:val="20"/>
          <w:shd w:fill="auto" w:val="clear"/>
        </w:rPr>
        <w:t xml:space="preserve">Figure 2: Approximate contribution of modifiable risk factors to CHD (Source: NHS, 2024) </w:t>
      </w:r>
    </w:p>
    <w:p>
      <w:pPr>
        <w:spacing w:before="240" w:after="160" w:line="240"/>
        <w:ind w:right="0" w:left="0" w:firstLine="0"/>
        <w:jc w:val="left"/>
        <w:rPr>
          <w:rFonts w:ascii="Arial" w:hAnsi="Arial" w:cs="Arial" w:eastAsia="Arial"/>
          <w:b/>
          <w:color w:val="2E74B5"/>
          <w:spacing w:val="0"/>
          <w:position w:val="0"/>
          <w:sz w:val="30"/>
          <w:shd w:fill="auto" w:val="clear"/>
        </w:rPr>
      </w:pPr>
      <w:r>
        <w:rPr>
          <w:rFonts w:ascii="Arial" w:hAnsi="Arial" w:cs="Arial" w:eastAsia="Arial"/>
          <w:b/>
          <w:color w:val="2E74B5"/>
          <w:spacing w:val="0"/>
          <w:position w:val="0"/>
          <w:sz w:val="30"/>
          <w:shd w:fill="auto" w:val="clear"/>
        </w:rPr>
        <w:t xml:space="preserve">Conclusion</w:t>
      </w:r>
    </w:p>
    <w:p>
      <w:pPr>
        <w:spacing w:before="0" w:after="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In conclusion, CHD is one of the major causes of death and disability in the UK and throughout much of the world, and there are many preventable risk factors for it that include inactivity, poor diet and smoking. Though death rates fell over the last decades thanks to good surveillance, risk assessment and lifestyle modification, medication and surgery, the condition is still a burden for individuals as well as for communities</w:t>
      </w:r>
      <w:r>
        <w:rPr>
          <w:rFonts w:ascii="Arial" w:hAnsi="Arial" w:cs="Arial" w:eastAsia="Arial"/>
          <w:color w:val="auto"/>
          <w:spacing w:val="0"/>
          <w:position w:val="0"/>
          <w:sz w:val="22"/>
          <w:shd w:fill="auto" w:val="clear"/>
        </w:rPr>
        <w:t xml:space="preserve">—</w:t>
      </w:r>
      <w:r>
        <w:rPr>
          <w:rFonts w:ascii="Arial" w:hAnsi="Arial" w:cs="Arial" w:eastAsia="Arial"/>
          <w:color w:val="auto"/>
          <w:spacing w:val="0"/>
          <w:position w:val="0"/>
          <w:sz w:val="22"/>
          <w:shd w:fill="auto" w:val="clear"/>
        </w:rPr>
        <w:t xml:space="preserve">physically, psychologically and economically, particularly in deprived areas. A 'whole-person' approach to coordinated health and social care support from primary care onward, including specialist services, rehabilitation and charitable organizations is key to meeting patients' needs and to lowering the burden of this disease going forward.</w:t>
      </w:r>
    </w:p>
    <w:p>
      <w:pPr>
        <w:spacing w:before="0" w:after="0" w:line="360"/>
        <w:ind w:right="0" w:left="0" w:firstLine="0"/>
        <w:jc w:val="both"/>
        <w:rPr>
          <w:rFonts w:ascii="Arial" w:hAnsi="Arial" w:cs="Arial" w:eastAsia="Arial"/>
          <w:color w:val="auto"/>
          <w:spacing w:val="0"/>
          <w:position w:val="0"/>
          <w:sz w:val="22"/>
          <w:shd w:fill="auto" w:val="clear"/>
        </w:rPr>
      </w:pPr>
    </w:p>
    <w:p>
      <w:pPr>
        <w:spacing w:before="0" w:after="0" w:line="360"/>
        <w:ind w:right="0" w:left="0" w:firstLine="0"/>
        <w:jc w:val="both"/>
        <w:rPr>
          <w:rFonts w:ascii="Arial" w:hAnsi="Arial" w:cs="Arial" w:eastAsia="Arial"/>
          <w:color w:val="auto"/>
          <w:spacing w:val="0"/>
          <w:position w:val="0"/>
          <w:sz w:val="22"/>
          <w:shd w:fill="auto" w:val="clear"/>
        </w:rPr>
      </w:pPr>
    </w:p>
    <w:p>
      <w:pPr>
        <w:spacing w:before="0" w:after="0" w:line="360"/>
        <w:ind w:right="0" w:left="0" w:firstLine="0"/>
        <w:jc w:val="both"/>
        <w:rPr>
          <w:rFonts w:ascii="Arial" w:hAnsi="Arial" w:cs="Arial" w:eastAsia="Arial"/>
          <w:color w:val="auto"/>
          <w:spacing w:val="0"/>
          <w:position w:val="0"/>
          <w:sz w:val="22"/>
          <w:shd w:fill="auto" w:val="clear"/>
        </w:rPr>
      </w:pPr>
    </w:p>
    <w:p>
      <w:pPr>
        <w:spacing w:before="0" w:after="0" w:line="360"/>
        <w:ind w:right="0" w:left="0" w:firstLine="0"/>
        <w:jc w:val="both"/>
        <w:rPr>
          <w:rFonts w:ascii="Arial" w:hAnsi="Arial" w:cs="Arial" w:eastAsia="Arial"/>
          <w:color w:val="auto"/>
          <w:spacing w:val="0"/>
          <w:position w:val="0"/>
          <w:sz w:val="22"/>
          <w:shd w:fill="auto" w:val="clear"/>
        </w:rPr>
      </w:pPr>
    </w:p>
    <w:p>
      <w:pPr>
        <w:spacing w:before="0" w:after="0" w:line="360"/>
        <w:ind w:right="0" w:left="0" w:firstLine="0"/>
        <w:jc w:val="both"/>
        <w:rPr>
          <w:rFonts w:ascii="Arial" w:hAnsi="Arial" w:cs="Arial" w:eastAsia="Arial"/>
          <w:color w:val="auto"/>
          <w:spacing w:val="0"/>
          <w:position w:val="0"/>
          <w:sz w:val="22"/>
          <w:shd w:fill="auto" w:val="clear"/>
        </w:rPr>
      </w:pPr>
    </w:p>
    <w:p>
      <w:pPr>
        <w:spacing w:before="0" w:after="0" w:line="360"/>
        <w:ind w:right="0" w:left="0" w:firstLine="0"/>
        <w:jc w:val="both"/>
        <w:rPr>
          <w:rFonts w:ascii="Arial" w:hAnsi="Arial" w:cs="Arial" w:eastAsia="Arial"/>
          <w:color w:val="auto"/>
          <w:spacing w:val="0"/>
          <w:position w:val="0"/>
          <w:sz w:val="22"/>
          <w:shd w:fill="auto" w:val="clear"/>
        </w:rPr>
      </w:pPr>
    </w:p>
    <w:p>
      <w:pPr>
        <w:spacing w:before="0" w:after="0" w:line="360"/>
        <w:ind w:right="0" w:left="0" w:firstLine="0"/>
        <w:jc w:val="both"/>
        <w:rPr>
          <w:rFonts w:ascii="Arial" w:hAnsi="Arial" w:cs="Arial" w:eastAsia="Arial"/>
          <w:color w:val="auto"/>
          <w:spacing w:val="0"/>
          <w:position w:val="0"/>
          <w:sz w:val="22"/>
          <w:shd w:fill="auto" w:val="clear"/>
        </w:rPr>
      </w:pPr>
    </w:p>
    <w:p>
      <w:pPr>
        <w:spacing w:before="0" w:after="160" w:line="240"/>
        <w:ind w:right="0" w:left="0" w:firstLine="0"/>
        <w:jc w:val="both"/>
        <w:rPr>
          <w:rFonts w:ascii="Arial" w:hAnsi="Arial" w:cs="Arial" w:eastAsia="Arial"/>
          <w:color w:val="auto"/>
          <w:spacing w:val="0"/>
          <w:position w:val="0"/>
          <w:sz w:val="22"/>
          <w:shd w:fill="auto" w:val="clear"/>
        </w:rPr>
      </w:pPr>
    </w:p>
    <w:p>
      <w:pPr>
        <w:spacing w:before="0" w:after="160" w:line="240"/>
        <w:ind w:right="0" w:left="0" w:firstLine="0"/>
        <w:jc w:val="left"/>
        <w:rPr>
          <w:rFonts w:ascii="Arial" w:hAnsi="Arial" w:cs="Arial" w:eastAsia="Arial"/>
          <w:b/>
          <w:color w:val="2E74B5"/>
          <w:spacing w:val="0"/>
          <w:position w:val="0"/>
          <w:sz w:val="30"/>
          <w:shd w:fill="auto" w:val="clear"/>
        </w:rPr>
      </w:pPr>
      <w:r>
        <w:rPr>
          <w:rFonts w:ascii="Arial" w:hAnsi="Arial" w:cs="Arial" w:eastAsia="Arial"/>
          <w:b/>
          <w:color w:val="2E74B5"/>
          <w:spacing w:val="0"/>
          <w:position w:val="0"/>
          <w:sz w:val="30"/>
          <w:shd w:fill="auto" w:val="clear"/>
        </w:rPr>
        <w:t xml:space="preserve">References</w:t>
      </w:r>
    </w:p>
    <w:p>
      <w:pPr>
        <w:spacing w:before="100" w:after="100" w:line="360"/>
        <w:ind w:right="0" w:left="720" w:hanging="72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Anderson, L., Oldridge, N., Thompson, D.R., Zwisler, A-D., Rees, K., Martin, N. and Taylor, R.S. (2016) ‘Exercise-based cardiac rehabilitation for coronary heart disease: Cochrane systematic review and meta-analysis’, </w:t>
      </w:r>
      <w:r>
        <w:rPr>
          <w:rFonts w:ascii="Arial" w:hAnsi="Arial" w:cs="Arial" w:eastAsia="Arial"/>
          <w:i/>
          <w:color w:val="auto"/>
          <w:spacing w:val="0"/>
          <w:position w:val="0"/>
          <w:sz w:val="22"/>
          <w:shd w:fill="auto" w:val="clear"/>
        </w:rPr>
        <w:t xml:space="preserve">Journal of the American College of Cardiology</w:t>
      </w:r>
      <w:r>
        <w:rPr>
          <w:rFonts w:ascii="Arial" w:hAnsi="Arial" w:cs="Arial" w:eastAsia="Arial"/>
          <w:color w:val="auto"/>
          <w:spacing w:val="0"/>
          <w:position w:val="0"/>
          <w:sz w:val="22"/>
          <w:shd w:fill="auto" w:val="clear"/>
        </w:rPr>
        <w:t xml:space="preserve">, 67(1), pp. 1</w:t>
      </w:r>
      <w:r>
        <w:rPr>
          <w:rFonts w:ascii="Arial" w:hAnsi="Arial" w:cs="Arial" w:eastAsia="Arial"/>
          <w:color w:val="auto"/>
          <w:spacing w:val="0"/>
          <w:position w:val="0"/>
          <w:sz w:val="22"/>
          <w:shd w:fill="auto" w:val="clear"/>
        </w:rPr>
        <w:t xml:space="preserve">–</w:t>
      </w:r>
      <w:r>
        <w:rPr>
          <w:rFonts w:ascii="Arial" w:hAnsi="Arial" w:cs="Arial" w:eastAsia="Arial"/>
          <w:color w:val="auto"/>
          <w:spacing w:val="0"/>
          <w:position w:val="0"/>
          <w:sz w:val="22"/>
          <w:shd w:fill="auto" w:val="clear"/>
        </w:rPr>
        <w:t xml:space="preserve">12. Available at: </w:t>
      </w:r>
      <w:hyperlink xmlns:r="http://schemas.openxmlformats.org/officeDocument/2006/relationships" r:id="docRId4">
        <w:r>
          <w:rPr>
            <w:rFonts w:ascii="Arial" w:hAnsi="Arial" w:cs="Arial" w:eastAsia="Arial"/>
            <w:color w:val="0000FF"/>
            <w:spacing w:val="0"/>
            <w:position w:val="0"/>
            <w:sz w:val="22"/>
            <w:u w:val="single"/>
            <w:shd w:fill="auto" w:val="clear"/>
          </w:rPr>
          <w:t xml:space="preserve">https://doi.org/10.1016/j.jacc.2015.10.044</w:t>
        </w:r>
      </w:hyperlink>
      <w:r>
        <w:rPr>
          <w:rFonts w:ascii="Arial" w:hAnsi="Arial" w:cs="Arial" w:eastAsia="Arial"/>
          <w:color w:val="auto"/>
          <w:spacing w:val="0"/>
          <w:position w:val="0"/>
          <w:sz w:val="22"/>
          <w:shd w:fill="auto" w:val="clear"/>
        </w:rPr>
        <w:t xml:space="preserve">.</w:t>
      </w:r>
    </w:p>
    <w:p>
      <w:pPr>
        <w:spacing w:before="100" w:after="100" w:line="360"/>
        <w:ind w:right="0" w:left="720" w:hanging="72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British Heart Foundation (2025) </w:t>
      </w:r>
      <w:r>
        <w:rPr>
          <w:rFonts w:ascii="Arial" w:hAnsi="Arial" w:cs="Arial" w:eastAsia="Arial"/>
          <w:i/>
          <w:color w:val="auto"/>
          <w:spacing w:val="0"/>
          <w:position w:val="0"/>
          <w:sz w:val="22"/>
          <w:shd w:fill="auto" w:val="clear"/>
        </w:rPr>
        <w:t xml:space="preserve">Heart &amp; Circulatory Disease Statistics 2025</w:t>
      </w:r>
      <w:r>
        <w:rPr>
          <w:rFonts w:ascii="Arial" w:hAnsi="Arial" w:cs="Arial" w:eastAsia="Arial"/>
          <w:color w:val="auto"/>
          <w:spacing w:val="0"/>
          <w:position w:val="0"/>
          <w:sz w:val="22"/>
          <w:shd w:fill="auto" w:val="clear"/>
        </w:rPr>
        <w:t xml:space="preserve">. Available at: </w:t>
      </w:r>
      <w:hyperlink xmlns:r="http://schemas.openxmlformats.org/officeDocument/2006/relationships" r:id="docRId5">
        <w:r>
          <w:rPr>
            <w:rFonts w:ascii="Arial" w:hAnsi="Arial" w:cs="Arial" w:eastAsia="Arial"/>
            <w:color w:val="0000FF"/>
            <w:spacing w:val="0"/>
            <w:position w:val="0"/>
            <w:sz w:val="22"/>
            <w:u w:val="single"/>
            <w:shd w:fill="auto" w:val="clear"/>
          </w:rPr>
          <w:t xml:space="preserve">https://www.bhf.org.uk/what-we-do/our-research/heart-statistics/heart-statistics-publications/cardiovascular-disease-statistics-2025</w:t>
        </w:r>
      </w:hyperlink>
      <w:r>
        <w:rPr>
          <w:rFonts w:ascii="Arial" w:hAnsi="Arial" w:cs="Arial" w:eastAsia="Arial"/>
          <w:color w:val="auto"/>
          <w:spacing w:val="0"/>
          <w:position w:val="0"/>
          <w:sz w:val="22"/>
          <w:shd w:fill="auto" w:val="clear"/>
        </w:rPr>
        <w:t xml:space="preserve"> (Accessed: 15 August 2026).</w:t>
      </w:r>
    </w:p>
    <w:p>
      <w:pPr>
        <w:spacing w:before="100" w:after="100" w:line="360"/>
        <w:ind w:right="0" w:left="720" w:hanging="72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Hippisley-Cox, J., Coupland, C. and Brindle, P. (2017) ‘Development and validation of QRISK3 risk prediction algorithms to estimate future risk of cardiovascular disease: Prospective cohort study’, </w:t>
      </w:r>
      <w:r>
        <w:rPr>
          <w:rFonts w:ascii="Arial" w:hAnsi="Arial" w:cs="Arial" w:eastAsia="Arial"/>
          <w:i/>
          <w:color w:val="auto"/>
          <w:spacing w:val="0"/>
          <w:position w:val="0"/>
          <w:sz w:val="22"/>
          <w:shd w:fill="auto" w:val="clear"/>
        </w:rPr>
        <w:t xml:space="preserve">BMJ</w:t>
      </w:r>
      <w:r>
        <w:rPr>
          <w:rFonts w:ascii="Arial" w:hAnsi="Arial" w:cs="Arial" w:eastAsia="Arial"/>
          <w:color w:val="auto"/>
          <w:spacing w:val="0"/>
          <w:position w:val="0"/>
          <w:sz w:val="22"/>
          <w:shd w:fill="auto" w:val="clear"/>
        </w:rPr>
        <w:t xml:space="preserve">, 357, j2099. Available at: </w:t>
      </w:r>
      <w:hyperlink xmlns:r="http://schemas.openxmlformats.org/officeDocument/2006/relationships" r:id="docRId6">
        <w:r>
          <w:rPr>
            <w:rFonts w:ascii="Arial" w:hAnsi="Arial" w:cs="Arial" w:eastAsia="Arial"/>
            <w:color w:val="0000FF"/>
            <w:spacing w:val="0"/>
            <w:position w:val="0"/>
            <w:sz w:val="22"/>
            <w:u w:val="single"/>
            <w:shd w:fill="auto" w:val="clear"/>
          </w:rPr>
          <w:t xml:space="preserve">https://doi.org/10.1136/bmj.j2099</w:t>
        </w:r>
      </w:hyperlink>
      <w:r>
        <w:rPr>
          <w:rFonts w:ascii="Arial" w:hAnsi="Arial" w:cs="Arial" w:eastAsia="Arial"/>
          <w:color w:val="auto"/>
          <w:spacing w:val="0"/>
          <w:position w:val="0"/>
          <w:sz w:val="22"/>
          <w:shd w:fill="auto" w:val="clear"/>
        </w:rPr>
        <w:t xml:space="preserve">.</w:t>
      </w:r>
    </w:p>
    <w:p>
      <w:pPr>
        <w:spacing w:before="100" w:after="100" w:line="360"/>
        <w:ind w:right="0" w:left="720" w:hanging="72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Libby, P., Bonow, R.O., Mann, D.L., Tomaselli, G.F., Bhatt, D.L., Solomon, S.D. and Braunwald, E. (eds.) (2021) </w:t>
      </w:r>
      <w:r>
        <w:rPr>
          <w:rFonts w:ascii="Arial" w:hAnsi="Arial" w:cs="Arial" w:eastAsia="Arial"/>
          <w:i/>
          <w:color w:val="auto"/>
          <w:spacing w:val="0"/>
          <w:position w:val="0"/>
          <w:sz w:val="22"/>
          <w:shd w:fill="auto" w:val="clear"/>
        </w:rPr>
        <w:t xml:space="preserve">Braunwald’s Heart Disease: A Textbook of Cardiovascular Medicine</w:t>
      </w:r>
      <w:r>
        <w:rPr>
          <w:rFonts w:ascii="Arial" w:hAnsi="Arial" w:cs="Arial" w:eastAsia="Arial"/>
          <w:color w:val="auto"/>
          <w:spacing w:val="0"/>
          <w:position w:val="0"/>
          <w:sz w:val="22"/>
          <w:shd w:fill="auto" w:val="clear"/>
        </w:rPr>
        <w:t xml:space="preserve">. 12th edn. Philadelphia, PA: Elsevier.</w:t>
      </w:r>
    </w:p>
    <w:p>
      <w:pPr>
        <w:spacing w:before="100" w:after="100" w:line="360"/>
        <w:ind w:right="0" w:left="720" w:hanging="72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NHS (2024) </w:t>
      </w:r>
      <w:r>
        <w:rPr>
          <w:rFonts w:ascii="Arial" w:hAnsi="Arial" w:cs="Arial" w:eastAsia="Arial"/>
          <w:i/>
          <w:color w:val="auto"/>
          <w:spacing w:val="0"/>
          <w:position w:val="0"/>
          <w:sz w:val="22"/>
          <w:shd w:fill="auto" w:val="clear"/>
        </w:rPr>
        <w:t xml:space="preserve">Coronary heart disease</w:t>
      </w:r>
      <w:r>
        <w:rPr>
          <w:rFonts w:ascii="Arial" w:hAnsi="Arial" w:cs="Arial" w:eastAsia="Arial"/>
          <w:color w:val="auto"/>
          <w:spacing w:val="0"/>
          <w:position w:val="0"/>
          <w:sz w:val="22"/>
          <w:shd w:fill="auto" w:val="clear"/>
        </w:rPr>
        <w:t xml:space="preserve">. Available at: </w:t>
      </w:r>
      <w:hyperlink xmlns:r="http://schemas.openxmlformats.org/officeDocument/2006/relationships" r:id="docRId7">
        <w:r>
          <w:rPr>
            <w:rFonts w:ascii="Arial" w:hAnsi="Arial" w:cs="Arial" w:eastAsia="Arial"/>
            <w:color w:val="0000FF"/>
            <w:spacing w:val="0"/>
            <w:position w:val="0"/>
            <w:sz w:val="22"/>
            <w:u w:val="single"/>
            <w:shd w:fill="auto" w:val="clear"/>
          </w:rPr>
          <w:t xml:space="preserve">https://www.nhs.uk/conditions/coronary-heart-disease/</w:t>
        </w:r>
      </w:hyperlink>
      <w:r>
        <w:rPr>
          <w:rFonts w:ascii="Arial" w:hAnsi="Arial" w:cs="Arial" w:eastAsia="Arial"/>
          <w:color w:val="auto"/>
          <w:spacing w:val="0"/>
          <w:position w:val="0"/>
          <w:sz w:val="22"/>
          <w:shd w:fill="auto" w:val="clear"/>
        </w:rPr>
        <w:t xml:space="preserve"> (Accessed: 15 August 2026).</w:t>
      </w:r>
    </w:p>
    <w:p>
      <w:pPr>
        <w:spacing w:before="100" w:after="100" w:line="360"/>
        <w:ind w:right="0" w:left="720" w:hanging="72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Ramrakha, P., Hill, J., Basu, J. and Camm, C.F. (eds.) (2025) </w:t>
      </w:r>
      <w:r>
        <w:rPr>
          <w:rFonts w:ascii="Arial" w:hAnsi="Arial" w:cs="Arial" w:eastAsia="Arial"/>
          <w:i/>
          <w:color w:val="auto"/>
          <w:spacing w:val="0"/>
          <w:position w:val="0"/>
          <w:sz w:val="22"/>
          <w:shd w:fill="auto" w:val="clear"/>
        </w:rPr>
        <w:t xml:space="preserve">Oxford Handbook of Cardiology</w:t>
      </w:r>
      <w:r>
        <w:rPr>
          <w:rFonts w:ascii="Arial" w:hAnsi="Arial" w:cs="Arial" w:eastAsia="Arial"/>
          <w:color w:val="auto"/>
          <w:spacing w:val="0"/>
          <w:position w:val="0"/>
          <w:sz w:val="22"/>
          <w:shd w:fill="auto" w:val="clear"/>
        </w:rPr>
        <w:t xml:space="preserve">. 3rd edn. Oxford: Oxford University Press.</w:t>
      </w:r>
    </w:p>
    <w:p>
      <w:pPr>
        <w:spacing w:before="100" w:after="100" w:line="360"/>
        <w:ind w:right="0" w:left="720" w:hanging="72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World Health Organization (2025) </w:t>
      </w:r>
      <w:r>
        <w:rPr>
          <w:rFonts w:ascii="Arial" w:hAnsi="Arial" w:cs="Arial" w:eastAsia="Arial"/>
          <w:i/>
          <w:color w:val="auto"/>
          <w:spacing w:val="0"/>
          <w:position w:val="0"/>
          <w:sz w:val="22"/>
          <w:shd w:fill="auto" w:val="clear"/>
        </w:rPr>
        <w:t xml:space="preserve">Cardiovascular diseases (CVDs)</w:t>
      </w:r>
      <w:r>
        <w:rPr>
          <w:rFonts w:ascii="Arial" w:hAnsi="Arial" w:cs="Arial" w:eastAsia="Arial"/>
          <w:color w:val="auto"/>
          <w:spacing w:val="0"/>
          <w:position w:val="0"/>
          <w:sz w:val="22"/>
          <w:shd w:fill="auto" w:val="clear"/>
        </w:rPr>
        <w:t xml:space="preserve">. Available at: </w:t>
      </w:r>
      <w:hyperlink xmlns:r="http://schemas.openxmlformats.org/officeDocument/2006/relationships" r:id="docRId8">
        <w:r>
          <w:rPr>
            <w:rFonts w:ascii="Arial" w:hAnsi="Arial" w:cs="Arial" w:eastAsia="Arial"/>
            <w:color w:val="0000FF"/>
            <w:spacing w:val="0"/>
            <w:position w:val="0"/>
            <w:sz w:val="22"/>
            <w:u w:val="single"/>
            <w:shd w:fill="auto" w:val="clear"/>
          </w:rPr>
          <w:t xml:space="preserve">https://www.who.int/news-room/fact-sheets/detail/cardiovascular-diseases-%28cvds%29</w:t>
        </w:r>
      </w:hyperlink>
      <w:r>
        <w:rPr>
          <w:rFonts w:ascii="Arial" w:hAnsi="Arial" w:cs="Arial" w:eastAsia="Arial"/>
          <w:color w:val="auto"/>
          <w:spacing w:val="0"/>
          <w:position w:val="0"/>
          <w:sz w:val="22"/>
          <w:shd w:fill="auto" w:val="clear"/>
        </w:rPr>
        <w:t xml:space="preserve"> (Accessed: 15 August 2026).</w:t>
      </w:r>
    </w:p>
    <w:p>
      <w:pPr>
        <w:spacing w:before="100" w:after="100" w:line="360"/>
        <w:ind w:right="0" w:left="720" w:hanging="72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Zou, H., Cao, X. and Chair, S.Y. (2021) ‘A systematic review and meta-analysis of mindfulness-based interventions for patients with coronary heart disease’, </w:t>
      </w:r>
      <w:r>
        <w:rPr>
          <w:rFonts w:ascii="Arial" w:hAnsi="Arial" w:cs="Arial" w:eastAsia="Arial"/>
          <w:i/>
          <w:color w:val="auto"/>
          <w:spacing w:val="0"/>
          <w:position w:val="0"/>
          <w:sz w:val="22"/>
          <w:shd w:fill="auto" w:val="clear"/>
        </w:rPr>
        <w:t xml:space="preserve">Journal of Advanced Nursing</w:t>
      </w:r>
      <w:r>
        <w:rPr>
          <w:rFonts w:ascii="Arial" w:hAnsi="Arial" w:cs="Arial" w:eastAsia="Arial"/>
          <w:color w:val="auto"/>
          <w:spacing w:val="0"/>
          <w:position w:val="0"/>
          <w:sz w:val="22"/>
          <w:shd w:fill="auto" w:val="clear"/>
        </w:rPr>
        <w:t xml:space="preserve">, 77, pp. 2197</w:t>
      </w:r>
      <w:r>
        <w:rPr>
          <w:rFonts w:ascii="Arial" w:hAnsi="Arial" w:cs="Arial" w:eastAsia="Arial"/>
          <w:color w:val="auto"/>
          <w:spacing w:val="0"/>
          <w:position w:val="0"/>
          <w:sz w:val="22"/>
          <w:shd w:fill="auto" w:val="clear"/>
        </w:rPr>
        <w:t xml:space="preserve">–</w:t>
      </w:r>
      <w:r>
        <w:rPr>
          <w:rFonts w:ascii="Arial" w:hAnsi="Arial" w:cs="Arial" w:eastAsia="Arial"/>
          <w:color w:val="auto"/>
          <w:spacing w:val="0"/>
          <w:position w:val="0"/>
          <w:sz w:val="22"/>
          <w:shd w:fill="auto" w:val="clear"/>
        </w:rPr>
        <w:t xml:space="preserve">2213. Available at: </w:t>
      </w:r>
      <w:hyperlink xmlns:r="http://schemas.openxmlformats.org/officeDocument/2006/relationships" r:id="docRId9">
        <w:r>
          <w:rPr>
            <w:rFonts w:ascii="Arial" w:hAnsi="Arial" w:cs="Arial" w:eastAsia="Arial"/>
            <w:color w:val="0000FF"/>
            <w:spacing w:val="0"/>
            <w:position w:val="0"/>
            <w:sz w:val="22"/>
            <w:u w:val="single"/>
            <w:shd w:fill="auto" w:val="clear"/>
          </w:rPr>
          <w:t xml:space="preserve">https://doi.org/10.1111/jan.14738</w:t>
        </w:r>
      </w:hyperlink>
      <w:r>
        <w:rPr>
          <w:rFonts w:ascii="Arial" w:hAnsi="Arial" w:cs="Arial" w:eastAsia="Arial"/>
          <w:color w:val="auto"/>
          <w:spacing w:val="0"/>
          <w:position w:val="0"/>
          <w:sz w:val="22"/>
          <w:shd w:fill="auto" w:val="clear"/>
        </w:rPr>
        <w:t xml:space="preserve">.</w:t>
      </w:r>
    </w:p>
    <w:p>
      <w:pPr>
        <w:spacing w:before="0" w:after="0" w:line="240"/>
        <w:ind w:right="0" w:left="0" w:firstLine="0"/>
        <w:jc w:val="left"/>
        <w:rPr>
          <w:rFonts w:ascii="Arial" w:hAnsi="Arial" w:cs="Arial" w:eastAsia="Arial"/>
          <w:color w:val="auto"/>
          <w:spacing w:val="0"/>
          <w:position w:val="0"/>
          <w:sz w:val="22"/>
          <w:shd w:fill="auto" w:val="clear"/>
        </w:rPr>
      </w:pPr>
    </w:p>
    <w:p>
      <w:pPr>
        <w:spacing w:before="0" w:after="160" w:line="240"/>
        <w:ind w:right="0" w:left="0" w:firstLine="0"/>
        <w:jc w:val="both"/>
        <w:rPr>
          <w:rFonts w:ascii="Arial" w:hAnsi="Arial" w:cs="Arial" w:eastAsia="Arial"/>
          <w:color w:val="auto"/>
          <w:spacing w:val="0"/>
          <w:position w:val="0"/>
          <w:sz w:val="22"/>
          <w:shd w:fill="auto" w:val="clear"/>
        </w:rPr>
      </w:pPr>
    </w:p>
  </w:body>
</w:document>
</file>

<file path=word/numbering.xml><?xml version="1.0" encoding="utf-8"?>
<w:numbering xmlns:w="http://schemas.openxmlformats.org/wordprocessingml/2006/main"/>
</file>

<file path=word/styles.xml><?xml version="1.0" encoding="utf-8"?>
<w:styles xmlns:w="http://schemas.openxmlformats.org/wordprocessingml/2006/main"/>
</file>

<file path=word/_rels/document.xml.rels><?xml version="1.0" encoding="UTF-8"?><Relationships xmlns="http://schemas.openxmlformats.org/package/2006/relationships"><Relationship Target="media/image1.wmf" Id="docRId3" Type="http://schemas.openxmlformats.org/officeDocument/2006/relationships/image" /><Relationship TargetMode="External" Target="https://www.nhs.uk/conditions/coronary-heart-disease/" Id="docRId7" Type="http://schemas.openxmlformats.org/officeDocument/2006/relationships/hyperlink" /><Relationship Target="embeddings/oleObject0.bin" Id="docRId0" Type="http://schemas.openxmlformats.org/officeDocument/2006/relationships/oleObject" /><Relationship Target="numbering.xml" Id="docRId10" Type="http://schemas.openxmlformats.org/officeDocument/2006/relationships/numbering" /><Relationship Target="embeddings/oleObject1.bin" Id="docRId2" Type="http://schemas.openxmlformats.org/officeDocument/2006/relationships/oleObject" /><Relationship TargetMode="External" Target="https://doi.org/10.1016/j.jacc.2015.10.044" Id="docRId4" Type="http://schemas.openxmlformats.org/officeDocument/2006/relationships/hyperlink" /><Relationship TargetMode="External" Target="https://doi.org/10.1136/bmj.j2099" Id="docRId6" Type="http://schemas.openxmlformats.org/officeDocument/2006/relationships/hyperlink" /><Relationship TargetMode="External" Target="https://www.who.int/news-room/fact-sheets/detail/cardiovascular-diseases-%28cvds%29" Id="docRId8" Type="http://schemas.openxmlformats.org/officeDocument/2006/relationships/hyperlink" /><Relationship Target="media/image0.wmf" Id="docRId1" Type="http://schemas.openxmlformats.org/officeDocument/2006/relationships/image" /><Relationship Target="styles.xml" Id="docRId11" Type="http://schemas.openxmlformats.org/officeDocument/2006/relationships/styles" /><Relationship TargetMode="External" Target="https://www.bhf.org.uk/what-we-do/our-research/heart-statistics/heart-statistics-publications/cardiovascular-disease-statistics-2025" Id="docRId5" Type="http://schemas.openxmlformats.org/officeDocument/2006/relationships/hyperlink" /><Relationship TargetMode="External" Target="https://doi.org/10.1111/jan.14738" Id="docRId9" Type="http://schemas.openxmlformats.org/officeDocument/2006/relationships/hyperlink" /></Relationships>
</file>