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8028490"/>
        <w:docPartObj>
          <w:docPartGallery w:val="Cover Pages"/>
          <w:docPartUnique/>
        </w:docPartObj>
      </w:sdtPr>
      <w:sdtEndPr>
        <w:rPr>
          <w:rFonts w:ascii="Calibri" w:hAnsi="Calibri" w:cs="Calibri"/>
          <w:color w:val="000000"/>
          <w:bdr w:val="none" w:sz="0" w:space="0" w:color="auto" w:frame="1"/>
        </w:rPr>
      </w:sdtEndPr>
      <w:sdtContent>
        <w:p w14:paraId="4C2AB831" w14:textId="79E0808E" w:rsidR="00FA2513" w:rsidRDefault="00FA2513">
          <w:r>
            <w:rPr>
              <w:noProof/>
            </w:rPr>
            <mc:AlternateContent>
              <mc:Choice Requires="wpg">
                <w:drawing>
                  <wp:anchor distT="0" distB="0" distL="114300" distR="114300" simplePos="0" relativeHeight="251659264" behindDoc="1" locked="0" layoutInCell="1" allowOverlap="1" wp14:anchorId="1DE90BBD" wp14:editId="107426A2">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A31FF2" w14:textId="70718ECA" w:rsidR="00FA2513" w:rsidRDefault="00B46C0B">
                                      <w:pPr>
                                        <w:pStyle w:val="NoSpacing"/>
                                        <w:spacing w:before="120"/>
                                        <w:jc w:val="center"/>
                                        <w:rPr>
                                          <w:color w:val="FFFFFF" w:themeColor="background1"/>
                                        </w:rPr>
                                      </w:pPr>
                                      <w:r w:rsidRPr="00B46C0B">
                                        <w:rPr>
                                          <w:rFonts w:ascii="Arial" w:hAnsi="Arial" w:cs="Arial"/>
                                          <w:b/>
                                          <w:sz w:val="36"/>
                                          <w:szCs w:val="36"/>
                                        </w:rPr>
                                        <w:t>BMLW4005</w:t>
                                      </w:r>
                                    </w:p>
                                  </w:sdtContent>
                                </w:sdt>
                                <w:p w14:paraId="2B0D44CE" w14:textId="3DF9AEF0" w:rsidR="00FA251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80CDA">
                                        <w:rPr>
                                          <w:caps/>
                                          <w:color w:val="FFFFFF" w:themeColor="background1"/>
                                        </w:rPr>
                                        <w:t>Ffion Jones</w:t>
                                      </w:r>
                                    </w:sdtContent>
                                  </w:sdt>
                                  <w:r w:rsidR="00FA251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46C0B">
                                        <w:rPr>
                                          <w:color w:val="FFFFFF" w:themeColor="background1"/>
                                        </w:rPr>
                                        <w:t>2305695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156E06" w14:textId="3FD9E0CF" w:rsidR="00FA2513" w:rsidRPr="00D4194B" w:rsidRDefault="00D4194B">
                                      <w:pPr>
                                        <w:pStyle w:val="NoSpacing"/>
                                        <w:jc w:val="center"/>
                                        <w:rPr>
                                          <w:rFonts w:asciiTheme="majorHAnsi" w:eastAsiaTheme="majorEastAsia" w:hAnsiTheme="majorHAnsi" w:cstheme="majorBidi"/>
                                          <w:caps/>
                                          <w:color w:val="156082" w:themeColor="accent1"/>
                                          <w:sz w:val="72"/>
                                          <w:szCs w:val="72"/>
                                        </w:rPr>
                                      </w:pPr>
                                      <w:r w:rsidRPr="00D4194B">
                                        <w:rPr>
                                          <w:rFonts w:ascii="Arial" w:hAnsi="Arial" w:cs="Arial"/>
                                          <w:b/>
                                          <w:bCs/>
                                          <w:sz w:val="72"/>
                                          <w:szCs w:val="72"/>
                                        </w:rPr>
                                        <w:t>Reform of the Offences Against the Person Act 1861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E90BBD"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b/>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A31FF2" w14:textId="70718ECA" w:rsidR="00FA2513" w:rsidRDefault="00B46C0B">
                                <w:pPr>
                                  <w:pStyle w:val="NoSpacing"/>
                                  <w:spacing w:before="120"/>
                                  <w:jc w:val="center"/>
                                  <w:rPr>
                                    <w:color w:val="FFFFFF" w:themeColor="background1"/>
                                  </w:rPr>
                                </w:pPr>
                                <w:r w:rsidRPr="00B46C0B">
                                  <w:rPr>
                                    <w:rFonts w:ascii="Arial" w:hAnsi="Arial" w:cs="Arial"/>
                                    <w:b/>
                                    <w:sz w:val="36"/>
                                    <w:szCs w:val="36"/>
                                  </w:rPr>
                                  <w:t>BMLW4005</w:t>
                                </w:r>
                              </w:p>
                            </w:sdtContent>
                          </w:sdt>
                          <w:p w14:paraId="2B0D44CE" w14:textId="3DF9AEF0" w:rsidR="00FA251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80CDA">
                                  <w:rPr>
                                    <w:caps/>
                                    <w:color w:val="FFFFFF" w:themeColor="background1"/>
                                  </w:rPr>
                                  <w:t>Ffion Jones</w:t>
                                </w:r>
                              </w:sdtContent>
                            </w:sdt>
                            <w:r w:rsidR="00FA251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46C0B">
                                  <w:rPr>
                                    <w:color w:val="FFFFFF" w:themeColor="background1"/>
                                  </w:rPr>
                                  <w:t>2305695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156E06" w14:textId="3FD9E0CF" w:rsidR="00FA2513" w:rsidRPr="00D4194B" w:rsidRDefault="00D4194B">
                                <w:pPr>
                                  <w:pStyle w:val="NoSpacing"/>
                                  <w:jc w:val="center"/>
                                  <w:rPr>
                                    <w:rFonts w:asciiTheme="majorHAnsi" w:eastAsiaTheme="majorEastAsia" w:hAnsiTheme="majorHAnsi" w:cstheme="majorBidi"/>
                                    <w:caps/>
                                    <w:color w:val="156082" w:themeColor="accent1"/>
                                    <w:sz w:val="72"/>
                                    <w:szCs w:val="72"/>
                                  </w:rPr>
                                </w:pPr>
                                <w:r w:rsidRPr="00D4194B">
                                  <w:rPr>
                                    <w:rFonts w:ascii="Arial" w:hAnsi="Arial" w:cs="Arial"/>
                                    <w:b/>
                                    <w:bCs/>
                                    <w:sz w:val="72"/>
                                    <w:szCs w:val="72"/>
                                  </w:rPr>
                                  <w:t>Reform of the Offences Against the Person Act 1861</w:t>
                                </w:r>
                              </w:p>
                            </w:sdtContent>
                          </w:sdt>
                        </w:txbxContent>
                      </v:textbox>
                    </v:shape>
                    <w10:wrap anchorx="page" anchory="page"/>
                  </v:group>
                </w:pict>
              </mc:Fallback>
            </mc:AlternateContent>
          </w:r>
        </w:p>
        <w:p w14:paraId="3CD0F065" w14:textId="42F15226" w:rsidR="00FA2513" w:rsidRDefault="00FA2513">
          <w:pPr>
            <w:rPr>
              <w:rFonts w:ascii="Calibri" w:eastAsia="Times New Roman" w:hAnsi="Calibri" w:cs="Calibri"/>
              <w:color w:val="000000"/>
              <w:kern w:val="0"/>
              <w:sz w:val="24"/>
              <w:szCs w:val="24"/>
              <w:bdr w:val="none" w:sz="0" w:space="0" w:color="auto" w:frame="1"/>
              <w:lang w:eastAsia="en-GB"/>
              <w14:ligatures w14:val="none"/>
            </w:rPr>
          </w:pPr>
          <w:r>
            <w:rPr>
              <w:rFonts w:ascii="Calibri" w:hAnsi="Calibri" w:cs="Calibri"/>
              <w:color w:val="000000"/>
              <w:bdr w:val="none" w:sz="0" w:space="0" w:color="auto" w:frame="1"/>
            </w:rPr>
            <w:br w:type="page"/>
          </w:r>
        </w:p>
      </w:sdtContent>
    </w:sdt>
    <w:p w14:paraId="7860052F" w14:textId="1D66A305" w:rsidR="0074663D" w:rsidRPr="00617176" w:rsidRDefault="008D6702" w:rsidP="00380CDA">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lastRenderedPageBreak/>
        <w:t xml:space="preserve">          </w:t>
      </w:r>
      <w:r w:rsidR="0074663D" w:rsidRPr="00617176">
        <w:rPr>
          <w:rFonts w:ascii="Arial" w:hAnsi="Arial" w:cs="Arial"/>
          <w:color w:val="000000"/>
          <w:bdr w:val="none" w:sz="0" w:space="0" w:color="auto" w:frame="1"/>
        </w:rPr>
        <w:t>According to McDonald (2018)</w:t>
      </w:r>
      <w:r w:rsidR="00380CDA">
        <w:rPr>
          <w:rFonts w:ascii="Arial" w:hAnsi="Arial" w:cs="Arial"/>
          <w:color w:val="000000"/>
          <w:bdr w:val="none" w:sz="0" w:space="0" w:color="auto" w:frame="1"/>
        </w:rPr>
        <w:t>, t</w:t>
      </w:r>
      <w:r w:rsidR="0074663D" w:rsidRPr="00617176">
        <w:rPr>
          <w:rFonts w:ascii="Arial" w:hAnsi="Arial" w:cs="Arial"/>
          <w:color w:val="000000"/>
          <w:bdr w:val="none" w:sz="0" w:space="0" w:color="auto" w:frame="1"/>
        </w:rPr>
        <w:t xml:space="preserve">he </w:t>
      </w:r>
      <w:r w:rsidR="0074663D" w:rsidRPr="00380CDA">
        <w:rPr>
          <w:rFonts w:ascii="Arial" w:hAnsi="Arial" w:cs="Arial"/>
          <w:i/>
          <w:iCs/>
          <w:color w:val="000000"/>
          <w:bdr w:val="none" w:sz="0" w:space="0" w:color="auto" w:frame="1"/>
        </w:rPr>
        <w:t>Offences Against the Person Act</w:t>
      </w:r>
      <w:r w:rsidR="0074663D" w:rsidRPr="00617176">
        <w:rPr>
          <w:rFonts w:ascii="Arial" w:hAnsi="Arial" w:cs="Arial"/>
          <w:color w:val="000000"/>
          <w:bdr w:val="none" w:sz="0" w:space="0" w:color="auto" w:frame="1"/>
        </w:rPr>
        <w:t xml:space="preserve"> </w:t>
      </w:r>
      <w:r w:rsidR="00380CDA" w:rsidRPr="00380CDA">
        <w:rPr>
          <w:rFonts w:ascii="Arial" w:hAnsi="Arial" w:cs="Arial"/>
          <w:i/>
          <w:iCs/>
          <w:color w:val="000000"/>
          <w:bdr w:val="none" w:sz="0" w:space="0" w:color="auto" w:frame="1"/>
        </w:rPr>
        <w:t>1861</w:t>
      </w:r>
      <w:r w:rsidR="00380CDA">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(OAPA)</w:t>
      </w:r>
      <w:r w:rsidR="00380CDA">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an enduring piece of legislation</w:t>
      </w:r>
      <w:r w:rsidR="00380CDA">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has been a cornerstone in shaping the legal response to crimes against individuals in England and Wales for well over a century. However, in the face of societal transformations, questions begin to arise. The key question </w:t>
      </w:r>
      <w:r w:rsidR="00380CDA">
        <w:rPr>
          <w:rFonts w:ascii="Arial" w:hAnsi="Arial" w:cs="Arial"/>
          <w:color w:val="000000"/>
          <w:bdr w:val="none" w:sz="0" w:space="0" w:color="auto" w:frame="1"/>
        </w:rPr>
        <w:t>is</w:t>
      </w:r>
      <w:r w:rsidR="0074663D" w:rsidRPr="00617176">
        <w:rPr>
          <w:rFonts w:ascii="Arial" w:hAnsi="Arial" w:cs="Arial"/>
          <w:color w:val="000000"/>
          <w:bdr w:val="none" w:sz="0" w:space="0" w:color="auto" w:frame="1"/>
        </w:rPr>
        <w:t xml:space="preserve"> does this historical statute adequately serve the needs of </w:t>
      </w:r>
      <w:r w:rsidR="00380CDA">
        <w:rPr>
          <w:rFonts w:ascii="Arial" w:hAnsi="Arial" w:cs="Arial"/>
          <w:color w:val="000000"/>
          <w:bdr w:val="none" w:sz="0" w:space="0" w:color="auto" w:frame="1"/>
        </w:rPr>
        <w:t xml:space="preserve">the </w:t>
      </w:r>
      <w:r w:rsidR="0074663D" w:rsidRPr="00617176">
        <w:rPr>
          <w:rFonts w:ascii="Arial" w:hAnsi="Arial" w:cs="Arial"/>
          <w:color w:val="000000"/>
          <w:bdr w:val="none" w:sz="0" w:space="0" w:color="auto" w:frame="1"/>
        </w:rPr>
        <w:t>modern society we live in, particularly in addressing non-fatal offences against individuals. This essay focuses on an exploration of the relevance of the OAPA in contemporary times, specifically focusing on non-fatal offences. A crucial aspect of this analysis involves considering the Law Commission's proposed reforms (2015), which emerged as part of a scoping exercise</w:t>
      </w:r>
      <w:r w:rsidR="00380CDA">
        <w:rPr>
          <w:rFonts w:ascii="Arial" w:hAnsi="Arial" w:cs="Arial"/>
          <w:color w:val="000000"/>
          <w:bdr w:val="none" w:sz="0" w:space="0" w:color="auto" w:frame="1"/>
        </w:rPr>
        <w:t xml:space="preserve"> </w:t>
      </w:r>
      <w:r w:rsidR="00380CDA" w:rsidRPr="00617176">
        <w:rPr>
          <w:rFonts w:ascii="Arial" w:hAnsi="Arial" w:cs="Arial"/>
          <w:color w:val="000000"/>
          <w:bdr w:val="none" w:sz="0" w:space="0" w:color="auto" w:frame="1"/>
        </w:rPr>
        <w:t>it conducted</w:t>
      </w:r>
      <w:r w:rsidR="00380CDA">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aimed at laying the groundwork for a comprehensive reform of the Act. This essay not only seeks to evaluate the inherent strengths and limitations of the OAPA considering its historical context, but also addresses the necessity for reform as highlighted by the Law Commission. </w:t>
      </w:r>
    </w:p>
    <w:p w14:paraId="0A56214E" w14:textId="3E4A60EC" w:rsidR="0074663D" w:rsidRPr="00617176" w:rsidRDefault="008D6702" w:rsidP="00380CDA">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Before analysing the Commission's proposals, it is imperative to examine the reasons that initiated the call for reform, setting the stage for a critical evaluation of the Act's adaptability to the complexities of modern non-fatal offences. The OAPA has persistently been criticized for its ‘embarrassingly archaic’ language, which has become increasingly disconnected from the dynamics of today’s society (</w:t>
      </w:r>
      <w:proofErr w:type="spellStart"/>
      <w:r w:rsidR="0074663D" w:rsidRPr="00617176">
        <w:rPr>
          <w:rFonts w:ascii="Arial" w:hAnsi="Arial" w:cs="Arial"/>
          <w:color w:val="000000"/>
          <w:bdr w:val="none" w:sz="0" w:space="0" w:color="auto" w:frame="1"/>
        </w:rPr>
        <w:t>Eugenicos</w:t>
      </w:r>
      <w:proofErr w:type="spellEnd"/>
      <w:r w:rsidR="0074663D" w:rsidRPr="00617176">
        <w:rPr>
          <w:rFonts w:ascii="Arial" w:hAnsi="Arial" w:cs="Arial"/>
          <w:color w:val="000000"/>
          <w:bdr w:val="none" w:sz="0" w:space="0" w:color="auto" w:frame="1"/>
        </w:rPr>
        <w:t xml:space="preserve">, 2017). This linguistic complexity continues to hinder its application to twenty first-century crimes. A notable example illustrating the struggles with the Act's language is the case of </w:t>
      </w:r>
      <w:r w:rsidR="009C78CE">
        <w:rPr>
          <w:rFonts w:ascii="Arial" w:hAnsi="Arial" w:cs="Arial"/>
          <w:color w:val="000000"/>
          <w:bdr w:val="none" w:sz="0" w:space="0" w:color="auto" w:frame="1"/>
        </w:rPr>
        <w:t>‘</w:t>
      </w:r>
      <w:r w:rsidR="0074663D" w:rsidRPr="00617176">
        <w:rPr>
          <w:rFonts w:ascii="Arial" w:hAnsi="Arial" w:cs="Arial"/>
          <w:color w:val="000000"/>
          <w:bdr w:val="none" w:sz="0" w:space="0" w:color="auto" w:frame="1"/>
        </w:rPr>
        <w:t>R v Cunningham</w:t>
      </w:r>
      <w:r w:rsidR="009C78CE">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(1957). Here, the court grappled with the term ‘maliciously’, a key element in the OAPA necessitating a men’s rea (guilty mind) when evaluating a crime. The term's outdated nature rendered it challenging to interpret in a manner consistent with modern legal perspectives. Although the court </w:t>
      </w:r>
      <w:r w:rsidR="0074663D" w:rsidRPr="00617176">
        <w:rPr>
          <w:rFonts w:ascii="Arial" w:hAnsi="Arial" w:cs="Arial"/>
          <w:color w:val="000000"/>
          <w:bdr w:val="none" w:sz="0" w:space="0" w:color="auto" w:frame="1"/>
        </w:rPr>
        <w:lastRenderedPageBreak/>
        <w:t xml:space="preserve">endeavoured to clarify its meaning, the enduring ambiguity of the language remained a contentious issue, exemplifying the difficulties associated with integrating the Act into the evolving legal landscape (Caron, 2024). </w:t>
      </w:r>
    </w:p>
    <w:p w14:paraId="43964AF5" w14:textId="77777777" w:rsidR="00310D96" w:rsidRPr="00617176" w:rsidRDefault="00310D96" w:rsidP="00310D96">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p>
    <w:p w14:paraId="25485427" w14:textId="7DC1100A" w:rsidR="0074663D" w:rsidRPr="00617176" w:rsidRDefault="008D6702" w:rsidP="00310D96">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Stated by Routledge-Cavendish (2002) and as seen in the case of </w:t>
      </w:r>
      <w:r w:rsidR="009C78CE" w:rsidRPr="000748FE">
        <w:rPr>
          <w:rFonts w:ascii="Arial" w:hAnsi="Arial" w:cs="Arial"/>
          <w:color w:val="000000"/>
          <w:highlight w:val="yellow"/>
          <w:bdr w:val="none" w:sz="0" w:space="0" w:color="auto" w:frame="1"/>
        </w:rPr>
        <w:t>‘</w:t>
      </w:r>
      <w:r w:rsidR="0074663D" w:rsidRPr="000748FE">
        <w:rPr>
          <w:rFonts w:ascii="Arial" w:hAnsi="Arial" w:cs="Arial"/>
          <w:color w:val="000000"/>
          <w:highlight w:val="yellow"/>
          <w:bdr w:val="none" w:sz="0" w:space="0" w:color="auto" w:frame="1"/>
        </w:rPr>
        <w:t>R v. Ireland and Burstow</w:t>
      </w:r>
      <w:r w:rsidR="009C78CE" w:rsidRPr="000748FE">
        <w:rPr>
          <w:rFonts w:ascii="Arial" w:hAnsi="Arial" w:cs="Arial"/>
          <w:color w:val="000000"/>
          <w:highlight w:val="yellow"/>
          <w:bdr w:val="none" w:sz="0" w:space="0" w:color="auto" w:frame="1"/>
        </w:rPr>
        <w:t>’</w:t>
      </w:r>
      <w:r w:rsidR="0074663D" w:rsidRPr="000748FE">
        <w:rPr>
          <w:rFonts w:ascii="Arial" w:hAnsi="Arial" w:cs="Arial"/>
          <w:color w:val="000000"/>
          <w:highlight w:val="yellow"/>
          <w:bdr w:val="none" w:sz="0" w:space="0" w:color="auto" w:frame="1"/>
        </w:rPr>
        <w:t xml:space="preserve"> </w:t>
      </w:r>
      <w:r w:rsidR="00720420" w:rsidRPr="000748FE">
        <w:rPr>
          <w:rFonts w:ascii="Arial" w:hAnsi="Arial" w:cs="Arial"/>
          <w:color w:val="000000"/>
          <w:highlight w:val="yellow"/>
          <w:bdr w:val="none" w:sz="0" w:space="0" w:color="auto" w:frame="1"/>
        </w:rPr>
        <w:t>(</w:t>
      </w:r>
      <w:r w:rsidR="0074663D" w:rsidRPr="000748FE">
        <w:rPr>
          <w:rFonts w:ascii="Arial" w:hAnsi="Arial" w:cs="Arial"/>
          <w:color w:val="000000"/>
          <w:highlight w:val="yellow"/>
          <w:bdr w:val="none" w:sz="0" w:space="0" w:color="auto" w:frame="1"/>
        </w:rPr>
        <w:t>1997</w:t>
      </w:r>
      <w:r w:rsidR="00720420" w:rsidRPr="000748FE">
        <w:rPr>
          <w:rFonts w:ascii="Arial" w:hAnsi="Arial" w:cs="Arial"/>
          <w:color w:val="000000"/>
          <w:highlight w:val="yellow"/>
          <w:bdr w:val="none" w:sz="0" w:space="0" w:color="auto" w:frame="1"/>
        </w:rPr>
        <w:t>)</w:t>
      </w:r>
      <w:r w:rsidR="0074663D" w:rsidRPr="000748FE">
        <w:rPr>
          <w:rFonts w:ascii="Arial" w:hAnsi="Arial" w:cs="Arial"/>
          <w:color w:val="000000"/>
          <w:highlight w:val="yellow"/>
          <w:bdr w:val="none" w:sz="0" w:space="0" w:color="auto" w:frame="1"/>
        </w:rPr>
        <w:t>,</w:t>
      </w:r>
      <w:r w:rsidR="0074663D" w:rsidRPr="00617176">
        <w:rPr>
          <w:rFonts w:ascii="Arial" w:hAnsi="Arial" w:cs="Arial"/>
          <w:color w:val="000000"/>
          <w:bdr w:val="none" w:sz="0" w:space="0" w:color="auto" w:frame="1"/>
        </w:rPr>
        <w:t xml:space="preserve"> the council argued as a matter of law, that assault could never be committed by words alone, therefore assault cannot be committed by silence. This created issues within the case and </w:t>
      </w:r>
      <w:r w:rsidR="00551C14">
        <w:rPr>
          <w:rFonts w:ascii="Arial" w:hAnsi="Arial" w:cs="Arial"/>
          <w:color w:val="000000"/>
          <w:bdr w:val="none" w:sz="0" w:space="0" w:color="auto" w:frame="1"/>
        </w:rPr>
        <w:t xml:space="preserve">caused </w:t>
      </w:r>
      <w:r w:rsidR="0074663D" w:rsidRPr="00617176">
        <w:rPr>
          <w:rFonts w:ascii="Arial" w:hAnsi="Arial" w:cs="Arial"/>
          <w:color w:val="000000"/>
          <w:bdr w:val="none" w:sz="0" w:space="0" w:color="auto" w:frame="1"/>
        </w:rPr>
        <w:t xml:space="preserve">room for interpretation and the court confronted the offense of inflicting grievous bodily harm (GBH) under Section 20 of the OAPA (1861). The Act's outdated language created ambiguity as the court had to interpret the term ‘inflict’ and to determine </w:t>
      </w:r>
      <w:bookmarkStart w:id="0" w:name="_Int_cosPjJ3K"/>
      <w:proofErr w:type="gramStart"/>
      <w:r w:rsidR="0074663D" w:rsidRPr="00617176">
        <w:rPr>
          <w:rFonts w:ascii="Arial" w:hAnsi="Arial" w:cs="Arial"/>
          <w:color w:val="000000"/>
          <w:bdr w:val="none" w:sz="0" w:space="0" w:color="auto" w:frame="1"/>
        </w:rPr>
        <w:t>whether or not</w:t>
      </w:r>
      <w:bookmarkEnd w:id="0"/>
      <w:proofErr w:type="gramEnd"/>
      <w:r w:rsidR="0074663D" w:rsidRPr="00617176">
        <w:rPr>
          <w:rFonts w:ascii="Arial" w:hAnsi="Arial" w:cs="Arial"/>
          <w:color w:val="000000"/>
          <w:bdr w:val="none" w:sz="0" w:space="0" w:color="auto" w:frame="1"/>
        </w:rPr>
        <w:t xml:space="preserve"> it extended to psychiatric harm, necessitating a stretched interpretation to align with contemporary understandings of such a definition. The emphasis is now on the effect of the defendants’ actions on the victim, rather than the means adopted by the defendant. These cases collectively underscore the challenges posed by the OAPA's (1861) antiquated language in addressing modern legal complexities.</w:t>
      </w:r>
    </w:p>
    <w:p w14:paraId="62D11317" w14:textId="5533518F" w:rsidR="0074663D" w:rsidRPr="00617176" w:rsidRDefault="008D6702" w:rsidP="00310D96">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As emphasised by the Law Commission (2015) another issue is th</w:t>
      </w:r>
      <w:r w:rsidR="000748FE">
        <w:rPr>
          <w:rFonts w:ascii="Arial" w:hAnsi="Arial" w:cs="Arial"/>
          <w:color w:val="000000"/>
          <w:bdr w:val="none" w:sz="0" w:space="0" w:color="auto" w:frame="1"/>
        </w:rPr>
        <w:t>at the</w:t>
      </w:r>
      <w:r w:rsidR="0074663D" w:rsidRPr="00617176">
        <w:rPr>
          <w:rFonts w:ascii="Arial" w:hAnsi="Arial" w:cs="Arial"/>
          <w:color w:val="000000"/>
          <w:bdr w:val="none" w:sz="0" w:space="0" w:color="auto" w:frame="1"/>
        </w:rPr>
        <w:t xml:space="preserve"> </w:t>
      </w:r>
      <w:r w:rsidR="000748FE">
        <w:rPr>
          <w:rFonts w:ascii="Arial" w:hAnsi="Arial" w:cs="Arial"/>
          <w:color w:val="000000"/>
          <w:bdr w:val="none" w:sz="0" w:space="0" w:color="auto" w:frame="1"/>
        </w:rPr>
        <w:t>A</w:t>
      </w:r>
      <w:r w:rsidR="0074663D" w:rsidRPr="00617176">
        <w:rPr>
          <w:rFonts w:ascii="Arial" w:hAnsi="Arial" w:cs="Arial"/>
          <w:color w:val="000000"/>
          <w:bdr w:val="none" w:sz="0" w:space="0" w:color="auto" w:frame="1"/>
        </w:rPr>
        <w:t xml:space="preserve">ct fails to provide a hierarchy of offences and is flawed in many respects. The OAPA fails to reflect the seriousness, culpability, and the harm caused for </w:t>
      </w:r>
      <w:r w:rsidR="0074663D" w:rsidRPr="00982391">
        <w:rPr>
          <w:rFonts w:ascii="Arial" w:hAnsi="Arial" w:cs="Arial"/>
          <w:color w:val="000000"/>
          <w:bdr w:val="none" w:sz="0" w:space="0" w:color="auto" w:frame="1"/>
        </w:rPr>
        <w:t>these offences</w:t>
      </w:r>
      <w:r w:rsidR="0074663D" w:rsidRPr="00617176">
        <w:rPr>
          <w:rFonts w:ascii="Arial" w:hAnsi="Arial" w:cs="Arial"/>
          <w:color w:val="000000"/>
          <w:bdr w:val="none" w:sz="0" w:space="0" w:color="auto" w:frame="1"/>
        </w:rPr>
        <w:t>. This criticism refers to sections 18</w:t>
      </w:r>
      <w:r w:rsidR="007A3761">
        <w:rPr>
          <w:rFonts w:ascii="Arial" w:hAnsi="Arial" w:cs="Arial"/>
          <w:color w:val="000000"/>
          <w:bdr w:val="none" w:sz="0" w:space="0" w:color="auto" w:frame="1"/>
        </w:rPr>
        <w:t>(</w:t>
      </w:r>
      <w:r w:rsidR="00C65F44" w:rsidRPr="00C65F44">
        <w:rPr>
          <w:rFonts w:ascii="Arial" w:hAnsi="Arial" w:cs="Arial"/>
          <w:color w:val="000000"/>
          <w:bdr w:val="none" w:sz="0" w:space="0" w:color="auto" w:frame="1"/>
        </w:rPr>
        <w:t>Shooting or attempting to shoot, or wounding with intent to do grievous bodily harm</w:t>
      </w:r>
      <w:r w:rsidR="00982391">
        <w:rPr>
          <w:rFonts w:ascii="Arial" w:hAnsi="Arial" w:cs="Arial"/>
          <w:color w:val="000000"/>
          <w:bdr w:val="none" w:sz="0" w:space="0" w:color="auto" w:frame="1"/>
        </w:rPr>
        <w:t>)</w:t>
      </w:r>
      <w:r w:rsidR="00982391" w:rsidRPr="00617176">
        <w:rPr>
          <w:rFonts w:ascii="Arial" w:hAnsi="Arial" w:cs="Arial"/>
          <w:color w:val="000000"/>
          <w:bdr w:val="none" w:sz="0" w:space="0" w:color="auto" w:frame="1"/>
        </w:rPr>
        <w:t>, section</w:t>
      </w:r>
      <w:r w:rsidR="00C65F44">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20</w:t>
      </w:r>
      <w:r w:rsidR="007A3761">
        <w:rPr>
          <w:rFonts w:ascii="Arial" w:hAnsi="Arial" w:cs="Arial"/>
          <w:color w:val="000000"/>
          <w:bdr w:val="none" w:sz="0" w:space="0" w:color="auto" w:frame="1"/>
        </w:rPr>
        <w:t xml:space="preserve"> </w:t>
      </w:r>
      <w:r w:rsidR="00CB3BA8">
        <w:rPr>
          <w:rFonts w:ascii="Arial" w:hAnsi="Arial" w:cs="Arial"/>
          <w:color w:val="000000"/>
          <w:bdr w:val="none" w:sz="0" w:space="0" w:color="auto" w:frame="1"/>
        </w:rPr>
        <w:t>(</w:t>
      </w:r>
      <w:r w:rsidR="007A3761" w:rsidRPr="007A3761">
        <w:rPr>
          <w:rFonts w:ascii="Arial" w:hAnsi="Arial" w:cs="Arial"/>
          <w:color w:val="000000"/>
          <w:bdr w:val="none" w:sz="0" w:space="0" w:color="auto" w:frame="1"/>
        </w:rPr>
        <w:t>Inflicting bodily injury, with or without weapon</w:t>
      </w:r>
      <w:r w:rsidR="007A3761">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and </w:t>
      </w:r>
      <w:r w:rsidR="00C65F44">
        <w:rPr>
          <w:rFonts w:ascii="Arial" w:hAnsi="Arial" w:cs="Arial"/>
          <w:color w:val="000000"/>
          <w:bdr w:val="none" w:sz="0" w:space="0" w:color="auto" w:frame="1"/>
        </w:rPr>
        <w:t>section</w:t>
      </w:r>
      <w:r w:rsidR="0074663D" w:rsidRPr="00617176">
        <w:rPr>
          <w:rFonts w:ascii="Arial" w:hAnsi="Arial" w:cs="Arial"/>
          <w:color w:val="000000"/>
          <w:bdr w:val="none" w:sz="0" w:space="0" w:color="auto" w:frame="1"/>
        </w:rPr>
        <w:t>47</w:t>
      </w:r>
      <w:r w:rsidR="00C1264C">
        <w:rPr>
          <w:rFonts w:ascii="Arial" w:hAnsi="Arial" w:cs="Arial"/>
          <w:color w:val="000000"/>
          <w:bdr w:val="none" w:sz="0" w:space="0" w:color="auto" w:frame="1"/>
        </w:rPr>
        <w:t>(</w:t>
      </w:r>
      <w:r w:rsidR="00CB3BA8" w:rsidRPr="00CB3BA8">
        <w:rPr>
          <w:rFonts w:ascii="Arial" w:hAnsi="Arial" w:cs="Arial"/>
          <w:color w:val="000000"/>
          <w:bdr w:val="none" w:sz="0" w:space="0" w:color="auto" w:frame="1"/>
        </w:rPr>
        <w:t>Assault occasioning bodily harm</w:t>
      </w:r>
      <w:r w:rsidR="00CB3BA8">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and the </w:t>
      </w:r>
      <w:r w:rsidR="000748FE">
        <w:rPr>
          <w:rFonts w:ascii="Arial" w:hAnsi="Arial" w:cs="Arial"/>
          <w:color w:val="000000"/>
          <w:bdr w:val="none" w:sz="0" w:space="0" w:color="auto" w:frame="1"/>
        </w:rPr>
        <w:t xml:space="preserve">fact that the </w:t>
      </w:r>
      <w:r w:rsidR="0074663D" w:rsidRPr="00617176">
        <w:rPr>
          <w:rFonts w:ascii="Arial" w:hAnsi="Arial" w:cs="Arial"/>
          <w:color w:val="000000"/>
          <w:bdr w:val="none" w:sz="0" w:space="0" w:color="auto" w:frame="1"/>
        </w:rPr>
        <w:t xml:space="preserve">variations among them are not being spelt out. Some concerning arguments are immediately apparent, for example the maximum sentence for both section 20 and </w:t>
      </w:r>
      <w:r w:rsidR="0074663D" w:rsidRPr="00617176">
        <w:rPr>
          <w:rFonts w:ascii="Arial" w:hAnsi="Arial" w:cs="Arial"/>
          <w:color w:val="000000"/>
          <w:bdr w:val="none" w:sz="0" w:space="0" w:color="auto" w:frame="1"/>
        </w:rPr>
        <w:lastRenderedPageBreak/>
        <w:t>section 47 being five years imprisonment even though the provisions appear to differ regarding the seriousness of the actus reus (action or conduct which is an element of a crime) defined for the offence. This is uncommon, and it is thought to be incredulous that Parliament has failed to address this peculiarity in the dozens of sentencing   and criminal justice Acts that have been passed over the past forty plus years (Jefferson, 2012).</w:t>
      </w:r>
    </w:p>
    <w:p w14:paraId="14B7888E" w14:textId="77777777" w:rsidR="00310D96" w:rsidRPr="00617176" w:rsidRDefault="00310D96" w:rsidP="00310D96">
      <w:pPr>
        <w:pStyle w:val="NormalWeb"/>
        <w:shd w:val="clear" w:color="auto" w:fill="FFFFFF" w:themeFill="background1"/>
        <w:spacing w:before="0" w:after="0" w:line="480" w:lineRule="auto"/>
        <w:textAlignment w:val="baseline"/>
        <w:rPr>
          <w:rFonts w:ascii="Arial" w:hAnsi="Arial" w:cs="Arial"/>
          <w:color w:val="000000"/>
          <w:bdr w:val="none" w:sz="0" w:space="0" w:color="auto" w:frame="1"/>
        </w:rPr>
      </w:pPr>
    </w:p>
    <w:p w14:paraId="09D638AB" w14:textId="40A70AF9" w:rsidR="0074663D" w:rsidRPr="00617176" w:rsidRDefault="008D6702"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proofErr w:type="spellStart"/>
      <w:r w:rsidR="0074663D" w:rsidRPr="00617176">
        <w:rPr>
          <w:rFonts w:ascii="Arial" w:hAnsi="Arial" w:cs="Arial"/>
          <w:color w:val="000000"/>
          <w:bdr w:val="none" w:sz="0" w:space="0" w:color="auto" w:frame="1"/>
        </w:rPr>
        <w:t>Eugenicos</w:t>
      </w:r>
      <w:proofErr w:type="spellEnd"/>
      <w:r w:rsidR="0074663D" w:rsidRPr="00617176">
        <w:rPr>
          <w:rFonts w:ascii="Arial" w:hAnsi="Arial" w:cs="Arial"/>
          <w:color w:val="000000"/>
          <w:bdr w:val="none" w:sz="0" w:space="0" w:color="auto" w:frame="1"/>
        </w:rPr>
        <w:t xml:space="preserve"> (2017) emphasises there are growing disparities between low-level offences like assault, which has a six-month jail term, and causing actual bodily harm (ABH), which carries a five-year penalty. Prosecutors encounter difficulties when deciding whether to prosecute for a lower offence depending on the degree of injury, resulting in a cheaper and faster trial in magistrates' courts. If, however, the conduct resulted in genuine injury, this may be incorrect, and the prosecution should indict for an offence that matches the harm, risking a more costly Crown Court trial. In an era when the criminal justice system has battled to maintain resources owing to budget shortages and economic challenges, the alterations that are being suggested would increase efficiency and discourage wasteful spending.</w:t>
      </w:r>
    </w:p>
    <w:p w14:paraId="7A48AD64" w14:textId="29A8907D" w:rsidR="0074663D" w:rsidRPr="00617176" w:rsidRDefault="008D6702"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The Law Commission (2015) report suggests there are many offences that could possibly be selected for abolition. Some of these offences being section 17 (impeding a person escaping from a shipwreck), section 26 (not providing apprentices or servants with food), section 27 (exposing children to danger), section 31 (setting a spring gun, man trap or other engine calculated to destroy life or cause grievous bodily harm) and section 37 (assaulting a magistrate or other person in the exercise of his duty preserving a wreck), all of which are named within the OAPA </w:t>
      </w:r>
      <w:r w:rsidR="0074663D" w:rsidRPr="00617176">
        <w:rPr>
          <w:rFonts w:ascii="Arial" w:hAnsi="Arial" w:cs="Arial"/>
          <w:color w:val="000000"/>
          <w:bdr w:val="none" w:sz="0" w:space="0" w:color="auto" w:frame="1"/>
        </w:rPr>
        <w:lastRenderedPageBreak/>
        <w:t>(1861).  Professor David Ormerod KC, Law Commissioner for criminal law states these are distinctive examples of how Victorian statues were drafted with convoluted detailed offences which highlights that these offences serve no valuable purpose in the modern society. Such a point can be illustrated by the law which impedes a person endeavouring to save himself from shipwreck, a law currently defunct within modern society and serving no purpose</w:t>
      </w:r>
      <w:r w:rsidR="00694E77" w:rsidRPr="00617176">
        <w:rPr>
          <w:rFonts w:ascii="Arial" w:hAnsi="Arial" w:cs="Arial"/>
          <w:color w:val="000000"/>
          <w:bdr w:val="none" w:sz="0" w:space="0" w:color="auto" w:frame="1"/>
        </w:rPr>
        <w:t xml:space="preserve"> (</w:t>
      </w:r>
      <w:r w:rsidR="00813448" w:rsidRPr="00617176">
        <w:rPr>
          <w:rFonts w:ascii="Arial" w:hAnsi="Arial" w:cs="Arial"/>
          <w:color w:val="000000"/>
          <w:bdr w:val="none" w:sz="0" w:space="0" w:color="auto" w:frame="1"/>
        </w:rPr>
        <w:t>Law Commission England and Wales 2026).</w:t>
      </w:r>
    </w:p>
    <w:p w14:paraId="3F5E9523" w14:textId="77777777" w:rsidR="00310D96" w:rsidRPr="00617176" w:rsidRDefault="00310D96" w:rsidP="00310D96">
      <w:pPr>
        <w:pStyle w:val="NormalWeb"/>
        <w:shd w:val="clear" w:color="auto" w:fill="FFFFFF"/>
        <w:spacing w:before="0" w:after="0" w:line="480" w:lineRule="auto"/>
        <w:textAlignment w:val="baseline"/>
        <w:rPr>
          <w:rFonts w:ascii="Arial" w:hAnsi="Arial" w:cs="Arial"/>
          <w:color w:val="000000"/>
          <w:bdr w:val="none" w:sz="0" w:space="0" w:color="auto" w:frame="1"/>
        </w:rPr>
      </w:pPr>
    </w:p>
    <w:p w14:paraId="5130DB26" w14:textId="1E035FCA" w:rsidR="0074663D" w:rsidRPr="00617176" w:rsidRDefault="008D6702"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The OAPA (1861) includes a wide range of non-fatal offences. This Act covers offences that range between the solemn crimes of grievous bodily harm (GBH) to everyday common law assaults. Although the significance between these offences varies, they all contain the same characteristics, namely the use and or threat of use of violence by the defendant to the victim. There were an estimated 0.9 million violence offences in the year ending September 2023 in England and Wales (The Office for National Statistics, 2024). Despite the occurrence of these offences, the law remains governed by a statute that is over one hundred and fifty years old and as stated by Demetriou (2016) reform is undoubtedly overdue. Modernist approaches have been favourably argued in relation to the reform of the OAPA. The Law Commission (2015) advocated the idea of proposing new laws to modernise the statute.</w:t>
      </w:r>
    </w:p>
    <w:p w14:paraId="5A542A87" w14:textId="7F4B47D7" w:rsidR="0074663D" w:rsidRPr="00617176" w:rsidRDefault="008D6702" w:rsidP="00310D96">
      <w:pPr>
        <w:pStyle w:val="NormalWeb"/>
        <w:shd w:val="clear" w:color="auto" w:fill="FFFFFF"/>
        <w:spacing w:before="0" w:after="0" w:line="480" w:lineRule="auto"/>
        <w:textAlignment w:val="baseline"/>
        <w:rPr>
          <w:rFonts w:ascii="Arial" w:hAnsi="Arial" w:cs="Arial"/>
          <w:color w:val="000000"/>
          <w:bdr w:val="none" w:sz="0" w:space="0" w:color="auto" w:frame="1"/>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Within the Law Commission’s Scoping Consultation Paper (SOC) the body recommending the initiation of new offence being aggravated assault. The reason for this proposal being to resolve the issues around the growing disparities between low-level offence of assault and actual bodily harm. The proposed aggravated assault </w:t>
      </w:r>
      <w:r w:rsidR="0074663D" w:rsidRPr="00617176">
        <w:rPr>
          <w:rFonts w:ascii="Arial" w:hAnsi="Arial" w:cs="Arial"/>
          <w:color w:val="000000"/>
          <w:bdr w:val="none" w:sz="0" w:space="0" w:color="auto" w:frame="1"/>
        </w:rPr>
        <w:lastRenderedPageBreak/>
        <w:t>charge would only be triable with in the magistrate court carrying a twelve-month maximum sentence being larger that assault but a lesser actual bodily harm (ABH). Awarding this application would mean low level cases of injury can be transferable to the magistrate court ultimately saving money and accelerating the legal system (Bowcott, 2015).  Following this proposal, Justice Secertary Dominic Raab MP announced the amendment of the maximum sentence that can be given for one offence at the magistrate courts to six-month prison sentence to twelve-month prison sentence, this would approximately free up 2000 extra days of Crown Court time annually (UK Government, 2022).</w:t>
      </w:r>
    </w:p>
    <w:p w14:paraId="69F06232" w14:textId="076D8C2A" w:rsidR="0074663D" w:rsidRPr="00617176" w:rsidRDefault="008D6702" w:rsidP="00310D96">
      <w:pPr>
        <w:pStyle w:val="NormalWeb"/>
        <w:shd w:val="clear" w:color="auto" w:fill="FFFFFF"/>
        <w:spacing w:after="0" w:line="480" w:lineRule="auto"/>
        <w:textAlignment w:val="baseline"/>
        <w:rPr>
          <w:rFonts w:ascii="Arial" w:hAnsi="Arial" w:cs="Arial"/>
          <w:color w:val="242424"/>
        </w:rPr>
      </w:pPr>
      <w:r>
        <w:rPr>
          <w:rFonts w:ascii="Arial" w:hAnsi="Arial" w:cs="Arial"/>
          <w:color w:val="000000"/>
          <w:bdr w:val="none" w:sz="0" w:space="0" w:color="auto" w:frame="1"/>
        </w:rPr>
        <w:t xml:space="preserve">          </w:t>
      </w:r>
      <w:r w:rsidR="0074663D" w:rsidRPr="00617176">
        <w:rPr>
          <w:rFonts w:ascii="Arial" w:hAnsi="Arial" w:cs="Arial"/>
          <w:color w:val="000000"/>
          <w:bdr w:val="none" w:sz="0" w:space="0" w:color="auto" w:frame="1"/>
        </w:rPr>
        <w:t xml:space="preserve">Despite the clear acknowledgement that the OAPA has underpinned our legal system, with over 26,000 prosecutions of non-fatal offences on average every year, </w:t>
      </w:r>
      <w:proofErr w:type="gramStart"/>
      <w:r w:rsidR="0074663D" w:rsidRPr="00617176">
        <w:rPr>
          <w:rFonts w:ascii="Arial" w:hAnsi="Arial" w:cs="Arial"/>
          <w:color w:val="000000"/>
          <w:bdr w:val="none" w:sz="0" w:space="0" w:color="auto" w:frame="1"/>
        </w:rPr>
        <w:t>it is clear that a</w:t>
      </w:r>
      <w:proofErr w:type="gramEnd"/>
      <w:r w:rsidR="0074663D" w:rsidRPr="00617176">
        <w:rPr>
          <w:rFonts w:ascii="Arial" w:hAnsi="Arial" w:cs="Arial"/>
          <w:color w:val="000000"/>
          <w:bdr w:val="none" w:sz="0" w:space="0" w:color="auto" w:frame="1"/>
        </w:rPr>
        <w:t xml:space="preserve"> revision and amendment of the Act is essential. This is summarised by the Law Commission (2015</w:t>
      </w:r>
      <w:r w:rsidR="001A7A51">
        <w:rPr>
          <w:rFonts w:ascii="Arial" w:hAnsi="Arial" w:cs="Arial"/>
          <w:color w:val="000000"/>
          <w:bdr w:val="none" w:sz="0" w:space="0" w:color="auto" w:frame="1"/>
        </w:rPr>
        <w:t>, p196</w:t>
      </w:r>
      <w:r w:rsidR="0074663D" w:rsidRPr="00617176">
        <w:rPr>
          <w:rFonts w:ascii="Arial" w:hAnsi="Arial" w:cs="Arial"/>
          <w:color w:val="000000"/>
          <w:bdr w:val="none" w:sz="0" w:space="0" w:color="auto" w:frame="1"/>
        </w:rPr>
        <w:t>) which ‘</w:t>
      </w:r>
      <w:r w:rsidR="0074663D" w:rsidRPr="00617176">
        <w:rPr>
          <w:rFonts w:ascii="Arial" w:hAnsi="Arial" w:cs="Arial"/>
          <w:color w:val="242424"/>
        </w:rPr>
        <w:t>recommended that the 1861 Act and associated offences should be replaced by a comprehensive modern statute on offences against the person</w:t>
      </w:r>
      <w:r w:rsidR="001A7A51">
        <w:rPr>
          <w:rFonts w:ascii="Arial" w:hAnsi="Arial" w:cs="Arial"/>
          <w:color w:val="242424"/>
        </w:rPr>
        <w:t>’.</w:t>
      </w:r>
    </w:p>
    <w:p w14:paraId="45F3FA3F" w14:textId="5F2F4863" w:rsidR="0074663D" w:rsidRPr="00617176" w:rsidRDefault="008D6702" w:rsidP="00310D96">
      <w:pPr>
        <w:pStyle w:val="NormalWeb"/>
        <w:shd w:val="clear" w:color="auto" w:fill="FFFFFF" w:themeFill="background1"/>
        <w:spacing w:after="0" w:line="480" w:lineRule="auto"/>
        <w:textAlignment w:val="baseline"/>
        <w:rPr>
          <w:rFonts w:ascii="Arial" w:hAnsi="Arial" w:cs="Arial"/>
          <w:b/>
          <w:bCs/>
          <w:color w:val="000000"/>
          <w:bdr w:val="none" w:sz="0" w:space="0" w:color="auto" w:frame="1"/>
        </w:rPr>
      </w:pPr>
      <w:r>
        <w:rPr>
          <w:rFonts w:ascii="Arial" w:hAnsi="Arial" w:cs="Arial"/>
          <w:color w:val="242424"/>
        </w:rPr>
        <w:t xml:space="preserve">          </w:t>
      </w:r>
      <w:r w:rsidR="0074663D" w:rsidRPr="00617176">
        <w:rPr>
          <w:rFonts w:ascii="Arial" w:hAnsi="Arial" w:cs="Arial"/>
          <w:color w:val="242424"/>
        </w:rPr>
        <w:t>More prominently, there was a clear alignment that such reform should be inclusive of psychological or ‘mental injury’ being considered when contemplating the impact on victims. The recommendation also clearly tackles the need to address the outdated language, citing how there is ‘necessary updating to the wording’ (</w:t>
      </w:r>
      <w:r w:rsidR="001A7A51">
        <w:rPr>
          <w:rFonts w:ascii="Arial" w:hAnsi="Arial" w:cs="Arial"/>
          <w:color w:val="242424"/>
        </w:rPr>
        <w:t xml:space="preserve">Law Commission, 2015, </w:t>
      </w:r>
      <w:r w:rsidR="0074663D" w:rsidRPr="00617176">
        <w:rPr>
          <w:rFonts w:ascii="Arial" w:hAnsi="Arial" w:cs="Arial"/>
          <w:color w:val="242424"/>
        </w:rPr>
        <w:t xml:space="preserve">p199). Succinctly, </w:t>
      </w:r>
      <w:r w:rsidR="0074663D" w:rsidRPr="00617176">
        <w:rPr>
          <w:rFonts w:ascii="Arial" w:hAnsi="Arial" w:cs="Arial"/>
          <w:color w:val="000000"/>
          <w:bdr w:val="none" w:sz="0" w:space="0" w:color="auto" w:frame="1"/>
        </w:rPr>
        <w:t xml:space="preserve">as is noted in the example </w:t>
      </w:r>
      <w:proofErr w:type="gramStart"/>
      <w:r w:rsidR="0074663D" w:rsidRPr="00617176">
        <w:rPr>
          <w:rFonts w:ascii="Arial" w:hAnsi="Arial" w:cs="Arial"/>
          <w:color w:val="000000"/>
          <w:bdr w:val="none" w:sz="0" w:space="0" w:color="auto" w:frame="1"/>
        </w:rPr>
        <w:t xml:space="preserve">of  </w:t>
      </w:r>
      <w:r w:rsidR="001A7A51">
        <w:rPr>
          <w:rFonts w:ascii="Arial" w:hAnsi="Arial" w:cs="Arial"/>
          <w:color w:val="000000"/>
          <w:bdr w:val="none" w:sz="0" w:space="0" w:color="auto" w:frame="1"/>
        </w:rPr>
        <w:t>‘</w:t>
      </w:r>
      <w:proofErr w:type="gramEnd"/>
      <w:r w:rsidR="0074663D" w:rsidRPr="00617176">
        <w:rPr>
          <w:rFonts w:ascii="Arial" w:hAnsi="Arial" w:cs="Arial"/>
          <w:color w:val="000000"/>
          <w:bdr w:val="none" w:sz="0" w:space="0" w:color="auto" w:frame="1"/>
        </w:rPr>
        <w:t>R v Lynsey</w:t>
      </w:r>
      <w:r w:rsidR="001A7A51">
        <w:rPr>
          <w:rFonts w:ascii="Arial" w:hAnsi="Arial" w:cs="Arial"/>
          <w:color w:val="000000"/>
          <w:bdr w:val="none" w:sz="0" w:space="0" w:color="auto" w:frame="1"/>
        </w:rPr>
        <w:t>’</w:t>
      </w:r>
      <w:r w:rsidR="0074663D" w:rsidRPr="00617176">
        <w:rPr>
          <w:rFonts w:ascii="Arial" w:hAnsi="Arial" w:cs="Arial"/>
          <w:color w:val="000000"/>
          <w:bdr w:val="none" w:sz="0" w:space="0" w:color="auto" w:frame="1"/>
        </w:rPr>
        <w:t xml:space="preserve"> (1995) that ‘Bad laws cost money and clog up the courts with better things to do’ (Jefferson, 2012, p472) and this summarises the urgent need for reform. Adopting the recommendations has numerous advantages for those implementing and upholding such statutes. Such a view is supported by Finch and Fafinski (2021) who </w:t>
      </w:r>
      <w:r w:rsidR="0074663D" w:rsidRPr="00617176">
        <w:rPr>
          <w:rFonts w:ascii="Arial" w:hAnsi="Arial" w:cs="Arial"/>
          <w:color w:val="000000"/>
          <w:bdr w:val="none" w:sz="0" w:space="0" w:color="auto" w:frame="1"/>
        </w:rPr>
        <w:lastRenderedPageBreak/>
        <w:t xml:space="preserve">argue that the implementation of the Law Commission’s findings and establishing a new hierarchy of offences could support clearing up some of the procedural discrepancies in relation to the </w:t>
      </w:r>
      <w:r w:rsidR="0074663D" w:rsidRPr="001A7A51">
        <w:rPr>
          <w:rFonts w:ascii="Arial" w:hAnsi="Arial" w:cs="Arial"/>
          <w:i/>
          <w:iCs/>
          <w:color w:val="000000"/>
          <w:bdr w:val="none" w:sz="0" w:space="0" w:color="auto" w:frame="1"/>
        </w:rPr>
        <w:t>O</w:t>
      </w:r>
      <w:r w:rsidR="001A7A51" w:rsidRPr="001A7A51">
        <w:rPr>
          <w:rFonts w:ascii="Arial" w:hAnsi="Arial" w:cs="Arial"/>
          <w:i/>
          <w:iCs/>
          <w:color w:val="000000"/>
          <w:bdr w:val="none" w:sz="0" w:space="0" w:color="auto" w:frame="1"/>
        </w:rPr>
        <w:t>ffences Against the Person Act 1861</w:t>
      </w:r>
      <w:r w:rsidR="0074663D" w:rsidRPr="00617176">
        <w:rPr>
          <w:rFonts w:ascii="Arial" w:hAnsi="Arial" w:cs="Arial"/>
          <w:color w:val="000000"/>
          <w:bdr w:val="none" w:sz="0" w:space="0" w:color="auto" w:frame="1"/>
        </w:rPr>
        <w:t xml:space="preserve">. </w:t>
      </w:r>
    </w:p>
    <w:p w14:paraId="3BD413CF"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5208CCA2"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369F33ED"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497D31B"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F8A7BA4"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EB60B56"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48DDA407"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79EA8CD0"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3628F376"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5C10BEEC"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09794166"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0BCE9B7B"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102F84B8"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0A0341D1"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3A00A087"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451B3E53" w14:textId="77777777" w:rsidR="0074663D" w:rsidRPr="00617176" w:rsidRDefault="0074663D" w:rsidP="0074663D">
      <w:pPr>
        <w:pStyle w:val="xelementtoproof"/>
        <w:shd w:val="clear" w:color="auto" w:fill="FFFFFF"/>
        <w:spacing w:before="0" w:beforeAutospacing="0" w:after="0" w:afterAutospacing="0"/>
        <w:rPr>
          <w:rFonts w:ascii="Arial" w:hAnsi="Arial" w:cs="Arial"/>
          <w:b/>
          <w:bCs/>
          <w:color w:val="000000"/>
          <w:bdr w:val="none" w:sz="0" w:space="0" w:color="auto" w:frame="1"/>
        </w:rPr>
      </w:pPr>
    </w:p>
    <w:p w14:paraId="4132C37B"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53820A8B"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3EDB4D90"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7E3B69B2"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4852D071" w14:textId="77777777" w:rsidR="0074663D" w:rsidRPr="00617176" w:rsidRDefault="0074663D" w:rsidP="0074663D">
      <w:pPr>
        <w:pStyle w:val="xelementtoproof"/>
        <w:shd w:val="clear" w:color="auto" w:fill="FFFFFF" w:themeFill="background1"/>
        <w:spacing w:before="0" w:beforeAutospacing="0" w:after="0" w:afterAutospacing="0"/>
        <w:rPr>
          <w:rFonts w:ascii="Arial" w:hAnsi="Arial" w:cs="Arial"/>
          <w:b/>
          <w:bCs/>
          <w:color w:val="000000" w:themeColor="text1"/>
        </w:rPr>
      </w:pPr>
    </w:p>
    <w:p w14:paraId="4A60A2A5"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2A1EC0AC"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35315697"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1458E23D"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65E4146C"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133C9E67"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62B0DCD2" w14:textId="77777777" w:rsidR="00310D96" w:rsidRPr="00617176" w:rsidRDefault="00310D96" w:rsidP="0074663D">
      <w:pPr>
        <w:pStyle w:val="xelementtoproof"/>
        <w:shd w:val="clear" w:color="auto" w:fill="FFFFFF" w:themeFill="background1"/>
        <w:spacing w:before="0" w:beforeAutospacing="0" w:after="0" w:afterAutospacing="0"/>
        <w:rPr>
          <w:rFonts w:ascii="Arial" w:hAnsi="Arial" w:cs="Arial"/>
          <w:b/>
          <w:bCs/>
          <w:color w:val="000000"/>
          <w:bdr w:val="none" w:sz="0" w:space="0" w:color="auto" w:frame="1"/>
        </w:rPr>
      </w:pPr>
    </w:p>
    <w:p w14:paraId="1585FB90" w14:textId="77777777" w:rsidR="0019044B" w:rsidRDefault="0019044B" w:rsidP="003E08E9">
      <w:pPr>
        <w:pStyle w:val="xelementtoproof"/>
        <w:shd w:val="clear" w:color="auto" w:fill="FFFFFF" w:themeFill="background1"/>
        <w:spacing w:before="0" w:beforeAutospacing="0" w:after="0" w:afterAutospacing="0" w:line="360" w:lineRule="auto"/>
        <w:rPr>
          <w:rFonts w:ascii="Arial" w:hAnsi="Arial" w:cs="Arial"/>
          <w:b/>
          <w:bCs/>
          <w:color w:val="000000"/>
          <w:bdr w:val="none" w:sz="0" w:space="0" w:color="auto" w:frame="1"/>
        </w:rPr>
      </w:pPr>
    </w:p>
    <w:p w14:paraId="56687C03"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68E97856"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0BCED337"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71D5B03C"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25E050EE"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3337F0EB"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30B0EBDA"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677B38EF" w14:textId="77777777" w:rsidR="001A7A51" w:rsidRDefault="001A7A51"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0BAE8E8C" w14:textId="77777777" w:rsidR="00F308F7" w:rsidRDefault="00F308F7" w:rsidP="003E08E9">
      <w:pPr>
        <w:pStyle w:val="xelementtoproof"/>
        <w:shd w:val="clear" w:color="auto" w:fill="FFFFFF" w:themeFill="background1"/>
        <w:spacing w:before="0" w:beforeAutospacing="0" w:after="0" w:afterAutospacing="0" w:line="360" w:lineRule="auto"/>
        <w:rPr>
          <w:rFonts w:ascii="Arial" w:hAnsi="Arial" w:cs="Arial"/>
          <w:b/>
          <w:bCs/>
          <w:color w:val="000000"/>
          <w:u w:val="single"/>
          <w:bdr w:val="none" w:sz="0" w:space="0" w:color="auto" w:frame="1"/>
        </w:rPr>
      </w:pPr>
    </w:p>
    <w:p w14:paraId="2C1365C7" w14:textId="716A077F" w:rsidR="0074663D" w:rsidRPr="00F308F7" w:rsidRDefault="0074663D" w:rsidP="003E08E9">
      <w:pPr>
        <w:pStyle w:val="xelementtoproof"/>
        <w:shd w:val="clear" w:color="auto" w:fill="FFFFFF" w:themeFill="background1"/>
        <w:spacing w:before="0" w:beforeAutospacing="0" w:after="0" w:afterAutospacing="0" w:line="360" w:lineRule="auto"/>
        <w:rPr>
          <w:rFonts w:ascii="Arial" w:hAnsi="Arial" w:cs="Arial"/>
          <w:b/>
          <w:bCs/>
          <w:color w:val="242424"/>
          <w:u w:val="single"/>
        </w:rPr>
      </w:pPr>
      <w:r w:rsidRPr="00F308F7">
        <w:rPr>
          <w:rFonts w:ascii="Arial" w:hAnsi="Arial" w:cs="Arial"/>
          <w:b/>
          <w:bCs/>
          <w:color w:val="000000"/>
          <w:u w:val="single"/>
          <w:bdr w:val="none" w:sz="0" w:space="0" w:color="auto" w:frame="1"/>
        </w:rPr>
        <w:lastRenderedPageBreak/>
        <w:t>References</w:t>
      </w:r>
    </w:p>
    <w:p w14:paraId="7F345E41" w14:textId="69FC4B20" w:rsidR="0074663D" w:rsidRPr="00F308F7" w:rsidRDefault="0074663D" w:rsidP="003E08E9">
      <w:pPr>
        <w:pStyle w:val="NormalWeb"/>
        <w:shd w:val="clear" w:color="auto" w:fill="FFFFFF" w:themeFill="background1"/>
        <w:spacing w:after="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Bowcott</w:t>
      </w:r>
      <w:r w:rsidR="001A7A51" w:rsidRPr="00F308F7">
        <w:rPr>
          <w:rFonts w:ascii="Arial" w:hAnsi="Arial" w:cs="Arial"/>
          <w:color w:val="000000"/>
          <w:bdr w:val="none" w:sz="0" w:space="0" w:color="auto" w:frame="1"/>
        </w:rPr>
        <w:t>,</w:t>
      </w:r>
      <w:r w:rsidRPr="00F308F7">
        <w:rPr>
          <w:rFonts w:ascii="Arial" w:hAnsi="Arial" w:cs="Arial"/>
          <w:color w:val="000000"/>
          <w:bdr w:val="none" w:sz="0" w:space="0" w:color="auto" w:frame="1"/>
        </w:rPr>
        <w:t xml:space="preserve"> O</w:t>
      </w:r>
      <w:r w:rsidR="001A7A51" w:rsidRPr="00F308F7">
        <w:rPr>
          <w:rFonts w:ascii="Arial" w:hAnsi="Arial" w:cs="Arial"/>
          <w:color w:val="000000"/>
          <w:bdr w:val="none" w:sz="0" w:space="0" w:color="auto" w:frame="1"/>
        </w:rPr>
        <w:t>.</w:t>
      </w:r>
      <w:r w:rsidRPr="00F308F7">
        <w:rPr>
          <w:rFonts w:ascii="Arial" w:hAnsi="Arial" w:cs="Arial"/>
          <w:color w:val="000000"/>
          <w:bdr w:val="none" w:sz="0" w:space="0" w:color="auto" w:frame="1"/>
        </w:rPr>
        <w:t xml:space="preserve"> (2015</w:t>
      </w:r>
      <w:r w:rsidRPr="00F308F7">
        <w:rPr>
          <w:rFonts w:ascii="Arial" w:hAnsi="Arial" w:cs="Arial"/>
          <w:i/>
          <w:iCs/>
          <w:color w:val="000000"/>
          <w:bdr w:val="none" w:sz="0" w:space="0" w:color="auto" w:frame="1"/>
        </w:rPr>
        <w:t>) ‘Let magistrates deal with more assault cases, says law reform body’</w:t>
      </w:r>
      <w:r w:rsidR="001A7A51" w:rsidRPr="00F308F7">
        <w:rPr>
          <w:rFonts w:ascii="Arial" w:hAnsi="Arial" w:cs="Arial"/>
          <w:color w:val="000000"/>
          <w:bdr w:val="none" w:sz="0" w:space="0" w:color="auto" w:frame="1"/>
        </w:rPr>
        <w:t xml:space="preserve">, </w:t>
      </w:r>
      <w:r w:rsidR="001A7A51" w:rsidRPr="00F308F7">
        <w:rPr>
          <w:rFonts w:ascii="Arial" w:hAnsi="Arial" w:cs="Arial"/>
          <w:i/>
          <w:iCs/>
          <w:color w:val="000000"/>
          <w:bdr w:val="none" w:sz="0" w:space="0" w:color="auto" w:frame="1"/>
        </w:rPr>
        <w:t>The Guardian</w:t>
      </w:r>
      <w:r w:rsidR="001A7A51" w:rsidRPr="00F308F7">
        <w:rPr>
          <w:rFonts w:ascii="Arial" w:hAnsi="Arial" w:cs="Arial"/>
          <w:color w:val="000000"/>
          <w:bdr w:val="none" w:sz="0" w:space="0" w:color="auto" w:frame="1"/>
        </w:rPr>
        <w:t xml:space="preserve">, 3 November. </w:t>
      </w:r>
      <w:r w:rsidRPr="00F308F7">
        <w:rPr>
          <w:rFonts w:ascii="Arial" w:hAnsi="Arial" w:cs="Arial"/>
          <w:color w:val="000000"/>
          <w:bdr w:val="none" w:sz="0" w:space="0" w:color="auto" w:frame="1"/>
        </w:rPr>
        <w:t xml:space="preserve"> Available at:</w:t>
      </w:r>
      <w:r w:rsidR="0060750D" w:rsidRPr="00F308F7">
        <w:rPr>
          <w:rFonts w:ascii="Arial" w:hAnsi="Arial" w:cs="Arial"/>
        </w:rPr>
        <w:t xml:space="preserve"> </w:t>
      </w:r>
      <w:hyperlink r:id="rId7" w:history="1">
        <w:r w:rsidR="0060750D" w:rsidRPr="00F308F7">
          <w:rPr>
            <w:rStyle w:val="Hyperlink"/>
            <w:rFonts w:ascii="Arial" w:eastAsiaTheme="majorEastAsia" w:hAnsi="Arial" w:cs="Arial"/>
          </w:rPr>
          <w:t>Let magistrates deal with more assault cases, says law reform body | UK criminal justice | The Guardian</w:t>
        </w:r>
      </w:hyperlink>
      <w:r w:rsidR="00A43303" w:rsidRPr="00F308F7">
        <w:rPr>
          <w:rFonts w:ascii="Arial" w:hAnsi="Arial" w:cs="Arial"/>
        </w:rPr>
        <w:t xml:space="preserve"> </w:t>
      </w:r>
      <w:r w:rsidR="00A4330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w:t>
      </w:r>
      <w:bookmarkStart w:id="1" w:name="_Int_RZHXKJFE"/>
      <w:r w:rsidRPr="00F308F7">
        <w:rPr>
          <w:rFonts w:ascii="Arial" w:hAnsi="Arial" w:cs="Arial"/>
          <w:color w:val="000000"/>
          <w:bdr w:val="none" w:sz="0" w:space="0" w:color="auto" w:frame="1"/>
        </w:rPr>
        <w:t>:</w:t>
      </w:r>
      <w:bookmarkEnd w:id="1"/>
      <w:r w:rsidRPr="00F308F7">
        <w:rPr>
          <w:rFonts w:ascii="Arial" w:hAnsi="Arial" w:cs="Arial"/>
          <w:color w:val="000000"/>
          <w:bdr w:val="none" w:sz="0" w:space="0" w:color="auto" w:frame="1"/>
        </w:rPr>
        <w:t xml:space="preserve"> </w:t>
      </w:r>
      <w:r w:rsidR="0081606F" w:rsidRPr="00F308F7">
        <w:rPr>
          <w:rFonts w:ascii="Arial" w:hAnsi="Arial" w:cs="Arial"/>
          <w:color w:val="000000"/>
          <w:bdr w:val="none" w:sz="0" w:space="0" w:color="auto" w:frame="1"/>
        </w:rPr>
        <w:t>12 March</w:t>
      </w:r>
      <w:r w:rsidRPr="00F308F7">
        <w:rPr>
          <w:rFonts w:ascii="Arial" w:hAnsi="Arial" w:cs="Arial"/>
          <w:color w:val="000000"/>
          <w:bdr w:val="none" w:sz="0" w:space="0" w:color="auto" w:frame="1"/>
        </w:rPr>
        <w:t xml:space="preserve"> 2024</w:t>
      </w:r>
      <w:r w:rsidR="00A43303" w:rsidRPr="00F308F7">
        <w:rPr>
          <w:rFonts w:ascii="Arial" w:hAnsi="Arial" w:cs="Arial"/>
          <w:color w:val="000000"/>
          <w:bdr w:val="none" w:sz="0" w:space="0" w:color="auto" w:frame="1"/>
        </w:rPr>
        <w:t>).</w:t>
      </w:r>
    </w:p>
    <w:p w14:paraId="665AFBA6" w14:textId="77777777" w:rsidR="00617176" w:rsidRPr="00F308F7" w:rsidRDefault="00617176" w:rsidP="003E08E9">
      <w:pPr>
        <w:pStyle w:val="NormalWeb"/>
        <w:shd w:val="clear" w:color="auto" w:fill="FFFFFF" w:themeFill="background1"/>
        <w:spacing w:after="0" w:line="360" w:lineRule="auto"/>
        <w:rPr>
          <w:rFonts w:ascii="Arial" w:hAnsi="Arial" w:cs="Arial"/>
          <w:color w:val="000000"/>
          <w:bdr w:val="none" w:sz="0" w:space="0" w:color="auto" w:frame="1"/>
        </w:rPr>
      </w:pPr>
    </w:p>
    <w:p w14:paraId="7B31FB00" w14:textId="2AE8D7AE"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Caron, S. (2024) </w:t>
      </w:r>
      <w:r w:rsidRPr="00F308F7">
        <w:rPr>
          <w:rFonts w:ascii="Arial" w:hAnsi="Arial" w:cs="Arial"/>
          <w:i/>
          <w:iCs/>
          <w:color w:val="000000"/>
          <w:bdr w:val="none" w:sz="0" w:space="0" w:color="auto" w:frame="1"/>
        </w:rPr>
        <w:t>‘Regina v. Cunningham’.</w:t>
      </w:r>
      <w:r w:rsidRPr="00F308F7">
        <w:rPr>
          <w:rFonts w:ascii="Arial" w:hAnsi="Arial" w:cs="Arial"/>
          <w:color w:val="000000"/>
          <w:bdr w:val="none" w:sz="0" w:space="0" w:color="auto" w:frame="1"/>
        </w:rPr>
        <w:t> Available</w:t>
      </w:r>
      <w:r w:rsidR="00AB5CC1" w:rsidRPr="00F308F7">
        <w:rPr>
          <w:rFonts w:ascii="Arial" w:hAnsi="Arial" w:cs="Arial"/>
          <w:color w:val="000000"/>
          <w:bdr w:val="none" w:sz="0" w:space="0" w:color="auto" w:frame="1"/>
        </w:rPr>
        <w:t xml:space="preserve"> </w:t>
      </w:r>
      <w:r w:rsidRPr="00F308F7">
        <w:rPr>
          <w:rFonts w:ascii="Arial" w:hAnsi="Arial" w:cs="Arial"/>
          <w:color w:val="000000"/>
          <w:bdr w:val="none" w:sz="0" w:space="0" w:color="auto" w:frame="1"/>
        </w:rPr>
        <w:t>at: </w:t>
      </w:r>
      <w:hyperlink r:id="rId8" w:history="1">
        <w:r w:rsidR="00953C1F" w:rsidRPr="00F308F7">
          <w:rPr>
            <w:rStyle w:val="Hyperlink"/>
            <w:rFonts w:ascii="Arial" w:eastAsiaTheme="majorEastAsia" w:hAnsi="Arial" w:cs="Arial"/>
          </w:rPr>
          <w:t xml:space="preserve">Regina v. Cunningham | Case Brief for Law Students | </w:t>
        </w:r>
        <w:proofErr w:type="spellStart"/>
        <w:r w:rsidR="00953C1F" w:rsidRPr="00F308F7">
          <w:rPr>
            <w:rStyle w:val="Hyperlink"/>
            <w:rFonts w:ascii="Arial" w:eastAsiaTheme="majorEastAsia" w:hAnsi="Arial" w:cs="Arial"/>
          </w:rPr>
          <w:t>Casebriefs</w:t>
        </w:r>
        <w:proofErr w:type="spellEnd"/>
      </w:hyperlink>
      <w:r w:rsidR="00A43303" w:rsidRPr="00F308F7">
        <w:rPr>
          <w:rFonts w:ascii="Arial" w:hAnsi="Arial" w:cs="Arial"/>
          <w:color w:val="000000"/>
          <w:bdr w:val="none" w:sz="0" w:space="0" w:color="auto" w:frame="1"/>
        </w:rPr>
        <w:t xml:space="preserve"> (</w:t>
      </w:r>
      <w:r w:rsidRPr="00F308F7">
        <w:rPr>
          <w:rFonts w:ascii="Arial" w:hAnsi="Arial" w:cs="Arial"/>
          <w:color w:val="000000"/>
          <w:bdr w:val="none" w:sz="0" w:space="0" w:color="auto" w:frame="1"/>
        </w:rPr>
        <w:t>Accessed</w:t>
      </w:r>
      <w:r w:rsidR="00A43303" w:rsidRPr="00F308F7">
        <w:rPr>
          <w:rFonts w:ascii="Arial" w:hAnsi="Arial" w:cs="Arial"/>
          <w:color w:val="000000"/>
          <w:bdr w:val="none" w:sz="0" w:space="0" w:color="auto" w:frame="1"/>
        </w:rPr>
        <w:t xml:space="preserve">: </w:t>
      </w:r>
      <w:r w:rsidRPr="00F308F7">
        <w:rPr>
          <w:rFonts w:ascii="Arial" w:hAnsi="Arial" w:cs="Arial"/>
          <w:color w:val="000000"/>
          <w:bdr w:val="none" w:sz="0" w:space="0" w:color="auto" w:frame="1"/>
        </w:rPr>
        <w:t>28</w:t>
      </w:r>
      <w:r w:rsidR="00A43303" w:rsidRPr="00F308F7">
        <w:rPr>
          <w:rFonts w:ascii="Arial" w:hAnsi="Arial" w:cs="Arial"/>
          <w:color w:val="000000"/>
          <w:bdr w:val="none" w:sz="0" w:space="0" w:color="auto" w:frame="1"/>
          <w:vertAlign w:val="superscript"/>
        </w:rPr>
        <w:t xml:space="preserve"> </w:t>
      </w:r>
      <w:r w:rsidRPr="00F308F7">
        <w:rPr>
          <w:rFonts w:ascii="Arial" w:hAnsi="Arial" w:cs="Arial"/>
          <w:color w:val="000000"/>
          <w:bdr w:val="none" w:sz="0" w:space="0" w:color="auto" w:frame="1"/>
        </w:rPr>
        <w:t>February 2024</w:t>
      </w:r>
      <w:r w:rsidR="00A43303" w:rsidRPr="00F308F7">
        <w:rPr>
          <w:rFonts w:ascii="Arial" w:hAnsi="Arial" w:cs="Arial"/>
          <w:color w:val="000000"/>
          <w:bdr w:val="none" w:sz="0" w:space="0" w:color="auto" w:frame="1"/>
        </w:rPr>
        <w:t>)</w:t>
      </w:r>
    </w:p>
    <w:p w14:paraId="7860EE28"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45A16148" w14:textId="0E47C059" w:rsidR="0074663D" w:rsidRPr="00F308F7" w:rsidRDefault="0074663D" w:rsidP="003E08E9">
      <w:pPr>
        <w:pStyle w:val="NormalWeb"/>
        <w:shd w:val="clear" w:color="auto" w:fill="FFFFFF" w:themeFill="background1"/>
        <w:spacing w:after="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 xml:space="preserve">Demetriou, S (2016). </w:t>
      </w:r>
      <w:r w:rsidRPr="00F308F7">
        <w:rPr>
          <w:rFonts w:ascii="Arial" w:hAnsi="Arial" w:cs="Arial"/>
          <w:i/>
          <w:iCs/>
          <w:color w:val="000000"/>
          <w:bdr w:val="none" w:sz="0" w:space="0" w:color="auto" w:frame="1"/>
        </w:rPr>
        <w:t>‘Not Giving Up the Fight: A Review of the Law Commission’s Scoping Report on Non-fatal Offences Against the Person’</w:t>
      </w:r>
      <w:r w:rsidRPr="00F308F7">
        <w:rPr>
          <w:rFonts w:ascii="Arial" w:hAnsi="Arial" w:cs="Arial"/>
          <w:color w:val="000000"/>
          <w:bdr w:val="none" w:sz="0" w:space="0" w:color="auto" w:frame="1"/>
        </w:rPr>
        <w:t xml:space="preserve">. Available at: </w:t>
      </w:r>
      <w:hyperlink r:id="rId9" w:history="1">
        <w:r w:rsidR="007320B7" w:rsidRPr="00F308F7">
          <w:rPr>
            <w:rStyle w:val="Hyperlink"/>
            <w:rFonts w:ascii="Arial" w:eastAsiaTheme="majorEastAsia" w:hAnsi="Arial" w:cs="Arial"/>
          </w:rPr>
          <w:t>Not Giving Up the Fight: A Review of the Law Commission’s Scoping Report on Non-fatal Offences Against the Person - Stavros Demetriou, 2016 (sagepub.com)</w:t>
        </w:r>
      </w:hyperlink>
      <w:r w:rsidR="0018688A" w:rsidRPr="00F308F7">
        <w:rPr>
          <w:rFonts w:ascii="Arial" w:hAnsi="Arial" w:cs="Arial"/>
        </w:rPr>
        <w:t xml:space="preserve">. </w:t>
      </w:r>
      <w:r w:rsidR="00B65CF3" w:rsidRPr="00F308F7">
        <w:rPr>
          <w:rFonts w:ascii="Arial" w:hAnsi="Arial" w:cs="Arial"/>
        </w:rPr>
        <w:t>(</w:t>
      </w:r>
      <w:r w:rsidRPr="00F308F7">
        <w:rPr>
          <w:rFonts w:ascii="Arial" w:hAnsi="Arial" w:cs="Arial"/>
          <w:color w:val="000000"/>
          <w:bdr w:val="none" w:sz="0" w:space="0" w:color="auto" w:frame="1"/>
        </w:rPr>
        <w:t>Accessed</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1</w:t>
      </w:r>
      <w:r w:rsidR="00B65CF3" w:rsidRPr="00F308F7">
        <w:rPr>
          <w:rFonts w:ascii="Arial" w:hAnsi="Arial" w:cs="Arial"/>
          <w:color w:val="000000"/>
          <w:bdr w:val="none" w:sz="0" w:space="0" w:color="auto" w:frame="1"/>
        </w:rPr>
        <w:t>1</w:t>
      </w:r>
      <w:r w:rsidRPr="00F308F7">
        <w:rPr>
          <w:rFonts w:ascii="Arial" w:hAnsi="Arial" w:cs="Arial"/>
          <w:color w:val="000000"/>
          <w:bdr w:val="none" w:sz="0" w:space="0" w:color="auto" w:frame="1"/>
        </w:rPr>
        <w:t xml:space="preserve"> of March 2024</w:t>
      </w:r>
      <w:r w:rsidR="00B65CF3" w:rsidRPr="00F308F7">
        <w:rPr>
          <w:rFonts w:ascii="Arial" w:hAnsi="Arial" w:cs="Arial"/>
          <w:color w:val="000000"/>
          <w:bdr w:val="none" w:sz="0" w:space="0" w:color="auto" w:frame="1"/>
        </w:rPr>
        <w:t>)</w:t>
      </w:r>
    </w:p>
    <w:p w14:paraId="0A7674FD" w14:textId="77777777" w:rsidR="00617176" w:rsidRPr="00F308F7" w:rsidRDefault="00617176" w:rsidP="003E08E9">
      <w:pPr>
        <w:pStyle w:val="NormalWeb"/>
        <w:shd w:val="clear" w:color="auto" w:fill="FFFFFF" w:themeFill="background1"/>
        <w:spacing w:after="0" w:line="360" w:lineRule="auto"/>
        <w:rPr>
          <w:rFonts w:ascii="Arial" w:hAnsi="Arial" w:cs="Arial"/>
          <w:color w:val="000000"/>
          <w:bdr w:val="none" w:sz="0" w:space="0" w:color="auto" w:frame="1"/>
        </w:rPr>
      </w:pPr>
    </w:p>
    <w:p w14:paraId="01A94851" w14:textId="3B37F637" w:rsidR="00FA2513"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roofErr w:type="spellStart"/>
      <w:r w:rsidRPr="00F308F7">
        <w:rPr>
          <w:rFonts w:ascii="Arial" w:hAnsi="Arial" w:cs="Arial"/>
          <w:color w:val="000000"/>
          <w:bdr w:val="none" w:sz="0" w:space="0" w:color="auto" w:frame="1"/>
        </w:rPr>
        <w:t>Eugenicos</w:t>
      </w:r>
      <w:proofErr w:type="spellEnd"/>
      <w:r w:rsidRPr="00F308F7">
        <w:rPr>
          <w:rFonts w:ascii="Arial" w:hAnsi="Arial" w:cs="Arial"/>
          <w:color w:val="000000"/>
          <w:bdr w:val="none" w:sz="0" w:space="0" w:color="auto" w:frame="1"/>
        </w:rPr>
        <w:t>, A. (2017 p, 2) </w:t>
      </w:r>
      <w:r w:rsidRPr="00F308F7">
        <w:rPr>
          <w:rFonts w:ascii="Arial" w:hAnsi="Arial" w:cs="Arial"/>
          <w:i/>
          <w:iCs/>
          <w:color w:val="000000"/>
          <w:bdr w:val="none" w:sz="0" w:space="0" w:color="auto" w:frame="1"/>
        </w:rPr>
        <w:t>‘Should We Reform the Offences Against the Person Act 1861?</w:t>
      </w:r>
      <w:r w:rsidRPr="00F308F7">
        <w:rPr>
          <w:rFonts w:ascii="Arial" w:hAnsi="Arial" w:cs="Arial"/>
          <w:color w:val="000000"/>
          <w:bdr w:val="none" w:sz="0" w:space="0" w:color="auto" w:frame="1"/>
        </w:rPr>
        <w:t xml:space="preserve">’, The Journal of Criminal Law, 81 (1)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28 February 2024</w:t>
      </w:r>
      <w:r w:rsidR="00B65CF3" w:rsidRPr="00F308F7">
        <w:rPr>
          <w:rFonts w:ascii="Arial" w:hAnsi="Arial" w:cs="Arial"/>
          <w:color w:val="000000"/>
          <w:bdr w:val="none" w:sz="0" w:space="0" w:color="auto" w:frame="1"/>
        </w:rPr>
        <w:t>)</w:t>
      </w:r>
    </w:p>
    <w:p w14:paraId="3671C4A3"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234AB3F3"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03E63DEF"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 xml:space="preserve">Finch, E. and Fafinski, S (2021) </w:t>
      </w:r>
      <w:r w:rsidRPr="00F308F7">
        <w:rPr>
          <w:rFonts w:ascii="Arial" w:hAnsi="Arial" w:cs="Arial"/>
          <w:i/>
          <w:iCs/>
          <w:color w:val="000000"/>
          <w:bdr w:val="none" w:sz="0" w:space="0" w:color="auto" w:frame="1"/>
        </w:rPr>
        <w:t xml:space="preserve">‘Criminal Law’ </w:t>
      </w:r>
      <w:r w:rsidRPr="00F308F7">
        <w:rPr>
          <w:rFonts w:ascii="Arial" w:hAnsi="Arial" w:cs="Arial"/>
          <w:color w:val="000000"/>
          <w:bdr w:val="none" w:sz="0" w:space="0" w:color="auto" w:frame="1"/>
        </w:rPr>
        <w:t xml:space="preserve">Pearson Education. London. </w:t>
      </w:r>
    </w:p>
    <w:p w14:paraId="791F1A46"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242424"/>
        </w:rPr>
      </w:pPr>
    </w:p>
    <w:p w14:paraId="32E2A655"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242424"/>
        </w:rPr>
      </w:pPr>
    </w:p>
    <w:p w14:paraId="3C13E0AC" w14:textId="19A4DB71"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Jackson, A and Storey, T (2015) ‘</w:t>
      </w:r>
      <w:r w:rsidRPr="00F308F7">
        <w:rPr>
          <w:rFonts w:ascii="Arial" w:hAnsi="Arial" w:cs="Arial"/>
          <w:i/>
          <w:iCs/>
          <w:color w:val="000000"/>
          <w:bdr w:val="none" w:sz="0" w:space="0" w:color="auto" w:frame="1"/>
        </w:rPr>
        <w:t>Reforming the Offences Against the Person: In Defence of ‘‘Moderate’’ Constructivism’</w:t>
      </w:r>
      <w:r w:rsidRPr="00F308F7">
        <w:rPr>
          <w:rFonts w:ascii="Arial" w:hAnsi="Arial" w:cs="Arial"/>
          <w:color w:val="000000"/>
          <w:bdr w:val="none" w:sz="0" w:space="0" w:color="auto" w:frame="1"/>
        </w:rPr>
        <w:t xml:space="preserve"> Available at: </w:t>
      </w:r>
      <w:hyperlink r:id="rId10" w:tgtFrame="_blank" w:tooltip="Original URL: https://journals.sagepub.com/doi/full/10.1177/0022018315617583?journalCode=clja. Click or tap if you trust this link." w:history="1">
        <w:r w:rsidRPr="00F308F7">
          <w:rPr>
            <w:rStyle w:val="Hyperlink"/>
            <w:rFonts w:ascii="Arial" w:eastAsiaTheme="majorEastAsia" w:hAnsi="Arial" w:cs="Arial"/>
            <w:bdr w:val="none" w:sz="0" w:space="0" w:color="auto" w:frame="1"/>
          </w:rPr>
          <w:t>Reforming Offences Against the Person: In Defence of ‘Moderate’ Constructivism - Adam Jackson, Tony Storey, 2015 (sagepub.com)</w:t>
        </w:r>
      </w:hyperlink>
      <w:r w:rsidRPr="00F308F7">
        <w:rPr>
          <w:rFonts w:ascii="Arial" w:hAnsi="Arial" w:cs="Arial"/>
          <w:color w:val="000000"/>
          <w:bdr w:val="none" w:sz="0" w:space="0" w:color="auto" w:frame="1"/>
        </w:rPr>
        <w:t xml:space="preserve">.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29 February 2024</w:t>
      </w:r>
      <w:r w:rsidR="00B65CF3" w:rsidRPr="00F308F7">
        <w:rPr>
          <w:rFonts w:ascii="Arial" w:hAnsi="Arial" w:cs="Arial"/>
          <w:color w:val="000000"/>
          <w:bdr w:val="none" w:sz="0" w:space="0" w:color="auto" w:frame="1"/>
        </w:rPr>
        <w:t>)</w:t>
      </w:r>
    </w:p>
    <w:p w14:paraId="2181E261" w14:textId="77777777" w:rsidR="0019044B" w:rsidRPr="00F308F7" w:rsidRDefault="0019044B" w:rsidP="003E08E9">
      <w:pPr>
        <w:pStyle w:val="NormalWeb"/>
        <w:shd w:val="clear" w:color="auto" w:fill="FFFFFF"/>
        <w:spacing w:before="0" w:beforeAutospacing="0" w:after="0" w:afterAutospacing="0" w:line="360" w:lineRule="auto"/>
        <w:rPr>
          <w:rFonts w:ascii="Arial" w:hAnsi="Arial" w:cs="Arial"/>
          <w:color w:val="242424"/>
        </w:rPr>
      </w:pPr>
    </w:p>
    <w:p w14:paraId="619EFF7F" w14:textId="77777777"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242424"/>
        </w:rPr>
      </w:pPr>
      <w:r w:rsidRPr="00F308F7">
        <w:rPr>
          <w:rFonts w:ascii="Arial" w:hAnsi="Arial" w:cs="Arial"/>
          <w:color w:val="000000"/>
          <w:bdr w:val="none" w:sz="0" w:space="0" w:color="auto" w:frame="1"/>
        </w:rPr>
        <w:t> </w:t>
      </w:r>
    </w:p>
    <w:p w14:paraId="2BBCA340" w14:textId="3E869680" w:rsidR="0074663D" w:rsidRPr="00F308F7" w:rsidRDefault="0074663D"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lastRenderedPageBreak/>
        <w:t xml:space="preserve">Jefferson, M (2012) </w:t>
      </w:r>
      <w:r w:rsidRPr="00F308F7">
        <w:rPr>
          <w:rFonts w:ascii="Arial" w:hAnsi="Arial" w:cs="Arial"/>
          <w:i/>
          <w:iCs/>
          <w:color w:val="000000"/>
          <w:bdr w:val="none" w:sz="0" w:space="0" w:color="auto" w:frame="1"/>
        </w:rPr>
        <w:t xml:space="preserve">‘Offences against the Person: Into the 21st Century’. </w:t>
      </w:r>
      <w:r w:rsidRPr="00F308F7">
        <w:rPr>
          <w:rFonts w:ascii="Arial" w:hAnsi="Arial" w:cs="Arial"/>
          <w:color w:val="000000"/>
          <w:bdr w:val="none" w:sz="0" w:space="0" w:color="auto" w:frame="1"/>
        </w:rPr>
        <w:t>Available at: </w:t>
      </w:r>
      <w:hyperlink r:id="rId11" w:tgtFrame="_blank" w:tooltip="Original URL: https://www.researchgate.net/publication/285950268_Offences_against_the_Person_Into_the_21st_Century. Click or tap if you trust this link." w:history="1">
        <w:r w:rsidRPr="00F308F7">
          <w:rPr>
            <w:rStyle w:val="Hyperlink"/>
            <w:rFonts w:ascii="Arial" w:eastAsiaTheme="majorEastAsia" w:hAnsi="Arial" w:cs="Arial"/>
            <w:bdr w:val="none" w:sz="0" w:space="0" w:color="auto" w:frame="1"/>
          </w:rPr>
          <w:t>Offences against the Person: Into the 21st Century | Request PDF (researchgate.net)</w:t>
        </w:r>
      </w:hyperlink>
      <w:r w:rsidRPr="00F308F7">
        <w:rPr>
          <w:rFonts w:ascii="Arial" w:hAnsi="Arial" w:cs="Arial"/>
          <w:color w:val="000000"/>
          <w:bdr w:val="none" w:sz="0" w:space="0" w:color="auto" w:frame="1"/>
        </w:rPr>
        <w:t xml:space="preserve">.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29 February 2024</w:t>
      </w:r>
      <w:r w:rsidR="00B65CF3" w:rsidRPr="00F308F7">
        <w:rPr>
          <w:rFonts w:ascii="Arial" w:hAnsi="Arial" w:cs="Arial"/>
          <w:color w:val="000000"/>
          <w:bdr w:val="none" w:sz="0" w:space="0" w:color="auto" w:frame="1"/>
        </w:rPr>
        <w:t>)</w:t>
      </w:r>
    </w:p>
    <w:p w14:paraId="365E8E16" w14:textId="77777777" w:rsidR="0071537C" w:rsidRPr="00F308F7" w:rsidRDefault="0071537C"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4376D043" w14:textId="77777777" w:rsidR="0071537C" w:rsidRPr="00F308F7" w:rsidRDefault="0071537C"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5EC1CB46" w14:textId="2B0EA5A8" w:rsidR="0071537C" w:rsidRPr="00F308F7" w:rsidRDefault="0071537C" w:rsidP="0071537C">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Jefferson, M (2012, p</w:t>
      </w:r>
      <w:r w:rsidR="00A662DE" w:rsidRPr="00F308F7">
        <w:rPr>
          <w:rFonts w:ascii="Arial" w:hAnsi="Arial" w:cs="Arial"/>
          <w:color w:val="000000"/>
          <w:bdr w:val="none" w:sz="0" w:space="0" w:color="auto" w:frame="1"/>
        </w:rPr>
        <w:t>472</w:t>
      </w:r>
      <w:r w:rsidRPr="00F308F7">
        <w:rPr>
          <w:rFonts w:ascii="Arial" w:hAnsi="Arial" w:cs="Arial"/>
          <w:color w:val="000000"/>
          <w:bdr w:val="none" w:sz="0" w:space="0" w:color="auto" w:frame="1"/>
        </w:rPr>
        <w:t xml:space="preserve">) </w:t>
      </w:r>
      <w:r w:rsidRPr="00F308F7">
        <w:rPr>
          <w:rFonts w:ascii="Arial" w:hAnsi="Arial" w:cs="Arial"/>
          <w:i/>
          <w:iCs/>
          <w:color w:val="000000"/>
          <w:bdr w:val="none" w:sz="0" w:space="0" w:color="auto" w:frame="1"/>
        </w:rPr>
        <w:t xml:space="preserve">‘Offences against the Person: Into the 21st Century’. </w:t>
      </w:r>
      <w:r w:rsidRPr="00F308F7">
        <w:rPr>
          <w:rFonts w:ascii="Arial" w:hAnsi="Arial" w:cs="Arial"/>
          <w:color w:val="000000"/>
          <w:bdr w:val="none" w:sz="0" w:space="0" w:color="auto" w:frame="1"/>
        </w:rPr>
        <w:t>Available at: </w:t>
      </w:r>
      <w:hyperlink r:id="rId12" w:tgtFrame="_blank" w:tooltip="Original URL: https://www.researchgate.net/publication/285950268_Offences_against_the_Person_Into_the_21st_Century. Click or tap if you trust this link." w:history="1">
        <w:r w:rsidRPr="00F308F7">
          <w:rPr>
            <w:rStyle w:val="Hyperlink"/>
            <w:rFonts w:ascii="Arial" w:eastAsiaTheme="majorEastAsia" w:hAnsi="Arial" w:cs="Arial"/>
            <w:bdr w:val="none" w:sz="0" w:space="0" w:color="auto" w:frame="1"/>
          </w:rPr>
          <w:t>Offences against the Person: Into the 21st Century | Request PDF (researchgate.net)</w:t>
        </w:r>
      </w:hyperlink>
      <w:r w:rsidRPr="00F308F7">
        <w:rPr>
          <w:rFonts w:ascii="Arial" w:hAnsi="Arial" w:cs="Arial"/>
          <w:color w:val="000000"/>
          <w:bdr w:val="none" w:sz="0" w:space="0" w:color="auto" w:frame="1"/>
        </w:rPr>
        <w:t xml:space="preserve">. </w:t>
      </w:r>
      <w:r w:rsidR="00B65CF3" w:rsidRPr="00F308F7">
        <w:rPr>
          <w:rFonts w:ascii="Arial" w:hAnsi="Arial" w:cs="Arial"/>
          <w:color w:val="000000"/>
          <w:bdr w:val="none" w:sz="0" w:space="0" w:color="auto" w:frame="1"/>
        </w:rPr>
        <w:t>(</w:t>
      </w:r>
      <w:r w:rsidRPr="00F308F7">
        <w:rPr>
          <w:rFonts w:ascii="Arial" w:hAnsi="Arial" w:cs="Arial"/>
          <w:color w:val="000000"/>
          <w:bdr w:val="none" w:sz="0" w:space="0" w:color="auto" w:frame="1"/>
        </w:rPr>
        <w:t>Accessed: 29 February 2024</w:t>
      </w:r>
      <w:r w:rsidR="00B65CF3" w:rsidRPr="00F308F7">
        <w:rPr>
          <w:rFonts w:ascii="Arial" w:hAnsi="Arial" w:cs="Arial"/>
          <w:color w:val="000000"/>
          <w:bdr w:val="none" w:sz="0" w:space="0" w:color="auto" w:frame="1"/>
        </w:rPr>
        <w:t>)</w:t>
      </w:r>
    </w:p>
    <w:p w14:paraId="387795FD" w14:textId="77777777" w:rsidR="0071537C" w:rsidRPr="00F308F7" w:rsidRDefault="0071537C" w:rsidP="003E08E9">
      <w:pPr>
        <w:pStyle w:val="NormalWeb"/>
        <w:shd w:val="clear" w:color="auto" w:fill="FFFFFF"/>
        <w:spacing w:before="0" w:beforeAutospacing="0" w:after="0" w:afterAutospacing="0" w:line="360" w:lineRule="auto"/>
        <w:rPr>
          <w:rFonts w:ascii="Arial" w:hAnsi="Arial" w:cs="Arial"/>
          <w:color w:val="000000"/>
          <w:bdr w:val="none" w:sz="0" w:space="0" w:color="auto" w:frame="1"/>
        </w:rPr>
      </w:pPr>
    </w:p>
    <w:p w14:paraId="61A7C503" w14:textId="77777777" w:rsidR="00617176" w:rsidRPr="00F308F7" w:rsidRDefault="00617176" w:rsidP="003E08E9">
      <w:pPr>
        <w:pStyle w:val="NormalWeb"/>
        <w:shd w:val="clear" w:color="auto" w:fill="FFFFFF"/>
        <w:spacing w:before="0" w:beforeAutospacing="0" w:after="0" w:afterAutospacing="0" w:line="360" w:lineRule="auto"/>
        <w:rPr>
          <w:rFonts w:ascii="Arial" w:hAnsi="Arial" w:cs="Arial"/>
          <w:color w:val="242424"/>
        </w:rPr>
      </w:pPr>
    </w:p>
    <w:p w14:paraId="37ACD4BB" w14:textId="77777777" w:rsidR="00374219" w:rsidRPr="00F308F7" w:rsidRDefault="0074663D" w:rsidP="0019044B">
      <w:pPr>
        <w:pStyle w:val="NormalWeb"/>
        <w:shd w:val="clear" w:color="auto" w:fill="FFFFFF"/>
        <w:spacing w:before="0" w:beforeAutospacing="0" w:after="0" w:afterAutospacing="0" w:line="360" w:lineRule="auto"/>
        <w:rPr>
          <w:rFonts w:ascii="Arial" w:hAnsi="Arial" w:cs="Arial"/>
          <w:color w:val="000000"/>
          <w:bdr w:val="none" w:sz="0" w:space="0" w:color="auto" w:frame="1"/>
        </w:rPr>
      </w:pPr>
      <w:r w:rsidRPr="00F308F7">
        <w:rPr>
          <w:rFonts w:ascii="Arial" w:hAnsi="Arial" w:cs="Arial"/>
          <w:color w:val="000000"/>
          <w:bdr w:val="none" w:sz="0" w:space="0" w:color="auto" w:frame="1"/>
        </w:rPr>
        <w:t> </w:t>
      </w:r>
    </w:p>
    <w:p w14:paraId="30D435D2" w14:textId="72120092" w:rsidR="0074663D" w:rsidRPr="00F308F7" w:rsidRDefault="0074663D" w:rsidP="0019044B">
      <w:pPr>
        <w:pStyle w:val="NormalWeb"/>
        <w:shd w:val="clear" w:color="auto" w:fill="FFFFFF"/>
        <w:spacing w:before="0" w:beforeAutospacing="0" w:after="0" w:afterAutospacing="0" w:line="360" w:lineRule="auto"/>
        <w:rPr>
          <w:rFonts w:ascii="Arial" w:hAnsi="Arial" w:cs="Arial"/>
          <w:color w:val="242424"/>
        </w:rPr>
      </w:pPr>
      <w:r w:rsidRPr="00F308F7">
        <w:rPr>
          <w:rFonts w:ascii="Arial" w:hAnsi="Arial" w:cs="Arial"/>
          <w:color w:val="000000"/>
          <w:bdr w:val="none" w:sz="0" w:space="0" w:color="auto" w:frame="1"/>
        </w:rPr>
        <w:t>McDonald S (2018)</w:t>
      </w:r>
      <w:r w:rsidRPr="00F308F7">
        <w:rPr>
          <w:rFonts w:ascii="Arial" w:hAnsi="Arial" w:cs="Arial"/>
          <w:i/>
          <w:iCs/>
          <w:color w:val="000000"/>
          <w:bdr w:val="none" w:sz="0" w:space="0" w:color="auto" w:frame="1"/>
        </w:rPr>
        <w:t> ‘Text, Cases and Materials on Criminal Law’ </w:t>
      </w:r>
      <w:r w:rsidRPr="00F308F7">
        <w:rPr>
          <w:rFonts w:ascii="Arial" w:hAnsi="Arial" w:cs="Arial"/>
          <w:color w:val="000000"/>
          <w:bdr w:val="none" w:sz="0" w:space="0" w:color="auto" w:frame="1"/>
        </w:rPr>
        <w:t>Pearson Education</w:t>
      </w:r>
    </w:p>
    <w:p w14:paraId="11D8A628" w14:textId="77777777" w:rsidR="00617176" w:rsidRPr="00F308F7" w:rsidRDefault="00617176" w:rsidP="003E08E9">
      <w:pPr>
        <w:pStyle w:val="xelementtoproof"/>
        <w:shd w:val="clear" w:color="auto" w:fill="FFFFFF"/>
        <w:spacing w:before="0" w:beforeAutospacing="0" w:after="0" w:afterAutospacing="0" w:line="360" w:lineRule="auto"/>
        <w:rPr>
          <w:rFonts w:ascii="Arial" w:hAnsi="Arial" w:cs="Arial"/>
          <w:color w:val="000000"/>
          <w:bdr w:val="none" w:sz="0" w:space="0" w:color="auto" w:frame="1"/>
        </w:rPr>
      </w:pPr>
    </w:p>
    <w:p w14:paraId="5821887D" w14:textId="77777777" w:rsidR="0074663D" w:rsidRPr="00F308F7" w:rsidRDefault="0074663D" w:rsidP="003E08E9">
      <w:pPr>
        <w:pStyle w:val="xelementtoproof"/>
        <w:shd w:val="clear" w:color="auto" w:fill="FFFFFF" w:themeFill="background1"/>
        <w:spacing w:before="0" w:beforeAutospacing="0" w:after="0" w:afterAutospacing="0" w:line="360" w:lineRule="auto"/>
        <w:rPr>
          <w:rFonts w:ascii="Arial" w:hAnsi="Arial" w:cs="Arial"/>
          <w:color w:val="000000" w:themeColor="text1"/>
        </w:rPr>
      </w:pPr>
    </w:p>
    <w:p w14:paraId="197DFD07" w14:textId="7C69CECA" w:rsidR="0074663D" w:rsidRPr="00F308F7" w:rsidRDefault="0074663D" w:rsidP="003E08E9">
      <w:pPr>
        <w:pStyle w:val="NormalWeb"/>
        <w:shd w:val="clear" w:color="auto" w:fill="FFFFFF" w:themeFill="background1"/>
        <w:spacing w:before="0" w:beforeAutospacing="0" w:after="0" w:afterAutospacing="0" w:line="360" w:lineRule="auto"/>
        <w:rPr>
          <w:rFonts w:ascii="Arial" w:hAnsi="Arial" w:cs="Arial"/>
          <w:color w:val="000000" w:themeColor="text1"/>
        </w:rPr>
      </w:pPr>
      <w:r w:rsidRPr="00F308F7">
        <w:rPr>
          <w:rFonts w:ascii="Arial" w:hAnsi="Arial" w:cs="Arial"/>
          <w:color w:val="000000" w:themeColor="text1"/>
        </w:rPr>
        <w:t xml:space="preserve">Routledge-Cavendish (2004) </w:t>
      </w:r>
      <w:r w:rsidRPr="00F308F7">
        <w:rPr>
          <w:rFonts w:ascii="Arial" w:hAnsi="Arial" w:cs="Arial"/>
          <w:i/>
          <w:iCs/>
          <w:color w:val="000000" w:themeColor="text1"/>
        </w:rPr>
        <w:t>Cavendish: Criminal Law cards</w:t>
      </w:r>
      <w:r w:rsidRPr="00F308F7">
        <w:rPr>
          <w:rFonts w:ascii="Arial" w:hAnsi="Arial" w:cs="Arial"/>
          <w:color w:val="000000" w:themeColor="text1"/>
        </w:rPr>
        <w:t xml:space="preserve"> (4</w:t>
      </w:r>
      <w:r w:rsidRPr="00F308F7">
        <w:rPr>
          <w:rFonts w:ascii="Arial" w:hAnsi="Arial" w:cs="Arial"/>
          <w:color w:val="000000" w:themeColor="text1"/>
          <w:vertAlign w:val="superscript"/>
        </w:rPr>
        <w:t>th</w:t>
      </w:r>
      <w:r w:rsidRPr="00F308F7">
        <w:rPr>
          <w:rFonts w:ascii="Arial" w:hAnsi="Arial" w:cs="Arial"/>
          <w:color w:val="000000" w:themeColor="text1"/>
        </w:rPr>
        <w:t xml:space="preserve"> edition). Routledge-Cavendish. London.</w:t>
      </w:r>
    </w:p>
    <w:p w14:paraId="0BBACBD6" w14:textId="77777777" w:rsidR="00212D4D" w:rsidRPr="00F308F7" w:rsidRDefault="00212D4D" w:rsidP="003E08E9">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08536E3D" w14:textId="77777777" w:rsidR="00617176" w:rsidRPr="00F308F7" w:rsidRDefault="00617176" w:rsidP="003E08E9">
      <w:pPr>
        <w:pStyle w:val="NormalWeb"/>
        <w:shd w:val="clear" w:color="auto" w:fill="FFFFFF" w:themeFill="background1"/>
        <w:spacing w:before="0" w:beforeAutospacing="0" w:after="0" w:afterAutospacing="0" w:line="360" w:lineRule="auto"/>
        <w:rPr>
          <w:rFonts w:ascii="Arial" w:hAnsi="Arial" w:cs="Arial"/>
          <w:color w:val="000000" w:themeColor="text1"/>
        </w:rPr>
      </w:pPr>
    </w:p>
    <w:p w14:paraId="553249D7" w14:textId="7443D934" w:rsidR="0074663D" w:rsidRPr="00F308F7" w:rsidRDefault="0074663D" w:rsidP="00B0765A">
      <w:pPr>
        <w:pStyle w:val="xelementtoproof"/>
        <w:shd w:val="clear" w:color="auto" w:fill="FFFFFF" w:themeFill="background1"/>
        <w:spacing w:before="0" w:beforeAutospacing="0" w:after="0" w:afterAutospacing="0" w:line="360" w:lineRule="auto"/>
        <w:rPr>
          <w:rFonts w:ascii="Arial" w:hAnsi="Arial" w:cs="Arial"/>
          <w:color w:val="242424"/>
        </w:rPr>
      </w:pPr>
      <w:r w:rsidRPr="00F308F7">
        <w:rPr>
          <w:rFonts w:ascii="Arial" w:eastAsia="Calibri" w:hAnsi="Arial" w:cs="Arial"/>
          <w:color w:val="242424"/>
        </w:rPr>
        <w:t>The Law Commission, (2015)</w:t>
      </w:r>
      <w:r w:rsidRPr="00F308F7">
        <w:rPr>
          <w:rFonts w:ascii="Arial" w:hAnsi="Arial" w:cs="Arial"/>
          <w:color w:val="242424"/>
        </w:rPr>
        <w:t xml:space="preserve"> The Reform of Offences against the Person </w:t>
      </w:r>
      <w:hyperlink r:id="rId13">
        <w:r w:rsidRPr="00F308F7">
          <w:rPr>
            <w:rStyle w:val="Hyperlink"/>
            <w:rFonts w:ascii="Arial" w:hAnsi="Arial" w:cs="Arial"/>
          </w:rPr>
          <w:t>https://assets.publishing.service.gov.uk/media/5a81679a40f0b62305b8ec5b/51950_LC_HC555_Web.pdf</w:t>
        </w:r>
      </w:hyperlink>
      <w:r w:rsidRPr="00F308F7">
        <w:rPr>
          <w:rFonts w:ascii="Arial" w:hAnsi="Arial" w:cs="Arial"/>
          <w:color w:val="242424"/>
        </w:rPr>
        <w:t xml:space="preserve"> </w:t>
      </w:r>
    </w:p>
    <w:p w14:paraId="50E59D8C" w14:textId="77777777" w:rsidR="00DA72BC" w:rsidRPr="00F308F7" w:rsidRDefault="00DA72BC"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2793D3C8" w14:textId="77777777" w:rsidR="00DA72BC" w:rsidRPr="00F308F7" w:rsidRDefault="00DA72BC"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7228AE90" w14:textId="5794ED2A" w:rsidR="00DA72BC" w:rsidRPr="00F308F7" w:rsidRDefault="00DA72BC" w:rsidP="00B0765A">
      <w:pPr>
        <w:pStyle w:val="xelementtoproof"/>
        <w:shd w:val="clear" w:color="auto" w:fill="FFFFFF" w:themeFill="background1"/>
        <w:spacing w:before="0" w:beforeAutospacing="0" w:after="0" w:afterAutospacing="0" w:line="360" w:lineRule="auto"/>
        <w:rPr>
          <w:rFonts w:ascii="Arial" w:hAnsi="Arial" w:cs="Arial"/>
          <w:color w:val="242424"/>
        </w:rPr>
      </w:pPr>
      <w:r w:rsidRPr="00F308F7">
        <w:rPr>
          <w:rFonts w:ascii="Arial" w:hAnsi="Arial" w:cs="Arial"/>
          <w:color w:val="000000"/>
          <w:bdr w:val="none" w:sz="0" w:space="0" w:color="auto" w:frame="1"/>
          <w:shd w:val="clear" w:color="auto" w:fill="FFFFFF"/>
        </w:rPr>
        <w:t>Law Commission England and Wales (2016). </w:t>
      </w:r>
      <w:r w:rsidRPr="00F308F7">
        <w:rPr>
          <w:rFonts w:ascii="Arial" w:hAnsi="Arial" w:cs="Arial"/>
          <w:i/>
          <w:iCs/>
          <w:color w:val="000000"/>
          <w:bdr w:val="none" w:sz="0" w:space="0" w:color="auto" w:frame="1"/>
          <w:shd w:val="clear" w:color="auto" w:fill="FFFFFF"/>
        </w:rPr>
        <w:t>‘Professor David Ormerod QC,</w:t>
      </w:r>
      <w:r w:rsidRPr="00F308F7">
        <w:rPr>
          <w:rFonts w:ascii="Arial" w:hAnsi="Arial" w:cs="Arial"/>
          <w:color w:val="000000"/>
          <w:sz w:val="22"/>
          <w:szCs w:val="22"/>
          <w:bdr w:val="none" w:sz="0" w:space="0" w:color="auto" w:frame="1"/>
          <w:shd w:val="clear" w:color="auto" w:fill="FFFFFF"/>
        </w:rPr>
        <w:t> </w:t>
      </w:r>
      <w:r w:rsidRPr="00F308F7">
        <w:rPr>
          <w:rFonts w:ascii="Arial" w:hAnsi="Arial" w:cs="Arial"/>
          <w:i/>
          <w:iCs/>
          <w:color w:val="000000"/>
          <w:bdr w:val="none" w:sz="0" w:space="0" w:color="auto" w:frame="1"/>
          <w:shd w:val="clear" w:color="auto" w:fill="FFFFFF"/>
        </w:rPr>
        <w:t>Law Commissioner for criminal law</w:t>
      </w:r>
      <w:r w:rsidRPr="00F308F7">
        <w:rPr>
          <w:rFonts w:ascii="Arial" w:hAnsi="Arial" w:cs="Arial"/>
          <w:color w:val="000000"/>
          <w:bdr w:val="none" w:sz="0" w:space="0" w:color="auto" w:frame="1"/>
          <w:shd w:val="clear" w:color="auto" w:fill="FFFFFF"/>
        </w:rPr>
        <w:t>: </w:t>
      </w:r>
      <w:r w:rsidRPr="00F308F7">
        <w:rPr>
          <w:rFonts w:ascii="Arial" w:hAnsi="Arial" w:cs="Arial"/>
          <w:i/>
          <w:iCs/>
          <w:color w:val="000000"/>
          <w:bdr w:val="none" w:sz="0" w:space="0" w:color="auto" w:frame="1"/>
          <w:shd w:val="clear" w:color="auto" w:fill="FFFFFF"/>
        </w:rPr>
        <w:t>Offences against the person - the need for reform’. </w:t>
      </w:r>
      <w:r w:rsidRPr="00F308F7">
        <w:rPr>
          <w:rFonts w:ascii="Arial" w:hAnsi="Arial" w:cs="Arial"/>
          <w:color w:val="000000"/>
          <w:bdr w:val="none" w:sz="0" w:space="0" w:color="auto" w:frame="1"/>
          <w:shd w:val="clear" w:color="auto" w:fill="FFFFFF"/>
        </w:rPr>
        <w:t>Available at: </w:t>
      </w:r>
      <w:hyperlink r:id="rId14" w:tgtFrame="_blank" w:history="1">
        <w:r w:rsidRPr="00F308F7">
          <w:rPr>
            <w:rStyle w:val="Hyperlink"/>
            <w:rFonts w:ascii="Arial" w:eastAsiaTheme="majorEastAsia" w:hAnsi="Arial" w:cs="Arial"/>
            <w:bdr w:val="none" w:sz="0" w:space="0" w:color="auto" w:frame="1"/>
            <w:shd w:val="clear" w:color="auto" w:fill="FFFFFF"/>
          </w:rPr>
          <w:t>Offences against the person - the need for reform (youtube.com)</w:t>
        </w:r>
      </w:hyperlink>
      <w:r w:rsidRPr="00F308F7">
        <w:rPr>
          <w:rFonts w:ascii="Arial" w:hAnsi="Arial" w:cs="Arial"/>
          <w:color w:val="000000"/>
          <w:bdr w:val="none" w:sz="0" w:space="0" w:color="auto" w:frame="1"/>
          <w:shd w:val="clear" w:color="auto" w:fill="FFFFFF"/>
        </w:rPr>
        <w:t xml:space="preserve">. </w:t>
      </w:r>
      <w:r w:rsidR="00B65CF3" w:rsidRPr="00F308F7">
        <w:rPr>
          <w:rFonts w:ascii="Arial" w:hAnsi="Arial" w:cs="Arial"/>
          <w:color w:val="000000"/>
          <w:bdr w:val="none" w:sz="0" w:space="0" w:color="auto" w:frame="1"/>
          <w:shd w:val="clear" w:color="auto" w:fill="FFFFFF"/>
        </w:rPr>
        <w:t>(</w:t>
      </w:r>
      <w:r w:rsidRPr="00F308F7">
        <w:rPr>
          <w:rFonts w:ascii="Arial" w:hAnsi="Arial" w:cs="Arial"/>
          <w:color w:val="000000"/>
          <w:bdr w:val="none" w:sz="0" w:space="0" w:color="auto" w:frame="1"/>
          <w:shd w:val="clear" w:color="auto" w:fill="FFFFFF"/>
        </w:rPr>
        <w:t>Accessed:11 March 2024</w:t>
      </w:r>
      <w:r w:rsidR="00B65CF3" w:rsidRPr="00F308F7">
        <w:rPr>
          <w:rFonts w:ascii="Arial" w:hAnsi="Arial" w:cs="Arial"/>
          <w:color w:val="000000"/>
          <w:bdr w:val="none" w:sz="0" w:space="0" w:color="auto" w:frame="1"/>
          <w:shd w:val="clear" w:color="auto" w:fill="FFFFFF"/>
        </w:rPr>
        <w:t>)</w:t>
      </w:r>
    </w:p>
    <w:p w14:paraId="612EF4FC" w14:textId="77777777" w:rsidR="00617176" w:rsidRPr="00F308F7" w:rsidRDefault="00617176"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4BDD1C5C" w14:textId="77777777" w:rsidR="00744822" w:rsidRPr="00F308F7" w:rsidRDefault="00744822" w:rsidP="00B0765A">
      <w:pPr>
        <w:pStyle w:val="xelementtoproof"/>
        <w:shd w:val="clear" w:color="auto" w:fill="FFFFFF" w:themeFill="background1"/>
        <w:spacing w:before="0" w:beforeAutospacing="0" w:after="0" w:afterAutospacing="0" w:line="360" w:lineRule="auto"/>
        <w:rPr>
          <w:rFonts w:ascii="Arial" w:hAnsi="Arial" w:cs="Arial"/>
          <w:color w:val="242424"/>
        </w:rPr>
      </w:pPr>
    </w:p>
    <w:p w14:paraId="1831E68D" w14:textId="04474C41" w:rsidR="00744822" w:rsidRPr="00F308F7" w:rsidRDefault="00617176" w:rsidP="00617176">
      <w:pPr>
        <w:pStyle w:val="xelementtoproof"/>
        <w:shd w:val="clear" w:color="auto" w:fill="FFFFFF" w:themeFill="background1"/>
        <w:spacing w:before="0" w:beforeAutospacing="0" w:after="0" w:afterAutospacing="0" w:line="360" w:lineRule="auto"/>
        <w:rPr>
          <w:rFonts w:ascii="Arial" w:hAnsi="Arial" w:cs="Arial"/>
          <w:color w:val="000000"/>
          <w:shd w:val="clear" w:color="auto" w:fill="FFFFFF"/>
        </w:rPr>
      </w:pPr>
      <w:r w:rsidRPr="00F308F7">
        <w:rPr>
          <w:rFonts w:ascii="Arial" w:hAnsi="Arial" w:cs="Arial"/>
          <w:color w:val="000000"/>
          <w:shd w:val="clear" w:color="auto" w:fill="FFFFFF"/>
        </w:rPr>
        <w:t>The Office for National Statistic (2024) </w:t>
      </w:r>
      <w:r w:rsidRPr="00F308F7">
        <w:rPr>
          <w:rFonts w:ascii="Arial" w:hAnsi="Arial" w:cs="Arial"/>
          <w:i/>
          <w:iCs/>
          <w:color w:val="000000"/>
          <w:shd w:val="clear" w:color="auto" w:fill="FFFFFF"/>
        </w:rPr>
        <w:t>‘Crime in England and Wales: year ending September 2023’. </w:t>
      </w:r>
      <w:r w:rsidRPr="00F308F7">
        <w:rPr>
          <w:rFonts w:ascii="Arial" w:hAnsi="Arial" w:cs="Arial"/>
          <w:color w:val="000000"/>
          <w:shd w:val="clear" w:color="auto" w:fill="FFFFFF"/>
        </w:rPr>
        <w:t>Available at:</w:t>
      </w:r>
      <w:r w:rsidRPr="00F308F7">
        <w:rPr>
          <w:rFonts w:ascii="Arial" w:hAnsi="Arial" w:cs="Arial"/>
          <w:i/>
          <w:iCs/>
          <w:color w:val="000000"/>
          <w:shd w:val="clear" w:color="auto" w:fill="FFFFFF"/>
        </w:rPr>
        <w:t> </w:t>
      </w:r>
      <w:hyperlink r:id="rId15" w:tgtFrame="_blank" w:history="1">
        <w:r w:rsidRPr="00F308F7">
          <w:rPr>
            <w:rStyle w:val="Hyperlink"/>
            <w:rFonts w:ascii="Arial" w:eastAsiaTheme="majorEastAsia" w:hAnsi="Arial" w:cs="Arial"/>
            <w:bdr w:val="none" w:sz="0" w:space="0" w:color="auto" w:frame="1"/>
            <w:shd w:val="clear" w:color="auto" w:fill="FFFFFF"/>
          </w:rPr>
          <w:t>Crime in England and Wales - Office for National Statistics (ons.gov.uk)</w:t>
        </w:r>
      </w:hyperlink>
      <w:r w:rsidRPr="00F308F7">
        <w:rPr>
          <w:rFonts w:ascii="Arial" w:hAnsi="Arial" w:cs="Arial"/>
          <w:color w:val="000000"/>
          <w:shd w:val="clear" w:color="auto" w:fill="FFFFFF"/>
        </w:rPr>
        <w:t xml:space="preserve">. </w:t>
      </w:r>
      <w:r w:rsidR="00B65CF3" w:rsidRPr="00F308F7">
        <w:rPr>
          <w:rFonts w:ascii="Arial" w:hAnsi="Arial" w:cs="Arial"/>
          <w:color w:val="000000"/>
          <w:shd w:val="clear" w:color="auto" w:fill="FFFFFF"/>
        </w:rPr>
        <w:t>(</w:t>
      </w:r>
      <w:r w:rsidRPr="00F308F7">
        <w:rPr>
          <w:rFonts w:ascii="Arial" w:hAnsi="Arial" w:cs="Arial"/>
          <w:color w:val="000000"/>
          <w:shd w:val="clear" w:color="auto" w:fill="FFFFFF"/>
        </w:rPr>
        <w:t>Accessed: 11</w:t>
      </w:r>
      <w:r w:rsidR="00F308F7" w:rsidRPr="00F308F7">
        <w:rPr>
          <w:rFonts w:ascii="Arial" w:hAnsi="Arial" w:cs="Arial"/>
          <w:color w:val="000000"/>
          <w:shd w:val="clear" w:color="auto" w:fill="FFFFFF"/>
          <w:vertAlign w:val="superscript"/>
        </w:rPr>
        <w:t xml:space="preserve"> </w:t>
      </w:r>
      <w:r w:rsidRPr="00F308F7">
        <w:rPr>
          <w:rFonts w:ascii="Arial" w:hAnsi="Arial" w:cs="Arial"/>
          <w:color w:val="000000"/>
          <w:shd w:val="clear" w:color="auto" w:fill="FFFFFF"/>
        </w:rPr>
        <w:t>March 2024</w:t>
      </w:r>
      <w:r w:rsidR="00F308F7" w:rsidRPr="00F308F7">
        <w:rPr>
          <w:rFonts w:ascii="Arial" w:hAnsi="Arial" w:cs="Arial"/>
          <w:color w:val="000000"/>
          <w:shd w:val="clear" w:color="auto" w:fill="FFFFFF"/>
        </w:rPr>
        <w:t>)</w:t>
      </w:r>
    </w:p>
    <w:p w14:paraId="69B825B7" w14:textId="77777777" w:rsidR="0019044B" w:rsidRPr="00F308F7" w:rsidRDefault="0019044B" w:rsidP="00617176">
      <w:pPr>
        <w:pStyle w:val="xelementtoproof"/>
        <w:shd w:val="clear" w:color="auto" w:fill="FFFFFF" w:themeFill="background1"/>
        <w:spacing w:before="0" w:beforeAutospacing="0" w:after="0" w:afterAutospacing="0" w:line="360" w:lineRule="auto"/>
        <w:rPr>
          <w:rFonts w:ascii="Arial" w:hAnsi="Arial" w:cs="Arial"/>
          <w:color w:val="000000"/>
          <w:shd w:val="clear" w:color="auto" w:fill="FFFFFF"/>
        </w:rPr>
      </w:pPr>
    </w:p>
    <w:p w14:paraId="06297241" w14:textId="77777777" w:rsidR="0019044B" w:rsidRPr="00F308F7" w:rsidRDefault="0019044B" w:rsidP="00617176">
      <w:pPr>
        <w:pStyle w:val="xelementtoproof"/>
        <w:shd w:val="clear" w:color="auto" w:fill="FFFFFF" w:themeFill="background1"/>
        <w:spacing w:before="0" w:beforeAutospacing="0" w:after="0" w:afterAutospacing="0" w:line="360" w:lineRule="auto"/>
        <w:rPr>
          <w:rFonts w:ascii="Arial" w:hAnsi="Arial" w:cs="Arial"/>
          <w:color w:val="000000"/>
          <w:shd w:val="clear" w:color="auto" w:fill="FFFFFF"/>
        </w:rPr>
      </w:pPr>
    </w:p>
    <w:p w14:paraId="0CEA11BA" w14:textId="75001455" w:rsidR="0019044B" w:rsidRPr="00F308F7" w:rsidRDefault="0019044B" w:rsidP="0019044B">
      <w:pPr>
        <w:pStyle w:val="NormalWeb"/>
        <w:shd w:val="clear" w:color="auto" w:fill="FFFFFF" w:themeFill="background1"/>
        <w:spacing w:before="0" w:beforeAutospacing="0" w:after="0" w:afterAutospacing="0" w:line="360" w:lineRule="auto"/>
        <w:rPr>
          <w:rFonts w:ascii="Arial" w:hAnsi="Arial" w:cs="Arial"/>
          <w:color w:val="000000" w:themeColor="text1"/>
        </w:rPr>
      </w:pPr>
      <w:r w:rsidRPr="00F308F7">
        <w:rPr>
          <w:rFonts w:ascii="Arial" w:hAnsi="Arial" w:cs="Arial"/>
          <w:color w:val="000000"/>
          <w:bdr w:val="none" w:sz="0" w:space="0" w:color="auto" w:frame="1"/>
          <w:shd w:val="clear" w:color="auto" w:fill="FFFFFF"/>
        </w:rPr>
        <w:lastRenderedPageBreak/>
        <w:t>UK Government (2022</w:t>
      </w:r>
      <w:r w:rsidRPr="00F308F7">
        <w:rPr>
          <w:rFonts w:ascii="Arial" w:hAnsi="Arial" w:cs="Arial"/>
          <w:i/>
          <w:iCs/>
          <w:color w:val="000000"/>
          <w:bdr w:val="none" w:sz="0" w:space="0" w:color="auto" w:frame="1"/>
          <w:shd w:val="clear" w:color="auto" w:fill="FFFFFF"/>
        </w:rPr>
        <w:t>)</w:t>
      </w:r>
      <w:r w:rsidR="00F308F7" w:rsidRPr="00F308F7">
        <w:rPr>
          <w:rFonts w:ascii="Arial" w:hAnsi="Arial" w:cs="Arial"/>
          <w:i/>
          <w:iCs/>
          <w:color w:val="000000"/>
          <w:bdr w:val="none" w:sz="0" w:space="0" w:color="auto" w:frame="1"/>
          <w:shd w:val="clear" w:color="auto" w:fill="FFFFFF"/>
        </w:rPr>
        <w:t xml:space="preserve"> ‘</w:t>
      </w:r>
      <w:r w:rsidRPr="00F308F7">
        <w:rPr>
          <w:rFonts w:ascii="Arial" w:hAnsi="Arial" w:cs="Arial"/>
          <w:i/>
          <w:iCs/>
          <w:color w:val="000000"/>
          <w:bdr w:val="none" w:sz="0" w:space="0" w:color="auto" w:frame="1"/>
          <w:shd w:val="clear" w:color="auto" w:fill="FFFFFF"/>
        </w:rPr>
        <w:t>Magistrates Courts given more power to tackle backlog’.</w:t>
      </w:r>
      <w:r w:rsidRPr="00F308F7">
        <w:rPr>
          <w:rFonts w:ascii="Arial" w:hAnsi="Arial" w:cs="Arial"/>
          <w:color w:val="000000"/>
          <w:bdr w:val="none" w:sz="0" w:space="0" w:color="auto" w:frame="1"/>
          <w:shd w:val="clear" w:color="auto" w:fill="FFFFFF"/>
        </w:rPr>
        <w:t xml:space="preserve"> Available at: </w:t>
      </w:r>
      <w:hyperlink r:id="rId16" w:tgtFrame="_blank" w:history="1">
        <w:r w:rsidRPr="00F308F7">
          <w:rPr>
            <w:rStyle w:val="Hyperlink"/>
            <w:rFonts w:ascii="Arial" w:eastAsiaTheme="majorEastAsia" w:hAnsi="Arial" w:cs="Arial"/>
            <w:bdr w:val="none" w:sz="0" w:space="0" w:color="auto" w:frame="1"/>
            <w:shd w:val="clear" w:color="auto" w:fill="FFFFFF"/>
          </w:rPr>
          <w:t>Magistrates’ Courts given more power to tackle backlog - GOV.UK (www.gov.uk)</w:t>
        </w:r>
      </w:hyperlink>
      <w:r w:rsidRPr="00F308F7">
        <w:rPr>
          <w:rFonts w:ascii="Arial" w:hAnsi="Arial" w:cs="Arial"/>
          <w:color w:val="000000"/>
          <w:bdr w:val="none" w:sz="0" w:space="0" w:color="auto" w:frame="1"/>
          <w:shd w:val="clear" w:color="auto" w:fill="FFFFFF"/>
        </w:rPr>
        <w:t> </w:t>
      </w:r>
      <w:r w:rsidR="00F308F7" w:rsidRPr="00F308F7">
        <w:rPr>
          <w:rFonts w:ascii="Arial" w:hAnsi="Arial" w:cs="Arial"/>
          <w:color w:val="000000"/>
          <w:bdr w:val="none" w:sz="0" w:space="0" w:color="auto" w:frame="1"/>
          <w:shd w:val="clear" w:color="auto" w:fill="FFFFFF"/>
        </w:rPr>
        <w:t>(</w:t>
      </w:r>
      <w:r w:rsidRPr="00F308F7">
        <w:rPr>
          <w:rFonts w:ascii="Arial" w:hAnsi="Arial" w:cs="Arial"/>
          <w:color w:val="000000"/>
          <w:bdr w:val="none" w:sz="0" w:space="0" w:color="auto" w:frame="1"/>
          <w:shd w:val="clear" w:color="auto" w:fill="FFFFFF"/>
        </w:rPr>
        <w:t>Accessed:12 March 2024</w:t>
      </w:r>
      <w:r w:rsidR="00F308F7" w:rsidRPr="00F308F7">
        <w:rPr>
          <w:rFonts w:ascii="Arial" w:hAnsi="Arial" w:cs="Arial"/>
          <w:color w:val="000000"/>
          <w:bdr w:val="none" w:sz="0" w:space="0" w:color="auto" w:frame="1"/>
          <w:shd w:val="clear" w:color="auto" w:fill="FFFFFF"/>
        </w:rPr>
        <w:t>)</w:t>
      </w:r>
    </w:p>
    <w:p w14:paraId="442D98FA" w14:textId="77777777" w:rsidR="0019044B" w:rsidRPr="00617176" w:rsidRDefault="0019044B" w:rsidP="00617176">
      <w:pPr>
        <w:pStyle w:val="xelementtoproof"/>
        <w:shd w:val="clear" w:color="auto" w:fill="FFFFFF" w:themeFill="background1"/>
        <w:spacing w:before="0" w:beforeAutospacing="0" w:after="0" w:afterAutospacing="0" w:line="360" w:lineRule="auto"/>
        <w:rPr>
          <w:rFonts w:ascii="Arial" w:hAnsi="Arial" w:cs="Arial"/>
        </w:rPr>
      </w:pPr>
    </w:p>
    <w:p w14:paraId="0547A08A" w14:textId="77777777" w:rsidR="0074663D" w:rsidRDefault="0074663D" w:rsidP="0074663D">
      <w:pPr>
        <w:pStyle w:val="xelementtoproof"/>
        <w:shd w:val="clear" w:color="auto" w:fill="FFFFFF"/>
        <w:spacing w:before="0" w:beforeAutospacing="0" w:after="0" w:afterAutospacing="0"/>
        <w:rPr>
          <w:rFonts w:ascii="Calibri" w:hAnsi="Calibri" w:cs="Calibri"/>
          <w:color w:val="242424"/>
        </w:rPr>
      </w:pPr>
    </w:p>
    <w:p w14:paraId="27E68309" w14:textId="77777777" w:rsidR="0074663D" w:rsidRPr="00A40F8C" w:rsidRDefault="0074663D" w:rsidP="0074663D">
      <w:pPr>
        <w:pStyle w:val="NormalWeb"/>
        <w:shd w:val="clear" w:color="auto" w:fill="FFFFFF" w:themeFill="background1"/>
        <w:spacing w:before="0" w:beforeAutospacing="0" w:after="0" w:afterAutospacing="0"/>
        <w:rPr>
          <w:rFonts w:ascii="Calibri" w:hAnsi="Calibri" w:cs="Calibri"/>
          <w:color w:val="000000" w:themeColor="text1"/>
        </w:rPr>
      </w:pPr>
    </w:p>
    <w:p w14:paraId="513DACE3" w14:textId="77777777" w:rsidR="0074663D" w:rsidRPr="00A40F8C" w:rsidRDefault="0074663D" w:rsidP="0074663D">
      <w:pPr>
        <w:pStyle w:val="NormalWeb"/>
        <w:shd w:val="clear" w:color="auto" w:fill="FFFFFF" w:themeFill="background1"/>
        <w:spacing w:before="0" w:beforeAutospacing="0" w:after="0" w:afterAutospacing="0"/>
        <w:rPr>
          <w:rFonts w:ascii="Calibri" w:hAnsi="Calibri" w:cs="Calibri"/>
          <w:color w:val="000000"/>
          <w:bdr w:val="none" w:sz="0" w:space="0" w:color="auto" w:frame="1"/>
        </w:rPr>
      </w:pPr>
    </w:p>
    <w:p w14:paraId="457EF5B1" w14:textId="77777777" w:rsidR="0074663D" w:rsidRDefault="0074663D" w:rsidP="0074663D">
      <w:pPr>
        <w:rPr>
          <w:rFonts w:ascii="Calibri" w:hAnsi="Calibri" w:cs="Calibri"/>
          <w:color w:val="000000" w:themeColor="text1"/>
        </w:rPr>
      </w:pPr>
    </w:p>
    <w:p w14:paraId="32A46AE2" w14:textId="77777777" w:rsidR="0074663D" w:rsidRDefault="0074663D" w:rsidP="0074663D">
      <w:pPr>
        <w:rPr>
          <w:rFonts w:ascii="Calibri" w:hAnsi="Calibri" w:cs="Calibri"/>
          <w:color w:val="000000" w:themeColor="text1"/>
        </w:rPr>
      </w:pPr>
    </w:p>
    <w:p w14:paraId="68A522EF" w14:textId="77777777" w:rsidR="0074663D" w:rsidRDefault="0074663D" w:rsidP="0074663D">
      <w:pPr>
        <w:rPr>
          <w:rFonts w:ascii="Calibri" w:hAnsi="Calibri" w:cs="Calibri"/>
          <w:color w:val="000000" w:themeColor="text1"/>
        </w:rPr>
      </w:pPr>
    </w:p>
    <w:p w14:paraId="3B416B9B" w14:textId="77777777" w:rsidR="00617176" w:rsidRDefault="00617176" w:rsidP="0074663D">
      <w:pPr>
        <w:rPr>
          <w:rFonts w:ascii="Calibri" w:hAnsi="Calibri" w:cs="Calibri"/>
          <w:b/>
          <w:bCs/>
          <w:color w:val="000000" w:themeColor="text1"/>
          <w:u w:val="single"/>
        </w:rPr>
      </w:pPr>
    </w:p>
    <w:p w14:paraId="79D246DA" w14:textId="77777777" w:rsidR="00617176" w:rsidRDefault="00617176" w:rsidP="0074663D">
      <w:pPr>
        <w:rPr>
          <w:rFonts w:ascii="Calibri" w:hAnsi="Calibri" w:cs="Calibri"/>
          <w:b/>
          <w:bCs/>
          <w:color w:val="000000" w:themeColor="text1"/>
          <w:u w:val="single"/>
        </w:rPr>
      </w:pPr>
    </w:p>
    <w:p w14:paraId="694AEDCE" w14:textId="77777777" w:rsidR="00F308F7" w:rsidRDefault="00F308F7" w:rsidP="0074663D">
      <w:pPr>
        <w:rPr>
          <w:rFonts w:ascii="Arial" w:hAnsi="Arial" w:cs="Arial"/>
          <w:b/>
          <w:bCs/>
          <w:color w:val="000000" w:themeColor="text1"/>
          <w:sz w:val="24"/>
          <w:szCs w:val="24"/>
          <w:u w:val="single"/>
        </w:rPr>
      </w:pPr>
    </w:p>
    <w:p w14:paraId="49D4AC9C" w14:textId="77777777" w:rsidR="00F308F7" w:rsidRDefault="00F308F7" w:rsidP="0074663D">
      <w:pPr>
        <w:rPr>
          <w:rFonts w:ascii="Arial" w:hAnsi="Arial" w:cs="Arial"/>
          <w:b/>
          <w:bCs/>
          <w:color w:val="000000" w:themeColor="text1"/>
          <w:sz w:val="24"/>
          <w:szCs w:val="24"/>
          <w:u w:val="single"/>
        </w:rPr>
      </w:pPr>
    </w:p>
    <w:p w14:paraId="28AE3C50" w14:textId="77777777" w:rsidR="00F308F7" w:rsidRDefault="00F308F7" w:rsidP="0074663D">
      <w:pPr>
        <w:rPr>
          <w:rFonts w:ascii="Arial" w:hAnsi="Arial" w:cs="Arial"/>
          <w:b/>
          <w:bCs/>
          <w:color w:val="000000" w:themeColor="text1"/>
          <w:sz w:val="24"/>
          <w:szCs w:val="24"/>
          <w:u w:val="single"/>
        </w:rPr>
      </w:pPr>
    </w:p>
    <w:p w14:paraId="77B0E501" w14:textId="77777777" w:rsidR="00F308F7" w:rsidRDefault="00F308F7" w:rsidP="0074663D">
      <w:pPr>
        <w:rPr>
          <w:rFonts w:ascii="Arial" w:hAnsi="Arial" w:cs="Arial"/>
          <w:b/>
          <w:bCs/>
          <w:color w:val="000000" w:themeColor="text1"/>
          <w:sz w:val="24"/>
          <w:szCs w:val="24"/>
          <w:u w:val="single"/>
        </w:rPr>
      </w:pPr>
    </w:p>
    <w:p w14:paraId="4F237733" w14:textId="77777777" w:rsidR="00F308F7" w:rsidRDefault="00F308F7" w:rsidP="0074663D">
      <w:pPr>
        <w:rPr>
          <w:rFonts w:ascii="Arial" w:hAnsi="Arial" w:cs="Arial"/>
          <w:b/>
          <w:bCs/>
          <w:color w:val="000000" w:themeColor="text1"/>
          <w:sz w:val="24"/>
          <w:szCs w:val="24"/>
          <w:u w:val="single"/>
        </w:rPr>
      </w:pPr>
    </w:p>
    <w:p w14:paraId="18896A97" w14:textId="77777777" w:rsidR="00F308F7" w:rsidRDefault="00F308F7" w:rsidP="0074663D">
      <w:pPr>
        <w:rPr>
          <w:rFonts w:ascii="Arial" w:hAnsi="Arial" w:cs="Arial"/>
          <w:b/>
          <w:bCs/>
          <w:color w:val="000000" w:themeColor="text1"/>
          <w:sz w:val="24"/>
          <w:szCs w:val="24"/>
          <w:u w:val="single"/>
        </w:rPr>
      </w:pPr>
    </w:p>
    <w:p w14:paraId="01A47708" w14:textId="77777777" w:rsidR="00F308F7" w:rsidRDefault="00F308F7" w:rsidP="0074663D">
      <w:pPr>
        <w:rPr>
          <w:rFonts w:ascii="Arial" w:hAnsi="Arial" w:cs="Arial"/>
          <w:b/>
          <w:bCs/>
          <w:color w:val="000000" w:themeColor="text1"/>
          <w:sz w:val="24"/>
          <w:szCs w:val="24"/>
          <w:u w:val="single"/>
        </w:rPr>
      </w:pPr>
    </w:p>
    <w:p w14:paraId="7C8252B4" w14:textId="77777777" w:rsidR="00F308F7" w:rsidRDefault="00F308F7" w:rsidP="0074663D">
      <w:pPr>
        <w:rPr>
          <w:rFonts w:ascii="Arial" w:hAnsi="Arial" w:cs="Arial"/>
          <w:b/>
          <w:bCs/>
          <w:color w:val="000000" w:themeColor="text1"/>
          <w:sz w:val="24"/>
          <w:szCs w:val="24"/>
          <w:u w:val="single"/>
        </w:rPr>
      </w:pPr>
    </w:p>
    <w:p w14:paraId="0FFB2EBE" w14:textId="77777777" w:rsidR="00F308F7" w:rsidRDefault="00F308F7" w:rsidP="0074663D">
      <w:pPr>
        <w:rPr>
          <w:rFonts w:ascii="Arial" w:hAnsi="Arial" w:cs="Arial"/>
          <w:b/>
          <w:bCs/>
          <w:color w:val="000000" w:themeColor="text1"/>
          <w:sz w:val="24"/>
          <w:szCs w:val="24"/>
          <w:u w:val="single"/>
        </w:rPr>
      </w:pPr>
    </w:p>
    <w:p w14:paraId="64543F79" w14:textId="77777777" w:rsidR="00F308F7" w:rsidRDefault="00F308F7" w:rsidP="0074663D">
      <w:pPr>
        <w:rPr>
          <w:rFonts w:ascii="Arial" w:hAnsi="Arial" w:cs="Arial"/>
          <w:b/>
          <w:bCs/>
          <w:color w:val="000000" w:themeColor="text1"/>
          <w:sz w:val="24"/>
          <w:szCs w:val="24"/>
          <w:u w:val="single"/>
        </w:rPr>
      </w:pPr>
    </w:p>
    <w:p w14:paraId="0A98CFCA" w14:textId="77777777" w:rsidR="00F308F7" w:rsidRDefault="00F308F7" w:rsidP="0074663D">
      <w:pPr>
        <w:rPr>
          <w:rFonts w:ascii="Arial" w:hAnsi="Arial" w:cs="Arial"/>
          <w:b/>
          <w:bCs/>
          <w:color w:val="000000" w:themeColor="text1"/>
          <w:sz w:val="24"/>
          <w:szCs w:val="24"/>
          <w:u w:val="single"/>
        </w:rPr>
      </w:pPr>
    </w:p>
    <w:p w14:paraId="70AEEE57" w14:textId="77777777" w:rsidR="00F308F7" w:rsidRDefault="00F308F7" w:rsidP="0074663D">
      <w:pPr>
        <w:rPr>
          <w:rFonts w:ascii="Arial" w:hAnsi="Arial" w:cs="Arial"/>
          <w:b/>
          <w:bCs/>
          <w:color w:val="000000" w:themeColor="text1"/>
          <w:sz w:val="24"/>
          <w:szCs w:val="24"/>
          <w:u w:val="single"/>
        </w:rPr>
      </w:pPr>
    </w:p>
    <w:p w14:paraId="7D51900E" w14:textId="77777777" w:rsidR="00F308F7" w:rsidRDefault="00F308F7" w:rsidP="0074663D">
      <w:pPr>
        <w:rPr>
          <w:rFonts w:ascii="Arial" w:hAnsi="Arial" w:cs="Arial"/>
          <w:b/>
          <w:bCs/>
          <w:color w:val="000000" w:themeColor="text1"/>
          <w:sz w:val="24"/>
          <w:szCs w:val="24"/>
          <w:u w:val="single"/>
        </w:rPr>
      </w:pPr>
    </w:p>
    <w:p w14:paraId="39A144C3" w14:textId="77777777" w:rsidR="00F308F7" w:rsidRDefault="00F308F7" w:rsidP="0074663D">
      <w:pPr>
        <w:rPr>
          <w:rFonts w:ascii="Arial" w:hAnsi="Arial" w:cs="Arial"/>
          <w:b/>
          <w:bCs/>
          <w:color w:val="000000" w:themeColor="text1"/>
          <w:sz w:val="24"/>
          <w:szCs w:val="24"/>
          <w:u w:val="single"/>
        </w:rPr>
      </w:pPr>
    </w:p>
    <w:p w14:paraId="432A302B" w14:textId="77777777" w:rsidR="00F308F7" w:rsidRDefault="00F308F7" w:rsidP="0074663D">
      <w:pPr>
        <w:rPr>
          <w:rFonts w:ascii="Arial" w:hAnsi="Arial" w:cs="Arial"/>
          <w:b/>
          <w:bCs/>
          <w:color w:val="000000" w:themeColor="text1"/>
          <w:sz w:val="24"/>
          <w:szCs w:val="24"/>
          <w:u w:val="single"/>
        </w:rPr>
      </w:pPr>
    </w:p>
    <w:p w14:paraId="43CAD40D" w14:textId="77777777" w:rsidR="00DE4D40" w:rsidRDefault="00DE4D40" w:rsidP="0074663D">
      <w:pPr>
        <w:rPr>
          <w:rFonts w:ascii="Arial" w:hAnsi="Arial" w:cs="Arial"/>
          <w:b/>
          <w:bCs/>
          <w:color w:val="000000" w:themeColor="text1"/>
          <w:sz w:val="24"/>
          <w:szCs w:val="24"/>
          <w:u w:val="single"/>
        </w:rPr>
      </w:pPr>
    </w:p>
    <w:p w14:paraId="482FC33B" w14:textId="77777777" w:rsidR="00DE4D40" w:rsidRDefault="00DE4D40" w:rsidP="0074663D">
      <w:pPr>
        <w:rPr>
          <w:rFonts w:ascii="Arial" w:hAnsi="Arial" w:cs="Arial"/>
          <w:b/>
          <w:bCs/>
          <w:color w:val="000000" w:themeColor="text1"/>
          <w:sz w:val="24"/>
          <w:szCs w:val="24"/>
          <w:u w:val="single"/>
        </w:rPr>
      </w:pPr>
    </w:p>
    <w:p w14:paraId="1A143BD1" w14:textId="77777777" w:rsidR="00DE4D40" w:rsidRDefault="00DE4D40" w:rsidP="0074663D">
      <w:pPr>
        <w:rPr>
          <w:rFonts w:ascii="Arial" w:hAnsi="Arial" w:cs="Arial"/>
          <w:b/>
          <w:bCs/>
          <w:color w:val="000000" w:themeColor="text1"/>
          <w:sz w:val="24"/>
          <w:szCs w:val="24"/>
          <w:u w:val="single"/>
        </w:rPr>
      </w:pPr>
    </w:p>
    <w:p w14:paraId="73268F9E" w14:textId="77777777" w:rsidR="00DE4D40" w:rsidRDefault="00DE4D40" w:rsidP="0074663D">
      <w:pPr>
        <w:rPr>
          <w:rFonts w:ascii="Arial" w:hAnsi="Arial" w:cs="Arial"/>
          <w:b/>
          <w:bCs/>
          <w:color w:val="000000" w:themeColor="text1"/>
          <w:sz w:val="24"/>
          <w:szCs w:val="24"/>
          <w:u w:val="single"/>
        </w:rPr>
      </w:pPr>
    </w:p>
    <w:p w14:paraId="7BE3FB58" w14:textId="77777777" w:rsidR="00DE4D40" w:rsidRDefault="00DE4D40" w:rsidP="0074663D">
      <w:pPr>
        <w:rPr>
          <w:rFonts w:ascii="Arial" w:hAnsi="Arial" w:cs="Arial"/>
          <w:b/>
          <w:bCs/>
          <w:color w:val="000000" w:themeColor="text1"/>
          <w:sz w:val="24"/>
          <w:szCs w:val="24"/>
          <w:u w:val="single"/>
        </w:rPr>
      </w:pPr>
    </w:p>
    <w:p w14:paraId="65464D2B" w14:textId="2960A699" w:rsidR="0074663D" w:rsidRPr="00617176" w:rsidRDefault="00B0765A" w:rsidP="0074663D">
      <w:pPr>
        <w:rPr>
          <w:rFonts w:ascii="Arial" w:hAnsi="Arial" w:cs="Arial"/>
          <w:b/>
          <w:bCs/>
          <w:color w:val="000000" w:themeColor="text1"/>
          <w:sz w:val="24"/>
          <w:szCs w:val="24"/>
          <w:u w:val="single"/>
        </w:rPr>
      </w:pPr>
      <w:r w:rsidRPr="00617176">
        <w:rPr>
          <w:rFonts w:ascii="Arial" w:hAnsi="Arial" w:cs="Arial"/>
          <w:b/>
          <w:bCs/>
          <w:color w:val="000000" w:themeColor="text1"/>
          <w:sz w:val="24"/>
          <w:szCs w:val="24"/>
          <w:u w:val="single"/>
        </w:rPr>
        <w:lastRenderedPageBreak/>
        <w:t>Case References</w:t>
      </w:r>
    </w:p>
    <w:p w14:paraId="550B58D7" w14:textId="77777777" w:rsidR="0074663D" w:rsidRPr="00617176" w:rsidRDefault="0074663D" w:rsidP="0074663D">
      <w:pPr>
        <w:rPr>
          <w:rFonts w:ascii="Arial" w:hAnsi="Arial" w:cs="Arial"/>
          <w:color w:val="000000" w:themeColor="text1"/>
          <w:sz w:val="24"/>
          <w:szCs w:val="24"/>
        </w:rPr>
      </w:pPr>
    </w:p>
    <w:p w14:paraId="2F5C115D" w14:textId="77777777" w:rsidR="0074663D" w:rsidRPr="00617176" w:rsidRDefault="0074663D" w:rsidP="0074663D">
      <w:pPr>
        <w:rPr>
          <w:rFonts w:ascii="Arial" w:hAnsi="Arial" w:cs="Arial"/>
          <w:color w:val="000000" w:themeColor="text1"/>
          <w:sz w:val="24"/>
          <w:szCs w:val="24"/>
        </w:rPr>
      </w:pPr>
    </w:p>
    <w:p w14:paraId="7A12EDC8" w14:textId="77777777" w:rsidR="0074663D" w:rsidRPr="00617176" w:rsidRDefault="0074663D" w:rsidP="00B0765A">
      <w:pPr>
        <w:spacing w:line="360" w:lineRule="auto"/>
        <w:rPr>
          <w:rStyle w:val="Hyperlink"/>
          <w:rFonts w:ascii="Arial" w:hAnsi="Arial" w:cs="Arial"/>
          <w:sz w:val="24"/>
          <w:szCs w:val="24"/>
        </w:rPr>
      </w:pPr>
      <w:r w:rsidRPr="00617176">
        <w:rPr>
          <w:rFonts w:ascii="Arial" w:hAnsi="Arial" w:cs="Arial"/>
          <w:color w:val="000000" w:themeColor="text1"/>
          <w:sz w:val="24"/>
          <w:szCs w:val="24"/>
        </w:rPr>
        <w:t xml:space="preserve">R v Cunningham (1957) Available at: </w:t>
      </w:r>
      <w:hyperlink r:id="rId17">
        <w:r w:rsidRPr="00617176">
          <w:rPr>
            <w:rStyle w:val="Hyperlink"/>
            <w:rFonts w:ascii="Arial" w:hAnsi="Arial" w:cs="Arial"/>
            <w:sz w:val="24"/>
            <w:szCs w:val="24"/>
          </w:rPr>
          <w:t>https://plus-lexis-com.ezproxy.uwtsd.ac.uk/uk/cases-uk/r-v-cunningham_13?crid=23208bfa-8a62-4af9-8a88-1b6945412a7d</w:t>
        </w:r>
      </w:hyperlink>
    </w:p>
    <w:p w14:paraId="44D29186" w14:textId="77777777" w:rsidR="00B0765A" w:rsidRPr="00617176" w:rsidRDefault="00B0765A" w:rsidP="00B0765A">
      <w:pPr>
        <w:spacing w:line="360" w:lineRule="auto"/>
        <w:rPr>
          <w:rFonts w:ascii="Arial" w:hAnsi="Arial" w:cs="Arial"/>
          <w:color w:val="000000" w:themeColor="text1"/>
          <w:sz w:val="24"/>
          <w:szCs w:val="24"/>
        </w:rPr>
      </w:pPr>
    </w:p>
    <w:p w14:paraId="4338F90F" w14:textId="2E443455" w:rsidR="0074663D" w:rsidRPr="00617176" w:rsidRDefault="0074663D" w:rsidP="00B0765A">
      <w:pPr>
        <w:spacing w:line="360" w:lineRule="auto"/>
        <w:rPr>
          <w:rFonts w:ascii="Arial" w:hAnsi="Arial" w:cs="Arial"/>
          <w:sz w:val="24"/>
          <w:szCs w:val="24"/>
        </w:rPr>
      </w:pPr>
      <w:r w:rsidRPr="00617176">
        <w:rPr>
          <w:rFonts w:ascii="Arial" w:hAnsi="Arial" w:cs="Arial"/>
          <w:sz w:val="24"/>
          <w:szCs w:val="24"/>
        </w:rPr>
        <w:t xml:space="preserve">R v. Ireland and Burstow (1997) Available at: </w:t>
      </w:r>
      <w:hyperlink r:id="rId18" w:history="1">
        <w:r w:rsidR="00B0765A" w:rsidRPr="00617176">
          <w:rPr>
            <w:rStyle w:val="Hyperlink"/>
            <w:rFonts w:ascii="Arial" w:hAnsi="Arial" w:cs="Arial"/>
            <w:sz w:val="24"/>
            <w:szCs w:val="24"/>
          </w:rPr>
          <w:t>https://plus-lexis-com.ezproxy.uwtsd.ac.uk/uk/cases-uk/r-v-ireland-r-v-burstow?crid=f3873889-2314-45bc-bbce-7e70991c4cc9</w:t>
        </w:r>
      </w:hyperlink>
    </w:p>
    <w:p w14:paraId="082ABF37" w14:textId="77777777" w:rsidR="00B0765A" w:rsidRPr="00617176" w:rsidRDefault="00B0765A" w:rsidP="00B0765A">
      <w:pPr>
        <w:spacing w:line="360" w:lineRule="auto"/>
        <w:rPr>
          <w:rFonts w:ascii="Arial" w:hAnsi="Arial" w:cs="Arial"/>
          <w:color w:val="000000" w:themeColor="text1"/>
          <w:sz w:val="24"/>
          <w:szCs w:val="24"/>
        </w:rPr>
      </w:pPr>
    </w:p>
    <w:p w14:paraId="7BB78166" w14:textId="77777777" w:rsidR="0074663D" w:rsidRPr="00617176" w:rsidRDefault="0074663D" w:rsidP="00B0765A">
      <w:pPr>
        <w:spacing w:line="360" w:lineRule="auto"/>
        <w:rPr>
          <w:rStyle w:val="Hyperlink"/>
          <w:rFonts w:ascii="Arial" w:hAnsi="Arial" w:cs="Arial"/>
          <w:sz w:val="24"/>
          <w:szCs w:val="24"/>
        </w:rPr>
      </w:pPr>
      <w:r w:rsidRPr="00617176">
        <w:rPr>
          <w:rFonts w:ascii="Arial" w:hAnsi="Arial" w:cs="Arial"/>
          <w:sz w:val="24"/>
          <w:szCs w:val="24"/>
        </w:rPr>
        <w:t xml:space="preserve">R V Lynsey (1995) Available at: </w:t>
      </w:r>
      <w:hyperlink r:id="rId19">
        <w:r w:rsidRPr="00617176">
          <w:rPr>
            <w:rStyle w:val="Hyperlink"/>
            <w:rFonts w:ascii="Arial" w:hAnsi="Arial" w:cs="Arial"/>
            <w:sz w:val="24"/>
            <w:szCs w:val="24"/>
          </w:rPr>
          <w:t>https://plus-lexis-com.ezproxy.uwtsd.ac.uk/uk/cases-uk/r-v-lynsey?crid=79bad796-0cca-42f9-9d72-8a2000341e8f</w:t>
        </w:r>
      </w:hyperlink>
    </w:p>
    <w:p w14:paraId="6284B9E6" w14:textId="77777777" w:rsidR="001A3928" w:rsidRPr="00617176" w:rsidRDefault="001A3928" w:rsidP="00B0765A">
      <w:pPr>
        <w:spacing w:line="360" w:lineRule="auto"/>
        <w:rPr>
          <w:rFonts w:ascii="Arial" w:hAnsi="Arial" w:cs="Arial"/>
          <w:sz w:val="24"/>
          <w:szCs w:val="24"/>
        </w:rPr>
      </w:pPr>
    </w:p>
    <w:p w14:paraId="49EC14CC" w14:textId="77777777" w:rsidR="0074663D" w:rsidRPr="00617176" w:rsidRDefault="0074663D" w:rsidP="00B0765A">
      <w:pPr>
        <w:pStyle w:val="NormalWeb"/>
        <w:shd w:val="clear" w:color="auto" w:fill="FFFFFF" w:themeFill="background1"/>
        <w:spacing w:before="0" w:beforeAutospacing="0" w:after="0" w:afterAutospacing="0" w:line="360" w:lineRule="auto"/>
        <w:rPr>
          <w:rFonts w:ascii="Arial" w:hAnsi="Arial" w:cs="Arial"/>
          <w:color w:val="242424"/>
        </w:rPr>
      </w:pPr>
      <w:r w:rsidRPr="00617176">
        <w:rPr>
          <w:rFonts w:ascii="Arial" w:hAnsi="Arial" w:cs="Arial"/>
          <w:color w:val="242424"/>
        </w:rPr>
        <w:t xml:space="preserve">The Offences against the Person Act 1861 </w:t>
      </w:r>
      <w:hyperlink r:id="rId20">
        <w:r w:rsidRPr="00617176">
          <w:rPr>
            <w:rStyle w:val="Hyperlink"/>
            <w:rFonts w:ascii="Arial" w:hAnsi="Arial" w:cs="Arial"/>
          </w:rPr>
          <w:t>https://www.legislation.gov.uk/ukpga/Vict/24-25/100/contents</w:t>
        </w:r>
      </w:hyperlink>
      <w:r w:rsidRPr="00617176">
        <w:rPr>
          <w:rFonts w:ascii="Arial" w:hAnsi="Arial" w:cs="Arial"/>
          <w:color w:val="242424"/>
        </w:rPr>
        <w:t xml:space="preserve"> </w:t>
      </w:r>
    </w:p>
    <w:p w14:paraId="00E6C1EF" w14:textId="77777777" w:rsidR="0074663D" w:rsidRDefault="0074663D" w:rsidP="00B0765A">
      <w:pPr>
        <w:pStyle w:val="xelementtoproof"/>
        <w:shd w:val="clear" w:color="auto" w:fill="FFFFFF" w:themeFill="background1"/>
        <w:spacing w:before="0" w:beforeAutospacing="0" w:after="0" w:afterAutospacing="0" w:line="360" w:lineRule="auto"/>
        <w:rPr>
          <w:rFonts w:ascii="Calibri" w:hAnsi="Calibri" w:cs="Calibri"/>
          <w:color w:val="000000" w:themeColor="text1"/>
        </w:rPr>
      </w:pPr>
    </w:p>
    <w:p w14:paraId="2FAAAFEA" w14:textId="77777777" w:rsidR="0074663D" w:rsidRDefault="0074663D" w:rsidP="0074663D"/>
    <w:p w14:paraId="54DECF89" w14:textId="477D6F71" w:rsidR="00A77685" w:rsidRPr="0064637B" w:rsidRDefault="00A77685">
      <w:pPr>
        <w:spacing w:line="276" w:lineRule="auto"/>
        <w:rPr>
          <w:rFonts w:ascii="Arial" w:hAnsi="Arial" w:cs="Arial"/>
          <w:sz w:val="28"/>
          <w:szCs w:val="28"/>
        </w:rPr>
      </w:pPr>
    </w:p>
    <w:sectPr w:rsidR="00A77685" w:rsidRPr="0064637B" w:rsidSect="00C771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95402"/>
    <w:multiLevelType w:val="hybridMultilevel"/>
    <w:tmpl w:val="0B8C3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7291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455"/>
    <w:rsid w:val="00002184"/>
    <w:rsid w:val="00011636"/>
    <w:rsid w:val="0001195D"/>
    <w:rsid w:val="000173ED"/>
    <w:rsid w:val="00027CD6"/>
    <w:rsid w:val="00037AF2"/>
    <w:rsid w:val="00043209"/>
    <w:rsid w:val="0004431D"/>
    <w:rsid w:val="00044E2A"/>
    <w:rsid w:val="00052ADC"/>
    <w:rsid w:val="00062F29"/>
    <w:rsid w:val="0006698C"/>
    <w:rsid w:val="000748FE"/>
    <w:rsid w:val="000759D0"/>
    <w:rsid w:val="00081236"/>
    <w:rsid w:val="00086F23"/>
    <w:rsid w:val="00090E9D"/>
    <w:rsid w:val="00095BD5"/>
    <w:rsid w:val="000A0FF3"/>
    <w:rsid w:val="000A715D"/>
    <w:rsid w:val="000B028F"/>
    <w:rsid w:val="000B442B"/>
    <w:rsid w:val="000B794B"/>
    <w:rsid w:val="000D120C"/>
    <w:rsid w:val="000F1414"/>
    <w:rsid w:val="000F301A"/>
    <w:rsid w:val="00101052"/>
    <w:rsid w:val="0010233E"/>
    <w:rsid w:val="00120057"/>
    <w:rsid w:val="00122624"/>
    <w:rsid w:val="001267EE"/>
    <w:rsid w:val="00130E38"/>
    <w:rsid w:val="00131702"/>
    <w:rsid w:val="0013643D"/>
    <w:rsid w:val="00150267"/>
    <w:rsid w:val="00150608"/>
    <w:rsid w:val="00156F99"/>
    <w:rsid w:val="00185742"/>
    <w:rsid w:val="00185A88"/>
    <w:rsid w:val="0018688A"/>
    <w:rsid w:val="0019044B"/>
    <w:rsid w:val="00193476"/>
    <w:rsid w:val="001A2385"/>
    <w:rsid w:val="001A2B1B"/>
    <w:rsid w:val="001A3928"/>
    <w:rsid w:val="001A7A51"/>
    <w:rsid w:val="001A7C6A"/>
    <w:rsid w:val="001D4039"/>
    <w:rsid w:val="001D65EE"/>
    <w:rsid w:val="001E4D6F"/>
    <w:rsid w:val="001F4C0D"/>
    <w:rsid w:val="002121BF"/>
    <w:rsid w:val="00212D4D"/>
    <w:rsid w:val="0021759E"/>
    <w:rsid w:val="00224D0D"/>
    <w:rsid w:val="002326B4"/>
    <w:rsid w:val="002372C1"/>
    <w:rsid w:val="002410AE"/>
    <w:rsid w:val="0024495B"/>
    <w:rsid w:val="00247A41"/>
    <w:rsid w:val="00252BBB"/>
    <w:rsid w:val="0025502C"/>
    <w:rsid w:val="00262955"/>
    <w:rsid w:val="002708C5"/>
    <w:rsid w:val="00275318"/>
    <w:rsid w:val="002A3C93"/>
    <w:rsid w:val="002B1EA9"/>
    <w:rsid w:val="002B4C24"/>
    <w:rsid w:val="002B6FAD"/>
    <w:rsid w:val="002C2DF5"/>
    <w:rsid w:val="002C2FEE"/>
    <w:rsid w:val="002C7E42"/>
    <w:rsid w:val="002C7E9F"/>
    <w:rsid w:val="002E0EF8"/>
    <w:rsid w:val="002F7EE5"/>
    <w:rsid w:val="003006C2"/>
    <w:rsid w:val="00303A4E"/>
    <w:rsid w:val="00310D96"/>
    <w:rsid w:val="00322F04"/>
    <w:rsid w:val="00340057"/>
    <w:rsid w:val="00341260"/>
    <w:rsid w:val="003576F6"/>
    <w:rsid w:val="003652C0"/>
    <w:rsid w:val="003740DD"/>
    <w:rsid w:val="00374219"/>
    <w:rsid w:val="00375731"/>
    <w:rsid w:val="00380CDA"/>
    <w:rsid w:val="00383A16"/>
    <w:rsid w:val="00395CB8"/>
    <w:rsid w:val="00397CCC"/>
    <w:rsid w:val="003A0C1A"/>
    <w:rsid w:val="003A427A"/>
    <w:rsid w:val="003C01DF"/>
    <w:rsid w:val="003C6203"/>
    <w:rsid w:val="003D2457"/>
    <w:rsid w:val="003D2E18"/>
    <w:rsid w:val="003D557B"/>
    <w:rsid w:val="003E08E9"/>
    <w:rsid w:val="003F196E"/>
    <w:rsid w:val="00400A5B"/>
    <w:rsid w:val="0040166D"/>
    <w:rsid w:val="004045FA"/>
    <w:rsid w:val="00421CA4"/>
    <w:rsid w:val="00423A02"/>
    <w:rsid w:val="00424BA7"/>
    <w:rsid w:val="00431F44"/>
    <w:rsid w:val="0043350F"/>
    <w:rsid w:val="00437BBC"/>
    <w:rsid w:val="00446923"/>
    <w:rsid w:val="00452B66"/>
    <w:rsid w:val="0045598D"/>
    <w:rsid w:val="00462581"/>
    <w:rsid w:val="00465349"/>
    <w:rsid w:val="00473F41"/>
    <w:rsid w:val="00484037"/>
    <w:rsid w:val="00492518"/>
    <w:rsid w:val="004A4E0A"/>
    <w:rsid w:val="004B181F"/>
    <w:rsid w:val="004B3A66"/>
    <w:rsid w:val="004B5ABA"/>
    <w:rsid w:val="004C30F3"/>
    <w:rsid w:val="004D640B"/>
    <w:rsid w:val="004E25E8"/>
    <w:rsid w:val="004F309F"/>
    <w:rsid w:val="004F5939"/>
    <w:rsid w:val="004F6F12"/>
    <w:rsid w:val="00507AE8"/>
    <w:rsid w:val="00527262"/>
    <w:rsid w:val="005338C1"/>
    <w:rsid w:val="005424F7"/>
    <w:rsid w:val="00543162"/>
    <w:rsid w:val="00550871"/>
    <w:rsid w:val="00551C14"/>
    <w:rsid w:val="00557D1F"/>
    <w:rsid w:val="00576717"/>
    <w:rsid w:val="00581139"/>
    <w:rsid w:val="005930EE"/>
    <w:rsid w:val="005A02B5"/>
    <w:rsid w:val="005C7D52"/>
    <w:rsid w:val="005D2C89"/>
    <w:rsid w:val="005E3E31"/>
    <w:rsid w:val="005F023D"/>
    <w:rsid w:val="005F3233"/>
    <w:rsid w:val="005F33E5"/>
    <w:rsid w:val="005F543D"/>
    <w:rsid w:val="0060750D"/>
    <w:rsid w:val="00617176"/>
    <w:rsid w:val="00617F92"/>
    <w:rsid w:val="00620A56"/>
    <w:rsid w:val="00621B31"/>
    <w:rsid w:val="006452F1"/>
    <w:rsid w:val="0064637B"/>
    <w:rsid w:val="006500EA"/>
    <w:rsid w:val="00654BBC"/>
    <w:rsid w:val="0066312B"/>
    <w:rsid w:val="00667153"/>
    <w:rsid w:val="00673590"/>
    <w:rsid w:val="006833CE"/>
    <w:rsid w:val="00686818"/>
    <w:rsid w:val="006875F0"/>
    <w:rsid w:val="00694E77"/>
    <w:rsid w:val="006A0456"/>
    <w:rsid w:val="006B5177"/>
    <w:rsid w:val="006B721C"/>
    <w:rsid w:val="006C5E46"/>
    <w:rsid w:val="006D0C81"/>
    <w:rsid w:val="006D6F24"/>
    <w:rsid w:val="006D7730"/>
    <w:rsid w:val="006E3AA9"/>
    <w:rsid w:val="006F7AEC"/>
    <w:rsid w:val="00702E1E"/>
    <w:rsid w:val="00711B43"/>
    <w:rsid w:val="0071537C"/>
    <w:rsid w:val="00720420"/>
    <w:rsid w:val="00721F57"/>
    <w:rsid w:val="00731219"/>
    <w:rsid w:val="007320B7"/>
    <w:rsid w:val="00737CDD"/>
    <w:rsid w:val="0074416A"/>
    <w:rsid w:val="00744822"/>
    <w:rsid w:val="00745119"/>
    <w:rsid w:val="0074663D"/>
    <w:rsid w:val="00750055"/>
    <w:rsid w:val="00762AE1"/>
    <w:rsid w:val="0076533F"/>
    <w:rsid w:val="00766CEF"/>
    <w:rsid w:val="00773814"/>
    <w:rsid w:val="00773924"/>
    <w:rsid w:val="007949EF"/>
    <w:rsid w:val="007A3761"/>
    <w:rsid w:val="007A3E35"/>
    <w:rsid w:val="007A4A36"/>
    <w:rsid w:val="007A59B8"/>
    <w:rsid w:val="007E1A8B"/>
    <w:rsid w:val="007E2451"/>
    <w:rsid w:val="007E2F56"/>
    <w:rsid w:val="007E3049"/>
    <w:rsid w:val="007E61EB"/>
    <w:rsid w:val="007F1408"/>
    <w:rsid w:val="007F31D4"/>
    <w:rsid w:val="008018F7"/>
    <w:rsid w:val="00813448"/>
    <w:rsid w:val="0081606F"/>
    <w:rsid w:val="00816FB8"/>
    <w:rsid w:val="00857003"/>
    <w:rsid w:val="008631D2"/>
    <w:rsid w:val="00875A13"/>
    <w:rsid w:val="00883AA6"/>
    <w:rsid w:val="008A08C1"/>
    <w:rsid w:val="008A1A09"/>
    <w:rsid w:val="008B3F30"/>
    <w:rsid w:val="008B4446"/>
    <w:rsid w:val="008C000A"/>
    <w:rsid w:val="008C07C0"/>
    <w:rsid w:val="008C49A7"/>
    <w:rsid w:val="008C54D9"/>
    <w:rsid w:val="008C7DE6"/>
    <w:rsid w:val="008D1987"/>
    <w:rsid w:val="008D6702"/>
    <w:rsid w:val="008D73AB"/>
    <w:rsid w:val="008E09F5"/>
    <w:rsid w:val="008E1138"/>
    <w:rsid w:val="008E3790"/>
    <w:rsid w:val="0090341E"/>
    <w:rsid w:val="009036EC"/>
    <w:rsid w:val="00904B3C"/>
    <w:rsid w:val="00910863"/>
    <w:rsid w:val="0092080C"/>
    <w:rsid w:val="00924C1F"/>
    <w:rsid w:val="009268B7"/>
    <w:rsid w:val="00931AE9"/>
    <w:rsid w:val="009357EE"/>
    <w:rsid w:val="00936D0D"/>
    <w:rsid w:val="00940455"/>
    <w:rsid w:val="00944504"/>
    <w:rsid w:val="00953C1F"/>
    <w:rsid w:val="00960A5B"/>
    <w:rsid w:val="0096224A"/>
    <w:rsid w:val="00964E1B"/>
    <w:rsid w:val="00973EC1"/>
    <w:rsid w:val="00975A62"/>
    <w:rsid w:val="00982391"/>
    <w:rsid w:val="00983838"/>
    <w:rsid w:val="009850E7"/>
    <w:rsid w:val="00987477"/>
    <w:rsid w:val="00990D37"/>
    <w:rsid w:val="009953A9"/>
    <w:rsid w:val="009A5D8F"/>
    <w:rsid w:val="009B0EE0"/>
    <w:rsid w:val="009B315E"/>
    <w:rsid w:val="009B7C14"/>
    <w:rsid w:val="009C56BF"/>
    <w:rsid w:val="009C78CE"/>
    <w:rsid w:val="009D4784"/>
    <w:rsid w:val="009D4B19"/>
    <w:rsid w:val="009E3407"/>
    <w:rsid w:val="009F28CE"/>
    <w:rsid w:val="009F7103"/>
    <w:rsid w:val="009F734F"/>
    <w:rsid w:val="00A04C6E"/>
    <w:rsid w:val="00A12734"/>
    <w:rsid w:val="00A13650"/>
    <w:rsid w:val="00A249C3"/>
    <w:rsid w:val="00A270C8"/>
    <w:rsid w:val="00A32D39"/>
    <w:rsid w:val="00A34242"/>
    <w:rsid w:val="00A41839"/>
    <w:rsid w:val="00A43303"/>
    <w:rsid w:val="00A46677"/>
    <w:rsid w:val="00A47F32"/>
    <w:rsid w:val="00A47FD7"/>
    <w:rsid w:val="00A54D2A"/>
    <w:rsid w:val="00A60731"/>
    <w:rsid w:val="00A662DE"/>
    <w:rsid w:val="00A736C9"/>
    <w:rsid w:val="00A77685"/>
    <w:rsid w:val="00A82742"/>
    <w:rsid w:val="00A84EA8"/>
    <w:rsid w:val="00A94568"/>
    <w:rsid w:val="00AA0197"/>
    <w:rsid w:val="00AA1E4E"/>
    <w:rsid w:val="00AA675E"/>
    <w:rsid w:val="00AA6EBA"/>
    <w:rsid w:val="00AB3752"/>
    <w:rsid w:val="00AB5CC1"/>
    <w:rsid w:val="00AC5D66"/>
    <w:rsid w:val="00AC6D37"/>
    <w:rsid w:val="00AD0C62"/>
    <w:rsid w:val="00AD75EC"/>
    <w:rsid w:val="00AF32DF"/>
    <w:rsid w:val="00B0765A"/>
    <w:rsid w:val="00B26B43"/>
    <w:rsid w:val="00B45D70"/>
    <w:rsid w:val="00B46C0B"/>
    <w:rsid w:val="00B605B5"/>
    <w:rsid w:val="00B607E2"/>
    <w:rsid w:val="00B63F97"/>
    <w:rsid w:val="00B65CF3"/>
    <w:rsid w:val="00B72BEE"/>
    <w:rsid w:val="00B7301E"/>
    <w:rsid w:val="00B74E80"/>
    <w:rsid w:val="00B871BE"/>
    <w:rsid w:val="00B92CE2"/>
    <w:rsid w:val="00B942A7"/>
    <w:rsid w:val="00BA7615"/>
    <w:rsid w:val="00BB32A2"/>
    <w:rsid w:val="00BB3A62"/>
    <w:rsid w:val="00BB6545"/>
    <w:rsid w:val="00BC218A"/>
    <w:rsid w:val="00BD2A16"/>
    <w:rsid w:val="00BE10F3"/>
    <w:rsid w:val="00BE1477"/>
    <w:rsid w:val="00BF1740"/>
    <w:rsid w:val="00C00EB0"/>
    <w:rsid w:val="00C051E0"/>
    <w:rsid w:val="00C07F60"/>
    <w:rsid w:val="00C1264C"/>
    <w:rsid w:val="00C144B7"/>
    <w:rsid w:val="00C14E7C"/>
    <w:rsid w:val="00C41C2B"/>
    <w:rsid w:val="00C44834"/>
    <w:rsid w:val="00C50264"/>
    <w:rsid w:val="00C553EA"/>
    <w:rsid w:val="00C55CFF"/>
    <w:rsid w:val="00C56C1E"/>
    <w:rsid w:val="00C60878"/>
    <w:rsid w:val="00C61104"/>
    <w:rsid w:val="00C65F44"/>
    <w:rsid w:val="00C771CD"/>
    <w:rsid w:val="00C9025B"/>
    <w:rsid w:val="00C9085C"/>
    <w:rsid w:val="00C95481"/>
    <w:rsid w:val="00CA3AFB"/>
    <w:rsid w:val="00CA3E2F"/>
    <w:rsid w:val="00CA7ED8"/>
    <w:rsid w:val="00CB0B23"/>
    <w:rsid w:val="00CB3BA8"/>
    <w:rsid w:val="00CB6E7C"/>
    <w:rsid w:val="00CC3921"/>
    <w:rsid w:val="00CC52BB"/>
    <w:rsid w:val="00CC735F"/>
    <w:rsid w:val="00CD4AB5"/>
    <w:rsid w:val="00CD4DE1"/>
    <w:rsid w:val="00CF78C4"/>
    <w:rsid w:val="00D01040"/>
    <w:rsid w:val="00D10E13"/>
    <w:rsid w:val="00D37CCD"/>
    <w:rsid w:val="00D4194B"/>
    <w:rsid w:val="00D45B0F"/>
    <w:rsid w:val="00D50A90"/>
    <w:rsid w:val="00D55549"/>
    <w:rsid w:val="00D56662"/>
    <w:rsid w:val="00D67A51"/>
    <w:rsid w:val="00D708C5"/>
    <w:rsid w:val="00D725E0"/>
    <w:rsid w:val="00D762B2"/>
    <w:rsid w:val="00D777AA"/>
    <w:rsid w:val="00D8220D"/>
    <w:rsid w:val="00D87D43"/>
    <w:rsid w:val="00D95CBD"/>
    <w:rsid w:val="00D96F0C"/>
    <w:rsid w:val="00DA44AF"/>
    <w:rsid w:val="00DA6459"/>
    <w:rsid w:val="00DA72BC"/>
    <w:rsid w:val="00DB654C"/>
    <w:rsid w:val="00DC24C5"/>
    <w:rsid w:val="00DC57F8"/>
    <w:rsid w:val="00DC64D6"/>
    <w:rsid w:val="00DD4E99"/>
    <w:rsid w:val="00DE150E"/>
    <w:rsid w:val="00DE4D40"/>
    <w:rsid w:val="00DE4E87"/>
    <w:rsid w:val="00DF6817"/>
    <w:rsid w:val="00E02B37"/>
    <w:rsid w:val="00E0400C"/>
    <w:rsid w:val="00E05835"/>
    <w:rsid w:val="00E0589E"/>
    <w:rsid w:val="00E20B61"/>
    <w:rsid w:val="00E238E0"/>
    <w:rsid w:val="00E240DD"/>
    <w:rsid w:val="00E262A8"/>
    <w:rsid w:val="00E32121"/>
    <w:rsid w:val="00E329D8"/>
    <w:rsid w:val="00E348D8"/>
    <w:rsid w:val="00E34A24"/>
    <w:rsid w:val="00E3507C"/>
    <w:rsid w:val="00E53425"/>
    <w:rsid w:val="00E5373D"/>
    <w:rsid w:val="00E60B78"/>
    <w:rsid w:val="00E66123"/>
    <w:rsid w:val="00E70E1A"/>
    <w:rsid w:val="00E73CB6"/>
    <w:rsid w:val="00E74DF0"/>
    <w:rsid w:val="00E80459"/>
    <w:rsid w:val="00EA37F7"/>
    <w:rsid w:val="00EA3A79"/>
    <w:rsid w:val="00EA4B76"/>
    <w:rsid w:val="00EA53BB"/>
    <w:rsid w:val="00EA6075"/>
    <w:rsid w:val="00EA6E3C"/>
    <w:rsid w:val="00EA77C5"/>
    <w:rsid w:val="00EB0A14"/>
    <w:rsid w:val="00EB0D07"/>
    <w:rsid w:val="00EB14EE"/>
    <w:rsid w:val="00EB21C2"/>
    <w:rsid w:val="00EB521B"/>
    <w:rsid w:val="00ED3B90"/>
    <w:rsid w:val="00ED4B5F"/>
    <w:rsid w:val="00ED513D"/>
    <w:rsid w:val="00EE259D"/>
    <w:rsid w:val="00EF1570"/>
    <w:rsid w:val="00EF2A9F"/>
    <w:rsid w:val="00EF2BE3"/>
    <w:rsid w:val="00F025C5"/>
    <w:rsid w:val="00F10B30"/>
    <w:rsid w:val="00F13756"/>
    <w:rsid w:val="00F22D3D"/>
    <w:rsid w:val="00F26EDA"/>
    <w:rsid w:val="00F308F7"/>
    <w:rsid w:val="00F3166F"/>
    <w:rsid w:val="00F42D79"/>
    <w:rsid w:val="00F63576"/>
    <w:rsid w:val="00F70287"/>
    <w:rsid w:val="00F75F65"/>
    <w:rsid w:val="00F87422"/>
    <w:rsid w:val="00F9081D"/>
    <w:rsid w:val="00F9206D"/>
    <w:rsid w:val="00FA08F0"/>
    <w:rsid w:val="00FA229F"/>
    <w:rsid w:val="00FA2513"/>
    <w:rsid w:val="00FA60F5"/>
    <w:rsid w:val="00FA625A"/>
    <w:rsid w:val="00FA6BA4"/>
    <w:rsid w:val="00FB3152"/>
    <w:rsid w:val="00FC666C"/>
    <w:rsid w:val="00FC68F8"/>
    <w:rsid w:val="00FC6F2B"/>
    <w:rsid w:val="00FD4103"/>
    <w:rsid w:val="00FD5687"/>
    <w:rsid w:val="00FE0AD5"/>
    <w:rsid w:val="00FE117F"/>
    <w:rsid w:val="00FF3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AA33E"/>
  <w15:chartTrackingRefBased/>
  <w15:docId w15:val="{AA03010B-0923-4BA1-9C8D-EC2E2879F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63D"/>
  </w:style>
  <w:style w:type="paragraph" w:styleId="Heading1">
    <w:name w:val="heading 1"/>
    <w:basedOn w:val="Normal"/>
    <w:next w:val="Normal"/>
    <w:link w:val="Heading1Char"/>
    <w:uiPriority w:val="9"/>
    <w:qFormat/>
    <w:rsid w:val="00940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0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0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4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04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4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4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4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455"/>
    <w:rPr>
      <w:rFonts w:eastAsiaTheme="majorEastAsia" w:cstheme="majorBidi"/>
      <w:color w:val="272727" w:themeColor="text1" w:themeTint="D8"/>
    </w:rPr>
  </w:style>
  <w:style w:type="paragraph" w:styleId="Title">
    <w:name w:val="Title"/>
    <w:basedOn w:val="Normal"/>
    <w:next w:val="Normal"/>
    <w:link w:val="TitleChar"/>
    <w:uiPriority w:val="10"/>
    <w:qFormat/>
    <w:rsid w:val="00940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455"/>
    <w:pPr>
      <w:spacing w:before="160"/>
      <w:jc w:val="center"/>
    </w:pPr>
    <w:rPr>
      <w:i/>
      <w:iCs/>
      <w:color w:val="404040" w:themeColor="text1" w:themeTint="BF"/>
    </w:rPr>
  </w:style>
  <w:style w:type="character" w:customStyle="1" w:styleId="QuoteChar">
    <w:name w:val="Quote Char"/>
    <w:basedOn w:val="DefaultParagraphFont"/>
    <w:link w:val="Quote"/>
    <w:uiPriority w:val="29"/>
    <w:rsid w:val="00940455"/>
    <w:rPr>
      <w:i/>
      <w:iCs/>
      <w:color w:val="404040" w:themeColor="text1" w:themeTint="BF"/>
    </w:rPr>
  </w:style>
  <w:style w:type="paragraph" w:styleId="ListParagraph">
    <w:name w:val="List Paragraph"/>
    <w:basedOn w:val="Normal"/>
    <w:uiPriority w:val="34"/>
    <w:qFormat/>
    <w:rsid w:val="00940455"/>
    <w:pPr>
      <w:ind w:left="720"/>
      <w:contextualSpacing/>
    </w:pPr>
  </w:style>
  <w:style w:type="character" w:styleId="IntenseEmphasis">
    <w:name w:val="Intense Emphasis"/>
    <w:basedOn w:val="DefaultParagraphFont"/>
    <w:uiPriority w:val="21"/>
    <w:qFormat/>
    <w:rsid w:val="00940455"/>
    <w:rPr>
      <w:i/>
      <w:iCs/>
      <w:color w:val="0F4761" w:themeColor="accent1" w:themeShade="BF"/>
    </w:rPr>
  </w:style>
  <w:style w:type="paragraph" w:styleId="IntenseQuote">
    <w:name w:val="Intense Quote"/>
    <w:basedOn w:val="Normal"/>
    <w:next w:val="Normal"/>
    <w:link w:val="IntenseQuoteChar"/>
    <w:uiPriority w:val="30"/>
    <w:qFormat/>
    <w:rsid w:val="00940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455"/>
    <w:rPr>
      <w:i/>
      <w:iCs/>
      <w:color w:val="0F4761" w:themeColor="accent1" w:themeShade="BF"/>
    </w:rPr>
  </w:style>
  <w:style w:type="character" w:styleId="IntenseReference">
    <w:name w:val="Intense Reference"/>
    <w:basedOn w:val="DefaultParagraphFont"/>
    <w:uiPriority w:val="32"/>
    <w:qFormat/>
    <w:rsid w:val="00940455"/>
    <w:rPr>
      <w:b/>
      <w:bCs/>
      <w:smallCaps/>
      <w:color w:val="0F4761" w:themeColor="accent1" w:themeShade="BF"/>
      <w:spacing w:val="5"/>
    </w:rPr>
  </w:style>
  <w:style w:type="character" w:styleId="Hyperlink">
    <w:name w:val="Hyperlink"/>
    <w:basedOn w:val="DefaultParagraphFont"/>
    <w:uiPriority w:val="99"/>
    <w:unhideWhenUsed/>
    <w:rsid w:val="006833CE"/>
    <w:rPr>
      <w:color w:val="0000FF"/>
      <w:u w:val="single"/>
    </w:rPr>
  </w:style>
  <w:style w:type="character" w:styleId="FollowedHyperlink">
    <w:name w:val="FollowedHyperlink"/>
    <w:basedOn w:val="DefaultParagraphFont"/>
    <w:uiPriority w:val="99"/>
    <w:semiHidden/>
    <w:unhideWhenUsed/>
    <w:rsid w:val="008B4446"/>
    <w:rPr>
      <w:color w:val="96607D" w:themeColor="followedHyperlink"/>
      <w:u w:val="single"/>
    </w:rPr>
  </w:style>
  <w:style w:type="paragraph" w:styleId="NormalWeb">
    <w:name w:val="Normal (Web)"/>
    <w:basedOn w:val="Normal"/>
    <w:uiPriority w:val="99"/>
    <w:unhideWhenUsed/>
    <w:rsid w:val="003A0C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elementtoproof">
    <w:name w:val="x_elementtoproof"/>
    <w:basedOn w:val="Normal"/>
    <w:rsid w:val="007466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74663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4663D"/>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B076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1371">
      <w:bodyDiv w:val="1"/>
      <w:marLeft w:val="0"/>
      <w:marRight w:val="0"/>
      <w:marTop w:val="0"/>
      <w:marBottom w:val="0"/>
      <w:divBdr>
        <w:top w:val="none" w:sz="0" w:space="0" w:color="auto"/>
        <w:left w:val="none" w:sz="0" w:space="0" w:color="auto"/>
        <w:bottom w:val="none" w:sz="0" w:space="0" w:color="auto"/>
        <w:right w:val="none" w:sz="0" w:space="0" w:color="auto"/>
      </w:divBdr>
      <w:divsChild>
        <w:div w:id="218786227">
          <w:marLeft w:val="0"/>
          <w:marRight w:val="0"/>
          <w:marTop w:val="0"/>
          <w:marBottom w:val="0"/>
          <w:divBdr>
            <w:top w:val="none" w:sz="0" w:space="0" w:color="auto"/>
            <w:left w:val="none" w:sz="0" w:space="0" w:color="auto"/>
            <w:bottom w:val="none" w:sz="0" w:space="0" w:color="auto"/>
            <w:right w:val="none" w:sz="0" w:space="0" w:color="auto"/>
          </w:divBdr>
          <w:divsChild>
            <w:div w:id="1297100944">
              <w:marLeft w:val="0"/>
              <w:marRight w:val="0"/>
              <w:marTop w:val="0"/>
              <w:marBottom w:val="0"/>
              <w:divBdr>
                <w:top w:val="none" w:sz="0" w:space="0" w:color="auto"/>
                <w:left w:val="none" w:sz="0" w:space="0" w:color="auto"/>
                <w:bottom w:val="none" w:sz="0" w:space="0" w:color="auto"/>
                <w:right w:val="none" w:sz="0" w:space="0" w:color="auto"/>
              </w:divBdr>
              <w:divsChild>
                <w:div w:id="860050620">
                  <w:marLeft w:val="0"/>
                  <w:marRight w:val="0"/>
                  <w:marTop w:val="0"/>
                  <w:marBottom w:val="0"/>
                  <w:divBdr>
                    <w:top w:val="none" w:sz="0" w:space="0" w:color="auto"/>
                    <w:left w:val="none" w:sz="0" w:space="0" w:color="auto"/>
                    <w:bottom w:val="none" w:sz="0" w:space="0" w:color="auto"/>
                    <w:right w:val="none" w:sz="0" w:space="0" w:color="auto"/>
                  </w:divBdr>
                  <w:divsChild>
                    <w:div w:id="1438451945">
                      <w:marLeft w:val="-150"/>
                      <w:marRight w:val="0"/>
                      <w:marTop w:val="0"/>
                      <w:marBottom w:val="90"/>
                      <w:divBdr>
                        <w:top w:val="none" w:sz="0" w:space="0" w:color="auto"/>
                        <w:left w:val="none" w:sz="0" w:space="0" w:color="auto"/>
                        <w:bottom w:val="none" w:sz="0" w:space="0" w:color="auto"/>
                        <w:right w:val="none" w:sz="0" w:space="0" w:color="auto"/>
                      </w:divBdr>
                      <w:divsChild>
                        <w:div w:id="1079793095">
                          <w:marLeft w:val="0"/>
                          <w:marRight w:val="0"/>
                          <w:marTop w:val="0"/>
                          <w:marBottom w:val="0"/>
                          <w:divBdr>
                            <w:top w:val="none" w:sz="0" w:space="0" w:color="auto"/>
                            <w:left w:val="none" w:sz="0" w:space="0" w:color="auto"/>
                            <w:bottom w:val="none" w:sz="0" w:space="0" w:color="auto"/>
                            <w:right w:val="none" w:sz="0" w:space="0" w:color="auto"/>
                          </w:divBdr>
                        </w:div>
                      </w:divsChild>
                    </w:div>
                    <w:div w:id="187912378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690112747">
          <w:marLeft w:val="0"/>
          <w:marRight w:val="0"/>
          <w:marTop w:val="0"/>
          <w:marBottom w:val="0"/>
          <w:divBdr>
            <w:top w:val="none" w:sz="0" w:space="0" w:color="auto"/>
            <w:left w:val="none" w:sz="0" w:space="0" w:color="auto"/>
            <w:bottom w:val="none" w:sz="0" w:space="0" w:color="auto"/>
            <w:right w:val="none" w:sz="0" w:space="0" w:color="auto"/>
          </w:divBdr>
          <w:divsChild>
            <w:div w:id="1170175816">
              <w:marLeft w:val="0"/>
              <w:marRight w:val="0"/>
              <w:marTop w:val="0"/>
              <w:marBottom w:val="0"/>
              <w:divBdr>
                <w:top w:val="none" w:sz="0" w:space="0" w:color="auto"/>
                <w:left w:val="none" w:sz="0" w:space="0" w:color="auto"/>
                <w:bottom w:val="none" w:sz="0" w:space="0" w:color="auto"/>
                <w:right w:val="none" w:sz="0" w:space="0" w:color="auto"/>
              </w:divBdr>
              <w:divsChild>
                <w:div w:id="1557085193">
                  <w:marLeft w:val="0"/>
                  <w:marRight w:val="0"/>
                  <w:marTop w:val="0"/>
                  <w:marBottom w:val="0"/>
                  <w:divBdr>
                    <w:top w:val="none" w:sz="0" w:space="0" w:color="auto"/>
                    <w:left w:val="none" w:sz="0" w:space="0" w:color="auto"/>
                    <w:bottom w:val="none" w:sz="0" w:space="0" w:color="auto"/>
                    <w:right w:val="none" w:sz="0" w:space="0" w:color="auto"/>
                  </w:divBdr>
                  <w:divsChild>
                    <w:div w:id="130755390">
                      <w:marLeft w:val="0"/>
                      <w:marRight w:val="0"/>
                      <w:marTop w:val="0"/>
                      <w:marBottom w:val="0"/>
                      <w:divBdr>
                        <w:top w:val="none" w:sz="0" w:space="0" w:color="auto"/>
                        <w:left w:val="none" w:sz="0" w:space="0" w:color="auto"/>
                        <w:bottom w:val="none" w:sz="0" w:space="0" w:color="auto"/>
                        <w:right w:val="none" w:sz="0" w:space="0" w:color="auto"/>
                      </w:divBdr>
                      <w:divsChild>
                        <w:div w:id="2053964800">
                          <w:marLeft w:val="0"/>
                          <w:marRight w:val="0"/>
                          <w:marTop w:val="0"/>
                          <w:marBottom w:val="0"/>
                          <w:divBdr>
                            <w:top w:val="none" w:sz="0" w:space="0" w:color="auto"/>
                            <w:left w:val="none" w:sz="0" w:space="0" w:color="auto"/>
                            <w:bottom w:val="none" w:sz="0" w:space="0" w:color="auto"/>
                            <w:right w:val="none" w:sz="0" w:space="0" w:color="auto"/>
                          </w:divBdr>
                          <w:divsChild>
                            <w:div w:id="746537994">
                              <w:marLeft w:val="0"/>
                              <w:marRight w:val="0"/>
                              <w:marTop w:val="0"/>
                              <w:marBottom w:val="0"/>
                              <w:divBdr>
                                <w:top w:val="none" w:sz="0" w:space="0" w:color="auto"/>
                                <w:left w:val="none" w:sz="0" w:space="0" w:color="auto"/>
                                <w:bottom w:val="none" w:sz="0" w:space="0" w:color="auto"/>
                                <w:right w:val="none" w:sz="0" w:space="0" w:color="auto"/>
                              </w:divBdr>
                            </w:div>
                            <w:div w:id="142287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525391">
                      <w:marLeft w:val="0"/>
                      <w:marRight w:val="0"/>
                      <w:marTop w:val="0"/>
                      <w:marBottom w:val="90"/>
                      <w:divBdr>
                        <w:top w:val="none" w:sz="0" w:space="0" w:color="auto"/>
                        <w:left w:val="none" w:sz="0" w:space="0" w:color="auto"/>
                        <w:bottom w:val="none" w:sz="0" w:space="0" w:color="auto"/>
                        <w:right w:val="none" w:sz="0" w:space="0" w:color="auto"/>
                      </w:divBdr>
                      <w:divsChild>
                        <w:div w:id="1391727911">
                          <w:marLeft w:val="0"/>
                          <w:marRight w:val="0"/>
                          <w:marTop w:val="0"/>
                          <w:marBottom w:val="0"/>
                          <w:divBdr>
                            <w:top w:val="none" w:sz="0" w:space="0" w:color="auto"/>
                            <w:left w:val="none" w:sz="0" w:space="0" w:color="auto"/>
                            <w:bottom w:val="none" w:sz="0" w:space="0" w:color="auto"/>
                            <w:right w:val="none" w:sz="0" w:space="0" w:color="auto"/>
                          </w:divBdr>
                          <w:divsChild>
                            <w:div w:id="409811681">
                              <w:marLeft w:val="0"/>
                              <w:marRight w:val="0"/>
                              <w:marTop w:val="0"/>
                              <w:marBottom w:val="0"/>
                              <w:divBdr>
                                <w:top w:val="none" w:sz="0" w:space="0" w:color="auto"/>
                                <w:left w:val="none" w:sz="0" w:space="0" w:color="auto"/>
                                <w:bottom w:val="none" w:sz="0" w:space="0" w:color="auto"/>
                                <w:right w:val="none" w:sz="0" w:space="0" w:color="auto"/>
                              </w:divBdr>
                              <w:divsChild>
                                <w:div w:id="822085590">
                                  <w:marLeft w:val="0"/>
                                  <w:marRight w:val="0"/>
                                  <w:marTop w:val="0"/>
                                  <w:marBottom w:val="0"/>
                                  <w:divBdr>
                                    <w:top w:val="none" w:sz="0" w:space="0" w:color="auto"/>
                                    <w:left w:val="none" w:sz="0" w:space="0" w:color="auto"/>
                                    <w:bottom w:val="none" w:sz="0" w:space="0" w:color="auto"/>
                                    <w:right w:val="none" w:sz="0" w:space="0" w:color="auto"/>
                                  </w:divBdr>
                                  <w:divsChild>
                                    <w:div w:id="1870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79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325688">
          <w:marLeft w:val="0"/>
          <w:marRight w:val="0"/>
          <w:marTop w:val="0"/>
          <w:marBottom w:val="0"/>
          <w:divBdr>
            <w:top w:val="none" w:sz="0" w:space="0" w:color="auto"/>
            <w:left w:val="none" w:sz="0" w:space="0" w:color="auto"/>
            <w:bottom w:val="none" w:sz="0" w:space="0" w:color="auto"/>
            <w:right w:val="none" w:sz="0" w:space="0" w:color="auto"/>
          </w:divBdr>
          <w:divsChild>
            <w:div w:id="2137605530">
              <w:marLeft w:val="0"/>
              <w:marRight w:val="0"/>
              <w:marTop w:val="0"/>
              <w:marBottom w:val="0"/>
              <w:divBdr>
                <w:top w:val="none" w:sz="0" w:space="0" w:color="auto"/>
                <w:left w:val="none" w:sz="0" w:space="0" w:color="auto"/>
                <w:bottom w:val="none" w:sz="0" w:space="0" w:color="auto"/>
                <w:right w:val="none" w:sz="0" w:space="0" w:color="auto"/>
              </w:divBdr>
              <w:divsChild>
                <w:div w:id="597300752">
                  <w:marLeft w:val="0"/>
                  <w:marRight w:val="0"/>
                  <w:marTop w:val="0"/>
                  <w:marBottom w:val="0"/>
                  <w:divBdr>
                    <w:top w:val="none" w:sz="0" w:space="0" w:color="auto"/>
                    <w:left w:val="none" w:sz="0" w:space="0" w:color="auto"/>
                    <w:bottom w:val="none" w:sz="0" w:space="0" w:color="auto"/>
                    <w:right w:val="none" w:sz="0" w:space="0" w:color="auto"/>
                  </w:divBdr>
                  <w:divsChild>
                    <w:div w:id="873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107131">
          <w:marLeft w:val="0"/>
          <w:marRight w:val="0"/>
          <w:marTop w:val="0"/>
          <w:marBottom w:val="0"/>
          <w:divBdr>
            <w:top w:val="none" w:sz="0" w:space="0" w:color="auto"/>
            <w:left w:val="none" w:sz="0" w:space="0" w:color="auto"/>
            <w:bottom w:val="none" w:sz="0" w:space="0" w:color="auto"/>
            <w:right w:val="none" w:sz="0" w:space="0" w:color="auto"/>
          </w:divBdr>
          <w:divsChild>
            <w:div w:id="65237227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587692563">
      <w:bodyDiv w:val="1"/>
      <w:marLeft w:val="0"/>
      <w:marRight w:val="0"/>
      <w:marTop w:val="0"/>
      <w:marBottom w:val="0"/>
      <w:divBdr>
        <w:top w:val="none" w:sz="0" w:space="0" w:color="auto"/>
        <w:left w:val="none" w:sz="0" w:space="0" w:color="auto"/>
        <w:bottom w:val="none" w:sz="0" w:space="0" w:color="auto"/>
        <w:right w:val="none" w:sz="0" w:space="0" w:color="auto"/>
      </w:divBdr>
    </w:div>
    <w:div w:id="613563963">
      <w:bodyDiv w:val="1"/>
      <w:marLeft w:val="0"/>
      <w:marRight w:val="0"/>
      <w:marTop w:val="0"/>
      <w:marBottom w:val="0"/>
      <w:divBdr>
        <w:top w:val="none" w:sz="0" w:space="0" w:color="auto"/>
        <w:left w:val="none" w:sz="0" w:space="0" w:color="auto"/>
        <w:bottom w:val="none" w:sz="0" w:space="0" w:color="auto"/>
        <w:right w:val="none" w:sz="0" w:space="0" w:color="auto"/>
      </w:divBdr>
    </w:div>
    <w:div w:id="693576845">
      <w:bodyDiv w:val="1"/>
      <w:marLeft w:val="0"/>
      <w:marRight w:val="0"/>
      <w:marTop w:val="0"/>
      <w:marBottom w:val="0"/>
      <w:divBdr>
        <w:top w:val="none" w:sz="0" w:space="0" w:color="auto"/>
        <w:left w:val="none" w:sz="0" w:space="0" w:color="auto"/>
        <w:bottom w:val="none" w:sz="0" w:space="0" w:color="auto"/>
        <w:right w:val="none" w:sz="0" w:space="0" w:color="auto"/>
      </w:divBdr>
    </w:div>
    <w:div w:id="882980813">
      <w:bodyDiv w:val="1"/>
      <w:marLeft w:val="0"/>
      <w:marRight w:val="0"/>
      <w:marTop w:val="0"/>
      <w:marBottom w:val="0"/>
      <w:divBdr>
        <w:top w:val="none" w:sz="0" w:space="0" w:color="auto"/>
        <w:left w:val="none" w:sz="0" w:space="0" w:color="auto"/>
        <w:bottom w:val="none" w:sz="0" w:space="0" w:color="auto"/>
        <w:right w:val="none" w:sz="0" w:space="0" w:color="auto"/>
      </w:divBdr>
    </w:div>
    <w:div w:id="1054088653">
      <w:bodyDiv w:val="1"/>
      <w:marLeft w:val="0"/>
      <w:marRight w:val="0"/>
      <w:marTop w:val="0"/>
      <w:marBottom w:val="0"/>
      <w:divBdr>
        <w:top w:val="none" w:sz="0" w:space="0" w:color="auto"/>
        <w:left w:val="none" w:sz="0" w:space="0" w:color="auto"/>
        <w:bottom w:val="none" w:sz="0" w:space="0" w:color="auto"/>
        <w:right w:val="none" w:sz="0" w:space="0" w:color="auto"/>
      </w:divBdr>
    </w:div>
    <w:div w:id="1097020811">
      <w:bodyDiv w:val="1"/>
      <w:marLeft w:val="0"/>
      <w:marRight w:val="0"/>
      <w:marTop w:val="0"/>
      <w:marBottom w:val="0"/>
      <w:divBdr>
        <w:top w:val="none" w:sz="0" w:space="0" w:color="auto"/>
        <w:left w:val="none" w:sz="0" w:space="0" w:color="auto"/>
        <w:bottom w:val="none" w:sz="0" w:space="0" w:color="auto"/>
        <w:right w:val="none" w:sz="0" w:space="0" w:color="auto"/>
      </w:divBdr>
    </w:div>
    <w:div w:id="1563368077">
      <w:bodyDiv w:val="1"/>
      <w:marLeft w:val="0"/>
      <w:marRight w:val="0"/>
      <w:marTop w:val="0"/>
      <w:marBottom w:val="0"/>
      <w:divBdr>
        <w:top w:val="none" w:sz="0" w:space="0" w:color="auto"/>
        <w:left w:val="none" w:sz="0" w:space="0" w:color="auto"/>
        <w:bottom w:val="none" w:sz="0" w:space="0" w:color="auto"/>
        <w:right w:val="none" w:sz="0" w:space="0" w:color="auto"/>
      </w:divBdr>
    </w:div>
    <w:div w:id="1618832012">
      <w:bodyDiv w:val="1"/>
      <w:marLeft w:val="0"/>
      <w:marRight w:val="0"/>
      <w:marTop w:val="0"/>
      <w:marBottom w:val="0"/>
      <w:divBdr>
        <w:top w:val="none" w:sz="0" w:space="0" w:color="auto"/>
        <w:left w:val="none" w:sz="0" w:space="0" w:color="auto"/>
        <w:bottom w:val="none" w:sz="0" w:space="0" w:color="auto"/>
        <w:right w:val="none" w:sz="0" w:space="0" w:color="auto"/>
      </w:divBdr>
    </w:div>
    <w:div w:id="1723676759">
      <w:bodyDiv w:val="1"/>
      <w:marLeft w:val="0"/>
      <w:marRight w:val="0"/>
      <w:marTop w:val="0"/>
      <w:marBottom w:val="0"/>
      <w:divBdr>
        <w:top w:val="none" w:sz="0" w:space="0" w:color="auto"/>
        <w:left w:val="none" w:sz="0" w:space="0" w:color="auto"/>
        <w:bottom w:val="none" w:sz="0" w:space="0" w:color="auto"/>
        <w:right w:val="none" w:sz="0" w:space="0" w:color="auto"/>
      </w:divBdr>
    </w:div>
    <w:div w:id="187383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ebriefs.com/blog/law/criminal-law/criminal-law-keyed-to-kadish/defining-criminal-conduct-the-elements-of-just-punishment/regina-v-cunningham-2/" TargetMode="External"/><Relationship Id="rId13" Type="http://schemas.openxmlformats.org/officeDocument/2006/relationships/hyperlink" Target="https://assets.publishing.service.gov.uk/media/5a81679a40f0b62305b8ec5b/51950_LC_HC555_Web.pdf" TargetMode="External"/><Relationship Id="rId18" Type="http://schemas.openxmlformats.org/officeDocument/2006/relationships/hyperlink" Target="https://plus-lexis-com.ezproxy.uwtsd.ac.uk/uk/cases-uk/r-v-ireland-r-v-burstow?crid=f3873889-2314-45bc-bbce-7e70991c4cc9"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hyperlink" Target="https://www.theguardian.com/law/2015/nov/03/let-magistrates-deal-more-assault-cases-law-reform-body" TargetMode="External"/><Relationship Id="rId12" Type="http://schemas.openxmlformats.org/officeDocument/2006/relationships/hyperlink" Target="https://eur02.safelinks.protection.outlook.com/?url=https%3A%2F%2Fwww.researchgate.net%2Fpublication%2F285950268_Offences_against_the_Person_Into_the_21st_Century&amp;data=05%7C02%7CShawC36%40hwbcymru.net%7C66488c9c132847a64c4e08dc3c6f9204%7C4f3f0e52b734416494091b601d147993%7C0%7C0%7C638451697102010725%7CUnknown%7CTWFpbGZsb3d8eyJWIjoiMC4wLjAwMDAiLCJQIjoiV2luMzIiLCJBTiI6Ik1haWwiLCJXVCI6Mn0%3D%7C0%7C%7C%7C&amp;sdata=%2Bq6mKgded4enJTz7arKyKLmUg9yaysYi4uV85Uuo%2BxU%3D&amp;reserved=0" TargetMode="External"/><Relationship Id="rId17" Type="http://schemas.openxmlformats.org/officeDocument/2006/relationships/hyperlink" Target="https://plus-lexis-com.ezproxy.uwtsd.ac.uk/uk/cases-uk/r-v-cunningham_13?crid=23208bfa-8a62-4af9-8a88-1b6945412a7d" TargetMode="External"/><Relationship Id="rId2" Type="http://schemas.openxmlformats.org/officeDocument/2006/relationships/customXml" Target="../customXml/item2.xml"/><Relationship Id="rId16" Type="http://schemas.openxmlformats.org/officeDocument/2006/relationships/hyperlink" Target="https://www.gov.uk/government/news/magistrates-courts-given-more-power-to-tackle-backlog" TargetMode="External"/><Relationship Id="rId20" Type="http://schemas.openxmlformats.org/officeDocument/2006/relationships/hyperlink" Target="https://www.legislation.gov.uk/ukpga/Vict/24-25/100/cont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2.safelinks.protection.outlook.com/?url=https%3A%2F%2Fwww.researchgate.net%2Fpublication%2F285950268_Offences_against_the_Person_Into_the_21st_Century&amp;data=05%7C02%7CShawC36%40hwbcymru.net%7C66488c9c132847a64c4e08dc3c6f9204%7C4f3f0e52b734416494091b601d147993%7C0%7C0%7C638451697102010725%7CUnknown%7CTWFpbGZsb3d8eyJWIjoiMC4wLjAwMDAiLCJQIjoiV2luMzIiLCJBTiI6Ik1haWwiLCJXVCI6Mn0%3D%7C0%7C%7C%7C&amp;sdata=%2Bq6mKgded4enJTz7arKyKLmUg9yaysYi4uV85Uuo%2BxU%3D&amp;reserved=0" TargetMode="External"/><Relationship Id="rId5" Type="http://schemas.openxmlformats.org/officeDocument/2006/relationships/settings" Target="settings.xml"/><Relationship Id="rId15" Type="http://schemas.openxmlformats.org/officeDocument/2006/relationships/hyperlink" Target="https://www.ons.gov.uk/peoplepopulationandcommunity/crimeandjustice/bulletins/crimeinenglandandwales/yearendingseptember2023" TargetMode="External"/><Relationship Id="rId10" Type="http://schemas.openxmlformats.org/officeDocument/2006/relationships/hyperlink" Target="https://eur02.safelinks.protection.outlook.com/?url=https%3A%2F%2Fjournals.sagepub.com%2Fdoi%2Ffull%2F10.1177%2F0022018315617583%3FjournalCode%3Dclja&amp;data=05%7C02%7CShawC36%40hwbcymru.net%7C66488c9c132847a64c4e08dc3c6f9204%7C4f3f0e52b734416494091b601d147993%7C0%7C0%7C638451697102000544%7CUnknown%7CTWFpbGZsb3d8eyJWIjoiMC4wLjAwMDAiLCJQIjoiV2luMzIiLCJBTiI6Ik1haWwiLCJXVCI6Mn0%3D%7C0%7C%7C%7C&amp;sdata=g%2FQKeWcH4KCHUQSmawNNFbUd6E%2Fuu%2FyRzAOI4QP3SLw%3D&amp;reserved=0" TargetMode="External"/><Relationship Id="rId19" Type="http://schemas.openxmlformats.org/officeDocument/2006/relationships/hyperlink" Target="https://plus-lexis-com.ezproxy.uwtsd.ac.uk/uk/cases-uk/r-v-lynsey?crid=79bad796-0cca-42f9-9d72-8a2000341e8f" TargetMode="External"/><Relationship Id="rId4" Type="http://schemas.openxmlformats.org/officeDocument/2006/relationships/styles" Target="styles.xml"/><Relationship Id="rId9" Type="http://schemas.openxmlformats.org/officeDocument/2006/relationships/hyperlink" Target="https://journals.sagepub.com/doi/abs/10.1177/0022018316646656?journalCode=clja" TargetMode="External"/><Relationship Id="rId14" Type="http://schemas.openxmlformats.org/officeDocument/2006/relationships/hyperlink" Target="https://www.youtube.com/watch?v=diWKWOdY8IQ"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2305695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8ECAAE-A1B0-4166-A59B-AF13F4F0C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11</Pages>
  <Words>2404</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Reform of the Offences Against the Person Act 1861</vt:lpstr>
    </vt:vector>
  </TitlesOfParts>
  <Company>Ffion Jones</Company>
  <LinksUpToDate>false</LinksUpToDate>
  <CharactersWithSpaces>16075</CharactersWithSpaces>
  <SharedDoc>false</SharedDoc>
  <HLinks>
    <vt:vector size="60" baseType="variant">
      <vt:variant>
        <vt:i4>1704005</vt:i4>
      </vt:variant>
      <vt:variant>
        <vt:i4>27</vt:i4>
      </vt:variant>
      <vt:variant>
        <vt:i4>0</vt:i4>
      </vt:variant>
      <vt:variant>
        <vt:i4>5</vt:i4>
      </vt:variant>
      <vt:variant>
        <vt:lpwstr>https://www.gov.uk/government/news/magistrates-courts-given-more-power-to-tackle-backlog</vt:lpwstr>
      </vt:variant>
      <vt:variant>
        <vt:lpwstr/>
      </vt:variant>
      <vt:variant>
        <vt:i4>7340130</vt:i4>
      </vt:variant>
      <vt:variant>
        <vt:i4>24</vt:i4>
      </vt:variant>
      <vt:variant>
        <vt:i4>0</vt:i4>
      </vt:variant>
      <vt:variant>
        <vt:i4>5</vt:i4>
      </vt:variant>
      <vt:variant>
        <vt:lpwstr>https://www.theguardian.com/law/2015/nov/03/let-magistrates-deal-more-assault-cases-law-reform-body</vt:lpwstr>
      </vt:variant>
      <vt:variant>
        <vt:lpwstr/>
      </vt:variant>
      <vt:variant>
        <vt:i4>3866679</vt:i4>
      </vt:variant>
      <vt:variant>
        <vt:i4>21</vt:i4>
      </vt:variant>
      <vt:variant>
        <vt:i4>0</vt:i4>
      </vt:variant>
      <vt:variant>
        <vt:i4>5</vt:i4>
      </vt:variant>
      <vt:variant>
        <vt:lpwstr>https://journals.sagepub.com/doi/full/10.1177/0022018316646656?journalCode=clja</vt:lpwstr>
      </vt:variant>
      <vt:variant>
        <vt:lpwstr/>
      </vt:variant>
      <vt:variant>
        <vt:i4>7143463</vt:i4>
      </vt:variant>
      <vt:variant>
        <vt:i4>18</vt:i4>
      </vt:variant>
      <vt:variant>
        <vt:i4>0</vt:i4>
      </vt:variant>
      <vt:variant>
        <vt:i4>5</vt:i4>
      </vt:variant>
      <vt:variant>
        <vt:lpwstr>C:\Users\ffion\Downloads\Law Commission (2).pdf</vt:lpwstr>
      </vt:variant>
      <vt:variant>
        <vt:lpwstr/>
      </vt:variant>
      <vt:variant>
        <vt:i4>1704022</vt:i4>
      </vt:variant>
      <vt:variant>
        <vt:i4>15</vt:i4>
      </vt:variant>
      <vt:variant>
        <vt:i4>0</vt:i4>
      </vt:variant>
      <vt:variant>
        <vt:i4>5</vt:i4>
      </vt:variant>
      <vt:variant>
        <vt:lpwstr>https://www.ons.gov.uk/peoplepopulationandcommunity/crimeandjustice/bulletins/crimeinenglandandwales/yearendingseptember2023</vt:lpwstr>
      </vt:variant>
      <vt:variant>
        <vt:lpwstr/>
      </vt:variant>
      <vt:variant>
        <vt:i4>2228343</vt:i4>
      </vt:variant>
      <vt:variant>
        <vt:i4>12</vt:i4>
      </vt:variant>
      <vt:variant>
        <vt:i4>0</vt:i4>
      </vt:variant>
      <vt:variant>
        <vt:i4>5</vt:i4>
      </vt:variant>
      <vt:variant>
        <vt:lpwstr>https://www.youtube.com/watch?v=diWKWOdY8IQ</vt:lpwstr>
      </vt:variant>
      <vt:variant>
        <vt:lpwstr/>
      </vt:variant>
      <vt:variant>
        <vt:i4>6815845</vt:i4>
      </vt:variant>
      <vt:variant>
        <vt:i4>9</vt:i4>
      </vt:variant>
      <vt:variant>
        <vt:i4>0</vt:i4>
      </vt:variant>
      <vt:variant>
        <vt:i4>5</vt:i4>
      </vt:variant>
      <vt:variant>
        <vt:lpwstr>https://www.researchgate.net/publication/285950268_Offences_against_the_Person_Into_the_21st_Century</vt:lpwstr>
      </vt:variant>
      <vt:variant>
        <vt:lpwstr/>
      </vt:variant>
      <vt:variant>
        <vt:i4>5373973</vt:i4>
      </vt:variant>
      <vt:variant>
        <vt:i4>6</vt:i4>
      </vt:variant>
      <vt:variant>
        <vt:i4>0</vt:i4>
      </vt:variant>
      <vt:variant>
        <vt:i4>5</vt:i4>
      </vt:variant>
      <vt:variant>
        <vt:lpwstr>https://publications.parliament.uk/pa/ld199798/ldjudgmt/jd970724/irland01.htm</vt:lpwstr>
      </vt:variant>
      <vt:variant>
        <vt:lpwstr/>
      </vt:variant>
      <vt:variant>
        <vt:i4>7733366</vt:i4>
      </vt:variant>
      <vt:variant>
        <vt:i4>3</vt:i4>
      </vt:variant>
      <vt:variant>
        <vt:i4>0</vt:i4>
      </vt:variant>
      <vt:variant>
        <vt:i4>5</vt:i4>
      </vt:variant>
      <vt:variant>
        <vt:lpwstr>https://www.casebriefs.com/blog/law/criminal-law/criminal-law-keyed-to-kadish/defining-criminal-conduct-the-elements-of-just-punishment/regina-v-cunningham-2/</vt:lpwstr>
      </vt:variant>
      <vt:variant>
        <vt:lpwstr/>
      </vt:variant>
      <vt:variant>
        <vt:i4>6881385</vt:i4>
      </vt:variant>
      <vt:variant>
        <vt:i4>0</vt:i4>
      </vt:variant>
      <vt:variant>
        <vt:i4>0</vt:i4>
      </vt:variant>
      <vt:variant>
        <vt:i4>5</vt:i4>
      </vt:variant>
      <vt:variant>
        <vt:lpwstr>https://www.taylorfrancis.com/search?contributorName=%20Routledge-Cavendish&amp;contributorRole=author&amp;redirectFromPDP=true&amp;context=ubx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 of the Offences Against the Person Act 1861</dc:title>
  <dc:subject/>
  <dc:creator>BMLW4005</dc:creator>
  <cp:keywords/>
  <dc:description/>
  <cp:lastModifiedBy>Ffion Jones</cp:lastModifiedBy>
  <cp:revision>324</cp:revision>
  <dcterms:created xsi:type="dcterms:W3CDTF">2024-03-01T20:55:00Z</dcterms:created>
  <dcterms:modified xsi:type="dcterms:W3CDTF">2024-03-19T22:00:00Z</dcterms:modified>
</cp:coreProperties>
</file>