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Aptos" w:hAnsi="Aptos" w:cs="Aptos" w:eastAsia="Aptos"/>
          <w:b/>
          <w:color w:val="auto"/>
          <w:spacing w:val="0"/>
          <w:position w:val="0"/>
          <w:sz w:val="48"/>
          <w:shd w:fill="auto" w:val="clear"/>
        </w:rPr>
      </w:pPr>
      <w:r>
        <w:rPr>
          <w:rFonts w:ascii="Aptos" w:hAnsi="Aptos" w:cs="Aptos" w:eastAsia="Aptos"/>
          <w:b/>
          <w:color w:val="auto"/>
          <w:spacing w:val="0"/>
          <w:position w:val="0"/>
          <w:sz w:val="96"/>
          <w:shd w:fill="auto" w:val="clear"/>
        </w:rPr>
        <w:t xml:space="preserve">Employability Skills</w:t>
        <w:br/>
        <w:br/>
        <w:br/>
      </w:r>
      <w:r>
        <w:rPr>
          <w:rFonts w:ascii="Aptos" w:hAnsi="Aptos" w:cs="Aptos" w:eastAsia="Aptos"/>
          <w:b/>
          <w:color w:val="auto"/>
          <w:spacing w:val="0"/>
          <w:position w:val="0"/>
          <w:sz w:val="48"/>
          <w:shd w:fill="auto" w:val="clear"/>
        </w:rPr>
        <w:t xml:space="preserve">Module: Professional Career Development</w:t>
        <w:br/>
        <w:br/>
        <w:br/>
        <w:t xml:space="preserve">Lecturer: Muhammad Cassamo</w:t>
        <w:br/>
        <w:br/>
        <w:t xml:space="preserve">Student : 2422201</w:t>
        <w:br/>
        <w:br/>
        <w:t xml:space="preserve">Part 1: Individual Reflection</w:t>
        <w:br/>
      </w:r>
    </w:p>
    <w:p>
      <w:pPr>
        <w:spacing w:before="0" w:after="160" w:line="259"/>
        <w:ind w:right="0" w:left="0" w:firstLine="0"/>
        <w:jc w:val="left"/>
        <w:rPr>
          <w:rFonts w:ascii="Aptos" w:hAnsi="Aptos" w:cs="Aptos" w:eastAsia="Aptos"/>
          <w:color w:val="auto"/>
          <w:spacing w:val="0"/>
          <w:position w:val="0"/>
          <w:sz w:val="22"/>
          <w:shd w:fill="auto" w:val="clear"/>
        </w:rPr>
      </w:pPr>
    </w:p>
    <w:p>
      <w:pPr>
        <w:spacing w:before="0" w:after="160" w:line="259"/>
        <w:ind w:right="0" w:left="0" w:firstLine="0"/>
        <w:jc w:val="left"/>
        <w:rPr>
          <w:rFonts w:ascii="Aptos" w:hAnsi="Aptos" w:cs="Aptos" w:eastAsia="Aptos"/>
          <w:color w:val="auto"/>
          <w:spacing w:val="0"/>
          <w:position w:val="0"/>
          <w:sz w:val="22"/>
          <w:shd w:fill="auto" w:val="clear"/>
        </w:rPr>
      </w:pPr>
    </w:p>
    <w:p>
      <w:pPr>
        <w:spacing w:before="0" w:after="160" w:line="259"/>
        <w:ind w:right="0" w:left="0" w:firstLine="0"/>
        <w:jc w:val="left"/>
        <w:rPr>
          <w:rFonts w:ascii="Aptos" w:hAnsi="Aptos" w:cs="Aptos" w:eastAsia="Aptos"/>
          <w:color w:val="auto"/>
          <w:spacing w:val="0"/>
          <w:position w:val="0"/>
          <w:sz w:val="22"/>
          <w:shd w:fill="auto" w:val="clear"/>
        </w:rPr>
      </w:pPr>
    </w:p>
    <w:p>
      <w:pPr>
        <w:spacing w:before="0" w:after="160" w:line="259"/>
        <w:ind w:right="0" w:left="0" w:firstLine="0"/>
        <w:jc w:val="left"/>
        <w:rPr>
          <w:rFonts w:ascii="Aptos" w:hAnsi="Aptos" w:cs="Aptos" w:eastAsia="Aptos"/>
          <w:color w:val="auto"/>
          <w:spacing w:val="0"/>
          <w:position w:val="0"/>
          <w:sz w:val="22"/>
          <w:shd w:fill="auto" w:val="clear"/>
        </w:rPr>
      </w:pPr>
    </w:p>
    <w:p>
      <w:pPr>
        <w:spacing w:before="0" w:after="160" w:line="259"/>
        <w:ind w:right="0" w:left="0" w:firstLine="0"/>
        <w:jc w:val="left"/>
        <w:rPr>
          <w:rFonts w:ascii="Aptos" w:hAnsi="Aptos" w:cs="Aptos" w:eastAsia="Aptos"/>
          <w:color w:val="auto"/>
          <w:spacing w:val="0"/>
          <w:position w:val="0"/>
          <w:sz w:val="22"/>
          <w:shd w:fill="auto" w:val="clear"/>
        </w:rPr>
      </w:pPr>
    </w:p>
    <w:p>
      <w:pPr>
        <w:spacing w:before="0" w:after="160" w:line="259"/>
        <w:ind w:right="0" w:left="0" w:firstLine="0"/>
        <w:jc w:val="left"/>
        <w:rPr>
          <w:rFonts w:ascii="Aptos" w:hAnsi="Aptos" w:cs="Aptos" w:eastAsia="Aptos"/>
          <w:color w:val="auto"/>
          <w:spacing w:val="0"/>
          <w:position w:val="0"/>
          <w:sz w:val="22"/>
          <w:shd w:fill="auto" w:val="clear"/>
        </w:rPr>
      </w:pPr>
    </w:p>
    <w:p>
      <w:pPr>
        <w:spacing w:before="0" w:after="160" w:line="259"/>
        <w:ind w:right="0" w:left="0" w:firstLine="0"/>
        <w:jc w:val="left"/>
        <w:rPr>
          <w:rFonts w:ascii="Aptos" w:hAnsi="Aptos" w:cs="Aptos" w:eastAsia="Aptos"/>
          <w:color w:val="auto"/>
          <w:spacing w:val="0"/>
          <w:position w:val="0"/>
          <w:sz w:val="22"/>
          <w:shd w:fill="auto" w:val="clear"/>
        </w:rPr>
      </w:pPr>
    </w:p>
    <w:p>
      <w:pPr>
        <w:spacing w:before="0" w:after="160" w:line="259"/>
        <w:ind w:right="0" w:left="0" w:firstLine="0"/>
        <w:jc w:val="left"/>
        <w:rPr>
          <w:rFonts w:ascii="Aptos" w:hAnsi="Aptos" w:cs="Aptos" w:eastAsia="Aptos"/>
          <w:color w:val="auto"/>
          <w:spacing w:val="0"/>
          <w:position w:val="0"/>
          <w:sz w:val="22"/>
          <w:shd w:fill="auto" w:val="clear"/>
        </w:rPr>
      </w:pPr>
    </w:p>
    <w:p>
      <w:pPr>
        <w:spacing w:before="0" w:after="160" w:line="259"/>
        <w:ind w:right="0" w:left="0" w:firstLine="0"/>
        <w:jc w:val="left"/>
        <w:rPr>
          <w:rFonts w:ascii="Aptos" w:hAnsi="Aptos" w:cs="Aptos" w:eastAsia="Aptos"/>
          <w:color w:val="auto"/>
          <w:spacing w:val="0"/>
          <w:position w:val="0"/>
          <w:sz w:val="22"/>
          <w:shd w:fill="auto" w:val="clear"/>
        </w:rPr>
      </w:pPr>
    </w:p>
    <w:p>
      <w:pPr>
        <w:spacing w:before="0" w:after="160" w:line="259"/>
        <w:ind w:right="0" w:left="0" w:firstLine="0"/>
        <w:jc w:val="left"/>
        <w:rPr>
          <w:rFonts w:ascii="Aptos" w:hAnsi="Aptos" w:cs="Aptos" w:eastAsia="Aptos"/>
          <w:color w:val="auto"/>
          <w:spacing w:val="0"/>
          <w:position w:val="0"/>
          <w:sz w:val="22"/>
          <w:shd w:fill="auto" w:val="clear"/>
        </w:rPr>
      </w:pPr>
    </w:p>
    <w:p>
      <w:pPr>
        <w:spacing w:before="0" w:after="160" w:line="259"/>
        <w:ind w:right="0" w:left="0" w:firstLine="0"/>
        <w:jc w:val="left"/>
        <w:rPr>
          <w:rFonts w:ascii="Aptos" w:hAnsi="Aptos" w:cs="Aptos" w:eastAsia="Aptos"/>
          <w:color w:val="auto"/>
          <w:spacing w:val="0"/>
          <w:position w:val="0"/>
          <w:sz w:val="22"/>
          <w:shd w:fill="auto" w:val="clear"/>
        </w:rPr>
      </w:pPr>
    </w:p>
    <w:p>
      <w:pPr>
        <w:spacing w:before="0" w:after="160" w:line="259"/>
        <w:ind w:right="0" w:left="0" w:firstLine="0"/>
        <w:jc w:val="left"/>
        <w:rPr>
          <w:rFonts w:ascii="Aptos" w:hAnsi="Aptos" w:cs="Aptos" w:eastAsia="Aptos"/>
          <w:color w:val="auto"/>
          <w:spacing w:val="0"/>
          <w:position w:val="0"/>
          <w:sz w:val="22"/>
          <w:shd w:fill="auto" w:val="clear"/>
        </w:rPr>
      </w:pPr>
    </w:p>
    <w:p>
      <w:pPr>
        <w:spacing w:before="0" w:after="160" w:line="259"/>
        <w:ind w:right="0" w:left="0" w:firstLine="0"/>
        <w:jc w:val="left"/>
        <w:rPr>
          <w:rFonts w:ascii="Aptos" w:hAnsi="Aptos" w:cs="Aptos" w:eastAsia="Aptos"/>
          <w:color w:val="auto"/>
          <w:spacing w:val="0"/>
          <w:position w:val="0"/>
          <w:sz w:val="22"/>
          <w:shd w:fill="auto" w:val="clear"/>
        </w:rPr>
      </w:pPr>
    </w:p>
    <w:p>
      <w:pPr>
        <w:spacing w:before="0" w:after="160" w:line="259"/>
        <w:ind w:right="0" w:left="0" w:firstLine="0"/>
        <w:jc w:val="left"/>
        <w:rPr>
          <w:rFonts w:ascii="Aptos" w:hAnsi="Aptos" w:cs="Aptos" w:eastAsia="Aptos"/>
          <w:color w:val="auto"/>
          <w:spacing w:val="0"/>
          <w:position w:val="0"/>
          <w:sz w:val="22"/>
          <w:shd w:fill="auto" w:val="clear"/>
        </w:rPr>
      </w:pPr>
    </w:p>
    <w:p>
      <w:pPr>
        <w:spacing w:before="0" w:after="160" w:line="259"/>
        <w:ind w:right="0" w:left="0" w:firstLine="0"/>
        <w:jc w:val="left"/>
        <w:rPr>
          <w:rFonts w:ascii="Aptos" w:hAnsi="Aptos" w:cs="Aptos" w:eastAsia="Aptos"/>
          <w:color w:val="auto"/>
          <w:spacing w:val="0"/>
          <w:position w:val="0"/>
          <w:sz w:val="22"/>
          <w:shd w:fill="auto" w:val="clear"/>
        </w:rPr>
      </w:pPr>
    </w:p>
    <w:p>
      <w:pPr>
        <w:spacing w:before="0" w:after="160" w:line="259"/>
        <w:ind w:right="0" w:left="0" w:firstLine="0"/>
        <w:jc w:val="left"/>
        <w:rPr>
          <w:rFonts w:ascii="Aptos" w:hAnsi="Aptos" w:cs="Aptos" w:eastAsia="Aptos"/>
          <w:color w:val="auto"/>
          <w:spacing w:val="0"/>
          <w:position w:val="0"/>
          <w:sz w:val="22"/>
          <w:shd w:fill="auto" w:val="clear"/>
        </w:rPr>
      </w:pPr>
    </w:p>
    <w:p>
      <w:pPr>
        <w:spacing w:before="0" w:after="160" w:line="259"/>
        <w:ind w:right="0" w:left="0" w:firstLine="0"/>
        <w:jc w:val="left"/>
        <w:rPr>
          <w:rFonts w:ascii="Aptos" w:hAnsi="Aptos" w:cs="Aptos" w:eastAsia="Aptos"/>
          <w:color w:val="auto"/>
          <w:spacing w:val="0"/>
          <w:position w:val="0"/>
          <w:sz w:val="22"/>
          <w:shd w:fill="auto" w:val="clear"/>
        </w:rPr>
      </w:pPr>
    </w:p>
    <w:p>
      <w:pPr>
        <w:spacing w:before="0" w:after="160" w:line="259"/>
        <w:ind w:right="0" w:left="0" w:firstLine="0"/>
        <w:jc w:val="left"/>
        <w:rPr>
          <w:rFonts w:ascii="Aptos" w:hAnsi="Aptos" w:cs="Aptos" w:eastAsia="Aptos"/>
          <w:color w:val="auto"/>
          <w:spacing w:val="0"/>
          <w:position w:val="0"/>
          <w:sz w:val="22"/>
          <w:shd w:fill="auto" w:val="clear"/>
        </w:rPr>
      </w:pPr>
    </w:p>
    <w:p>
      <w:pPr>
        <w:spacing w:before="0" w:after="160" w:line="259"/>
        <w:ind w:right="0" w:left="0" w:firstLine="0"/>
        <w:jc w:val="left"/>
        <w:rPr>
          <w:rFonts w:ascii="Aptos" w:hAnsi="Aptos" w:cs="Aptos" w:eastAsia="Aptos"/>
          <w:color w:val="auto"/>
          <w:spacing w:val="0"/>
          <w:position w:val="0"/>
          <w:sz w:val="22"/>
          <w:shd w:fill="auto" w:val="clear"/>
        </w:rPr>
      </w:pPr>
    </w:p>
    <w:p>
      <w:pPr>
        <w:spacing w:before="0" w:after="160" w:line="259"/>
        <w:ind w:right="0" w:left="0" w:firstLine="0"/>
        <w:jc w:val="left"/>
        <w:rPr>
          <w:rFonts w:ascii="Aptos" w:hAnsi="Aptos" w:cs="Aptos" w:eastAsia="Aptos"/>
          <w:color w:val="auto"/>
          <w:spacing w:val="0"/>
          <w:position w:val="0"/>
          <w:sz w:val="22"/>
          <w:shd w:fill="auto" w:val="clear"/>
        </w:rPr>
      </w:pPr>
    </w:p>
    <w:p>
      <w:pPr>
        <w:spacing w:before="0" w:after="160" w:line="259"/>
        <w:ind w:right="0" w:left="0" w:firstLine="0"/>
        <w:jc w:val="left"/>
        <w:rPr>
          <w:rFonts w:ascii="Aptos" w:hAnsi="Aptos" w:cs="Aptos" w:eastAsia="Aptos"/>
          <w:color w:val="auto"/>
          <w:spacing w:val="0"/>
          <w:position w:val="0"/>
          <w:sz w:val="22"/>
          <w:shd w:fill="auto" w:val="clear"/>
        </w:rPr>
      </w:pPr>
    </w:p>
    <w:p>
      <w:pPr>
        <w:spacing w:before="0" w:after="160" w:line="259"/>
        <w:ind w:right="0" w:left="0" w:firstLine="0"/>
        <w:jc w:val="left"/>
        <w:rPr>
          <w:rFonts w:ascii="Aptos" w:hAnsi="Aptos" w:cs="Aptos" w:eastAsia="Aptos"/>
          <w:color w:val="auto"/>
          <w:spacing w:val="0"/>
          <w:position w:val="0"/>
          <w:sz w:val="22"/>
          <w:shd w:fill="auto" w:val="clear"/>
        </w:rPr>
      </w:pPr>
    </w:p>
    <w:p>
      <w:pPr>
        <w:spacing w:before="0" w:after="160" w:line="259"/>
        <w:ind w:right="0" w:left="0" w:firstLine="0"/>
        <w:jc w:val="left"/>
        <w:rPr>
          <w:rFonts w:ascii="Aptos" w:hAnsi="Aptos" w:cs="Aptos" w:eastAsia="Aptos"/>
          <w:color w:val="auto"/>
          <w:spacing w:val="0"/>
          <w:position w:val="0"/>
          <w:sz w:val="22"/>
          <w:shd w:fill="auto" w:val="clear"/>
        </w:rPr>
      </w:pPr>
    </w:p>
    <w:p>
      <w:pPr>
        <w:spacing w:before="0" w:after="160" w:line="259"/>
        <w:ind w:right="0" w:left="0" w:firstLine="0"/>
        <w:jc w:val="left"/>
        <w:rPr>
          <w:rFonts w:ascii="Aptos" w:hAnsi="Aptos" w:cs="Aptos" w:eastAsia="Aptos"/>
          <w:color w:val="auto"/>
          <w:spacing w:val="0"/>
          <w:position w:val="0"/>
          <w:sz w:val="22"/>
          <w:shd w:fill="auto" w:val="clear"/>
        </w:rPr>
      </w:pPr>
    </w:p>
    <w:p>
      <w:pPr>
        <w:spacing w:before="0" w:after="160" w:line="259"/>
        <w:ind w:right="0" w:left="0" w:firstLine="0"/>
        <w:jc w:val="left"/>
        <w:rPr>
          <w:rFonts w:ascii="Aptos" w:hAnsi="Aptos" w:cs="Aptos" w:eastAsia="Aptos"/>
          <w:color w:val="auto"/>
          <w:spacing w:val="0"/>
          <w:position w:val="0"/>
          <w:sz w:val="22"/>
          <w:shd w:fill="auto" w:val="clear"/>
        </w:rPr>
      </w:pPr>
    </w:p>
    <w:p>
      <w:pPr>
        <w:spacing w:before="0" w:after="160" w:line="259"/>
        <w:ind w:right="0" w:left="0" w:firstLine="0"/>
        <w:jc w:val="left"/>
        <w:rPr>
          <w:rFonts w:ascii="Aptos" w:hAnsi="Aptos" w:cs="Aptos" w:eastAsia="Aptos"/>
          <w:color w:val="auto"/>
          <w:spacing w:val="0"/>
          <w:position w:val="0"/>
          <w:sz w:val="22"/>
          <w:shd w:fill="auto" w:val="clear"/>
        </w:rPr>
      </w:pPr>
    </w:p>
    <w:p>
      <w:pPr>
        <w:spacing w:before="0" w:after="160" w:line="259"/>
        <w:ind w:right="0" w:left="0" w:firstLine="0"/>
        <w:jc w:val="left"/>
        <w:rPr>
          <w:rFonts w:ascii="Aptos" w:hAnsi="Aptos" w:cs="Aptos" w:eastAsia="Aptos"/>
          <w:color w:val="auto"/>
          <w:spacing w:val="0"/>
          <w:position w:val="0"/>
          <w:sz w:val="22"/>
          <w:shd w:fill="auto" w:val="clear"/>
        </w:rPr>
      </w:pPr>
    </w:p>
    <w:p>
      <w:pPr>
        <w:spacing w:before="0" w:after="160" w:line="259"/>
        <w:ind w:right="0" w:left="0" w:firstLine="0"/>
        <w:jc w:val="left"/>
        <w:rPr>
          <w:rFonts w:ascii="Aptos" w:hAnsi="Aptos" w:cs="Aptos" w:eastAsia="Aptos"/>
          <w:color w:val="auto"/>
          <w:spacing w:val="0"/>
          <w:position w:val="0"/>
          <w:sz w:val="22"/>
          <w:shd w:fill="auto" w:val="clear"/>
        </w:rPr>
      </w:pPr>
    </w:p>
    <w:p>
      <w:pPr>
        <w:spacing w:before="0" w:after="160" w:line="259"/>
        <w:ind w:right="0" w:left="0" w:firstLine="0"/>
        <w:jc w:val="left"/>
        <w:rPr>
          <w:rFonts w:ascii="Aptos" w:hAnsi="Aptos" w:cs="Aptos" w:eastAsia="Aptos"/>
          <w:color w:val="auto"/>
          <w:spacing w:val="0"/>
          <w:position w:val="0"/>
          <w:sz w:val="22"/>
          <w:shd w:fill="auto" w:val="clear"/>
        </w:rPr>
      </w:pPr>
    </w:p>
    <w:p>
      <w:pPr>
        <w:spacing w:before="0" w:after="160" w:line="259"/>
        <w:ind w:right="0" w:left="0" w:firstLine="0"/>
        <w:jc w:val="left"/>
        <w:rPr>
          <w:rFonts w:ascii="Aptos" w:hAnsi="Aptos" w:cs="Aptos" w:eastAsia="Aptos"/>
          <w:color w:val="auto"/>
          <w:spacing w:val="0"/>
          <w:position w:val="0"/>
          <w:sz w:val="22"/>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Using Rolfe (2002) also referred to as the reflective cycle, this reflective essay follows three guiding questions: “What? So what? Now what?”. Using several ideas from a Professional Career Development program, the study centres on a university business student who manages academic obligations with a part-time marketing job. Following Rolfe's cycle, the paper investigates certain events and looks at how theoretical ideas affect the student's self-awareness, drive, and job goals. The "What?," "So what?" phase analyses pertinent events; the "Now what?" component lists doable actions for continuous development. Under this disciplined perspective, the conversation emphasises how contemplation could link academic knowledge with practical experience. It also shows how reflective practice helps people to match their professional goals and learning methodologies with deliberate action over time, therefore promoting continual progress.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Our Professional Career Development course looked at approaches emphasising self-knowledge, drive, and direction. Honey and Mumford (1986) identify four learning styles</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Activist, Reflector, Theorist, and Pragmatist</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encouraging people to see how they absorb new knowledge (Zambrano Hernández, Giraldo García, and Rodriguez García, 2024). Holland alternatively emphasises personality-vocation fit, proposing that success and happiness grow when one's personal interests match employment expectations (Enterprising, Social, Conventional, and so on) (Cullen, 2021). The Myers-Briggs Type Indicator divides personality into four dimensions</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Extraversion vs Introversion among other things. Beyond personality, Maslow's (1943) hierarchy of needs helps one understand how each layer</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from physiological to self-actualization</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affects drive (Kalaydzhieva, 2024). Furthermore, the Japanese idea of Ikigai makes one consider what we enjoy, what we do well, what we may be rewarded for, and what the earth needs (Ahrendt et al., 2024). These ideas taken together expose personal strengths, desirable career pathways, and strong motivations, therefore laying the groundwork for well informed professional development.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Other models concentrate on practical self-awareness and planning. Examining strengths, weaknesses, opportunities, and hazards in SWOT analysis, one can find a reasonable basis for development. The Johari Window looks at the discrepancy between our perspective and others', therefore enhancing communication and revealing latent skills or blind spots (Feize, 2023). By demanding specified, quantifiable, realistic, relevant, and time-bound objectives, SMART goals transform abstract wants into organised aims. A Personal Development Plan (PDP) gathers these realisations into a customised road map. It usually calls for reflection questions, clear schedules, and skill inventories. Personal branding emphasises at a time of fierce competition the importance of presenting a distinctive professional identity to possible companies. All taken together, these models enable working professionals and students to prioritise, concentrate on important goals, and stand out in a saturated employment market.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class, we worked in groups applying these theories to our regular activities. Using a Honey and Mumford quiz, for example, I found that I tend towards a Reflector approach and would rather see and examine closely before acting. That knowledge rang true when I thought back on how I usually approach marketing campaigns at my part-time job: first I thoroughly investigate competition methods and target audiences. Later Myers-Briggs tests classified me as ENFJ, meaning a balance of extraversion, intuition, feeling, and judgement. In classes, when I offered to run brainstorming sessions, my collaborative inclination came up. We also worked on a SWOT on ourselves, highlighting both personal assets and shortcomings. My demonstrated great communication skills, but I also noted I needed to improve my time management. All told, these in-class assignments helped me to see how systematic planning and personality insights may direct my continuous path in marketing and beyond.</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I think back on these results, I realise that knowing my Reflector style from Honey and Mumford enables me to pick better approaches to grasp fresh ideas. Instead of racing through chores, I dissect them and compile information from several sources. At work, this practice has already helped me as my methodical approach to schedule product introductions produces more consistent outcomes (Ferdiani and Harianto, 2024.). Understanding my ENFJ qualities is especially important as Myers and Briggs say that with this profile excel in positions requiring empathy and leadership. Working as a marketing assistant lets me network with colleagues, pay attention to customer comments, and provide original ideas (Randall et al., 2017). My daily activities match my personality, hence I feel more confident and fulfilled. This insight confirms my conviction that a job in brand management may use my zeal for team involvement as well as my introspection.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Tools for self-awareness such as SWOT and the Johari Window have shown fresh approaches on my advantages and shortcomings. Colleagues noted during the Johari Window exercise that I could be reluctant to assign responsibilities. I had no idea how frequently my perfectionistic tendencies hampered team operations. Although I frequently thought I was "supportive," I hesitated to trust people with aspects of a project (Buchanan and Huczynski, 2019). This comment was insightful. In a professional environment, particularly with regard to brand management, executives must properly assign tasks to keep processes running. Then, the hierarchy of demands developed by Maslow and Ikigai, both underline the requirement of matching daily activities with more intense motivations. Marketing chores suit my need for imagination and my need to interact with people by helping me to create gripping marketing tales (García and Miralles, 2017). Without these components, I would probably get demotivated and alienated from a repetitious task.</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Developing an actual personal brand becomes crucial as business and marketing get more competitive (Coetzer, 2018). When I consider my strengths</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empathy, meticulous research, and communication</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I understand how to present myself as a thoughtful, team player marketer. This personal branding strategy also fits Holland's  concept of appropriate personality type for job setting. My social and entrepreneurial inclues skew towards participatory, leadership-based jobs centred on interpersonal connection. Being a strategic brand manager would allow me to leverage these qualities; I would have to build great client connections, oversee creative teams, and create campaigns that appeal to readers. Showing consistent messages about who I am</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both on my LinkedIn page and during networking events</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will help me to stand out to recruiters (Rachmad, 2023). This brand identity has to be real; thinking back on these ideas helps me to be showcasing qualities I actually have instead of a distorted or incomplete representation of myself.</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After spotting areas of weakness, I will create SMART objectives to polish certain abilities. I initially specifically want to improve my time management. I will daily plan chores for the next three months and monitor completion rates to gauge development. The goal is to assess outcomes monthly (Time-bound) and at least 50% (Achievable, Relevant) lower missed deadlines at work. I will also enlist a younger colleague to help one marketing effort in order to overcome my delegating reluctance. Trusting them with a set of tasks will allow me to learn to stand back and provide assistance just when needed. These aspirations will feed into a Personal Development Plan, in which I will lay out my short-, medium-, and long-term professional goals (Mullins, 2007). Two years from now, I hope to move into a brand management post armed with improved leadership skills and a stronger knowledge of my unique value offer. I will review Maslow's theories to keep motivated as well as Ikigai. Making sure my work fits my aptitude, and what society demands guarantees me will stay vibrant (Garcia and Miralles, 2017). Practically, this means juggling my creative energy with actual client difficulties to make sure every ad satisfies market needs. By use of monthly reflection meetings, I will update my own SWOT and Johari Window insights and solicit comments on my progress in delegating from coworkers. Should my brand identity change</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perhaps to stress data-driven analysis</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I may modify my own personal branding plan. Rolfe will direct this reflective practice by encouraging me to continually ask: "What have I learnt?" This implies what for me? What adjustments should I now do? Methodically going over these beliefs helps me to keep on track towards ongoing development.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conclusion, applying Rolfe reflective cycle to frameworks like Honey and Mumford's learning styles, Myers-Briggs, Holland's career theory, SWOT, Johari Window, Maslow's hierarchy, personal branding, Ikigai, SMART goals, and PDP has helped me to clearly see my path towards become a strategic brand manager. Knowing my Reflector and ENFJ characteristics helps me to see that I flourish when given time to investigate ideas and interact with colleagues. Johari Window comments highlight areas needing work, like my unwillingness to provide tasks. Motivational philosophies such as Maslow and Ikigai confirm the need of discovering purpose in every work. Maintaining a PDP and creating SMART objectives would help me to monitor development in time management, delegation, and leadership. Personal branding will, meantime, help me stand out in a crowded industry as long as I show my actual skills. All things considered, ongoing introspection will help me to remain in line with my beliefs and goals.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Ahrendt, B., Nikolaus, R.S. and Zilinski, J., 2024. Ikigai</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A Japanese Life Philosophy: That for which It Is Worth Getting up in the Morning. In Organizational Ikigai: Theoretical Foundations for the Transformation to a Purpose-driven Organization (pp. 3-44). Berlin, Heidelberg: Springer Berlin Heidelberg.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Buchanan, D.A. and Huczynski, A.A., 2019. Organizational behaviour. Pearson UK.</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Coetzer, E., 2018. Personal Branding and Career Success: an Empirical Investigation (Doctoral dissertation).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Cullen, J.G., 2021. Business, ethics and society: key concepts, current debates and contemporary innovations.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Feize, L., 2023. Exploring Latinx social work graduate students’ self-awareness by integrating Johari window, Photovoice and Mandala. Social Work Education, 42(8), pp.1440-1460.</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Ferdiani, R.D. and Harianto, W., 2024. Honey and Mumford learning style: creative thinking process in solving statistical problems. Int J Eval &amp; Res Educ ISSN, 2252(8822), p.8822.</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García, H. and Miralles, F., 2017. Ikigai: The Japanese secret to a long and happy life. Penguin.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Kalaydzhieva, V., 2024. Education, motivation and commitment of the human factor. </w:t>
      </w:r>
      <w:r>
        <w:rPr>
          <w:rFonts w:ascii="Times New Roman" w:hAnsi="Times New Roman" w:cs="Times New Roman" w:eastAsia="Times New Roman"/>
          <w:color w:val="auto"/>
          <w:spacing w:val="0"/>
          <w:position w:val="0"/>
          <w:sz w:val="24"/>
          <w:shd w:fill="auto" w:val="clear"/>
        </w:rPr>
        <w:t xml:space="preserve">Предприемачество, 12(1), pp.76-85.</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Mullins, L.J., 2007. Management and organisational behaviour. Pearson education.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Randall, K., Isaacson, M. and Ciro, C., 2017. Validity and reliability of the Myers-Briggs Personality Type Indicator: A systematic review and meta-analysis. Journal of Best Practices in Health Professions Diversity, 10(1), pp.1-27.</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Rachmad, Y.E., 2023. Personal Branding Theory.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Rolfe, G., 2002. Reflective practice: where now?. Nurse education in practice, 2(1), pp.21-29.</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Zambrano Hernández, J.A., Giraldo García, J.D. and Rodriguez García, D.M., 2024. LEARNING STYLES: A DIVERSE SOURCE FOR TEACHING REPRESENTATIONS. Environmental &amp; Social Management Journal/Revista de Gestão Social e Ambiental, 18(10).</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