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92836263"/>
        <w:docPartObj>
          <w:docPartGallery w:val="Cover Pages"/>
          <w:docPartUnique/>
        </w:docPartObj>
      </w:sdtPr>
      <w:sdtEndPr>
        <w:rPr>
          <w:b/>
          <w:bCs/>
        </w:rPr>
      </w:sdtEndPr>
      <w:sdtContent>
        <w:p w14:paraId="25FE2B34" w14:textId="08B7E669" w:rsidR="007C5618" w:rsidRDefault="007C5618">
          <w:r>
            <w:rPr>
              <w:noProof/>
            </w:rPr>
            <mc:AlternateContent>
              <mc:Choice Requires="wpg">
                <w:drawing>
                  <wp:anchor distT="0" distB="0" distL="114300" distR="114300" simplePos="0" relativeHeight="251664384" behindDoc="0" locked="0" layoutInCell="1" allowOverlap="1" wp14:anchorId="22CC3CFD" wp14:editId="104C7A3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w:pict>
                  <v:group id="Group 51" style="position:absolute;margin-left:0;margin-top:0;width:8in;height:95.7pt;z-index:251664384;mso-width-percent:941;mso-height-percent:121;mso-top-percent:23;mso-position-horizontal:center;mso-position-horizontal-relative:page;mso-position-vertical-relative:page;mso-width-percent:941;mso-height-percent:121;mso-top-percent:23" coordsize="73152,12161" coordorigin="" o:spid="_x0000_s1026" w14:anchorId="42297DD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9"/>
                    </v:rect>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60FA8F89" wp14:editId="0761740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A894F5C" w14:textId="2EA30AB5" w:rsidR="007C5618" w:rsidRDefault="007C5618">
                                    <w:pPr>
                                      <w:pStyle w:val="NoSpacing"/>
                                      <w:jc w:val="right"/>
                                      <w:rPr>
                                        <w:color w:val="595959" w:themeColor="text1" w:themeTint="A6"/>
                                        <w:sz w:val="28"/>
                                        <w:szCs w:val="28"/>
                                      </w:rPr>
                                    </w:pPr>
                                    <w:r>
                                      <w:rPr>
                                        <w:color w:val="595959" w:themeColor="text1" w:themeTint="A6"/>
                                        <w:sz w:val="28"/>
                                        <w:szCs w:val="28"/>
                                      </w:rPr>
                                      <w:t>Max Greenland (2205366)</w:t>
                                    </w:r>
                                  </w:p>
                                </w:sdtContent>
                              </w:sdt>
                              <w:p w14:paraId="00B678A8" w14:textId="77777777" w:rsidR="007C5618"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C5618">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0FA8F89" id="_x0000_t202" coordsize="21600,21600" o:spt="202" path="m,l,21600r21600,l21600,xe">
                    <v:stroke joinstyle="miter"/>
                    <v:path gradientshapeok="t" o:connecttype="rect"/>
                  </v:shapetype>
                  <v:shape id="Text Box 52" o:spid="_x0000_s1026" type="#_x0000_t202" style="position:absolute;margin-left:0;margin-top:0;width:8in;height:1in;z-index:2516623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A894F5C" w14:textId="2EA30AB5" w:rsidR="007C5618" w:rsidRDefault="007C5618">
                              <w:pPr>
                                <w:pStyle w:val="NoSpacing"/>
                                <w:jc w:val="right"/>
                                <w:rPr>
                                  <w:color w:val="595959" w:themeColor="text1" w:themeTint="A6"/>
                                  <w:sz w:val="28"/>
                                  <w:szCs w:val="28"/>
                                </w:rPr>
                              </w:pPr>
                              <w:r>
                                <w:rPr>
                                  <w:color w:val="595959" w:themeColor="text1" w:themeTint="A6"/>
                                  <w:sz w:val="28"/>
                                  <w:szCs w:val="28"/>
                                </w:rPr>
                                <w:t>Max Greenland (2205366)</w:t>
                              </w:r>
                            </w:p>
                          </w:sdtContent>
                        </w:sdt>
                        <w:p w14:paraId="00B678A8" w14:textId="77777777" w:rsidR="007C5618"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C5618">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7A9079A" wp14:editId="120EF2A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045CFD" w14:textId="49FC60C1" w:rsidR="007C5618"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C5618">
                                      <w:rPr>
                                        <w:caps/>
                                        <w:color w:val="156082" w:themeColor="accent1"/>
                                        <w:sz w:val="64"/>
                                        <w:szCs w:val="64"/>
                                      </w:rPr>
                                      <w:t>Scenario Question</w:t>
                                    </w:r>
                                  </w:sdtContent>
                                </w:sdt>
                              </w:p>
                              <w:sdt>
                                <w:sdtPr>
                                  <w:rPr>
                                    <w:rFonts w:ascii="Arial" w:hAnsi="Arial" w:cs="Arial"/>
                                    <w:b/>
                                    <w:sz w:val="22"/>
                                    <w:szCs w:val="2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37030B9" w14:textId="1C254A8D" w:rsidR="007C5618" w:rsidRDefault="007C5618">
                                    <w:pPr>
                                      <w:jc w:val="right"/>
                                      <w:rPr>
                                        <w:smallCaps/>
                                        <w:color w:val="404040" w:themeColor="text1" w:themeTint="BF"/>
                                        <w:sz w:val="36"/>
                                        <w:szCs w:val="36"/>
                                      </w:rPr>
                                    </w:pPr>
                                    <w:r>
                                      <w:rPr>
                                        <w:rFonts w:ascii="Arial" w:hAnsi="Arial" w:cs="Arial"/>
                                        <w:b/>
                                        <w:sz w:val="22"/>
                                        <w:szCs w:val="22"/>
                                      </w:rPr>
                                      <w:t xml:space="preserve">Criminal Law, </w:t>
                                    </w:r>
                                    <w:r w:rsidRPr="007C5618">
                                      <w:rPr>
                                        <w:rFonts w:ascii="Arial" w:hAnsi="Arial" w:cs="Arial"/>
                                        <w:b/>
                                        <w:sz w:val="22"/>
                                        <w:szCs w:val="22"/>
                                      </w:rPr>
                                      <w:t>BMLW4005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7A9079A" id="Text Box 54" o:spid="_x0000_s1027" type="#_x0000_t202" style="position:absolute;margin-left:0;margin-top:0;width:8in;height:286.5pt;z-index:25166131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5045CFD" w14:textId="49FC60C1" w:rsidR="007C5618"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C5618">
                                <w:rPr>
                                  <w:caps/>
                                  <w:color w:val="156082" w:themeColor="accent1"/>
                                  <w:sz w:val="64"/>
                                  <w:szCs w:val="64"/>
                                </w:rPr>
                                <w:t>Scenario Question</w:t>
                              </w:r>
                            </w:sdtContent>
                          </w:sdt>
                        </w:p>
                        <w:sdt>
                          <w:sdtPr>
                            <w:rPr>
                              <w:rFonts w:ascii="Arial" w:hAnsi="Arial" w:cs="Arial"/>
                              <w:b/>
                              <w:sz w:val="22"/>
                              <w:szCs w:val="2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37030B9" w14:textId="1C254A8D" w:rsidR="007C5618" w:rsidRDefault="007C5618">
                              <w:pPr>
                                <w:jc w:val="right"/>
                                <w:rPr>
                                  <w:smallCaps/>
                                  <w:color w:val="404040" w:themeColor="text1" w:themeTint="BF"/>
                                  <w:sz w:val="36"/>
                                  <w:szCs w:val="36"/>
                                </w:rPr>
                              </w:pPr>
                              <w:r>
                                <w:rPr>
                                  <w:rFonts w:ascii="Arial" w:hAnsi="Arial" w:cs="Arial"/>
                                  <w:b/>
                                  <w:sz w:val="22"/>
                                  <w:szCs w:val="22"/>
                                </w:rPr>
                                <w:t xml:space="preserve">Criminal Law, </w:t>
                              </w:r>
                              <w:r w:rsidRPr="007C5618">
                                <w:rPr>
                                  <w:rFonts w:ascii="Arial" w:hAnsi="Arial" w:cs="Arial"/>
                                  <w:b/>
                                  <w:sz w:val="22"/>
                                  <w:szCs w:val="22"/>
                                </w:rPr>
                                <w:t>BMLW4005</w:t>
                              </w:r>
                            </w:p>
                          </w:sdtContent>
                        </w:sdt>
                      </w:txbxContent>
                    </v:textbox>
                    <w10:wrap type="square" anchorx="page" anchory="page"/>
                  </v:shape>
                </w:pict>
              </mc:Fallback>
            </mc:AlternateContent>
          </w:r>
        </w:p>
        <w:p w14:paraId="37C448DE" w14:textId="311B4BF1" w:rsidR="007C5618" w:rsidRDefault="007C5618">
          <w:pPr>
            <w:rPr>
              <w:b/>
              <w:bCs/>
            </w:rPr>
          </w:pPr>
          <w:r>
            <w:rPr>
              <w:b/>
              <w:bCs/>
            </w:rPr>
            <w:br w:type="page"/>
          </w:r>
        </w:p>
      </w:sdtContent>
    </w:sdt>
    <w:p w14:paraId="4183DB85" w14:textId="77777777" w:rsidR="00846D46" w:rsidRDefault="00846D46" w:rsidP="00C51774">
      <w:pPr>
        <w:rPr>
          <w:b/>
          <w:bCs/>
        </w:rPr>
      </w:pPr>
    </w:p>
    <w:p w14:paraId="3C290BA3" w14:textId="186EDD8C" w:rsidR="00846D46" w:rsidRDefault="00846D46" w:rsidP="1FA0075D">
      <w:pPr>
        <w:rPr>
          <w:b/>
          <w:bCs/>
        </w:rPr>
      </w:pPr>
      <w:r>
        <w:rPr>
          <w:noProof/>
        </w:rPr>
        <mc:AlternateContent>
          <mc:Choice Requires="wps">
            <w:drawing>
              <wp:inline distT="45720" distB="45720" distL="114300" distR="114300" wp14:anchorId="75BD8A4E" wp14:editId="1855198D">
                <wp:extent cx="5695950" cy="5857875"/>
                <wp:effectExtent l="0" t="0" r="19050" b="28575"/>
                <wp:docPr id="8971277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5950" cy="5857875"/>
                        </a:xfrm>
                        <a:prstGeom prst="rect">
                          <a:avLst/>
                        </a:prstGeom>
                        <a:solidFill>
                          <a:srgbClr val="FFFFFF"/>
                        </a:solidFill>
                        <a:ln w="9525">
                          <a:solidFill>
                            <a:srgbClr val="000000"/>
                          </a:solidFill>
                          <a:miter lim="800000"/>
                          <a:headEnd/>
                          <a:tailEnd/>
                        </a:ln>
                      </wps:spPr>
                      <wps:txbx>
                        <w:txbxContent>
                          <w:p w14:paraId="02796C13" w14:textId="77777777" w:rsidR="00C51774" w:rsidRDefault="00C51774" w:rsidP="00C51774">
                            <w:r>
                              <w:t xml:space="preserve">Vinnie works in ‘Mountain View’ care home. Due to the cost of living crisis, Vinnie is really struggling to pay his rent each month. One of the elderly people in the care home has told Vinnie that he has a ‘stash’ of money hidden in his bedroom. Vinnie takes it upon himself to go into the elderly persons bedroom in search of the money to no avail; however Vinnie does see a vintage watch which he decides to take with the purpose of selling it to raise some cash. </w:t>
                            </w:r>
                          </w:p>
                          <w:p w14:paraId="668A1AB5" w14:textId="77777777" w:rsidR="00C51774" w:rsidRDefault="00C51774" w:rsidP="00C51774">
                            <w:r>
                              <w:t xml:space="preserve">After taking the watch, a manager in the care home approaches Vinnie to inform him of a formal complaint made against him by another member of staff (Louise). Vinnie and Louise have never seen eye-to-eye but Vinnie feels begrudged that she has made a formal complaint against him. At the end of the shift, Vinnie signs out and heads to his car in the carpark. Vinnies car is parked next to Louise, so in anger he runs his key along the side panels of her car; causing visible damage. </w:t>
                            </w:r>
                          </w:p>
                          <w:p w14:paraId="47476478" w14:textId="77777777" w:rsidR="00C51774" w:rsidRDefault="00C51774" w:rsidP="00C51774">
                            <w:r>
                              <w:t xml:space="preserve">A couple of days pass and Vinnie is in his flat when he hears police sirens outside. Vinnie then hears the police banging his front door; telling him to open it as they need to speak to him. At this point Vinnie assumes the police have come to arrest him in connection with the theft of the watch. He takes a gun out of his drawer and tells them to get away from the door or he’ll shoot. </w:t>
                            </w:r>
                          </w:p>
                          <w:p w14:paraId="53A1D889" w14:textId="77777777" w:rsidR="00C51774" w:rsidRDefault="00C51774" w:rsidP="00C51774">
                            <w:r>
                              <w:t xml:space="preserve">The Police persist, so Vinnie puts the gun through the letterbox and aims the gun at a police officer and shoots. Unbeknown to Vinnie, Mrs Quinn who lives in the flat opposite was standing at her front door to see what was happening. The bullet misses the police officer but hits Mrs Quinn, who is declared dead at the scene. </w:t>
                            </w:r>
                          </w:p>
                          <w:p w14:paraId="211E8B54" w14:textId="395A65AA" w:rsidR="00C51774" w:rsidRPr="00C51774" w:rsidRDefault="00C51774" w:rsidP="00C51774">
                            <w:pPr>
                              <w:rPr>
                                <w:b/>
                                <w:bCs/>
                              </w:rPr>
                            </w:pPr>
                            <w:r w:rsidRPr="00C51774">
                              <w:rPr>
                                <w:b/>
                                <w:bCs/>
                              </w:rPr>
                              <w:t>Advise Vinnie as to which criminal offences he could potentially be liable for. In order to do this you must identify how the actus reus and mens rea elements of each potential offence have been met (you do not need to consider defences).</w:t>
                            </w:r>
                          </w:p>
                        </w:txbxContent>
                      </wps:txbx>
                      <wps:bodyPr rot="0" vert="horz" wrap="square" lIns="91440" tIns="45720" rIns="91440" bIns="45720" anchor="t" anchorCtr="0">
                        <a:noAutofit/>
                      </wps:bodyPr>
                    </wps:wsp>
                  </a:graphicData>
                </a:graphic>
              </wp:inline>
            </w:drawing>
          </mc:Choice>
          <mc:Fallback>
            <w:pict>
              <v:shape w14:anchorId="75BD8A4E" id="Text Box 2" o:spid="_x0000_s1028" type="#_x0000_t202" style="width:448.5pt;height:461.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">
                <v:textbox>
                  <w:txbxContent>
                    <w:p w14:paraId="02796C13" w14:textId="77777777" w:rsidR="00C51774" w:rsidRDefault="00C51774" w:rsidP="00C51774">
                      <w:r>
                        <w:t xml:space="preserve">Vinnie works in ‘Mountain View’ care home. Due to the cost of living crisis, Vinnie is really struggling to pay his rent each month. One of the elderly people in the care home has told Vinnie that he has a ‘stash’ of money hidden in his bedroom. Vinnie takes it upon himself to go into the elderly persons bedroom in search of the money to no avail; however Vinnie does see a vintage watch which he decides to take with the purpose of selling it to raise some cash. </w:t>
                      </w:r>
                    </w:p>
                    <w:p w14:paraId="668A1AB5" w14:textId="77777777" w:rsidR="00C51774" w:rsidRDefault="00C51774" w:rsidP="00C51774">
                      <w:r>
                        <w:t xml:space="preserve">After taking the watch, a manager in the care home approaches Vinnie to inform him of a formal complaint made against him by another member of staff (Louise). Vinnie and Louise have never seen eye-to-eye but Vinnie feels begrudged that she has made a formal complaint against him. At the end of the shift, Vinnie signs out and heads to his car in the carpark. Vinnies car is parked next to Louise, so in anger he runs his key along the side panels of her car; causing visible damage. </w:t>
                      </w:r>
                    </w:p>
                    <w:p w14:paraId="47476478" w14:textId="77777777" w:rsidR="00C51774" w:rsidRDefault="00C51774" w:rsidP="00C51774">
                      <w:r>
                        <w:t xml:space="preserve">A couple of days pass and Vinnie is in his flat when he hears police sirens outside. Vinnie then hears the police banging his front door; telling him to open it as they need to speak to him. At this point Vinnie assumes the police have come to arrest him in connection with the theft of the watch. He takes a gun out of his drawer and tells them to get away from the door or he’ll shoot. </w:t>
                      </w:r>
                    </w:p>
                    <w:p w14:paraId="53A1D889" w14:textId="77777777" w:rsidR="00C51774" w:rsidRDefault="00C51774" w:rsidP="00C51774">
                      <w:r>
                        <w:t xml:space="preserve">The Police persist, so Vinnie puts the gun through the letterbox and aims the gun at a police officer and shoots. Unbeknown to Vinnie, Mrs Quinn who lives in the flat opposite was standing at her front door to see what was happening. The bullet misses the police officer but hits Mrs Quinn, who is declared dead at the scene. </w:t>
                      </w:r>
                    </w:p>
                    <w:p w14:paraId="211E8B54" w14:textId="395A65AA" w:rsidR="00C51774" w:rsidRPr="00C51774" w:rsidRDefault="00C51774" w:rsidP="00C51774">
                      <w:pPr>
                        <w:rPr>
                          <w:b/>
                          <w:bCs/>
                        </w:rPr>
                      </w:pPr>
                      <w:r w:rsidRPr="00C51774">
                        <w:rPr>
                          <w:b/>
                          <w:bCs/>
                        </w:rPr>
                        <w:t>Advise Vinnie as to which criminal offences he could potentially be liable for. In order to do this you must identify how the actus reus and mens rea elements of each potential offence have been met (you do not need to consider defences).</w:t>
                      </w:r>
                    </w:p>
                  </w:txbxContent>
                </v:textbox>
                <w10:anchorlock/>
              </v:shape>
            </w:pict>
          </mc:Fallback>
        </mc:AlternateContent>
      </w:r>
    </w:p>
    <w:p w14:paraId="0323AA1B" w14:textId="77777777" w:rsidR="007C5618" w:rsidRDefault="007C5618">
      <w:pPr>
        <w:rPr>
          <w:b/>
          <w:bCs/>
        </w:rPr>
      </w:pPr>
    </w:p>
    <w:p w14:paraId="0E3D5CDF" w14:textId="77777777" w:rsidR="007C5618" w:rsidRDefault="007C5618">
      <w:pPr>
        <w:rPr>
          <w:b/>
          <w:bCs/>
        </w:rPr>
      </w:pPr>
    </w:p>
    <w:p w14:paraId="707089FF" w14:textId="77777777" w:rsidR="007C5618" w:rsidRDefault="007C5618">
      <w:pPr>
        <w:rPr>
          <w:b/>
          <w:bCs/>
        </w:rPr>
      </w:pPr>
    </w:p>
    <w:p w14:paraId="28A2F794" w14:textId="77777777" w:rsidR="007C5618" w:rsidRDefault="007C5618">
      <w:pPr>
        <w:rPr>
          <w:b/>
          <w:bCs/>
        </w:rPr>
      </w:pPr>
    </w:p>
    <w:p w14:paraId="7854BE96" w14:textId="22534B44" w:rsidR="00C51774" w:rsidRPr="00C51774" w:rsidRDefault="00C51774" w:rsidP="00C51774">
      <w:pPr>
        <w:rPr>
          <w:b/>
          <w:bCs/>
        </w:rPr>
      </w:pPr>
    </w:p>
    <w:p w14:paraId="41B16EDB" w14:textId="77777777" w:rsidR="00462857" w:rsidRDefault="00462857" w:rsidP="00462857">
      <w:pPr>
        <w:rPr>
          <w:b/>
          <w:bCs/>
        </w:rPr>
      </w:pPr>
    </w:p>
    <w:p w14:paraId="7359E9DA" w14:textId="77777777" w:rsidR="00743F67" w:rsidRDefault="00743F67" w:rsidP="00462857">
      <w:pPr>
        <w:rPr>
          <w:b/>
          <w:bCs/>
        </w:rPr>
      </w:pPr>
    </w:p>
    <w:p w14:paraId="0ABAF5ED" w14:textId="77777777" w:rsidR="00743F67" w:rsidRDefault="00743F67" w:rsidP="00462857">
      <w:pPr>
        <w:rPr>
          <w:b/>
          <w:bCs/>
        </w:rPr>
      </w:pPr>
    </w:p>
    <w:p w14:paraId="64D4F60B" w14:textId="77777777" w:rsidR="00743F67" w:rsidRDefault="00743F67" w:rsidP="00462857">
      <w:pPr>
        <w:rPr>
          <w:b/>
          <w:bCs/>
        </w:rPr>
      </w:pPr>
    </w:p>
    <w:p w14:paraId="0834A8DA" w14:textId="77777777" w:rsidR="00743F67" w:rsidRDefault="00743F67" w:rsidP="00462857">
      <w:pPr>
        <w:rPr>
          <w:b/>
          <w:bCs/>
        </w:rPr>
      </w:pPr>
    </w:p>
    <w:p w14:paraId="6AD7162C" w14:textId="246039F3" w:rsidR="008C39F7" w:rsidRDefault="00743F67">
      <w:r w:rsidRPr="00743F67">
        <w:t xml:space="preserve">Vinnie could potentially be liable for several criminal offenses based on </w:t>
      </w:r>
      <w:r w:rsidR="002B7BA0">
        <w:t xml:space="preserve">what happened at the care home and later as his </w:t>
      </w:r>
      <w:r w:rsidR="005E2DC2">
        <w:t>residence. In</w:t>
      </w:r>
      <w:r w:rsidR="008C39F7">
        <w:t xml:space="preserve"> England and Wales, burglary is governed by the Theft act 1968</w:t>
      </w:r>
      <w:r w:rsidR="005A2ADA">
        <w:t>. Section 9 of the Theft Act 1968 defines burglary as “</w:t>
      </w:r>
      <w:r w:rsidR="005A2ADA" w:rsidRPr="005A2ADA">
        <w:t>entering a building or part of a building as a trespasser with intent to commit theft, grievous bodily harm, or unlawful damage</w:t>
      </w:r>
      <w:r w:rsidR="005A2ADA">
        <w:t>”</w:t>
      </w:r>
      <w:r w:rsidR="005A2ADA" w:rsidRPr="005A2ADA">
        <w:t>.</w:t>
      </w:r>
      <w:r w:rsidR="005A2ADA">
        <w:t xml:space="preserve"> As </w:t>
      </w:r>
      <w:r w:rsidR="005E2DC2">
        <w:t>Vinnie</w:t>
      </w:r>
      <w:r w:rsidR="005A2ADA">
        <w:t xml:space="preserve"> works at the care home, he has a duty of care over the residents, which would allow him to enter the elderly persons room under normal circumstances. </w:t>
      </w:r>
      <w:r w:rsidR="005E2DC2">
        <w:t>However, Vinnie</w:t>
      </w:r>
      <w:r w:rsidR="005A2ADA">
        <w:t xml:space="preserve"> entered the room with the intention of stealing the residents money, so did enter the room as a trespasser with intent to commit theft. The full intent of entering the room to steal means there is no technicalities for </w:t>
      </w:r>
      <w:r w:rsidR="005E2DC2">
        <w:t>Vinnie</w:t>
      </w:r>
      <w:r w:rsidR="005A2ADA">
        <w:t xml:space="preserve">, as unlike the case of R v </w:t>
      </w:r>
      <w:r w:rsidR="005E2DC2">
        <w:t>Collins</w:t>
      </w:r>
      <w:r w:rsidR="005A2ADA">
        <w:t xml:space="preserve"> [1973], </w:t>
      </w:r>
      <w:r w:rsidR="005E2DC2">
        <w:t>Vinnie</w:t>
      </w:r>
      <w:r w:rsidR="005A2ADA">
        <w:t xml:space="preserve"> was in no way mislead when entering the room. The act of </w:t>
      </w:r>
      <w:r w:rsidR="005E2DC2">
        <w:t>Vinnie</w:t>
      </w:r>
      <w:r w:rsidR="005A2ADA">
        <w:t xml:space="preserve"> then taking the watch constitutes theft, as he had the Actus Reus of dishonestly appropriating the property with the intent to deprive the owner, as well as the mens rea as </w:t>
      </w:r>
      <w:r w:rsidR="005E2DC2">
        <w:t>Vinnie</w:t>
      </w:r>
      <w:r w:rsidR="005A2ADA">
        <w:t xml:space="preserve"> planned to sell the watch for money, so had no plan of returning it</w:t>
      </w:r>
      <w:r w:rsidR="005E2DC2">
        <w:t xml:space="preserve">. </w:t>
      </w:r>
      <w:r w:rsidR="00532900">
        <w:t>Another case involved an elderly person is t</w:t>
      </w:r>
      <w:r w:rsidR="008C39F7" w:rsidRPr="008C39F7">
        <w:t xml:space="preserve">he case of R v Hinks [2000] </w:t>
      </w:r>
      <w:r w:rsidR="00532900">
        <w:t xml:space="preserve">in which the defendant was charged with theft, as it was deemed that he dishonestly received payments from the man he was caring for. </w:t>
      </w:r>
    </w:p>
    <w:p w14:paraId="461CF839" w14:textId="5A00EC64" w:rsidR="00532900" w:rsidRDefault="00532900" w:rsidP="00743F67">
      <w:r>
        <w:t>Vinnie then ran his key along louis’ car out of anger, causing intentional damage. The crime of criminal damage is governed by the Criminal Damage Act 1971 in the United Kingdom, and section 1 defines the offence “</w:t>
      </w:r>
      <w:r w:rsidRPr="00532900">
        <w:t>as intentionally or recklessly destroying or damaging property belonging to another without lawful excuse.</w:t>
      </w:r>
      <w:r>
        <w:t xml:space="preserve">” As </w:t>
      </w:r>
      <w:r w:rsidR="005E2DC2">
        <w:t>Vinnie</w:t>
      </w:r>
      <w:r>
        <w:t xml:space="preserve"> keyed </w:t>
      </w:r>
      <w:r w:rsidR="005E2DC2">
        <w:t>louis’</w:t>
      </w:r>
      <w:r>
        <w:t xml:space="preserve"> car out of anger, it is presumed that he </w:t>
      </w:r>
      <w:r w:rsidR="005E2DC2">
        <w:t>intended</w:t>
      </w:r>
      <w:r>
        <w:t xml:space="preserve"> to cause it </w:t>
      </w:r>
      <w:r w:rsidR="005E2DC2">
        <w:t>severe damage</w:t>
      </w:r>
      <w:r>
        <w:t>, which he did. This intentional keying of the car</w:t>
      </w:r>
      <w:r w:rsidR="00167BC4">
        <w:t>, with the wanted outcome of damage to her property, fulfils both the actus reus and mens rea of criminal damage</w:t>
      </w:r>
      <w:r w:rsidR="005E2DC2">
        <w:t xml:space="preserve">. </w:t>
      </w:r>
      <w:r w:rsidR="00167BC4">
        <w:t>A case also involving criminal damage is that of R v Smith [1974], which said that no offence has been committed under the Criminal Damage Act 1971 if there is damage to propert</w:t>
      </w:r>
      <w:r w:rsidR="00167BC4" w:rsidRPr="00167BC4">
        <w:t xml:space="preserve">y belonging to another if </w:t>
      </w:r>
      <w:r w:rsidR="00167BC4">
        <w:t>a defendant</w:t>
      </w:r>
      <w:r w:rsidR="00167BC4" w:rsidRPr="00167BC4">
        <w:t xml:space="preserve"> does so in the </w:t>
      </w:r>
      <w:r w:rsidR="00167BC4">
        <w:t>“</w:t>
      </w:r>
      <w:r w:rsidR="00167BC4" w:rsidRPr="00167BC4">
        <w:t xml:space="preserve">honest though mistaken belief that the property is his </w:t>
      </w:r>
      <w:r w:rsidR="005E2DC2" w:rsidRPr="00167BC4">
        <w:t>own</w:t>
      </w:r>
      <w:r w:rsidR="005E2DC2">
        <w:t>”.</w:t>
      </w:r>
    </w:p>
    <w:p w14:paraId="140F6EAE" w14:textId="17E617C5" w:rsidR="00743F67" w:rsidRDefault="00167BC4" w:rsidP="00743F67">
      <w:r>
        <w:t xml:space="preserve">The most serious crime </w:t>
      </w:r>
      <w:r w:rsidR="005E2DC2">
        <w:t>Vinnie</w:t>
      </w:r>
      <w:r>
        <w:t xml:space="preserve"> could be liable for is the </w:t>
      </w:r>
      <w:r w:rsidR="002B7BA0">
        <w:t xml:space="preserve">murder or </w:t>
      </w:r>
      <w:r>
        <w:t xml:space="preserve">manslaughter of his </w:t>
      </w:r>
      <w:r w:rsidR="005E2DC2">
        <w:t>neighbour</w:t>
      </w:r>
      <w:r>
        <w:t xml:space="preserve">, Mrs. Quinn. In the </w:t>
      </w:r>
      <w:r w:rsidR="005E2DC2">
        <w:t>UK</w:t>
      </w:r>
      <w:r>
        <w:t xml:space="preserve">, manslaughter </w:t>
      </w:r>
      <w:r w:rsidRPr="00167BC4">
        <w:t xml:space="preserve">is not </w:t>
      </w:r>
      <w:r>
        <w:t>clearly written</w:t>
      </w:r>
      <w:r w:rsidRPr="00167BC4">
        <w:t xml:space="preserve"> in legislation</w:t>
      </w:r>
      <w:r>
        <w:t>,</w:t>
      </w:r>
      <w:r w:rsidRPr="00167BC4">
        <w:t xml:space="preserve"> but is</w:t>
      </w:r>
      <w:r>
        <w:t xml:space="preserve"> instead</w:t>
      </w:r>
      <w:r w:rsidRPr="00167BC4">
        <w:t xml:space="preserve"> based on common law principles and case law precedents</w:t>
      </w:r>
      <w:r>
        <w:t xml:space="preserve">. In </w:t>
      </w:r>
      <w:r w:rsidR="002B7BA0">
        <w:t>Vinnie’s</w:t>
      </w:r>
      <w:r>
        <w:t xml:space="preserve"> case, he may be liable for the less </w:t>
      </w:r>
      <w:r w:rsidR="002B7BA0">
        <w:t>s</w:t>
      </w:r>
      <w:r>
        <w:t xml:space="preserve">erious charge of </w:t>
      </w:r>
      <w:r w:rsidR="00743F67" w:rsidRPr="00743F67">
        <w:t xml:space="preserve">involuntary manslaughter due to gross negligence. </w:t>
      </w:r>
      <w:r w:rsidR="002B7BA0">
        <w:t xml:space="preserve">To </w:t>
      </w:r>
      <w:r w:rsidR="005E2DC2">
        <w:t>fulfil</w:t>
      </w:r>
      <w:r w:rsidR="002B7BA0">
        <w:t xml:space="preserve"> the mens rea of murder, Vinnie must have had full intent to kill Mrs. </w:t>
      </w:r>
      <w:r w:rsidR="005E2DC2">
        <w:t>Quinn, as</w:t>
      </w:r>
      <w:r w:rsidR="002B7BA0">
        <w:t xml:space="preserve"> in the </w:t>
      </w:r>
      <w:r w:rsidR="005E2DC2">
        <w:t>UK</w:t>
      </w:r>
      <w:r w:rsidR="002B7BA0">
        <w:t xml:space="preserve"> the fulfilment of mens rea for murder is largely based on the </w:t>
      </w:r>
      <w:r w:rsidR="005E2DC2">
        <w:t>defendant’s</w:t>
      </w:r>
      <w:r w:rsidR="002B7BA0">
        <w:t xml:space="preserve"> mental state. </w:t>
      </w:r>
      <w:r w:rsidR="00743F67" w:rsidRPr="00743F67">
        <w:t>The mens rea is satisfied</w:t>
      </w:r>
      <w:r w:rsidR="002B7BA0">
        <w:t xml:space="preserve"> for manslaughter</w:t>
      </w:r>
      <w:r w:rsidR="00743F67" w:rsidRPr="00743F67">
        <w:t xml:space="preserve"> as Vinnie's actions were grossly negligent, as he aimed a firearm </w:t>
      </w:r>
      <w:r w:rsidR="002B7BA0">
        <w:t xml:space="preserve">through the letterbox </w:t>
      </w:r>
      <w:r w:rsidR="00743F67" w:rsidRPr="00743F67">
        <w:t>at a police officer</w:t>
      </w:r>
      <w:r w:rsidR="002B7BA0">
        <w:t xml:space="preserve">, </w:t>
      </w:r>
      <w:r w:rsidR="00743F67" w:rsidRPr="00743F67">
        <w:t xml:space="preserve">without ensuring the safety of bystanders </w:t>
      </w:r>
      <w:r w:rsidR="002B7BA0">
        <w:t>such as</w:t>
      </w:r>
      <w:r w:rsidR="00743F67" w:rsidRPr="00743F67">
        <w:t xml:space="preserve"> Mrs. Quinn.</w:t>
      </w:r>
      <w:r w:rsidR="005E2DC2" w:rsidRPr="005E2DC2">
        <w:t xml:space="preserve"> </w:t>
      </w:r>
      <w:r w:rsidR="005E2DC2" w:rsidRPr="005E2DC2">
        <w:t xml:space="preserve">The lack of care would constitute gross negligence, as in the case of Andrews v DPP [1937], in which the </w:t>
      </w:r>
      <w:r w:rsidR="005E2DC2" w:rsidRPr="005E2DC2">
        <w:lastRenderedPageBreak/>
        <w:t>defendant overtook another vehicle in his van, failing to care for the pedestrian he then struck and killed.</w:t>
      </w:r>
    </w:p>
    <w:p w14:paraId="2F1ADEE5" w14:textId="1E475E33" w:rsidR="00167BC4" w:rsidRDefault="001829AF" w:rsidP="00743F67">
      <w:r>
        <w:t xml:space="preserve">As </w:t>
      </w:r>
      <w:r w:rsidR="005E2DC2">
        <w:t>Vinnie</w:t>
      </w:r>
      <w:r>
        <w:t xml:space="preserve"> also aimed the gun at the police officer and fired, he is also liable for attempted murder. Attempted murder is treated as seriously as murder in the </w:t>
      </w:r>
      <w:r w:rsidR="005E2DC2">
        <w:t>UK</w:t>
      </w:r>
      <w:r>
        <w:t xml:space="preserve">, as the intent was there, with the penalty being up to life </w:t>
      </w:r>
      <w:r w:rsidR="005E2DC2">
        <w:t>imprisonment. It</w:t>
      </w:r>
      <w:r>
        <w:t xml:space="preserve"> is only necessary to prove that there was full intent from the defendant to kill the victim. In </w:t>
      </w:r>
      <w:r w:rsidR="005E2DC2">
        <w:t>Vinnie’s</w:t>
      </w:r>
      <w:r>
        <w:t xml:space="preserve"> case, he aimed and fired a gun at a police officer outside his door, with the reasonable assumption that this could be fatal.</w:t>
      </w:r>
    </w:p>
    <w:p w14:paraId="2F15D484" w14:textId="747F66D5" w:rsidR="00743F67" w:rsidRPr="00743F67" w:rsidRDefault="00743F67" w:rsidP="00743F67">
      <w:r w:rsidRPr="00743F67">
        <w:t xml:space="preserve">In conclusion, Vinnie could potentially be liable for </w:t>
      </w:r>
      <w:r w:rsidR="005E2DC2">
        <w:t>theft</w:t>
      </w:r>
      <w:r w:rsidR="005E2DC2" w:rsidRPr="00743F67">
        <w:t>,</w:t>
      </w:r>
      <w:r w:rsidR="005E2DC2">
        <w:t xml:space="preserve"> criminal</w:t>
      </w:r>
      <w:r w:rsidR="001829AF">
        <w:t xml:space="preserve"> </w:t>
      </w:r>
      <w:r w:rsidR="005E2DC2">
        <w:t>damage, attempted</w:t>
      </w:r>
      <w:r w:rsidR="001829AF">
        <w:t xml:space="preserve"> </w:t>
      </w:r>
      <w:r w:rsidR="005E2DC2">
        <w:t>murder,</w:t>
      </w:r>
      <w:r w:rsidRPr="00743F67">
        <w:t xml:space="preserve"> and </w:t>
      </w:r>
      <w:r w:rsidR="005E2DC2" w:rsidRPr="00743F67">
        <w:t>manslaughter.</w:t>
      </w:r>
      <w:r w:rsidR="005E2DC2">
        <w:t xml:space="preserve"> This</w:t>
      </w:r>
      <w:r w:rsidR="001829AF">
        <w:t xml:space="preserve"> is because he </w:t>
      </w:r>
      <w:r w:rsidR="005E2DC2">
        <w:t>fulfils</w:t>
      </w:r>
      <w:r w:rsidR="001829AF">
        <w:t xml:space="preserve"> both the actus reus and mens rea of these crimes.</w:t>
      </w:r>
      <w:r w:rsidR="005E2DC2">
        <w:t>, and there being no causation defences or lawful excuses for any of his crimes.</w:t>
      </w:r>
    </w:p>
    <w:p w14:paraId="7386947B" w14:textId="77777777" w:rsidR="00743F67" w:rsidRPr="00743F67" w:rsidRDefault="00743F67" w:rsidP="00743F67">
      <w:pPr>
        <w:rPr>
          <w:b/>
          <w:bCs/>
        </w:rPr>
      </w:pPr>
    </w:p>
    <w:p w14:paraId="0CFB2C4C" w14:textId="77777777" w:rsidR="00743F67" w:rsidRPr="00743F67" w:rsidRDefault="00743F67" w:rsidP="00743F67">
      <w:pPr>
        <w:rPr>
          <w:b/>
          <w:bCs/>
        </w:rPr>
      </w:pPr>
    </w:p>
    <w:p w14:paraId="56D8E7CE" w14:textId="4D0AB8E4" w:rsidR="2D4CC9EC" w:rsidRDefault="2D4CC9EC" w:rsidP="2238A85E"/>
    <w:sectPr w:rsidR="2D4CC9EC" w:rsidSect="007C561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5504BCC"/>
    <w:multiLevelType w:val="multilevel"/>
    <w:tmpl w:val="3E8009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98216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774"/>
    <w:rsid w:val="00167BC4"/>
    <w:rsid w:val="001829AF"/>
    <w:rsid w:val="00191958"/>
    <w:rsid w:val="002B7BA0"/>
    <w:rsid w:val="00362AF7"/>
    <w:rsid w:val="00462857"/>
    <w:rsid w:val="00511D34"/>
    <w:rsid w:val="00532900"/>
    <w:rsid w:val="005A2ADA"/>
    <w:rsid w:val="005E2DC2"/>
    <w:rsid w:val="00743F67"/>
    <w:rsid w:val="007C5618"/>
    <w:rsid w:val="00846D46"/>
    <w:rsid w:val="008C39F7"/>
    <w:rsid w:val="00C51774"/>
    <w:rsid w:val="1EEEF586"/>
    <w:rsid w:val="1FA0075D"/>
    <w:rsid w:val="2238A85E"/>
    <w:rsid w:val="2D4CC9EC"/>
    <w:rsid w:val="5E68F6AD"/>
    <w:rsid w:val="60A96A8F"/>
    <w:rsid w:val="6B212064"/>
    <w:rsid w:val="72F67528"/>
    <w:rsid w:val="7759AB49"/>
    <w:rsid w:val="7EE0DB2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51473"/>
  <w15:chartTrackingRefBased/>
  <w15:docId w15:val="{A7C6864F-81A8-41B5-A2B4-E8DCCB05C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17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17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17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17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17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17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17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17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17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7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17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17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17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17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17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17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17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1774"/>
    <w:rPr>
      <w:rFonts w:eastAsiaTheme="majorEastAsia" w:cstheme="majorBidi"/>
      <w:color w:val="272727" w:themeColor="text1" w:themeTint="D8"/>
    </w:rPr>
  </w:style>
  <w:style w:type="paragraph" w:styleId="Title">
    <w:name w:val="Title"/>
    <w:basedOn w:val="Normal"/>
    <w:next w:val="Normal"/>
    <w:link w:val="TitleChar"/>
    <w:uiPriority w:val="10"/>
    <w:qFormat/>
    <w:rsid w:val="00C517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17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17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17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1774"/>
    <w:pPr>
      <w:spacing w:before="160"/>
      <w:jc w:val="center"/>
    </w:pPr>
    <w:rPr>
      <w:i/>
      <w:iCs/>
      <w:color w:val="404040" w:themeColor="text1" w:themeTint="BF"/>
    </w:rPr>
  </w:style>
  <w:style w:type="character" w:customStyle="1" w:styleId="QuoteChar">
    <w:name w:val="Quote Char"/>
    <w:basedOn w:val="DefaultParagraphFont"/>
    <w:link w:val="Quote"/>
    <w:uiPriority w:val="29"/>
    <w:rsid w:val="00C51774"/>
    <w:rPr>
      <w:i/>
      <w:iCs/>
      <w:color w:val="404040" w:themeColor="text1" w:themeTint="BF"/>
    </w:rPr>
  </w:style>
  <w:style w:type="paragraph" w:styleId="ListParagraph">
    <w:name w:val="List Paragraph"/>
    <w:basedOn w:val="Normal"/>
    <w:uiPriority w:val="34"/>
    <w:qFormat/>
    <w:rsid w:val="00C51774"/>
    <w:pPr>
      <w:ind w:left="720"/>
      <w:contextualSpacing/>
    </w:pPr>
  </w:style>
  <w:style w:type="character" w:styleId="IntenseEmphasis">
    <w:name w:val="Intense Emphasis"/>
    <w:basedOn w:val="DefaultParagraphFont"/>
    <w:uiPriority w:val="21"/>
    <w:qFormat/>
    <w:rsid w:val="00C51774"/>
    <w:rPr>
      <w:i/>
      <w:iCs/>
      <w:color w:val="0F4761" w:themeColor="accent1" w:themeShade="BF"/>
    </w:rPr>
  </w:style>
  <w:style w:type="paragraph" w:styleId="IntenseQuote">
    <w:name w:val="Intense Quote"/>
    <w:basedOn w:val="Normal"/>
    <w:next w:val="Normal"/>
    <w:link w:val="IntenseQuoteChar"/>
    <w:uiPriority w:val="30"/>
    <w:qFormat/>
    <w:rsid w:val="00C517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1774"/>
    <w:rPr>
      <w:i/>
      <w:iCs/>
      <w:color w:val="0F4761" w:themeColor="accent1" w:themeShade="BF"/>
    </w:rPr>
  </w:style>
  <w:style w:type="character" w:styleId="IntenseReference">
    <w:name w:val="Intense Reference"/>
    <w:basedOn w:val="DefaultParagraphFont"/>
    <w:uiPriority w:val="32"/>
    <w:qFormat/>
    <w:rsid w:val="00C51774"/>
    <w:rPr>
      <w:b/>
      <w:bCs/>
      <w:smallCaps/>
      <w:color w:val="0F4761" w:themeColor="accent1" w:themeShade="BF"/>
      <w:spacing w:val="5"/>
    </w:rPr>
  </w:style>
  <w:style w:type="paragraph" w:styleId="NoSpacing">
    <w:name w:val="No Spacing"/>
    <w:link w:val="NoSpacingChar"/>
    <w:uiPriority w:val="1"/>
    <w:qFormat/>
    <w:rsid w:val="007C561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7C5618"/>
    <w:rPr>
      <w:kern w:val="0"/>
      <w:sz w:val="22"/>
      <w:szCs w:val="22"/>
      <w14:ligatures w14:val="none"/>
    </w:rPr>
  </w:style>
  <w:style w:type="paragraph" w:styleId="NormalWeb">
    <w:name w:val="Normal (Web)"/>
    <w:basedOn w:val="Normal"/>
    <w:uiPriority w:val="99"/>
    <w:semiHidden/>
    <w:unhideWhenUsed/>
    <w:rsid w:val="008C39F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C39F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12577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6f0ccbdc593381e436870095b1493045">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eef9bf0d6d94764de3bfbaa4435741ac"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ADFA774-94A9-4026-AE01-D05B9BC87F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1C1C60-E674-423B-9145-849B553C1303}">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6825FB0E-5E3A-480A-9C58-E55C3F9F310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4</Pages>
  <Words>592</Words>
  <Characters>3380</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Scenario Question</vt:lpstr>
    </vt:vector>
  </TitlesOfParts>
  <Company/>
  <LinksUpToDate>false</LinksUpToDate>
  <CharactersWithSpaces>3965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Scenario Question</dc:title>
  <dc:subject>Criminal Law, BMLW4005</dc:subject>
  <dc:creator>Max Greenland (2205366)</dc:creator>
  <cp:keywords/>
  <dc:description/>
  <cp:lastModifiedBy>Max Greenland</cp:lastModifiedBy>
  <cp:revision>4</cp:revision>
  <dcterms:created xsi:type="dcterms:W3CDTF">2024-05-10T19:02:00Z</dcterms:created>
  <dcterms:modified xsi:type="dcterms:W3CDTF">2024-05-10T22:12:00Z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