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7956874"/>
    <w:p w14:paraId="16A68941" w14:textId="7BD941D6" w:rsidR="003961F5" w:rsidRPr="00791A3F" w:rsidRDefault="00991BF8" w:rsidP="00791A3F">
      <w:pPr>
        <w:spacing w:line="360" w:lineRule="auto"/>
        <w:rPr>
          <w:rFonts w:ascii="Arial" w:eastAsiaTheme="majorEastAsia" w:hAnsi="Arial" w:cs="Arial"/>
          <w:color w:val="0F4761" w:themeColor="accent1" w:themeShade="BF"/>
          <w:sz w:val="40"/>
          <w:szCs w:val="40"/>
        </w:rPr>
      </w:pPr>
      <w:r w:rsidRPr="00203435">
        <w:rPr>
          <w:rFonts w:ascii="Arial" w:hAnsi="Arial" w:cs="Arial"/>
          <w:noProof/>
        </w:rPr>
        <mc:AlternateContent>
          <mc:Choice Requires="wps">
            <w:drawing>
              <wp:anchor distT="45720" distB="45720" distL="114300" distR="114300" simplePos="0" relativeHeight="251666432" behindDoc="0" locked="0" layoutInCell="1" allowOverlap="1" wp14:anchorId="3EDF3089" wp14:editId="428310D0">
                <wp:simplePos x="0" y="0"/>
                <wp:positionH relativeFrom="column">
                  <wp:posOffset>-387350</wp:posOffset>
                </wp:positionH>
                <wp:positionV relativeFrom="paragraph">
                  <wp:posOffset>1504950</wp:posOffset>
                </wp:positionV>
                <wp:extent cx="6826250" cy="3511550"/>
                <wp:effectExtent l="0" t="0" r="12700" b="12700"/>
                <wp:wrapSquare wrapText="bothSides"/>
                <wp:docPr id="16610609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0" cy="3511550"/>
                        </a:xfrm>
                        <a:prstGeom prst="rect">
                          <a:avLst/>
                        </a:prstGeom>
                        <a:solidFill>
                          <a:schemeClr val="bg1"/>
                        </a:solidFill>
                        <a:ln w="9525">
                          <a:solidFill>
                            <a:schemeClr val="bg1"/>
                          </a:solidFill>
                          <a:miter lim="800000"/>
                          <a:headEnd/>
                          <a:tailEnd/>
                        </a:ln>
                      </wps:spPr>
                      <wps:txbx>
                        <w:txbxContent>
                          <w:p w14:paraId="331843F4" w14:textId="31DBBDF7" w:rsidR="00203435" w:rsidRPr="007D45BD" w:rsidRDefault="00203435">
                            <w:pPr>
                              <w:rPr>
                                <w:b/>
                                <w:bCs/>
                                <w:sz w:val="28"/>
                                <w:szCs w:val="28"/>
                              </w:rPr>
                            </w:pPr>
                            <w:r w:rsidRPr="007D45BD">
                              <w:rPr>
                                <w:b/>
                                <w:bCs/>
                                <w:sz w:val="28"/>
                                <w:szCs w:val="28"/>
                              </w:rPr>
                              <w:t xml:space="preserve">Research </w:t>
                            </w:r>
                            <w:r w:rsidR="001E46C6" w:rsidRPr="007D45BD">
                              <w:rPr>
                                <w:b/>
                                <w:bCs/>
                                <w:sz w:val="28"/>
                                <w:szCs w:val="28"/>
                              </w:rPr>
                              <w:t>Title: -</w:t>
                            </w:r>
                            <w:r w:rsidR="007D45BD" w:rsidRPr="007D45BD">
                              <w:rPr>
                                <w:sz w:val="28"/>
                                <w:szCs w:val="28"/>
                              </w:rPr>
                              <w:t xml:space="preserve"> </w:t>
                            </w:r>
                            <w:r w:rsidR="007D45BD" w:rsidRPr="007D45BD">
                              <w:rPr>
                                <w:b/>
                                <w:bCs/>
                                <w:i/>
                                <w:iCs/>
                                <w:sz w:val="28"/>
                                <w:szCs w:val="28"/>
                              </w:rPr>
                              <w:t>The Evolution of Corporate Social Responsibility in the UK Food Retail Sector: From Symbolic Compliance to Substantive Integration, 2005–2025.</w:t>
                            </w:r>
                          </w:p>
                          <w:p w14:paraId="1C4F2E10" w14:textId="77777777" w:rsidR="00991BF8" w:rsidRDefault="00991BF8" w:rsidP="007D45BD">
                            <w:pPr>
                              <w:jc w:val="center"/>
                              <w:rPr>
                                <w:b/>
                                <w:bCs/>
                              </w:rPr>
                            </w:pPr>
                          </w:p>
                          <w:p w14:paraId="295E1103" w14:textId="2DFAC4CF" w:rsidR="00B94B4F" w:rsidRDefault="00B94B4F" w:rsidP="007D45BD">
                            <w:pPr>
                              <w:jc w:val="center"/>
                              <w:rPr>
                                <w:b/>
                                <w:bCs/>
                              </w:rPr>
                            </w:pPr>
                            <w:r>
                              <w:rPr>
                                <w:b/>
                                <w:bCs/>
                              </w:rPr>
                              <w:t>Programme: Master of Business Administration</w:t>
                            </w:r>
                          </w:p>
                          <w:p w14:paraId="07089370" w14:textId="7AE3D47F" w:rsidR="00B94B4F" w:rsidRDefault="00B94B4F" w:rsidP="007D45BD">
                            <w:pPr>
                              <w:jc w:val="center"/>
                              <w:rPr>
                                <w:b/>
                                <w:bCs/>
                              </w:rPr>
                            </w:pPr>
                            <w:r>
                              <w:rPr>
                                <w:b/>
                                <w:bCs/>
                              </w:rPr>
                              <w:t>Module: Dissertation</w:t>
                            </w:r>
                          </w:p>
                          <w:p w14:paraId="097785E3" w14:textId="495810BC" w:rsidR="009B734B" w:rsidRDefault="00B94B4F" w:rsidP="009B734B">
                            <w:pPr>
                              <w:jc w:val="center"/>
                              <w:rPr>
                                <w:b/>
                                <w:bCs/>
                              </w:rPr>
                            </w:pPr>
                            <w:r>
                              <w:rPr>
                                <w:b/>
                                <w:bCs/>
                              </w:rPr>
                              <w:t xml:space="preserve">Module Code: </w:t>
                            </w:r>
                            <w:r w:rsidR="009B734B" w:rsidRPr="009B734B">
                              <w:rPr>
                                <w:b/>
                                <w:bCs/>
                              </w:rPr>
                              <w:t>LCMB7035</w:t>
                            </w:r>
                          </w:p>
                          <w:p w14:paraId="0D854566" w14:textId="77777777" w:rsidR="009B734B" w:rsidRDefault="00B94B4F" w:rsidP="009B734B">
                            <w:pPr>
                              <w:jc w:val="center"/>
                              <w:rPr>
                                <w:b/>
                                <w:bCs/>
                              </w:rPr>
                            </w:pPr>
                            <w:r>
                              <w:rPr>
                                <w:b/>
                                <w:bCs/>
                              </w:rPr>
                              <w:t>Name:  Tarikul Islam Tarek</w:t>
                            </w:r>
                          </w:p>
                          <w:p w14:paraId="2479F01E" w14:textId="17F783BA" w:rsidR="00203435" w:rsidRDefault="00203435" w:rsidP="009B734B">
                            <w:pPr>
                              <w:jc w:val="center"/>
                              <w:rPr>
                                <w:b/>
                                <w:bCs/>
                              </w:rPr>
                            </w:pPr>
                            <w:r>
                              <w:rPr>
                                <w:b/>
                                <w:bCs/>
                              </w:rPr>
                              <w:t>Student ID:</w:t>
                            </w:r>
                            <w:r w:rsidR="00B94B4F">
                              <w:rPr>
                                <w:b/>
                                <w:bCs/>
                              </w:rPr>
                              <w:t xml:space="preserve"> 2435183</w:t>
                            </w:r>
                          </w:p>
                          <w:p w14:paraId="15E57843" w14:textId="11B95A2B" w:rsidR="00203435" w:rsidRDefault="00203435" w:rsidP="007D45BD">
                            <w:pPr>
                              <w:jc w:val="center"/>
                              <w:rPr>
                                <w:b/>
                                <w:bCs/>
                              </w:rPr>
                            </w:pPr>
                            <w:r>
                              <w:rPr>
                                <w:b/>
                                <w:bCs/>
                              </w:rPr>
                              <w:t>Supervi</w:t>
                            </w:r>
                            <w:r w:rsidR="007D45BD">
                              <w:rPr>
                                <w:b/>
                                <w:bCs/>
                              </w:rPr>
                              <w:t>s</w:t>
                            </w:r>
                            <w:r>
                              <w:rPr>
                                <w:b/>
                                <w:bCs/>
                              </w:rPr>
                              <w:t>or Name:</w:t>
                            </w:r>
                            <w:r w:rsidR="00B94B4F">
                              <w:rPr>
                                <w:b/>
                                <w:bCs/>
                              </w:rPr>
                              <w:t xml:space="preserve"> </w:t>
                            </w:r>
                            <w:r w:rsidR="00D3243D">
                              <w:rPr>
                                <w:b/>
                                <w:bCs/>
                              </w:rPr>
                              <w:t>Ejike Udeogu</w:t>
                            </w:r>
                          </w:p>
                          <w:p w14:paraId="3C4F7A7A" w14:textId="4F865192" w:rsidR="000E57D5" w:rsidRPr="00203435" w:rsidRDefault="000E57D5" w:rsidP="007D45BD">
                            <w:pPr>
                              <w:jc w:val="center"/>
                              <w:rPr>
                                <w:b/>
                                <w:bCs/>
                              </w:rPr>
                            </w:pPr>
                            <w:r>
                              <w:rPr>
                                <w:b/>
                                <w:bCs/>
                              </w:rPr>
                              <w:t>Submission Date: 2</w:t>
                            </w:r>
                            <w:r w:rsidR="00533350">
                              <w:rPr>
                                <w:b/>
                                <w:bCs/>
                              </w:rPr>
                              <w:t>7</w:t>
                            </w:r>
                            <w:r w:rsidR="000868EE">
                              <w:rPr>
                                <w:b/>
                                <w:bCs/>
                              </w:rPr>
                              <w:t>-08-2026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DF3089" id="_x0000_t202" coordsize="21600,21600" o:spt="202" path="m,l,21600r21600,l21600,xe">
                <v:stroke joinstyle="miter"/>
                <v:path gradientshapeok="t" o:connecttype="rect"/>
              </v:shapetype>
              <v:shape id="Text Box 2" o:spid="_x0000_s1026" type="#_x0000_t202" style="position:absolute;margin-left:-30.5pt;margin-top:118.5pt;width:537.5pt;height:27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" fillcolor="white [3212]" strokecolor="white [3212]">
                <v:textbox>
                  <w:txbxContent>
                    <w:p w14:paraId="331843F4" w14:textId="31DBBDF7" w:rsidR="00203435" w:rsidRPr="007D45BD" w:rsidRDefault="00203435">
                      <w:pPr>
                        <w:rPr>
                          <w:b/>
                          <w:bCs/>
                          <w:sz w:val="28"/>
                          <w:szCs w:val="28"/>
                        </w:rPr>
                      </w:pPr>
                      <w:r w:rsidRPr="007D45BD">
                        <w:rPr>
                          <w:b/>
                          <w:bCs/>
                          <w:sz w:val="28"/>
                          <w:szCs w:val="28"/>
                        </w:rPr>
                        <w:t xml:space="preserve">Research </w:t>
                      </w:r>
                      <w:r w:rsidR="001E46C6" w:rsidRPr="007D45BD">
                        <w:rPr>
                          <w:b/>
                          <w:bCs/>
                          <w:sz w:val="28"/>
                          <w:szCs w:val="28"/>
                        </w:rPr>
                        <w:t>Title: -</w:t>
                      </w:r>
                      <w:r w:rsidR="007D45BD" w:rsidRPr="007D45BD">
                        <w:rPr>
                          <w:sz w:val="28"/>
                          <w:szCs w:val="28"/>
                        </w:rPr>
                        <w:t xml:space="preserve"> </w:t>
                      </w:r>
                      <w:r w:rsidR="007D45BD" w:rsidRPr="007D45BD">
                        <w:rPr>
                          <w:b/>
                          <w:bCs/>
                          <w:i/>
                          <w:iCs/>
                          <w:sz w:val="28"/>
                          <w:szCs w:val="28"/>
                        </w:rPr>
                        <w:t>The Evolution of Corporate Social Responsibility in the UK Food Retail Sector: From Symbolic Compliance to Substantive Integration, 2005–2025.</w:t>
                      </w:r>
                    </w:p>
                    <w:p w14:paraId="1C4F2E10" w14:textId="77777777" w:rsidR="00991BF8" w:rsidRDefault="00991BF8" w:rsidP="007D45BD">
                      <w:pPr>
                        <w:jc w:val="center"/>
                        <w:rPr>
                          <w:b/>
                          <w:bCs/>
                        </w:rPr>
                      </w:pPr>
                    </w:p>
                    <w:p w14:paraId="295E1103" w14:textId="2DFAC4CF" w:rsidR="00B94B4F" w:rsidRDefault="00B94B4F" w:rsidP="007D45BD">
                      <w:pPr>
                        <w:jc w:val="center"/>
                        <w:rPr>
                          <w:b/>
                          <w:bCs/>
                        </w:rPr>
                      </w:pPr>
                      <w:r>
                        <w:rPr>
                          <w:b/>
                          <w:bCs/>
                        </w:rPr>
                        <w:t>Programme: Master of Business Administration</w:t>
                      </w:r>
                    </w:p>
                    <w:p w14:paraId="07089370" w14:textId="7AE3D47F" w:rsidR="00B94B4F" w:rsidRDefault="00B94B4F" w:rsidP="007D45BD">
                      <w:pPr>
                        <w:jc w:val="center"/>
                        <w:rPr>
                          <w:b/>
                          <w:bCs/>
                        </w:rPr>
                      </w:pPr>
                      <w:r>
                        <w:rPr>
                          <w:b/>
                          <w:bCs/>
                        </w:rPr>
                        <w:t>Module: Dissertation</w:t>
                      </w:r>
                    </w:p>
                    <w:p w14:paraId="097785E3" w14:textId="495810BC" w:rsidR="009B734B" w:rsidRDefault="00B94B4F" w:rsidP="009B734B">
                      <w:pPr>
                        <w:jc w:val="center"/>
                        <w:rPr>
                          <w:b/>
                          <w:bCs/>
                        </w:rPr>
                      </w:pPr>
                      <w:r>
                        <w:rPr>
                          <w:b/>
                          <w:bCs/>
                        </w:rPr>
                        <w:t xml:space="preserve">Module Code: </w:t>
                      </w:r>
                      <w:r w:rsidR="009B734B" w:rsidRPr="009B734B">
                        <w:rPr>
                          <w:b/>
                          <w:bCs/>
                        </w:rPr>
                        <w:t>LCMB7035</w:t>
                      </w:r>
                    </w:p>
                    <w:p w14:paraId="0D854566" w14:textId="77777777" w:rsidR="009B734B" w:rsidRDefault="00B94B4F" w:rsidP="009B734B">
                      <w:pPr>
                        <w:jc w:val="center"/>
                        <w:rPr>
                          <w:b/>
                          <w:bCs/>
                        </w:rPr>
                      </w:pPr>
                      <w:r>
                        <w:rPr>
                          <w:b/>
                          <w:bCs/>
                        </w:rPr>
                        <w:t>Name:  Tarikul Islam Tarek</w:t>
                      </w:r>
                    </w:p>
                    <w:p w14:paraId="2479F01E" w14:textId="17F783BA" w:rsidR="00203435" w:rsidRDefault="00203435" w:rsidP="009B734B">
                      <w:pPr>
                        <w:jc w:val="center"/>
                        <w:rPr>
                          <w:b/>
                          <w:bCs/>
                        </w:rPr>
                      </w:pPr>
                      <w:r>
                        <w:rPr>
                          <w:b/>
                          <w:bCs/>
                        </w:rPr>
                        <w:t>Student ID:</w:t>
                      </w:r>
                      <w:r w:rsidR="00B94B4F">
                        <w:rPr>
                          <w:b/>
                          <w:bCs/>
                        </w:rPr>
                        <w:t xml:space="preserve"> 2435183</w:t>
                      </w:r>
                    </w:p>
                    <w:p w14:paraId="15E57843" w14:textId="11B95A2B" w:rsidR="00203435" w:rsidRDefault="00203435" w:rsidP="007D45BD">
                      <w:pPr>
                        <w:jc w:val="center"/>
                        <w:rPr>
                          <w:b/>
                          <w:bCs/>
                        </w:rPr>
                      </w:pPr>
                      <w:r>
                        <w:rPr>
                          <w:b/>
                          <w:bCs/>
                        </w:rPr>
                        <w:t>Supervi</w:t>
                      </w:r>
                      <w:r w:rsidR="007D45BD">
                        <w:rPr>
                          <w:b/>
                          <w:bCs/>
                        </w:rPr>
                        <w:t>s</w:t>
                      </w:r>
                      <w:r>
                        <w:rPr>
                          <w:b/>
                          <w:bCs/>
                        </w:rPr>
                        <w:t>or Name:</w:t>
                      </w:r>
                      <w:r w:rsidR="00B94B4F">
                        <w:rPr>
                          <w:b/>
                          <w:bCs/>
                        </w:rPr>
                        <w:t xml:space="preserve"> </w:t>
                      </w:r>
                      <w:r w:rsidR="00D3243D">
                        <w:rPr>
                          <w:b/>
                          <w:bCs/>
                        </w:rPr>
                        <w:t>Ejike Udeogu</w:t>
                      </w:r>
                    </w:p>
                    <w:p w14:paraId="3C4F7A7A" w14:textId="4F865192" w:rsidR="000E57D5" w:rsidRPr="00203435" w:rsidRDefault="000E57D5" w:rsidP="007D45BD">
                      <w:pPr>
                        <w:jc w:val="center"/>
                        <w:rPr>
                          <w:b/>
                          <w:bCs/>
                        </w:rPr>
                      </w:pPr>
                      <w:r>
                        <w:rPr>
                          <w:b/>
                          <w:bCs/>
                        </w:rPr>
                        <w:t>Submission Date: 2</w:t>
                      </w:r>
                      <w:r w:rsidR="00533350">
                        <w:rPr>
                          <w:b/>
                          <w:bCs/>
                        </w:rPr>
                        <w:t>7</w:t>
                      </w:r>
                      <w:r w:rsidR="000868EE">
                        <w:rPr>
                          <w:b/>
                          <w:bCs/>
                        </w:rPr>
                        <w:t>-08-2026</w:t>
                      </w:r>
                    </w:p>
                  </w:txbxContent>
                </v:textbox>
                <w10:wrap type="square"/>
              </v:shape>
            </w:pict>
          </mc:Fallback>
        </mc:AlternateContent>
      </w:r>
      <w:r>
        <w:rPr>
          <w:rFonts w:ascii="Aptos" w:hAnsi="Aptos"/>
          <w:noProof/>
          <w:color w:val="000000"/>
          <w:sz w:val="22"/>
          <w:szCs w:val="22"/>
        </w:rPr>
        <w:drawing>
          <wp:anchor distT="0" distB="0" distL="114300" distR="114300" simplePos="0" relativeHeight="251664384" behindDoc="1" locked="0" layoutInCell="1" allowOverlap="1" wp14:anchorId="22E4F831" wp14:editId="060B30AF">
            <wp:simplePos x="0" y="0"/>
            <wp:positionH relativeFrom="margin">
              <wp:posOffset>876300</wp:posOffset>
            </wp:positionH>
            <wp:positionV relativeFrom="paragraph">
              <wp:posOffset>0</wp:posOffset>
            </wp:positionV>
            <wp:extent cx="3898900" cy="1472565"/>
            <wp:effectExtent l="0" t="0" r="6350" b="0"/>
            <wp:wrapTight wrapText="bothSides">
              <wp:wrapPolygon edited="0">
                <wp:start x="0" y="0"/>
                <wp:lineTo x="0" y="21237"/>
                <wp:lineTo x="21530" y="21237"/>
                <wp:lineTo x="21530" y="0"/>
                <wp:lineTo x="0" y="0"/>
              </wp:wrapPolygon>
            </wp:wrapTight>
            <wp:docPr id="126468895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on i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9890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1F5" w:rsidRPr="00791A3F">
        <w:rPr>
          <w:rFonts w:ascii="Arial" w:hAnsi="Arial" w:cs="Arial"/>
        </w:rPr>
        <w:br w:type="page"/>
      </w:r>
    </w:p>
    <w:sdt>
      <w:sdtPr>
        <w:rPr>
          <w:rFonts w:asciiTheme="minorHAnsi" w:eastAsiaTheme="minorHAnsi" w:hAnsiTheme="minorHAnsi" w:cstheme="minorBidi"/>
          <w:color w:val="auto"/>
          <w:kern w:val="2"/>
          <w:sz w:val="24"/>
          <w:szCs w:val="24"/>
          <w14:ligatures w14:val="standardContextual"/>
        </w:rPr>
        <w:id w:val="679089622"/>
        <w:docPartObj>
          <w:docPartGallery w:val="Table of Contents"/>
          <w:docPartUnique/>
        </w:docPartObj>
      </w:sdtPr>
      <w:sdtEndPr>
        <w:rPr>
          <w:b/>
          <w:bCs/>
          <w:noProof/>
        </w:rPr>
      </w:sdtEndPr>
      <w:sdtContent>
        <w:p w14:paraId="23E2B188" w14:textId="659B8CF6" w:rsidR="00CD1D85" w:rsidRDefault="00104298">
          <w:pPr>
            <w:pStyle w:val="TOCHeading"/>
          </w:pPr>
          <w:r>
            <w:rPr>
              <w:noProof/>
            </w:rPr>
            <mc:AlternateContent>
              <mc:Choice Requires="wps">
                <w:drawing>
                  <wp:anchor distT="45720" distB="45720" distL="114300" distR="114300" simplePos="0" relativeHeight="251663360" behindDoc="0" locked="0" layoutInCell="1" allowOverlap="1" wp14:anchorId="3F42A686" wp14:editId="146A225A">
                    <wp:simplePos x="0" y="0"/>
                    <wp:positionH relativeFrom="margin">
                      <wp:posOffset>69850</wp:posOffset>
                    </wp:positionH>
                    <wp:positionV relativeFrom="paragraph">
                      <wp:posOffset>6350</wp:posOffset>
                    </wp:positionV>
                    <wp:extent cx="6038850" cy="4146550"/>
                    <wp:effectExtent l="0" t="0" r="19050" b="25400"/>
                    <wp:wrapSquare wrapText="bothSides"/>
                    <wp:docPr id="15835895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4146550"/>
                            </a:xfrm>
                            <a:prstGeom prst="rect">
                              <a:avLst/>
                            </a:prstGeom>
                            <a:solidFill>
                              <a:srgbClr val="FFFFFF"/>
                            </a:solidFill>
                            <a:ln w="9525">
                              <a:solidFill>
                                <a:srgbClr val="000000"/>
                              </a:solidFill>
                              <a:miter lim="800000"/>
                              <a:headEnd/>
                              <a:tailEnd/>
                            </a:ln>
                          </wps:spPr>
                          <wps:txbx>
                            <w:txbxContent>
                              <w:p w14:paraId="41E03198" w14:textId="03123B58" w:rsidR="00104298" w:rsidRPr="00104298" w:rsidRDefault="00104298" w:rsidP="00104298">
                                <w:pPr>
                                  <w:jc w:val="center"/>
                                  <w:rPr>
                                    <w:b/>
                                    <w:bCs/>
                                    <w:lang w:val="en-GB"/>
                                  </w:rPr>
                                </w:pPr>
                                <w:r w:rsidRPr="00104298">
                                  <w:rPr>
                                    <w:b/>
                                    <w:bCs/>
                                    <w:lang w:val="en-GB"/>
                                  </w:rPr>
                                  <w:t>DECLARATATION</w:t>
                                </w:r>
                              </w:p>
                              <w:p w14:paraId="0BD255DE" w14:textId="50C8E432" w:rsidR="00104298" w:rsidRPr="00104298" w:rsidRDefault="00B74E21" w:rsidP="00104298">
                                <w:pPr>
                                  <w:rPr>
                                    <w:lang w:val="en-GB"/>
                                  </w:rPr>
                                </w:pPr>
                                <w:r w:rsidRPr="00104298">
                                  <w:rPr>
                                    <w:lang w:val="en-GB"/>
                                  </w:rPr>
                                  <w:t xml:space="preserve">I, </w:t>
                                </w:r>
                                <w:r>
                                  <w:rPr>
                                    <w:i/>
                                    <w:iCs/>
                                    <w:lang w:val="en-GB"/>
                                  </w:rPr>
                                  <w:t>Tarikul</w:t>
                                </w:r>
                                <w:r w:rsidR="00D91350">
                                  <w:rPr>
                                    <w:i/>
                                    <w:iCs/>
                                    <w:lang w:val="en-GB"/>
                                  </w:rPr>
                                  <w:t xml:space="preserve"> Islam Tarek</w:t>
                                </w:r>
                                <w:r w:rsidR="00104298" w:rsidRPr="00104298">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34E21E" w14:textId="77777777" w:rsidR="00104298" w:rsidRPr="00104298" w:rsidRDefault="00104298" w:rsidP="00104298">
                                <w:pPr>
                                  <w:rPr>
                                    <w:lang w:val="en-GB"/>
                                  </w:rPr>
                                </w:pPr>
                                <w:r w:rsidRPr="00104298">
                                  <w:rPr>
                                    <w:lang w:val="en-GB"/>
                                  </w:rPr>
                                  <w:t> </w:t>
                                </w:r>
                              </w:p>
                              <w:p w14:paraId="2A8149E1" w14:textId="22655E9D" w:rsidR="00104298" w:rsidRDefault="00157318" w:rsidP="00104298">
                                <w:pPr>
                                  <w:rPr>
                                    <w:lang w:val="en-GB"/>
                                  </w:rPr>
                                </w:pPr>
                                <w:r w:rsidRPr="00104298">
                                  <w:rPr>
                                    <w:lang w:val="en-GB"/>
                                  </w:rPr>
                                  <w:t xml:space="preserve">Signature: </w:t>
                                </w:r>
                                <w:r w:rsidR="00D91350">
                                  <w:rPr>
                                    <w:lang w:val="en-GB"/>
                                  </w:rPr>
                                  <w:t xml:space="preserve"> Tarikul Islam Tarek</w:t>
                                </w:r>
                              </w:p>
                              <w:p w14:paraId="17A8D75C" w14:textId="77777777" w:rsidR="00D91350" w:rsidRPr="00104298" w:rsidRDefault="00D91350" w:rsidP="00104298">
                                <w:pPr>
                                  <w:rPr>
                                    <w:lang w:val="en-GB"/>
                                  </w:rPr>
                                </w:pPr>
                              </w:p>
                              <w:p w14:paraId="3CFC118F" w14:textId="277416DF" w:rsidR="00104298" w:rsidRPr="00104298" w:rsidRDefault="00104298" w:rsidP="00104298">
                                <w:pPr>
                                  <w:rPr>
                                    <w:lang w:val="en-GB"/>
                                  </w:rPr>
                                </w:pPr>
                                <w:r w:rsidRPr="00104298">
                                  <w:rPr>
                                    <w:lang w:val="en-GB"/>
                                  </w:rPr>
                                  <w:t xml:space="preserve">Date: </w:t>
                                </w:r>
                                <w:r w:rsidR="00D91350">
                                  <w:rPr>
                                    <w:lang w:val="en-GB"/>
                                  </w:rPr>
                                  <w:t>2</w:t>
                                </w:r>
                                <w:r w:rsidR="00533350">
                                  <w:rPr>
                                    <w:lang w:val="en-GB"/>
                                  </w:rPr>
                                  <w:t>7</w:t>
                                </w:r>
                                <w:r w:rsidR="00D91350">
                                  <w:rPr>
                                    <w:lang w:val="en-GB"/>
                                  </w:rPr>
                                  <w:t>-08-2026</w:t>
                                </w:r>
                              </w:p>
                              <w:p w14:paraId="24CB16C8" w14:textId="37062FCA" w:rsidR="00104298" w:rsidRDefault="0010429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2A686" id="_x0000_s1027" type="#_x0000_t202" style="position:absolute;margin-left:5.5pt;margin-top:.5pt;width:475.5pt;height:32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">
                    <v:textbox>
                      <w:txbxContent>
                        <w:p w14:paraId="41E03198" w14:textId="03123B58" w:rsidR="00104298" w:rsidRPr="00104298" w:rsidRDefault="00104298" w:rsidP="00104298">
                          <w:pPr>
                            <w:jc w:val="center"/>
                            <w:rPr>
                              <w:b/>
                              <w:bCs/>
                              <w:lang w:val="en-GB"/>
                            </w:rPr>
                          </w:pPr>
                          <w:r w:rsidRPr="00104298">
                            <w:rPr>
                              <w:b/>
                              <w:bCs/>
                              <w:lang w:val="en-GB"/>
                            </w:rPr>
                            <w:t>DECLARATATION</w:t>
                          </w:r>
                        </w:p>
                        <w:p w14:paraId="0BD255DE" w14:textId="50C8E432" w:rsidR="00104298" w:rsidRPr="00104298" w:rsidRDefault="00B74E21" w:rsidP="00104298">
                          <w:pPr>
                            <w:rPr>
                              <w:lang w:val="en-GB"/>
                            </w:rPr>
                          </w:pPr>
                          <w:r w:rsidRPr="00104298">
                            <w:rPr>
                              <w:lang w:val="en-GB"/>
                            </w:rPr>
                            <w:t xml:space="preserve">I, </w:t>
                          </w:r>
                          <w:r>
                            <w:rPr>
                              <w:i/>
                              <w:iCs/>
                              <w:lang w:val="en-GB"/>
                            </w:rPr>
                            <w:t>Tarikul</w:t>
                          </w:r>
                          <w:r w:rsidR="00D91350">
                            <w:rPr>
                              <w:i/>
                              <w:iCs/>
                              <w:lang w:val="en-GB"/>
                            </w:rPr>
                            <w:t xml:space="preserve"> Islam Tarek</w:t>
                          </w:r>
                          <w:r w:rsidR="00104298" w:rsidRPr="00104298">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F34E21E" w14:textId="77777777" w:rsidR="00104298" w:rsidRPr="00104298" w:rsidRDefault="00104298" w:rsidP="00104298">
                          <w:pPr>
                            <w:rPr>
                              <w:lang w:val="en-GB"/>
                            </w:rPr>
                          </w:pPr>
                          <w:r w:rsidRPr="00104298">
                            <w:rPr>
                              <w:lang w:val="en-GB"/>
                            </w:rPr>
                            <w:t> </w:t>
                          </w:r>
                        </w:p>
                        <w:p w14:paraId="2A8149E1" w14:textId="22655E9D" w:rsidR="00104298" w:rsidRDefault="00157318" w:rsidP="00104298">
                          <w:pPr>
                            <w:rPr>
                              <w:lang w:val="en-GB"/>
                            </w:rPr>
                          </w:pPr>
                          <w:r w:rsidRPr="00104298">
                            <w:rPr>
                              <w:lang w:val="en-GB"/>
                            </w:rPr>
                            <w:t xml:space="preserve">Signature: </w:t>
                          </w:r>
                          <w:r w:rsidR="00D91350">
                            <w:rPr>
                              <w:lang w:val="en-GB"/>
                            </w:rPr>
                            <w:t xml:space="preserve"> Tarikul Islam Tarek</w:t>
                          </w:r>
                        </w:p>
                        <w:p w14:paraId="17A8D75C" w14:textId="77777777" w:rsidR="00D91350" w:rsidRPr="00104298" w:rsidRDefault="00D91350" w:rsidP="00104298">
                          <w:pPr>
                            <w:rPr>
                              <w:lang w:val="en-GB"/>
                            </w:rPr>
                          </w:pPr>
                        </w:p>
                        <w:p w14:paraId="3CFC118F" w14:textId="277416DF" w:rsidR="00104298" w:rsidRPr="00104298" w:rsidRDefault="00104298" w:rsidP="00104298">
                          <w:pPr>
                            <w:rPr>
                              <w:lang w:val="en-GB"/>
                            </w:rPr>
                          </w:pPr>
                          <w:r w:rsidRPr="00104298">
                            <w:rPr>
                              <w:lang w:val="en-GB"/>
                            </w:rPr>
                            <w:t xml:space="preserve">Date: </w:t>
                          </w:r>
                          <w:r w:rsidR="00D91350">
                            <w:rPr>
                              <w:lang w:val="en-GB"/>
                            </w:rPr>
                            <w:t>2</w:t>
                          </w:r>
                          <w:r w:rsidR="00533350">
                            <w:rPr>
                              <w:lang w:val="en-GB"/>
                            </w:rPr>
                            <w:t>7</w:t>
                          </w:r>
                          <w:r w:rsidR="00D91350">
                            <w:rPr>
                              <w:lang w:val="en-GB"/>
                            </w:rPr>
                            <w:t>-08-2026</w:t>
                          </w:r>
                        </w:p>
                        <w:p w14:paraId="24CB16C8" w14:textId="37062FCA" w:rsidR="00104298" w:rsidRDefault="00104298"/>
                      </w:txbxContent>
                    </v:textbox>
                    <w10:wrap type="square" anchorx="margin"/>
                  </v:shape>
                </w:pict>
              </mc:Fallback>
            </mc:AlternateContent>
          </w:r>
        </w:p>
        <w:p w14:paraId="7C52B90A" w14:textId="3D223D6E" w:rsidR="00CD1D85" w:rsidRDefault="00CD1D85">
          <w:pPr>
            <w:rPr>
              <w:rFonts w:asciiTheme="majorHAnsi" w:eastAsiaTheme="majorEastAsia" w:hAnsiTheme="majorHAnsi" w:cstheme="majorBidi"/>
              <w:color w:val="0F4761" w:themeColor="accent1" w:themeShade="BF"/>
              <w:kern w:val="0"/>
              <w:sz w:val="32"/>
              <w:szCs w:val="32"/>
              <w14:ligatures w14:val="none"/>
            </w:rPr>
          </w:pPr>
          <w:r>
            <w:br w:type="page"/>
          </w:r>
        </w:p>
        <w:p w14:paraId="59482DC3" w14:textId="75EB25C5" w:rsidR="00A02F10" w:rsidRPr="00207829" w:rsidRDefault="00A02F10">
          <w:r>
            <w:rPr>
              <w:noProof/>
            </w:rPr>
            <w:lastRenderedPageBreak/>
            <mc:AlternateContent>
              <mc:Choice Requires="wps">
                <w:drawing>
                  <wp:anchor distT="45720" distB="45720" distL="114300" distR="114300" simplePos="0" relativeHeight="251661312" behindDoc="0" locked="0" layoutInCell="1" allowOverlap="1" wp14:anchorId="31C7E974" wp14:editId="699CD9BE">
                    <wp:simplePos x="0" y="0"/>
                    <wp:positionH relativeFrom="column">
                      <wp:posOffset>-88900</wp:posOffset>
                    </wp:positionH>
                    <wp:positionV relativeFrom="paragraph">
                      <wp:posOffset>0</wp:posOffset>
                    </wp:positionV>
                    <wp:extent cx="6108700" cy="57912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0" cy="5791200"/>
                            </a:xfrm>
                            <a:prstGeom prst="rect">
                              <a:avLst/>
                            </a:prstGeom>
                            <a:solidFill>
                              <a:srgbClr val="FFFFFF"/>
                            </a:solidFill>
                            <a:ln w="9525">
                              <a:solidFill>
                                <a:srgbClr val="000000"/>
                              </a:solidFill>
                              <a:miter lim="800000"/>
                              <a:headEnd/>
                              <a:tailEnd/>
                            </a:ln>
                          </wps:spPr>
                          <wps:txbx>
                            <w:txbxContent>
                              <w:p w14:paraId="5355D4E4" w14:textId="5FD5BC62" w:rsidR="00A02F10" w:rsidRPr="00A02F10" w:rsidRDefault="00A02F10" w:rsidP="00A02F10">
                                <w:pPr>
                                  <w:jc w:val="center"/>
                                  <w:rPr>
                                    <w:rFonts w:ascii="Arial" w:hAnsi="Arial" w:cs="Arial"/>
                                    <w:b/>
                                    <w:bCs/>
                                  </w:rPr>
                                </w:pPr>
                                <w:r w:rsidRPr="00A02F10">
                                  <w:rPr>
                                    <w:rFonts w:ascii="Arial" w:hAnsi="Arial" w:cs="Arial"/>
                                    <w:b/>
                                    <w:bCs/>
                                  </w:rPr>
                                  <w:t>Acknowledgement</w:t>
                                </w:r>
                              </w:p>
                              <w:p w14:paraId="1ED515B5" w14:textId="77777777" w:rsidR="00A02F10" w:rsidRPr="00A02F10" w:rsidRDefault="00A02F10" w:rsidP="00A02F10">
                                <w:pPr>
                                  <w:rPr>
                                    <w:rFonts w:ascii="Arial" w:hAnsi="Arial" w:cs="Arial"/>
                                  </w:rPr>
                                </w:pPr>
                              </w:p>
                              <w:p w14:paraId="14EF931D" w14:textId="20F41426" w:rsidR="00A02F10" w:rsidRPr="00A02F10" w:rsidRDefault="00A02F10" w:rsidP="00A02F10">
                                <w:pPr>
                                  <w:rPr>
                                    <w:rFonts w:ascii="Arial" w:hAnsi="Arial" w:cs="Arial"/>
                                  </w:rPr>
                                </w:pPr>
                                <w:r w:rsidRPr="00A02F10">
                                  <w:rPr>
                                    <w:rFonts w:ascii="Arial" w:hAnsi="Arial" w:cs="Arial"/>
                                  </w:rPr>
                                  <w:t>I am grateful to all those who helped and supported me in the completion of this dissertation and I wish to express my gratitude to them sincerely.</w:t>
                                </w:r>
                              </w:p>
                              <w:p w14:paraId="76F27160" w14:textId="5AF708EA" w:rsidR="00A02F10" w:rsidRPr="00A02F10" w:rsidRDefault="00A02F10" w:rsidP="00A02F10">
                                <w:pPr>
                                  <w:rPr>
                                    <w:rFonts w:ascii="Arial" w:hAnsi="Arial" w:cs="Arial"/>
                                  </w:rPr>
                                </w:pPr>
                                <w:r w:rsidRPr="00A02F10">
                                  <w:rPr>
                                    <w:rFonts w:ascii="Arial" w:hAnsi="Arial" w:cs="Arial"/>
                                  </w:rPr>
                                  <w:t xml:space="preserve">I would like to express my gratitude to my supervisor, </w:t>
                                </w:r>
                                <w:r w:rsidR="00A91B5C" w:rsidRPr="00A91B5C">
                                  <w:t xml:space="preserve">Ejike </w:t>
                                </w:r>
                                <w:r w:rsidR="00CF27DF" w:rsidRPr="00A91B5C">
                                  <w:t>Udeogu,</w:t>
                                </w:r>
                                <w:r w:rsidRPr="00A02F10">
                                  <w:rPr>
                                    <w:rFonts w:ascii="Arial" w:hAnsi="Arial" w:cs="Arial"/>
                                  </w:rPr>
                                  <w:t xml:space="preserve"> for his</w:t>
                                </w:r>
                                <w:r w:rsidR="00A91B5C">
                                  <w:rPr>
                                    <w:rFonts w:ascii="Arial" w:hAnsi="Arial" w:cs="Arial"/>
                                  </w:rPr>
                                  <w:t xml:space="preserve"> </w:t>
                                </w:r>
                                <w:r w:rsidRPr="00A02F10">
                                  <w:rPr>
                                    <w:rFonts w:ascii="Arial" w:hAnsi="Arial" w:cs="Arial"/>
                                  </w:rPr>
                                  <w:t>invaluable guidance, constructive feedback, encouragement and support during this research. Their guidance and critical feedback aided the evolution and development of this dissertation.</w:t>
                                </w:r>
                              </w:p>
                              <w:p w14:paraId="35E9BC19" w14:textId="24D1BEB0" w:rsidR="00A02F10" w:rsidRPr="00A02F10" w:rsidRDefault="00A02F10" w:rsidP="00A02F10">
                                <w:pPr>
                                  <w:rPr>
                                    <w:rFonts w:ascii="Arial" w:hAnsi="Arial" w:cs="Arial"/>
                                  </w:rPr>
                                </w:pPr>
                                <w:r w:rsidRPr="00A02F10">
                                  <w:rPr>
                                    <w:rFonts w:ascii="Arial" w:hAnsi="Arial" w:cs="Arial"/>
                                  </w:rPr>
                                  <w:t xml:space="preserve">I would also like to thank </w:t>
                                </w:r>
                                <w:r w:rsidRPr="00CF27DF">
                                  <w:rPr>
                                    <w:rFonts w:ascii="Arial" w:hAnsi="Arial" w:cs="Arial"/>
                                  </w:rPr>
                                  <w:t>Universit</w:t>
                                </w:r>
                                <w:r w:rsidR="00D91350" w:rsidRPr="00CF27DF">
                                  <w:rPr>
                                    <w:rFonts w:ascii="Arial" w:hAnsi="Arial" w:cs="Arial"/>
                                  </w:rPr>
                                  <w:t xml:space="preserve">y of Wales Trinity Saint </w:t>
                                </w:r>
                                <w:r w:rsidR="000868EE" w:rsidRPr="00CF27DF">
                                  <w:rPr>
                                    <w:rFonts w:ascii="Arial" w:hAnsi="Arial" w:cs="Arial"/>
                                  </w:rPr>
                                  <w:t>David,</w:t>
                                </w:r>
                                <w:r w:rsidR="00CF27DF" w:rsidRPr="00CF27DF">
                                  <w:rPr>
                                    <w:rFonts w:ascii="Arial" w:hAnsi="Arial" w:cs="Arial"/>
                                  </w:rPr>
                                  <w:t xml:space="preserve"> MBA</w:t>
                                </w:r>
                                <w:r w:rsidR="00D91350" w:rsidRPr="00CF27DF">
                                  <w:rPr>
                                    <w:rFonts w:ascii="Arial" w:hAnsi="Arial" w:cs="Arial"/>
                                  </w:rPr>
                                  <w:t xml:space="preserve"> in International Business</w:t>
                                </w:r>
                                <w:r w:rsidRPr="00104298">
                                  <w:rPr>
                                    <w:rFonts w:ascii="Arial" w:hAnsi="Arial" w:cs="Arial"/>
                                    <w:b/>
                                    <w:bCs/>
                                  </w:rPr>
                                  <w:t xml:space="preserve"> </w:t>
                                </w:r>
                                <w:r w:rsidR="00A91B5C" w:rsidRPr="00A91B5C">
                                  <w:rPr>
                                    <w:rFonts w:ascii="Arial" w:hAnsi="Arial" w:cs="Arial"/>
                                  </w:rPr>
                                  <w:t>department</w:t>
                                </w:r>
                                <w:r w:rsidR="00A91B5C">
                                  <w:rPr>
                                    <w:rFonts w:ascii="Arial" w:hAnsi="Arial" w:cs="Arial"/>
                                    <w:b/>
                                    <w:bCs/>
                                  </w:rPr>
                                  <w:t xml:space="preserve"> </w:t>
                                </w:r>
                                <w:r w:rsidRPr="00A02F10">
                                  <w:rPr>
                                    <w:rFonts w:ascii="Arial" w:hAnsi="Arial" w:cs="Arial"/>
                                  </w:rPr>
                                  <w:t>for giving me the environment, resources and opportunities to accomplish this study successfully.</w:t>
                                </w:r>
                              </w:p>
                              <w:p w14:paraId="0F995D97" w14:textId="34160F44" w:rsidR="00A02F10" w:rsidRPr="00A02F10" w:rsidRDefault="00A02F10" w:rsidP="00A02F10">
                                <w:pPr>
                                  <w:rPr>
                                    <w:rFonts w:ascii="Arial" w:hAnsi="Arial" w:cs="Arial"/>
                                  </w:rPr>
                                </w:pPr>
                                <w:r w:rsidRPr="00A02F10">
                                  <w:rPr>
                                    <w:rFonts w:ascii="Arial" w:hAnsi="Arial" w:cs="Arial"/>
                                  </w:rPr>
                                  <w:t>I wish to thank all those who published, researched, reported and documented the evidence and academic research for this dissertation. They helped me to develop a deeper appreciation of the concept of CSR and its evolution in the UK food retailing industry.</w:t>
                                </w:r>
                              </w:p>
                              <w:p w14:paraId="125D2D56" w14:textId="4D548389" w:rsidR="00A02F10" w:rsidRPr="00A02F10" w:rsidRDefault="00A02F10" w:rsidP="00A02F10">
                                <w:pPr>
                                  <w:rPr>
                                    <w:rFonts w:ascii="Arial" w:hAnsi="Arial" w:cs="Arial"/>
                                  </w:rPr>
                                </w:pPr>
                                <w:r w:rsidRPr="00A02F10">
                                  <w:rPr>
                                    <w:rFonts w:ascii="Arial" w:hAnsi="Arial" w:cs="Arial"/>
                                  </w:rPr>
                                  <w:t>I would also like to express my gratitude to my lecturers and academic staff for their knowledge, guidance and encouragement that I received during my studies.</w:t>
                                </w:r>
                              </w:p>
                              <w:p w14:paraId="6E3CD5EC" w14:textId="03949ECF" w:rsidR="00A02F10" w:rsidRPr="00A02F10" w:rsidRDefault="00A02F10" w:rsidP="00A02F10">
                                <w:pPr>
                                  <w:rPr>
                                    <w:rFonts w:ascii="Arial" w:hAnsi="Arial" w:cs="Arial"/>
                                  </w:rPr>
                                </w:pPr>
                                <w:r w:rsidRPr="00A02F10">
                                  <w:rPr>
                                    <w:rFonts w:ascii="Arial" w:hAnsi="Arial" w:cs="Arial"/>
                                  </w:rPr>
                                  <w:t xml:space="preserve">Last, but not least, I would like to thank my </w:t>
                                </w:r>
                                <w:r w:rsidR="00946500">
                                  <w:rPr>
                                    <w:rFonts w:ascii="Arial" w:hAnsi="Arial" w:cs="Arial"/>
                                  </w:rPr>
                                  <w:t>family</w:t>
                                </w:r>
                                <w:r w:rsidRPr="00A02F10">
                                  <w:rPr>
                                    <w:rFonts w:ascii="Arial" w:hAnsi="Arial" w:cs="Arial"/>
                                  </w:rPr>
                                  <w:t>, friends and all those who made my studies successful. Their patience, encouragement and emotional support helped me stay motivated and committed in this challenging part of this research.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C7E974" id="_x0000_t202" coordsize="21600,21600" o:spt="202" path="m,l,21600r21600,l21600,xe">
                    <v:stroke joinstyle="miter"/>
                    <v:path gradientshapeok="t" o:connecttype="rect"/>
                  </v:shapetype>
                  <v:shape id="_x0000_s1028" type="#_x0000_t202" style="position:absolute;margin-left:-7pt;margin-top:0;width:481pt;height:45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">
                    <v:textbox>
                      <w:txbxContent>
                        <w:p w14:paraId="5355D4E4" w14:textId="5FD5BC62" w:rsidR="00A02F10" w:rsidRPr="00A02F10" w:rsidRDefault="00A02F10" w:rsidP="00A02F10">
                          <w:pPr>
                            <w:jc w:val="center"/>
                            <w:rPr>
                              <w:rFonts w:ascii="Arial" w:hAnsi="Arial" w:cs="Arial"/>
                              <w:b/>
                              <w:bCs/>
                            </w:rPr>
                          </w:pPr>
                          <w:r w:rsidRPr="00A02F10">
                            <w:rPr>
                              <w:rFonts w:ascii="Arial" w:hAnsi="Arial" w:cs="Arial"/>
                              <w:b/>
                              <w:bCs/>
                            </w:rPr>
                            <w:t>Acknowledgement</w:t>
                          </w:r>
                        </w:p>
                        <w:p w14:paraId="1ED515B5" w14:textId="77777777" w:rsidR="00A02F10" w:rsidRPr="00A02F10" w:rsidRDefault="00A02F10" w:rsidP="00A02F10">
                          <w:pPr>
                            <w:rPr>
                              <w:rFonts w:ascii="Arial" w:hAnsi="Arial" w:cs="Arial"/>
                            </w:rPr>
                          </w:pPr>
                        </w:p>
                        <w:p w14:paraId="14EF931D" w14:textId="20F41426" w:rsidR="00A02F10" w:rsidRPr="00A02F10" w:rsidRDefault="00A02F10" w:rsidP="00A02F10">
                          <w:pPr>
                            <w:rPr>
                              <w:rFonts w:ascii="Arial" w:hAnsi="Arial" w:cs="Arial"/>
                            </w:rPr>
                          </w:pPr>
                          <w:r w:rsidRPr="00A02F10">
                            <w:rPr>
                              <w:rFonts w:ascii="Arial" w:hAnsi="Arial" w:cs="Arial"/>
                            </w:rPr>
                            <w:t>I am grateful to all those who helped and supported me in the completion of this dissertation and I wish to express my gratitude to them sincerely.</w:t>
                          </w:r>
                        </w:p>
                        <w:p w14:paraId="76F27160" w14:textId="5AF708EA" w:rsidR="00A02F10" w:rsidRPr="00A02F10" w:rsidRDefault="00A02F10" w:rsidP="00A02F10">
                          <w:pPr>
                            <w:rPr>
                              <w:rFonts w:ascii="Arial" w:hAnsi="Arial" w:cs="Arial"/>
                            </w:rPr>
                          </w:pPr>
                          <w:r w:rsidRPr="00A02F10">
                            <w:rPr>
                              <w:rFonts w:ascii="Arial" w:hAnsi="Arial" w:cs="Arial"/>
                            </w:rPr>
                            <w:t xml:space="preserve">I would like to express my gratitude to my supervisor, </w:t>
                          </w:r>
                          <w:r w:rsidR="00A91B5C" w:rsidRPr="00A91B5C">
                            <w:t xml:space="preserve">Ejike </w:t>
                          </w:r>
                          <w:r w:rsidR="00CF27DF" w:rsidRPr="00A91B5C">
                            <w:t>Udeogu,</w:t>
                          </w:r>
                          <w:r w:rsidRPr="00A02F10">
                            <w:rPr>
                              <w:rFonts w:ascii="Arial" w:hAnsi="Arial" w:cs="Arial"/>
                            </w:rPr>
                            <w:t xml:space="preserve"> for his</w:t>
                          </w:r>
                          <w:r w:rsidR="00A91B5C">
                            <w:rPr>
                              <w:rFonts w:ascii="Arial" w:hAnsi="Arial" w:cs="Arial"/>
                            </w:rPr>
                            <w:t xml:space="preserve"> </w:t>
                          </w:r>
                          <w:r w:rsidRPr="00A02F10">
                            <w:rPr>
                              <w:rFonts w:ascii="Arial" w:hAnsi="Arial" w:cs="Arial"/>
                            </w:rPr>
                            <w:t>invaluable guidance, constructive feedback, encouragement and support during this research. Their guidance and critical feedback aided the evolution and development of this dissertation.</w:t>
                          </w:r>
                        </w:p>
                        <w:p w14:paraId="35E9BC19" w14:textId="24D1BEB0" w:rsidR="00A02F10" w:rsidRPr="00A02F10" w:rsidRDefault="00A02F10" w:rsidP="00A02F10">
                          <w:pPr>
                            <w:rPr>
                              <w:rFonts w:ascii="Arial" w:hAnsi="Arial" w:cs="Arial"/>
                            </w:rPr>
                          </w:pPr>
                          <w:r w:rsidRPr="00A02F10">
                            <w:rPr>
                              <w:rFonts w:ascii="Arial" w:hAnsi="Arial" w:cs="Arial"/>
                            </w:rPr>
                            <w:t xml:space="preserve">I would also like to thank </w:t>
                          </w:r>
                          <w:r w:rsidRPr="00CF27DF">
                            <w:rPr>
                              <w:rFonts w:ascii="Arial" w:hAnsi="Arial" w:cs="Arial"/>
                            </w:rPr>
                            <w:t>Universit</w:t>
                          </w:r>
                          <w:r w:rsidR="00D91350" w:rsidRPr="00CF27DF">
                            <w:rPr>
                              <w:rFonts w:ascii="Arial" w:hAnsi="Arial" w:cs="Arial"/>
                            </w:rPr>
                            <w:t xml:space="preserve">y of Wales Trinity Saint </w:t>
                          </w:r>
                          <w:r w:rsidR="000868EE" w:rsidRPr="00CF27DF">
                            <w:rPr>
                              <w:rFonts w:ascii="Arial" w:hAnsi="Arial" w:cs="Arial"/>
                            </w:rPr>
                            <w:t>David,</w:t>
                          </w:r>
                          <w:r w:rsidR="00CF27DF" w:rsidRPr="00CF27DF">
                            <w:rPr>
                              <w:rFonts w:ascii="Arial" w:hAnsi="Arial" w:cs="Arial"/>
                            </w:rPr>
                            <w:t xml:space="preserve"> MBA</w:t>
                          </w:r>
                          <w:r w:rsidR="00D91350" w:rsidRPr="00CF27DF">
                            <w:rPr>
                              <w:rFonts w:ascii="Arial" w:hAnsi="Arial" w:cs="Arial"/>
                            </w:rPr>
                            <w:t xml:space="preserve"> in International Business</w:t>
                          </w:r>
                          <w:r w:rsidRPr="00104298">
                            <w:rPr>
                              <w:rFonts w:ascii="Arial" w:hAnsi="Arial" w:cs="Arial"/>
                              <w:b/>
                              <w:bCs/>
                            </w:rPr>
                            <w:t xml:space="preserve"> </w:t>
                          </w:r>
                          <w:r w:rsidR="00A91B5C" w:rsidRPr="00A91B5C">
                            <w:rPr>
                              <w:rFonts w:ascii="Arial" w:hAnsi="Arial" w:cs="Arial"/>
                            </w:rPr>
                            <w:t>department</w:t>
                          </w:r>
                          <w:r w:rsidR="00A91B5C">
                            <w:rPr>
                              <w:rFonts w:ascii="Arial" w:hAnsi="Arial" w:cs="Arial"/>
                              <w:b/>
                              <w:bCs/>
                            </w:rPr>
                            <w:t xml:space="preserve"> </w:t>
                          </w:r>
                          <w:r w:rsidRPr="00A02F10">
                            <w:rPr>
                              <w:rFonts w:ascii="Arial" w:hAnsi="Arial" w:cs="Arial"/>
                            </w:rPr>
                            <w:t>for giving me the environment, resources and opportunities to accomplish this study successfully.</w:t>
                          </w:r>
                        </w:p>
                        <w:p w14:paraId="0F995D97" w14:textId="34160F44" w:rsidR="00A02F10" w:rsidRPr="00A02F10" w:rsidRDefault="00A02F10" w:rsidP="00A02F10">
                          <w:pPr>
                            <w:rPr>
                              <w:rFonts w:ascii="Arial" w:hAnsi="Arial" w:cs="Arial"/>
                            </w:rPr>
                          </w:pPr>
                          <w:r w:rsidRPr="00A02F10">
                            <w:rPr>
                              <w:rFonts w:ascii="Arial" w:hAnsi="Arial" w:cs="Arial"/>
                            </w:rPr>
                            <w:t>I wish to thank all those who published, researched, reported and documented the evidence and academic research for this dissertation. They helped me to develop a deeper appreciation of the concept of CSR and its evolution in the UK food retailing industry.</w:t>
                          </w:r>
                        </w:p>
                        <w:p w14:paraId="125D2D56" w14:textId="4D548389" w:rsidR="00A02F10" w:rsidRPr="00A02F10" w:rsidRDefault="00A02F10" w:rsidP="00A02F10">
                          <w:pPr>
                            <w:rPr>
                              <w:rFonts w:ascii="Arial" w:hAnsi="Arial" w:cs="Arial"/>
                            </w:rPr>
                          </w:pPr>
                          <w:r w:rsidRPr="00A02F10">
                            <w:rPr>
                              <w:rFonts w:ascii="Arial" w:hAnsi="Arial" w:cs="Arial"/>
                            </w:rPr>
                            <w:t>I would also like to express my gratitude to my lecturers and academic staff for their knowledge, guidance and encouragement that I received during my studies.</w:t>
                          </w:r>
                        </w:p>
                        <w:p w14:paraId="6E3CD5EC" w14:textId="03949ECF" w:rsidR="00A02F10" w:rsidRPr="00A02F10" w:rsidRDefault="00A02F10" w:rsidP="00A02F10">
                          <w:pPr>
                            <w:rPr>
                              <w:rFonts w:ascii="Arial" w:hAnsi="Arial" w:cs="Arial"/>
                            </w:rPr>
                          </w:pPr>
                          <w:r w:rsidRPr="00A02F10">
                            <w:rPr>
                              <w:rFonts w:ascii="Arial" w:hAnsi="Arial" w:cs="Arial"/>
                            </w:rPr>
                            <w:t xml:space="preserve">Last, but not least, I would like to thank my </w:t>
                          </w:r>
                          <w:r w:rsidR="00946500">
                            <w:rPr>
                              <w:rFonts w:ascii="Arial" w:hAnsi="Arial" w:cs="Arial"/>
                            </w:rPr>
                            <w:t>family</w:t>
                          </w:r>
                          <w:r w:rsidRPr="00A02F10">
                            <w:rPr>
                              <w:rFonts w:ascii="Arial" w:hAnsi="Arial" w:cs="Arial"/>
                            </w:rPr>
                            <w:t>, friends and all those who made my studies successful. Their patience, encouragement and emotional support helped me stay motivated and committed in this challenging part of this research.</w:t>
                          </w:r>
                        </w:p>
                      </w:txbxContent>
                    </v:textbox>
                    <w10:wrap type="square"/>
                  </v:shape>
                </w:pict>
              </mc:Fallback>
            </mc:AlternateContent>
          </w:r>
          <w:r>
            <w:br w:type="page"/>
          </w:r>
          <w:r w:rsidR="00207829">
            <w:rPr>
              <w:noProof/>
            </w:rPr>
            <w:lastRenderedPageBreak/>
            <mc:AlternateContent>
              <mc:Choice Requires="wps">
                <w:drawing>
                  <wp:anchor distT="45720" distB="45720" distL="114300" distR="114300" simplePos="0" relativeHeight="251668480" behindDoc="0" locked="0" layoutInCell="1" allowOverlap="1" wp14:anchorId="5914FBB6" wp14:editId="321EAE86">
                    <wp:simplePos x="0" y="0"/>
                    <wp:positionH relativeFrom="margin">
                      <wp:posOffset>-514350</wp:posOffset>
                    </wp:positionH>
                    <wp:positionV relativeFrom="paragraph">
                      <wp:posOffset>0</wp:posOffset>
                    </wp:positionV>
                    <wp:extent cx="6985000" cy="8204200"/>
                    <wp:effectExtent l="0" t="0" r="25400" b="25400"/>
                    <wp:wrapSquare wrapText="bothSides"/>
                    <wp:docPr id="17687257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0" cy="8204200"/>
                            </a:xfrm>
                            <a:prstGeom prst="rect">
                              <a:avLst/>
                            </a:prstGeom>
                            <a:solidFill>
                              <a:srgbClr val="FFFFFF"/>
                            </a:solidFill>
                            <a:ln w="9525">
                              <a:solidFill>
                                <a:srgbClr val="000000"/>
                              </a:solidFill>
                              <a:miter lim="800000"/>
                              <a:headEnd/>
                              <a:tailEnd/>
                            </a:ln>
                          </wps:spPr>
                          <wps:txbx>
                            <w:txbxContent>
                              <w:p w14:paraId="42F0CAE1" w14:textId="26D19099" w:rsidR="00207829" w:rsidRPr="00207829" w:rsidRDefault="00207829" w:rsidP="00207829">
                                <w:pPr>
                                  <w:spacing w:line="276" w:lineRule="auto"/>
                                  <w:jc w:val="center"/>
                                  <w:rPr>
                                    <w:rFonts w:ascii="Arial" w:hAnsi="Arial" w:cs="Arial"/>
                                    <w:b/>
                                    <w:bCs/>
                                  </w:rPr>
                                </w:pPr>
                                <w:r w:rsidRPr="00207829">
                                  <w:rPr>
                                    <w:rFonts w:ascii="Arial" w:hAnsi="Arial" w:cs="Arial"/>
                                    <w:b/>
                                    <w:bCs/>
                                  </w:rPr>
                                  <w:t>Abstract</w:t>
                                </w:r>
                              </w:p>
                              <w:p w14:paraId="6D6E35D3" w14:textId="5986BBBE" w:rsidR="00207829" w:rsidRPr="00207829" w:rsidRDefault="00207829" w:rsidP="00207829">
                                <w:pPr>
                                  <w:spacing w:line="276" w:lineRule="auto"/>
                                  <w:rPr>
                                    <w:rFonts w:ascii="Arial" w:hAnsi="Arial" w:cs="Arial"/>
                                  </w:rPr>
                                </w:pPr>
                                <w:r w:rsidRPr="00207829">
                                  <w:rPr>
                                    <w:rFonts w:ascii="Arial" w:hAnsi="Arial" w:cs="Arial"/>
                                  </w:rPr>
                                  <w:t>This dissertation will discuss the development of CSR in UK food retailing from symbolic disclosure to its substantive integration within the business from 2005 to 2025 and how far this development has reached. The study assesses CSR based on five dimensions: environment, ethical sourcing, employee welfare, community involvement and customer responsibility; all of which are one step further than the benchmark set by Jones et al. (2005). It also takes into account new priorities such as Scope 3 emissions, circular economy, public health and pandemic related resilience, as well as modern slavery.</w:t>
                                </w:r>
                              </w:p>
                              <w:p w14:paraId="6C2F5582" w14:textId="50A50D4E" w:rsidR="00207829" w:rsidRPr="00207829" w:rsidRDefault="00207829" w:rsidP="00207829">
                                <w:pPr>
                                  <w:spacing w:line="276" w:lineRule="auto"/>
                                  <w:rPr>
                                    <w:rFonts w:ascii="Arial" w:hAnsi="Arial" w:cs="Arial"/>
                                  </w:rPr>
                                </w:pPr>
                                <w:r w:rsidRPr="00207829">
                                  <w:rPr>
                                    <w:rFonts w:ascii="Arial" w:hAnsi="Arial" w:cs="Arial"/>
                                  </w:rPr>
                                  <w:t>With the secondary documentary data, a qualitative multiple-case study method was used, which covers two time periods: baseline (2003-2007) and contemporary CSR practice (2020-2025). Thematic content analysis of corporate reports, sustainability disclosures, Modern Slavery Statements, regulatory documents, evidence from third parties and other relevant sources. Five criteria that were identified in literature were used to assess the CSR practices, namely verifiability, measurability, accountability, integration and comparability. The study also takes into account the differences between mainstream, discount and cooperative retail business model using the stakeholder theory, institutional theory and shared value creation.</w:t>
                                </w:r>
                              </w:p>
                              <w:p w14:paraId="15A0DF17" w14:textId="30B4CB67" w:rsidR="00207829" w:rsidRPr="00207829" w:rsidRDefault="00207829" w:rsidP="00207829">
                                <w:pPr>
                                  <w:spacing w:line="276" w:lineRule="auto"/>
                                  <w:rPr>
                                    <w:rFonts w:ascii="Arial" w:hAnsi="Arial" w:cs="Arial"/>
                                  </w:rPr>
                                </w:pPr>
                                <w:r w:rsidRPr="00207829">
                                  <w:rPr>
                                    <w:rFonts w:ascii="Arial" w:hAnsi="Arial" w:cs="Arial"/>
                                  </w:rPr>
                                  <w:t>The results show that since the mid-2000s, CSR has significantly evolved in terms of its institutionalization and professionalization through the development of board-level governance, formal CSR strategies, reporting systems and environmental measures that can be quantified. But there has been no uniform operational change due to this institutionalisation. There is more substantive progress in relation to environmental management (Scope 1 and 2 emissions), energy efficiency, refrigeration and packaging. Compared to this, the measurement, verifiability, and accountability of Scope 3 transformation, worker remediation, living wages, community outcomes and whole-portfolio public-health transformation are less consistent. The analysis also reveals that business models have an impact on CSR priorities and capacity, but that pressures at the sector level remain significant.</w:t>
                                </w:r>
                              </w:p>
                              <w:p w14:paraId="468BDE52" w14:textId="579B1F8A" w:rsidR="00207829" w:rsidRPr="00207829" w:rsidRDefault="00207829" w:rsidP="00207829">
                                <w:pPr>
                                  <w:spacing w:line="276" w:lineRule="auto"/>
                                  <w:rPr>
                                    <w:rFonts w:ascii="Arial" w:hAnsi="Arial" w:cs="Arial"/>
                                  </w:rPr>
                                </w:pPr>
                                <w:r w:rsidRPr="00207829">
                                  <w:rPr>
                                    <w:rFonts w:ascii="Arial" w:hAnsi="Arial" w:cs="Arial"/>
                                  </w:rPr>
                                  <w:t>The overall conclusion from the study is that symbolic and substantive CSR are found in UK food retail. The sector is far beyond simple CSR (what was seen in the 2005 baseline), but the level of transformation varies. More outcome-based reporting, independent verification, stakeholder engagement, credible targets and enhanced accountability mechanisms are thus needed to boost the credibility and substantive effectiveness of CSR.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4FBB6" id="_x0000_s1029" type="#_x0000_t202" style="position:absolute;margin-left:-40.5pt;margin-top:0;width:550pt;height:646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">
                    <v:textbox>
                      <w:txbxContent>
                        <w:p w14:paraId="42F0CAE1" w14:textId="26D19099" w:rsidR="00207829" w:rsidRPr="00207829" w:rsidRDefault="00207829" w:rsidP="00207829">
                          <w:pPr>
                            <w:spacing w:line="276" w:lineRule="auto"/>
                            <w:jc w:val="center"/>
                            <w:rPr>
                              <w:rFonts w:ascii="Arial" w:hAnsi="Arial" w:cs="Arial"/>
                              <w:b/>
                              <w:bCs/>
                            </w:rPr>
                          </w:pPr>
                          <w:r w:rsidRPr="00207829">
                            <w:rPr>
                              <w:rFonts w:ascii="Arial" w:hAnsi="Arial" w:cs="Arial"/>
                              <w:b/>
                              <w:bCs/>
                            </w:rPr>
                            <w:t>Abstract</w:t>
                          </w:r>
                        </w:p>
                        <w:p w14:paraId="6D6E35D3" w14:textId="5986BBBE" w:rsidR="00207829" w:rsidRPr="00207829" w:rsidRDefault="00207829" w:rsidP="00207829">
                          <w:pPr>
                            <w:spacing w:line="276" w:lineRule="auto"/>
                            <w:rPr>
                              <w:rFonts w:ascii="Arial" w:hAnsi="Arial" w:cs="Arial"/>
                            </w:rPr>
                          </w:pPr>
                          <w:r w:rsidRPr="00207829">
                            <w:rPr>
                              <w:rFonts w:ascii="Arial" w:hAnsi="Arial" w:cs="Arial"/>
                            </w:rPr>
                            <w:t>This dissertation will discuss the development of CSR in UK food retailing from symbolic disclosure to its substantive integration within the business from 2005 to 2025 and how far this development has reached. The study assesses CSR based on five dimensions: environment, ethical sourcing, employee welfare, community involvement and customer responsibility; all of which are one step further than the benchmark set by Jones et al. (2005). It also takes into account new priorities such as Scope 3 emissions, circular economy, public health and pandemic related resilience, as well as modern slavery.</w:t>
                          </w:r>
                        </w:p>
                        <w:p w14:paraId="6C2F5582" w14:textId="50A50D4E" w:rsidR="00207829" w:rsidRPr="00207829" w:rsidRDefault="00207829" w:rsidP="00207829">
                          <w:pPr>
                            <w:spacing w:line="276" w:lineRule="auto"/>
                            <w:rPr>
                              <w:rFonts w:ascii="Arial" w:hAnsi="Arial" w:cs="Arial"/>
                            </w:rPr>
                          </w:pPr>
                          <w:r w:rsidRPr="00207829">
                            <w:rPr>
                              <w:rFonts w:ascii="Arial" w:hAnsi="Arial" w:cs="Arial"/>
                            </w:rPr>
                            <w:t>With the secondary documentary data, a qualitative multiple-case study method was used, which covers two time periods: baseline (2003-2007) and contemporary CSR practice (2020-2025). Thematic content analysis of corporate reports, sustainability disclosures, Modern Slavery Statements, regulatory documents, evidence from third parties and other relevant sources. Five criteria that were identified in literature were used to assess the CSR practices, namely verifiability, measurability, accountability, integration and comparability. The study also takes into account the differences between mainstream, discount and cooperative retail business model using the stakeholder theory, institutional theory and shared value creation.</w:t>
                          </w:r>
                        </w:p>
                        <w:p w14:paraId="15A0DF17" w14:textId="30B4CB67" w:rsidR="00207829" w:rsidRPr="00207829" w:rsidRDefault="00207829" w:rsidP="00207829">
                          <w:pPr>
                            <w:spacing w:line="276" w:lineRule="auto"/>
                            <w:rPr>
                              <w:rFonts w:ascii="Arial" w:hAnsi="Arial" w:cs="Arial"/>
                            </w:rPr>
                          </w:pPr>
                          <w:r w:rsidRPr="00207829">
                            <w:rPr>
                              <w:rFonts w:ascii="Arial" w:hAnsi="Arial" w:cs="Arial"/>
                            </w:rPr>
                            <w:t xml:space="preserve">The results show that since the mid-2000s, CSR has significantly evolved in terms of its institutionalization and professionalization through the development of board-level governance, formal CSR strategies, reporting systems and environmental measures that can be quantified. But there has been no uniform operational change due to this </w:t>
                          </w:r>
                          <w:proofErr w:type="spellStart"/>
                          <w:r w:rsidRPr="00207829">
                            <w:rPr>
                              <w:rFonts w:ascii="Arial" w:hAnsi="Arial" w:cs="Arial"/>
                            </w:rPr>
                            <w:t>institutionalisation</w:t>
                          </w:r>
                          <w:proofErr w:type="spellEnd"/>
                          <w:r w:rsidRPr="00207829">
                            <w:rPr>
                              <w:rFonts w:ascii="Arial" w:hAnsi="Arial" w:cs="Arial"/>
                            </w:rPr>
                            <w:t>. There is more substantive progress in relation to environmental management (Scope 1 and 2 emissions), energy efficiency, refrigeration and packaging. Compared to this, the measurement, verifiability, and accountability of Scope 3 transformation, worker remediation, living wages, community outcomes and whole-portfolio public-health transformation are less consistent. The analysis also reveals that business models have an impact on CSR priorities and capacity, but that pressures at the sector level remain significant.</w:t>
                          </w:r>
                        </w:p>
                        <w:p w14:paraId="468BDE52" w14:textId="579B1F8A" w:rsidR="00207829" w:rsidRPr="00207829" w:rsidRDefault="00207829" w:rsidP="00207829">
                          <w:pPr>
                            <w:spacing w:line="276" w:lineRule="auto"/>
                            <w:rPr>
                              <w:rFonts w:ascii="Arial" w:hAnsi="Arial" w:cs="Arial"/>
                            </w:rPr>
                          </w:pPr>
                          <w:r w:rsidRPr="00207829">
                            <w:rPr>
                              <w:rFonts w:ascii="Arial" w:hAnsi="Arial" w:cs="Arial"/>
                            </w:rPr>
                            <w:t>The overall conclusion from the study is that symbolic and substantive CSR are found in UK food retail. The sector is far beyond simple CSR (what was seen in the 2005 baseline), but the level of transformation varies. More outcome-based reporting, independent verification, stakeholder engagement, credible targets and enhanced accountability mechanisms are thus needed to boost the credibility and substantive effectiveness of CSR.</w:t>
                          </w:r>
                        </w:p>
                      </w:txbxContent>
                    </v:textbox>
                    <w10:wrap type="square" anchorx="margin"/>
                  </v:shape>
                </w:pict>
              </mc:Fallback>
            </mc:AlternateContent>
          </w:r>
          <w:r w:rsidR="00207829">
            <w:br w:type="page"/>
          </w:r>
        </w:p>
        <w:p w14:paraId="5B5216AB" w14:textId="3DEC9286" w:rsidR="00CD1D85" w:rsidRDefault="00CD1D85" w:rsidP="00CD1D85">
          <w:pPr>
            <w:pStyle w:val="TOCHeading"/>
            <w:jc w:val="center"/>
          </w:pPr>
          <w:r>
            <w:lastRenderedPageBreak/>
            <w:t>Table of Contents</w:t>
          </w:r>
        </w:p>
        <w:p w14:paraId="27DD312F" w14:textId="392F3743" w:rsidR="0031327F" w:rsidRDefault="00CD1D8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8725151" w:history="1">
            <w:r w:rsidR="0031327F" w:rsidRPr="00C70E1D">
              <w:rPr>
                <w:rStyle w:val="Hyperlink"/>
                <w:rFonts w:ascii="Arial" w:hAnsi="Arial" w:cs="Arial"/>
                <w:noProof/>
              </w:rPr>
              <w:t>Chapter 1: Introduction</w:t>
            </w:r>
            <w:r w:rsidR="0031327F">
              <w:rPr>
                <w:noProof/>
                <w:webHidden/>
              </w:rPr>
              <w:tab/>
            </w:r>
            <w:r w:rsidR="0031327F">
              <w:rPr>
                <w:noProof/>
                <w:webHidden/>
              </w:rPr>
              <w:fldChar w:fldCharType="begin"/>
            </w:r>
            <w:r w:rsidR="0031327F">
              <w:rPr>
                <w:noProof/>
                <w:webHidden/>
              </w:rPr>
              <w:instrText xml:space="preserve"> PAGEREF _Toc238725151 \h </w:instrText>
            </w:r>
            <w:r w:rsidR="0031327F">
              <w:rPr>
                <w:noProof/>
                <w:webHidden/>
              </w:rPr>
            </w:r>
            <w:r w:rsidR="0031327F">
              <w:rPr>
                <w:noProof/>
                <w:webHidden/>
              </w:rPr>
              <w:fldChar w:fldCharType="separate"/>
            </w:r>
            <w:r w:rsidR="0031327F">
              <w:rPr>
                <w:noProof/>
                <w:webHidden/>
              </w:rPr>
              <w:t>8</w:t>
            </w:r>
            <w:r w:rsidR="0031327F">
              <w:rPr>
                <w:noProof/>
                <w:webHidden/>
              </w:rPr>
              <w:fldChar w:fldCharType="end"/>
            </w:r>
          </w:hyperlink>
        </w:p>
        <w:p w14:paraId="6BB4B057" w14:textId="2373B32D" w:rsidR="0031327F" w:rsidRDefault="0031327F">
          <w:pPr>
            <w:pStyle w:val="TOC2"/>
            <w:tabs>
              <w:tab w:val="right" w:leader="dot" w:pos="9350"/>
            </w:tabs>
            <w:rPr>
              <w:rFonts w:eastAsiaTheme="minorEastAsia"/>
              <w:noProof/>
            </w:rPr>
          </w:pPr>
          <w:hyperlink w:anchor="_Toc238725152" w:history="1">
            <w:r w:rsidRPr="00C70E1D">
              <w:rPr>
                <w:rStyle w:val="Hyperlink"/>
                <w:rFonts w:ascii="Arial" w:hAnsi="Arial" w:cs="Arial"/>
                <w:noProof/>
              </w:rPr>
              <w:t>1.1 Background and Problem Statement</w:t>
            </w:r>
            <w:r>
              <w:rPr>
                <w:noProof/>
                <w:webHidden/>
              </w:rPr>
              <w:tab/>
            </w:r>
            <w:r>
              <w:rPr>
                <w:noProof/>
                <w:webHidden/>
              </w:rPr>
              <w:fldChar w:fldCharType="begin"/>
            </w:r>
            <w:r>
              <w:rPr>
                <w:noProof/>
                <w:webHidden/>
              </w:rPr>
              <w:instrText xml:space="preserve"> PAGEREF _Toc238725152 \h </w:instrText>
            </w:r>
            <w:r>
              <w:rPr>
                <w:noProof/>
                <w:webHidden/>
              </w:rPr>
            </w:r>
            <w:r>
              <w:rPr>
                <w:noProof/>
                <w:webHidden/>
              </w:rPr>
              <w:fldChar w:fldCharType="separate"/>
            </w:r>
            <w:r>
              <w:rPr>
                <w:noProof/>
                <w:webHidden/>
              </w:rPr>
              <w:t>8</w:t>
            </w:r>
            <w:r>
              <w:rPr>
                <w:noProof/>
                <w:webHidden/>
              </w:rPr>
              <w:fldChar w:fldCharType="end"/>
            </w:r>
          </w:hyperlink>
        </w:p>
        <w:p w14:paraId="0DDDDDE6" w14:textId="26C9913C" w:rsidR="0031327F" w:rsidRDefault="0031327F">
          <w:pPr>
            <w:pStyle w:val="TOC2"/>
            <w:tabs>
              <w:tab w:val="right" w:leader="dot" w:pos="9350"/>
            </w:tabs>
            <w:rPr>
              <w:rFonts w:eastAsiaTheme="minorEastAsia"/>
              <w:noProof/>
            </w:rPr>
          </w:pPr>
          <w:hyperlink w:anchor="_Toc238725153" w:history="1">
            <w:r w:rsidRPr="00C70E1D">
              <w:rPr>
                <w:rStyle w:val="Hyperlink"/>
                <w:rFonts w:ascii="Arial" w:hAnsi="Arial" w:cs="Arial"/>
                <w:noProof/>
              </w:rPr>
              <w:t>1.2 Research Aim</w:t>
            </w:r>
            <w:r>
              <w:rPr>
                <w:noProof/>
                <w:webHidden/>
              </w:rPr>
              <w:tab/>
            </w:r>
            <w:r>
              <w:rPr>
                <w:noProof/>
                <w:webHidden/>
              </w:rPr>
              <w:fldChar w:fldCharType="begin"/>
            </w:r>
            <w:r>
              <w:rPr>
                <w:noProof/>
                <w:webHidden/>
              </w:rPr>
              <w:instrText xml:space="preserve"> PAGEREF _Toc238725153 \h </w:instrText>
            </w:r>
            <w:r>
              <w:rPr>
                <w:noProof/>
                <w:webHidden/>
              </w:rPr>
            </w:r>
            <w:r>
              <w:rPr>
                <w:noProof/>
                <w:webHidden/>
              </w:rPr>
              <w:fldChar w:fldCharType="separate"/>
            </w:r>
            <w:r>
              <w:rPr>
                <w:noProof/>
                <w:webHidden/>
              </w:rPr>
              <w:t>9</w:t>
            </w:r>
            <w:r>
              <w:rPr>
                <w:noProof/>
                <w:webHidden/>
              </w:rPr>
              <w:fldChar w:fldCharType="end"/>
            </w:r>
          </w:hyperlink>
        </w:p>
        <w:p w14:paraId="13968C29" w14:textId="1EDBE61A" w:rsidR="0031327F" w:rsidRDefault="0031327F">
          <w:pPr>
            <w:pStyle w:val="TOC2"/>
            <w:tabs>
              <w:tab w:val="right" w:leader="dot" w:pos="9350"/>
            </w:tabs>
            <w:rPr>
              <w:rFonts w:eastAsiaTheme="minorEastAsia"/>
              <w:noProof/>
            </w:rPr>
          </w:pPr>
          <w:hyperlink w:anchor="_Toc238725154" w:history="1">
            <w:r w:rsidRPr="00C70E1D">
              <w:rPr>
                <w:rStyle w:val="Hyperlink"/>
                <w:rFonts w:ascii="Arial" w:hAnsi="Arial" w:cs="Arial"/>
                <w:noProof/>
              </w:rPr>
              <w:t>1.3 Research Objectives</w:t>
            </w:r>
            <w:r>
              <w:rPr>
                <w:noProof/>
                <w:webHidden/>
              </w:rPr>
              <w:tab/>
            </w:r>
            <w:r>
              <w:rPr>
                <w:noProof/>
                <w:webHidden/>
              </w:rPr>
              <w:fldChar w:fldCharType="begin"/>
            </w:r>
            <w:r>
              <w:rPr>
                <w:noProof/>
                <w:webHidden/>
              </w:rPr>
              <w:instrText xml:space="preserve"> PAGEREF _Toc238725154 \h </w:instrText>
            </w:r>
            <w:r>
              <w:rPr>
                <w:noProof/>
                <w:webHidden/>
              </w:rPr>
            </w:r>
            <w:r>
              <w:rPr>
                <w:noProof/>
                <w:webHidden/>
              </w:rPr>
              <w:fldChar w:fldCharType="separate"/>
            </w:r>
            <w:r>
              <w:rPr>
                <w:noProof/>
                <w:webHidden/>
              </w:rPr>
              <w:t>9</w:t>
            </w:r>
            <w:r>
              <w:rPr>
                <w:noProof/>
                <w:webHidden/>
              </w:rPr>
              <w:fldChar w:fldCharType="end"/>
            </w:r>
          </w:hyperlink>
        </w:p>
        <w:p w14:paraId="118BBEF0" w14:textId="17451A7E" w:rsidR="0031327F" w:rsidRDefault="0031327F">
          <w:pPr>
            <w:pStyle w:val="TOC2"/>
            <w:tabs>
              <w:tab w:val="right" w:leader="dot" w:pos="9350"/>
            </w:tabs>
            <w:rPr>
              <w:rFonts w:eastAsiaTheme="minorEastAsia"/>
              <w:noProof/>
            </w:rPr>
          </w:pPr>
          <w:hyperlink w:anchor="_Toc238725155" w:history="1">
            <w:r w:rsidRPr="00C70E1D">
              <w:rPr>
                <w:rStyle w:val="Hyperlink"/>
                <w:rFonts w:ascii="Arial" w:hAnsi="Arial" w:cs="Arial"/>
                <w:noProof/>
              </w:rPr>
              <w:t>1.4 Research Questions</w:t>
            </w:r>
            <w:r>
              <w:rPr>
                <w:noProof/>
                <w:webHidden/>
              </w:rPr>
              <w:tab/>
            </w:r>
            <w:r>
              <w:rPr>
                <w:noProof/>
                <w:webHidden/>
              </w:rPr>
              <w:fldChar w:fldCharType="begin"/>
            </w:r>
            <w:r>
              <w:rPr>
                <w:noProof/>
                <w:webHidden/>
              </w:rPr>
              <w:instrText xml:space="preserve"> PAGEREF _Toc238725155 \h </w:instrText>
            </w:r>
            <w:r>
              <w:rPr>
                <w:noProof/>
                <w:webHidden/>
              </w:rPr>
            </w:r>
            <w:r>
              <w:rPr>
                <w:noProof/>
                <w:webHidden/>
              </w:rPr>
              <w:fldChar w:fldCharType="separate"/>
            </w:r>
            <w:r>
              <w:rPr>
                <w:noProof/>
                <w:webHidden/>
              </w:rPr>
              <w:t>10</w:t>
            </w:r>
            <w:r>
              <w:rPr>
                <w:noProof/>
                <w:webHidden/>
              </w:rPr>
              <w:fldChar w:fldCharType="end"/>
            </w:r>
          </w:hyperlink>
        </w:p>
        <w:p w14:paraId="3928BFF3" w14:textId="5509F4F5" w:rsidR="0031327F" w:rsidRDefault="0031327F">
          <w:pPr>
            <w:pStyle w:val="TOC2"/>
            <w:tabs>
              <w:tab w:val="right" w:leader="dot" w:pos="9350"/>
            </w:tabs>
            <w:rPr>
              <w:rFonts w:eastAsiaTheme="minorEastAsia"/>
              <w:noProof/>
            </w:rPr>
          </w:pPr>
          <w:hyperlink w:anchor="_Toc238725156" w:history="1">
            <w:r w:rsidRPr="00C70E1D">
              <w:rPr>
                <w:rStyle w:val="Hyperlink"/>
                <w:rFonts w:ascii="Arial" w:hAnsi="Arial" w:cs="Arial"/>
                <w:noProof/>
              </w:rPr>
              <w:t>1.5 Significance / Relevance of Study</w:t>
            </w:r>
            <w:r>
              <w:rPr>
                <w:noProof/>
                <w:webHidden/>
              </w:rPr>
              <w:tab/>
            </w:r>
            <w:r>
              <w:rPr>
                <w:noProof/>
                <w:webHidden/>
              </w:rPr>
              <w:fldChar w:fldCharType="begin"/>
            </w:r>
            <w:r>
              <w:rPr>
                <w:noProof/>
                <w:webHidden/>
              </w:rPr>
              <w:instrText xml:space="preserve"> PAGEREF _Toc238725156 \h </w:instrText>
            </w:r>
            <w:r>
              <w:rPr>
                <w:noProof/>
                <w:webHidden/>
              </w:rPr>
            </w:r>
            <w:r>
              <w:rPr>
                <w:noProof/>
                <w:webHidden/>
              </w:rPr>
              <w:fldChar w:fldCharType="separate"/>
            </w:r>
            <w:r>
              <w:rPr>
                <w:noProof/>
                <w:webHidden/>
              </w:rPr>
              <w:t>10</w:t>
            </w:r>
            <w:r>
              <w:rPr>
                <w:noProof/>
                <w:webHidden/>
              </w:rPr>
              <w:fldChar w:fldCharType="end"/>
            </w:r>
          </w:hyperlink>
        </w:p>
        <w:p w14:paraId="6B58A10B" w14:textId="00A2DE3B" w:rsidR="0031327F" w:rsidRDefault="0031327F">
          <w:pPr>
            <w:pStyle w:val="TOC2"/>
            <w:tabs>
              <w:tab w:val="right" w:leader="dot" w:pos="9350"/>
            </w:tabs>
            <w:rPr>
              <w:rFonts w:eastAsiaTheme="minorEastAsia"/>
              <w:noProof/>
            </w:rPr>
          </w:pPr>
          <w:hyperlink w:anchor="_Toc238725157" w:history="1">
            <w:r w:rsidRPr="00C70E1D">
              <w:rPr>
                <w:rStyle w:val="Hyperlink"/>
                <w:rFonts w:ascii="Arial" w:hAnsi="Arial" w:cs="Arial"/>
                <w:noProof/>
              </w:rPr>
              <w:t>1.6 Brief Research Methodology</w:t>
            </w:r>
            <w:r>
              <w:rPr>
                <w:noProof/>
                <w:webHidden/>
              </w:rPr>
              <w:tab/>
            </w:r>
            <w:r>
              <w:rPr>
                <w:noProof/>
                <w:webHidden/>
              </w:rPr>
              <w:fldChar w:fldCharType="begin"/>
            </w:r>
            <w:r>
              <w:rPr>
                <w:noProof/>
                <w:webHidden/>
              </w:rPr>
              <w:instrText xml:space="preserve"> PAGEREF _Toc238725157 \h </w:instrText>
            </w:r>
            <w:r>
              <w:rPr>
                <w:noProof/>
                <w:webHidden/>
              </w:rPr>
            </w:r>
            <w:r>
              <w:rPr>
                <w:noProof/>
                <w:webHidden/>
              </w:rPr>
              <w:fldChar w:fldCharType="separate"/>
            </w:r>
            <w:r>
              <w:rPr>
                <w:noProof/>
                <w:webHidden/>
              </w:rPr>
              <w:t>11</w:t>
            </w:r>
            <w:r>
              <w:rPr>
                <w:noProof/>
                <w:webHidden/>
              </w:rPr>
              <w:fldChar w:fldCharType="end"/>
            </w:r>
          </w:hyperlink>
        </w:p>
        <w:p w14:paraId="4227260C" w14:textId="06619402" w:rsidR="0031327F" w:rsidRDefault="0031327F">
          <w:pPr>
            <w:pStyle w:val="TOC2"/>
            <w:tabs>
              <w:tab w:val="right" w:leader="dot" w:pos="9350"/>
            </w:tabs>
            <w:rPr>
              <w:rFonts w:eastAsiaTheme="minorEastAsia"/>
              <w:noProof/>
            </w:rPr>
          </w:pPr>
          <w:hyperlink w:anchor="_Toc238725158" w:history="1">
            <w:r w:rsidRPr="00C70E1D">
              <w:rPr>
                <w:rStyle w:val="Hyperlink"/>
                <w:rFonts w:ascii="Arial" w:hAnsi="Arial" w:cs="Arial"/>
                <w:noProof/>
              </w:rPr>
              <w:t>1.7 Structure of the Rest of the Project</w:t>
            </w:r>
            <w:r>
              <w:rPr>
                <w:noProof/>
                <w:webHidden/>
              </w:rPr>
              <w:tab/>
            </w:r>
            <w:r>
              <w:rPr>
                <w:noProof/>
                <w:webHidden/>
              </w:rPr>
              <w:fldChar w:fldCharType="begin"/>
            </w:r>
            <w:r>
              <w:rPr>
                <w:noProof/>
                <w:webHidden/>
              </w:rPr>
              <w:instrText xml:space="preserve"> PAGEREF _Toc238725158 \h </w:instrText>
            </w:r>
            <w:r>
              <w:rPr>
                <w:noProof/>
                <w:webHidden/>
              </w:rPr>
            </w:r>
            <w:r>
              <w:rPr>
                <w:noProof/>
                <w:webHidden/>
              </w:rPr>
              <w:fldChar w:fldCharType="separate"/>
            </w:r>
            <w:r>
              <w:rPr>
                <w:noProof/>
                <w:webHidden/>
              </w:rPr>
              <w:t>12</w:t>
            </w:r>
            <w:r>
              <w:rPr>
                <w:noProof/>
                <w:webHidden/>
              </w:rPr>
              <w:fldChar w:fldCharType="end"/>
            </w:r>
          </w:hyperlink>
        </w:p>
        <w:p w14:paraId="72EB685B" w14:textId="5637436D" w:rsidR="0031327F" w:rsidRDefault="0031327F">
          <w:pPr>
            <w:pStyle w:val="TOC1"/>
            <w:tabs>
              <w:tab w:val="right" w:leader="dot" w:pos="9350"/>
            </w:tabs>
            <w:rPr>
              <w:rFonts w:eastAsiaTheme="minorEastAsia"/>
              <w:noProof/>
            </w:rPr>
          </w:pPr>
          <w:hyperlink w:anchor="_Toc238725159" w:history="1">
            <w:r w:rsidRPr="00C70E1D">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_Toc238725159 \h </w:instrText>
            </w:r>
            <w:r>
              <w:rPr>
                <w:noProof/>
                <w:webHidden/>
              </w:rPr>
            </w:r>
            <w:r>
              <w:rPr>
                <w:noProof/>
                <w:webHidden/>
              </w:rPr>
              <w:fldChar w:fldCharType="separate"/>
            </w:r>
            <w:r>
              <w:rPr>
                <w:noProof/>
                <w:webHidden/>
              </w:rPr>
              <w:t>13</w:t>
            </w:r>
            <w:r>
              <w:rPr>
                <w:noProof/>
                <w:webHidden/>
              </w:rPr>
              <w:fldChar w:fldCharType="end"/>
            </w:r>
          </w:hyperlink>
        </w:p>
        <w:p w14:paraId="4C0F6EA2" w14:textId="44A90711" w:rsidR="0031327F" w:rsidRDefault="0031327F">
          <w:pPr>
            <w:pStyle w:val="TOC2"/>
            <w:tabs>
              <w:tab w:val="right" w:leader="dot" w:pos="9350"/>
            </w:tabs>
            <w:rPr>
              <w:rFonts w:eastAsiaTheme="minorEastAsia"/>
              <w:noProof/>
            </w:rPr>
          </w:pPr>
          <w:hyperlink w:anchor="_Toc238725160" w:history="1">
            <w:r w:rsidRPr="00C70E1D">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_Toc238725160 \h </w:instrText>
            </w:r>
            <w:r>
              <w:rPr>
                <w:noProof/>
                <w:webHidden/>
              </w:rPr>
            </w:r>
            <w:r>
              <w:rPr>
                <w:noProof/>
                <w:webHidden/>
              </w:rPr>
              <w:fldChar w:fldCharType="separate"/>
            </w:r>
            <w:r>
              <w:rPr>
                <w:noProof/>
                <w:webHidden/>
              </w:rPr>
              <w:t>13</w:t>
            </w:r>
            <w:r>
              <w:rPr>
                <w:noProof/>
                <w:webHidden/>
              </w:rPr>
              <w:fldChar w:fldCharType="end"/>
            </w:r>
          </w:hyperlink>
        </w:p>
        <w:p w14:paraId="07141532" w14:textId="242C7DD1" w:rsidR="0031327F" w:rsidRDefault="0031327F">
          <w:pPr>
            <w:pStyle w:val="TOC2"/>
            <w:tabs>
              <w:tab w:val="right" w:leader="dot" w:pos="9350"/>
            </w:tabs>
            <w:rPr>
              <w:rFonts w:eastAsiaTheme="minorEastAsia"/>
              <w:noProof/>
            </w:rPr>
          </w:pPr>
          <w:hyperlink w:anchor="_Toc238725161" w:history="1">
            <w:r w:rsidRPr="00C70E1D">
              <w:rPr>
                <w:rStyle w:val="Hyperlink"/>
                <w:rFonts w:ascii="Arial" w:hAnsi="Arial" w:cs="Arial"/>
                <w:noProof/>
              </w:rPr>
              <w:t>2.2 Research Areas/Topics: Systematic Review Table</w:t>
            </w:r>
            <w:r>
              <w:rPr>
                <w:noProof/>
                <w:webHidden/>
              </w:rPr>
              <w:tab/>
            </w:r>
            <w:r>
              <w:rPr>
                <w:noProof/>
                <w:webHidden/>
              </w:rPr>
              <w:fldChar w:fldCharType="begin"/>
            </w:r>
            <w:r>
              <w:rPr>
                <w:noProof/>
                <w:webHidden/>
              </w:rPr>
              <w:instrText xml:space="preserve"> PAGEREF _Toc238725161 \h </w:instrText>
            </w:r>
            <w:r>
              <w:rPr>
                <w:noProof/>
                <w:webHidden/>
              </w:rPr>
            </w:r>
            <w:r>
              <w:rPr>
                <w:noProof/>
                <w:webHidden/>
              </w:rPr>
              <w:fldChar w:fldCharType="separate"/>
            </w:r>
            <w:r>
              <w:rPr>
                <w:noProof/>
                <w:webHidden/>
              </w:rPr>
              <w:t>14</w:t>
            </w:r>
            <w:r>
              <w:rPr>
                <w:noProof/>
                <w:webHidden/>
              </w:rPr>
              <w:fldChar w:fldCharType="end"/>
            </w:r>
          </w:hyperlink>
        </w:p>
        <w:p w14:paraId="287DD890" w14:textId="092B47C3" w:rsidR="0031327F" w:rsidRDefault="0031327F">
          <w:pPr>
            <w:pStyle w:val="TOC2"/>
            <w:tabs>
              <w:tab w:val="right" w:leader="dot" w:pos="9350"/>
            </w:tabs>
            <w:rPr>
              <w:rFonts w:eastAsiaTheme="minorEastAsia"/>
              <w:noProof/>
            </w:rPr>
          </w:pPr>
          <w:hyperlink w:anchor="_Toc238725162" w:history="1">
            <w:r w:rsidRPr="00C70E1D">
              <w:rPr>
                <w:rStyle w:val="Hyperlink"/>
                <w:rFonts w:ascii="Arial" w:hAnsi="Arial" w:cs="Arial"/>
                <w:noProof/>
              </w:rPr>
              <w:t>2.3 Thematic Synthesis and Critical Analysis</w:t>
            </w:r>
            <w:r>
              <w:rPr>
                <w:noProof/>
                <w:webHidden/>
              </w:rPr>
              <w:tab/>
            </w:r>
            <w:r>
              <w:rPr>
                <w:noProof/>
                <w:webHidden/>
              </w:rPr>
              <w:fldChar w:fldCharType="begin"/>
            </w:r>
            <w:r>
              <w:rPr>
                <w:noProof/>
                <w:webHidden/>
              </w:rPr>
              <w:instrText xml:space="preserve"> PAGEREF _Toc238725162 \h </w:instrText>
            </w:r>
            <w:r>
              <w:rPr>
                <w:noProof/>
                <w:webHidden/>
              </w:rPr>
            </w:r>
            <w:r>
              <w:rPr>
                <w:noProof/>
                <w:webHidden/>
              </w:rPr>
              <w:fldChar w:fldCharType="separate"/>
            </w:r>
            <w:r>
              <w:rPr>
                <w:noProof/>
                <w:webHidden/>
              </w:rPr>
              <w:t>36</w:t>
            </w:r>
            <w:r>
              <w:rPr>
                <w:noProof/>
                <w:webHidden/>
              </w:rPr>
              <w:fldChar w:fldCharType="end"/>
            </w:r>
          </w:hyperlink>
        </w:p>
        <w:p w14:paraId="7EE9C508" w14:textId="4FDE85D3" w:rsidR="0031327F" w:rsidRDefault="0031327F">
          <w:pPr>
            <w:pStyle w:val="TOC3"/>
            <w:tabs>
              <w:tab w:val="right" w:leader="dot" w:pos="9350"/>
            </w:tabs>
            <w:rPr>
              <w:rFonts w:eastAsiaTheme="minorEastAsia"/>
              <w:noProof/>
            </w:rPr>
          </w:pPr>
          <w:hyperlink w:anchor="_Toc238725163" w:history="1">
            <w:r w:rsidRPr="00C70E1D">
              <w:rPr>
                <w:rStyle w:val="Hyperlink"/>
                <w:rFonts w:ascii="Arial" w:hAnsi="Arial" w:cs="Arial"/>
                <w:noProof/>
              </w:rPr>
              <w:t>2.3.1 Theoretical Frameworks of CSR: Stakeholder Theory, Institutional Theory, and Shared Value Creation</w:t>
            </w:r>
            <w:r>
              <w:rPr>
                <w:noProof/>
                <w:webHidden/>
              </w:rPr>
              <w:tab/>
            </w:r>
            <w:r>
              <w:rPr>
                <w:noProof/>
                <w:webHidden/>
              </w:rPr>
              <w:fldChar w:fldCharType="begin"/>
            </w:r>
            <w:r>
              <w:rPr>
                <w:noProof/>
                <w:webHidden/>
              </w:rPr>
              <w:instrText xml:space="preserve"> PAGEREF _Toc238725163 \h </w:instrText>
            </w:r>
            <w:r>
              <w:rPr>
                <w:noProof/>
                <w:webHidden/>
              </w:rPr>
            </w:r>
            <w:r>
              <w:rPr>
                <w:noProof/>
                <w:webHidden/>
              </w:rPr>
              <w:fldChar w:fldCharType="separate"/>
            </w:r>
            <w:r>
              <w:rPr>
                <w:noProof/>
                <w:webHidden/>
              </w:rPr>
              <w:t>36</w:t>
            </w:r>
            <w:r>
              <w:rPr>
                <w:noProof/>
                <w:webHidden/>
              </w:rPr>
              <w:fldChar w:fldCharType="end"/>
            </w:r>
          </w:hyperlink>
        </w:p>
        <w:p w14:paraId="6938B100" w14:textId="4D32761E" w:rsidR="0031327F" w:rsidRDefault="0031327F">
          <w:pPr>
            <w:pStyle w:val="TOC3"/>
            <w:tabs>
              <w:tab w:val="right" w:leader="dot" w:pos="9350"/>
            </w:tabs>
            <w:rPr>
              <w:rFonts w:eastAsiaTheme="minorEastAsia"/>
              <w:noProof/>
            </w:rPr>
          </w:pPr>
          <w:hyperlink w:anchor="_Toc238725164" w:history="1">
            <w:r w:rsidRPr="00C70E1D">
              <w:rPr>
                <w:rStyle w:val="Hyperlink"/>
                <w:rFonts w:ascii="Arial" w:hAnsi="Arial" w:cs="Arial"/>
                <w:noProof/>
              </w:rPr>
              <w:t>2.3.2 The Substantive-Symbolic CSR Continuum and Greenwashing</w:t>
            </w:r>
            <w:r>
              <w:rPr>
                <w:noProof/>
                <w:webHidden/>
              </w:rPr>
              <w:tab/>
            </w:r>
            <w:r>
              <w:rPr>
                <w:noProof/>
                <w:webHidden/>
              </w:rPr>
              <w:fldChar w:fldCharType="begin"/>
            </w:r>
            <w:r>
              <w:rPr>
                <w:noProof/>
                <w:webHidden/>
              </w:rPr>
              <w:instrText xml:space="preserve"> PAGEREF _Toc238725164 \h </w:instrText>
            </w:r>
            <w:r>
              <w:rPr>
                <w:noProof/>
                <w:webHidden/>
              </w:rPr>
            </w:r>
            <w:r>
              <w:rPr>
                <w:noProof/>
                <w:webHidden/>
              </w:rPr>
              <w:fldChar w:fldCharType="separate"/>
            </w:r>
            <w:r>
              <w:rPr>
                <w:noProof/>
                <w:webHidden/>
              </w:rPr>
              <w:t>37</w:t>
            </w:r>
            <w:r>
              <w:rPr>
                <w:noProof/>
                <w:webHidden/>
              </w:rPr>
              <w:fldChar w:fldCharType="end"/>
            </w:r>
          </w:hyperlink>
        </w:p>
        <w:p w14:paraId="3EEB38D2" w14:textId="6B933EB5" w:rsidR="0031327F" w:rsidRDefault="0031327F">
          <w:pPr>
            <w:pStyle w:val="TOC3"/>
            <w:tabs>
              <w:tab w:val="right" w:leader="dot" w:pos="9350"/>
            </w:tabs>
            <w:rPr>
              <w:rFonts w:eastAsiaTheme="minorEastAsia"/>
              <w:noProof/>
            </w:rPr>
          </w:pPr>
          <w:hyperlink w:anchor="_Toc238725165" w:history="1">
            <w:r w:rsidRPr="00C70E1D">
              <w:rPr>
                <w:rStyle w:val="Hyperlink"/>
                <w:rFonts w:ascii="Arial" w:hAnsi="Arial" w:cs="Arial"/>
                <w:noProof/>
              </w:rPr>
              <w:t>2.3.3 Business Model Differentiation and CSR Implementation</w:t>
            </w:r>
            <w:r>
              <w:rPr>
                <w:noProof/>
                <w:webHidden/>
              </w:rPr>
              <w:tab/>
            </w:r>
            <w:r>
              <w:rPr>
                <w:noProof/>
                <w:webHidden/>
              </w:rPr>
              <w:fldChar w:fldCharType="begin"/>
            </w:r>
            <w:r>
              <w:rPr>
                <w:noProof/>
                <w:webHidden/>
              </w:rPr>
              <w:instrText xml:space="preserve"> PAGEREF _Toc238725165 \h </w:instrText>
            </w:r>
            <w:r>
              <w:rPr>
                <w:noProof/>
                <w:webHidden/>
              </w:rPr>
            </w:r>
            <w:r>
              <w:rPr>
                <w:noProof/>
                <w:webHidden/>
              </w:rPr>
              <w:fldChar w:fldCharType="separate"/>
            </w:r>
            <w:r>
              <w:rPr>
                <w:noProof/>
                <w:webHidden/>
              </w:rPr>
              <w:t>39</w:t>
            </w:r>
            <w:r>
              <w:rPr>
                <w:noProof/>
                <w:webHidden/>
              </w:rPr>
              <w:fldChar w:fldCharType="end"/>
            </w:r>
          </w:hyperlink>
        </w:p>
        <w:p w14:paraId="60EFB8BD" w14:textId="5AA3BB0B" w:rsidR="0031327F" w:rsidRDefault="0031327F">
          <w:pPr>
            <w:pStyle w:val="TOC3"/>
            <w:tabs>
              <w:tab w:val="right" w:leader="dot" w:pos="9350"/>
            </w:tabs>
            <w:rPr>
              <w:rFonts w:eastAsiaTheme="minorEastAsia"/>
              <w:noProof/>
            </w:rPr>
          </w:pPr>
          <w:hyperlink w:anchor="_Toc238725166" w:history="1">
            <w:r w:rsidRPr="00C70E1D">
              <w:rPr>
                <w:rStyle w:val="Hyperlink"/>
                <w:rFonts w:ascii="Arial" w:hAnsi="Arial" w:cs="Arial"/>
                <w:noProof/>
              </w:rPr>
              <w:t>2.3.4 Sectoral Context: Sustainability Challenges in UK Food Retail</w:t>
            </w:r>
            <w:r>
              <w:rPr>
                <w:noProof/>
                <w:webHidden/>
              </w:rPr>
              <w:tab/>
            </w:r>
            <w:r>
              <w:rPr>
                <w:noProof/>
                <w:webHidden/>
              </w:rPr>
              <w:fldChar w:fldCharType="begin"/>
            </w:r>
            <w:r>
              <w:rPr>
                <w:noProof/>
                <w:webHidden/>
              </w:rPr>
              <w:instrText xml:space="preserve"> PAGEREF _Toc238725166 \h </w:instrText>
            </w:r>
            <w:r>
              <w:rPr>
                <w:noProof/>
                <w:webHidden/>
              </w:rPr>
            </w:r>
            <w:r>
              <w:rPr>
                <w:noProof/>
                <w:webHidden/>
              </w:rPr>
              <w:fldChar w:fldCharType="separate"/>
            </w:r>
            <w:r>
              <w:rPr>
                <w:noProof/>
                <w:webHidden/>
              </w:rPr>
              <w:t>40</w:t>
            </w:r>
            <w:r>
              <w:rPr>
                <w:noProof/>
                <w:webHidden/>
              </w:rPr>
              <w:fldChar w:fldCharType="end"/>
            </w:r>
          </w:hyperlink>
        </w:p>
        <w:p w14:paraId="678F0C71" w14:textId="284F2940" w:rsidR="0031327F" w:rsidRDefault="0031327F">
          <w:pPr>
            <w:pStyle w:val="TOC3"/>
            <w:tabs>
              <w:tab w:val="right" w:leader="dot" w:pos="9350"/>
            </w:tabs>
            <w:rPr>
              <w:rFonts w:eastAsiaTheme="minorEastAsia"/>
              <w:noProof/>
            </w:rPr>
          </w:pPr>
          <w:hyperlink w:anchor="_Toc238725167" w:history="1">
            <w:r w:rsidRPr="00C70E1D">
              <w:rPr>
                <w:rStyle w:val="Hyperlink"/>
                <w:rFonts w:ascii="Arial" w:hAnsi="Arial" w:cs="Arial"/>
                <w:noProof/>
              </w:rPr>
              <w:t>2.3.5 CSR Disclosure, Reporting Quality, and Evaluation Methodologies</w:t>
            </w:r>
            <w:r>
              <w:rPr>
                <w:noProof/>
                <w:webHidden/>
              </w:rPr>
              <w:tab/>
            </w:r>
            <w:r>
              <w:rPr>
                <w:noProof/>
                <w:webHidden/>
              </w:rPr>
              <w:fldChar w:fldCharType="begin"/>
            </w:r>
            <w:r>
              <w:rPr>
                <w:noProof/>
                <w:webHidden/>
              </w:rPr>
              <w:instrText xml:space="preserve"> PAGEREF _Toc238725167 \h </w:instrText>
            </w:r>
            <w:r>
              <w:rPr>
                <w:noProof/>
                <w:webHidden/>
              </w:rPr>
            </w:r>
            <w:r>
              <w:rPr>
                <w:noProof/>
                <w:webHidden/>
              </w:rPr>
              <w:fldChar w:fldCharType="separate"/>
            </w:r>
            <w:r>
              <w:rPr>
                <w:noProof/>
                <w:webHidden/>
              </w:rPr>
              <w:t>42</w:t>
            </w:r>
            <w:r>
              <w:rPr>
                <w:noProof/>
                <w:webHidden/>
              </w:rPr>
              <w:fldChar w:fldCharType="end"/>
            </w:r>
          </w:hyperlink>
        </w:p>
        <w:p w14:paraId="75DD2676" w14:textId="72E2BF1F" w:rsidR="0031327F" w:rsidRDefault="0031327F">
          <w:pPr>
            <w:pStyle w:val="TOC3"/>
            <w:tabs>
              <w:tab w:val="right" w:leader="dot" w:pos="9350"/>
            </w:tabs>
            <w:rPr>
              <w:rFonts w:eastAsiaTheme="minorEastAsia"/>
              <w:noProof/>
            </w:rPr>
          </w:pPr>
          <w:hyperlink w:anchor="_Toc238725168" w:history="1">
            <w:r w:rsidRPr="00C70E1D">
              <w:rPr>
                <w:rStyle w:val="Hyperlink"/>
                <w:rFonts w:ascii="Arial" w:hAnsi="Arial" w:cs="Arial"/>
                <w:noProof/>
              </w:rPr>
              <w:t>2.3.6 Identified Research Gaps</w:t>
            </w:r>
            <w:r>
              <w:rPr>
                <w:noProof/>
                <w:webHidden/>
              </w:rPr>
              <w:tab/>
            </w:r>
            <w:r>
              <w:rPr>
                <w:noProof/>
                <w:webHidden/>
              </w:rPr>
              <w:fldChar w:fldCharType="begin"/>
            </w:r>
            <w:r>
              <w:rPr>
                <w:noProof/>
                <w:webHidden/>
              </w:rPr>
              <w:instrText xml:space="preserve"> PAGEREF _Toc238725168 \h </w:instrText>
            </w:r>
            <w:r>
              <w:rPr>
                <w:noProof/>
                <w:webHidden/>
              </w:rPr>
            </w:r>
            <w:r>
              <w:rPr>
                <w:noProof/>
                <w:webHidden/>
              </w:rPr>
              <w:fldChar w:fldCharType="separate"/>
            </w:r>
            <w:r>
              <w:rPr>
                <w:noProof/>
                <w:webHidden/>
              </w:rPr>
              <w:t>43</w:t>
            </w:r>
            <w:r>
              <w:rPr>
                <w:noProof/>
                <w:webHidden/>
              </w:rPr>
              <w:fldChar w:fldCharType="end"/>
            </w:r>
          </w:hyperlink>
        </w:p>
        <w:p w14:paraId="40196DC9" w14:textId="2BFC4460" w:rsidR="0031327F" w:rsidRDefault="0031327F">
          <w:pPr>
            <w:pStyle w:val="TOC2"/>
            <w:tabs>
              <w:tab w:val="right" w:leader="dot" w:pos="9350"/>
            </w:tabs>
            <w:rPr>
              <w:rFonts w:eastAsiaTheme="minorEastAsia"/>
              <w:noProof/>
            </w:rPr>
          </w:pPr>
          <w:hyperlink w:anchor="_Toc238725169" w:history="1">
            <w:r w:rsidRPr="00C70E1D">
              <w:rPr>
                <w:rStyle w:val="Hyperlink"/>
                <w:rFonts w:ascii="Arial" w:hAnsi="Arial" w:cs="Arial"/>
                <w:noProof/>
              </w:rPr>
              <w:t>2.4 Conceptual Framework</w:t>
            </w:r>
            <w:r>
              <w:rPr>
                <w:noProof/>
                <w:webHidden/>
              </w:rPr>
              <w:tab/>
            </w:r>
            <w:r>
              <w:rPr>
                <w:noProof/>
                <w:webHidden/>
              </w:rPr>
              <w:fldChar w:fldCharType="begin"/>
            </w:r>
            <w:r>
              <w:rPr>
                <w:noProof/>
                <w:webHidden/>
              </w:rPr>
              <w:instrText xml:space="preserve"> PAGEREF _Toc238725169 \h </w:instrText>
            </w:r>
            <w:r>
              <w:rPr>
                <w:noProof/>
                <w:webHidden/>
              </w:rPr>
            </w:r>
            <w:r>
              <w:rPr>
                <w:noProof/>
                <w:webHidden/>
              </w:rPr>
              <w:fldChar w:fldCharType="separate"/>
            </w:r>
            <w:r>
              <w:rPr>
                <w:noProof/>
                <w:webHidden/>
              </w:rPr>
              <w:t>44</w:t>
            </w:r>
            <w:r>
              <w:rPr>
                <w:noProof/>
                <w:webHidden/>
              </w:rPr>
              <w:fldChar w:fldCharType="end"/>
            </w:r>
          </w:hyperlink>
        </w:p>
        <w:p w14:paraId="2A9587AC" w14:textId="7E91584F" w:rsidR="0031327F" w:rsidRDefault="0031327F">
          <w:pPr>
            <w:pStyle w:val="TOC2"/>
            <w:tabs>
              <w:tab w:val="right" w:leader="dot" w:pos="9350"/>
            </w:tabs>
            <w:rPr>
              <w:rFonts w:eastAsiaTheme="minorEastAsia"/>
              <w:noProof/>
            </w:rPr>
          </w:pPr>
          <w:hyperlink w:anchor="_Toc238725170" w:history="1">
            <w:r w:rsidRPr="00C70E1D">
              <w:rPr>
                <w:rStyle w:val="Hyperlink"/>
                <w:rFonts w:ascii="Arial" w:hAnsi="Arial" w:cs="Arial"/>
                <w:noProof/>
              </w:rPr>
              <w:t>2.5 Conclusion</w:t>
            </w:r>
            <w:r>
              <w:rPr>
                <w:noProof/>
                <w:webHidden/>
              </w:rPr>
              <w:tab/>
            </w:r>
            <w:r>
              <w:rPr>
                <w:noProof/>
                <w:webHidden/>
              </w:rPr>
              <w:fldChar w:fldCharType="begin"/>
            </w:r>
            <w:r>
              <w:rPr>
                <w:noProof/>
                <w:webHidden/>
              </w:rPr>
              <w:instrText xml:space="preserve"> PAGEREF _Toc238725170 \h </w:instrText>
            </w:r>
            <w:r>
              <w:rPr>
                <w:noProof/>
                <w:webHidden/>
              </w:rPr>
            </w:r>
            <w:r>
              <w:rPr>
                <w:noProof/>
                <w:webHidden/>
              </w:rPr>
              <w:fldChar w:fldCharType="separate"/>
            </w:r>
            <w:r>
              <w:rPr>
                <w:noProof/>
                <w:webHidden/>
              </w:rPr>
              <w:t>45</w:t>
            </w:r>
            <w:r>
              <w:rPr>
                <w:noProof/>
                <w:webHidden/>
              </w:rPr>
              <w:fldChar w:fldCharType="end"/>
            </w:r>
          </w:hyperlink>
        </w:p>
        <w:p w14:paraId="4582882F" w14:textId="791AC525" w:rsidR="0031327F" w:rsidRDefault="0031327F">
          <w:pPr>
            <w:pStyle w:val="TOC1"/>
            <w:tabs>
              <w:tab w:val="right" w:leader="dot" w:pos="9350"/>
            </w:tabs>
            <w:rPr>
              <w:rFonts w:eastAsiaTheme="minorEastAsia"/>
              <w:noProof/>
            </w:rPr>
          </w:pPr>
          <w:hyperlink w:anchor="_Toc238725171" w:history="1">
            <w:r w:rsidRPr="00C70E1D">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_Toc238725171 \h </w:instrText>
            </w:r>
            <w:r>
              <w:rPr>
                <w:noProof/>
                <w:webHidden/>
              </w:rPr>
            </w:r>
            <w:r>
              <w:rPr>
                <w:noProof/>
                <w:webHidden/>
              </w:rPr>
              <w:fldChar w:fldCharType="separate"/>
            </w:r>
            <w:r>
              <w:rPr>
                <w:noProof/>
                <w:webHidden/>
              </w:rPr>
              <w:t>47</w:t>
            </w:r>
            <w:r>
              <w:rPr>
                <w:noProof/>
                <w:webHidden/>
              </w:rPr>
              <w:fldChar w:fldCharType="end"/>
            </w:r>
          </w:hyperlink>
        </w:p>
        <w:p w14:paraId="3BAF3D7B" w14:textId="047B68F8" w:rsidR="0031327F" w:rsidRDefault="0031327F">
          <w:pPr>
            <w:pStyle w:val="TOC2"/>
            <w:tabs>
              <w:tab w:val="right" w:leader="dot" w:pos="9350"/>
            </w:tabs>
            <w:rPr>
              <w:rFonts w:eastAsiaTheme="minorEastAsia"/>
              <w:noProof/>
            </w:rPr>
          </w:pPr>
          <w:hyperlink w:anchor="_Toc238725172" w:history="1">
            <w:r w:rsidRPr="00C70E1D">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_Toc238725172 \h </w:instrText>
            </w:r>
            <w:r>
              <w:rPr>
                <w:noProof/>
                <w:webHidden/>
              </w:rPr>
            </w:r>
            <w:r>
              <w:rPr>
                <w:noProof/>
                <w:webHidden/>
              </w:rPr>
              <w:fldChar w:fldCharType="separate"/>
            </w:r>
            <w:r>
              <w:rPr>
                <w:noProof/>
                <w:webHidden/>
              </w:rPr>
              <w:t>47</w:t>
            </w:r>
            <w:r>
              <w:rPr>
                <w:noProof/>
                <w:webHidden/>
              </w:rPr>
              <w:fldChar w:fldCharType="end"/>
            </w:r>
          </w:hyperlink>
        </w:p>
        <w:p w14:paraId="4CD65952" w14:textId="19A6DBA4" w:rsidR="0031327F" w:rsidRDefault="0031327F">
          <w:pPr>
            <w:pStyle w:val="TOC2"/>
            <w:tabs>
              <w:tab w:val="right" w:leader="dot" w:pos="9350"/>
            </w:tabs>
            <w:rPr>
              <w:rFonts w:eastAsiaTheme="minorEastAsia"/>
              <w:noProof/>
            </w:rPr>
          </w:pPr>
          <w:hyperlink w:anchor="_Toc238725173" w:history="1">
            <w:r w:rsidRPr="00C70E1D">
              <w:rPr>
                <w:rStyle w:val="Hyperlink"/>
                <w:rFonts w:ascii="Arial" w:hAnsi="Arial" w:cs="Arial"/>
                <w:noProof/>
              </w:rPr>
              <w:t>3.2 The present research adopts a qualitative research approach.</w:t>
            </w:r>
            <w:r>
              <w:rPr>
                <w:noProof/>
                <w:webHidden/>
              </w:rPr>
              <w:tab/>
            </w:r>
            <w:r>
              <w:rPr>
                <w:noProof/>
                <w:webHidden/>
              </w:rPr>
              <w:fldChar w:fldCharType="begin"/>
            </w:r>
            <w:r>
              <w:rPr>
                <w:noProof/>
                <w:webHidden/>
              </w:rPr>
              <w:instrText xml:space="preserve"> PAGEREF _Toc238725173 \h </w:instrText>
            </w:r>
            <w:r>
              <w:rPr>
                <w:noProof/>
                <w:webHidden/>
              </w:rPr>
            </w:r>
            <w:r>
              <w:rPr>
                <w:noProof/>
                <w:webHidden/>
              </w:rPr>
              <w:fldChar w:fldCharType="separate"/>
            </w:r>
            <w:r>
              <w:rPr>
                <w:noProof/>
                <w:webHidden/>
              </w:rPr>
              <w:t>47</w:t>
            </w:r>
            <w:r>
              <w:rPr>
                <w:noProof/>
                <w:webHidden/>
              </w:rPr>
              <w:fldChar w:fldCharType="end"/>
            </w:r>
          </w:hyperlink>
        </w:p>
        <w:p w14:paraId="562D7D1F" w14:textId="380891F1" w:rsidR="0031327F" w:rsidRDefault="0031327F">
          <w:pPr>
            <w:pStyle w:val="TOC3"/>
            <w:tabs>
              <w:tab w:val="right" w:leader="dot" w:pos="9350"/>
            </w:tabs>
            <w:rPr>
              <w:rFonts w:eastAsiaTheme="minorEastAsia"/>
              <w:noProof/>
            </w:rPr>
          </w:pPr>
          <w:hyperlink w:anchor="_Toc238725174" w:history="1">
            <w:r w:rsidRPr="00C70E1D">
              <w:rPr>
                <w:rStyle w:val="Hyperlink"/>
                <w:rFonts w:ascii="Arial" w:hAnsi="Arial" w:cs="Arial"/>
                <w:noProof/>
              </w:rPr>
              <w:t>3.2.1 Ontological Position</w:t>
            </w:r>
            <w:r>
              <w:rPr>
                <w:noProof/>
                <w:webHidden/>
              </w:rPr>
              <w:tab/>
            </w:r>
            <w:r>
              <w:rPr>
                <w:noProof/>
                <w:webHidden/>
              </w:rPr>
              <w:fldChar w:fldCharType="begin"/>
            </w:r>
            <w:r>
              <w:rPr>
                <w:noProof/>
                <w:webHidden/>
              </w:rPr>
              <w:instrText xml:space="preserve"> PAGEREF _Toc238725174 \h </w:instrText>
            </w:r>
            <w:r>
              <w:rPr>
                <w:noProof/>
                <w:webHidden/>
              </w:rPr>
            </w:r>
            <w:r>
              <w:rPr>
                <w:noProof/>
                <w:webHidden/>
              </w:rPr>
              <w:fldChar w:fldCharType="separate"/>
            </w:r>
            <w:r>
              <w:rPr>
                <w:noProof/>
                <w:webHidden/>
              </w:rPr>
              <w:t>47</w:t>
            </w:r>
            <w:r>
              <w:rPr>
                <w:noProof/>
                <w:webHidden/>
              </w:rPr>
              <w:fldChar w:fldCharType="end"/>
            </w:r>
          </w:hyperlink>
        </w:p>
        <w:p w14:paraId="2A260267" w14:textId="3F201B7A" w:rsidR="0031327F" w:rsidRDefault="0031327F">
          <w:pPr>
            <w:pStyle w:val="TOC3"/>
            <w:tabs>
              <w:tab w:val="right" w:leader="dot" w:pos="9350"/>
            </w:tabs>
            <w:rPr>
              <w:rFonts w:eastAsiaTheme="minorEastAsia"/>
              <w:noProof/>
            </w:rPr>
          </w:pPr>
          <w:hyperlink w:anchor="_Toc238725175" w:history="1">
            <w:r w:rsidRPr="00C70E1D">
              <w:rPr>
                <w:rStyle w:val="Hyperlink"/>
                <w:rFonts w:ascii="Arial" w:hAnsi="Arial" w:cs="Arial"/>
                <w:noProof/>
              </w:rPr>
              <w:t>3.2.2 Epistemological Position</w:t>
            </w:r>
            <w:r>
              <w:rPr>
                <w:noProof/>
                <w:webHidden/>
              </w:rPr>
              <w:tab/>
            </w:r>
            <w:r>
              <w:rPr>
                <w:noProof/>
                <w:webHidden/>
              </w:rPr>
              <w:fldChar w:fldCharType="begin"/>
            </w:r>
            <w:r>
              <w:rPr>
                <w:noProof/>
                <w:webHidden/>
              </w:rPr>
              <w:instrText xml:space="preserve"> PAGEREF _Toc238725175 \h </w:instrText>
            </w:r>
            <w:r>
              <w:rPr>
                <w:noProof/>
                <w:webHidden/>
              </w:rPr>
            </w:r>
            <w:r>
              <w:rPr>
                <w:noProof/>
                <w:webHidden/>
              </w:rPr>
              <w:fldChar w:fldCharType="separate"/>
            </w:r>
            <w:r>
              <w:rPr>
                <w:noProof/>
                <w:webHidden/>
              </w:rPr>
              <w:t>48</w:t>
            </w:r>
            <w:r>
              <w:rPr>
                <w:noProof/>
                <w:webHidden/>
              </w:rPr>
              <w:fldChar w:fldCharType="end"/>
            </w:r>
          </w:hyperlink>
        </w:p>
        <w:p w14:paraId="0F36F1BA" w14:textId="7E6FD99B" w:rsidR="0031327F" w:rsidRDefault="0031327F">
          <w:pPr>
            <w:pStyle w:val="TOC3"/>
            <w:tabs>
              <w:tab w:val="right" w:leader="dot" w:pos="9350"/>
            </w:tabs>
            <w:rPr>
              <w:rFonts w:eastAsiaTheme="minorEastAsia"/>
              <w:noProof/>
            </w:rPr>
          </w:pPr>
          <w:hyperlink w:anchor="_Toc238725176" w:history="1">
            <w:r w:rsidRPr="00C70E1D">
              <w:rPr>
                <w:rStyle w:val="Hyperlink"/>
                <w:rFonts w:ascii="Arial" w:hAnsi="Arial" w:cs="Arial"/>
                <w:noProof/>
              </w:rPr>
              <w:t>3.2.3 Axiological Position</w:t>
            </w:r>
            <w:r>
              <w:rPr>
                <w:noProof/>
                <w:webHidden/>
              </w:rPr>
              <w:tab/>
            </w:r>
            <w:r>
              <w:rPr>
                <w:noProof/>
                <w:webHidden/>
              </w:rPr>
              <w:fldChar w:fldCharType="begin"/>
            </w:r>
            <w:r>
              <w:rPr>
                <w:noProof/>
                <w:webHidden/>
              </w:rPr>
              <w:instrText xml:space="preserve"> PAGEREF _Toc238725176 \h </w:instrText>
            </w:r>
            <w:r>
              <w:rPr>
                <w:noProof/>
                <w:webHidden/>
              </w:rPr>
            </w:r>
            <w:r>
              <w:rPr>
                <w:noProof/>
                <w:webHidden/>
              </w:rPr>
              <w:fldChar w:fldCharType="separate"/>
            </w:r>
            <w:r>
              <w:rPr>
                <w:noProof/>
                <w:webHidden/>
              </w:rPr>
              <w:t>49</w:t>
            </w:r>
            <w:r>
              <w:rPr>
                <w:noProof/>
                <w:webHidden/>
              </w:rPr>
              <w:fldChar w:fldCharType="end"/>
            </w:r>
          </w:hyperlink>
        </w:p>
        <w:p w14:paraId="49E42AE9" w14:textId="164B192B" w:rsidR="0031327F" w:rsidRDefault="0031327F">
          <w:pPr>
            <w:pStyle w:val="TOC3"/>
            <w:tabs>
              <w:tab w:val="right" w:leader="dot" w:pos="9350"/>
            </w:tabs>
            <w:rPr>
              <w:rFonts w:eastAsiaTheme="minorEastAsia"/>
              <w:noProof/>
            </w:rPr>
          </w:pPr>
          <w:hyperlink w:anchor="_Toc238725177" w:history="1">
            <w:r w:rsidRPr="00C70E1D">
              <w:rPr>
                <w:rStyle w:val="Hyperlink"/>
                <w:rFonts w:ascii="Arial" w:hAnsi="Arial" w:cs="Arial"/>
                <w:noProof/>
              </w:rPr>
              <w:t>3.2.4 Justification of Interpretivism</w:t>
            </w:r>
            <w:r>
              <w:rPr>
                <w:noProof/>
                <w:webHidden/>
              </w:rPr>
              <w:tab/>
            </w:r>
            <w:r>
              <w:rPr>
                <w:noProof/>
                <w:webHidden/>
              </w:rPr>
              <w:fldChar w:fldCharType="begin"/>
            </w:r>
            <w:r>
              <w:rPr>
                <w:noProof/>
                <w:webHidden/>
              </w:rPr>
              <w:instrText xml:space="preserve"> PAGEREF _Toc238725177 \h </w:instrText>
            </w:r>
            <w:r>
              <w:rPr>
                <w:noProof/>
                <w:webHidden/>
              </w:rPr>
            </w:r>
            <w:r>
              <w:rPr>
                <w:noProof/>
                <w:webHidden/>
              </w:rPr>
              <w:fldChar w:fldCharType="separate"/>
            </w:r>
            <w:r>
              <w:rPr>
                <w:noProof/>
                <w:webHidden/>
              </w:rPr>
              <w:t>49</w:t>
            </w:r>
            <w:r>
              <w:rPr>
                <w:noProof/>
                <w:webHidden/>
              </w:rPr>
              <w:fldChar w:fldCharType="end"/>
            </w:r>
          </w:hyperlink>
        </w:p>
        <w:p w14:paraId="514F0B47" w14:textId="6184478A" w:rsidR="0031327F" w:rsidRDefault="0031327F">
          <w:pPr>
            <w:pStyle w:val="TOC2"/>
            <w:tabs>
              <w:tab w:val="right" w:leader="dot" w:pos="9350"/>
            </w:tabs>
            <w:rPr>
              <w:rFonts w:eastAsiaTheme="minorEastAsia"/>
              <w:noProof/>
            </w:rPr>
          </w:pPr>
          <w:hyperlink w:anchor="_Toc238725178" w:history="1">
            <w:r w:rsidRPr="00C70E1D">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_Toc238725178 \h </w:instrText>
            </w:r>
            <w:r>
              <w:rPr>
                <w:noProof/>
                <w:webHidden/>
              </w:rPr>
            </w:r>
            <w:r>
              <w:rPr>
                <w:noProof/>
                <w:webHidden/>
              </w:rPr>
              <w:fldChar w:fldCharType="separate"/>
            </w:r>
            <w:r>
              <w:rPr>
                <w:noProof/>
                <w:webHidden/>
              </w:rPr>
              <w:t>50</w:t>
            </w:r>
            <w:r>
              <w:rPr>
                <w:noProof/>
                <w:webHidden/>
              </w:rPr>
              <w:fldChar w:fldCharType="end"/>
            </w:r>
          </w:hyperlink>
        </w:p>
        <w:p w14:paraId="60708C71" w14:textId="227A4E97" w:rsidR="0031327F" w:rsidRDefault="0031327F">
          <w:pPr>
            <w:pStyle w:val="TOC3"/>
            <w:tabs>
              <w:tab w:val="right" w:leader="dot" w:pos="9350"/>
            </w:tabs>
            <w:rPr>
              <w:rFonts w:eastAsiaTheme="minorEastAsia"/>
              <w:noProof/>
            </w:rPr>
          </w:pPr>
          <w:hyperlink w:anchor="_Toc238725179" w:history="1">
            <w:r w:rsidRPr="00C70E1D">
              <w:rPr>
                <w:rStyle w:val="Hyperlink"/>
                <w:rFonts w:ascii="Arial" w:hAnsi="Arial" w:cs="Arial"/>
                <w:noProof/>
              </w:rPr>
              <w:t>3.3.1 Justification of Case Study Design</w:t>
            </w:r>
            <w:r>
              <w:rPr>
                <w:noProof/>
                <w:webHidden/>
              </w:rPr>
              <w:tab/>
            </w:r>
            <w:r>
              <w:rPr>
                <w:noProof/>
                <w:webHidden/>
              </w:rPr>
              <w:fldChar w:fldCharType="begin"/>
            </w:r>
            <w:r>
              <w:rPr>
                <w:noProof/>
                <w:webHidden/>
              </w:rPr>
              <w:instrText xml:space="preserve"> PAGEREF _Toc238725179 \h </w:instrText>
            </w:r>
            <w:r>
              <w:rPr>
                <w:noProof/>
                <w:webHidden/>
              </w:rPr>
            </w:r>
            <w:r>
              <w:rPr>
                <w:noProof/>
                <w:webHidden/>
              </w:rPr>
              <w:fldChar w:fldCharType="separate"/>
            </w:r>
            <w:r>
              <w:rPr>
                <w:noProof/>
                <w:webHidden/>
              </w:rPr>
              <w:t>50</w:t>
            </w:r>
            <w:r>
              <w:rPr>
                <w:noProof/>
                <w:webHidden/>
              </w:rPr>
              <w:fldChar w:fldCharType="end"/>
            </w:r>
          </w:hyperlink>
        </w:p>
        <w:p w14:paraId="58C8A93C" w14:textId="452F6E9C" w:rsidR="0031327F" w:rsidRDefault="0031327F">
          <w:pPr>
            <w:pStyle w:val="TOC3"/>
            <w:tabs>
              <w:tab w:val="right" w:leader="dot" w:pos="9350"/>
            </w:tabs>
            <w:rPr>
              <w:rFonts w:eastAsiaTheme="minorEastAsia"/>
              <w:noProof/>
            </w:rPr>
          </w:pPr>
          <w:hyperlink w:anchor="_Toc238725180" w:history="1">
            <w:r w:rsidRPr="00C70E1D">
              <w:rPr>
                <w:rStyle w:val="Hyperlink"/>
                <w:rFonts w:ascii="Arial" w:hAnsi="Arial" w:cs="Arial"/>
                <w:noProof/>
              </w:rPr>
              <w:t>3.3.3 Longitudinal Design and Temporal Comparison</w:t>
            </w:r>
            <w:r>
              <w:rPr>
                <w:noProof/>
                <w:webHidden/>
              </w:rPr>
              <w:tab/>
            </w:r>
            <w:r>
              <w:rPr>
                <w:noProof/>
                <w:webHidden/>
              </w:rPr>
              <w:fldChar w:fldCharType="begin"/>
            </w:r>
            <w:r>
              <w:rPr>
                <w:noProof/>
                <w:webHidden/>
              </w:rPr>
              <w:instrText xml:space="preserve"> PAGEREF _Toc238725180 \h </w:instrText>
            </w:r>
            <w:r>
              <w:rPr>
                <w:noProof/>
                <w:webHidden/>
              </w:rPr>
            </w:r>
            <w:r>
              <w:rPr>
                <w:noProof/>
                <w:webHidden/>
              </w:rPr>
              <w:fldChar w:fldCharType="separate"/>
            </w:r>
            <w:r>
              <w:rPr>
                <w:noProof/>
                <w:webHidden/>
              </w:rPr>
              <w:t>51</w:t>
            </w:r>
            <w:r>
              <w:rPr>
                <w:noProof/>
                <w:webHidden/>
              </w:rPr>
              <w:fldChar w:fldCharType="end"/>
            </w:r>
          </w:hyperlink>
        </w:p>
        <w:p w14:paraId="25114900" w14:textId="4283AA4D" w:rsidR="0031327F" w:rsidRDefault="0031327F">
          <w:pPr>
            <w:pStyle w:val="TOC2"/>
            <w:tabs>
              <w:tab w:val="right" w:leader="dot" w:pos="9350"/>
            </w:tabs>
            <w:rPr>
              <w:rFonts w:eastAsiaTheme="minorEastAsia"/>
              <w:noProof/>
            </w:rPr>
          </w:pPr>
          <w:hyperlink w:anchor="_Toc238725181" w:history="1">
            <w:r w:rsidRPr="00C70E1D">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_Toc238725181 \h </w:instrText>
            </w:r>
            <w:r>
              <w:rPr>
                <w:noProof/>
                <w:webHidden/>
              </w:rPr>
            </w:r>
            <w:r>
              <w:rPr>
                <w:noProof/>
                <w:webHidden/>
              </w:rPr>
              <w:fldChar w:fldCharType="separate"/>
            </w:r>
            <w:r>
              <w:rPr>
                <w:noProof/>
                <w:webHidden/>
              </w:rPr>
              <w:t>52</w:t>
            </w:r>
            <w:r>
              <w:rPr>
                <w:noProof/>
                <w:webHidden/>
              </w:rPr>
              <w:fldChar w:fldCharType="end"/>
            </w:r>
          </w:hyperlink>
        </w:p>
        <w:p w14:paraId="232A558D" w14:textId="5714FD4B" w:rsidR="0031327F" w:rsidRDefault="0031327F">
          <w:pPr>
            <w:pStyle w:val="TOC3"/>
            <w:tabs>
              <w:tab w:val="right" w:leader="dot" w:pos="9350"/>
            </w:tabs>
            <w:rPr>
              <w:rFonts w:eastAsiaTheme="minorEastAsia"/>
              <w:noProof/>
            </w:rPr>
          </w:pPr>
          <w:hyperlink w:anchor="_Toc238725182" w:history="1">
            <w:r w:rsidRPr="00C70E1D">
              <w:rPr>
                <w:rStyle w:val="Hyperlink"/>
                <w:rFonts w:ascii="Arial" w:hAnsi="Arial" w:cs="Arial"/>
                <w:noProof/>
              </w:rPr>
              <w:t>3.5.1 Data Sources</w:t>
            </w:r>
            <w:r>
              <w:rPr>
                <w:noProof/>
                <w:webHidden/>
              </w:rPr>
              <w:tab/>
            </w:r>
            <w:r>
              <w:rPr>
                <w:noProof/>
                <w:webHidden/>
              </w:rPr>
              <w:fldChar w:fldCharType="begin"/>
            </w:r>
            <w:r>
              <w:rPr>
                <w:noProof/>
                <w:webHidden/>
              </w:rPr>
              <w:instrText xml:space="preserve"> PAGEREF _Toc238725182 \h </w:instrText>
            </w:r>
            <w:r>
              <w:rPr>
                <w:noProof/>
                <w:webHidden/>
              </w:rPr>
            </w:r>
            <w:r>
              <w:rPr>
                <w:noProof/>
                <w:webHidden/>
              </w:rPr>
              <w:fldChar w:fldCharType="separate"/>
            </w:r>
            <w:r>
              <w:rPr>
                <w:noProof/>
                <w:webHidden/>
              </w:rPr>
              <w:t>52</w:t>
            </w:r>
            <w:r>
              <w:rPr>
                <w:noProof/>
                <w:webHidden/>
              </w:rPr>
              <w:fldChar w:fldCharType="end"/>
            </w:r>
          </w:hyperlink>
        </w:p>
        <w:p w14:paraId="2A20BFD1" w14:textId="2702833A" w:rsidR="0031327F" w:rsidRDefault="0031327F">
          <w:pPr>
            <w:pStyle w:val="TOC3"/>
            <w:tabs>
              <w:tab w:val="right" w:leader="dot" w:pos="9350"/>
            </w:tabs>
            <w:rPr>
              <w:rFonts w:eastAsiaTheme="minorEastAsia"/>
              <w:noProof/>
            </w:rPr>
          </w:pPr>
          <w:hyperlink w:anchor="_Toc238725183" w:history="1">
            <w:r w:rsidRPr="00C70E1D">
              <w:rPr>
                <w:rStyle w:val="Hyperlink"/>
                <w:rFonts w:ascii="Arial" w:hAnsi="Arial" w:cs="Arial"/>
                <w:noProof/>
              </w:rPr>
              <w:t>3.5.2 Data Collection Process and Documentation</w:t>
            </w:r>
            <w:r>
              <w:rPr>
                <w:noProof/>
                <w:webHidden/>
              </w:rPr>
              <w:tab/>
            </w:r>
            <w:r>
              <w:rPr>
                <w:noProof/>
                <w:webHidden/>
              </w:rPr>
              <w:fldChar w:fldCharType="begin"/>
            </w:r>
            <w:r>
              <w:rPr>
                <w:noProof/>
                <w:webHidden/>
              </w:rPr>
              <w:instrText xml:space="preserve"> PAGEREF _Toc238725183 \h </w:instrText>
            </w:r>
            <w:r>
              <w:rPr>
                <w:noProof/>
                <w:webHidden/>
              </w:rPr>
            </w:r>
            <w:r>
              <w:rPr>
                <w:noProof/>
                <w:webHidden/>
              </w:rPr>
              <w:fldChar w:fldCharType="separate"/>
            </w:r>
            <w:r>
              <w:rPr>
                <w:noProof/>
                <w:webHidden/>
              </w:rPr>
              <w:t>53</w:t>
            </w:r>
            <w:r>
              <w:rPr>
                <w:noProof/>
                <w:webHidden/>
              </w:rPr>
              <w:fldChar w:fldCharType="end"/>
            </w:r>
          </w:hyperlink>
        </w:p>
        <w:p w14:paraId="456B743D" w14:textId="5AECF34F" w:rsidR="0031327F" w:rsidRDefault="0031327F">
          <w:pPr>
            <w:pStyle w:val="TOC3"/>
            <w:tabs>
              <w:tab w:val="right" w:leader="dot" w:pos="9350"/>
            </w:tabs>
            <w:rPr>
              <w:rFonts w:eastAsiaTheme="minorEastAsia"/>
              <w:noProof/>
            </w:rPr>
          </w:pPr>
          <w:hyperlink w:anchor="_Toc238725184" w:history="1">
            <w:r w:rsidRPr="00C70E1D">
              <w:rPr>
                <w:rStyle w:val="Hyperlink"/>
                <w:rFonts w:ascii="Arial" w:hAnsi="Arial" w:cs="Arial"/>
                <w:noProof/>
              </w:rPr>
              <w:t>3.5.3 Justification and Limitations of Secondary Data</w:t>
            </w:r>
            <w:r>
              <w:rPr>
                <w:noProof/>
                <w:webHidden/>
              </w:rPr>
              <w:tab/>
            </w:r>
            <w:r>
              <w:rPr>
                <w:noProof/>
                <w:webHidden/>
              </w:rPr>
              <w:fldChar w:fldCharType="begin"/>
            </w:r>
            <w:r>
              <w:rPr>
                <w:noProof/>
                <w:webHidden/>
              </w:rPr>
              <w:instrText xml:space="preserve"> PAGEREF _Toc238725184 \h </w:instrText>
            </w:r>
            <w:r>
              <w:rPr>
                <w:noProof/>
                <w:webHidden/>
              </w:rPr>
            </w:r>
            <w:r>
              <w:rPr>
                <w:noProof/>
                <w:webHidden/>
              </w:rPr>
              <w:fldChar w:fldCharType="separate"/>
            </w:r>
            <w:r>
              <w:rPr>
                <w:noProof/>
                <w:webHidden/>
              </w:rPr>
              <w:t>54</w:t>
            </w:r>
            <w:r>
              <w:rPr>
                <w:noProof/>
                <w:webHidden/>
              </w:rPr>
              <w:fldChar w:fldCharType="end"/>
            </w:r>
          </w:hyperlink>
        </w:p>
        <w:p w14:paraId="465734A8" w14:textId="4100F465" w:rsidR="0031327F" w:rsidRDefault="0031327F">
          <w:pPr>
            <w:pStyle w:val="TOC2"/>
            <w:tabs>
              <w:tab w:val="right" w:leader="dot" w:pos="9350"/>
            </w:tabs>
            <w:rPr>
              <w:rFonts w:eastAsiaTheme="minorEastAsia"/>
              <w:noProof/>
            </w:rPr>
          </w:pPr>
          <w:hyperlink w:anchor="_Toc238725185" w:history="1">
            <w:r w:rsidRPr="00C70E1D">
              <w:rPr>
                <w:rStyle w:val="Hyperlink"/>
                <w:rFonts w:ascii="Arial" w:hAnsi="Arial" w:cs="Arial"/>
                <w:noProof/>
              </w:rPr>
              <w:t>3.6 Data Analysis Methods</w:t>
            </w:r>
            <w:r>
              <w:rPr>
                <w:noProof/>
                <w:webHidden/>
              </w:rPr>
              <w:tab/>
            </w:r>
            <w:r>
              <w:rPr>
                <w:noProof/>
                <w:webHidden/>
              </w:rPr>
              <w:fldChar w:fldCharType="begin"/>
            </w:r>
            <w:r>
              <w:rPr>
                <w:noProof/>
                <w:webHidden/>
              </w:rPr>
              <w:instrText xml:space="preserve"> PAGEREF _Toc238725185 \h </w:instrText>
            </w:r>
            <w:r>
              <w:rPr>
                <w:noProof/>
                <w:webHidden/>
              </w:rPr>
            </w:r>
            <w:r>
              <w:rPr>
                <w:noProof/>
                <w:webHidden/>
              </w:rPr>
              <w:fldChar w:fldCharType="separate"/>
            </w:r>
            <w:r>
              <w:rPr>
                <w:noProof/>
                <w:webHidden/>
              </w:rPr>
              <w:t>54</w:t>
            </w:r>
            <w:r>
              <w:rPr>
                <w:noProof/>
                <w:webHidden/>
              </w:rPr>
              <w:fldChar w:fldCharType="end"/>
            </w:r>
          </w:hyperlink>
        </w:p>
        <w:p w14:paraId="1A8BEB79" w14:textId="6612ED84" w:rsidR="0031327F" w:rsidRDefault="0031327F">
          <w:pPr>
            <w:pStyle w:val="TOC3"/>
            <w:tabs>
              <w:tab w:val="right" w:leader="dot" w:pos="9350"/>
            </w:tabs>
            <w:rPr>
              <w:rFonts w:eastAsiaTheme="minorEastAsia"/>
              <w:noProof/>
            </w:rPr>
          </w:pPr>
          <w:hyperlink w:anchor="_Toc238725186" w:history="1">
            <w:r w:rsidRPr="00C70E1D">
              <w:rPr>
                <w:rStyle w:val="Hyperlink"/>
                <w:rFonts w:ascii="Arial" w:hAnsi="Arial" w:cs="Arial"/>
                <w:noProof/>
              </w:rPr>
              <w:t>3.6.1 Analytical Framework</w:t>
            </w:r>
            <w:r>
              <w:rPr>
                <w:noProof/>
                <w:webHidden/>
              </w:rPr>
              <w:tab/>
            </w:r>
            <w:r>
              <w:rPr>
                <w:noProof/>
                <w:webHidden/>
              </w:rPr>
              <w:fldChar w:fldCharType="begin"/>
            </w:r>
            <w:r>
              <w:rPr>
                <w:noProof/>
                <w:webHidden/>
              </w:rPr>
              <w:instrText xml:space="preserve"> PAGEREF _Toc238725186 \h </w:instrText>
            </w:r>
            <w:r>
              <w:rPr>
                <w:noProof/>
                <w:webHidden/>
              </w:rPr>
            </w:r>
            <w:r>
              <w:rPr>
                <w:noProof/>
                <w:webHidden/>
              </w:rPr>
              <w:fldChar w:fldCharType="separate"/>
            </w:r>
            <w:r>
              <w:rPr>
                <w:noProof/>
                <w:webHidden/>
              </w:rPr>
              <w:t>54</w:t>
            </w:r>
            <w:r>
              <w:rPr>
                <w:noProof/>
                <w:webHidden/>
              </w:rPr>
              <w:fldChar w:fldCharType="end"/>
            </w:r>
          </w:hyperlink>
        </w:p>
        <w:p w14:paraId="04D53DA7" w14:textId="40E016FA" w:rsidR="0031327F" w:rsidRDefault="0031327F">
          <w:pPr>
            <w:pStyle w:val="TOC3"/>
            <w:tabs>
              <w:tab w:val="right" w:leader="dot" w:pos="9350"/>
            </w:tabs>
            <w:rPr>
              <w:rFonts w:eastAsiaTheme="minorEastAsia"/>
              <w:noProof/>
            </w:rPr>
          </w:pPr>
          <w:hyperlink w:anchor="_Toc238725187" w:history="1">
            <w:r w:rsidRPr="00C70E1D">
              <w:rPr>
                <w:rStyle w:val="Hyperlink"/>
                <w:rFonts w:ascii="Arial" w:hAnsi="Arial" w:cs="Arial"/>
                <w:noProof/>
              </w:rPr>
              <w:t>3.6.2 Coding Process</w:t>
            </w:r>
            <w:r>
              <w:rPr>
                <w:noProof/>
                <w:webHidden/>
              </w:rPr>
              <w:tab/>
            </w:r>
            <w:r>
              <w:rPr>
                <w:noProof/>
                <w:webHidden/>
              </w:rPr>
              <w:fldChar w:fldCharType="begin"/>
            </w:r>
            <w:r>
              <w:rPr>
                <w:noProof/>
                <w:webHidden/>
              </w:rPr>
              <w:instrText xml:space="preserve"> PAGEREF _Toc238725187 \h </w:instrText>
            </w:r>
            <w:r>
              <w:rPr>
                <w:noProof/>
                <w:webHidden/>
              </w:rPr>
            </w:r>
            <w:r>
              <w:rPr>
                <w:noProof/>
                <w:webHidden/>
              </w:rPr>
              <w:fldChar w:fldCharType="separate"/>
            </w:r>
            <w:r>
              <w:rPr>
                <w:noProof/>
                <w:webHidden/>
              </w:rPr>
              <w:t>55</w:t>
            </w:r>
            <w:r>
              <w:rPr>
                <w:noProof/>
                <w:webHidden/>
              </w:rPr>
              <w:fldChar w:fldCharType="end"/>
            </w:r>
          </w:hyperlink>
        </w:p>
        <w:p w14:paraId="03AAE818" w14:textId="3CB08FC2" w:rsidR="0031327F" w:rsidRDefault="0031327F">
          <w:pPr>
            <w:pStyle w:val="TOC3"/>
            <w:tabs>
              <w:tab w:val="right" w:leader="dot" w:pos="9350"/>
            </w:tabs>
            <w:rPr>
              <w:rFonts w:eastAsiaTheme="minorEastAsia"/>
              <w:noProof/>
            </w:rPr>
          </w:pPr>
          <w:hyperlink w:anchor="_Toc238725188" w:history="1">
            <w:r w:rsidRPr="00C70E1D">
              <w:rPr>
                <w:rStyle w:val="Hyperlink"/>
                <w:rFonts w:ascii="Arial" w:hAnsi="Arial" w:cs="Arial"/>
                <w:noProof/>
              </w:rPr>
              <w:t>3.6.3 Comparative Analysis</w:t>
            </w:r>
            <w:r>
              <w:rPr>
                <w:noProof/>
                <w:webHidden/>
              </w:rPr>
              <w:tab/>
            </w:r>
            <w:r>
              <w:rPr>
                <w:noProof/>
                <w:webHidden/>
              </w:rPr>
              <w:fldChar w:fldCharType="begin"/>
            </w:r>
            <w:r>
              <w:rPr>
                <w:noProof/>
                <w:webHidden/>
              </w:rPr>
              <w:instrText xml:space="preserve"> PAGEREF _Toc238725188 \h </w:instrText>
            </w:r>
            <w:r>
              <w:rPr>
                <w:noProof/>
                <w:webHidden/>
              </w:rPr>
            </w:r>
            <w:r>
              <w:rPr>
                <w:noProof/>
                <w:webHidden/>
              </w:rPr>
              <w:fldChar w:fldCharType="separate"/>
            </w:r>
            <w:r>
              <w:rPr>
                <w:noProof/>
                <w:webHidden/>
              </w:rPr>
              <w:t>55</w:t>
            </w:r>
            <w:r>
              <w:rPr>
                <w:noProof/>
                <w:webHidden/>
              </w:rPr>
              <w:fldChar w:fldCharType="end"/>
            </w:r>
          </w:hyperlink>
        </w:p>
        <w:p w14:paraId="4E968B94" w14:textId="64976C33" w:rsidR="0031327F" w:rsidRDefault="0031327F">
          <w:pPr>
            <w:pStyle w:val="TOC2"/>
            <w:tabs>
              <w:tab w:val="right" w:leader="dot" w:pos="9350"/>
            </w:tabs>
            <w:rPr>
              <w:rFonts w:eastAsiaTheme="minorEastAsia"/>
              <w:noProof/>
            </w:rPr>
          </w:pPr>
          <w:hyperlink w:anchor="_Toc238725189" w:history="1">
            <w:r w:rsidRPr="00C70E1D">
              <w:rPr>
                <w:rStyle w:val="Hyperlink"/>
                <w:rFonts w:ascii="Arial" w:hAnsi="Arial" w:cs="Arial"/>
                <w:noProof/>
              </w:rPr>
              <w:t>3.7 Quality Criteria and Trustworthiness</w:t>
            </w:r>
            <w:r>
              <w:rPr>
                <w:noProof/>
                <w:webHidden/>
              </w:rPr>
              <w:tab/>
            </w:r>
            <w:r>
              <w:rPr>
                <w:noProof/>
                <w:webHidden/>
              </w:rPr>
              <w:fldChar w:fldCharType="begin"/>
            </w:r>
            <w:r>
              <w:rPr>
                <w:noProof/>
                <w:webHidden/>
              </w:rPr>
              <w:instrText xml:space="preserve"> PAGEREF _Toc238725189 \h </w:instrText>
            </w:r>
            <w:r>
              <w:rPr>
                <w:noProof/>
                <w:webHidden/>
              </w:rPr>
            </w:r>
            <w:r>
              <w:rPr>
                <w:noProof/>
                <w:webHidden/>
              </w:rPr>
              <w:fldChar w:fldCharType="separate"/>
            </w:r>
            <w:r>
              <w:rPr>
                <w:noProof/>
                <w:webHidden/>
              </w:rPr>
              <w:t>55</w:t>
            </w:r>
            <w:r>
              <w:rPr>
                <w:noProof/>
                <w:webHidden/>
              </w:rPr>
              <w:fldChar w:fldCharType="end"/>
            </w:r>
          </w:hyperlink>
        </w:p>
        <w:p w14:paraId="007582B6" w14:textId="567BB2D6" w:rsidR="0031327F" w:rsidRDefault="0031327F">
          <w:pPr>
            <w:pStyle w:val="TOC2"/>
            <w:tabs>
              <w:tab w:val="right" w:leader="dot" w:pos="9350"/>
            </w:tabs>
            <w:rPr>
              <w:rFonts w:eastAsiaTheme="minorEastAsia"/>
              <w:noProof/>
            </w:rPr>
          </w:pPr>
          <w:hyperlink w:anchor="_Toc238725190" w:history="1">
            <w:r w:rsidRPr="00C70E1D">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_Toc238725190 \h </w:instrText>
            </w:r>
            <w:r>
              <w:rPr>
                <w:noProof/>
                <w:webHidden/>
              </w:rPr>
            </w:r>
            <w:r>
              <w:rPr>
                <w:noProof/>
                <w:webHidden/>
              </w:rPr>
              <w:fldChar w:fldCharType="separate"/>
            </w:r>
            <w:r>
              <w:rPr>
                <w:noProof/>
                <w:webHidden/>
              </w:rPr>
              <w:t>56</w:t>
            </w:r>
            <w:r>
              <w:rPr>
                <w:noProof/>
                <w:webHidden/>
              </w:rPr>
              <w:fldChar w:fldCharType="end"/>
            </w:r>
          </w:hyperlink>
        </w:p>
        <w:p w14:paraId="372440B5" w14:textId="2DF33A63" w:rsidR="0031327F" w:rsidRDefault="0031327F">
          <w:pPr>
            <w:pStyle w:val="TOC2"/>
            <w:tabs>
              <w:tab w:val="right" w:leader="dot" w:pos="9350"/>
            </w:tabs>
            <w:rPr>
              <w:rFonts w:eastAsiaTheme="minorEastAsia"/>
              <w:noProof/>
            </w:rPr>
          </w:pPr>
          <w:hyperlink w:anchor="_Toc238725191" w:history="1">
            <w:r w:rsidRPr="00C70E1D">
              <w:rPr>
                <w:rStyle w:val="Hyperlink"/>
                <w:rFonts w:ascii="Arial" w:hAnsi="Arial" w:cs="Arial"/>
                <w:noProof/>
              </w:rPr>
              <w:t>3.9 Research Limitations</w:t>
            </w:r>
            <w:r>
              <w:rPr>
                <w:noProof/>
                <w:webHidden/>
              </w:rPr>
              <w:tab/>
            </w:r>
            <w:r>
              <w:rPr>
                <w:noProof/>
                <w:webHidden/>
              </w:rPr>
              <w:fldChar w:fldCharType="begin"/>
            </w:r>
            <w:r>
              <w:rPr>
                <w:noProof/>
                <w:webHidden/>
              </w:rPr>
              <w:instrText xml:space="preserve"> PAGEREF _Toc238725191 \h </w:instrText>
            </w:r>
            <w:r>
              <w:rPr>
                <w:noProof/>
                <w:webHidden/>
              </w:rPr>
            </w:r>
            <w:r>
              <w:rPr>
                <w:noProof/>
                <w:webHidden/>
              </w:rPr>
              <w:fldChar w:fldCharType="separate"/>
            </w:r>
            <w:r>
              <w:rPr>
                <w:noProof/>
                <w:webHidden/>
              </w:rPr>
              <w:t>56</w:t>
            </w:r>
            <w:r>
              <w:rPr>
                <w:noProof/>
                <w:webHidden/>
              </w:rPr>
              <w:fldChar w:fldCharType="end"/>
            </w:r>
          </w:hyperlink>
        </w:p>
        <w:p w14:paraId="04D32943" w14:textId="7A21A2F9" w:rsidR="0031327F" w:rsidRDefault="0031327F">
          <w:pPr>
            <w:pStyle w:val="TOC2"/>
            <w:tabs>
              <w:tab w:val="right" w:leader="dot" w:pos="9350"/>
            </w:tabs>
            <w:rPr>
              <w:rFonts w:eastAsiaTheme="minorEastAsia"/>
              <w:noProof/>
            </w:rPr>
          </w:pPr>
          <w:hyperlink w:anchor="_Toc238725192" w:history="1">
            <w:r w:rsidRPr="00C70E1D">
              <w:rPr>
                <w:rStyle w:val="Hyperlink"/>
                <w:rFonts w:ascii="Arial" w:hAnsi="Arial" w:cs="Arial"/>
                <w:noProof/>
              </w:rPr>
              <w:t>3.10 Conclusion</w:t>
            </w:r>
            <w:r>
              <w:rPr>
                <w:noProof/>
                <w:webHidden/>
              </w:rPr>
              <w:tab/>
            </w:r>
            <w:r>
              <w:rPr>
                <w:noProof/>
                <w:webHidden/>
              </w:rPr>
              <w:fldChar w:fldCharType="begin"/>
            </w:r>
            <w:r>
              <w:rPr>
                <w:noProof/>
                <w:webHidden/>
              </w:rPr>
              <w:instrText xml:space="preserve"> PAGEREF _Toc238725192 \h </w:instrText>
            </w:r>
            <w:r>
              <w:rPr>
                <w:noProof/>
                <w:webHidden/>
              </w:rPr>
            </w:r>
            <w:r>
              <w:rPr>
                <w:noProof/>
                <w:webHidden/>
              </w:rPr>
              <w:fldChar w:fldCharType="separate"/>
            </w:r>
            <w:r>
              <w:rPr>
                <w:noProof/>
                <w:webHidden/>
              </w:rPr>
              <w:t>57</w:t>
            </w:r>
            <w:r>
              <w:rPr>
                <w:noProof/>
                <w:webHidden/>
              </w:rPr>
              <w:fldChar w:fldCharType="end"/>
            </w:r>
          </w:hyperlink>
        </w:p>
        <w:p w14:paraId="33E2B58C" w14:textId="0A46F30B" w:rsidR="0031327F" w:rsidRDefault="0031327F">
          <w:pPr>
            <w:pStyle w:val="TOC1"/>
            <w:tabs>
              <w:tab w:val="right" w:leader="dot" w:pos="9350"/>
            </w:tabs>
            <w:rPr>
              <w:rFonts w:eastAsiaTheme="minorEastAsia"/>
              <w:noProof/>
            </w:rPr>
          </w:pPr>
          <w:hyperlink w:anchor="_Toc238725193" w:history="1">
            <w:r w:rsidRPr="00C70E1D">
              <w:rPr>
                <w:rStyle w:val="Hyperlink"/>
                <w:rFonts w:ascii="Arial" w:hAnsi="Arial" w:cs="Arial"/>
                <w:noProof/>
              </w:rPr>
              <w:t>Chapter 4: Findings, Analysis and Discussion</w:t>
            </w:r>
            <w:r>
              <w:rPr>
                <w:noProof/>
                <w:webHidden/>
              </w:rPr>
              <w:tab/>
            </w:r>
            <w:r>
              <w:rPr>
                <w:noProof/>
                <w:webHidden/>
              </w:rPr>
              <w:fldChar w:fldCharType="begin"/>
            </w:r>
            <w:r>
              <w:rPr>
                <w:noProof/>
                <w:webHidden/>
              </w:rPr>
              <w:instrText xml:space="preserve"> PAGEREF _Toc238725193 \h </w:instrText>
            </w:r>
            <w:r>
              <w:rPr>
                <w:noProof/>
                <w:webHidden/>
              </w:rPr>
            </w:r>
            <w:r>
              <w:rPr>
                <w:noProof/>
                <w:webHidden/>
              </w:rPr>
              <w:fldChar w:fldCharType="separate"/>
            </w:r>
            <w:r>
              <w:rPr>
                <w:noProof/>
                <w:webHidden/>
              </w:rPr>
              <w:t>59</w:t>
            </w:r>
            <w:r>
              <w:rPr>
                <w:noProof/>
                <w:webHidden/>
              </w:rPr>
              <w:fldChar w:fldCharType="end"/>
            </w:r>
          </w:hyperlink>
        </w:p>
        <w:p w14:paraId="1B5B9D45" w14:textId="50F79002" w:rsidR="0031327F" w:rsidRDefault="0031327F">
          <w:pPr>
            <w:pStyle w:val="TOC2"/>
            <w:tabs>
              <w:tab w:val="right" w:leader="dot" w:pos="9350"/>
            </w:tabs>
            <w:rPr>
              <w:rFonts w:eastAsiaTheme="minorEastAsia"/>
              <w:noProof/>
            </w:rPr>
          </w:pPr>
          <w:hyperlink w:anchor="_Toc238725194" w:history="1">
            <w:r w:rsidRPr="00C70E1D">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_Toc238725194 \h </w:instrText>
            </w:r>
            <w:r>
              <w:rPr>
                <w:noProof/>
                <w:webHidden/>
              </w:rPr>
            </w:r>
            <w:r>
              <w:rPr>
                <w:noProof/>
                <w:webHidden/>
              </w:rPr>
              <w:fldChar w:fldCharType="separate"/>
            </w:r>
            <w:r>
              <w:rPr>
                <w:noProof/>
                <w:webHidden/>
              </w:rPr>
              <w:t>59</w:t>
            </w:r>
            <w:r>
              <w:rPr>
                <w:noProof/>
                <w:webHidden/>
              </w:rPr>
              <w:fldChar w:fldCharType="end"/>
            </w:r>
          </w:hyperlink>
        </w:p>
        <w:p w14:paraId="24AD18A4" w14:textId="2A20ABA4" w:rsidR="0031327F" w:rsidRDefault="0031327F">
          <w:pPr>
            <w:pStyle w:val="TOC2"/>
            <w:tabs>
              <w:tab w:val="right" w:leader="dot" w:pos="9350"/>
            </w:tabs>
            <w:rPr>
              <w:rFonts w:eastAsiaTheme="minorEastAsia"/>
              <w:noProof/>
            </w:rPr>
          </w:pPr>
          <w:hyperlink w:anchor="_Toc238725195" w:history="1">
            <w:r w:rsidRPr="00C70E1D">
              <w:rPr>
                <w:rStyle w:val="Hyperlink"/>
                <w:rFonts w:ascii="Arial" w:hAnsi="Arial" w:cs="Arial"/>
                <w:noProof/>
              </w:rPr>
              <w:t>4.2 Summary of Findings</w:t>
            </w:r>
            <w:r>
              <w:rPr>
                <w:noProof/>
                <w:webHidden/>
              </w:rPr>
              <w:tab/>
            </w:r>
            <w:r>
              <w:rPr>
                <w:noProof/>
                <w:webHidden/>
              </w:rPr>
              <w:fldChar w:fldCharType="begin"/>
            </w:r>
            <w:r>
              <w:rPr>
                <w:noProof/>
                <w:webHidden/>
              </w:rPr>
              <w:instrText xml:space="preserve"> PAGEREF _Toc238725195 \h </w:instrText>
            </w:r>
            <w:r>
              <w:rPr>
                <w:noProof/>
                <w:webHidden/>
              </w:rPr>
            </w:r>
            <w:r>
              <w:rPr>
                <w:noProof/>
                <w:webHidden/>
              </w:rPr>
              <w:fldChar w:fldCharType="separate"/>
            </w:r>
            <w:r>
              <w:rPr>
                <w:noProof/>
                <w:webHidden/>
              </w:rPr>
              <w:t>60</w:t>
            </w:r>
            <w:r>
              <w:rPr>
                <w:noProof/>
                <w:webHidden/>
              </w:rPr>
              <w:fldChar w:fldCharType="end"/>
            </w:r>
          </w:hyperlink>
        </w:p>
        <w:p w14:paraId="1F970460" w14:textId="4D24B267" w:rsidR="0031327F" w:rsidRDefault="0031327F">
          <w:pPr>
            <w:pStyle w:val="TOC3"/>
            <w:tabs>
              <w:tab w:val="right" w:leader="dot" w:pos="9350"/>
            </w:tabs>
            <w:rPr>
              <w:rFonts w:eastAsiaTheme="minorEastAsia"/>
              <w:noProof/>
            </w:rPr>
          </w:pPr>
          <w:hyperlink w:anchor="_Toc238725196" w:history="1">
            <w:r w:rsidRPr="00C70E1D">
              <w:rPr>
                <w:rStyle w:val="Hyperlink"/>
                <w:rFonts w:ascii="Arial" w:hAnsi="Arial" w:cs="Arial"/>
                <w:noProof/>
              </w:rPr>
              <w:t>4.2.1 CSR Evolution from 2005 to 2025</w:t>
            </w:r>
            <w:r>
              <w:rPr>
                <w:noProof/>
                <w:webHidden/>
              </w:rPr>
              <w:tab/>
            </w:r>
            <w:r>
              <w:rPr>
                <w:noProof/>
                <w:webHidden/>
              </w:rPr>
              <w:fldChar w:fldCharType="begin"/>
            </w:r>
            <w:r>
              <w:rPr>
                <w:noProof/>
                <w:webHidden/>
              </w:rPr>
              <w:instrText xml:space="preserve"> PAGEREF _Toc238725196 \h </w:instrText>
            </w:r>
            <w:r>
              <w:rPr>
                <w:noProof/>
                <w:webHidden/>
              </w:rPr>
            </w:r>
            <w:r>
              <w:rPr>
                <w:noProof/>
                <w:webHidden/>
              </w:rPr>
              <w:fldChar w:fldCharType="separate"/>
            </w:r>
            <w:r>
              <w:rPr>
                <w:noProof/>
                <w:webHidden/>
              </w:rPr>
              <w:t>60</w:t>
            </w:r>
            <w:r>
              <w:rPr>
                <w:noProof/>
                <w:webHidden/>
              </w:rPr>
              <w:fldChar w:fldCharType="end"/>
            </w:r>
          </w:hyperlink>
        </w:p>
        <w:p w14:paraId="7F8FA492" w14:textId="2197982E" w:rsidR="0031327F" w:rsidRDefault="0031327F">
          <w:pPr>
            <w:pStyle w:val="TOC3"/>
            <w:tabs>
              <w:tab w:val="right" w:leader="dot" w:pos="9350"/>
            </w:tabs>
            <w:rPr>
              <w:rFonts w:eastAsiaTheme="minorEastAsia"/>
              <w:noProof/>
            </w:rPr>
          </w:pPr>
          <w:hyperlink w:anchor="_Toc238725197" w:history="1">
            <w:r w:rsidRPr="00C70E1D">
              <w:rPr>
                <w:rStyle w:val="Hyperlink"/>
                <w:rFonts w:ascii="Arial" w:hAnsi="Arial" w:cs="Arial"/>
                <w:noProof/>
              </w:rPr>
              <w:t>4.2.2 Business Model Differences</w:t>
            </w:r>
            <w:r>
              <w:rPr>
                <w:noProof/>
                <w:webHidden/>
              </w:rPr>
              <w:tab/>
            </w:r>
            <w:r>
              <w:rPr>
                <w:noProof/>
                <w:webHidden/>
              </w:rPr>
              <w:fldChar w:fldCharType="begin"/>
            </w:r>
            <w:r>
              <w:rPr>
                <w:noProof/>
                <w:webHidden/>
              </w:rPr>
              <w:instrText xml:space="preserve"> PAGEREF _Toc238725197 \h </w:instrText>
            </w:r>
            <w:r>
              <w:rPr>
                <w:noProof/>
                <w:webHidden/>
              </w:rPr>
            </w:r>
            <w:r>
              <w:rPr>
                <w:noProof/>
                <w:webHidden/>
              </w:rPr>
              <w:fldChar w:fldCharType="separate"/>
            </w:r>
            <w:r>
              <w:rPr>
                <w:noProof/>
                <w:webHidden/>
              </w:rPr>
              <w:t>61</w:t>
            </w:r>
            <w:r>
              <w:rPr>
                <w:noProof/>
                <w:webHidden/>
              </w:rPr>
              <w:fldChar w:fldCharType="end"/>
            </w:r>
          </w:hyperlink>
        </w:p>
        <w:p w14:paraId="44A9831A" w14:textId="10FFE513" w:rsidR="0031327F" w:rsidRDefault="0031327F">
          <w:pPr>
            <w:pStyle w:val="TOC2"/>
            <w:tabs>
              <w:tab w:val="right" w:leader="dot" w:pos="9350"/>
            </w:tabs>
            <w:rPr>
              <w:rFonts w:eastAsiaTheme="minorEastAsia"/>
              <w:noProof/>
            </w:rPr>
          </w:pPr>
          <w:hyperlink w:anchor="_Toc238725198" w:history="1">
            <w:r w:rsidRPr="00C70E1D">
              <w:rPr>
                <w:rStyle w:val="Hyperlink"/>
                <w:rFonts w:ascii="Arial" w:hAnsi="Arial" w:cs="Arial"/>
                <w:noProof/>
              </w:rPr>
              <w:t>4.3 Analysis by Research Question</w:t>
            </w:r>
            <w:r>
              <w:rPr>
                <w:noProof/>
                <w:webHidden/>
              </w:rPr>
              <w:tab/>
            </w:r>
            <w:r>
              <w:rPr>
                <w:noProof/>
                <w:webHidden/>
              </w:rPr>
              <w:fldChar w:fldCharType="begin"/>
            </w:r>
            <w:r>
              <w:rPr>
                <w:noProof/>
                <w:webHidden/>
              </w:rPr>
              <w:instrText xml:space="preserve"> PAGEREF _Toc238725198 \h </w:instrText>
            </w:r>
            <w:r>
              <w:rPr>
                <w:noProof/>
                <w:webHidden/>
              </w:rPr>
            </w:r>
            <w:r>
              <w:rPr>
                <w:noProof/>
                <w:webHidden/>
              </w:rPr>
              <w:fldChar w:fldCharType="separate"/>
            </w:r>
            <w:r>
              <w:rPr>
                <w:noProof/>
                <w:webHidden/>
              </w:rPr>
              <w:t>62</w:t>
            </w:r>
            <w:r>
              <w:rPr>
                <w:noProof/>
                <w:webHidden/>
              </w:rPr>
              <w:fldChar w:fldCharType="end"/>
            </w:r>
          </w:hyperlink>
        </w:p>
        <w:p w14:paraId="36176545" w14:textId="5D0F54B9" w:rsidR="0031327F" w:rsidRDefault="0031327F">
          <w:pPr>
            <w:pStyle w:val="TOC3"/>
            <w:tabs>
              <w:tab w:val="right" w:leader="dot" w:pos="9350"/>
            </w:tabs>
            <w:rPr>
              <w:rFonts w:eastAsiaTheme="minorEastAsia"/>
              <w:noProof/>
            </w:rPr>
          </w:pPr>
          <w:hyperlink w:anchor="_Toc238725199" w:history="1">
            <w:r w:rsidRPr="00C70E1D">
              <w:rPr>
                <w:rStyle w:val="Hyperlink"/>
                <w:rFonts w:ascii="Arial" w:hAnsi="Arial" w:cs="Arial"/>
                <w:noProof/>
              </w:rPr>
              <w:t>4.3.1 RQ1: How has CSR developed since Jones et al. (2005)?</w:t>
            </w:r>
            <w:r>
              <w:rPr>
                <w:noProof/>
                <w:webHidden/>
              </w:rPr>
              <w:tab/>
            </w:r>
            <w:r>
              <w:rPr>
                <w:noProof/>
                <w:webHidden/>
              </w:rPr>
              <w:fldChar w:fldCharType="begin"/>
            </w:r>
            <w:r>
              <w:rPr>
                <w:noProof/>
                <w:webHidden/>
              </w:rPr>
              <w:instrText xml:space="preserve"> PAGEREF _Toc238725199 \h </w:instrText>
            </w:r>
            <w:r>
              <w:rPr>
                <w:noProof/>
                <w:webHidden/>
              </w:rPr>
            </w:r>
            <w:r>
              <w:rPr>
                <w:noProof/>
                <w:webHidden/>
              </w:rPr>
              <w:fldChar w:fldCharType="separate"/>
            </w:r>
            <w:r>
              <w:rPr>
                <w:noProof/>
                <w:webHidden/>
              </w:rPr>
              <w:t>62</w:t>
            </w:r>
            <w:r>
              <w:rPr>
                <w:noProof/>
                <w:webHidden/>
              </w:rPr>
              <w:fldChar w:fldCharType="end"/>
            </w:r>
          </w:hyperlink>
        </w:p>
        <w:p w14:paraId="3A94E654" w14:textId="0C65FC23" w:rsidR="0031327F" w:rsidRDefault="0031327F">
          <w:pPr>
            <w:pStyle w:val="TOC3"/>
            <w:tabs>
              <w:tab w:val="right" w:leader="dot" w:pos="9350"/>
            </w:tabs>
            <w:rPr>
              <w:rFonts w:eastAsiaTheme="minorEastAsia"/>
              <w:noProof/>
            </w:rPr>
          </w:pPr>
          <w:hyperlink w:anchor="_Toc238725200" w:history="1">
            <w:r w:rsidRPr="00C70E1D">
              <w:rPr>
                <w:rStyle w:val="Hyperlink"/>
                <w:rFonts w:ascii="Arial" w:hAnsi="Arial" w:cs="Arial"/>
                <w:noProof/>
              </w:rPr>
              <w:t>4.3.2 Mandatory and Voluntary CSR</w:t>
            </w:r>
            <w:r>
              <w:rPr>
                <w:noProof/>
                <w:webHidden/>
              </w:rPr>
              <w:tab/>
            </w:r>
            <w:r>
              <w:rPr>
                <w:noProof/>
                <w:webHidden/>
              </w:rPr>
              <w:fldChar w:fldCharType="begin"/>
            </w:r>
            <w:r>
              <w:rPr>
                <w:noProof/>
                <w:webHidden/>
              </w:rPr>
              <w:instrText xml:space="preserve"> PAGEREF _Toc238725200 \h </w:instrText>
            </w:r>
            <w:r>
              <w:rPr>
                <w:noProof/>
                <w:webHidden/>
              </w:rPr>
            </w:r>
            <w:r>
              <w:rPr>
                <w:noProof/>
                <w:webHidden/>
              </w:rPr>
              <w:fldChar w:fldCharType="separate"/>
            </w:r>
            <w:r>
              <w:rPr>
                <w:noProof/>
                <w:webHidden/>
              </w:rPr>
              <w:t>63</w:t>
            </w:r>
            <w:r>
              <w:rPr>
                <w:noProof/>
                <w:webHidden/>
              </w:rPr>
              <w:fldChar w:fldCharType="end"/>
            </w:r>
          </w:hyperlink>
        </w:p>
        <w:p w14:paraId="7D54EB52" w14:textId="28E589F8" w:rsidR="0031327F" w:rsidRDefault="0031327F">
          <w:pPr>
            <w:pStyle w:val="TOC3"/>
            <w:tabs>
              <w:tab w:val="right" w:leader="dot" w:pos="9350"/>
            </w:tabs>
            <w:rPr>
              <w:rFonts w:eastAsiaTheme="minorEastAsia"/>
              <w:noProof/>
            </w:rPr>
          </w:pPr>
          <w:hyperlink w:anchor="_Toc238725201" w:history="1">
            <w:r w:rsidRPr="00C70E1D">
              <w:rPr>
                <w:rStyle w:val="Hyperlink"/>
                <w:rFonts w:ascii="Arial" w:hAnsi="Arial" w:cs="Arial"/>
                <w:noProof/>
              </w:rPr>
              <w:t>4.3.3 RQ2: What Evidence Exists of Substantive Rather Than Symbolic CSR?</w:t>
            </w:r>
            <w:r>
              <w:rPr>
                <w:noProof/>
                <w:webHidden/>
              </w:rPr>
              <w:tab/>
            </w:r>
            <w:r>
              <w:rPr>
                <w:noProof/>
                <w:webHidden/>
              </w:rPr>
              <w:fldChar w:fldCharType="begin"/>
            </w:r>
            <w:r>
              <w:rPr>
                <w:noProof/>
                <w:webHidden/>
              </w:rPr>
              <w:instrText xml:space="preserve"> PAGEREF _Toc238725201 \h </w:instrText>
            </w:r>
            <w:r>
              <w:rPr>
                <w:noProof/>
                <w:webHidden/>
              </w:rPr>
            </w:r>
            <w:r>
              <w:rPr>
                <w:noProof/>
                <w:webHidden/>
              </w:rPr>
              <w:fldChar w:fldCharType="separate"/>
            </w:r>
            <w:r>
              <w:rPr>
                <w:noProof/>
                <w:webHidden/>
              </w:rPr>
              <w:t>65</w:t>
            </w:r>
            <w:r>
              <w:rPr>
                <w:noProof/>
                <w:webHidden/>
              </w:rPr>
              <w:fldChar w:fldCharType="end"/>
            </w:r>
          </w:hyperlink>
        </w:p>
        <w:p w14:paraId="3DD49B94" w14:textId="3139D55C" w:rsidR="0031327F" w:rsidRDefault="0031327F">
          <w:pPr>
            <w:pStyle w:val="TOC3"/>
            <w:tabs>
              <w:tab w:val="right" w:leader="dot" w:pos="9350"/>
            </w:tabs>
            <w:rPr>
              <w:rFonts w:eastAsiaTheme="minorEastAsia"/>
              <w:noProof/>
            </w:rPr>
          </w:pPr>
          <w:hyperlink w:anchor="_Toc238725202" w:history="1">
            <w:r w:rsidRPr="00C70E1D">
              <w:rPr>
                <w:rStyle w:val="Hyperlink"/>
                <w:rFonts w:ascii="Arial" w:hAnsi="Arial" w:cs="Arial"/>
                <w:noProof/>
              </w:rPr>
              <w:t>4.3.4 RQ3: How Do Business Models Differ?</w:t>
            </w:r>
            <w:r>
              <w:rPr>
                <w:noProof/>
                <w:webHidden/>
              </w:rPr>
              <w:tab/>
            </w:r>
            <w:r>
              <w:rPr>
                <w:noProof/>
                <w:webHidden/>
              </w:rPr>
              <w:fldChar w:fldCharType="begin"/>
            </w:r>
            <w:r>
              <w:rPr>
                <w:noProof/>
                <w:webHidden/>
              </w:rPr>
              <w:instrText xml:space="preserve"> PAGEREF _Toc238725202 \h </w:instrText>
            </w:r>
            <w:r>
              <w:rPr>
                <w:noProof/>
                <w:webHidden/>
              </w:rPr>
            </w:r>
            <w:r>
              <w:rPr>
                <w:noProof/>
                <w:webHidden/>
              </w:rPr>
              <w:fldChar w:fldCharType="separate"/>
            </w:r>
            <w:r>
              <w:rPr>
                <w:noProof/>
                <w:webHidden/>
              </w:rPr>
              <w:t>66</w:t>
            </w:r>
            <w:r>
              <w:rPr>
                <w:noProof/>
                <w:webHidden/>
              </w:rPr>
              <w:fldChar w:fldCharType="end"/>
            </w:r>
          </w:hyperlink>
        </w:p>
        <w:p w14:paraId="20616119" w14:textId="2BB08F3D" w:rsidR="0031327F" w:rsidRDefault="0031327F">
          <w:pPr>
            <w:pStyle w:val="TOC3"/>
            <w:tabs>
              <w:tab w:val="right" w:leader="dot" w:pos="9350"/>
            </w:tabs>
            <w:rPr>
              <w:rFonts w:eastAsiaTheme="minorEastAsia"/>
              <w:noProof/>
            </w:rPr>
          </w:pPr>
          <w:hyperlink w:anchor="_Toc238725203" w:history="1">
            <w:r w:rsidRPr="00C70E1D">
              <w:rPr>
                <w:rStyle w:val="Hyperlink"/>
                <w:rFonts w:ascii="Arial" w:hAnsi="Arial" w:cs="Arial"/>
                <w:noProof/>
              </w:rPr>
              <w:t>4.3.5 RQ4: How Are Emerging Priorities Shaping CSR Agendas?</w:t>
            </w:r>
            <w:r>
              <w:rPr>
                <w:noProof/>
                <w:webHidden/>
              </w:rPr>
              <w:tab/>
            </w:r>
            <w:r>
              <w:rPr>
                <w:noProof/>
                <w:webHidden/>
              </w:rPr>
              <w:fldChar w:fldCharType="begin"/>
            </w:r>
            <w:r>
              <w:rPr>
                <w:noProof/>
                <w:webHidden/>
              </w:rPr>
              <w:instrText xml:space="preserve"> PAGEREF _Toc238725203 \h </w:instrText>
            </w:r>
            <w:r>
              <w:rPr>
                <w:noProof/>
                <w:webHidden/>
              </w:rPr>
            </w:r>
            <w:r>
              <w:rPr>
                <w:noProof/>
                <w:webHidden/>
              </w:rPr>
              <w:fldChar w:fldCharType="separate"/>
            </w:r>
            <w:r>
              <w:rPr>
                <w:noProof/>
                <w:webHidden/>
              </w:rPr>
              <w:t>68</w:t>
            </w:r>
            <w:r>
              <w:rPr>
                <w:noProof/>
                <w:webHidden/>
              </w:rPr>
              <w:fldChar w:fldCharType="end"/>
            </w:r>
          </w:hyperlink>
        </w:p>
        <w:p w14:paraId="52D6B7E0" w14:textId="0A2B8A21" w:rsidR="0031327F" w:rsidRDefault="0031327F">
          <w:pPr>
            <w:pStyle w:val="TOC2"/>
            <w:tabs>
              <w:tab w:val="right" w:leader="dot" w:pos="9350"/>
            </w:tabs>
            <w:rPr>
              <w:rFonts w:eastAsiaTheme="minorEastAsia"/>
              <w:noProof/>
            </w:rPr>
          </w:pPr>
          <w:hyperlink w:anchor="_Toc238725204" w:history="1">
            <w:r w:rsidRPr="00C70E1D">
              <w:rPr>
                <w:rStyle w:val="Hyperlink"/>
                <w:rFonts w:ascii="Arial" w:hAnsi="Arial" w:cs="Arial"/>
                <w:noProof/>
              </w:rPr>
              <w:t>4.4 Discussion of Results</w:t>
            </w:r>
            <w:r>
              <w:rPr>
                <w:noProof/>
                <w:webHidden/>
              </w:rPr>
              <w:tab/>
            </w:r>
            <w:r>
              <w:rPr>
                <w:noProof/>
                <w:webHidden/>
              </w:rPr>
              <w:fldChar w:fldCharType="begin"/>
            </w:r>
            <w:r>
              <w:rPr>
                <w:noProof/>
                <w:webHidden/>
              </w:rPr>
              <w:instrText xml:space="preserve"> PAGEREF _Toc238725204 \h </w:instrText>
            </w:r>
            <w:r>
              <w:rPr>
                <w:noProof/>
                <w:webHidden/>
              </w:rPr>
            </w:r>
            <w:r>
              <w:rPr>
                <w:noProof/>
                <w:webHidden/>
              </w:rPr>
              <w:fldChar w:fldCharType="separate"/>
            </w:r>
            <w:r>
              <w:rPr>
                <w:noProof/>
                <w:webHidden/>
              </w:rPr>
              <w:t>68</w:t>
            </w:r>
            <w:r>
              <w:rPr>
                <w:noProof/>
                <w:webHidden/>
              </w:rPr>
              <w:fldChar w:fldCharType="end"/>
            </w:r>
          </w:hyperlink>
        </w:p>
        <w:p w14:paraId="1258E445" w14:textId="268FAC79" w:rsidR="0031327F" w:rsidRDefault="0031327F">
          <w:pPr>
            <w:pStyle w:val="TOC3"/>
            <w:tabs>
              <w:tab w:val="right" w:leader="dot" w:pos="9350"/>
            </w:tabs>
            <w:rPr>
              <w:rFonts w:eastAsiaTheme="minorEastAsia"/>
              <w:noProof/>
            </w:rPr>
          </w:pPr>
          <w:hyperlink w:anchor="_Toc238725205" w:history="1">
            <w:r w:rsidRPr="00C70E1D">
              <w:rPr>
                <w:rStyle w:val="Hyperlink"/>
                <w:rFonts w:ascii="Arial" w:hAnsi="Arial" w:cs="Arial"/>
                <w:noProof/>
              </w:rPr>
              <w:t>4.4.1 Institutional Pressures</w:t>
            </w:r>
            <w:r>
              <w:rPr>
                <w:noProof/>
                <w:webHidden/>
              </w:rPr>
              <w:tab/>
            </w:r>
            <w:r>
              <w:rPr>
                <w:noProof/>
                <w:webHidden/>
              </w:rPr>
              <w:fldChar w:fldCharType="begin"/>
            </w:r>
            <w:r>
              <w:rPr>
                <w:noProof/>
                <w:webHidden/>
              </w:rPr>
              <w:instrText xml:space="preserve"> PAGEREF _Toc238725205 \h </w:instrText>
            </w:r>
            <w:r>
              <w:rPr>
                <w:noProof/>
                <w:webHidden/>
              </w:rPr>
            </w:r>
            <w:r>
              <w:rPr>
                <w:noProof/>
                <w:webHidden/>
              </w:rPr>
              <w:fldChar w:fldCharType="separate"/>
            </w:r>
            <w:r>
              <w:rPr>
                <w:noProof/>
                <w:webHidden/>
              </w:rPr>
              <w:t>68</w:t>
            </w:r>
            <w:r>
              <w:rPr>
                <w:noProof/>
                <w:webHidden/>
              </w:rPr>
              <w:fldChar w:fldCharType="end"/>
            </w:r>
          </w:hyperlink>
        </w:p>
        <w:p w14:paraId="7739E103" w14:textId="38764171" w:rsidR="0031327F" w:rsidRDefault="0031327F">
          <w:pPr>
            <w:pStyle w:val="TOC3"/>
            <w:tabs>
              <w:tab w:val="right" w:leader="dot" w:pos="9350"/>
            </w:tabs>
            <w:rPr>
              <w:rFonts w:eastAsiaTheme="minorEastAsia"/>
              <w:noProof/>
            </w:rPr>
          </w:pPr>
          <w:hyperlink w:anchor="_Toc238725206" w:history="1">
            <w:r w:rsidRPr="00C70E1D">
              <w:rPr>
                <w:rStyle w:val="Hyperlink"/>
                <w:rFonts w:ascii="Arial" w:hAnsi="Arial" w:cs="Arial"/>
                <w:noProof/>
              </w:rPr>
              <w:t>4.4.2 Stakeholder Salience</w:t>
            </w:r>
            <w:r>
              <w:rPr>
                <w:noProof/>
                <w:webHidden/>
              </w:rPr>
              <w:tab/>
            </w:r>
            <w:r>
              <w:rPr>
                <w:noProof/>
                <w:webHidden/>
              </w:rPr>
              <w:fldChar w:fldCharType="begin"/>
            </w:r>
            <w:r>
              <w:rPr>
                <w:noProof/>
                <w:webHidden/>
              </w:rPr>
              <w:instrText xml:space="preserve"> PAGEREF _Toc238725206 \h </w:instrText>
            </w:r>
            <w:r>
              <w:rPr>
                <w:noProof/>
                <w:webHidden/>
              </w:rPr>
            </w:r>
            <w:r>
              <w:rPr>
                <w:noProof/>
                <w:webHidden/>
              </w:rPr>
              <w:fldChar w:fldCharType="separate"/>
            </w:r>
            <w:r>
              <w:rPr>
                <w:noProof/>
                <w:webHidden/>
              </w:rPr>
              <w:t>69</w:t>
            </w:r>
            <w:r>
              <w:rPr>
                <w:noProof/>
                <w:webHidden/>
              </w:rPr>
              <w:fldChar w:fldCharType="end"/>
            </w:r>
          </w:hyperlink>
        </w:p>
        <w:p w14:paraId="027A27E7" w14:textId="0144BBFD" w:rsidR="0031327F" w:rsidRDefault="0031327F">
          <w:pPr>
            <w:pStyle w:val="TOC3"/>
            <w:tabs>
              <w:tab w:val="right" w:leader="dot" w:pos="9350"/>
            </w:tabs>
            <w:rPr>
              <w:rFonts w:eastAsiaTheme="minorEastAsia"/>
              <w:noProof/>
            </w:rPr>
          </w:pPr>
          <w:hyperlink w:anchor="_Toc238725207" w:history="1">
            <w:r w:rsidRPr="00C70E1D">
              <w:rPr>
                <w:rStyle w:val="Hyperlink"/>
                <w:rFonts w:ascii="Arial" w:hAnsi="Arial" w:cs="Arial"/>
                <w:noProof/>
              </w:rPr>
              <w:t>4.4.3 Greenwashing and Health-Washing</w:t>
            </w:r>
            <w:r>
              <w:rPr>
                <w:noProof/>
                <w:webHidden/>
              </w:rPr>
              <w:tab/>
            </w:r>
            <w:r>
              <w:rPr>
                <w:noProof/>
                <w:webHidden/>
              </w:rPr>
              <w:fldChar w:fldCharType="begin"/>
            </w:r>
            <w:r>
              <w:rPr>
                <w:noProof/>
                <w:webHidden/>
              </w:rPr>
              <w:instrText xml:space="preserve"> PAGEREF _Toc238725207 \h </w:instrText>
            </w:r>
            <w:r>
              <w:rPr>
                <w:noProof/>
                <w:webHidden/>
              </w:rPr>
            </w:r>
            <w:r>
              <w:rPr>
                <w:noProof/>
                <w:webHidden/>
              </w:rPr>
              <w:fldChar w:fldCharType="separate"/>
            </w:r>
            <w:r>
              <w:rPr>
                <w:noProof/>
                <w:webHidden/>
              </w:rPr>
              <w:t>69</w:t>
            </w:r>
            <w:r>
              <w:rPr>
                <w:noProof/>
                <w:webHidden/>
              </w:rPr>
              <w:fldChar w:fldCharType="end"/>
            </w:r>
          </w:hyperlink>
        </w:p>
        <w:p w14:paraId="23598D7B" w14:textId="41EF4258" w:rsidR="0031327F" w:rsidRDefault="0031327F">
          <w:pPr>
            <w:pStyle w:val="TOC3"/>
            <w:tabs>
              <w:tab w:val="right" w:leader="dot" w:pos="9350"/>
            </w:tabs>
            <w:rPr>
              <w:rFonts w:eastAsiaTheme="minorEastAsia"/>
              <w:noProof/>
            </w:rPr>
          </w:pPr>
          <w:hyperlink w:anchor="_Toc238725208" w:history="1">
            <w:r w:rsidRPr="00C70E1D">
              <w:rPr>
                <w:rStyle w:val="Hyperlink"/>
                <w:rFonts w:ascii="Arial" w:hAnsi="Arial" w:cs="Arial"/>
                <w:noProof/>
              </w:rPr>
              <w:t>4.4.4 Business Model as Constraint and Enabler</w:t>
            </w:r>
            <w:r>
              <w:rPr>
                <w:noProof/>
                <w:webHidden/>
              </w:rPr>
              <w:tab/>
            </w:r>
            <w:r>
              <w:rPr>
                <w:noProof/>
                <w:webHidden/>
              </w:rPr>
              <w:fldChar w:fldCharType="begin"/>
            </w:r>
            <w:r>
              <w:rPr>
                <w:noProof/>
                <w:webHidden/>
              </w:rPr>
              <w:instrText xml:space="preserve"> PAGEREF _Toc238725208 \h </w:instrText>
            </w:r>
            <w:r>
              <w:rPr>
                <w:noProof/>
                <w:webHidden/>
              </w:rPr>
            </w:r>
            <w:r>
              <w:rPr>
                <w:noProof/>
                <w:webHidden/>
              </w:rPr>
              <w:fldChar w:fldCharType="separate"/>
            </w:r>
            <w:r>
              <w:rPr>
                <w:noProof/>
                <w:webHidden/>
              </w:rPr>
              <w:t>70</w:t>
            </w:r>
            <w:r>
              <w:rPr>
                <w:noProof/>
                <w:webHidden/>
              </w:rPr>
              <w:fldChar w:fldCharType="end"/>
            </w:r>
          </w:hyperlink>
        </w:p>
        <w:p w14:paraId="3D9562E1" w14:textId="78C53FC5" w:rsidR="0031327F" w:rsidRDefault="0031327F">
          <w:pPr>
            <w:pStyle w:val="TOC3"/>
            <w:tabs>
              <w:tab w:val="right" w:leader="dot" w:pos="9350"/>
            </w:tabs>
            <w:rPr>
              <w:rFonts w:eastAsiaTheme="minorEastAsia"/>
              <w:noProof/>
            </w:rPr>
          </w:pPr>
          <w:hyperlink w:anchor="_Toc238725209" w:history="1">
            <w:r w:rsidRPr="00C70E1D">
              <w:rPr>
                <w:rStyle w:val="Hyperlink"/>
                <w:rFonts w:ascii="Arial" w:hAnsi="Arial" w:cs="Arial"/>
                <w:noProof/>
              </w:rPr>
              <w:t>4.4.5 COVID-19 as a Critical Juncture</w:t>
            </w:r>
            <w:r>
              <w:rPr>
                <w:noProof/>
                <w:webHidden/>
              </w:rPr>
              <w:tab/>
            </w:r>
            <w:r>
              <w:rPr>
                <w:noProof/>
                <w:webHidden/>
              </w:rPr>
              <w:fldChar w:fldCharType="begin"/>
            </w:r>
            <w:r>
              <w:rPr>
                <w:noProof/>
                <w:webHidden/>
              </w:rPr>
              <w:instrText xml:space="preserve"> PAGEREF _Toc238725209 \h </w:instrText>
            </w:r>
            <w:r>
              <w:rPr>
                <w:noProof/>
                <w:webHidden/>
              </w:rPr>
            </w:r>
            <w:r>
              <w:rPr>
                <w:noProof/>
                <w:webHidden/>
              </w:rPr>
              <w:fldChar w:fldCharType="separate"/>
            </w:r>
            <w:r>
              <w:rPr>
                <w:noProof/>
                <w:webHidden/>
              </w:rPr>
              <w:t>71</w:t>
            </w:r>
            <w:r>
              <w:rPr>
                <w:noProof/>
                <w:webHidden/>
              </w:rPr>
              <w:fldChar w:fldCharType="end"/>
            </w:r>
          </w:hyperlink>
        </w:p>
        <w:p w14:paraId="26FF2F40" w14:textId="3E572CE5" w:rsidR="0031327F" w:rsidRDefault="0031327F">
          <w:pPr>
            <w:pStyle w:val="TOC3"/>
            <w:tabs>
              <w:tab w:val="right" w:leader="dot" w:pos="9350"/>
            </w:tabs>
            <w:rPr>
              <w:rFonts w:eastAsiaTheme="minorEastAsia"/>
              <w:noProof/>
            </w:rPr>
          </w:pPr>
          <w:hyperlink w:anchor="_Toc238725210" w:history="1">
            <w:r w:rsidRPr="00C70E1D">
              <w:rPr>
                <w:rStyle w:val="Hyperlink"/>
                <w:rFonts w:ascii="Arial" w:hAnsi="Arial" w:cs="Arial"/>
                <w:noProof/>
              </w:rPr>
              <w:t>4.4.6 Theoretical and Practical Implications</w:t>
            </w:r>
            <w:r>
              <w:rPr>
                <w:noProof/>
                <w:webHidden/>
              </w:rPr>
              <w:tab/>
            </w:r>
            <w:r>
              <w:rPr>
                <w:noProof/>
                <w:webHidden/>
              </w:rPr>
              <w:fldChar w:fldCharType="begin"/>
            </w:r>
            <w:r>
              <w:rPr>
                <w:noProof/>
                <w:webHidden/>
              </w:rPr>
              <w:instrText xml:space="preserve"> PAGEREF _Toc238725210 \h </w:instrText>
            </w:r>
            <w:r>
              <w:rPr>
                <w:noProof/>
                <w:webHidden/>
              </w:rPr>
            </w:r>
            <w:r>
              <w:rPr>
                <w:noProof/>
                <w:webHidden/>
              </w:rPr>
              <w:fldChar w:fldCharType="separate"/>
            </w:r>
            <w:r>
              <w:rPr>
                <w:noProof/>
                <w:webHidden/>
              </w:rPr>
              <w:t>71</w:t>
            </w:r>
            <w:r>
              <w:rPr>
                <w:noProof/>
                <w:webHidden/>
              </w:rPr>
              <w:fldChar w:fldCharType="end"/>
            </w:r>
          </w:hyperlink>
        </w:p>
        <w:p w14:paraId="26C4781A" w14:textId="1D71D03A" w:rsidR="0031327F" w:rsidRDefault="0031327F">
          <w:pPr>
            <w:pStyle w:val="TOC3"/>
            <w:tabs>
              <w:tab w:val="right" w:leader="dot" w:pos="9350"/>
            </w:tabs>
            <w:rPr>
              <w:rFonts w:eastAsiaTheme="minorEastAsia"/>
              <w:noProof/>
            </w:rPr>
          </w:pPr>
          <w:hyperlink w:anchor="_Toc238725211" w:history="1">
            <w:r w:rsidRPr="00C70E1D">
              <w:rPr>
                <w:rStyle w:val="Hyperlink"/>
                <w:rFonts w:ascii="Arial" w:hAnsi="Arial" w:cs="Arial"/>
                <w:noProof/>
              </w:rPr>
              <w:t>4.4.7 Overall Interpretation of the Evidence</w:t>
            </w:r>
            <w:r>
              <w:rPr>
                <w:noProof/>
                <w:webHidden/>
              </w:rPr>
              <w:tab/>
            </w:r>
            <w:r>
              <w:rPr>
                <w:noProof/>
                <w:webHidden/>
              </w:rPr>
              <w:fldChar w:fldCharType="begin"/>
            </w:r>
            <w:r>
              <w:rPr>
                <w:noProof/>
                <w:webHidden/>
              </w:rPr>
              <w:instrText xml:space="preserve"> PAGEREF _Toc238725211 \h </w:instrText>
            </w:r>
            <w:r>
              <w:rPr>
                <w:noProof/>
                <w:webHidden/>
              </w:rPr>
            </w:r>
            <w:r>
              <w:rPr>
                <w:noProof/>
                <w:webHidden/>
              </w:rPr>
              <w:fldChar w:fldCharType="separate"/>
            </w:r>
            <w:r>
              <w:rPr>
                <w:noProof/>
                <w:webHidden/>
              </w:rPr>
              <w:t>72</w:t>
            </w:r>
            <w:r>
              <w:rPr>
                <w:noProof/>
                <w:webHidden/>
              </w:rPr>
              <w:fldChar w:fldCharType="end"/>
            </w:r>
          </w:hyperlink>
        </w:p>
        <w:p w14:paraId="5A404CB8" w14:textId="76B0ADBD" w:rsidR="0031327F" w:rsidRDefault="0031327F">
          <w:pPr>
            <w:pStyle w:val="TOC2"/>
            <w:tabs>
              <w:tab w:val="right" w:leader="dot" w:pos="9350"/>
            </w:tabs>
            <w:rPr>
              <w:rFonts w:eastAsiaTheme="minorEastAsia"/>
              <w:noProof/>
            </w:rPr>
          </w:pPr>
          <w:hyperlink w:anchor="_Toc238725212" w:history="1">
            <w:r w:rsidRPr="00C70E1D">
              <w:rPr>
                <w:rStyle w:val="Hyperlink"/>
                <w:rFonts w:ascii="Arial" w:hAnsi="Arial" w:cs="Arial"/>
                <w:noProof/>
              </w:rPr>
              <w:t>4.5 Chapter Summary</w:t>
            </w:r>
            <w:r>
              <w:rPr>
                <w:noProof/>
                <w:webHidden/>
              </w:rPr>
              <w:tab/>
            </w:r>
            <w:r>
              <w:rPr>
                <w:noProof/>
                <w:webHidden/>
              </w:rPr>
              <w:fldChar w:fldCharType="begin"/>
            </w:r>
            <w:r>
              <w:rPr>
                <w:noProof/>
                <w:webHidden/>
              </w:rPr>
              <w:instrText xml:space="preserve"> PAGEREF _Toc238725212 \h </w:instrText>
            </w:r>
            <w:r>
              <w:rPr>
                <w:noProof/>
                <w:webHidden/>
              </w:rPr>
            </w:r>
            <w:r>
              <w:rPr>
                <w:noProof/>
                <w:webHidden/>
              </w:rPr>
              <w:fldChar w:fldCharType="separate"/>
            </w:r>
            <w:r>
              <w:rPr>
                <w:noProof/>
                <w:webHidden/>
              </w:rPr>
              <w:t>73</w:t>
            </w:r>
            <w:r>
              <w:rPr>
                <w:noProof/>
                <w:webHidden/>
              </w:rPr>
              <w:fldChar w:fldCharType="end"/>
            </w:r>
          </w:hyperlink>
        </w:p>
        <w:p w14:paraId="6FCC0F6C" w14:textId="4F54A907" w:rsidR="0031327F" w:rsidRDefault="0031327F">
          <w:pPr>
            <w:pStyle w:val="TOC1"/>
            <w:tabs>
              <w:tab w:val="right" w:leader="dot" w:pos="9350"/>
            </w:tabs>
            <w:rPr>
              <w:rFonts w:eastAsiaTheme="minorEastAsia"/>
              <w:noProof/>
            </w:rPr>
          </w:pPr>
          <w:hyperlink w:anchor="_Toc238725213" w:history="1">
            <w:r w:rsidRPr="00C70E1D">
              <w:rPr>
                <w:rStyle w:val="Hyperlink"/>
                <w:rFonts w:ascii="Arial" w:hAnsi="Arial" w:cs="Arial"/>
                <w:noProof/>
              </w:rPr>
              <w:t>Chapter 5: Conclusions and Recommendations</w:t>
            </w:r>
            <w:r>
              <w:rPr>
                <w:noProof/>
                <w:webHidden/>
              </w:rPr>
              <w:tab/>
            </w:r>
            <w:r>
              <w:rPr>
                <w:noProof/>
                <w:webHidden/>
              </w:rPr>
              <w:fldChar w:fldCharType="begin"/>
            </w:r>
            <w:r>
              <w:rPr>
                <w:noProof/>
                <w:webHidden/>
              </w:rPr>
              <w:instrText xml:space="preserve"> PAGEREF _Toc238725213 \h </w:instrText>
            </w:r>
            <w:r>
              <w:rPr>
                <w:noProof/>
                <w:webHidden/>
              </w:rPr>
            </w:r>
            <w:r>
              <w:rPr>
                <w:noProof/>
                <w:webHidden/>
              </w:rPr>
              <w:fldChar w:fldCharType="separate"/>
            </w:r>
            <w:r>
              <w:rPr>
                <w:noProof/>
                <w:webHidden/>
              </w:rPr>
              <w:t>76</w:t>
            </w:r>
            <w:r>
              <w:rPr>
                <w:noProof/>
                <w:webHidden/>
              </w:rPr>
              <w:fldChar w:fldCharType="end"/>
            </w:r>
          </w:hyperlink>
        </w:p>
        <w:p w14:paraId="0278A79C" w14:textId="624A2C19" w:rsidR="0031327F" w:rsidRDefault="0031327F">
          <w:pPr>
            <w:pStyle w:val="TOC2"/>
            <w:tabs>
              <w:tab w:val="right" w:leader="dot" w:pos="9350"/>
            </w:tabs>
            <w:rPr>
              <w:rFonts w:eastAsiaTheme="minorEastAsia"/>
              <w:noProof/>
            </w:rPr>
          </w:pPr>
          <w:hyperlink w:anchor="_Toc238725214" w:history="1">
            <w:r w:rsidRPr="00C70E1D">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_Toc238725214 \h </w:instrText>
            </w:r>
            <w:r>
              <w:rPr>
                <w:noProof/>
                <w:webHidden/>
              </w:rPr>
            </w:r>
            <w:r>
              <w:rPr>
                <w:noProof/>
                <w:webHidden/>
              </w:rPr>
              <w:fldChar w:fldCharType="separate"/>
            </w:r>
            <w:r>
              <w:rPr>
                <w:noProof/>
                <w:webHidden/>
              </w:rPr>
              <w:t>76</w:t>
            </w:r>
            <w:r>
              <w:rPr>
                <w:noProof/>
                <w:webHidden/>
              </w:rPr>
              <w:fldChar w:fldCharType="end"/>
            </w:r>
          </w:hyperlink>
        </w:p>
        <w:p w14:paraId="69C2CB6F" w14:textId="2AD8E3E4" w:rsidR="0031327F" w:rsidRDefault="0031327F">
          <w:pPr>
            <w:pStyle w:val="TOC2"/>
            <w:tabs>
              <w:tab w:val="right" w:leader="dot" w:pos="9350"/>
            </w:tabs>
            <w:rPr>
              <w:rFonts w:eastAsiaTheme="minorEastAsia"/>
              <w:noProof/>
            </w:rPr>
          </w:pPr>
          <w:hyperlink w:anchor="_Toc238725215" w:history="1">
            <w:r w:rsidRPr="00C70E1D">
              <w:rPr>
                <w:rStyle w:val="Hyperlink"/>
                <w:rFonts w:ascii="Arial" w:hAnsi="Arial" w:cs="Arial"/>
                <w:noProof/>
              </w:rPr>
              <w:t>5.2 Summary of Main Findings</w:t>
            </w:r>
            <w:r>
              <w:rPr>
                <w:noProof/>
                <w:webHidden/>
              </w:rPr>
              <w:tab/>
            </w:r>
            <w:r>
              <w:rPr>
                <w:noProof/>
                <w:webHidden/>
              </w:rPr>
              <w:fldChar w:fldCharType="begin"/>
            </w:r>
            <w:r>
              <w:rPr>
                <w:noProof/>
                <w:webHidden/>
              </w:rPr>
              <w:instrText xml:space="preserve"> PAGEREF _Toc238725215 \h </w:instrText>
            </w:r>
            <w:r>
              <w:rPr>
                <w:noProof/>
                <w:webHidden/>
              </w:rPr>
            </w:r>
            <w:r>
              <w:rPr>
                <w:noProof/>
                <w:webHidden/>
              </w:rPr>
              <w:fldChar w:fldCharType="separate"/>
            </w:r>
            <w:r>
              <w:rPr>
                <w:noProof/>
                <w:webHidden/>
              </w:rPr>
              <w:t>76</w:t>
            </w:r>
            <w:r>
              <w:rPr>
                <w:noProof/>
                <w:webHidden/>
              </w:rPr>
              <w:fldChar w:fldCharType="end"/>
            </w:r>
          </w:hyperlink>
        </w:p>
        <w:p w14:paraId="71035144" w14:textId="11841C8B" w:rsidR="0031327F" w:rsidRDefault="0031327F">
          <w:pPr>
            <w:pStyle w:val="TOC2"/>
            <w:tabs>
              <w:tab w:val="right" w:leader="dot" w:pos="9350"/>
            </w:tabs>
            <w:rPr>
              <w:rFonts w:eastAsiaTheme="minorEastAsia"/>
              <w:noProof/>
            </w:rPr>
          </w:pPr>
          <w:hyperlink w:anchor="_Toc238725216" w:history="1">
            <w:r w:rsidRPr="00C70E1D">
              <w:rPr>
                <w:rStyle w:val="Hyperlink"/>
                <w:rFonts w:ascii="Arial" w:hAnsi="Arial" w:cs="Arial"/>
                <w:noProof/>
              </w:rPr>
              <w:t>5.3 Conclusions Based on Research Questions</w:t>
            </w:r>
            <w:r>
              <w:rPr>
                <w:noProof/>
                <w:webHidden/>
              </w:rPr>
              <w:tab/>
            </w:r>
            <w:r>
              <w:rPr>
                <w:noProof/>
                <w:webHidden/>
              </w:rPr>
              <w:fldChar w:fldCharType="begin"/>
            </w:r>
            <w:r>
              <w:rPr>
                <w:noProof/>
                <w:webHidden/>
              </w:rPr>
              <w:instrText xml:space="preserve"> PAGEREF _Toc238725216 \h </w:instrText>
            </w:r>
            <w:r>
              <w:rPr>
                <w:noProof/>
                <w:webHidden/>
              </w:rPr>
            </w:r>
            <w:r>
              <w:rPr>
                <w:noProof/>
                <w:webHidden/>
              </w:rPr>
              <w:fldChar w:fldCharType="separate"/>
            </w:r>
            <w:r>
              <w:rPr>
                <w:noProof/>
                <w:webHidden/>
              </w:rPr>
              <w:t>78</w:t>
            </w:r>
            <w:r>
              <w:rPr>
                <w:noProof/>
                <w:webHidden/>
              </w:rPr>
              <w:fldChar w:fldCharType="end"/>
            </w:r>
          </w:hyperlink>
        </w:p>
        <w:p w14:paraId="27519CC9" w14:textId="215C8044" w:rsidR="0031327F" w:rsidRDefault="0031327F">
          <w:pPr>
            <w:pStyle w:val="TOC3"/>
            <w:tabs>
              <w:tab w:val="right" w:leader="dot" w:pos="9350"/>
            </w:tabs>
            <w:rPr>
              <w:rFonts w:eastAsiaTheme="minorEastAsia"/>
              <w:noProof/>
            </w:rPr>
          </w:pPr>
          <w:hyperlink w:anchor="_Toc238725217" w:history="1">
            <w:r w:rsidRPr="00C70E1D">
              <w:rPr>
                <w:rStyle w:val="Hyperlink"/>
                <w:noProof/>
              </w:rPr>
              <w:t>5.3.1 RQ1: How Has CSR Developed Since Jones et al. (2005)?</w:t>
            </w:r>
            <w:r>
              <w:rPr>
                <w:noProof/>
                <w:webHidden/>
              </w:rPr>
              <w:tab/>
            </w:r>
            <w:r>
              <w:rPr>
                <w:noProof/>
                <w:webHidden/>
              </w:rPr>
              <w:fldChar w:fldCharType="begin"/>
            </w:r>
            <w:r>
              <w:rPr>
                <w:noProof/>
                <w:webHidden/>
              </w:rPr>
              <w:instrText xml:space="preserve"> PAGEREF _Toc238725217 \h </w:instrText>
            </w:r>
            <w:r>
              <w:rPr>
                <w:noProof/>
                <w:webHidden/>
              </w:rPr>
            </w:r>
            <w:r>
              <w:rPr>
                <w:noProof/>
                <w:webHidden/>
              </w:rPr>
              <w:fldChar w:fldCharType="separate"/>
            </w:r>
            <w:r>
              <w:rPr>
                <w:noProof/>
                <w:webHidden/>
              </w:rPr>
              <w:t>78</w:t>
            </w:r>
            <w:r>
              <w:rPr>
                <w:noProof/>
                <w:webHidden/>
              </w:rPr>
              <w:fldChar w:fldCharType="end"/>
            </w:r>
          </w:hyperlink>
        </w:p>
        <w:p w14:paraId="00F880E6" w14:textId="549C4789" w:rsidR="0031327F" w:rsidRDefault="0031327F">
          <w:pPr>
            <w:pStyle w:val="TOC3"/>
            <w:tabs>
              <w:tab w:val="right" w:leader="dot" w:pos="9350"/>
            </w:tabs>
            <w:rPr>
              <w:rFonts w:eastAsiaTheme="minorEastAsia"/>
              <w:noProof/>
            </w:rPr>
          </w:pPr>
          <w:hyperlink w:anchor="_Toc238725218" w:history="1">
            <w:r w:rsidRPr="00C70E1D">
              <w:rPr>
                <w:rStyle w:val="Hyperlink"/>
                <w:rFonts w:ascii="Arial" w:hAnsi="Arial" w:cs="Arial"/>
                <w:noProof/>
              </w:rPr>
              <w:t>5.3.2 RQ2: What Evidence Exists of Substantive CSR Integration?</w:t>
            </w:r>
            <w:r>
              <w:rPr>
                <w:noProof/>
                <w:webHidden/>
              </w:rPr>
              <w:tab/>
            </w:r>
            <w:r>
              <w:rPr>
                <w:noProof/>
                <w:webHidden/>
              </w:rPr>
              <w:fldChar w:fldCharType="begin"/>
            </w:r>
            <w:r>
              <w:rPr>
                <w:noProof/>
                <w:webHidden/>
              </w:rPr>
              <w:instrText xml:space="preserve"> PAGEREF _Toc238725218 \h </w:instrText>
            </w:r>
            <w:r>
              <w:rPr>
                <w:noProof/>
                <w:webHidden/>
              </w:rPr>
            </w:r>
            <w:r>
              <w:rPr>
                <w:noProof/>
                <w:webHidden/>
              </w:rPr>
              <w:fldChar w:fldCharType="separate"/>
            </w:r>
            <w:r>
              <w:rPr>
                <w:noProof/>
                <w:webHidden/>
              </w:rPr>
              <w:t>79</w:t>
            </w:r>
            <w:r>
              <w:rPr>
                <w:noProof/>
                <w:webHidden/>
              </w:rPr>
              <w:fldChar w:fldCharType="end"/>
            </w:r>
          </w:hyperlink>
        </w:p>
        <w:p w14:paraId="58759BAB" w14:textId="366104F6" w:rsidR="0031327F" w:rsidRDefault="0031327F">
          <w:pPr>
            <w:pStyle w:val="TOC3"/>
            <w:tabs>
              <w:tab w:val="right" w:leader="dot" w:pos="9350"/>
            </w:tabs>
            <w:rPr>
              <w:rFonts w:eastAsiaTheme="minorEastAsia"/>
              <w:noProof/>
            </w:rPr>
          </w:pPr>
          <w:hyperlink w:anchor="_Toc238725219" w:history="1">
            <w:r w:rsidRPr="00C70E1D">
              <w:rPr>
                <w:rStyle w:val="Hyperlink"/>
                <w:rFonts w:ascii="Arial" w:hAnsi="Arial" w:cs="Arial"/>
                <w:noProof/>
              </w:rPr>
              <w:t>5.3.3 RQ3: How Do Business Models Differ?</w:t>
            </w:r>
            <w:r>
              <w:rPr>
                <w:noProof/>
                <w:webHidden/>
              </w:rPr>
              <w:tab/>
            </w:r>
            <w:r>
              <w:rPr>
                <w:noProof/>
                <w:webHidden/>
              </w:rPr>
              <w:fldChar w:fldCharType="begin"/>
            </w:r>
            <w:r>
              <w:rPr>
                <w:noProof/>
                <w:webHidden/>
              </w:rPr>
              <w:instrText xml:space="preserve"> PAGEREF _Toc238725219 \h </w:instrText>
            </w:r>
            <w:r>
              <w:rPr>
                <w:noProof/>
                <w:webHidden/>
              </w:rPr>
            </w:r>
            <w:r>
              <w:rPr>
                <w:noProof/>
                <w:webHidden/>
              </w:rPr>
              <w:fldChar w:fldCharType="separate"/>
            </w:r>
            <w:r>
              <w:rPr>
                <w:noProof/>
                <w:webHidden/>
              </w:rPr>
              <w:t>79</w:t>
            </w:r>
            <w:r>
              <w:rPr>
                <w:noProof/>
                <w:webHidden/>
              </w:rPr>
              <w:fldChar w:fldCharType="end"/>
            </w:r>
          </w:hyperlink>
        </w:p>
        <w:p w14:paraId="32E1DE18" w14:textId="29353B89" w:rsidR="0031327F" w:rsidRDefault="0031327F">
          <w:pPr>
            <w:pStyle w:val="TOC3"/>
            <w:tabs>
              <w:tab w:val="right" w:leader="dot" w:pos="9350"/>
            </w:tabs>
            <w:rPr>
              <w:rFonts w:eastAsiaTheme="minorEastAsia"/>
              <w:noProof/>
            </w:rPr>
          </w:pPr>
          <w:hyperlink w:anchor="_Toc238725220" w:history="1">
            <w:r w:rsidRPr="00C70E1D">
              <w:rPr>
                <w:rStyle w:val="Hyperlink"/>
                <w:rFonts w:ascii="Arial" w:hAnsi="Arial" w:cs="Arial"/>
                <w:noProof/>
              </w:rPr>
              <w:t>5.3.4 RQ4: How Are Emerging Priorities Shaping Agendas?</w:t>
            </w:r>
            <w:r>
              <w:rPr>
                <w:noProof/>
                <w:webHidden/>
              </w:rPr>
              <w:tab/>
            </w:r>
            <w:r>
              <w:rPr>
                <w:noProof/>
                <w:webHidden/>
              </w:rPr>
              <w:fldChar w:fldCharType="begin"/>
            </w:r>
            <w:r>
              <w:rPr>
                <w:noProof/>
                <w:webHidden/>
              </w:rPr>
              <w:instrText xml:space="preserve"> PAGEREF _Toc238725220 \h </w:instrText>
            </w:r>
            <w:r>
              <w:rPr>
                <w:noProof/>
                <w:webHidden/>
              </w:rPr>
            </w:r>
            <w:r>
              <w:rPr>
                <w:noProof/>
                <w:webHidden/>
              </w:rPr>
              <w:fldChar w:fldCharType="separate"/>
            </w:r>
            <w:r>
              <w:rPr>
                <w:noProof/>
                <w:webHidden/>
              </w:rPr>
              <w:t>80</w:t>
            </w:r>
            <w:r>
              <w:rPr>
                <w:noProof/>
                <w:webHidden/>
              </w:rPr>
              <w:fldChar w:fldCharType="end"/>
            </w:r>
          </w:hyperlink>
        </w:p>
        <w:p w14:paraId="1E11FE09" w14:textId="12C0737E" w:rsidR="0031327F" w:rsidRDefault="0031327F">
          <w:pPr>
            <w:pStyle w:val="TOC2"/>
            <w:tabs>
              <w:tab w:val="right" w:leader="dot" w:pos="9350"/>
            </w:tabs>
            <w:rPr>
              <w:rFonts w:eastAsiaTheme="minorEastAsia"/>
              <w:noProof/>
            </w:rPr>
          </w:pPr>
          <w:hyperlink w:anchor="_Toc238725221" w:history="1">
            <w:r w:rsidRPr="00C70E1D">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_Toc238725221 \h </w:instrText>
            </w:r>
            <w:r>
              <w:rPr>
                <w:noProof/>
                <w:webHidden/>
              </w:rPr>
            </w:r>
            <w:r>
              <w:rPr>
                <w:noProof/>
                <w:webHidden/>
              </w:rPr>
              <w:fldChar w:fldCharType="separate"/>
            </w:r>
            <w:r>
              <w:rPr>
                <w:noProof/>
                <w:webHidden/>
              </w:rPr>
              <w:t>80</w:t>
            </w:r>
            <w:r>
              <w:rPr>
                <w:noProof/>
                <w:webHidden/>
              </w:rPr>
              <w:fldChar w:fldCharType="end"/>
            </w:r>
          </w:hyperlink>
        </w:p>
        <w:p w14:paraId="334B6567" w14:textId="3F9AE156" w:rsidR="0031327F" w:rsidRDefault="0031327F">
          <w:pPr>
            <w:pStyle w:val="TOC2"/>
            <w:tabs>
              <w:tab w:val="right" w:leader="dot" w:pos="9350"/>
            </w:tabs>
            <w:rPr>
              <w:rFonts w:eastAsiaTheme="minorEastAsia"/>
              <w:noProof/>
            </w:rPr>
          </w:pPr>
          <w:hyperlink w:anchor="_Toc238725222" w:history="1">
            <w:r w:rsidRPr="00C70E1D">
              <w:rPr>
                <w:rStyle w:val="Hyperlink"/>
                <w:rFonts w:ascii="Arial" w:hAnsi="Arial" w:cs="Arial"/>
                <w:noProof/>
              </w:rPr>
              <w:t>5.6 Priorities for Future Research</w:t>
            </w:r>
            <w:r>
              <w:rPr>
                <w:noProof/>
                <w:webHidden/>
              </w:rPr>
              <w:tab/>
            </w:r>
            <w:r>
              <w:rPr>
                <w:noProof/>
                <w:webHidden/>
              </w:rPr>
              <w:fldChar w:fldCharType="begin"/>
            </w:r>
            <w:r>
              <w:rPr>
                <w:noProof/>
                <w:webHidden/>
              </w:rPr>
              <w:instrText xml:space="preserve"> PAGEREF _Toc238725222 \h </w:instrText>
            </w:r>
            <w:r>
              <w:rPr>
                <w:noProof/>
                <w:webHidden/>
              </w:rPr>
            </w:r>
            <w:r>
              <w:rPr>
                <w:noProof/>
                <w:webHidden/>
              </w:rPr>
              <w:fldChar w:fldCharType="separate"/>
            </w:r>
            <w:r>
              <w:rPr>
                <w:noProof/>
                <w:webHidden/>
              </w:rPr>
              <w:t>81</w:t>
            </w:r>
            <w:r>
              <w:rPr>
                <w:noProof/>
                <w:webHidden/>
              </w:rPr>
              <w:fldChar w:fldCharType="end"/>
            </w:r>
          </w:hyperlink>
        </w:p>
        <w:p w14:paraId="6E7DFADB" w14:textId="6EEFB520" w:rsidR="0031327F" w:rsidRDefault="0031327F">
          <w:pPr>
            <w:pStyle w:val="TOC2"/>
            <w:tabs>
              <w:tab w:val="right" w:leader="dot" w:pos="9350"/>
            </w:tabs>
            <w:rPr>
              <w:rFonts w:eastAsiaTheme="minorEastAsia"/>
              <w:noProof/>
            </w:rPr>
          </w:pPr>
          <w:hyperlink w:anchor="_Toc238725223" w:history="1">
            <w:r w:rsidRPr="00C70E1D">
              <w:rPr>
                <w:rStyle w:val="Hyperlink"/>
                <w:rFonts w:ascii="Arial" w:hAnsi="Arial" w:cs="Arial"/>
                <w:noProof/>
              </w:rPr>
              <w:t>5.7 Final Reflections and Conclusion</w:t>
            </w:r>
            <w:r>
              <w:rPr>
                <w:noProof/>
                <w:webHidden/>
              </w:rPr>
              <w:tab/>
            </w:r>
            <w:r>
              <w:rPr>
                <w:noProof/>
                <w:webHidden/>
              </w:rPr>
              <w:fldChar w:fldCharType="begin"/>
            </w:r>
            <w:r>
              <w:rPr>
                <w:noProof/>
                <w:webHidden/>
              </w:rPr>
              <w:instrText xml:space="preserve"> PAGEREF _Toc238725223 \h </w:instrText>
            </w:r>
            <w:r>
              <w:rPr>
                <w:noProof/>
                <w:webHidden/>
              </w:rPr>
            </w:r>
            <w:r>
              <w:rPr>
                <w:noProof/>
                <w:webHidden/>
              </w:rPr>
              <w:fldChar w:fldCharType="separate"/>
            </w:r>
            <w:r>
              <w:rPr>
                <w:noProof/>
                <w:webHidden/>
              </w:rPr>
              <w:t>82</w:t>
            </w:r>
            <w:r>
              <w:rPr>
                <w:noProof/>
                <w:webHidden/>
              </w:rPr>
              <w:fldChar w:fldCharType="end"/>
            </w:r>
          </w:hyperlink>
        </w:p>
        <w:p w14:paraId="720D869C" w14:textId="2E2EE5B8" w:rsidR="0031327F" w:rsidRDefault="0031327F">
          <w:pPr>
            <w:pStyle w:val="TOC1"/>
            <w:tabs>
              <w:tab w:val="right" w:leader="dot" w:pos="9350"/>
            </w:tabs>
            <w:rPr>
              <w:rFonts w:eastAsiaTheme="minorEastAsia"/>
              <w:noProof/>
            </w:rPr>
          </w:pPr>
          <w:hyperlink w:anchor="_Toc238725224" w:history="1">
            <w:r w:rsidRPr="00C70E1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_Toc238725224 \h </w:instrText>
            </w:r>
            <w:r>
              <w:rPr>
                <w:noProof/>
                <w:webHidden/>
              </w:rPr>
            </w:r>
            <w:r>
              <w:rPr>
                <w:noProof/>
                <w:webHidden/>
              </w:rPr>
              <w:fldChar w:fldCharType="separate"/>
            </w:r>
            <w:r>
              <w:rPr>
                <w:noProof/>
                <w:webHidden/>
              </w:rPr>
              <w:t>84</w:t>
            </w:r>
            <w:r>
              <w:rPr>
                <w:noProof/>
                <w:webHidden/>
              </w:rPr>
              <w:fldChar w:fldCharType="end"/>
            </w:r>
          </w:hyperlink>
        </w:p>
        <w:p w14:paraId="773C80F3" w14:textId="0BF213F9" w:rsidR="00CD1D85" w:rsidRDefault="00CD1D85">
          <w:r>
            <w:rPr>
              <w:b/>
              <w:bCs/>
              <w:noProof/>
            </w:rPr>
            <w:fldChar w:fldCharType="end"/>
          </w:r>
        </w:p>
      </w:sdtContent>
    </w:sdt>
    <w:p w14:paraId="37EEB86E" w14:textId="77777777" w:rsidR="00C81F38" w:rsidRPr="00791A3F" w:rsidRDefault="00C81F38" w:rsidP="00791A3F">
      <w:pPr>
        <w:pStyle w:val="Heading1"/>
        <w:spacing w:line="360" w:lineRule="auto"/>
        <w:rPr>
          <w:rFonts w:ascii="Arial" w:hAnsi="Arial" w:cs="Arial"/>
        </w:rPr>
      </w:pPr>
    </w:p>
    <w:p w14:paraId="5C2635BE" w14:textId="77777777" w:rsidR="00C81F38" w:rsidRPr="00791A3F" w:rsidRDefault="00C81F38" w:rsidP="00791A3F">
      <w:pPr>
        <w:spacing w:line="360" w:lineRule="auto"/>
        <w:rPr>
          <w:rFonts w:ascii="Arial" w:eastAsiaTheme="majorEastAsia" w:hAnsi="Arial" w:cs="Arial"/>
          <w:color w:val="0F4761" w:themeColor="accent1" w:themeShade="BF"/>
          <w:sz w:val="40"/>
          <w:szCs w:val="40"/>
        </w:rPr>
      </w:pPr>
      <w:r w:rsidRPr="00791A3F">
        <w:rPr>
          <w:rFonts w:ascii="Arial" w:hAnsi="Arial" w:cs="Arial"/>
        </w:rPr>
        <w:br w:type="page"/>
      </w:r>
    </w:p>
    <w:p w14:paraId="40E89570" w14:textId="77777777" w:rsidR="00507FF4" w:rsidRPr="00791A3F" w:rsidRDefault="00507FF4" w:rsidP="00791A3F">
      <w:pPr>
        <w:pStyle w:val="Heading1"/>
        <w:spacing w:line="360" w:lineRule="auto"/>
        <w:rPr>
          <w:rFonts w:ascii="Arial" w:hAnsi="Arial" w:cs="Arial"/>
        </w:rPr>
      </w:pPr>
      <w:bookmarkStart w:id="1" w:name="_Toc238725151"/>
      <w:r w:rsidRPr="00791A3F">
        <w:rPr>
          <w:rFonts w:ascii="Arial" w:hAnsi="Arial" w:cs="Arial"/>
        </w:rPr>
        <w:lastRenderedPageBreak/>
        <w:t>Chapter 1: Introduction</w:t>
      </w:r>
      <w:bookmarkEnd w:id="0"/>
      <w:bookmarkEnd w:id="1"/>
    </w:p>
    <w:p w14:paraId="35B9B43E" w14:textId="77777777" w:rsidR="001D0206" w:rsidRPr="00791A3F" w:rsidRDefault="001D0206" w:rsidP="00791A3F">
      <w:pPr>
        <w:pStyle w:val="Heading2"/>
        <w:spacing w:line="360" w:lineRule="auto"/>
        <w:rPr>
          <w:rFonts w:ascii="Arial" w:hAnsi="Arial" w:cs="Arial"/>
        </w:rPr>
      </w:pPr>
      <w:bookmarkStart w:id="2" w:name="_Toc237956875"/>
      <w:bookmarkStart w:id="3" w:name="_Toc238725152"/>
      <w:r w:rsidRPr="00791A3F">
        <w:rPr>
          <w:rFonts w:ascii="Arial" w:hAnsi="Arial" w:cs="Arial"/>
        </w:rPr>
        <w:t>1.1 Background and Problem Statement</w:t>
      </w:r>
      <w:bookmarkEnd w:id="2"/>
      <w:bookmarkEnd w:id="3"/>
    </w:p>
    <w:p w14:paraId="30447E19" w14:textId="77777777" w:rsidR="005903F1" w:rsidRPr="00791A3F" w:rsidRDefault="005903F1" w:rsidP="00791A3F">
      <w:pPr>
        <w:spacing w:line="360" w:lineRule="auto"/>
        <w:jc w:val="both"/>
        <w:rPr>
          <w:rFonts w:ascii="Arial" w:hAnsi="Arial" w:cs="Arial"/>
        </w:rPr>
      </w:pPr>
      <w:r w:rsidRPr="00791A3F">
        <w:rPr>
          <w:rFonts w:ascii="Arial" w:hAnsi="Arial" w:cs="Arial"/>
        </w:rPr>
        <w:t>Originally a philanthropic gesture, CSR is now an integral part of the company’s strategy, legitimacy, competitiveness, and stakeholder governance (Gond et al., 2020; Sharma et al., 2022). It is important in the case of the UK food retail sector, especially for the large-scale retailers, who have a dominant position in the global food supply chain and exert influence over the food production process, diet, employment and community wellbeing (Jones et al., 2005). Strategic importance of sustainability has increased since the mid-2000s, driven by pressures from climate change, biodiversity loss, vulnerability of supply chains, regulation, and investor expectations (Christensen et al., 2021; UK Government, 2021).</w:t>
      </w:r>
    </w:p>
    <w:p w14:paraId="088176E1" w14:textId="77777777" w:rsidR="00CC2C34" w:rsidRPr="00791A3F" w:rsidRDefault="00CC2C34" w:rsidP="00791A3F">
      <w:pPr>
        <w:spacing w:line="360" w:lineRule="auto"/>
        <w:jc w:val="both"/>
        <w:rPr>
          <w:rFonts w:ascii="Arial" w:hAnsi="Arial" w:cs="Arial"/>
        </w:rPr>
      </w:pPr>
      <w:r w:rsidRPr="00791A3F">
        <w:rPr>
          <w:rFonts w:ascii="Arial" w:hAnsi="Arial" w:cs="Arial"/>
        </w:rPr>
        <w:t>COVID-19 amplified these stresses, including the importance of resilient food systems, and the importance of supporting workers and communities (Hobbs, 2021; Pantano et al., 2020). At the same time, however, the expectations for proof that would support assertions of corporate sustainability have increased, including through the recent development of ESG investing frameworks, digital transparency technologies, media attention, and civil-society campaigns. The role of symbolic CSR (i.e. communication without operational action) is increasingly being called into question (Lyon and Maxwell, 2011; Torelli et al. 2020).</w:t>
      </w:r>
    </w:p>
    <w:p w14:paraId="5F049BDF" w14:textId="68D32D65" w:rsidR="005903F1" w:rsidRPr="00791A3F" w:rsidRDefault="005903F1" w:rsidP="00791A3F">
      <w:pPr>
        <w:spacing w:line="360" w:lineRule="auto"/>
        <w:jc w:val="both"/>
        <w:rPr>
          <w:rFonts w:ascii="Arial" w:hAnsi="Arial" w:cs="Arial"/>
        </w:rPr>
      </w:pPr>
      <w:r w:rsidRPr="00791A3F">
        <w:rPr>
          <w:rFonts w:ascii="Arial" w:hAnsi="Arial" w:cs="Arial"/>
        </w:rPr>
        <w:t>Food retailers in the UK now have comprehensive sustainability reports, based on frameworks like GRI, TCFD and SASB (Hahn and Kühnen, 2013; Michelon et al., 2020). But greater transparency brings up a fundamental question: does it help to create a transformation in operations or simply for image management?</w:t>
      </w:r>
    </w:p>
    <w:p w14:paraId="4EDCA1A3" w14:textId="6EE38E4D" w:rsidR="005903F1" w:rsidRPr="00791A3F" w:rsidRDefault="00CC2C34" w:rsidP="00791A3F">
      <w:pPr>
        <w:spacing w:line="360" w:lineRule="auto"/>
        <w:jc w:val="both"/>
        <w:rPr>
          <w:rFonts w:ascii="Arial" w:hAnsi="Arial" w:cs="Arial"/>
        </w:rPr>
      </w:pPr>
      <w:r w:rsidRPr="00791A3F">
        <w:rPr>
          <w:rFonts w:ascii="Arial" w:hAnsi="Arial" w:cs="Arial"/>
        </w:rPr>
        <w:t xml:space="preserve">The CSR implementation gap is the gap between CSR discourse and implementation (Torelli et al., 2020). Although symbolic CSR is more about communication and disclosure than transformation, substantive CSR incorporates sustainability into the company's business strategies, operations, and supply chain governance and decision making (Walker and Wan, 2012; Siano et al., 2017; Marquis et al., 2016). This gap is closely </w:t>
      </w:r>
      <w:r w:rsidRPr="00791A3F">
        <w:rPr>
          <w:rFonts w:ascii="Arial" w:hAnsi="Arial" w:cs="Arial"/>
        </w:rPr>
        <w:lastRenderedPageBreak/>
        <w:t>related to greenwashing, which can impact the credibility of a company's sustainability claims (Delmas and Burbano, 2011; Lyon and Maxwell, 2011).</w:t>
      </w:r>
    </w:p>
    <w:p w14:paraId="0131CC13" w14:textId="77777777" w:rsidR="005903F1" w:rsidRPr="00791A3F" w:rsidRDefault="005903F1" w:rsidP="00791A3F">
      <w:pPr>
        <w:spacing w:line="360" w:lineRule="auto"/>
        <w:jc w:val="both"/>
        <w:rPr>
          <w:rFonts w:ascii="Arial" w:hAnsi="Arial" w:cs="Arial"/>
        </w:rPr>
      </w:pPr>
      <w:r w:rsidRPr="00791A3F">
        <w:rPr>
          <w:rFonts w:ascii="Arial" w:hAnsi="Arial" w:cs="Arial"/>
        </w:rPr>
        <w:t>Jones et al. (2005) offer a valuable benchmark in looking at food retailers in the UK in the areas of environmental management, ethical sourcing, community involvement, employee wellbeing and customer relationships. There have been significant changes to the institutional landscape since then, for example, from the Modern Slavery Act 2015, the requirement for TCFD reporting, net-zero commitments and packaging regulation (LeBaron and Lister, 2022; Stevenson and Cole, 2021; UK Government, 2021). Other priorities have also surfaced, such as Scope 3 emissions, circular economy, social justice and public health issues relating to ultra-processed foods (CDP 2023, Sacks et al., 2020, Taillie et al., 2020).</w:t>
      </w:r>
    </w:p>
    <w:p w14:paraId="6E6EB0EB" w14:textId="77777777" w:rsidR="00A72DED" w:rsidRPr="00791A3F" w:rsidRDefault="005903F1" w:rsidP="00791A3F">
      <w:pPr>
        <w:spacing w:line="360" w:lineRule="auto"/>
        <w:jc w:val="both"/>
        <w:rPr>
          <w:rFonts w:ascii="Arial" w:hAnsi="Arial" w:cs="Arial"/>
        </w:rPr>
      </w:pPr>
      <w:r w:rsidRPr="00791A3F">
        <w:rPr>
          <w:rFonts w:ascii="Arial" w:hAnsi="Arial" w:cs="Arial"/>
        </w:rPr>
        <w:t>Despite these developments, there is still not a wealth of longitudinal data that can be correlated to disclosure growth and operational transformation. The research also fails to offer adequate comparisons between mainstream supermarkets and discount stores and cooperative models due to ownership, margins, governance and stakeholder structure (Birchall, 2013). This study thus compares CSR development between 2005 and 2025 with the help of clear criteria to differentiate substantive integration from symbolic conformity.</w:t>
      </w:r>
    </w:p>
    <w:p w14:paraId="2786142C" w14:textId="77777777" w:rsidR="001D0206" w:rsidRPr="00791A3F" w:rsidRDefault="001D0206" w:rsidP="00791A3F">
      <w:pPr>
        <w:pStyle w:val="Heading2"/>
        <w:spacing w:line="360" w:lineRule="auto"/>
        <w:rPr>
          <w:rFonts w:ascii="Arial" w:hAnsi="Arial" w:cs="Arial"/>
        </w:rPr>
      </w:pPr>
      <w:bookmarkStart w:id="4" w:name="_Toc237956876"/>
      <w:bookmarkStart w:id="5" w:name="_Toc238725153"/>
      <w:r w:rsidRPr="00791A3F">
        <w:rPr>
          <w:rFonts w:ascii="Arial" w:hAnsi="Arial" w:cs="Arial"/>
        </w:rPr>
        <w:t>1.2 Research Aim</w:t>
      </w:r>
      <w:bookmarkEnd w:id="4"/>
      <w:bookmarkEnd w:id="5"/>
    </w:p>
    <w:p w14:paraId="5DC0911B" w14:textId="77777777" w:rsidR="00687B77" w:rsidRPr="00791A3F" w:rsidRDefault="00687B77" w:rsidP="00791A3F">
      <w:pPr>
        <w:spacing w:line="360" w:lineRule="auto"/>
        <w:jc w:val="both"/>
        <w:rPr>
          <w:rFonts w:ascii="Arial" w:hAnsi="Arial" w:cs="Arial"/>
        </w:rPr>
      </w:pPr>
      <w:r w:rsidRPr="00791A3F">
        <w:rPr>
          <w:rFonts w:ascii="Arial" w:hAnsi="Arial" w:cs="Arial"/>
        </w:rPr>
        <w:t>This study is designed to assess the changes in the CSR of the UK food retail industry from 2005 to 2025. It draws on Jones et al. (2005) as a benchmark to determine if the leading retailers have progressed from symbolic reporting to substantive integration of CSR into their core business and explores the impact of different types of business model on CSR depth and authenticity.</w:t>
      </w:r>
    </w:p>
    <w:p w14:paraId="3F8BB0B2" w14:textId="77777777" w:rsidR="001D0206" w:rsidRPr="00791A3F" w:rsidRDefault="001D0206" w:rsidP="00791A3F">
      <w:pPr>
        <w:pStyle w:val="Heading2"/>
        <w:spacing w:line="360" w:lineRule="auto"/>
        <w:rPr>
          <w:rFonts w:ascii="Arial" w:hAnsi="Arial" w:cs="Arial"/>
        </w:rPr>
      </w:pPr>
      <w:bookmarkStart w:id="6" w:name="_Toc237956877"/>
      <w:bookmarkStart w:id="7" w:name="_Toc238725154"/>
      <w:r w:rsidRPr="00791A3F">
        <w:rPr>
          <w:rFonts w:ascii="Arial" w:hAnsi="Arial" w:cs="Arial"/>
        </w:rPr>
        <w:t>1.3 Research Objectives</w:t>
      </w:r>
      <w:bookmarkEnd w:id="6"/>
      <w:bookmarkEnd w:id="7"/>
    </w:p>
    <w:p w14:paraId="6D06681D" w14:textId="77777777" w:rsidR="00D2275A" w:rsidRPr="00791A3F" w:rsidRDefault="00D2275A" w:rsidP="00791A3F">
      <w:pPr>
        <w:spacing w:line="360" w:lineRule="auto"/>
        <w:jc w:val="both"/>
        <w:rPr>
          <w:rFonts w:ascii="Arial" w:hAnsi="Arial" w:cs="Arial"/>
        </w:rPr>
      </w:pPr>
      <w:r w:rsidRPr="00791A3F">
        <w:rPr>
          <w:rFonts w:ascii="Arial" w:hAnsi="Arial" w:cs="Arial"/>
        </w:rPr>
        <w:t>RO1: To critically examine theoretical perspectives of CSR such as substantive and symbolic CSR, greenwashing and stakeholder accountability within UK food retail.</w:t>
      </w:r>
    </w:p>
    <w:p w14:paraId="2BF1D571" w14:textId="77777777" w:rsidR="006A528C" w:rsidRPr="00791A3F" w:rsidRDefault="006A528C" w:rsidP="00791A3F">
      <w:pPr>
        <w:spacing w:line="360" w:lineRule="auto"/>
        <w:jc w:val="both"/>
        <w:rPr>
          <w:rFonts w:ascii="Arial" w:hAnsi="Arial" w:cs="Arial"/>
        </w:rPr>
      </w:pPr>
      <w:r w:rsidRPr="00791A3F">
        <w:rPr>
          <w:rFonts w:ascii="Arial" w:hAnsi="Arial" w:cs="Arial"/>
        </w:rPr>
        <w:lastRenderedPageBreak/>
        <w:t>RO2: Systematic analysis of CSR disclosures of the 7 main food retailers as per the corporate report, third party evaluation and sustainability rating systems.</w:t>
      </w:r>
    </w:p>
    <w:p w14:paraId="6FD46A4D" w14:textId="6CDB1642" w:rsidR="00D2275A" w:rsidRPr="00791A3F" w:rsidRDefault="00D2275A" w:rsidP="00791A3F">
      <w:pPr>
        <w:spacing w:line="360" w:lineRule="auto"/>
        <w:jc w:val="both"/>
        <w:rPr>
          <w:rFonts w:ascii="Arial" w:hAnsi="Arial" w:cs="Arial"/>
        </w:rPr>
      </w:pPr>
      <w:r w:rsidRPr="00791A3F">
        <w:rPr>
          <w:rFonts w:ascii="Arial" w:hAnsi="Arial" w:cs="Arial"/>
        </w:rPr>
        <w:t>RO3: To compare current CSR practice to Jones et al (2005) baseline data within 5 areas of the CSR process including environmental management, ethical sourcing, employee welfare, community engagement and customer responsibility and include emerging priorities including climate responsibility, circular economy and social justice.</w:t>
      </w:r>
    </w:p>
    <w:p w14:paraId="42FEECEE" w14:textId="77777777" w:rsidR="00D2275A" w:rsidRPr="00791A3F" w:rsidRDefault="00D2275A" w:rsidP="00791A3F">
      <w:pPr>
        <w:spacing w:line="360" w:lineRule="auto"/>
        <w:jc w:val="both"/>
        <w:rPr>
          <w:rFonts w:ascii="Arial" w:hAnsi="Arial" w:cs="Arial"/>
        </w:rPr>
      </w:pPr>
      <w:r w:rsidRPr="00791A3F">
        <w:rPr>
          <w:rFonts w:ascii="Arial" w:hAnsi="Arial" w:cs="Arial"/>
        </w:rPr>
        <w:t>RO4: To evaluate the impact of discount, mainstream and cooperative business models on CSR depth, authenticity and integration into operations.</w:t>
      </w:r>
    </w:p>
    <w:p w14:paraId="11F8988B" w14:textId="77777777" w:rsidR="001D0206" w:rsidRPr="00791A3F" w:rsidRDefault="001D0206" w:rsidP="00791A3F">
      <w:pPr>
        <w:pStyle w:val="Heading2"/>
        <w:spacing w:line="360" w:lineRule="auto"/>
        <w:rPr>
          <w:rFonts w:ascii="Arial" w:hAnsi="Arial" w:cs="Arial"/>
        </w:rPr>
      </w:pPr>
      <w:bookmarkStart w:id="8" w:name="_Toc237956878"/>
      <w:bookmarkStart w:id="9" w:name="_Toc238725155"/>
      <w:r w:rsidRPr="00791A3F">
        <w:rPr>
          <w:rFonts w:ascii="Arial" w:hAnsi="Arial" w:cs="Arial"/>
        </w:rPr>
        <w:t>1.4 Research Questions</w:t>
      </w:r>
      <w:bookmarkEnd w:id="8"/>
      <w:bookmarkEnd w:id="9"/>
    </w:p>
    <w:p w14:paraId="0900CFB6" w14:textId="77777777" w:rsidR="00662FB5" w:rsidRPr="00791A3F" w:rsidRDefault="00662FB5" w:rsidP="00791A3F">
      <w:pPr>
        <w:spacing w:line="360" w:lineRule="auto"/>
        <w:jc w:val="both"/>
        <w:rPr>
          <w:rFonts w:ascii="Arial" w:hAnsi="Arial" w:cs="Arial"/>
        </w:rPr>
      </w:pPr>
      <w:r w:rsidRPr="00791A3F">
        <w:rPr>
          <w:rFonts w:ascii="Arial" w:hAnsi="Arial" w:cs="Arial"/>
        </w:rPr>
        <w:t>RQ1: What is the evolution of CSR from the base put in place by Jones et al. (2005) and how can this evolution be evaluated by looking at integration into the main dimensions of business?</w:t>
      </w:r>
    </w:p>
    <w:p w14:paraId="7F2D29F8" w14:textId="77777777" w:rsidR="00662FB5" w:rsidRPr="00791A3F" w:rsidRDefault="00662FB5" w:rsidP="00791A3F">
      <w:pPr>
        <w:spacing w:line="360" w:lineRule="auto"/>
        <w:jc w:val="both"/>
        <w:rPr>
          <w:rFonts w:ascii="Arial" w:hAnsi="Arial" w:cs="Arial"/>
        </w:rPr>
      </w:pPr>
      <w:r w:rsidRPr="00791A3F">
        <w:rPr>
          <w:rFonts w:ascii="Arial" w:hAnsi="Arial" w:cs="Arial"/>
        </w:rPr>
        <w:t>RQ2: What are the empirical findings on the integration of substantive CSR as opposed to symbolic CSR in terms of environmental management, ethical sourcing, employee welfare, community engagement and customer responsibility?</w:t>
      </w:r>
    </w:p>
    <w:p w14:paraId="02AFF96C" w14:textId="77777777" w:rsidR="00662FB5" w:rsidRPr="00791A3F" w:rsidRDefault="00662FB5" w:rsidP="00791A3F">
      <w:pPr>
        <w:spacing w:line="360" w:lineRule="auto"/>
        <w:jc w:val="both"/>
        <w:rPr>
          <w:rFonts w:ascii="Arial" w:hAnsi="Arial" w:cs="Arial"/>
        </w:rPr>
      </w:pPr>
      <w:r w:rsidRPr="00791A3F">
        <w:rPr>
          <w:rFonts w:ascii="Arial" w:hAnsi="Arial" w:cs="Arial"/>
        </w:rPr>
        <w:t>RQ3: What are the differences in CSR strategies and intensity of implementation between discount, mainstream and co-operative retail models and what are the structural causes for these differences?</w:t>
      </w:r>
    </w:p>
    <w:p w14:paraId="34004E1F" w14:textId="77777777" w:rsidR="00662FB5" w:rsidRPr="00791A3F" w:rsidRDefault="00662FB5" w:rsidP="00791A3F">
      <w:pPr>
        <w:spacing w:line="360" w:lineRule="auto"/>
        <w:jc w:val="both"/>
        <w:rPr>
          <w:rFonts w:ascii="Arial" w:hAnsi="Arial" w:cs="Arial"/>
        </w:rPr>
      </w:pPr>
      <w:r w:rsidRPr="00791A3F">
        <w:rPr>
          <w:rFonts w:ascii="Arial" w:hAnsi="Arial" w:cs="Arial"/>
        </w:rPr>
        <w:t>RQ4: What impact are emerging priorities (such as Scope 3 emissions, circular economy themes and practices, prevention of modern slavery, and prevention of harm to health) having on CSR agendas and how are they becoming part of operational action?</w:t>
      </w:r>
    </w:p>
    <w:p w14:paraId="0AC1C359" w14:textId="77777777" w:rsidR="001D0206" w:rsidRPr="00791A3F" w:rsidRDefault="001D0206" w:rsidP="00791A3F">
      <w:pPr>
        <w:pStyle w:val="Heading2"/>
        <w:spacing w:line="360" w:lineRule="auto"/>
        <w:rPr>
          <w:rFonts w:ascii="Arial" w:hAnsi="Arial" w:cs="Arial"/>
        </w:rPr>
      </w:pPr>
      <w:bookmarkStart w:id="10" w:name="_Toc237956879"/>
      <w:bookmarkStart w:id="11" w:name="_Toc238725156"/>
      <w:r w:rsidRPr="00791A3F">
        <w:rPr>
          <w:rFonts w:ascii="Arial" w:hAnsi="Arial" w:cs="Arial"/>
        </w:rPr>
        <w:t>1.5 Significance / Relevance of Study</w:t>
      </w:r>
      <w:bookmarkEnd w:id="10"/>
      <w:bookmarkEnd w:id="11"/>
    </w:p>
    <w:p w14:paraId="466FEDC5" w14:textId="77777777" w:rsidR="00DA3036" w:rsidRPr="00791A3F" w:rsidRDefault="00DA3036" w:rsidP="00791A3F">
      <w:pPr>
        <w:spacing w:line="360" w:lineRule="auto"/>
        <w:jc w:val="both"/>
        <w:rPr>
          <w:rFonts w:ascii="Arial" w:hAnsi="Arial" w:cs="Arial"/>
        </w:rPr>
      </w:pPr>
      <w:r w:rsidRPr="00791A3F">
        <w:rPr>
          <w:rFonts w:ascii="Arial" w:hAnsi="Arial" w:cs="Arial"/>
        </w:rPr>
        <w:t>The research has policy, stakeholder and scholarship value. Governments now require organisations to take “concrete steps” on net zero, climate disclosure and supply-chain due diligence (UK Government, 2021; Christensen et al., 2021). The aim of this study is to assess the extent to which such developments seem to reinforce substantive CSR.</w:t>
      </w:r>
    </w:p>
    <w:p w14:paraId="4F01807F" w14:textId="77777777" w:rsidR="00DA3036" w:rsidRPr="00791A3F" w:rsidRDefault="00DA3036" w:rsidP="00791A3F">
      <w:pPr>
        <w:spacing w:line="360" w:lineRule="auto"/>
        <w:jc w:val="both"/>
        <w:rPr>
          <w:rFonts w:ascii="Arial" w:hAnsi="Arial" w:cs="Arial"/>
        </w:rPr>
      </w:pPr>
      <w:r w:rsidRPr="00791A3F">
        <w:rPr>
          <w:rFonts w:ascii="Arial" w:hAnsi="Arial" w:cs="Arial"/>
        </w:rPr>
        <w:lastRenderedPageBreak/>
        <w:t>Consumers and investors are no longer satisfied with words alone when it comes to sustainability (Christensen et al., 2021; White et al., 2020). The evaluative criteria in the study offer a structured method to differentiate disclosure quality from operational performance.</w:t>
      </w:r>
    </w:p>
    <w:p w14:paraId="07AB717D" w14:textId="77777777" w:rsidR="00DA3036" w:rsidRPr="00791A3F" w:rsidRDefault="00DA3036" w:rsidP="00791A3F">
      <w:pPr>
        <w:spacing w:line="360" w:lineRule="auto"/>
        <w:jc w:val="both"/>
        <w:rPr>
          <w:rFonts w:ascii="Arial" w:hAnsi="Arial" w:cs="Arial"/>
        </w:rPr>
      </w:pPr>
      <w:r w:rsidRPr="00791A3F">
        <w:rPr>
          <w:rFonts w:ascii="Arial" w:hAnsi="Arial" w:cs="Arial"/>
        </w:rPr>
        <w:t>The research has three academic contributions. First of all, it offers a longitudinal evaluation of food-retail CSR since the baseline of Jones et al. (2005). Secondly, it reviews the under-researched linkage between business model differentiation and CSR depth. Third, it translates the substantive-symbolic CSR continuum into five criteria: verifiability, measurability, accountability, integration and comparability.</w:t>
      </w:r>
    </w:p>
    <w:p w14:paraId="572D8AB8" w14:textId="77777777" w:rsidR="00DA3036" w:rsidRPr="00791A3F" w:rsidRDefault="00DA3036" w:rsidP="00791A3F">
      <w:pPr>
        <w:spacing w:line="360" w:lineRule="auto"/>
        <w:jc w:val="both"/>
        <w:rPr>
          <w:rFonts w:ascii="Arial" w:hAnsi="Arial" w:cs="Arial"/>
        </w:rPr>
      </w:pPr>
      <w:r w:rsidRPr="00791A3F">
        <w:rPr>
          <w:rFonts w:ascii="Arial" w:hAnsi="Arial" w:cs="Arial"/>
        </w:rPr>
        <w:t>The results can thus be applied to retailers, sustainability managers, investors, civil-society organisations and consumers looking to better understand what is truly happening here and how they can spot greenwashing from real sustainability transformation.</w:t>
      </w:r>
    </w:p>
    <w:p w14:paraId="092FAB89" w14:textId="77777777" w:rsidR="001D0206" w:rsidRPr="00791A3F" w:rsidRDefault="001D0206" w:rsidP="00791A3F">
      <w:pPr>
        <w:pStyle w:val="Heading2"/>
        <w:spacing w:line="360" w:lineRule="auto"/>
        <w:rPr>
          <w:rFonts w:ascii="Arial" w:hAnsi="Arial" w:cs="Arial"/>
        </w:rPr>
      </w:pPr>
      <w:bookmarkStart w:id="12" w:name="_Toc237956880"/>
      <w:bookmarkStart w:id="13" w:name="_Toc238725157"/>
      <w:r w:rsidRPr="00791A3F">
        <w:rPr>
          <w:rFonts w:ascii="Arial" w:hAnsi="Arial" w:cs="Arial"/>
        </w:rPr>
        <w:t>1.6 Brief Research Methodology</w:t>
      </w:r>
      <w:bookmarkEnd w:id="12"/>
      <w:bookmarkEnd w:id="13"/>
    </w:p>
    <w:p w14:paraId="04D44F76" w14:textId="77777777" w:rsidR="00887BA8" w:rsidRPr="00791A3F" w:rsidRDefault="00887BA8" w:rsidP="00791A3F">
      <w:pPr>
        <w:spacing w:line="360" w:lineRule="auto"/>
        <w:jc w:val="both"/>
        <w:rPr>
          <w:rFonts w:ascii="Arial" w:hAnsi="Arial" w:cs="Arial"/>
        </w:rPr>
      </w:pPr>
      <w:r w:rsidRPr="00791A3F">
        <w:rPr>
          <w:rFonts w:ascii="Arial" w:hAnsi="Arial" w:cs="Arial"/>
        </w:rPr>
        <w:t>The study is driven by the interpretivist philosophy which acknowledges CSR as a social construct that emerges based on the expectations, institutional pressures, organisational cultures and strategic interests of the stakeholders (Saunders et al., 2019). The type of study that is adopted was based on the qualitative multiple case study design which offers a contextual analysis in relation to the various retail organisations (Yin, 2018).</w:t>
      </w:r>
    </w:p>
    <w:p w14:paraId="5FF9072E" w14:textId="77777777" w:rsidR="00887BA8" w:rsidRPr="00791A3F" w:rsidRDefault="00887BA8" w:rsidP="00791A3F">
      <w:pPr>
        <w:spacing w:line="360" w:lineRule="auto"/>
        <w:jc w:val="both"/>
        <w:rPr>
          <w:rFonts w:ascii="Arial" w:hAnsi="Arial" w:cs="Arial"/>
        </w:rPr>
      </w:pPr>
      <w:r w:rsidRPr="00791A3F">
        <w:rPr>
          <w:rFonts w:ascii="Arial" w:hAnsi="Arial" w:cs="Arial"/>
        </w:rPr>
        <w:t>The six retailers are purposefully sampled to include those of a mainstream, discount and cooperative model. Secondary data were divided into two time periods – Phase 1 (2003-2007) to reflect the baseline period of Jones et al. (2005) and Phase 2 (2020-2025) to reflect contemporary practice. These are corporate sustainability and annual reports, governance statements, statements from the Modern Slavery Act, CDP disclosures, third-party assessments, regulatory documents and investigative journalism.</w:t>
      </w:r>
    </w:p>
    <w:p w14:paraId="6F955B15" w14:textId="77777777" w:rsidR="00887BA8" w:rsidRPr="00791A3F" w:rsidRDefault="00887BA8" w:rsidP="00791A3F">
      <w:pPr>
        <w:spacing w:line="360" w:lineRule="auto"/>
        <w:jc w:val="both"/>
        <w:rPr>
          <w:rFonts w:ascii="Arial" w:hAnsi="Arial" w:cs="Arial"/>
        </w:rPr>
      </w:pPr>
      <w:r w:rsidRPr="00791A3F">
        <w:rPr>
          <w:rFonts w:ascii="Arial" w:hAnsi="Arial" w:cs="Arial"/>
        </w:rPr>
        <w:t xml:space="preserve">Thematic content analysis (Braun &amp; Clarke, 2006; Saldaña, 2015) is the main analysis technique used. The dimensions of CSR developed by Jones et al. (2005) and current sustainability themes are analyzed. The five criteria used to differentiate substantive and symbolic practices include verifiability, because they are supported by independent audits or certifications; measurability, because they have quantified targets and measurable </w:t>
      </w:r>
      <w:r w:rsidRPr="00791A3F">
        <w:rPr>
          <w:rFonts w:ascii="Arial" w:hAnsi="Arial" w:cs="Arial"/>
        </w:rPr>
        <w:lastRenderedPageBreak/>
        <w:t>progress; accountability, because they are governed by the owner and have mechanisms to correct; integration, because the practices are embedded in operations and incentives; and comparability, because they have consistent metrics over time.</w:t>
      </w:r>
    </w:p>
    <w:p w14:paraId="4FD419A2" w14:textId="77777777" w:rsidR="00887BA8" w:rsidRPr="00791A3F" w:rsidRDefault="00887BA8" w:rsidP="00791A3F">
      <w:pPr>
        <w:spacing w:line="360" w:lineRule="auto"/>
        <w:jc w:val="both"/>
        <w:rPr>
          <w:rFonts w:ascii="Arial" w:hAnsi="Arial" w:cs="Arial"/>
        </w:rPr>
      </w:pPr>
      <w:r w:rsidRPr="00791A3F">
        <w:rPr>
          <w:rFonts w:ascii="Arial" w:hAnsi="Arial" w:cs="Arial"/>
        </w:rPr>
        <w:t>Data triangulation, audit trails, reflexive journalling and systematic data management are used to support research quality based on the trustworthiness principles of Lincoln and Guba (1985). Ethical issues are addressed by using careful citations, responsible use of corporate evidence, transparent documentation, protection of data integrity and evidential transparency throughout.</w:t>
      </w:r>
    </w:p>
    <w:p w14:paraId="16E83000" w14:textId="77777777" w:rsidR="001D0206" w:rsidRPr="00791A3F" w:rsidRDefault="001D0206" w:rsidP="00791A3F">
      <w:pPr>
        <w:pStyle w:val="Heading2"/>
        <w:spacing w:line="360" w:lineRule="auto"/>
        <w:rPr>
          <w:rFonts w:ascii="Arial" w:hAnsi="Arial" w:cs="Arial"/>
        </w:rPr>
      </w:pPr>
      <w:bookmarkStart w:id="14" w:name="_Toc237956881"/>
      <w:bookmarkStart w:id="15" w:name="_Toc238725158"/>
      <w:r w:rsidRPr="00791A3F">
        <w:rPr>
          <w:rFonts w:ascii="Arial" w:hAnsi="Arial" w:cs="Arial"/>
        </w:rPr>
        <w:t>1.7 Structure of the Rest of the Project</w:t>
      </w:r>
      <w:bookmarkEnd w:id="14"/>
      <w:bookmarkEnd w:id="15"/>
    </w:p>
    <w:p w14:paraId="648622CD" w14:textId="77777777" w:rsidR="00C745A7" w:rsidRPr="00791A3F" w:rsidRDefault="00C745A7" w:rsidP="00791A3F">
      <w:pPr>
        <w:spacing w:line="360" w:lineRule="auto"/>
        <w:jc w:val="both"/>
        <w:rPr>
          <w:rFonts w:ascii="Arial" w:hAnsi="Arial" w:cs="Arial"/>
        </w:rPr>
      </w:pPr>
      <w:r w:rsidRPr="00791A3F">
        <w:rPr>
          <w:rFonts w:ascii="Arial" w:hAnsi="Arial" w:cs="Arial"/>
        </w:rPr>
        <w:t>Chapter 2: Literature Review — Reviews stakeholder theory, institutional theory, shared value creation, substantive and symbolic CSR, greenwashing and sustainability challenges in food retail in the UK. It sets up the conceptual structure for the empirical investigation.</w:t>
      </w:r>
    </w:p>
    <w:p w14:paraId="08F1F229" w14:textId="77777777" w:rsidR="00C745A7" w:rsidRPr="00791A3F" w:rsidRDefault="00C745A7" w:rsidP="00791A3F">
      <w:pPr>
        <w:spacing w:line="360" w:lineRule="auto"/>
        <w:jc w:val="both"/>
        <w:rPr>
          <w:rFonts w:ascii="Arial" w:hAnsi="Arial" w:cs="Arial"/>
        </w:rPr>
      </w:pPr>
      <w:r w:rsidRPr="00791A3F">
        <w:rPr>
          <w:rFonts w:ascii="Arial" w:hAnsi="Arial" w:cs="Arial"/>
        </w:rPr>
        <w:t>Chapter 3: Research Methodology — Describes research philosophy, research design, cases selection, data collection, analysis, quality research and ethical issues.</w:t>
      </w:r>
    </w:p>
    <w:p w14:paraId="44E3C0A6" w14:textId="77777777" w:rsidR="00C745A7" w:rsidRPr="00791A3F" w:rsidRDefault="00C745A7" w:rsidP="00791A3F">
      <w:pPr>
        <w:spacing w:line="360" w:lineRule="auto"/>
        <w:jc w:val="both"/>
        <w:rPr>
          <w:rFonts w:ascii="Arial" w:hAnsi="Arial" w:cs="Arial"/>
        </w:rPr>
      </w:pPr>
      <w:r w:rsidRPr="00791A3F">
        <w:rPr>
          <w:rFonts w:ascii="Arial" w:hAnsi="Arial" w:cs="Arial"/>
        </w:rPr>
        <w:t>Chapter 4: Findings, Analysis and Discussion — Provides empirical results, showing that the evidence for 2020–2025 differs from that of the 2005 baseline, and discusses substantive vs. symbolic CSR, business-model differences and current sustainability priorities.</w:t>
      </w:r>
    </w:p>
    <w:p w14:paraId="70626B28" w14:textId="77777777" w:rsidR="00F13FE9" w:rsidRPr="00791A3F" w:rsidRDefault="00C745A7" w:rsidP="00791A3F">
      <w:pPr>
        <w:spacing w:line="360" w:lineRule="auto"/>
        <w:jc w:val="both"/>
        <w:rPr>
          <w:rFonts w:ascii="Arial" w:hAnsi="Arial" w:cs="Arial"/>
        </w:rPr>
      </w:pPr>
      <w:r w:rsidRPr="00791A3F">
        <w:rPr>
          <w:rFonts w:ascii="Arial" w:hAnsi="Arial" w:cs="Arial"/>
        </w:rPr>
        <w:t>Chapter 5: Conclusions and Recommendations - Summarises results, provides answers to the research questions, suggests both practical and theoretical recommendations, acknowledges limitations, and identifies areas for future research. </w:t>
      </w:r>
      <w:r w:rsidR="00F13FE9" w:rsidRPr="00791A3F">
        <w:rPr>
          <w:rFonts w:ascii="Arial" w:hAnsi="Arial" w:cs="Arial"/>
        </w:rPr>
        <w:br w:type="page"/>
      </w:r>
    </w:p>
    <w:p w14:paraId="0AB5C8FB" w14:textId="77777777" w:rsidR="00507FF4" w:rsidRPr="00791A3F" w:rsidRDefault="004E19DE" w:rsidP="00791A3F">
      <w:pPr>
        <w:pStyle w:val="Heading1"/>
        <w:spacing w:line="360" w:lineRule="auto"/>
        <w:rPr>
          <w:rFonts w:ascii="Arial" w:hAnsi="Arial" w:cs="Arial"/>
        </w:rPr>
      </w:pPr>
      <w:bookmarkStart w:id="16" w:name="_Toc237956882"/>
      <w:bookmarkStart w:id="17" w:name="_Toc238725159"/>
      <w:r w:rsidRPr="00791A3F">
        <w:rPr>
          <w:rFonts w:ascii="Arial" w:hAnsi="Arial" w:cs="Arial"/>
        </w:rPr>
        <w:lastRenderedPageBreak/>
        <w:t>Chapter 2: Literature Review</w:t>
      </w:r>
      <w:bookmarkEnd w:id="16"/>
      <w:bookmarkEnd w:id="17"/>
    </w:p>
    <w:p w14:paraId="7AEC0AF0" w14:textId="77777777" w:rsidR="00902E11" w:rsidRPr="00791A3F" w:rsidRDefault="00902E11" w:rsidP="00791A3F">
      <w:pPr>
        <w:pStyle w:val="Heading2"/>
        <w:spacing w:line="360" w:lineRule="auto"/>
        <w:rPr>
          <w:rFonts w:ascii="Arial" w:hAnsi="Arial" w:cs="Arial"/>
        </w:rPr>
      </w:pPr>
      <w:bookmarkStart w:id="18" w:name="_Toc237956883"/>
      <w:bookmarkStart w:id="19" w:name="_Toc238725160"/>
      <w:r w:rsidRPr="00791A3F">
        <w:rPr>
          <w:rFonts w:ascii="Arial" w:hAnsi="Arial" w:cs="Arial"/>
        </w:rPr>
        <w:t>2.1 Introduction</w:t>
      </w:r>
      <w:bookmarkEnd w:id="18"/>
      <w:bookmarkEnd w:id="19"/>
    </w:p>
    <w:p w14:paraId="4C6C9D83" w14:textId="77777777" w:rsidR="0043549C" w:rsidRPr="00791A3F" w:rsidRDefault="0043549C" w:rsidP="00791A3F">
      <w:pPr>
        <w:spacing w:line="360" w:lineRule="auto"/>
        <w:jc w:val="both"/>
        <w:rPr>
          <w:rFonts w:ascii="Arial" w:hAnsi="Arial" w:cs="Arial"/>
        </w:rPr>
      </w:pPr>
      <w:r w:rsidRPr="00791A3F">
        <w:rPr>
          <w:rFonts w:ascii="Arial" w:hAnsi="Arial" w:cs="Arial"/>
        </w:rPr>
        <w:t>The literature review critically examines the theoretical and empirical studies of the development of Corporate Social Responsibility (CSR) within the UK food retail sector, from symbolic compliance to substantive implementation over the past twenty years. This review builds on the foundation laid by Jones et al. (2005) and synthesises recent research on the concept of stakeholder accountability, institutional pressures, greenwashing phenomena, business model differentiation, and new sustainability concerns such as climate disclosure, the circular economy, preventing modern slavery, and public health responsibilities.</w:t>
      </w:r>
    </w:p>
    <w:p w14:paraId="7DE37C09" w14:textId="77777777" w:rsidR="0043549C" w:rsidRPr="00791A3F" w:rsidRDefault="0043549C" w:rsidP="00791A3F">
      <w:pPr>
        <w:spacing w:line="360" w:lineRule="auto"/>
        <w:jc w:val="both"/>
        <w:rPr>
          <w:rFonts w:ascii="Arial" w:hAnsi="Arial" w:cs="Arial"/>
        </w:rPr>
      </w:pPr>
      <w:r w:rsidRPr="00791A3F">
        <w:rPr>
          <w:rFonts w:ascii="Arial" w:hAnsi="Arial" w:cs="Arial"/>
        </w:rPr>
        <w:t>The review is organized thematically to discuss the research goals mentioned in Chapter 1, and attempts to critically explore the development of CSR from a philanthropic mode to a business strategy, also questioning the ongoing gap between the implementation of CSR and the business strategy itself. This chapter brings together 50 peer-reviewed articles addressing various aspects of the key stakeholder theory, institutional legitimacy, substantive versus symbolic CSR practices, regulatory frameworks, ESG performance, and sector-specific sustainability challenges to provide a foundation for empirical research.</w:t>
      </w:r>
    </w:p>
    <w:p w14:paraId="1B1A501F" w14:textId="77777777" w:rsidR="00902E11" w:rsidRPr="00791A3F" w:rsidRDefault="0043549C" w:rsidP="00791A3F">
      <w:pPr>
        <w:spacing w:line="360" w:lineRule="auto"/>
        <w:jc w:val="both"/>
        <w:rPr>
          <w:rFonts w:ascii="Arial" w:hAnsi="Arial" w:cs="Arial"/>
        </w:rPr>
      </w:pPr>
      <w:r w:rsidRPr="00791A3F">
        <w:rPr>
          <w:rFonts w:ascii="Arial" w:hAnsi="Arial" w:cs="Arial"/>
        </w:rPr>
        <w:t>The review also points to key research gaps such as: a lack of studies using a longitudinal approach to investigate the UK food retail sector since Jones et al. (2005); a lack of comparative analysis of CSR authenticity for the different business models (discount, mainstream, cooperative); the lack of operationalised frameworks that separate substantive from symbolic practices of CSR; and the lack of integration of new sustainability priorities into CSR evaluation frameworks .The gaps identified guide the research design and analytical techniques used in the subsequent chapters of this study, and situates it in the context of current research into the nature of corporate accountability and sustainability governance (Jones et al., 2005; Sharma et al., 2024; Christensen et al., 2021).</w:t>
      </w:r>
    </w:p>
    <w:p w14:paraId="5B8069A3" w14:textId="77777777" w:rsidR="00902E11" w:rsidRPr="00791A3F" w:rsidRDefault="00902E11" w:rsidP="00791A3F">
      <w:pPr>
        <w:pStyle w:val="Heading2"/>
        <w:spacing w:line="360" w:lineRule="auto"/>
        <w:rPr>
          <w:rFonts w:ascii="Arial" w:hAnsi="Arial" w:cs="Arial"/>
        </w:rPr>
      </w:pPr>
      <w:bookmarkStart w:id="20" w:name="_Toc237956884"/>
      <w:bookmarkStart w:id="21" w:name="_Toc238725161"/>
      <w:r w:rsidRPr="00791A3F">
        <w:rPr>
          <w:rFonts w:ascii="Arial" w:hAnsi="Arial" w:cs="Arial"/>
        </w:rPr>
        <w:lastRenderedPageBreak/>
        <w:t>2.2 Research Areas/Topics: Systematic Review Table</w:t>
      </w:r>
      <w:bookmarkEnd w:id="20"/>
      <w:bookmarkEnd w:id="21"/>
    </w:p>
    <w:tbl>
      <w:tblPr>
        <w:tblStyle w:val="TableGrid"/>
        <w:tblW w:w="5000" w:type="pct"/>
        <w:tblLook w:val="04A0" w:firstRow="1" w:lastRow="0" w:firstColumn="1" w:lastColumn="0" w:noHBand="0" w:noVBand="1"/>
      </w:tblPr>
      <w:tblGrid>
        <w:gridCol w:w="2028"/>
        <w:gridCol w:w="1750"/>
        <w:gridCol w:w="1266"/>
        <w:gridCol w:w="2651"/>
        <w:gridCol w:w="1655"/>
      </w:tblGrid>
      <w:tr w:rsidR="00902E11" w:rsidRPr="00791A3F" w14:paraId="3BA0D4B5" w14:textId="77777777" w:rsidTr="007A6F53">
        <w:tc>
          <w:tcPr>
            <w:tcW w:w="1814" w:type="pct"/>
            <w:noWrap/>
            <w:hideMark/>
          </w:tcPr>
          <w:p w14:paraId="68616AC7"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Article</w:t>
            </w:r>
          </w:p>
        </w:tc>
        <w:tc>
          <w:tcPr>
            <w:tcW w:w="846" w:type="pct"/>
            <w:noWrap/>
            <w:hideMark/>
          </w:tcPr>
          <w:p w14:paraId="7C4A48F4"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Aims and Objectives</w:t>
            </w:r>
          </w:p>
        </w:tc>
        <w:tc>
          <w:tcPr>
            <w:tcW w:w="686" w:type="pct"/>
            <w:noWrap/>
            <w:hideMark/>
          </w:tcPr>
          <w:p w14:paraId="48DDB1B9"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Methodology</w:t>
            </w:r>
          </w:p>
        </w:tc>
        <w:tc>
          <w:tcPr>
            <w:tcW w:w="824" w:type="pct"/>
            <w:noWrap/>
            <w:hideMark/>
          </w:tcPr>
          <w:p w14:paraId="7BF7F46C"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Main Findings and Contributions</w:t>
            </w:r>
          </w:p>
        </w:tc>
        <w:tc>
          <w:tcPr>
            <w:tcW w:w="830" w:type="pct"/>
            <w:noWrap/>
            <w:hideMark/>
          </w:tcPr>
          <w:p w14:paraId="7268DADA" w14:textId="77777777" w:rsidR="00902E11" w:rsidRPr="00791A3F" w:rsidRDefault="00902E11" w:rsidP="00791A3F">
            <w:pPr>
              <w:spacing w:after="160" w:line="360" w:lineRule="auto"/>
              <w:rPr>
                <w:rFonts w:ascii="Arial" w:hAnsi="Arial" w:cs="Arial"/>
                <w:b/>
                <w:bCs/>
              </w:rPr>
            </w:pPr>
            <w:r w:rsidRPr="00791A3F">
              <w:rPr>
                <w:rFonts w:ascii="Arial" w:hAnsi="Arial" w:cs="Arial"/>
                <w:b/>
                <w:bCs/>
              </w:rPr>
              <w:t>Relevance to Study</w:t>
            </w:r>
          </w:p>
        </w:tc>
      </w:tr>
      <w:tr w:rsidR="00902E11" w:rsidRPr="00791A3F" w14:paraId="2AB807D7" w14:textId="77777777" w:rsidTr="007A6F53">
        <w:tc>
          <w:tcPr>
            <w:tcW w:w="1814" w:type="pct"/>
            <w:hideMark/>
          </w:tcPr>
          <w:p w14:paraId="240CF2C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Configuration of External Influences: The Combined Effects of Institutions and Stakeholders on CSR Strategies</w:t>
            </w:r>
          </w:p>
          <w:p w14:paraId="1FCB9484"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Bansal &amp; Roth (2000)</w:t>
            </w:r>
          </w:p>
          <w:p w14:paraId="600D50F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9" w:tgtFrame="_blank" w:history="1">
              <w:r w:rsidRPr="00791A3F">
                <w:rPr>
                  <w:rStyle w:val="Hyperlink"/>
                  <w:rFonts w:ascii="Arial" w:hAnsi="Arial" w:cs="Arial"/>
                </w:rPr>
                <w:t>Springer</w:t>
              </w:r>
            </w:hyperlink>
          </w:p>
        </w:tc>
        <w:tc>
          <w:tcPr>
            <w:tcW w:w="846" w:type="pct"/>
            <w:hideMark/>
          </w:tcPr>
          <w:p w14:paraId="79E7D25E" w14:textId="77777777" w:rsidR="00902E11" w:rsidRPr="00791A3F" w:rsidRDefault="00902E11" w:rsidP="00791A3F">
            <w:pPr>
              <w:spacing w:after="160" w:line="360" w:lineRule="auto"/>
              <w:rPr>
                <w:rFonts w:ascii="Arial" w:hAnsi="Arial" w:cs="Arial"/>
              </w:rPr>
            </w:pPr>
            <w:r w:rsidRPr="00791A3F">
              <w:rPr>
                <w:rFonts w:ascii="Arial" w:hAnsi="Arial" w:cs="Arial"/>
              </w:rPr>
              <w:t>Examine how institutional and stakeholder pressures jointly shape CSR strategy adoption</w:t>
            </w:r>
          </w:p>
        </w:tc>
        <w:tc>
          <w:tcPr>
            <w:tcW w:w="686" w:type="pct"/>
            <w:hideMark/>
          </w:tcPr>
          <w:p w14:paraId="4D7E5AA8" w14:textId="77777777" w:rsidR="00902E11" w:rsidRPr="00791A3F" w:rsidRDefault="00902E11" w:rsidP="00791A3F">
            <w:pPr>
              <w:spacing w:after="160" w:line="360" w:lineRule="auto"/>
              <w:rPr>
                <w:rFonts w:ascii="Arial" w:hAnsi="Arial" w:cs="Arial"/>
              </w:rPr>
            </w:pPr>
            <w:r w:rsidRPr="00791A3F">
              <w:rPr>
                <w:rFonts w:ascii="Arial" w:hAnsi="Arial" w:cs="Arial"/>
              </w:rPr>
              <w:t>Cross-sectional survey; 99 firms; Multiple industries; Regression analysis</w:t>
            </w:r>
          </w:p>
        </w:tc>
        <w:tc>
          <w:tcPr>
            <w:tcW w:w="824" w:type="pct"/>
            <w:hideMark/>
          </w:tcPr>
          <w:p w14:paraId="0368B846" w14:textId="77777777" w:rsidR="00902E11" w:rsidRPr="00791A3F" w:rsidRDefault="00902E11" w:rsidP="00791A3F">
            <w:pPr>
              <w:spacing w:after="160" w:line="360" w:lineRule="auto"/>
              <w:rPr>
                <w:rFonts w:ascii="Arial" w:hAnsi="Arial" w:cs="Arial"/>
              </w:rPr>
            </w:pPr>
            <w:r w:rsidRPr="00791A3F">
              <w:rPr>
                <w:rFonts w:ascii="Arial" w:hAnsi="Arial" w:cs="Arial"/>
              </w:rPr>
              <w:t>Institutional and stakeholder pressures interact; coercive institutional forces drive symbolic compliance whilst normative stakeholder engagement fosters substantive integration</w:t>
            </w:r>
          </w:p>
        </w:tc>
        <w:tc>
          <w:tcPr>
            <w:tcW w:w="830" w:type="pct"/>
            <w:hideMark/>
          </w:tcPr>
          <w:p w14:paraId="637215B7" w14:textId="77777777" w:rsidR="00902E11" w:rsidRPr="00791A3F" w:rsidRDefault="00902E11" w:rsidP="00791A3F">
            <w:pPr>
              <w:spacing w:after="160" w:line="360" w:lineRule="auto"/>
              <w:rPr>
                <w:rFonts w:ascii="Arial" w:hAnsi="Arial" w:cs="Arial"/>
              </w:rPr>
            </w:pPr>
            <w:r w:rsidRPr="00791A3F">
              <w:rPr>
                <w:rFonts w:ascii="Arial" w:hAnsi="Arial" w:cs="Arial"/>
              </w:rPr>
              <w:t>Provides theoretical foundation for understanding dual pressures (regulatory vs stakeholder-driven) shaping UK retail CSR evolution since 2005</w:t>
            </w:r>
          </w:p>
        </w:tc>
      </w:tr>
      <w:tr w:rsidR="00902E11" w:rsidRPr="00791A3F" w14:paraId="5B25509A" w14:textId="77777777" w:rsidTr="007A6F53">
        <w:tc>
          <w:tcPr>
            <w:tcW w:w="1814" w:type="pct"/>
            <w:hideMark/>
          </w:tcPr>
          <w:p w14:paraId="71118E55"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Evolution through institutional and stakeholder perspectives</w:t>
            </w:r>
          </w:p>
          <w:p w14:paraId="498E3AC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Jamali &amp; Karam (2018)</w:t>
            </w:r>
          </w:p>
          <w:p w14:paraId="7072C846"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10" w:tgtFrame="_blank" w:history="1">
              <w:r w:rsidRPr="00791A3F">
                <w:rPr>
                  <w:rStyle w:val="Hyperlink"/>
                  <w:rFonts w:ascii="Arial" w:hAnsi="Arial" w:cs="Arial"/>
                </w:rPr>
                <w:t>ScienceDirect</w:t>
              </w:r>
            </w:hyperlink>
          </w:p>
        </w:tc>
        <w:tc>
          <w:tcPr>
            <w:tcW w:w="846" w:type="pct"/>
            <w:hideMark/>
          </w:tcPr>
          <w:p w14:paraId="7E7A24A8"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Trace CSR evolution through combined theoretical lenses; identify convergence patterns</w:t>
            </w:r>
          </w:p>
        </w:tc>
        <w:tc>
          <w:tcPr>
            <w:tcW w:w="686" w:type="pct"/>
            <w:hideMark/>
          </w:tcPr>
          <w:p w14:paraId="2EDD2B5B" w14:textId="77777777" w:rsidR="00902E11" w:rsidRPr="00791A3F" w:rsidRDefault="00902E11" w:rsidP="00791A3F">
            <w:pPr>
              <w:spacing w:after="160" w:line="360" w:lineRule="auto"/>
              <w:rPr>
                <w:rFonts w:ascii="Arial" w:hAnsi="Arial" w:cs="Arial"/>
              </w:rPr>
            </w:pPr>
            <w:r w:rsidRPr="00791A3F">
              <w:rPr>
                <w:rFonts w:ascii="Arial" w:hAnsi="Arial" w:cs="Arial"/>
              </w:rPr>
              <w:t>Systematic literature review; 1970–2015; Conceptual synthesis</w:t>
            </w:r>
          </w:p>
        </w:tc>
        <w:tc>
          <w:tcPr>
            <w:tcW w:w="824" w:type="pct"/>
            <w:hideMark/>
          </w:tcPr>
          <w:p w14:paraId="75D5124E" w14:textId="77777777" w:rsidR="00902E11" w:rsidRPr="00791A3F" w:rsidRDefault="00902E11" w:rsidP="00791A3F">
            <w:pPr>
              <w:spacing w:after="160" w:line="360" w:lineRule="auto"/>
              <w:rPr>
                <w:rFonts w:ascii="Arial" w:hAnsi="Arial" w:cs="Arial"/>
              </w:rPr>
            </w:pPr>
            <w:r w:rsidRPr="00791A3F">
              <w:rPr>
                <w:rFonts w:ascii="Arial" w:hAnsi="Arial" w:cs="Arial"/>
              </w:rPr>
              <w:t>CSR legitimacy increasingly requires simultaneous institutional compliance and stakeholder accountability; tension between efficiency and ethics persists</w:t>
            </w:r>
          </w:p>
        </w:tc>
        <w:tc>
          <w:tcPr>
            <w:tcW w:w="830" w:type="pct"/>
            <w:hideMark/>
          </w:tcPr>
          <w:p w14:paraId="0A2C28C9" w14:textId="77777777" w:rsidR="00902E11" w:rsidRPr="00791A3F" w:rsidRDefault="00902E11" w:rsidP="00791A3F">
            <w:pPr>
              <w:spacing w:after="160" w:line="360" w:lineRule="auto"/>
              <w:rPr>
                <w:rFonts w:ascii="Arial" w:hAnsi="Arial" w:cs="Arial"/>
              </w:rPr>
            </w:pPr>
            <w:r w:rsidRPr="00791A3F">
              <w:rPr>
                <w:rFonts w:ascii="Arial" w:hAnsi="Arial" w:cs="Arial"/>
              </w:rPr>
              <w:t>Supports dual-theory framework (institutional + stakeholder) for analysing UK food retail CSR authenticity</w:t>
            </w:r>
          </w:p>
        </w:tc>
      </w:tr>
      <w:tr w:rsidR="00902E11" w:rsidRPr="00791A3F" w14:paraId="0C2458FC" w14:textId="77777777" w:rsidTr="007A6F53">
        <w:tc>
          <w:tcPr>
            <w:tcW w:w="1814" w:type="pct"/>
            <w:hideMark/>
          </w:tcPr>
          <w:p w14:paraId="41921CE1"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and Stakeholder Theory: An Integrated Review</w:t>
            </w:r>
          </w:p>
          <w:p w14:paraId="1D6AC40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Sardana et al. (2024)</w:t>
            </w:r>
          </w:p>
          <w:p w14:paraId="23EEDD5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1" w:tgtFrame="_blank" w:history="1">
              <w:r w:rsidRPr="00791A3F">
                <w:rPr>
                  <w:rStyle w:val="Hyperlink"/>
                  <w:rFonts w:ascii="Arial" w:hAnsi="Arial" w:cs="Arial"/>
                </w:rPr>
                <w:t>Academia.edu</w:t>
              </w:r>
            </w:hyperlink>
          </w:p>
        </w:tc>
        <w:tc>
          <w:tcPr>
            <w:tcW w:w="846" w:type="pct"/>
            <w:hideMark/>
          </w:tcPr>
          <w:p w14:paraId="1DAD3CAD" w14:textId="77777777" w:rsidR="00902E11" w:rsidRPr="00791A3F" w:rsidRDefault="00902E11" w:rsidP="00791A3F">
            <w:pPr>
              <w:spacing w:after="160" w:line="360" w:lineRule="auto"/>
              <w:rPr>
                <w:rFonts w:ascii="Arial" w:hAnsi="Arial" w:cs="Arial"/>
              </w:rPr>
            </w:pPr>
            <w:r w:rsidRPr="00791A3F">
              <w:rPr>
                <w:rFonts w:ascii="Arial" w:hAnsi="Arial" w:cs="Arial"/>
              </w:rPr>
              <w:t>Synthesise stakeholder theory applications in CSR research; identify implementation challenges</w:t>
            </w:r>
          </w:p>
        </w:tc>
        <w:tc>
          <w:tcPr>
            <w:tcW w:w="686" w:type="pct"/>
            <w:hideMark/>
          </w:tcPr>
          <w:p w14:paraId="19FD80EE" w14:textId="77777777" w:rsidR="00902E11" w:rsidRPr="00791A3F" w:rsidRDefault="00902E11" w:rsidP="00791A3F">
            <w:pPr>
              <w:spacing w:after="160" w:line="360" w:lineRule="auto"/>
              <w:rPr>
                <w:rFonts w:ascii="Arial" w:hAnsi="Arial" w:cs="Arial"/>
              </w:rPr>
            </w:pPr>
            <w:r w:rsidRPr="00791A3F">
              <w:rPr>
                <w:rFonts w:ascii="Arial" w:hAnsi="Arial" w:cs="Arial"/>
              </w:rPr>
              <w:t>Meta-review; 150+ studies; Thematic analysis</w:t>
            </w:r>
          </w:p>
        </w:tc>
        <w:tc>
          <w:tcPr>
            <w:tcW w:w="824" w:type="pct"/>
            <w:hideMark/>
          </w:tcPr>
          <w:p w14:paraId="2D47FA43" w14:textId="77777777" w:rsidR="00902E11" w:rsidRPr="00791A3F" w:rsidRDefault="00902E11" w:rsidP="00791A3F">
            <w:pPr>
              <w:spacing w:after="160" w:line="360" w:lineRule="auto"/>
              <w:rPr>
                <w:rFonts w:ascii="Arial" w:hAnsi="Arial" w:cs="Arial"/>
              </w:rPr>
            </w:pPr>
            <w:r w:rsidRPr="00791A3F">
              <w:rPr>
                <w:rFonts w:ascii="Arial" w:hAnsi="Arial" w:cs="Arial"/>
              </w:rPr>
              <w:t>Stakeholder salience (power, legitimacy, urgency) determines CSR priority areas; gaps persist between stakeholder identification and meaningful engagement</w:t>
            </w:r>
          </w:p>
        </w:tc>
        <w:tc>
          <w:tcPr>
            <w:tcW w:w="830" w:type="pct"/>
            <w:hideMark/>
          </w:tcPr>
          <w:p w14:paraId="3D58A0FA" w14:textId="77777777" w:rsidR="00902E11" w:rsidRPr="00791A3F" w:rsidRDefault="00902E11" w:rsidP="00791A3F">
            <w:pPr>
              <w:spacing w:after="160" w:line="360" w:lineRule="auto"/>
              <w:rPr>
                <w:rFonts w:ascii="Arial" w:hAnsi="Arial" w:cs="Arial"/>
              </w:rPr>
            </w:pPr>
            <w:r w:rsidRPr="00791A3F">
              <w:rPr>
                <w:rFonts w:ascii="Arial" w:hAnsi="Arial" w:cs="Arial"/>
              </w:rPr>
              <w:t>Informs stakeholder-centric evaluation of UK retailers' CSR across employee welfare, community engagement, and supplier relations</w:t>
            </w:r>
          </w:p>
        </w:tc>
      </w:tr>
      <w:tr w:rsidR="00902E11" w:rsidRPr="00791A3F" w14:paraId="539DBCD8" w14:textId="77777777" w:rsidTr="007A6F53">
        <w:tc>
          <w:tcPr>
            <w:tcW w:w="1814" w:type="pct"/>
            <w:hideMark/>
          </w:tcPr>
          <w:p w14:paraId="69767DE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Stakeholders, stakeholder theory and Corporate Social Responsibility (CSR)</w:t>
            </w:r>
          </w:p>
          <w:p w14:paraId="01CA111F"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Sharma et al. (2024)</w:t>
            </w:r>
          </w:p>
          <w:p w14:paraId="3FFF76D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2" w:tgtFrame="_blank" w:history="1">
              <w:r w:rsidRPr="00791A3F">
                <w:rPr>
                  <w:rStyle w:val="Hyperlink"/>
                  <w:rFonts w:ascii="Arial" w:hAnsi="Arial" w:cs="Arial"/>
                </w:rPr>
                <w:t>Springer JCSR</w:t>
              </w:r>
            </w:hyperlink>
          </w:p>
        </w:tc>
        <w:tc>
          <w:tcPr>
            <w:tcW w:w="846" w:type="pct"/>
            <w:hideMark/>
          </w:tcPr>
          <w:p w14:paraId="467E6F12" w14:textId="77777777" w:rsidR="00902E11" w:rsidRPr="00791A3F" w:rsidRDefault="00902E11" w:rsidP="00791A3F">
            <w:pPr>
              <w:spacing w:after="160" w:line="360" w:lineRule="auto"/>
              <w:rPr>
                <w:rFonts w:ascii="Arial" w:hAnsi="Arial" w:cs="Arial"/>
              </w:rPr>
            </w:pPr>
            <w:r w:rsidRPr="00791A3F">
              <w:rPr>
                <w:rFonts w:ascii="Arial" w:hAnsi="Arial" w:cs="Arial"/>
              </w:rPr>
              <w:t>Examine contemporary stakeholder theory relevance; assess CSR accountability mechanisms</w:t>
            </w:r>
          </w:p>
        </w:tc>
        <w:tc>
          <w:tcPr>
            <w:tcW w:w="686" w:type="pct"/>
            <w:hideMark/>
          </w:tcPr>
          <w:p w14:paraId="7B77DE07"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2015–2023; Framework development</w:t>
            </w:r>
          </w:p>
        </w:tc>
        <w:tc>
          <w:tcPr>
            <w:tcW w:w="824" w:type="pct"/>
            <w:hideMark/>
          </w:tcPr>
          <w:p w14:paraId="408DA03D" w14:textId="77777777" w:rsidR="00902E11" w:rsidRPr="00791A3F" w:rsidRDefault="00902E11" w:rsidP="00791A3F">
            <w:pPr>
              <w:spacing w:after="160" w:line="360" w:lineRule="auto"/>
              <w:rPr>
                <w:rFonts w:ascii="Arial" w:hAnsi="Arial" w:cs="Arial"/>
              </w:rPr>
            </w:pPr>
            <w:r w:rsidRPr="00791A3F">
              <w:rPr>
                <w:rFonts w:ascii="Arial" w:hAnsi="Arial" w:cs="Arial"/>
              </w:rPr>
              <w:t>Digital transparency tools empower stakeholder scrutiny; ESG investment frameworks institutionalise accountability; symbolic CSR increasingly untenable</w:t>
            </w:r>
          </w:p>
        </w:tc>
        <w:tc>
          <w:tcPr>
            <w:tcW w:w="830" w:type="pct"/>
            <w:hideMark/>
          </w:tcPr>
          <w:p w14:paraId="14491B01" w14:textId="77777777" w:rsidR="00902E11" w:rsidRPr="00791A3F" w:rsidRDefault="00902E11" w:rsidP="00791A3F">
            <w:pPr>
              <w:spacing w:after="160" w:line="360" w:lineRule="auto"/>
              <w:rPr>
                <w:rFonts w:ascii="Arial" w:hAnsi="Arial" w:cs="Arial"/>
              </w:rPr>
            </w:pPr>
            <w:r w:rsidRPr="00791A3F">
              <w:rPr>
                <w:rFonts w:ascii="Arial" w:hAnsi="Arial" w:cs="Arial"/>
              </w:rPr>
              <w:t>Contextualises heightened accountability ecosystem (ESG ratings, digital platforms) transforming UK retail CSR since Jones et al. (2005)</w:t>
            </w:r>
          </w:p>
        </w:tc>
      </w:tr>
      <w:tr w:rsidR="00902E11" w:rsidRPr="00791A3F" w14:paraId="1D90718D" w14:textId="77777777" w:rsidTr="007A6F53">
        <w:tc>
          <w:tcPr>
            <w:tcW w:w="1814" w:type="pct"/>
            <w:hideMark/>
          </w:tcPr>
          <w:p w14:paraId="65628F3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The Relationship </w:t>
            </w:r>
            <w:r w:rsidRPr="00791A3F">
              <w:rPr>
                <w:rFonts w:ascii="Arial" w:hAnsi="Arial" w:cs="Arial"/>
              </w:rPr>
              <w:lastRenderedPageBreak/>
              <w:t>between Stakeholder Theory and Corporate Social Responsibility</w:t>
            </w:r>
          </w:p>
          <w:p w14:paraId="111E497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Miles (2017)</w:t>
            </w:r>
          </w:p>
          <w:p w14:paraId="51F625F0"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3" w:tgtFrame="_blank" w:history="1">
              <w:r w:rsidRPr="00791A3F">
                <w:rPr>
                  <w:rStyle w:val="Hyperlink"/>
                  <w:rFonts w:ascii="Arial" w:hAnsi="Arial" w:cs="Arial"/>
                </w:rPr>
                <w:t>Wiley</w:t>
              </w:r>
            </w:hyperlink>
          </w:p>
        </w:tc>
        <w:tc>
          <w:tcPr>
            <w:tcW w:w="846" w:type="pct"/>
            <w:hideMark/>
          </w:tcPr>
          <w:p w14:paraId="6B1A46BF"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Clarify conceptual </w:t>
            </w:r>
            <w:r w:rsidRPr="00791A3F">
              <w:rPr>
                <w:rFonts w:ascii="Arial" w:hAnsi="Arial" w:cs="Arial"/>
              </w:rPr>
              <w:lastRenderedPageBreak/>
              <w:t>distinctions and overlaps between stakeholder theory and CSR frameworks</w:t>
            </w:r>
          </w:p>
        </w:tc>
        <w:tc>
          <w:tcPr>
            <w:tcW w:w="686" w:type="pct"/>
            <w:hideMark/>
          </w:tcPr>
          <w:p w14:paraId="6A18F01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Conceptual </w:t>
            </w:r>
            <w:r w:rsidRPr="00791A3F">
              <w:rPr>
                <w:rFonts w:ascii="Arial" w:hAnsi="Arial" w:cs="Arial"/>
              </w:rPr>
              <w:lastRenderedPageBreak/>
              <w:t>analysis; Theoretical synthesis</w:t>
            </w:r>
          </w:p>
        </w:tc>
        <w:tc>
          <w:tcPr>
            <w:tcW w:w="824" w:type="pct"/>
            <w:hideMark/>
          </w:tcPr>
          <w:p w14:paraId="59BE9E8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Stakeholder theory provides normative </w:t>
            </w:r>
            <w:r w:rsidRPr="00791A3F">
              <w:rPr>
                <w:rFonts w:ascii="Arial" w:hAnsi="Arial" w:cs="Arial"/>
              </w:rPr>
              <w:lastRenderedPageBreak/>
              <w:t>foundation for CSR obligations; instrumental stakeholder management explains strategic CSR adoption</w:t>
            </w:r>
          </w:p>
        </w:tc>
        <w:tc>
          <w:tcPr>
            <w:tcW w:w="830" w:type="pct"/>
            <w:hideMark/>
          </w:tcPr>
          <w:p w14:paraId="00D59A63"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Justifies stakeholder </w:t>
            </w:r>
            <w:r w:rsidRPr="00791A3F">
              <w:rPr>
                <w:rFonts w:ascii="Arial" w:hAnsi="Arial" w:cs="Arial"/>
              </w:rPr>
              <w:lastRenderedPageBreak/>
              <w:t>accountability as core dimension of substantive CSR evaluation framework</w:t>
            </w:r>
          </w:p>
        </w:tc>
      </w:tr>
      <w:tr w:rsidR="00902E11" w:rsidRPr="00791A3F" w14:paraId="68969A56" w14:textId="77777777" w:rsidTr="007A6F53">
        <w:tc>
          <w:tcPr>
            <w:tcW w:w="1814" w:type="pct"/>
            <w:hideMark/>
          </w:tcPr>
          <w:p w14:paraId="496100CB"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Corporate Social Responsibility and Stakeholder Theory: Learning From Each Other</w:t>
            </w:r>
          </w:p>
          <w:p w14:paraId="2968578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Laplume et al. (2008)</w:t>
            </w:r>
          </w:p>
          <w:p w14:paraId="22F2CE3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4" w:tgtFrame="_blank" w:history="1">
              <w:r w:rsidRPr="00791A3F">
                <w:rPr>
                  <w:rStyle w:val="Hyperlink"/>
                  <w:rFonts w:ascii="Arial" w:hAnsi="Arial" w:cs="Arial"/>
                </w:rPr>
                <w:t>ResearchGate</w:t>
              </w:r>
            </w:hyperlink>
          </w:p>
        </w:tc>
        <w:tc>
          <w:tcPr>
            <w:tcW w:w="846" w:type="pct"/>
            <w:hideMark/>
          </w:tcPr>
          <w:p w14:paraId="57DE6E65" w14:textId="77777777" w:rsidR="00902E11" w:rsidRPr="00791A3F" w:rsidRDefault="00902E11" w:rsidP="00791A3F">
            <w:pPr>
              <w:spacing w:after="160" w:line="360" w:lineRule="auto"/>
              <w:rPr>
                <w:rFonts w:ascii="Arial" w:hAnsi="Arial" w:cs="Arial"/>
              </w:rPr>
            </w:pPr>
            <w:r w:rsidRPr="00791A3F">
              <w:rPr>
                <w:rFonts w:ascii="Arial" w:hAnsi="Arial" w:cs="Arial"/>
              </w:rPr>
              <w:t>Explore theoretical complementarities; propose integrated research agenda</w:t>
            </w:r>
          </w:p>
        </w:tc>
        <w:tc>
          <w:tcPr>
            <w:tcW w:w="686" w:type="pct"/>
            <w:hideMark/>
          </w:tcPr>
          <w:p w14:paraId="0B3E050B" w14:textId="77777777" w:rsidR="00902E11" w:rsidRPr="00791A3F" w:rsidRDefault="00902E11" w:rsidP="00791A3F">
            <w:pPr>
              <w:spacing w:after="160" w:line="360" w:lineRule="auto"/>
              <w:rPr>
                <w:rFonts w:ascii="Arial" w:hAnsi="Arial" w:cs="Arial"/>
              </w:rPr>
            </w:pPr>
            <w:r w:rsidRPr="00791A3F">
              <w:rPr>
                <w:rFonts w:ascii="Arial" w:hAnsi="Arial" w:cs="Arial"/>
              </w:rPr>
              <w:t>Conceptual review; Theory triangulation</w:t>
            </w:r>
          </w:p>
        </w:tc>
        <w:tc>
          <w:tcPr>
            <w:tcW w:w="824" w:type="pct"/>
            <w:hideMark/>
          </w:tcPr>
          <w:p w14:paraId="65541D22" w14:textId="77777777" w:rsidR="00902E11" w:rsidRPr="00791A3F" w:rsidRDefault="00902E11" w:rsidP="00791A3F">
            <w:pPr>
              <w:spacing w:after="160" w:line="360" w:lineRule="auto"/>
              <w:rPr>
                <w:rFonts w:ascii="Arial" w:hAnsi="Arial" w:cs="Arial"/>
              </w:rPr>
            </w:pPr>
            <w:r w:rsidRPr="00791A3F">
              <w:rPr>
                <w:rFonts w:ascii="Arial" w:hAnsi="Arial" w:cs="Arial"/>
              </w:rPr>
              <w:t>Stakeholder theory enriches CSR with accountability mechanisms; CSR research provides empirical validation of stakeholder propositions</w:t>
            </w:r>
          </w:p>
        </w:tc>
        <w:tc>
          <w:tcPr>
            <w:tcW w:w="830" w:type="pct"/>
            <w:hideMark/>
          </w:tcPr>
          <w:p w14:paraId="66EE8CA6" w14:textId="77777777" w:rsidR="00902E11" w:rsidRPr="00791A3F" w:rsidRDefault="00902E11" w:rsidP="00791A3F">
            <w:pPr>
              <w:spacing w:after="160" w:line="360" w:lineRule="auto"/>
              <w:rPr>
                <w:rFonts w:ascii="Arial" w:hAnsi="Arial" w:cs="Arial"/>
              </w:rPr>
            </w:pPr>
            <w:r w:rsidRPr="00791A3F">
              <w:rPr>
                <w:rFonts w:ascii="Arial" w:hAnsi="Arial" w:cs="Arial"/>
              </w:rPr>
              <w:t>Reinforces theoretical integration underpinning this study's conceptual framework</w:t>
            </w:r>
          </w:p>
        </w:tc>
      </w:tr>
      <w:tr w:rsidR="00902E11" w:rsidRPr="00791A3F" w14:paraId="14A7A885" w14:textId="77777777" w:rsidTr="007A6F53">
        <w:tc>
          <w:tcPr>
            <w:tcW w:w="1814" w:type="pct"/>
            <w:hideMark/>
          </w:tcPr>
          <w:p w14:paraId="74ABD3D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Cooperative governance under increasing member diversity: Towards a new theoretical framework</w:t>
            </w:r>
          </w:p>
          <w:p w14:paraId="7EEBEACC"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Hernández-Espallardo et al. (2021)</w:t>
            </w:r>
          </w:p>
          <w:p w14:paraId="3B9B9DC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5" w:tgtFrame="_blank" w:history="1">
              <w:r w:rsidRPr="00791A3F">
                <w:rPr>
                  <w:rStyle w:val="Hyperlink"/>
                  <w:rFonts w:ascii="Arial" w:hAnsi="Arial" w:cs="Arial"/>
                </w:rPr>
                <w:t>ScienceDirect</w:t>
              </w:r>
            </w:hyperlink>
          </w:p>
        </w:tc>
        <w:tc>
          <w:tcPr>
            <w:tcW w:w="846" w:type="pct"/>
            <w:hideMark/>
          </w:tcPr>
          <w:p w14:paraId="5BFFC283"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Analyse how cooperative governance structures influence CSR commitment</w:t>
            </w:r>
          </w:p>
        </w:tc>
        <w:tc>
          <w:tcPr>
            <w:tcW w:w="686" w:type="pct"/>
            <w:hideMark/>
          </w:tcPr>
          <w:p w14:paraId="7DD60DC7" w14:textId="77777777" w:rsidR="00902E11" w:rsidRPr="00791A3F" w:rsidRDefault="00902E11" w:rsidP="00791A3F">
            <w:pPr>
              <w:spacing w:after="160" w:line="360" w:lineRule="auto"/>
              <w:rPr>
                <w:rFonts w:ascii="Arial" w:hAnsi="Arial" w:cs="Arial"/>
              </w:rPr>
            </w:pPr>
            <w:r w:rsidRPr="00791A3F">
              <w:rPr>
                <w:rFonts w:ascii="Arial" w:hAnsi="Arial" w:cs="Arial"/>
              </w:rPr>
              <w:t>Case studies; 3 European cooperatives; Qualitative interviews</w:t>
            </w:r>
          </w:p>
        </w:tc>
        <w:tc>
          <w:tcPr>
            <w:tcW w:w="824" w:type="pct"/>
            <w:hideMark/>
          </w:tcPr>
          <w:p w14:paraId="17DB849B"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Democratic governance and member ownership structurally align with stakeholder accountability; tensions emerge between social </w:t>
            </w:r>
            <w:r w:rsidRPr="00791A3F">
              <w:rPr>
                <w:rFonts w:ascii="Arial" w:hAnsi="Arial" w:cs="Arial"/>
              </w:rPr>
              <w:lastRenderedPageBreak/>
              <w:t>mission and competitive pressures</w:t>
            </w:r>
          </w:p>
        </w:tc>
        <w:tc>
          <w:tcPr>
            <w:tcW w:w="830" w:type="pct"/>
            <w:hideMark/>
          </w:tcPr>
          <w:p w14:paraId="5B7AE4C8"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Critical for RO4: assessing whether cooperative business model (Co-op) demonstrate</w:t>
            </w:r>
            <w:r w:rsidRPr="00791A3F">
              <w:rPr>
                <w:rFonts w:ascii="Arial" w:hAnsi="Arial" w:cs="Arial"/>
              </w:rPr>
              <w:lastRenderedPageBreak/>
              <w:t>s deeper CSR integration than shareholder-led models</w:t>
            </w:r>
          </w:p>
        </w:tc>
      </w:tr>
      <w:tr w:rsidR="00902E11" w:rsidRPr="00791A3F" w14:paraId="34E8DED6" w14:textId="77777777" w:rsidTr="007A6F53">
        <w:tc>
          <w:tcPr>
            <w:tcW w:w="1814" w:type="pct"/>
            <w:hideMark/>
          </w:tcPr>
          <w:p w14:paraId="7EF8C450"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Sustainability Report Assurance Matter? Symbolic Versus Substantive ESG Greenwashing</w:t>
            </w:r>
          </w:p>
          <w:p w14:paraId="289034A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Kusumawardani &amp; Dwiridotjahjono (2024)</w:t>
            </w:r>
          </w:p>
          <w:p w14:paraId="3F40298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6" w:tgtFrame="_blank" w:history="1">
              <w:r w:rsidRPr="00791A3F">
                <w:rPr>
                  <w:rStyle w:val="Hyperlink"/>
                  <w:rFonts w:ascii="Arial" w:hAnsi="Arial" w:cs="Arial"/>
                </w:rPr>
                <w:t>ScholarHub</w:t>
              </w:r>
            </w:hyperlink>
          </w:p>
        </w:tc>
        <w:tc>
          <w:tcPr>
            <w:tcW w:w="846" w:type="pct"/>
            <w:hideMark/>
          </w:tcPr>
          <w:p w14:paraId="1B870C59" w14:textId="77777777" w:rsidR="00902E11" w:rsidRPr="00791A3F" w:rsidRDefault="00902E11" w:rsidP="00791A3F">
            <w:pPr>
              <w:spacing w:after="160" w:line="360" w:lineRule="auto"/>
              <w:rPr>
                <w:rFonts w:ascii="Arial" w:hAnsi="Arial" w:cs="Arial"/>
              </w:rPr>
            </w:pPr>
            <w:r w:rsidRPr="00791A3F">
              <w:rPr>
                <w:rFonts w:ascii="Arial" w:hAnsi="Arial" w:cs="Arial"/>
              </w:rPr>
              <w:t>Test whether third-party assurance differentiates symbolic from substantive ESG reporting</w:t>
            </w:r>
          </w:p>
        </w:tc>
        <w:tc>
          <w:tcPr>
            <w:tcW w:w="686" w:type="pct"/>
            <w:hideMark/>
          </w:tcPr>
          <w:p w14:paraId="26F16B0E"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Indonesian firms; 2018–2021; Regression</w:t>
            </w:r>
          </w:p>
        </w:tc>
        <w:tc>
          <w:tcPr>
            <w:tcW w:w="824" w:type="pct"/>
            <w:hideMark/>
          </w:tcPr>
          <w:p w14:paraId="16A4BED2" w14:textId="77777777" w:rsidR="00902E11" w:rsidRPr="00791A3F" w:rsidRDefault="00902E11" w:rsidP="00791A3F">
            <w:pPr>
              <w:spacing w:after="160" w:line="360" w:lineRule="auto"/>
              <w:rPr>
                <w:rFonts w:ascii="Arial" w:hAnsi="Arial" w:cs="Arial"/>
              </w:rPr>
            </w:pPr>
            <w:r w:rsidRPr="00791A3F">
              <w:rPr>
                <w:rFonts w:ascii="Arial" w:hAnsi="Arial" w:cs="Arial"/>
              </w:rPr>
              <w:t>External assurance correlates with higher ESG performance scores; however, assurance scope variability enables selective verification</w:t>
            </w:r>
          </w:p>
        </w:tc>
        <w:tc>
          <w:tcPr>
            <w:tcW w:w="830" w:type="pct"/>
            <w:hideMark/>
          </w:tcPr>
          <w:p w14:paraId="493943BF" w14:textId="77777777" w:rsidR="00902E11" w:rsidRPr="00791A3F" w:rsidRDefault="00902E11" w:rsidP="00791A3F">
            <w:pPr>
              <w:spacing w:after="160" w:line="360" w:lineRule="auto"/>
              <w:rPr>
                <w:rFonts w:ascii="Arial" w:hAnsi="Arial" w:cs="Arial"/>
              </w:rPr>
            </w:pPr>
            <w:r w:rsidRPr="00791A3F">
              <w:rPr>
                <w:rFonts w:ascii="Arial" w:hAnsi="Arial" w:cs="Arial"/>
              </w:rPr>
              <w:t>Informs verifiability criterion in evaluative framework; highlights importance of assurance quality not just presence</w:t>
            </w:r>
          </w:p>
        </w:tc>
      </w:tr>
      <w:tr w:rsidR="00902E11" w:rsidRPr="00791A3F" w14:paraId="1D13B37B" w14:textId="77777777" w:rsidTr="007A6F53">
        <w:tc>
          <w:tcPr>
            <w:tcW w:w="1814" w:type="pct"/>
            <w:hideMark/>
          </w:tcPr>
          <w:p w14:paraId="64B99986"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Concepts and forms of greenwashing: a systematic review</w:t>
            </w:r>
          </w:p>
          <w:p w14:paraId="3F43851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de Freitas Netto et al. (2020)</w:t>
            </w:r>
          </w:p>
          <w:p w14:paraId="1C55B44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7" w:tgtFrame="_blank" w:history="1">
              <w:r w:rsidRPr="00791A3F">
                <w:rPr>
                  <w:rStyle w:val="Hyperlink"/>
                  <w:rFonts w:ascii="Arial" w:hAnsi="Arial" w:cs="Arial"/>
                </w:rPr>
                <w:t>Springer</w:t>
              </w:r>
            </w:hyperlink>
          </w:p>
        </w:tc>
        <w:tc>
          <w:tcPr>
            <w:tcW w:w="846" w:type="pct"/>
            <w:hideMark/>
          </w:tcPr>
          <w:p w14:paraId="1EF1B102"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Develop comprehensive greenwashing taxonomy; identify detection mechanisms</w:t>
            </w:r>
          </w:p>
        </w:tc>
        <w:tc>
          <w:tcPr>
            <w:tcW w:w="686" w:type="pct"/>
            <w:hideMark/>
          </w:tcPr>
          <w:p w14:paraId="39204975"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87 studies; Conceptual framework</w:t>
            </w:r>
          </w:p>
        </w:tc>
        <w:tc>
          <w:tcPr>
            <w:tcW w:w="824" w:type="pct"/>
            <w:hideMark/>
          </w:tcPr>
          <w:p w14:paraId="26AEDC08" w14:textId="77777777" w:rsidR="00902E11" w:rsidRPr="00791A3F" w:rsidRDefault="00902E11" w:rsidP="00791A3F">
            <w:pPr>
              <w:spacing w:after="160" w:line="360" w:lineRule="auto"/>
              <w:rPr>
                <w:rFonts w:ascii="Arial" w:hAnsi="Arial" w:cs="Arial"/>
              </w:rPr>
            </w:pPr>
            <w:r w:rsidRPr="00791A3F">
              <w:rPr>
                <w:rFonts w:ascii="Arial" w:hAnsi="Arial" w:cs="Arial"/>
              </w:rPr>
              <w:t>Seven greenwashing types: hidden trade-offs, no proof, vagueness, false labels, irrelevance, lesser of two evils, fibbing; detection requires triangulation</w:t>
            </w:r>
          </w:p>
        </w:tc>
        <w:tc>
          <w:tcPr>
            <w:tcW w:w="830" w:type="pct"/>
            <w:hideMark/>
          </w:tcPr>
          <w:p w14:paraId="1D3BE02C" w14:textId="77777777" w:rsidR="00902E11" w:rsidRPr="00791A3F" w:rsidRDefault="00902E11" w:rsidP="00791A3F">
            <w:pPr>
              <w:spacing w:after="160" w:line="360" w:lineRule="auto"/>
              <w:rPr>
                <w:rFonts w:ascii="Arial" w:hAnsi="Arial" w:cs="Arial"/>
              </w:rPr>
            </w:pPr>
            <w:r w:rsidRPr="00791A3F">
              <w:rPr>
                <w:rFonts w:ascii="Arial" w:hAnsi="Arial" w:cs="Arial"/>
              </w:rPr>
              <w:t>Provides operational greenwashing indicators for analysing UK retailer environmental claims</w:t>
            </w:r>
          </w:p>
        </w:tc>
      </w:tr>
      <w:tr w:rsidR="00902E11" w:rsidRPr="00791A3F" w14:paraId="747C221C" w14:textId="77777777" w:rsidTr="007A6F53">
        <w:tc>
          <w:tcPr>
            <w:tcW w:w="1814" w:type="pct"/>
            <w:hideMark/>
          </w:tcPr>
          <w:p w14:paraId="17D931B4"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Identifying greenwashing in corporate-social responsibility reports using natural-language processing</w:t>
            </w:r>
          </w:p>
          <w:p w14:paraId="02548CD4"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Bose et al. (2024)</w:t>
            </w:r>
          </w:p>
          <w:p w14:paraId="00AB4A9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8" w:tgtFrame="_blank" w:history="1">
              <w:r w:rsidRPr="00791A3F">
                <w:rPr>
                  <w:rStyle w:val="Hyperlink"/>
                  <w:rFonts w:ascii="Arial" w:hAnsi="Arial" w:cs="Arial"/>
                </w:rPr>
                <w:t>Wiley</w:t>
              </w:r>
            </w:hyperlink>
          </w:p>
        </w:tc>
        <w:tc>
          <w:tcPr>
            <w:tcW w:w="846" w:type="pct"/>
            <w:hideMark/>
          </w:tcPr>
          <w:p w14:paraId="4659C885" w14:textId="77777777" w:rsidR="00902E11" w:rsidRPr="00791A3F" w:rsidRDefault="00902E11" w:rsidP="00791A3F">
            <w:pPr>
              <w:spacing w:after="160" w:line="360" w:lineRule="auto"/>
              <w:rPr>
                <w:rFonts w:ascii="Arial" w:hAnsi="Arial" w:cs="Arial"/>
              </w:rPr>
            </w:pPr>
            <w:r w:rsidRPr="00791A3F">
              <w:rPr>
                <w:rFonts w:ascii="Arial" w:hAnsi="Arial" w:cs="Arial"/>
              </w:rPr>
              <w:t>Develop automated greenwashing detection methodology; test on CSR reports</w:t>
            </w:r>
          </w:p>
        </w:tc>
        <w:tc>
          <w:tcPr>
            <w:tcW w:w="686" w:type="pct"/>
            <w:hideMark/>
          </w:tcPr>
          <w:p w14:paraId="7D6E673B" w14:textId="77777777" w:rsidR="00902E11" w:rsidRPr="00791A3F" w:rsidRDefault="00902E11" w:rsidP="00791A3F">
            <w:pPr>
              <w:spacing w:after="160" w:line="360" w:lineRule="auto"/>
              <w:rPr>
                <w:rFonts w:ascii="Arial" w:hAnsi="Arial" w:cs="Arial"/>
              </w:rPr>
            </w:pPr>
            <w:r w:rsidRPr="00791A3F">
              <w:rPr>
                <w:rFonts w:ascii="Arial" w:hAnsi="Arial" w:cs="Arial"/>
              </w:rPr>
              <w:t>Machine learning; 1,200+ CSR reports; NLP analysis</w:t>
            </w:r>
          </w:p>
        </w:tc>
        <w:tc>
          <w:tcPr>
            <w:tcW w:w="824" w:type="pct"/>
            <w:hideMark/>
          </w:tcPr>
          <w:p w14:paraId="0F7B3620" w14:textId="77777777" w:rsidR="00902E11" w:rsidRPr="00791A3F" w:rsidRDefault="00902E11" w:rsidP="00791A3F">
            <w:pPr>
              <w:spacing w:after="160" w:line="360" w:lineRule="auto"/>
              <w:rPr>
                <w:rFonts w:ascii="Arial" w:hAnsi="Arial" w:cs="Arial"/>
              </w:rPr>
            </w:pPr>
            <w:r w:rsidRPr="00791A3F">
              <w:rPr>
                <w:rFonts w:ascii="Arial" w:hAnsi="Arial" w:cs="Arial"/>
              </w:rPr>
              <w:t>Vague quantifiers, future-tense commitments, passive voice correlate with greenwashing; specific metrics and past-tense achievements indicate substance</w:t>
            </w:r>
          </w:p>
        </w:tc>
        <w:tc>
          <w:tcPr>
            <w:tcW w:w="830" w:type="pct"/>
            <w:hideMark/>
          </w:tcPr>
          <w:p w14:paraId="04D82E7D" w14:textId="77777777" w:rsidR="00902E11" w:rsidRPr="00791A3F" w:rsidRDefault="00902E11" w:rsidP="00791A3F">
            <w:pPr>
              <w:spacing w:after="160" w:line="360" w:lineRule="auto"/>
              <w:rPr>
                <w:rFonts w:ascii="Arial" w:hAnsi="Arial" w:cs="Arial"/>
              </w:rPr>
            </w:pPr>
            <w:r w:rsidRPr="00791A3F">
              <w:rPr>
                <w:rFonts w:ascii="Arial" w:hAnsi="Arial" w:cs="Arial"/>
              </w:rPr>
              <w:t>Methodological contribution: supports content analysis approach distinguishing aspirational language from measurable outcomes</w:t>
            </w:r>
          </w:p>
        </w:tc>
      </w:tr>
      <w:tr w:rsidR="00902E11" w:rsidRPr="00791A3F" w14:paraId="115CDC9B" w14:textId="77777777" w:rsidTr="007A6F53">
        <w:tc>
          <w:tcPr>
            <w:tcW w:w="1814" w:type="pct"/>
            <w:hideMark/>
          </w:tcPr>
          <w:p w14:paraId="59358EE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Symbolic Versus Substantive ESG Practices: A Systematic Review and Integrative Framework</w:t>
            </w:r>
          </w:p>
          <w:p w14:paraId="76B8CC3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Yang et al. (2025)</w:t>
            </w:r>
          </w:p>
          <w:p w14:paraId="2A7F946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19" w:tgtFrame="_blank" w:history="1">
              <w:r w:rsidRPr="00791A3F">
                <w:rPr>
                  <w:rStyle w:val="Hyperlink"/>
                  <w:rFonts w:ascii="Arial" w:hAnsi="Arial" w:cs="Arial"/>
                </w:rPr>
                <w:t>Wiley</w:t>
              </w:r>
            </w:hyperlink>
          </w:p>
        </w:tc>
        <w:tc>
          <w:tcPr>
            <w:tcW w:w="846" w:type="pct"/>
            <w:hideMark/>
          </w:tcPr>
          <w:p w14:paraId="7B6D0A42" w14:textId="77777777" w:rsidR="00902E11" w:rsidRPr="00791A3F" w:rsidRDefault="00902E11" w:rsidP="00791A3F">
            <w:pPr>
              <w:spacing w:after="160" w:line="360" w:lineRule="auto"/>
              <w:rPr>
                <w:rFonts w:ascii="Arial" w:hAnsi="Arial" w:cs="Arial"/>
              </w:rPr>
            </w:pPr>
            <w:r w:rsidRPr="00791A3F">
              <w:rPr>
                <w:rFonts w:ascii="Arial" w:hAnsi="Arial" w:cs="Arial"/>
              </w:rPr>
              <w:t>Synthesise symbolic-substantive CSR literature; propose evaluation framework</w:t>
            </w:r>
          </w:p>
        </w:tc>
        <w:tc>
          <w:tcPr>
            <w:tcW w:w="686" w:type="pct"/>
            <w:hideMark/>
          </w:tcPr>
          <w:p w14:paraId="212F73D3"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2000–2024; Framework development</w:t>
            </w:r>
          </w:p>
        </w:tc>
        <w:tc>
          <w:tcPr>
            <w:tcW w:w="824" w:type="pct"/>
            <w:hideMark/>
          </w:tcPr>
          <w:p w14:paraId="347B2438" w14:textId="77777777" w:rsidR="00902E11" w:rsidRPr="00791A3F" w:rsidRDefault="00902E11" w:rsidP="00791A3F">
            <w:pPr>
              <w:spacing w:after="160" w:line="360" w:lineRule="auto"/>
              <w:rPr>
                <w:rFonts w:ascii="Arial" w:hAnsi="Arial" w:cs="Arial"/>
              </w:rPr>
            </w:pPr>
            <w:r w:rsidRPr="00791A3F">
              <w:rPr>
                <w:rFonts w:ascii="Arial" w:hAnsi="Arial" w:cs="Arial"/>
              </w:rPr>
              <w:t>Substantive ESG requires: governance integration, measurable targets, independent verification, stakeholder engagement, operational embeddedness</w:t>
            </w:r>
          </w:p>
        </w:tc>
        <w:tc>
          <w:tcPr>
            <w:tcW w:w="830" w:type="pct"/>
            <w:hideMark/>
          </w:tcPr>
          <w:p w14:paraId="73294584" w14:textId="77777777" w:rsidR="00902E11" w:rsidRPr="00791A3F" w:rsidRDefault="00902E11" w:rsidP="00791A3F">
            <w:pPr>
              <w:spacing w:after="160" w:line="360" w:lineRule="auto"/>
              <w:rPr>
                <w:rFonts w:ascii="Arial" w:hAnsi="Arial" w:cs="Arial"/>
              </w:rPr>
            </w:pPr>
            <w:r w:rsidRPr="00791A3F">
              <w:rPr>
                <w:rFonts w:ascii="Arial" w:hAnsi="Arial" w:cs="Arial"/>
              </w:rPr>
              <w:t>Directly informs study's five evaluative criteria (verifiability, measurability, accountability, integration, comparability)</w:t>
            </w:r>
          </w:p>
        </w:tc>
      </w:tr>
      <w:tr w:rsidR="00902E11" w:rsidRPr="00791A3F" w14:paraId="33520E34" w14:textId="77777777" w:rsidTr="007A6F53">
        <w:tc>
          <w:tcPr>
            <w:tcW w:w="1814" w:type="pct"/>
            <w:hideMark/>
          </w:tcPr>
          <w:p w14:paraId="3287DF55"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Mapping the greenwashing research landscape: a theoretical and field analysis</w:t>
            </w:r>
          </w:p>
          <w:p w14:paraId="218F7C2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Mehmood et al. (2025)</w:t>
            </w:r>
          </w:p>
          <w:p w14:paraId="18998C9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0" w:tgtFrame="_blank" w:history="1">
              <w:r w:rsidRPr="00791A3F">
                <w:rPr>
                  <w:rStyle w:val="Hyperlink"/>
                  <w:rFonts w:ascii="Arial" w:hAnsi="Arial" w:cs="Arial"/>
                </w:rPr>
                <w:t>Springer</w:t>
              </w:r>
            </w:hyperlink>
          </w:p>
        </w:tc>
        <w:tc>
          <w:tcPr>
            <w:tcW w:w="846" w:type="pct"/>
            <w:hideMark/>
          </w:tcPr>
          <w:p w14:paraId="55B3B388" w14:textId="77777777" w:rsidR="00902E11" w:rsidRPr="00791A3F" w:rsidRDefault="00902E11" w:rsidP="00791A3F">
            <w:pPr>
              <w:spacing w:after="160" w:line="360" w:lineRule="auto"/>
              <w:rPr>
                <w:rFonts w:ascii="Arial" w:hAnsi="Arial" w:cs="Arial"/>
              </w:rPr>
            </w:pPr>
            <w:r w:rsidRPr="00791A3F">
              <w:rPr>
                <w:rFonts w:ascii="Arial" w:hAnsi="Arial" w:cs="Arial"/>
              </w:rPr>
              <w:t>Bibliometric analysis of greenwashing scholarship; identify research frontiers</w:t>
            </w:r>
          </w:p>
        </w:tc>
        <w:tc>
          <w:tcPr>
            <w:tcW w:w="686" w:type="pct"/>
            <w:hideMark/>
          </w:tcPr>
          <w:p w14:paraId="69FB3C19" w14:textId="77777777" w:rsidR="00902E11" w:rsidRPr="00791A3F" w:rsidRDefault="00902E11" w:rsidP="00791A3F">
            <w:pPr>
              <w:spacing w:after="160" w:line="360" w:lineRule="auto"/>
              <w:rPr>
                <w:rFonts w:ascii="Arial" w:hAnsi="Arial" w:cs="Arial"/>
              </w:rPr>
            </w:pPr>
            <w:r w:rsidRPr="00791A3F">
              <w:rPr>
                <w:rFonts w:ascii="Arial" w:hAnsi="Arial" w:cs="Arial"/>
              </w:rPr>
              <w:t>Bibliometric review; 1990–2024; VOSviewer analysis</w:t>
            </w:r>
          </w:p>
        </w:tc>
        <w:tc>
          <w:tcPr>
            <w:tcW w:w="824" w:type="pct"/>
            <w:hideMark/>
          </w:tcPr>
          <w:p w14:paraId="663D8729" w14:textId="77777777" w:rsidR="00902E11" w:rsidRPr="00791A3F" w:rsidRDefault="00902E11" w:rsidP="00791A3F">
            <w:pPr>
              <w:spacing w:after="160" w:line="360" w:lineRule="auto"/>
              <w:rPr>
                <w:rFonts w:ascii="Arial" w:hAnsi="Arial" w:cs="Arial"/>
              </w:rPr>
            </w:pPr>
            <w:r w:rsidRPr="00791A3F">
              <w:rPr>
                <w:rFonts w:ascii="Arial" w:hAnsi="Arial" w:cs="Arial"/>
              </w:rPr>
              <w:t>Greenwashing research clusters: drivers, consequences, detection methods, regulatory responses; food industry emerging as high-risk sector</w:t>
            </w:r>
          </w:p>
        </w:tc>
        <w:tc>
          <w:tcPr>
            <w:tcW w:w="830" w:type="pct"/>
            <w:hideMark/>
          </w:tcPr>
          <w:p w14:paraId="6177284D" w14:textId="77777777" w:rsidR="00902E11" w:rsidRPr="00791A3F" w:rsidRDefault="00902E11" w:rsidP="00791A3F">
            <w:pPr>
              <w:spacing w:after="160" w:line="360" w:lineRule="auto"/>
              <w:rPr>
                <w:rFonts w:ascii="Arial" w:hAnsi="Arial" w:cs="Arial"/>
              </w:rPr>
            </w:pPr>
            <w:r w:rsidRPr="00791A3F">
              <w:rPr>
                <w:rFonts w:ascii="Arial" w:hAnsi="Arial" w:cs="Arial"/>
              </w:rPr>
              <w:t>Positions food retail as critical sector for greenwashing investigation; justifies sector selection</w:t>
            </w:r>
          </w:p>
        </w:tc>
      </w:tr>
      <w:tr w:rsidR="00902E11" w:rsidRPr="00791A3F" w14:paraId="2D679771" w14:textId="77777777" w:rsidTr="007A6F53">
        <w:tc>
          <w:tcPr>
            <w:tcW w:w="1814" w:type="pct"/>
            <w:hideMark/>
          </w:tcPr>
          <w:p w14:paraId="6DF7C0D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Quantifying firm-level greenwashing: A systematic literature review</w:t>
            </w:r>
          </w:p>
          <w:p w14:paraId="54AF1F0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Stanny &amp; Ely (2024)</w:t>
            </w:r>
          </w:p>
          <w:p w14:paraId="5D4523B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1" w:tgtFrame="_blank" w:history="1">
              <w:r w:rsidRPr="00791A3F">
                <w:rPr>
                  <w:rStyle w:val="Hyperlink"/>
                  <w:rFonts w:ascii="Arial" w:hAnsi="Arial" w:cs="Arial"/>
                </w:rPr>
                <w:t>ScienceDirect</w:t>
              </w:r>
            </w:hyperlink>
          </w:p>
        </w:tc>
        <w:tc>
          <w:tcPr>
            <w:tcW w:w="846" w:type="pct"/>
            <w:hideMark/>
          </w:tcPr>
          <w:p w14:paraId="4078A9E1" w14:textId="77777777" w:rsidR="00902E11" w:rsidRPr="00791A3F" w:rsidRDefault="00902E11" w:rsidP="00791A3F">
            <w:pPr>
              <w:spacing w:after="160" w:line="360" w:lineRule="auto"/>
              <w:rPr>
                <w:rFonts w:ascii="Arial" w:hAnsi="Arial" w:cs="Arial"/>
              </w:rPr>
            </w:pPr>
            <w:r w:rsidRPr="00791A3F">
              <w:rPr>
                <w:rFonts w:ascii="Arial" w:hAnsi="Arial" w:cs="Arial"/>
              </w:rPr>
              <w:t>Review greenwashing measurement methodologies; assess validity and reliability</w:t>
            </w:r>
          </w:p>
        </w:tc>
        <w:tc>
          <w:tcPr>
            <w:tcW w:w="686" w:type="pct"/>
            <w:hideMark/>
          </w:tcPr>
          <w:p w14:paraId="7019FA9F" w14:textId="77777777" w:rsidR="00902E11" w:rsidRPr="00791A3F" w:rsidRDefault="00902E11" w:rsidP="00791A3F">
            <w:pPr>
              <w:spacing w:after="160" w:line="360" w:lineRule="auto"/>
              <w:rPr>
                <w:rFonts w:ascii="Arial" w:hAnsi="Arial" w:cs="Arial"/>
              </w:rPr>
            </w:pPr>
            <w:r w:rsidRPr="00791A3F">
              <w:rPr>
                <w:rFonts w:ascii="Arial" w:hAnsi="Arial" w:cs="Arial"/>
              </w:rPr>
              <w:t>Meta-review; 65 empirical studies; Methodological synthesis</w:t>
            </w:r>
          </w:p>
        </w:tc>
        <w:tc>
          <w:tcPr>
            <w:tcW w:w="824" w:type="pct"/>
            <w:hideMark/>
          </w:tcPr>
          <w:p w14:paraId="2FB09675" w14:textId="77777777" w:rsidR="00902E11" w:rsidRPr="00791A3F" w:rsidRDefault="00902E11" w:rsidP="00791A3F">
            <w:pPr>
              <w:spacing w:after="160" w:line="360" w:lineRule="auto"/>
              <w:rPr>
                <w:rFonts w:ascii="Arial" w:hAnsi="Arial" w:cs="Arial"/>
              </w:rPr>
            </w:pPr>
            <w:r w:rsidRPr="00791A3F">
              <w:rPr>
                <w:rFonts w:ascii="Arial" w:hAnsi="Arial" w:cs="Arial"/>
              </w:rPr>
              <w:t>Three measurement approaches: disclosure-performance gap indices, textual analysis, third-party ratings; triangulation enhances validity</w:t>
            </w:r>
          </w:p>
        </w:tc>
        <w:tc>
          <w:tcPr>
            <w:tcW w:w="830" w:type="pct"/>
            <w:hideMark/>
          </w:tcPr>
          <w:p w14:paraId="2488C12D" w14:textId="77777777" w:rsidR="00902E11" w:rsidRPr="00791A3F" w:rsidRDefault="00902E11" w:rsidP="00791A3F">
            <w:pPr>
              <w:spacing w:after="160" w:line="360" w:lineRule="auto"/>
              <w:rPr>
                <w:rFonts w:ascii="Arial" w:hAnsi="Arial" w:cs="Arial"/>
              </w:rPr>
            </w:pPr>
            <w:r w:rsidRPr="00791A3F">
              <w:rPr>
                <w:rFonts w:ascii="Arial" w:hAnsi="Arial" w:cs="Arial"/>
              </w:rPr>
              <w:t>Methodological justification for combining corporate disclosures with independent assessments (CDP, Ethical Consumer, ShareAction)</w:t>
            </w:r>
          </w:p>
        </w:tc>
      </w:tr>
      <w:tr w:rsidR="00902E11" w:rsidRPr="00791A3F" w14:paraId="02C3D9E1" w14:textId="77777777" w:rsidTr="007A6F53">
        <w:tc>
          <w:tcPr>
            <w:tcW w:w="1814" w:type="pct"/>
            <w:hideMark/>
          </w:tcPr>
          <w:p w14:paraId="7A299773"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Greenwashing or Striving to Persist: An Alternative Explanation of a Loose Coupling</w:t>
            </w:r>
          </w:p>
          <w:p w14:paraId="28A408F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Goelzer &amp; Wilkinson (2024)</w:t>
            </w:r>
          </w:p>
          <w:p w14:paraId="37F8E50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2" w:tgtFrame="_blank" w:history="1">
              <w:r w:rsidRPr="00791A3F">
                <w:rPr>
                  <w:rStyle w:val="Hyperlink"/>
                  <w:rFonts w:ascii="Arial" w:hAnsi="Arial" w:cs="Arial"/>
                </w:rPr>
                <w:t>Springer</w:t>
              </w:r>
            </w:hyperlink>
          </w:p>
        </w:tc>
        <w:tc>
          <w:tcPr>
            <w:tcW w:w="846" w:type="pct"/>
            <w:hideMark/>
          </w:tcPr>
          <w:p w14:paraId="62778D64"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Explore nuanced reasons for CSR implementation gaps </w:t>
            </w:r>
            <w:r w:rsidRPr="00791A3F">
              <w:rPr>
                <w:rFonts w:ascii="Arial" w:hAnsi="Arial" w:cs="Arial"/>
              </w:rPr>
              <w:lastRenderedPageBreak/>
              <w:t>beyond intentional greenwashing</w:t>
            </w:r>
          </w:p>
        </w:tc>
        <w:tc>
          <w:tcPr>
            <w:tcW w:w="686" w:type="pct"/>
            <w:hideMark/>
          </w:tcPr>
          <w:p w14:paraId="1F783096"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Case study; 4 Brazilian firms; Institutional </w:t>
            </w:r>
            <w:r w:rsidRPr="00791A3F">
              <w:rPr>
                <w:rFonts w:ascii="Arial" w:hAnsi="Arial" w:cs="Arial"/>
              </w:rPr>
              <w:lastRenderedPageBreak/>
              <w:t>ethnography</w:t>
            </w:r>
          </w:p>
        </w:tc>
        <w:tc>
          <w:tcPr>
            <w:tcW w:w="824" w:type="pct"/>
            <w:hideMark/>
          </w:tcPr>
          <w:p w14:paraId="60ECBC9D"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Some symbolic CSR reflects genuine institutional constraints (resource scarcity, supply chain complexity) rather </w:t>
            </w:r>
            <w:r w:rsidRPr="00791A3F">
              <w:rPr>
                <w:rFonts w:ascii="Arial" w:hAnsi="Arial" w:cs="Arial"/>
              </w:rPr>
              <w:lastRenderedPageBreak/>
              <w:t>than deliberate deception</w:t>
            </w:r>
          </w:p>
        </w:tc>
        <w:tc>
          <w:tcPr>
            <w:tcW w:w="830" w:type="pct"/>
            <w:hideMark/>
          </w:tcPr>
          <w:p w14:paraId="750CAFD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Adds interpretive nuance: not all implementation gaps </w:t>
            </w:r>
            <w:r w:rsidRPr="00791A3F">
              <w:rPr>
                <w:rFonts w:ascii="Arial" w:hAnsi="Arial" w:cs="Arial"/>
              </w:rPr>
              <w:lastRenderedPageBreak/>
              <w:t>constitute greenwashing; distinguishes capacity constraints from intentional misrepresentation</w:t>
            </w:r>
          </w:p>
        </w:tc>
      </w:tr>
      <w:tr w:rsidR="00902E11" w:rsidRPr="00791A3F" w14:paraId="54AD4731" w14:textId="77777777" w:rsidTr="007A6F53">
        <w:tc>
          <w:tcPr>
            <w:tcW w:w="1814" w:type="pct"/>
            <w:hideMark/>
          </w:tcPr>
          <w:p w14:paraId="2E8A3487"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Grey zone in – greenwash out. A review of greenwashing research</w:t>
            </w:r>
          </w:p>
          <w:p w14:paraId="070DE3D5"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Torelli et al. (2019)</w:t>
            </w:r>
          </w:p>
          <w:p w14:paraId="3AEA231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3" w:tgtFrame="_blank" w:history="1">
              <w:r w:rsidRPr="00791A3F">
                <w:rPr>
                  <w:rStyle w:val="Hyperlink"/>
                  <w:rFonts w:ascii="Arial" w:hAnsi="Arial" w:cs="Arial"/>
                </w:rPr>
                <w:t>Springer JCSR</w:t>
              </w:r>
            </w:hyperlink>
          </w:p>
        </w:tc>
        <w:tc>
          <w:tcPr>
            <w:tcW w:w="846" w:type="pct"/>
            <w:hideMark/>
          </w:tcPr>
          <w:p w14:paraId="43520D57" w14:textId="77777777" w:rsidR="00902E11" w:rsidRPr="00791A3F" w:rsidRDefault="00902E11" w:rsidP="00791A3F">
            <w:pPr>
              <w:spacing w:after="160" w:line="360" w:lineRule="auto"/>
              <w:rPr>
                <w:rFonts w:ascii="Arial" w:hAnsi="Arial" w:cs="Arial"/>
              </w:rPr>
            </w:pPr>
            <w:r w:rsidRPr="00791A3F">
              <w:rPr>
                <w:rFonts w:ascii="Arial" w:hAnsi="Arial" w:cs="Arial"/>
              </w:rPr>
              <w:t>Map greenwashing antecedents, manifestations, and consequences</w:t>
            </w:r>
          </w:p>
        </w:tc>
        <w:tc>
          <w:tcPr>
            <w:tcW w:w="686" w:type="pct"/>
            <w:hideMark/>
          </w:tcPr>
          <w:p w14:paraId="3DD69B79"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1990–2018; Conceptual model</w:t>
            </w:r>
          </w:p>
        </w:tc>
        <w:tc>
          <w:tcPr>
            <w:tcW w:w="824" w:type="pct"/>
            <w:hideMark/>
          </w:tcPr>
          <w:p w14:paraId="6D1734C4" w14:textId="77777777" w:rsidR="00902E11" w:rsidRPr="00791A3F" w:rsidRDefault="00902E11" w:rsidP="00791A3F">
            <w:pPr>
              <w:spacing w:after="160" w:line="360" w:lineRule="auto"/>
              <w:rPr>
                <w:rFonts w:ascii="Arial" w:hAnsi="Arial" w:cs="Arial"/>
              </w:rPr>
            </w:pPr>
            <w:r w:rsidRPr="00791A3F">
              <w:rPr>
                <w:rFonts w:ascii="Arial" w:hAnsi="Arial" w:cs="Arial"/>
              </w:rPr>
              <w:t>Greenwashing driven by: regulatory gaps, stakeholder pressure without monitoring capacity, short-term financial incentives; consequences include legitimacy loss and consumer backlash</w:t>
            </w:r>
          </w:p>
        </w:tc>
        <w:tc>
          <w:tcPr>
            <w:tcW w:w="830" w:type="pct"/>
            <w:hideMark/>
          </w:tcPr>
          <w:p w14:paraId="2E502BCE" w14:textId="77777777" w:rsidR="00902E11" w:rsidRPr="00791A3F" w:rsidRDefault="00902E11" w:rsidP="00791A3F">
            <w:pPr>
              <w:spacing w:after="160" w:line="360" w:lineRule="auto"/>
              <w:rPr>
                <w:rFonts w:ascii="Arial" w:hAnsi="Arial" w:cs="Arial"/>
              </w:rPr>
            </w:pPr>
            <w:r w:rsidRPr="00791A3F">
              <w:rPr>
                <w:rFonts w:ascii="Arial" w:hAnsi="Arial" w:cs="Arial"/>
              </w:rPr>
              <w:t>Theoretical foundation for understanding institutional and organisational drivers of symbolic CSR in UK retail context</w:t>
            </w:r>
          </w:p>
        </w:tc>
      </w:tr>
      <w:tr w:rsidR="00902E11" w:rsidRPr="00791A3F" w14:paraId="72A4B4FA" w14:textId="77777777" w:rsidTr="007A6F53">
        <w:tc>
          <w:tcPr>
            <w:tcW w:w="1814" w:type="pct"/>
            <w:hideMark/>
          </w:tcPr>
          <w:p w14:paraId="1690F5F9"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Not all that glitters is green: empirical evidence from the Eurostoxx600 on greenwashing perception</w:t>
            </w:r>
          </w:p>
          <w:p w14:paraId="52391CC2"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Citterio &amp; King (2024)</w:t>
            </w:r>
          </w:p>
          <w:p w14:paraId="74112D5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4" w:tgtFrame="_blank" w:history="1">
              <w:r w:rsidRPr="00791A3F">
                <w:rPr>
                  <w:rStyle w:val="Hyperlink"/>
                  <w:rFonts w:ascii="Arial" w:hAnsi="Arial" w:cs="Arial"/>
                </w:rPr>
                <w:t>Springer</w:t>
              </w:r>
            </w:hyperlink>
          </w:p>
        </w:tc>
        <w:tc>
          <w:tcPr>
            <w:tcW w:w="846" w:type="pct"/>
            <w:hideMark/>
          </w:tcPr>
          <w:p w14:paraId="520668C2"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Test investor perception of greenwashing using ESG controversies and stock performance</w:t>
            </w:r>
          </w:p>
        </w:tc>
        <w:tc>
          <w:tcPr>
            <w:tcW w:w="686" w:type="pct"/>
            <w:hideMark/>
          </w:tcPr>
          <w:p w14:paraId="5AEDACD2" w14:textId="77777777" w:rsidR="00902E11" w:rsidRPr="00791A3F" w:rsidRDefault="00902E11" w:rsidP="00791A3F">
            <w:pPr>
              <w:spacing w:after="160" w:line="360" w:lineRule="auto"/>
              <w:rPr>
                <w:rFonts w:ascii="Arial" w:hAnsi="Arial" w:cs="Arial"/>
              </w:rPr>
            </w:pPr>
            <w:r w:rsidRPr="00791A3F">
              <w:rPr>
                <w:rFonts w:ascii="Arial" w:hAnsi="Arial" w:cs="Arial"/>
              </w:rPr>
              <w:t>Quantitative; 600 European firms; 2015–2022; Event study</w:t>
            </w:r>
          </w:p>
        </w:tc>
        <w:tc>
          <w:tcPr>
            <w:tcW w:w="824" w:type="pct"/>
            <w:hideMark/>
          </w:tcPr>
          <w:p w14:paraId="6B0BE607" w14:textId="77777777" w:rsidR="00902E11" w:rsidRPr="00791A3F" w:rsidRDefault="00902E11" w:rsidP="00791A3F">
            <w:pPr>
              <w:spacing w:after="160" w:line="360" w:lineRule="auto"/>
              <w:rPr>
                <w:rFonts w:ascii="Arial" w:hAnsi="Arial" w:cs="Arial"/>
              </w:rPr>
            </w:pPr>
            <w:r w:rsidRPr="00791A3F">
              <w:rPr>
                <w:rFonts w:ascii="Arial" w:hAnsi="Arial" w:cs="Arial"/>
              </w:rPr>
              <w:t>ESG controversies (greenwashing exposure) trigger negative abnormal returns; market increasingly penalises symbolic sustainability</w:t>
            </w:r>
          </w:p>
        </w:tc>
        <w:tc>
          <w:tcPr>
            <w:tcW w:w="830" w:type="pct"/>
            <w:hideMark/>
          </w:tcPr>
          <w:p w14:paraId="42849068" w14:textId="77777777" w:rsidR="00902E11" w:rsidRPr="00791A3F" w:rsidRDefault="00902E11" w:rsidP="00791A3F">
            <w:pPr>
              <w:spacing w:after="160" w:line="360" w:lineRule="auto"/>
              <w:rPr>
                <w:rFonts w:ascii="Arial" w:hAnsi="Arial" w:cs="Arial"/>
              </w:rPr>
            </w:pPr>
            <w:r w:rsidRPr="00791A3F">
              <w:rPr>
                <w:rFonts w:ascii="Arial" w:hAnsi="Arial" w:cs="Arial"/>
              </w:rPr>
              <w:t>Demonstrates financial materiality of greenwashing risk; relevant to investor accountability discussion</w:t>
            </w:r>
          </w:p>
        </w:tc>
      </w:tr>
      <w:tr w:rsidR="00902E11" w:rsidRPr="00791A3F" w14:paraId="67230076" w14:textId="77777777" w:rsidTr="007A6F53">
        <w:tc>
          <w:tcPr>
            <w:tcW w:w="1814" w:type="pct"/>
            <w:hideMark/>
          </w:tcPr>
          <w:p w14:paraId="33BFDAC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 case study of the UK's leading food retailers</w:t>
            </w:r>
          </w:p>
          <w:p w14:paraId="6239A73D"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Jones et al. (2005)</w:t>
            </w:r>
          </w:p>
          <w:p w14:paraId="58D1B4E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5" w:tgtFrame="_blank" w:history="1">
              <w:r w:rsidRPr="00791A3F">
                <w:rPr>
                  <w:rStyle w:val="Hyperlink"/>
                  <w:rFonts w:ascii="Arial" w:hAnsi="Arial" w:cs="Arial"/>
                </w:rPr>
                <w:t>Emerald</w:t>
              </w:r>
            </w:hyperlink>
          </w:p>
        </w:tc>
        <w:tc>
          <w:tcPr>
            <w:tcW w:w="846" w:type="pct"/>
            <w:hideMark/>
          </w:tcPr>
          <w:p w14:paraId="0016421D" w14:textId="77777777" w:rsidR="00902E11" w:rsidRPr="00791A3F" w:rsidRDefault="00902E11" w:rsidP="00791A3F">
            <w:pPr>
              <w:spacing w:after="160" w:line="360" w:lineRule="auto"/>
              <w:rPr>
                <w:rFonts w:ascii="Arial" w:hAnsi="Arial" w:cs="Arial"/>
              </w:rPr>
            </w:pPr>
            <w:r w:rsidRPr="00791A3F">
              <w:rPr>
                <w:rFonts w:ascii="Arial" w:hAnsi="Arial" w:cs="Arial"/>
              </w:rPr>
              <w:t>Establish baseline assessment of UK food retail CSR across five dimensions</w:t>
            </w:r>
          </w:p>
        </w:tc>
        <w:tc>
          <w:tcPr>
            <w:tcW w:w="686" w:type="pct"/>
            <w:hideMark/>
          </w:tcPr>
          <w:p w14:paraId="70F3027D" w14:textId="77777777" w:rsidR="00902E11" w:rsidRPr="00791A3F" w:rsidRDefault="00902E11" w:rsidP="00791A3F">
            <w:pPr>
              <w:spacing w:after="160" w:line="360" w:lineRule="auto"/>
              <w:rPr>
                <w:rFonts w:ascii="Arial" w:hAnsi="Arial" w:cs="Arial"/>
              </w:rPr>
            </w:pPr>
            <w:r w:rsidRPr="00791A3F">
              <w:rPr>
                <w:rFonts w:ascii="Arial" w:hAnsi="Arial" w:cs="Arial"/>
              </w:rPr>
              <w:t>Content analysis; 10 UK retailers; 2003–2004; Corporate reports</w:t>
            </w:r>
          </w:p>
        </w:tc>
        <w:tc>
          <w:tcPr>
            <w:tcW w:w="824" w:type="pct"/>
            <w:hideMark/>
          </w:tcPr>
          <w:p w14:paraId="35B358D8" w14:textId="77777777" w:rsidR="00902E11" w:rsidRPr="00791A3F" w:rsidRDefault="00902E11" w:rsidP="00791A3F">
            <w:pPr>
              <w:spacing w:after="160" w:line="360" w:lineRule="auto"/>
              <w:rPr>
                <w:rFonts w:ascii="Arial" w:hAnsi="Arial" w:cs="Arial"/>
              </w:rPr>
            </w:pPr>
            <w:r w:rsidRPr="00791A3F">
              <w:rPr>
                <w:rFonts w:ascii="Arial" w:hAnsi="Arial" w:cs="Arial"/>
              </w:rPr>
              <w:t>CSR activity concentrated on environmental management and community engagement; ethical sourcing nascent; employee welfare and customer health under-developed</w:t>
            </w:r>
          </w:p>
        </w:tc>
        <w:tc>
          <w:tcPr>
            <w:tcW w:w="830" w:type="pct"/>
            <w:hideMark/>
          </w:tcPr>
          <w:p w14:paraId="3C641915" w14:textId="77777777" w:rsidR="00902E11" w:rsidRPr="00791A3F" w:rsidRDefault="00902E11" w:rsidP="00791A3F">
            <w:pPr>
              <w:spacing w:after="160" w:line="360" w:lineRule="auto"/>
              <w:rPr>
                <w:rFonts w:ascii="Arial" w:hAnsi="Arial" w:cs="Arial"/>
              </w:rPr>
            </w:pPr>
            <w:r w:rsidRPr="00791A3F">
              <w:rPr>
                <w:rFonts w:ascii="Arial" w:hAnsi="Arial" w:cs="Arial"/>
                <w:b/>
                <w:bCs/>
              </w:rPr>
              <w:t>Core baseline study:</w:t>
            </w:r>
            <w:r w:rsidRPr="00791A3F">
              <w:rPr>
                <w:rFonts w:ascii="Arial" w:hAnsi="Arial" w:cs="Arial"/>
              </w:rPr>
              <w:t> establishes 2005 benchmark for longitudinal comparison; defines five CSR dimensions adapted in this research</w:t>
            </w:r>
          </w:p>
        </w:tc>
      </w:tr>
      <w:tr w:rsidR="00902E11" w:rsidRPr="00791A3F" w14:paraId="2139F79E" w14:textId="77777777" w:rsidTr="007A6F53">
        <w:tc>
          <w:tcPr>
            <w:tcW w:w="1814" w:type="pct"/>
            <w:hideMark/>
          </w:tcPr>
          <w:p w14:paraId="44D593C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CSR: the co-evolution of grocery multiples in the UK (2005–2010)</w:t>
            </w:r>
          </w:p>
          <w:p w14:paraId="5093C64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Nicholls &amp; Opal (2014)</w:t>
            </w:r>
          </w:p>
          <w:p w14:paraId="502ABBCE"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6" w:tgtFrame="_blank" w:history="1">
              <w:r w:rsidRPr="00791A3F">
                <w:rPr>
                  <w:rStyle w:val="Hyperlink"/>
                  <w:rFonts w:ascii="Arial" w:hAnsi="Arial" w:cs="Arial"/>
                </w:rPr>
                <w:t>Centaur</w:t>
              </w:r>
            </w:hyperlink>
          </w:p>
        </w:tc>
        <w:tc>
          <w:tcPr>
            <w:tcW w:w="846" w:type="pct"/>
            <w:hideMark/>
          </w:tcPr>
          <w:p w14:paraId="1273AD26" w14:textId="77777777" w:rsidR="00902E11" w:rsidRPr="00791A3F" w:rsidRDefault="00902E11" w:rsidP="00791A3F">
            <w:pPr>
              <w:spacing w:after="160" w:line="360" w:lineRule="auto"/>
              <w:rPr>
                <w:rFonts w:ascii="Arial" w:hAnsi="Arial" w:cs="Arial"/>
              </w:rPr>
            </w:pPr>
            <w:r w:rsidRPr="00791A3F">
              <w:rPr>
                <w:rFonts w:ascii="Arial" w:hAnsi="Arial" w:cs="Arial"/>
              </w:rPr>
              <w:t>Track CSR evolution in UK grocery sector 2005–2010; identify institutional drivers</w:t>
            </w:r>
          </w:p>
        </w:tc>
        <w:tc>
          <w:tcPr>
            <w:tcW w:w="686" w:type="pct"/>
            <w:hideMark/>
          </w:tcPr>
          <w:p w14:paraId="7AC64013" w14:textId="77777777" w:rsidR="00902E11" w:rsidRPr="00791A3F" w:rsidRDefault="00902E11" w:rsidP="00791A3F">
            <w:pPr>
              <w:spacing w:after="160" w:line="360" w:lineRule="auto"/>
              <w:rPr>
                <w:rFonts w:ascii="Arial" w:hAnsi="Arial" w:cs="Arial"/>
              </w:rPr>
            </w:pPr>
            <w:r w:rsidRPr="00791A3F">
              <w:rPr>
                <w:rFonts w:ascii="Arial" w:hAnsi="Arial" w:cs="Arial"/>
              </w:rPr>
              <w:t>Longitudinal; 6 retailers; Corporate reports + interviews; Thematic analysis</w:t>
            </w:r>
          </w:p>
        </w:tc>
        <w:tc>
          <w:tcPr>
            <w:tcW w:w="824" w:type="pct"/>
            <w:hideMark/>
          </w:tcPr>
          <w:p w14:paraId="22951EBA" w14:textId="77777777" w:rsidR="00902E11" w:rsidRPr="00791A3F" w:rsidRDefault="00902E11" w:rsidP="00791A3F">
            <w:pPr>
              <w:spacing w:after="160" w:line="360" w:lineRule="auto"/>
              <w:rPr>
                <w:rFonts w:ascii="Arial" w:hAnsi="Arial" w:cs="Arial"/>
              </w:rPr>
            </w:pPr>
            <w:r w:rsidRPr="00791A3F">
              <w:rPr>
                <w:rFonts w:ascii="Arial" w:hAnsi="Arial" w:cs="Arial"/>
              </w:rPr>
              <w:t>CSR professionalisation driven by reputational risk, competitive benchmarking, regulatory anticipation; limited evidence of deep operational integration</w:t>
            </w:r>
          </w:p>
        </w:tc>
        <w:tc>
          <w:tcPr>
            <w:tcW w:w="830" w:type="pct"/>
            <w:hideMark/>
          </w:tcPr>
          <w:p w14:paraId="4DC888EE" w14:textId="77777777" w:rsidR="00902E11" w:rsidRPr="00791A3F" w:rsidRDefault="00902E11" w:rsidP="00791A3F">
            <w:pPr>
              <w:spacing w:after="160" w:line="360" w:lineRule="auto"/>
              <w:rPr>
                <w:rFonts w:ascii="Arial" w:hAnsi="Arial" w:cs="Arial"/>
              </w:rPr>
            </w:pPr>
            <w:r w:rsidRPr="00791A3F">
              <w:rPr>
                <w:rFonts w:ascii="Arial" w:hAnsi="Arial" w:cs="Arial"/>
              </w:rPr>
              <w:t>Provides interim longitudinal data bridging Jones et al. (2005) and current study period; identifies institutionalisation without substantiation trend</w:t>
            </w:r>
          </w:p>
        </w:tc>
      </w:tr>
      <w:tr w:rsidR="00902E11" w:rsidRPr="00791A3F" w14:paraId="0B69E453" w14:textId="77777777" w:rsidTr="007A6F53">
        <w:tc>
          <w:tcPr>
            <w:tcW w:w="1814" w:type="pct"/>
            <w:hideMark/>
          </w:tcPr>
          <w:p w14:paraId="47DD241E"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Comparing UK food retailers' corporate social responsibility strategies</w:t>
            </w:r>
          </w:p>
          <w:p w14:paraId="09BF63D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Blythman (2017)</w:t>
            </w:r>
          </w:p>
          <w:p w14:paraId="0E654FB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7" w:tgtFrame="_blank" w:history="1">
              <w:r w:rsidRPr="00791A3F">
                <w:rPr>
                  <w:rStyle w:val="Hyperlink"/>
                  <w:rFonts w:ascii="Arial" w:hAnsi="Arial" w:cs="Arial"/>
                </w:rPr>
                <w:t>ResearchGate</w:t>
              </w:r>
            </w:hyperlink>
          </w:p>
        </w:tc>
        <w:tc>
          <w:tcPr>
            <w:tcW w:w="846" w:type="pct"/>
            <w:hideMark/>
          </w:tcPr>
          <w:p w14:paraId="5FB03D47" w14:textId="77777777" w:rsidR="00902E11" w:rsidRPr="00791A3F" w:rsidRDefault="00902E11" w:rsidP="00791A3F">
            <w:pPr>
              <w:spacing w:after="160" w:line="360" w:lineRule="auto"/>
              <w:rPr>
                <w:rFonts w:ascii="Arial" w:hAnsi="Arial" w:cs="Arial"/>
              </w:rPr>
            </w:pPr>
            <w:r w:rsidRPr="00791A3F">
              <w:rPr>
                <w:rFonts w:ascii="Arial" w:hAnsi="Arial" w:cs="Arial"/>
              </w:rPr>
              <w:t>Comparative analysis of CSR strategy differentiation among UK retailers</w:t>
            </w:r>
          </w:p>
        </w:tc>
        <w:tc>
          <w:tcPr>
            <w:tcW w:w="686" w:type="pct"/>
            <w:hideMark/>
          </w:tcPr>
          <w:p w14:paraId="072BBB2B" w14:textId="77777777" w:rsidR="00902E11" w:rsidRPr="00791A3F" w:rsidRDefault="00902E11" w:rsidP="00791A3F">
            <w:pPr>
              <w:spacing w:after="160" w:line="360" w:lineRule="auto"/>
              <w:rPr>
                <w:rFonts w:ascii="Arial" w:hAnsi="Arial" w:cs="Arial"/>
              </w:rPr>
            </w:pPr>
            <w:r w:rsidRPr="00791A3F">
              <w:rPr>
                <w:rFonts w:ascii="Arial" w:hAnsi="Arial" w:cs="Arial"/>
              </w:rPr>
              <w:t>Qualitative; 5 retailers; Interviews + document analysis</w:t>
            </w:r>
          </w:p>
        </w:tc>
        <w:tc>
          <w:tcPr>
            <w:tcW w:w="824" w:type="pct"/>
            <w:hideMark/>
          </w:tcPr>
          <w:p w14:paraId="33B80317" w14:textId="77777777" w:rsidR="00902E11" w:rsidRPr="00791A3F" w:rsidRDefault="00902E11" w:rsidP="00791A3F">
            <w:pPr>
              <w:spacing w:after="160" w:line="360" w:lineRule="auto"/>
              <w:rPr>
                <w:rFonts w:ascii="Arial" w:hAnsi="Arial" w:cs="Arial"/>
              </w:rPr>
            </w:pPr>
            <w:r w:rsidRPr="00791A3F">
              <w:rPr>
                <w:rFonts w:ascii="Arial" w:hAnsi="Arial" w:cs="Arial"/>
              </w:rPr>
              <w:t>Mainstream retailers emphasise supply chain governance; discounters focus on operational efficiency; cooperatives prioritise community engagement; strategies reflect business model logics</w:t>
            </w:r>
          </w:p>
        </w:tc>
        <w:tc>
          <w:tcPr>
            <w:tcW w:w="830" w:type="pct"/>
            <w:hideMark/>
          </w:tcPr>
          <w:p w14:paraId="355B521D" w14:textId="77777777" w:rsidR="00902E11" w:rsidRPr="00791A3F" w:rsidRDefault="00902E11" w:rsidP="00791A3F">
            <w:pPr>
              <w:spacing w:after="160" w:line="360" w:lineRule="auto"/>
              <w:rPr>
                <w:rFonts w:ascii="Arial" w:hAnsi="Arial" w:cs="Arial"/>
              </w:rPr>
            </w:pPr>
            <w:r w:rsidRPr="00791A3F">
              <w:rPr>
                <w:rFonts w:ascii="Arial" w:hAnsi="Arial" w:cs="Arial"/>
              </w:rPr>
              <w:t>Empirical support for RO4: business model influences CSR priorities and implementation approaches</w:t>
            </w:r>
          </w:p>
        </w:tc>
      </w:tr>
      <w:tr w:rsidR="00902E11" w:rsidRPr="00791A3F" w14:paraId="639AA75C" w14:textId="77777777" w:rsidTr="007A6F53">
        <w:tc>
          <w:tcPr>
            <w:tcW w:w="1814" w:type="pct"/>
            <w:hideMark/>
          </w:tcPr>
          <w:p w14:paraId="78690A0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Moving towards sustainable food retailing?</w:t>
            </w:r>
          </w:p>
          <w:p w14:paraId="70B3CD5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Clarke et al. (2012)</w:t>
            </w:r>
          </w:p>
          <w:p w14:paraId="3CD9986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28" w:tgtFrame="_blank" w:history="1">
              <w:r w:rsidRPr="00791A3F">
                <w:rPr>
                  <w:rStyle w:val="Hyperlink"/>
                  <w:rFonts w:ascii="Arial" w:hAnsi="Arial" w:cs="Arial"/>
                </w:rPr>
                <w:t>ResearchGate</w:t>
              </w:r>
            </w:hyperlink>
          </w:p>
        </w:tc>
        <w:tc>
          <w:tcPr>
            <w:tcW w:w="846" w:type="pct"/>
            <w:hideMark/>
          </w:tcPr>
          <w:p w14:paraId="02B7EBB4" w14:textId="77777777" w:rsidR="00902E11" w:rsidRPr="00791A3F" w:rsidRDefault="00902E11" w:rsidP="00791A3F">
            <w:pPr>
              <w:spacing w:after="160" w:line="360" w:lineRule="auto"/>
              <w:rPr>
                <w:rFonts w:ascii="Arial" w:hAnsi="Arial" w:cs="Arial"/>
              </w:rPr>
            </w:pPr>
            <w:r w:rsidRPr="00791A3F">
              <w:rPr>
                <w:rFonts w:ascii="Arial" w:hAnsi="Arial" w:cs="Arial"/>
              </w:rPr>
              <w:t>Assess UK retailer progress towards sustainable retailing; identify barriers</w:t>
            </w:r>
          </w:p>
        </w:tc>
        <w:tc>
          <w:tcPr>
            <w:tcW w:w="686" w:type="pct"/>
            <w:hideMark/>
          </w:tcPr>
          <w:p w14:paraId="64DA14C8" w14:textId="77777777" w:rsidR="00902E11" w:rsidRPr="00791A3F" w:rsidRDefault="00902E11" w:rsidP="00791A3F">
            <w:pPr>
              <w:spacing w:after="160" w:line="360" w:lineRule="auto"/>
              <w:rPr>
                <w:rFonts w:ascii="Arial" w:hAnsi="Arial" w:cs="Arial"/>
              </w:rPr>
            </w:pPr>
            <w:r w:rsidRPr="00791A3F">
              <w:rPr>
                <w:rFonts w:ascii="Arial" w:hAnsi="Arial" w:cs="Arial"/>
              </w:rPr>
              <w:t>Mixed methods; Interviews + store audits; 2010–2011</w:t>
            </w:r>
          </w:p>
        </w:tc>
        <w:tc>
          <w:tcPr>
            <w:tcW w:w="824" w:type="pct"/>
            <w:hideMark/>
          </w:tcPr>
          <w:p w14:paraId="1D5C25EF" w14:textId="77777777" w:rsidR="00902E11" w:rsidRPr="00791A3F" w:rsidRDefault="00902E11" w:rsidP="00791A3F">
            <w:pPr>
              <w:spacing w:after="160" w:line="360" w:lineRule="auto"/>
              <w:rPr>
                <w:rFonts w:ascii="Arial" w:hAnsi="Arial" w:cs="Arial"/>
              </w:rPr>
            </w:pPr>
            <w:r w:rsidRPr="00791A3F">
              <w:rPr>
                <w:rFonts w:ascii="Arial" w:hAnsi="Arial" w:cs="Arial"/>
              </w:rPr>
              <w:t>Progress on energy efficiency and packaging reduction; limited traction on food waste, healthy eating, living wages; commercial imperatives constrain ambition</w:t>
            </w:r>
          </w:p>
        </w:tc>
        <w:tc>
          <w:tcPr>
            <w:tcW w:w="830" w:type="pct"/>
            <w:hideMark/>
          </w:tcPr>
          <w:p w14:paraId="7328142B" w14:textId="77777777" w:rsidR="00902E11" w:rsidRPr="00791A3F" w:rsidRDefault="00902E11" w:rsidP="00791A3F">
            <w:pPr>
              <w:spacing w:after="160" w:line="360" w:lineRule="auto"/>
              <w:rPr>
                <w:rFonts w:ascii="Arial" w:hAnsi="Arial" w:cs="Arial"/>
              </w:rPr>
            </w:pPr>
            <w:r w:rsidRPr="00791A3F">
              <w:rPr>
                <w:rFonts w:ascii="Arial" w:hAnsi="Arial" w:cs="Arial"/>
              </w:rPr>
              <w:t>Identifies persistent implementation barriers relevant to evaluating 2020–2025 progress against 2005 baseline</w:t>
            </w:r>
          </w:p>
        </w:tc>
      </w:tr>
      <w:tr w:rsidR="00902E11" w:rsidRPr="00791A3F" w14:paraId="17324111" w14:textId="77777777" w:rsidTr="007A6F53">
        <w:tc>
          <w:tcPr>
            <w:tcW w:w="1814" w:type="pct"/>
            <w:hideMark/>
          </w:tcPr>
          <w:p w14:paraId="3F136A6F"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and UK Retailers</w:t>
            </w:r>
          </w:p>
          <w:p w14:paraId="66E70162"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Quazi &amp; O'Brien (2000)</w:t>
            </w:r>
          </w:p>
          <w:p w14:paraId="472CFD5E"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29" w:tgtFrame="_blank" w:history="1">
              <w:r w:rsidRPr="00791A3F">
                <w:rPr>
                  <w:rStyle w:val="Hyperlink"/>
                  <w:rFonts w:ascii="Arial" w:hAnsi="Arial" w:cs="Arial"/>
                </w:rPr>
                <w:t>ResearchGate</w:t>
              </w:r>
            </w:hyperlink>
          </w:p>
        </w:tc>
        <w:tc>
          <w:tcPr>
            <w:tcW w:w="846" w:type="pct"/>
            <w:hideMark/>
          </w:tcPr>
          <w:p w14:paraId="2400E727"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Examine drivers and manifestations of CSR in UK retail sector</w:t>
            </w:r>
          </w:p>
        </w:tc>
        <w:tc>
          <w:tcPr>
            <w:tcW w:w="686" w:type="pct"/>
            <w:hideMark/>
          </w:tcPr>
          <w:p w14:paraId="51B07B23" w14:textId="77777777" w:rsidR="00902E11" w:rsidRPr="00791A3F" w:rsidRDefault="00902E11" w:rsidP="00791A3F">
            <w:pPr>
              <w:spacing w:after="160" w:line="360" w:lineRule="auto"/>
              <w:rPr>
                <w:rFonts w:ascii="Arial" w:hAnsi="Arial" w:cs="Arial"/>
              </w:rPr>
            </w:pPr>
            <w:r w:rsidRPr="00791A3F">
              <w:rPr>
                <w:rFonts w:ascii="Arial" w:hAnsi="Arial" w:cs="Arial"/>
              </w:rPr>
              <w:t>Survey; 50 UK retailers; Quantitative analysis</w:t>
            </w:r>
          </w:p>
        </w:tc>
        <w:tc>
          <w:tcPr>
            <w:tcW w:w="824" w:type="pct"/>
            <w:hideMark/>
          </w:tcPr>
          <w:p w14:paraId="7A70E1DA" w14:textId="77777777" w:rsidR="00902E11" w:rsidRPr="00791A3F" w:rsidRDefault="00902E11" w:rsidP="00791A3F">
            <w:pPr>
              <w:spacing w:after="160" w:line="360" w:lineRule="auto"/>
              <w:rPr>
                <w:rFonts w:ascii="Arial" w:hAnsi="Arial" w:cs="Arial"/>
              </w:rPr>
            </w:pPr>
            <w:r w:rsidRPr="00791A3F">
              <w:rPr>
                <w:rFonts w:ascii="Arial" w:hAnsi="Arial" w:cs="Arial"/>
              </w:rPr>
              <w:t>CSR adoption driven by brand reputation concerns and stakeholder expectations; implementation primarily focused on visible environmental initiatives</w:t>
            </w:r>
          </w:p>
        </w:tc>
        <w:tc>
          <w:tcPr>
            <w:tcW w:w="830" w:type="pct"/>
            <w:hideMark/>
          </w:tcPr>
          <w:p w14:paraId="579556DD"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Contextualises reputational drivers of UK retail CSR; supports institutional legitimacy </w:t>
            </w:r>
            <w:r w:rsidRPr="00791A3F">
              <w:rPr>
                <w:rFonts w:ascii="Arial" w:hAnsi="Arial" w:cs="Arial"/>
              </w:rPr>
              <w:lastRenderedPageBreak/>
              <w:t>theory application</w:t>
            </w:r>
          </w:p>
        </w:tc>
      </w:tr>
      <w:tr w:rsidR="00902E11" w:rsidRPr="00791A3F" w14:paraId="7F3C1C5E" w14:textId="77777777" w:rsidTr="007A6F53">
        <w:tc>
          <w:tcPr>
            <w:tcW w:w="1814" w:type="pct"/>
            <w:hideMark/>
          </w:tcPr>
          <w:p w14:paraId="7DF6E869"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Supermarket nutritionists' perspectives on affordability interventions for healthier, sustainable food purchasing in UK retail</w:t>
            </w:r>
          </w:p>
          <w:p w14:paraId="043F100A"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Robinson et al. (2025)</w:t>
            </w:r>
          </w:p>
          <w:p w14:paraId="025707E8"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0" w:tgtFrame="_blank" w:history="1">
              <w:r w:rsidRPr="00791A3F">
                <w:rPr>
                  <w:rStyle w:val="Hyperlink"/>
                  <w:rFonts w:ascii="Arial" w:hAnsi="Arial" w:cs="Arial"/>
                </w:rPr>
                <w:t>PMC</w:t>
              </w:r>
            </w:hyperlink>
          </w:p>
        </w:tc>
        <w:tc>
          <w:tcPr>
            <w:tcW w:w="846" w:type="pct"/>
            <w:hideMark/>
          </w:tcPr>
          <w:p w14:paraId="5FD71291" w14:textId="77777777" w:rsidR="00902E11" w:rsidRPr="00791A3F" w:rsidRDefault="00902E11" w:rsidP="00791A3F">
            <w:pPr>
              <w:spacing w:after="160" w:line="360" w:lineRule="auto"/>
              <w:rPr>
                <w:rFonts w:ascii="Arial" w:hAnsi="Arial" w:cs="Arial"/>
              </w:rPr>
            </w:pPr>
            <w:r w:rsidRPr="00791A3F">
              <w:rPr>
                <w:rFonts w:ascii="Arial" w:hAnsi="Arial" w:cs="Arial"/>
              </w:rPr>
              <w:t>Explore retailer nutritionist perspectives on health-sustainability-affordability trade-offs</w:t>
            </w:r>
          </w:p>
        </w:tc>
        <w:tc>
          <w:tcPr>
            <w:tcW w:w="686" w:type="pct"/>
            <w:hideMark/>
          </w:tcPr>
          <w:p w14:paraId="58F022DD" w14:textId="77777777" w:rsidR="00902E11" w:rsidRPr="00791A3F" w:rsidRDefault="00902E11" w:rsidP="00791A3F">
            <w:pPr>
              <w:spacing w:after="160" w:line="360" w:lineRule="auto"/>
              <w:rPr>
                <w:rFonts w:ascii="Arial" w:hAnsi="Arial" w:cs="Arial"/>
              </w:rPr>
            </w:pPr>
            <w:r w:rsidRPr="00791A3F">
              <w:rPr>
                <w:rFonts w:ascii="Arial" w:hAnsi="Arial" w:cs="Arial"/>
              </w:rPr>
              <w:t>Qualitative; Interviews with 15 UK supermarket nutritionists; 2023; Thematic analysis</w:t>
            </w:r>
          </w:p>
        </w:tc>
        <w:tc>
          <w:tcPr>
            <w:tcW w:w="824" w:type="pct"/>
            <w:hideMark/>
          </w:tcPr>
          <w:p w14:paraId="0F764F21" w14:textId="77777777" w:rsidR="00902E11" w:rsidRPr="00791A3F" w:rsidRDefault="00902E11" w:rsidP="00791A3F">
            <w:pPr>
              <w:spacing w:after="160" w:line="360" w:lineRule="auto"/>
              <w:rPr>
                <w:rFonts w:ascii="Arial" w:hAnsi="Arial" w:cs="Arial"/>
              </w:rPr>
            </w:pPr>
            <w:r w:rsidRPr="00791A3F">
              <w:rPr>
                <w:rFonts w:ascii="Arial" w:hAnsi="Arial" w:cs="Arial"/>
              </w:rPr>
              <w:t>Nutritionists advocate for affordable healthy options but face commercial pressures prioritising profit margins; tensions between public health goals and shareholder expectations</w:t>
            </w:r>
          </w:p>
        </w:tc>
        <w:tc>
          <w:tcPr>
            <w:tcW w:w="830" w:type="pct"/>
            <w:hideMark/>
          </w:tcPr>
          <w:p w14:paraId="48C66C78" w14:textId="77777777" w:rsidR="00902E11" w:rsidRPr="00791A3F" w:rsidRDefault="00902E11" w:rsidP="00791A3F">
            <w:pPr>
              <w:spacing w:after="160" w:line="360" w:lineRule="auto"/>
              <w:rPr>
                <w:rFonts w:ascii="Arial" w:hAnsi="Arial" w:cs="Arial"/>
              </w:rPr>
            </w:pPr>
            <w:r w:rsidRPr="00791A3F">
              <w:rPr>
                <w:rFonts w:ascii="Arial" w:hAnsi="Arial" w:cs="Arial"/>
              </w:rPr>
              <w:t>Reveals internal tensions constraining substantive health CSR; relevant to RQ4 (emerging priorities) and customer responsibility dimension</w:t>
            </w:r>
          </w:p>
        </w:tc>
      </w:tr>
      <w:tr w:rsidR="00902E11" w:rsidRPr="00791A3F" w14:paraId="071971B8" w14:textId="77777777" w:rsidTr="007A6F53">
        <w:tc>
          <w:tcPr>
            <w:tcW w:w="1814" w:type="pct"/>
            <w:hideMark/>
          </w:tcPr>
          <w:p w14:paraId="40194E1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Corporate Social Responsibility: A Case Study of the UK's Leading Food Retailers (extended discussion)</w:t>
            </w:r>
          </w:p>
          <w:p w14:paraId="25D6941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Jones et al. (2011)</w:t>
            </w:r>
          </w:p>
          <w:p w14:paraId="33FB0860"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1" w:tgtFrame="_blank" w:history="1">
              <w:r w:rsidRPr="00791A3F">
                <w:rPr>
                  <w:rStyle w:val="Hyperlink"/>
                  <w:rFonts w:ascii="Arial" w:hAnsi="Arial" w:cs="Arial"/>
                </w:rPr>
                <w:t>ResearchGate</w:t>
              </w:r>
            </w:hyperlink>
          </w:p>
        </w:tc>
        <w:tc>
          <w:tcPr>
            <w:tcW w:w="846" w:type="pct"/>
            <w:hideMark/>
          </w:tcPr>
          <w:p w14:paraId="407D0731" w14:textId="77777777" w:rsidR="00902E11" w:rsidRPr="00791A3F" w:rsidRDefault="00902E11" w:rsidP="00791A3F">
            <w:pPr>
              <w:spacing w:after="160" w:line="360" w:lineRule="auto"/>
              <w:rPr>
                <w:rFonts w:ascii="Arial" w:hAnsi="Arial" w:cs="Arial"/>
              </w:rPr>
            </w:pPr>
            <w:r w:rsidRPr="00791A3F">
              <w:rPr>
                <w:rFonts w:ascii="Arial" w:hAnsi="Arial" w:cs="Arial"/>
              </w:rPr>
              <w:t>Extended methodological discussion and sector analysis building on 2005 study</w:t>
            </w:r>
          </w:p>
        </w:tc>
        <w:tc>
          <w:tcPr>
            <w:tcW w:w="686" w:type="pct"/>
            <w:hideMark/>
          </w:tcPr>
          <w:p w14:paraId="1789C51C" w14:textId="77777777" w:rsidR="00902E11" w:rsidRPr="00791A3F" w:rsidRDefault="00902E11" w:rsidP="00791A3F">
            <w:pPr>
              <w:spacing w:after="160" w:line="360" w:lineRule="auto"/>
              <w:rPr>
                <w:rFonts w:ascii="Arial" w:hAnsi="Arial" w:cs="Arial"/>
              </w:rPr>
            </w:pPr>
            <w:r w:rsidRPr="00791A3F">
              <w:rPr>
                <w:rFonts w:ascii="Arial" w:hAnsi="Arial" w:cs="Arial"/>
              </w:rPr>
              <w:t>Conceptual; Literature review</w:t>
            </w:r>
          </w:p>
        </w:tc>
        <w:tc>
          <w:tcPr>
            <w:tcW w:w="824" w:type="pct"/>
            <w:hideMark/>
          </w:tcPr>
          <w:p w14:paraId="1B5B82A4" w14:textId="77777777" w:rsidR="00902E11" w:rsidRPr="00791A3F" w:rsidRDefault="00902E11" w:rsidP="00791A3F">
            <w:pPr>
              <w:spacing w:after="160" w:line="360" w:lineRule="auto"/>
              <w:rPr>
                <w:rFonts w:ascii="Arial" w:hAnsi="Arial" w:cs="Arial"/>
              </w:rPr>
            </w:pPr>
            <w:r w:rsidRPr="00791A3F">
              <w:rPr>
                <w:rFonts w:ascii="Arial" w:hAnsi="Arial" w:cs="Arial"/>
              </w:rPr>
              <w:t>UK food retail CSR evolved from philanthropic add-on to strategic necessity; external pressures (regulation, civil society, investors) drive adoption; implementation depth remains variable</w:t>
            </w:r>
          </w:p>
        </w:tc>
        <w:tc>
          <w:tcPr>
            <w:tcW w:w="830" w:type="pct"/>
            <w:hideMark/>
          </w:tcPr>
          <w:p w14:paraId="20AF7B49" w14:textId="77777777" w:rsidR="00902E11" w:rsidRPr="00791A3F" w:rsidRDefault="00902E11" w:rsidP="00791A3F">
            <w:pPr>
              <w:spacing w:after="160" w:line="360" w:lineRule="auto"/>
              <w:rPr>
                <w:rFonts w:ascii="Arial" w:hAnsi="Arial" w:cs="Arial"/>
              </w:rPr>
            </w:pPr>
            <w:r w:rsidRPr="00791A3F">
              <w:rPr>
                <w:rFonts w:ascii="Arial" w:hAnsi="Arial" w:cs="Arial"/>
              </w:rPr>
              <w:t>Theoretical elaboration of 2005 baseline; provides historical context for 20-year evaluation period</w:t>
            </w:r>
          </w:p>
        </w:tc>
      </w:tr>
      <w:tr w:rsidR="00902E11" w:rsidRPr="00791A3F" w14:paraId="4D8DA6FF" w14:textId="77777777" w:rsidTr="007A6F53">
        <w:tc>
          <w:tcPr>
            <w:tcW w:w="1814" w:type="pct"/>
            <w:hideMark/>
          </w:tcPr>
          <w:p w14:paraId="762C5D4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Modern slavery in supply chains: a systematic literature review</w:t>
            </w:r>
          </w:p>
          <w:p w14:paraId="1F03914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Meehan &amp; Pinnington (2022)</w:t>
            </w:r>
          </w:p>
          <w:p w14:paraId="66E885C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2" w:tgtFrame="_blank" w:history="1">
              <w:r w:rsidRPr="00791A3F">
                <w:rPr>
                  <w:rStyle w:val="Hyperlink"/>
                  <w:rFonts w:ascii="Arial" w:hAnsi="Arial" w:cs="Arial"/>
                </w:rPr>
                <w:t>Taylor &amp; Francis</w:t>
              </w:r>
            </w:hyperlink>
          </w:p>
        </w:tc>
        <w:tc>
          <w:tcPr>
            <w:tcW w:w="846" w:type="pct"/>
            <w:hideMark/>
          </w:tcPr>
          <w:p w14:paraId="0161770B" w14:textId="77777777" w:rsidR="00902E11" w:rsidRPr="00791A3F" w:rsidRDefault="00902E11" w:rsidP="00791A3F">
            <w:pPr>
              <w:spacing w:after="160" w:line="360" w:lineRule="auto"/>
              <w:rPr>
                <w:rFonts w:ascii="Arial" w:hAnsi="Arial" w:cs="Arial"/>
              </w:rPr>
            </w:pPr>
            <w:r w:rsidRPr="00791A3F">
              <w:rPr>
                <w:rFonts w:ascii="Arial" w:hAnsi="Arial" w:cs="Arial"/>
              </w:rPr>
              <w:t>Synthesise modern slavery supply chain scholarship; assess disclosure effectiveness</w:t>
            </w:r>
          </w:p>
        </w:tc>
        <w:tc>
          <w:tcPr>
            <w:tcW w:w="686" w:type="pct"/>
            <w:hideMark/>
          </w:tcPr>
          <w:p w14:paraId="1320A09D"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2015–2021; 78 studies</w:t>
            </w:r>
          </w:p>
        </w:tc>
        <w:tc>
          <w:tcPr>
            <w:tcW w:w="824" w:type="pct"/>
            <w:hideMark/>
          </w:tcPr>
          <w:p w14:paraId="65BE62AD" w14:textId="77777777" w:rsidR="00902E11" w:rsidRPr="00791A3F" w:rsidRDefault="00902E11" w:rsidP="00791A3F">
            <w:pPr>
              <w:spacing w:after="160" w:line="360" w:lineRule="auto"/>
              <w:rPr>
                <w:rFonts w:ascii="Arial" w:hAnsi="Arial" w:cs="Arial"/>
              </w:rPr>
            </w:pPr>
            <w:r w:rsidRPr="00791A3F">
              <w:rPr>
                <w:rFonts w:ascii="Arial" w:hAnsi="Arial" w:cs="Arial"/>
              </w:rPr>
              <w:t>Modern Slavery Act (2015) increased disclosure volume but not transparency depth; reporting focuses on governance processes rather than worker outcomes</w:t>
            </w:r>
          </w:p>
        </w:tc>
        <w:tc>
          <w:tcPr>
            <w:tcW w:w="830" w:type="pct"/>
            <w:hideMark/>
          </w:tcPr>
          <w:p w14:paraId="53DC82AA" w14:textId="77777777" w:rsidR="00902E11" w:rsidRPr="00791A3F" w:rsidRDefault="00902E11" w:rsidP="00791A3F">
            <w:pPr>
              <w:spacing w:after="160" w:line="360" w:lineRule="auto"/>
              <w:rPr>
                <w:rFonts w:ascii="Arial" w:hAnsi="Arial" w:cs="Arial"/>
              </w:rPr>
            </w:pPr>
            <w:r w:rsidRPr="00791A3F">
              <w:rPr>
                <w:rFonts w:ascii="Arial" w:hAnsi="Arial" w:cs="Arial"/>
              </w:rPr>
              <w:t>Directly relevant to RO3: evaluating ethical sourcing dimension and Modern Slavery Act compliance effectiveness</w:t>
            </w:r>
          </w:p>
        </w:tc>
      </w:tr>
      <w:tr w:rsidR="00902E11" w:rsidRPr="00791A3F" w14:paraId="27BF371D" w14:textId="77777777" w:rsidTr="007A6F53">
        <w:tc>
          <w:tcPr>
            <w:tcW w:w="1814" w:type="pct"/>
            <w:hideMark/>
          </w:tcPr>
          <w:p w14:paraId="4E4C6C69"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Labour Rights Movements and Modern Slavery Audit Disclosures within Global Supply Chains: A Political Mediation Perspective</w:t>
            </w:r>
          </w:p>
          <w:p w14:paraId="64E7E7F0"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Sarfaty &amp; Zhang (2025)</w:t>
            </w:r>
          </w:p>
          <w:p w14:paraId="2FB9BC5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3" w:tgtFrame="_blank" w:history="1">
              <w:r w:rsidRPr="00791A3F">
                <w:rPr>
                  <w:rStyle w:val="Hyperlink"/>
                  <w:rFonts w:ascii="Arial" w:hAnsi="Arial" w:cs="Arial"/>
                </w:rPr>
                <w:t>Taylor &amp; Francis</w:t>
              </w:r>
            </w:hyperlink>
          </w:p>
        </w:tc>
        <w:tc>
          <w:tcPr>
            <w:tcW w:w="846" w:type="pct"/>
            <w:hideMark/>
          </w:tcPr>
          <w:p w14:paraId="037AA9B4" w14:textId="77777777" w:rsidR="00902E11" w:rsidRPr="00791A3F" w:rsidRDefault="00902E11" w:rsidP="00791A3F">
            <w:pPr>
              <w:spacing w:after="160" w:line="360" w:lineRule="auto"/>
              <w:rPr>
                <w:rFonts w:ascii="Arial" w:hAnsi="Arial" w:cs="Arial"/>
              </w:rPr>
            </w:pPr>
            <w:r w:rsidRPr="00791A3F">
              <w:rPr>
                <w:rFonts w:ascii="Arial" w:hAnsi="Arial" w:cs="Arial"/>
              </w:rPr>
              <w:t>Examine influence of labour rights activism on modern slavery reporting quality</w:t>
            </w:r>
          </w:p>
        </w:tc>
        <w:tc>
          <w:tcPr>
            <w:tcW w:w="686" w:type="pct"/>
            <w:hideMark/>
          </w:tcPr>
          <w:p w14:paraId="13CD00F0"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UK firms; 2016–2023; Regression</w:t>
            </w:r>
          </w:p>
        </w:tc>
        <w:tc>
          <w:tcPr>
            <w:tcW w:w="824" w:type="pct"/>
            <w:hideMark/>
          </w:tcPr>
          <w:p w14:paraId="3AA9A08C" w14:textId="77777777" w:rsidR="00902E11" w:rsidRPr="00791A3F" w:rsidRDefault="00902E11" w:rsidP="00791A3F">
            <w:pPr>
              <w:spacing w:after="160" w:line="360" w:lineRule="auto"/>
              <w:rPr>
                <w:rFonts w:ascii="Arial" w:hAnsi="Arial" w:cs="Arial"/>
              </w:rPr>
            </w:pPr>
            <w:r w:rsidRPr="00791A3F">
              <w:rPr>
                <w:rFonts w:ascii="Arial" w:hAnsi="Arial" w:cs="Arial"/>
              </w:rPr>
              <w:t>Civil society pressure correlates with disclosure improvement; however, substantive remediation evidence remains limited; political mediation mechanisms (naming-and-shaming) more effective than regulatory mandates alone</w:t>
            </w:r>
          </w:p>
        </w:tc>
        <w:tc>
          <w:tcPr>
            <w:tcW w:w="830" w:type="pct"/>
            <w:hideMark/>
          </w:tcPr>
          <w:p w14:paraId="1880FEE4" w14:textId="77777777" w:rsidR="00902E11" w:rsidRPr="00791A3F" w:rsidRDefault="00902E11" w:rsidP="00791A3F">
            <w:pPr>
              <w:spacing w:after="160" w:line="360" w:lineRule="auto"/>
              <w:rPr>
                <w:rFonts w:ascii="Arial" w:hAnsi="Arial" w:cs="Arial"/>
              </w:rPr>
            </w:pPr>
            <w:r w:rsidRPr="00791A3F">
              <w:rPr>
                <w:rFonts w:ascii="Arial" w:hAnsi="Arial" w:cs="Arial"/>
              </w:rPr>
              <w:t>Highlights role of NGO accountability (Oxfam, ShareAction) in driving substantive CSR; informs data triangulation strategy</w:t>
            </w:r>
          </w:p>
        </w:tc>
      </w:tr>
      <w:tr w:rsidR="00902E11" w:rsidRPr="00791A3F" w14:paraId="165F0280" w14:textId="77777777" w:rsidTr="007A6F53">
        <w:tc>
          <w:tcPr>
            <w:tcW w:w="1814" w:type="pct"/>
            <w:hideMark/>
          </w:tcPr>
          <w:p w14:paraId="6DB2158B"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Modern slavery </w:t>
            </w:r>
            <w:r w:rsidRPr="00791A3F">
              <w:rPr>
                <w:rFonts w:ascii="Arial" w:hAnsi="Arial" w:cs="Arial"/>
              </w:rPr>
              <w:lastRenderedPageBreak/>
              <w:t>statements: From regulation to substantive supply chain reporting</w:t>
            </w:r>
          </w:p>
          <w:p w14:paraId="63F176AC"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Stevenson &amp; Cole (2021)</w:t>
            </w:r>
          </w:p>
          <w:p w14:paraId="4162840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4" w:tgtFrame="_blank" w:history="1">
              <w:r w:rsidRPr="00791A3F">
                <w:rPr>
                  <w:rStyle w:val="Hyperlink"/>
                  <w:rFonts w:ascii="Arial" w:hAnsi="Arial" w:cs="Arial"/>
                </w:rPr>
                <w:t>ScienceDirect</w:t>
              </w:r>
            </w:hyperlink>
          </w:p>
        </w:tc>
        <w:tc>
          <w:tcPr>
            <w:tcW w:w="846" w:type="pct"/>
            <w:hideMark/>
          </w:tcPr>
          <w:p w14:paraId="7B6F7DF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Evaluate UK Modern </w:t>
            </w:r>
            <w:r w:rsidRPr="00791A3F">
              <w:rPr>
                <w:rFonts w:ascii="Arial" w:hAnsi="Arial" w:cs="Arial"/>
              </w:rPr>
              <w:lastRenderedPageBreak/>
              <w:t>Slavery Act reporting quality; propose improvement framework</w:t>
            </w:r>
          </w:p>
        </w:tc>
        <w:tc>
          <w:tcPr>
            <w:tcW w:w="686" w:type="pct"/>
            <w:hideMark/>
          </w:tcPr>
          <w:p w14:paraId="7F4172B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Content analysis; </w:t>
            </w:r>
            <w:r w:rsidRPr="00791A3F">
              <w:rPr>
                <w:rFonts w:ascii="Arial" w:hAnsi="Arial" w:cs="Arial"/>
              </w:rPr>
              <w:lastRenderedPageBreak/>
              <w:t>100 UK retailers; 2016–2020; Transparency International framework</w:t>
            </w:r>
          </w:p>
        </w:tc>
        <w:tc>
          <w:tcPr>
            <w:tcW w:w="824" w:type="pct"/>
            <w:hideMark/>
          </w:tcPr>
          <w:p w14:paraId="0CDB5AB6"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Only 23% of statements include </w:t>
            </w:r>
            <w:r w:rsidRPr="00791A3F">
              <w:rPr>
                <w:rFonts w:ascii="Arial" w:hAnsi="Arial" w:cs="Arial"/>
              </w:rPr>
              <w:lastRenderedPageBreak/>
              <w:t>due diligence evidence; 12% report worker remediation; reporting predominantly symbolic; deep-tier supply chain visibility absent</w:t>
            </w:r>
          </w:p>
        </w:tc>
        <w:tc>
          <w:tcPr>
            <w:tcW w:w="830" w:type="pct"/>
            <w:hideMark/>
          </w:tcPr>
          <w:p w14:paraId="5633A57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Critical for RO3:</w:t>
            </w:r>
            <w:r w:rsidRPr="00791A3F">
              <w:rPr>
                <w:rFonts w:ascii="Arial" w:hAnsi="Arial" w:cs="Arial"/>
              </w:rPr>
              <w:t> provide</w:t>
            </w:r>
            <w:r w:rsidRPr="00791A3F">
              <w:rPr>
                <w:rFonts w:ascii="Arial" w:hAnsi="Arial" w:cs="Arial"/>
              </w:rPr>
              <w:lastRenderedPageBreak/>
              <w:t>s benchmark data on ethical sourcing disclosure quality; distinguishes process reporting from outcome evidence</w:t>
            </w:r>
          </w:p>
        </w:tc>
      </w:tr>
      <w:tr w:rsidR="00902E11" w:rsidRPr="00791A3F" w14:paraId="60619EBA" w14:textId="77777777" w:rsidTr="007A6F53">
        <w:tc>
          <w:tcPr>
            <w:tcW w:w="1814" w:type="pct"/>
            <w:hideMark/>
          </w:tcPr>
          <w:p w14:paraId="55EF942F"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Modern Slavery Disclosure Regulation and Global Supply Chains: Insights from Stakeholder Narratives on the UK Modern Slavery Act</w:t>
            </w:r>
          </w:p>
          <w:p w14:paraId="6314A4F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LeBaron et al. (2021)</w:t>
            </w:r>
          </w:p>
          <w:p w14:paraId="2A08918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5" w:tgtFrame="_blank" w:history="1">
              <w:r w:rsidRPr="00791A3F">
                <w:rPr>
                  <w:rStyle w:val="Hyperlink"/>
                  <w:rFonts w:ascii="Arial" w:hAnsi="Arial" w:cs="Arial"/>
                </w:rPr>
                <w:t>Springer</w:t>
              </w:r>
            </w:hyperlink>
          </w:p>
        </w:tc>
        <w:tc>
          <w:tcPr>
            <w:tcW w:w="846" w:type="pct"/>
            <w:hideMark/>
          </w:tcPr>
          <w:p w14:paraId="25C40266" w14:textId="77777777" w:rsidR="00902E11" w:rsidRPr="00791A3F" w:rsidRDefault="00902E11" w:rsidP="00791A3F">
            <w:pPr>
              <w:spacing w:after="160" w:line="360" w:lineRule="auto"/>
              <w:rPr>
                <w:rFonts w:ascii="Arial" w:hAnsi="Arial" w:cs="Arial"/>
              </w:rPr>
            </w:pPr>
            <w:r w:rsidRPr="00791A3F">
              <w:rPr>
                <w:rFonts w:ascii="Arial" w:hAnsi="Arial" w:cs="Arial"/>
              </w:rPr>
              <w:t>Examine stakeholder perceptions of Modern Slavery Act effectiveness</w:t>
            </w:r>
          </w:p>
        </w:tc>
        <w:tc>
          <w:tcPr>
            <w:tcW w:w="686" w:type="pct"/>
            <w:hideMark/>
          </w:tcPr>
          <w:p w14:paraId="6B9CBD6C" w14:textId="77777777" w:rsidR="00902E11" w:rsidRPr="00791A3F" w:rsidRDefault="00902E11" w:rsidP="00791A3F">
            <w:pPr>
              <w:spacing w:after="160" w:line="360" w:lineRule="auto"/>
              <w:rPr>
                <w:rFonts w:ascii="Arial" w:hAnsi="Arial" w:cs="Arial"/>
              </w:rPr>
            </w:pPr>
            <w:r w:rsidRPr="00791A3F">
              <w:rPr>
                <w:rFonts w:ascii="Arial" w:hAnsi="Arial" w:cs="Arial"/>
              </w:rPr>
              <w:t>Qualitative; 45 interviews; Retailers, NGOs, auditors; UK; Narrative analysis</w:t>
            </w:r>
          </w:p>
        </w:tc>
        <w:tc>
          <w:tcPr>
            <w:tcW w:w="824" w:type="pct"/>
            <w:hideMark/>
          </w:tcPr>
          <w:p w14:paraId="771BC52D" w14:textId="77777777" w:rsidR="00902E11" w:rsidRPr="00791A3F" w:rsidRDefault="00902E11" w:rsidP="00791A3F">
            <w:pPr>
              <w:spacing w:after="160" w:line="360" w:lineRule="auto"/>
              <w:rPr>
                <w:rFonts w:ascii="Arial" w:hAnsi="Arial" w:cs="Arial"/>
              </w:rPr>
            </w:pPr>
            <w:r w:rsidRPr="00791A3F">
              <w:rPr>
                <w:rFonts w:ascii="Arial" w:hAnsi="Arial" w:cs="Arial"/>
              </w:rPr>
              <w:t>Stakeholders critique weak enforcement, absence of penalties, limited scope (Tier 1 focus); call for mandatory due diligence, supply chain mapping, worker voice mechanisms</w:t>
            </w:r>
          </w:p>
        </w:tc>
        <w:tc>
          <w:tcPr>
            <w:tcW w:w="830" w:type="pct"/>
            <w:hideMark/>
          </w:tcPr>
          <w:p w14:paraId="7F6853BE" w14:textId="77777777" w:rsidR="00902E11" w:rsidRPr="00791A3F" w:rsidRDefault="00902E11" w:rsidP="00791A3F">
            <w:pPr>
              <w:spacing w:after="160" w:line="360" w:lineRule="auto"/>
              <w:rPr>
                <w:rFonts w:ascii="Arial" w:hAnsi="Arial" w:cs="Arial"/>
              </w:rPr>
            </w:pPr>
            <w:r w:rsidRPr="00791A3F">
              <w:rPr>
                <w:rFonts w:ascii="Arial" w:hAnsi="Arial" w:cs="Arial"/>
              </w:rPr>
              <w:t>Informs evaluation criteria for ethical sourcing: mandates alone insufficient without enforcement and stakeholder engagement</w:t>
            </w:r>
          </w:p>
        </w:tc>
      </w:tr>
      <w:tr w:rsidR="00902E11" w:rsidRPr="00791A3F" w14:paraId="089931DF" w14:textId="77777777" w:rsidTr="007A6F53">
        <w:tc>
          <w:tcPr>
            <w:tcW w:w="1814" w:type="pct"/>
            <w:hideMark/>
          </w:tcPr>
          <w:p w14:paraId="1C13256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Evaluating TCFD Reporting: A </w:t>
            </w:r>
            <w:r w:rsidRPr="00791A3F">
              <w:rPr>
                <w:rFonts w:ascii="Arial" w:hAnsi="Arial" w:cs="Arial"/>
              </w:rPr>
              <w:lastRenderedPageBreak/>
              <w:t>New Application of Zero-Shot Analysis to Climate-Related Financial Disclosures</w:t>
            </w:r>
          </w:p>
          <w:p w14:paraId="258EC67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Bingler et al. (2023)</w:t>
            </w:r>
          </w:p>
          <w:p w14:paraId="7160D29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6" w:tgtFrame="_blank" w:history="1">
              <w:r w:rsidRPr="00791A3F">
                <w:rPr>
                  <w:rStyle w:val="Hyperlink"/>
                  <w:rFonts w:ascii="Arial" w:hAnsi="Arial" w:cs="Arial"/>
                </w:rPr>
                <w:t>arXiv</w:t>
              </w:r>
            </w:hyperlink>
          </w:p>
        </w:tc>
        <w:tc>
          <w:tcPr>
            <w:tcW w:w="846" w:type="pct"/>
            <w:hideMark/>
          </w:tcPr>
          <w:p w14:paraId="2A7AF0E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Develop methodology assessing </w:t>
            </w:r>
            <w:r w:rsidRPr="00791A3F">
              <w:rPr>
                <w:rFonts w:ascii="Arial" w:hAnsi="Arial" w:cs="Arial"/>
              </w:rPr>
              <w:lastRenderedPageBreak/>
              <w:t>TCFD disclosure quality; test on corporate reports</w:t>
            </w:r>
          </w:p>
        </w:tc>
        <w:tc>
          <w:tcPr>
            <w:tcW w:w="686" w:type="pct"/>
            <w:hideMark/>
          </w:tcPr>
          <w:p w14:paraId="49777FF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Machine learning; 800+ </w:t>
            </w:r>
            <w:r w:rsidRPr="00791A3F">
              <w:rPr>
                <w:rFonts w:ascii="Arial" w:hAnsi="Arial" w:cs="Arial"/>
              </w:rPr>
              <w:lastRenderedPageBreak/>
              <w:t>TCFD reports; Natural language processing</w:t>
            </w:r>
          </w:p>
        </w:tc>
        <w:tc>
          <w:tcPr>
            <w:tcW w:w="824" w:type="pct"/>
            <w:hideMark/>
          </w:tcPr>
          <w:p w14:paraId="08740DB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TCFD compliance exhibits significant quality variation; firms </w:t>
            </w:r>
            <w:r w:rsidRPr="00791A3F">
              <w:rPr>
                <w:rFonts w:ascii="Arial" w:hAnsi="Arial" w:cs="Arial"/>
              </w:rPr>
              <w:lastRenderedPageBreak/>
              <w:t>emphasise governance and risk disclosure over quantified emissions targets and transition plans</w:t>
            </w:r>
          </w:p>
        </w:tc>
        <w:tc>
          <w:tcPr>
            <w:tcW w:w="830" w:type="pct"/>
            <w:hideMark/>
          </w:tcPr>
          <w:p w14:paraId="673F75D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Methodological insight: TCFD </w:t>
            </w:r>
            <w:r w:rsidRPr="00791A3F">
              <w:rPr>
                <w:rFonts w:ascii="Arial" w:hAnsi="Arial" w:cs="Arial"/>
              </w:rPr>
              <w:lastRenderedPageBreak/>
              <w:t>adoption does not guarantee substantive climate disclosure; informs climate accountability evaluation (RO3, RQ4)</w:t>
            </w:r>
          </w:p>
        </w:tc>
      </w:tr>
      <w:tr w:rsidR="00902E11" w:rsidRPr="00791A3F" w14:paraId="5574D812" w14:textId="77777777" w:rsidTr="007A6F53">
        <w:tc>
          <w:tcPr>
            <w:tcW w:w="1814" w:type="pct"/>
            <w:hideMark/>
          </w:tcPr>
          <w:p w14:paraId="781AED4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Climate change and Task Force on Climate-related Financial Disclosures (TCFD) reports: Italy and Spain comparison</w:t>
            </w:r>
          </w:p>
          <w:p w14:paraId="3C0DE8F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Aureli et al. (2024)</w:t>
            </w:r>
          </w:p>
          <w:p w14:paraId="7CAFA88A"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7" w:tgtFrame="_blank" w:history="1">
              <w:r w:rsidRPr="00791A3F">
                <w:rPr>
                  <w:rStyle w:val="Hyperlink"/>
                  <w:rFonts w:ascii="Arial" w:hAnsi="Arial" w:cs="Arial"/>
                </w:rPr>
                <w:t>Emerald</w:t>
              </w:r>
            </w:hyperlink>
          </w:p>
        </w:tc>
        <w:tc>
          <w:tcPr>
            <w:tcW w:w="846" w:type="pct"/>
            <w:hideMark/>
          </w:tcPr>
          <w:p w14:paraId="79E1C1A5" w14:textId="77777777" w:rsidR="00902E11" w:rsidRPr="00791A3F" w:rsidRDefault="00902E11" w:rsidP="00791A3F">
            <w:pPr>
              <w:spacing w:after="160" w:line="360" w:lineRule="auto"/>
              <w:rPr>
                <w:rFonts w:ascii="Arial" w:hAnsi="Arial" w:cs="Arial"/>
              </w:rPr>
            </w:pPr>
            <w:r w:rsidRPr="00791A3F">
              <w:rPr>
                <w:rFonts w:ascii="Arial" w:hAnsi="Arial" w:cs="Arial"/>
              </w:rPr>
              <w:t>Comparative TCFD implementation analysis across regulatory contexts</w:t>
            </w:r>
          </w:p>
        </w:tc>
        <w:tc>
          <w:tcPr>
            <w:tcW w:w="686" w:type="pct"/>
            <w:hideMark/>
          </w:tcPr>
          <w:p w14:paraId="64CEDF89" w14:textId="77777777" w:rsidR="00902E11" w:rsidRPr="00791A3F" w:rsidRDefault="00902E11" w:rsidP="00791A3F">
            <w:pPr>
              <w:spacing w:after="160" w:line="360" w:lineRule="auto"/>
              <w:rPr>
                <w:rFonts w:ascii="Arial" w:hAnsi="Arial" w:cs="Arial"/>
              </w:rPr>
            </w:pPr>
            <w:r w:rsidRPr="00791A3F">
              <w:rPr>
                <w:rFonts w:ascii="Arial" w:hAnsi="Arial" w:cs="Arial"/>
              </w:rPr>
              <w:t>Content analysis; 60 firms; Italy vs Spain; 2020–2022</w:t>
            </w:r>
          </w:p>
        </w:tc>
        <w:tc>
          <w:tcPr>
            <w:tcW w:w="824" w:type="pct"/>
            <w:hideMark/>
          </w:tcPr>
          <w:p w14:paraId="6F6269B3" w14:textId="77777777" w:rsidR="00902E11" w:rsidRPr="00791A3F" w:rsidRDefault="00902E11" w:rsidP="00791A3F">
            <w:pPr>
              <w:spacing w:after="160" w:line="360" w:lineRule="auto"/>
              <w:rPr>
                <w:rFonts w:ascii="Arial" w:hAnsi="Arial" w:cs="Arial"/>
              </w:rPr>
            </w:pPr>
            <w:r w:rsidRPr="00791A3F">
              <w:rPr>
                <w:rFonts w:ascii="Arial" w:hAnsi="Arial" w:cs="Arial"/>
              </w:rPr>
              <w:t>Mandatory TCFD (UK-like context) produces higher disclosure completeness; voluntary regimes yield selective, favourable disclosure</w:t>
            </w:r>
          </w:p>
        </w:tc>
        <w:tc>
          <w:tcPr>
            <w:tcW w:w="830" w:type="pct"/>
            <w:hideMark/>
          </w:tcPr>
          <w:p w14:paraId="2D7DFD8D" w14:textId="77777777" w:rsidR="00902E11" w:rsidRPr="00791A3F" w:rsidRDefault="00902E11" w:rsidP="00791A3F">
            <w:pPr>
              <w:spacing w:after="160" w:line="360" w:lineRule="auto"/>
              <w:rPr>
                <w:rFonts w:ascii="Arial" w:hAnsi="Arial" w:cs="Arial"/>
              </w:rPr>
            </w:pPr>
            <w:r w:rsidRPr="00791A3F">
              <w:rPr>
                <w:rFonts w:ascii="Arial" w:hAnsi="Arial" w:cs="Arial"/>
              </w:rPr>
              <w:t>Supports argument that UK mandatory TCFD (from 2021) should improve climate transparency; provides comparative context</w:t>
            </w:r>
          </w:p>
        </w:tc>
      </w:tr>
      <w:tr w:rsidR="00902E11" w:rsidRPr="00791A3F" w14:paraId="14E255BE" w14:textId="77777777" w:rsidTr="007A6F53">
        <w:tc>
          <w:tcPr>
            <w:tcW w:w="1814" w:type="pct"/>
            <w:hideMark/>
          </w:tcPr>
          <w:p w14:paraId="7E92202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Quality, determinants and financial consequences of climate change </w:t>
            </w:r>
            <w:r w:rsidRPr="00791A3F">
              <w:rPr>
                <w:rFonts w:ascii="Arial" w:hAnsi="Arial" w:cs="Arial"/>
              </w:rPr>
              <w:lastRenderedPageBreak/>
              <w:t>disclosures: a structured review</w:t>
            </w:r>
          </w:p>
          <w:p w14:paraId="46E93EE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Suardi &amp; Fiandrino (2025)</w:t>
            </w:r>
          </w:p>
          <w:p w14:paraId="7D200F8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8" w:tgtFrame="_blank" w:history="1">
              <w:r w:rsidRPr="00791A3F">
                <w:rPr>
                  <w:rStyle w:val="Hyperlink"/>
                  <w:rFonts w:ascii="Arial" w:hAnsi="Arial" w:cs="Arial"/>
                </w:rPr>
                <w:t>Taylor &amp; Francis</w:t>
              </w:r>
            </w:hyperlink>
          </w:p>
        </w:tc>
        <w:tc>
          <w:tcPr>
            <w:tcW w:w="846" w:type="pct"/>
            <w:hideMark/>
          </w:tcPr>
          <w:p w14:paraId="52013497"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Synthesise climate disclosure literature; identify quality determinants </w:t>
            </w:r>
            <w:r w:rsidRPr="00791A3F">
              <w:rPr>
                <w:rFonts w:ascii="Arial" w:hAnsi="Arial" w:cs="Arial"/>
              </w:rPr>
              <w:lastRenderedPageBreak/>
              <w:t>and financial impacts</w:t>
            </w:r>
          </w:p>
        </w:tc>
        <w:tc>
          <w:tcPr>
            <w:tcW w:w="686" w:type="pct"/>
            <w:hideMark/>
          </w:tcPr>
          <w:p w14:paraId="134B70A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Systematic review; 2010–2024; 120+ studies</w:t>
            </w:r>
          </w:p>
        </w:tc>
        <w:tc>
          <w:tcPr>
            <w:tcW w:w="824" w:type="pct"/>
            <w:hideMark/>
          </w:tcPr>
          <w:p w14:paraId="502E854C"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High-quality climate disclosure (quantified, verified, forward-looking) correlates with lower cost of capital and higher </w:t>
            </w:r>
            <w:r w:rsidRPr="00791A3F">
              <w:rPr>
                <w:rFonts w:ascii="Arial" w:hAnsi="Arial" w:cs="Arial"/>
              </w:rPr>
              <w:lastRenderedPageBreak/>
              <w:t>ESG ratings; quality determinants include board expertise, institutional ownership, regulatory stringency</w:t>
            </w:r>
          </w:p>
        </w:tc>
        <w:tc>
          <w:tcPr>
            <w:tcW w:w="830" w:type="pct"/>
            <w:hideMark/>
          </w:tcPr>
          <w:p w14:paraId="23BC966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Reinforces financial materiality of climate disclosure quality; </w:t>
            </w:r>
            <w:r w:rsidRPr="00791A3F">
              <w:rPr>
                <w:rFonts w:ascii="Arial" w:hAnsi="Arial" w:cs="Arial"/>
              </w:rPr>
              <w:lastRenderedPageBreak/>
              <w:t>supports integration and measurability criteria in framework</w:t>
            </w:r>
          </w:p>
        </w:tc>
      </w:tr>
      <w:tr w:rsidR="00902E11" w:rsidRPr="00791A3F" w14:paraId="500BB71F" w14:textId="77777777" w:rsidTr="007A6F53">
        <w:tc>
          <w:tcPr>
            <w:tcW w:w="1814" w:type="pct"/>
            <w:hideMark/>
          </w:tcPr>
          <w:p w14:paraId="4A002494"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Climate-related disclosures under the TCFD framework and business green innovation: Evidence from China A-share companies</w:t>
            </w:r>
          </w:p>
          <w:p w14:paraId="0288115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Chen &amp; Ma (2024)</w:t>
            </w:r>
          </w:p>
          <w:p w14:paraId="390E0CB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39" w:tgtFrame="_blank" w:history="1">
              <w:r w:rsidRPr="00791A3F">
                <w:rPr>
                  <w:rStyle w:val="Hyperlink"/>
                  <w:rFonts w:ascii="Arial" w:hAnsi="Arial" w:cs="Arial"/>
                </w:rPr>
                <w:t>ScienceDirect</w:t>
              </w:r>
            </w:hyperlink>
          </w:p>
        </w:tc>
        <w:tc>
          <w:tcPr>
            <w:tcW w:w="846" w:type="pct"/>
            <w:hideMark/>
          </w:tcPr>
          <w:p w14:paraId="6B09FD8D" w14:textId="77777777" w:rsidR="00902E11" w:rsidRPr="00791A3F" w:rsidRDefault="00902E11" w:rsidP="00791A3F">
            <w:pPr>
              <w:spacing w:after="160" w:line="360" w:lineRule="auto"/>
              <w:rPr>
                <w:rFonts w:ascii="Arial" w:hAnsi="Arial" w:cs="Arial"/>
              </w:rPr>
            </w:pPr>
            <w:r w:rsidRPr="00791A3F">
              <w:rPr>
                <w:rFonts w:ascii="Arial" w:hAnsi="Arial" w:cs="Arial"/>
              </w:rPr>
              <w:t>Test whether TCFD disclosure drives green innovation investment</w:t>
            </w:r>
          </w:p>
        </w:tc>
        <w:tc>
          <w:tcPr>
            <w:tcW w:w="686" w:type="pct"/>
            <w:hideMark/>
          </w:tcPr>
          <w:p w14:paraId="795108D9" w14:textId="77777777" w:rsidR="00902E11" w:rsidRPr="00791A3F" w:rsidRDefault="00902E11" w:rsidP="00791A3F">
            <w:pPr>
              <w:spacing w:after="160" w:line="360" w:lineRule="auto"/>
              <w:rPr>
                <w:rFonts w:ascii="Arial" w:hAnsi="Arial" w:cs="Arial"/>
              </w:rPr>
            </w:pPr>
            <w:r w:rsidRPr="00791A3F">
              <w:rPr>
                <w:rFonts w:ascii="Arial" w:hAnsi="Arial" w:cs="Arial"/>
              </w:rPr>
              <w:t>Quantitative; 500 Chinese firms; 2018–2022; Panel regression</w:t>
            </w:r>
          </w:p>
        </w:tc>
        <w:tc>
          <w:tcPr>
            <w:tcW w:w="824" w:type="pct"/>
            <w:hideMark/>
          </w:tcPr>
          <w:p w14:paraId="34CD6C23" w14:textId="77777777" w:rsidR="00902E11" w:rsidRPr="00791A3F" w:rsidRDefault="00902E11" w:rsidP="00791A3F">
            <w:pPr>
              <w:spacing w:after="160" w:line="360" w:lineRule="auto"/>
              <w:rPr>
                <w:rFonts w:ascii="Arial" w:hAnsi="Arial" w:cs="Arial"/>
              </w:rPr>
            </w:pPr>
            <w:r w:rsidRPr="00791A3F">
              <w:rPr>
                <w:rFonts w:ascii="Arial" w:hAnsi="Arial" w:cs="Arial"/>
              </w:rPr>
              <w:t>High-quality TCFD disclosure positively associated with green R&amp;D investment and patent filings; mechanism: stakeholder pressure and legitimacy gains</w:t>
            </w:r>
          </w:p>
        </w:tc>
        <w:tc>
          <w:tcPr>
            <w:tcW w:w="830" w:type="pct"/>
            <w:hideMark/>
          </w:tcPr>
          <w:p w14:paraId="47BA4591" w14:textId="77777777" w:rsidR="00902E11" w:rsidRPr="00791A3F" w:rsidRDefault="00902E11" w:rsidP="00791A3F">
            <w:pPr>
              <w:spacing w:after="160" w:line="360" w:lineRule="auto"/>
              <w:rPr>
                <w:rFonts w:ascii="Arial" w:hAnsi="Arial" w:cs="Arial"/>
              </w:rPr>
            </w:pPr>
            <w:r w:rsidRPr="00791A3F">
              <w:rPr>
                <w:rFonts w:ascii="Arial" w:hAnsi="Arial" w:cs="Arial"/>
              </w:rPr>
              <w:t>Suggests TCFD can drive substantive environmental action beyond symbolic reporting if coupled with accountability mechanisms</w:t>
            </w:r>
          </w:p>
        </w:tc>
      </w:tr>
      <w:tr w:rsidR="00902E11" w:rsidRPr="00791A3F" w14:paraId="7D302EED" w14:textId="77777777" w:rsidTr="007A6F53">
        <w:tc>
          <w:tcPr>
            <w:tcW w:w="1814" w:type="pct"/>
            <w:hideMark/>
          </w:tcPr>
          <w:p w14:paraId="6C7D0C3B"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Evaluating TCFD reporting — A new application of zero-shot analysis to </w:t>
            </w:r>
            <w:r w:rsidRPr="00791A3F">
              <w:rPr>
                <w:rFonts w:ascii="Arial" w:hAnsi="Arial" w:cs="Arial"/>
              </w:rPr>
              <w:lastRenderedPageBreak/>
              <w:t>climate-related financial disclosures</w:t>
            </w:r>
          </w:p>
          <w:p w14:paraId="144B29D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Bingler et al. (2023)</w:t>
            </w:r>
          </w:p>
          <w:p w14:paraId="229036D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0" w:tgtFrame="_blank" w:history="1">
              <w:r w:rsidRPr="00791A3F">
                <w:rPr>
                  <w:rStyle w:val="Hyperlink"/>
                  <w:rFonts w:ascii="Arial" w:hAnsi="Arial" w:cs="Arial"/>
                </w:rPr>
                <w:t>PLOS ONE</w:t>
              </w:r>
            </w:hyperlink>
          </w:p>
        </w:tc>
        <w:tc>
          <w:tcPr>
            <w:tcW w:w="846" w:type="pct"/>
            <w:hideMark/>
          </w:tcPr>
          <w:p w14:paraId="11943F2E"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Apply AI to assess TCFD alignment and greenwashing risk</w:t>
            </w:r>
          </w:p>
        </w:tc>
        <w:tc>
          <w:tcPr>
            <w:tcW w:w="686" w:type="pct"/>
            <w:hideMark/>
          </w:tcPr>
          <w:p w14:paraId="7F488B38"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Machine learning; 1,000+ reports; 2019–2021; </w:t>
            </w:r>
            <w:r w:rsidRPr="00791A3F">
              <w:rPr>
                <w:rFonts w:ascii="Arial" w:hAnsi="Arial" w:cs="Arial"/>
              </w:rPr>
              <w:lastRenderedPageBreak/>
              <w:t>Zero-shot classification</w:t>
            </w:r>
          </w:p>
        </w:tc>
        <w:tc>
          <w:tcPr>
            <w:tcW w:w="824" w:type="pct"/>
            <w:hideMark/>
          </w:tcPr>
          <w:p w14:paraId="1D11D67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30% of self-declared TCFD reports exhibit low alignment; vague language and absence of quantified targets common; automated </w:t>
            </w:r>
            <w:r w:rsidRPr="00791A3F">
              <w:rPr>
                <w:rFonts w:ascii="Arial" w:hAnsi="Arial" w:cs="Arial"/>
              </w:rPr>
              <w:lastRenderedPageBreak/>
              <w:t>assessment identifies greenwashing risk</w:t>
            </w:r>
          </w:p>
        </w:tc>
        <w:tc>
          <w:tcPr>
            <w:tcW w:w="830" w:type="pct"/>
            <w:hideMark/>
          </w:tcPr>
          <w:p w14:paraId="505C3A2A"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Methodological contribution: supports automated content </w:t>
            </w:r>
            <w:r w:rsidRPr="00791A3F">
              <w:rPr>
                <w:rFonts w:ascii="Arial" w:hAnsi="Arial" w:cs="Arial"/>
              </w:rPr>
              <w:lastRenderedPageBreak/>
              <w:t>analysis as supplement to manual coding; identifies symbolic TCFD reporting patterns</w:t>
            </w:r>
          </w:p>
        </w:tc>
      </w:tr>
      <w:tr w:rsidR="00902E11" w:rsidRPr="00791A3F" w14:paraId="22126B57" w14:textId="77777777" w:rsidTr="007A6F53">
        <w:tc>
          <w:tcPr>
            <w:tcW w:w="1814" w:type="pct"/>
            <w:hideMark/>
          </w:tcPr>
          <w:p w14:paraId="3C8539DA"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Accounting Scope 3 Emissions Improve Sustainable Business Outcomes? Evidence From S&amp;P 500 Technology Companies</w:t>
            </w:r>
          </w:p>
          <w:p w14:paraId="5E092E7E"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Balsam et al. (2025)</w:t>
            </w:r>
          </w:p>
          <w:p w14:paraId="214990DC"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1" w:tgtFrame="_blank" w:history="1">
              <w:r w:rsidRPr="00791A3F">
                <w:rPr>
                  <w:rStyle w:val="Hyperlink"/>
                  <w:rFonts w:ascii="Arial" w:hAnsi="Arial" w:cs="Arial"/>
                </w:rPr>
                <w:t>Wiley</w:t>
              </w:r>
            </w:hyperlink>
          </w:p>
        </w:tc>
        <w:tc>
          <w:tcPr>
            <w:tcW w:w="846" w:type="pct"/>
            <w:hideMark/>
          </w:tcPr>
          <w:p w14:paraId="1E470FC8" w14:textId="77777777" w:rsidR="00902E11" w:rsidRPr="00791A3F" w:rsidRDefault="00902E11" w:rsidP="00791A3F">
            <w:pPr>
              <w:spacing w:after="160" w:line="360" w:lineRule="auto"/>
              <w:rPr>
                <w:rFonts w:ascii="Arial" w:hAnsi="Arial" w:cs="Arial"/>
              </w:rPr>
            </w:pPr>
            <w:r w:rsidRPr="00791A3F">
              <w:rPr>
                <w:rFonts w:ascii="Arial" w:hAnsi="Arial" w:cs="Arial"/>
              </w:rPr>
              <w:t>Test whether Scope 3 emission disclosure correlates with emission reduction outcomes</w:t>
            </w:r>
          </w:p>
        </w:tc>
        <w:tc>
          <w:tcPr>
            <w:tcW w:w="686" w:type="pct"/>
            <w:hideMark/>
          </w:tcPr>
          <w:p w14:paraId="2735268D" w14:textId="77777777" w:rsidR="00902E11" w:rsidRPr="00791A3F" w:rsidRDefault="00902E11" w:rsidP="00791A3F">
            <w:pPr>
              <w:spacing w:after="160" w:line="360" w:lineRule="auto"/>
              <w:rPr>
                <w:rFonts w:ascii="Arial" w:hAnsi="Arial" w:cs="Arial"/>
              </w:rPr>
            </w:pPr>
            <w:r w:rsidRPr="00791A3F">
              <w:rPr>
                <w:rFonts w:ascii="Arial" w:hAnsi="Arial" w:cs="Arial"/>
              </w:rPr>
              <w:t>Quantitative; 100 S&amp;P 500 tech firms; 2015–2023; Regression</w:t>
            </w:r>
          </w:p>
        </w:tc>
        <w:tc>
          <w:tcPr>
            <w:tcW w:w="824" w:type="pct"/>
            <w:hideMark/>
          </w:tcPr>
          <w:p w14:paraId="3D14C038" w14:textId="77777777" w:rsidR="00902E11" w:rsidRPr="00791A3F" w:rsidRDefault="00902E11" w:rsidP="00791A3F">
            <w:pPr>
              <w:spacing w:after="160" w:line="360" w:lineRule="auto"/>
              <w:rPr>
                <w:rFonts w:ascii="Arial" w:hAnsi="Arial" w:cs="Arial"/>
              </w:rPr>
            </w:pPr>
            <w:r w:rsidRPr="00791A3F">
              <w:rPr>
                <w:rFonts w:ascii="Arial" w:hAnsi="Arial" w:cs="Arial"/>
              </w:rPr>
              <w:t>Scope 3 disclosure alone does not reduce emissions; reduction occurs only when disclosure coupled with quantified targets and governance accountability</w:t>
            </w:r>
          </w:p>
        </w:tc>
        <w:tc>
          <w:tcPr>
            <w:tcW w:w="830" w:type="pct"/>
            <w:hideMark/>
          </w:tcPr>
          <w:p w14:paraId="601F0BBE" w14:textId="77777777" w:rsidR="00902E11" w:rsidRPr="00791A3F" w:rsidRDefault="00902E11" w:rsidP="00791A3F">
            <w:pPr>
              <w:spacing w:after="160" w:line="360" w:lineRule="auto"/>
              <w:rPr>
                <w:rFonts w:ascii="Arial" w:hAnsi="Arial" w:cs="Arial"/>
              </w:rPr>
            </w:pPr>
            <w:r w:rsidRPr="00791A3F">
              <w:rPr>
                <w:rFonts w:ascii="Arial" w:hAnsi="Arial" w:cs="Arial"/>
              </w:rPr>
              <w:t>Highly relevant to RQ4: Scope 3 emissions as emerging priority; distinguishes symbolic disclosure from substantive reduction strategies</w:t>
            </w:r>
          </w:p>
        </w:tc>
      </w:tr>
      <w:tr w:rsidR="00902E11" w:rsidRPr="00791A3F" w14:paraId="4165BF9B" w14:textId="77777777" w:rsidTr="007A6F53">
        <w:tc>
          <w:tcPr>
            <w:tcW w:w="1814" w:type="pct"/>
            <w:hideMark/>
          </w:tcPr>
          <w:p w14:paraId="37ACB0F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ESG performance and corporate carbon emission intensity: panel </w:t>
            </w:r>
            <w:r w:rsidRPr="00791A3F">
              <w:rPr>
                <w:rFonts w:ascii="Arial" w:hAnsi="Arial" w:cs="Arial"/>
              </w:rPr>
              <w:lastRenderedPageBreak/>
              <w:t>data analysis of A-share listed companies</w:t>
            </w:r>
          </w:p>
          <w:p w14:paraId="770E9F3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Liu et al. (2024)</w:t>
            </w:r>
          </w:p>
          <w:p w14:paraId="06FF01DC"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2" w:tgtFrame="_blank" w:history="1">
              <w:r w:rsidRPr="00791A3F">
                <w:rPr>
                  <w:rStyle w:val="Hyperlink"/>
                  <w:rFonts w:ascii="Arial" w:hAnsi="Arial" w:cs="Arial"/>
                </w:rPr>
                <w:t>Frontiers</w:t>
              </w:r>
            </w:hyperlink>
          </w:p>
        </w:tc>
        <w:tc>
          <w:tcPr>
            <w:tcW w:w="846" w:type="pct"/>
            <w:hideMark/>
          </w:tcPr>
          <w:p w14:paraId="7FF71894"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Examine relationship between ESG scores and </w:t>
            </w:r>
            <w:r w:rsidRPr="00791A3F">
              <w:rPr>
                <w:rFonts w:ascii="Arial" w:hAnsi="Arial" w:cs="Arial"/>
              </w:rPr>
              <w:lastRenderedPageBreak/>
              <w:t>actual carbon intensity</w:t>
            </w:r>
          </w:p>
        </w:tc>
        <w:tc>
          <w:tcPr>
            <w:tcW w:w="686" w:type="pct"/>
            <w:hideMark/>
          </w:tcPr>
          <w:p w14:paraId="4576E6CB"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Panel data; 1,200 Chinese firms; </w:t>
            </w:r>
            <w:r w:rsidRPr="00791A3F">
              <w:rPr>
                <w:rFonts w:ascii="Arial" w:hAnsi="Arial" w:cs="Arial"/>
              </w:rPr>
              <w:lastRenderedPageBreak/>
              <w:t>2016–2022; Fixed-effects regression</w:t>
            </w:r>
          </w:p>
        </w:tc>
        <w:tc>
          <w:tcPr>
            <w:tcW w:w="824" w:type="pct"/>
            <w:hideMark/>
          </w:tcPr>
          <w:p w14:paraId="7D80CB7D"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Higher ESG disclosure scores correlate with lower Scope 1+2 emissions; however, Scope 3 emissions </w:t>
            </w:r>
            <w:r w:rsidRPr="00791A3F">
              <w:rPr>
                <w:rFonts w:ascii="Arial" w:hAnsi="Arial" w:cs="Arial"/>
              </w:rPr>
              <w:lastRenderedPageBreak/>
              <w:t>remain decoupled from ESG performance</w:t>
            </w:r>
          </w:p>
        </w:tc>
        <w:tc>
          <w:tcPr>
            <w:tcW w:w="830" w:type="pct"/>
            <w:hideMark/>
          </w:tcPr>
          <w:p w14:paraId="510B8121"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Reinforces need to examine Scope 3 transparency </w:t>
            </w:r>
            <w:r w:rsidRPr="00791A3F">
              <w:rPr>
                <w:rFonts w:ascii="Arial" w:hAnsi="Arial" w:cs="Arial"/>
              </w:rPr>
              <w:lastRenderedPageBreak/>
              <w:t>and reduction separately; informs environmental management evaluation criteria</w:t>
            </w:r>
          </w:p>
        </w:tc>
      </w:tr>
      <w:tr w:rsidR="00902E11" w:rsidRPr="00791A3F" w14:paraId="69D7F745" w14:textId="77777777" w:rsidTr="007A6F53">
        <w:tc>
          <w:tcPr>
            <w:tcW w:w="1814" w:type="pct"/>
            <w:hideMark/>
          </w:tcPr>
          <w:p w14:paraId="7774775F"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Market competitiveness and corporate ESG performance</w:t>
            </w:r>
          </w:p>
          <w:p w14:paraId="4A145E1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Zhao et al. (2025)</w:t>
            </w:r>
          </w:p>
          <w:p w14:paraId="0A6A657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3" w:tgtFrame="_blank" w:history="1">
              <w:r w:rsidRPr="00791A3F">
                <w:rPr>
                  <w:rStyle w:val="Hyperlink"/>
                  <w:rFonts w:ascii="Arial" w:hAnsi="Arial" w:cs="Arial"/>
                </w:rPr>
                <w:t>ScienceDirect</w:t>
              </w:r>
            </w:hyperlink>
          </w:p>
        </w:tc>
        <w:tc>
          <w:tcPr>
            <w:tcW w:w="846" w:type="pct"/>
            <w:hideMark/>
          </w:tcPr>
          <w:p w14:paraId="2EC30FD3" w14:textId="77777777" w:rsidR="00902E11" w:rsidRPr="00791A3F" w:rsidRDefault="00902E11" w:rsidP="00791A3F">
            <w:pPr>
              <w:spacing w:after="160" w:line="360" w:lineRule="auto"/>
              <w:rPr>
                <w:rFonts w:ascii="Arial" w:hAnsi="Arial" w:cs="Arial"/>
              </w:rPr>
            </w:pPr>
            <w:r w:rsidRPr="00791A3F">
              <w:rPr>
                <w:rFonts w:ascii="Arial" w:hAnsi="Arial" w:cs="Arial"/>
              </w:rPr>
              <w:t>Test relationship between market competition intensity and ESG performance</w:t>
            </w:r>
          </w:p>
        </w:tc>
        <w:tc>
          <w:tcPr>
            <w:tcW w:w="686" w:type="pct"/>
            <w:hideMark/>
          </w:tcPr>
          <w:p w14:paraId="0C42CEB9" w14:textId="77777777" w:rsidR="00902E11" w:rsidRPr="00791A3F" w:rsidRDefault="00902E11" w:rsidP="00791A3F">
            <w:pPr>
              <w:spacing w:after="160" w:line="360" w:lineRule="auto"/>
              <w:rPr>
                <w:rFonts w:ascii="Arial" w:hAnsi="Arial" w:cs="Arial"/>
              </w:rPr>
            </w:pPr>
            <w:r w:rsidRPr="00791A3F">
              <w:rPr>
                <w:rFonts w:ascii="Arial" w:hAnsi="Arial" w:cs="Arial"/>
              </w:rPr>
              <w:t>Quantitative; 500 global firms; 2015–2023; Regression</w:t>
            </w:r>
          </w:p>
        </w:tc>
        <w:tc>
          <w:tcPr>
            <w:tcW w:w="824" w:type="pct"/>
            <w:hideMark/>
          </w:tcPr>
          <w:p w14:paraId="7A01441A" w14:textId="77777777" w:rsidR="00902E11" w:rsidRPr="00791A3F" w:rsidRDefault="00902E11" w:rsidP="00791A3F">
            <w:pPr>
              <w:spacing w:after="160" w:line="360" w:lineRule="auto"/>
              <w:rPr>
                <w:rFonts w:ascii="Arial" w:hAnsi="Arial" w:cs="Arial"/>
              </w:rPr>
            </w:pPr>
            <w:r w:rsidRPr="00791A3F">
              <w:rPr>
                <w:rFonts w:ascii="Arial" w:hAnsi="Arial" w:cs="Arial"/>
              </w:rPr>
              <w:t>Moderate competition fosters ESG investment; intense competition (e.g., discount retail) constrains ESG resources; monopolistic contexts reduce accountability pressure</w:t>
            </w:r>
          </w:p>
        </w:tc>
        <w:tc>
          <w:tcPr>
            <w:tcW w:w="830" w:type="pct"/>
            <w:hideMark/>
          </w:tcPr>
          <w:p w14:paraId="1D9EA2CB" w14:textId="77777777" w:rsidR="00902E11" w:rsidRPr="00791A3F" w:rsidRDefault="00902E11" w:rsidP="00791A3F">
            <w:pPr>
              <w:spacing w:after="160" w:line="360" w:lineRule="auto"/>
              <w:rPr>
                <w:rFonts w:ascii="Arial" w:hAnsi="Arial" w:cs="Arial"/>
              </w:rPr>
            </w:pPr>
            <w:r w:rsidRPr="00791A3F">
              <w:rPr>
                <w:rFonts w:ascii="Arial" w:hAnsi="Arial" w:cs="Arial"/>
              </w:rPr>
              <w:t>Theoretical insight for RO4: market competition (discount vs mainstream) influences CSR resource allocation and depth</w:t>
            </w:r>
          </w:p>
        </w:tc>
      </w:tr>
      <w:tr w:rsidR="00902E11" w:rsidRPr="00791A3F" w14:paraId="4B8B2266" w14:textId="77777777" w:rsidTr="007A6F53">
        <w:tc>
          <w:tcPr>
            <w:tcW w:w="1814" w:type="pct"/>
            <w:hideMark/>
          </w:tcPr>
          <w:p w14:paraId="1D3614B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ESG Performance and Financial Stability: A Bibliometric and Meta-Analysis</w:t>
            </w:r>
          </w:p>
          <w:p w14:paraId="3EC68E79"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Khan et al. (2025)</w:t>
            </w:r>
          </w:p>
          <w:p w14:paraId="62547C7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4" w:tgtFrame="_blank" w:history="1">
              <w:r w:rsidRPr="00791A3F">
                <w:rPr>
                  <w:rStyle w:val="Hyperlink"/>
                  <w:rFonts w:ascii="Arial" w:hAnsi="Arial" w:cs="Arial"/>
                </w:rPr>
                <w:t>Sage</w:t>
              </w:r>
            </w:hyperlink>
          </w:p>
        </w:tc>
        <w:tc>
          <w:tcPr>
            <w:tcW w:w="846" w:type="pct"/>
            <w:hideMark/>
          </w:tcPr>
          <w:p w14:paraId="5E36D5A3" w14:textId="77777777" w:rsidR="00902E11" w:rsidRPr="00791A3F" w:rsidRDefault="00902E11" w:rsidP="00791A3F">
            <w:pPr>
              <w:spacing w:after="160" w:line="360" w:lineRule="auto"/>
              <w:rPr>
                <w:rFonts w:ascii="Arial" w:hAnsi="Arial" w:cs="Arial"/>
              </w:rPr>
            </w:pPr>
            <w:r w:rsidRPr="00791A3F">
              <w:rPr>
                <w:rFonts w:ascii="Arial" w:hAnsi="Arial" w:cs="Arial"/>
              </w:rPr>
              <w:t>Meta-analysis of ESG-financial performance relationship; identify moderators</w:t>
            </w:r>
          </w:p>
        </w:tc>
        <w:tc>
          <w:tcPr>
            <w:tcW w:w="686" w:type="pct"/>
            <w:hideMark/>
          </w:tcPr>
          <w:p w14:paraId="78AEBF34" w14:textId="77777777" w:rsidR="00902E11" w:rsidRPr="00791A3F" w:rsidRDefault="00902E11" w:rsidP="00791A3F">
            <w:pPr>
              <w:spacing w:after="160" w:line="360" w:lineRule="auto"/>
              <w:rPr>
                <w:rFonts w:ascii="Arial" w:hAnsi="Arial" w:cs="Arial"/>
              </w:rPr>
            </w:pPr>
            <w:r w:rsidRPr="00791A3F">
              <w:rPr>
                <w:rFonts w:ascii="Arial" w:hAnsi="Arial" w:cs="Arial"/>
              </w:rPr>
              <w:t>Meta-analysis; 150+ studies; 2000–2024</w:t>
            </w:r>
          </w:p>
        </w:tc>
        <w:tc>
          <w:tcPr>
            <w:tcW w:w="824" w:type="pct"/>
            <w:hideMark/>
          </w:tcPr>
          <w:p w14:paraId="62EA2ACB"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Positive ESG-financial performance relationship strengthened by: mandatory disclosure, third-party assurance, stakeholder engagement; relationship weaker in </w:t>
            </w:r>
            <w:r w:rsidRPr="00791A3F">
              <w:rPr>
                <w:rFonts w:ascii="Arial" w:hAnsi="Arial" w:cs="Arial"/>
              </w:rPr>
              <w:lastRenderedPageBreak/>
              <w:t>short-term, price-competitive sectors</w:t>
            </w:r>
          </w:p>
        </w:tc>
        <w:tc>
          <w:tcPr>
            <w:tcW w:w="830" w:type="pct"/>
            <w:hideMark/>
          </w:tcPr>
          <w:p w14:paraId="4C78A628"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Contextualises financial constraints on discount retailer CSR investment; supports business model </w:t>
            </w:r>
            <w:r w:rsidRPr="00791A3F">
              <w:rPr>
                <w:rFonts w:ascii="Arial" w:hAnsi="Arial" w:cs="Arial"/>
              </w:rPr>
              <w:lastRenderedPageBreak/>
              <w:t>differentiation hypothesis</w:t>
            </w:r>
          </w:p>
        </w:tc>
      </w:tr>
      <w:tr w:rsidR="00902E11" w:rsidRPr="00791A3F" w14:paraId="2C521B4B" w14:textId="77777777" w:rsidTr="007A6F53">
        <w:tc>
          <w:tcPr>
            <w:tcW w:w="1814" w:type="pct"/>
            <w:hideMark/>
          </w:tcPr>
          <w:p w14:paraId="33B3830A"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Does ESG performance affect corporate commitment, competitiveness, and profitability? Evidence from a developing country</w:t>
            </w:r>
          </w:p>
          <w:p w14:paraId="08B6E44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Hossain et al. (2025)</w:t>
            </w:r>
          </w:p>
          <w:p w14:paraId="6B5F98B5"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5" w:tgtFrame="_blank" w:history="1">
              <w:r w:rsidRPr="00791A3F">
                <w:rPr>
                  <w:rStyle w:val="Hyperlink"/>
                  <w:rFonts w:ascii="Arial" w:hAnsi="Arial" w:cs="Arial"/>
                </w:rPr>
                <w:t>Springer</w:t>
              </w:r>
            </w:hyperlink>
          </w:p>
        </w:tc>
        <w:tc>
          <w:tcPr>
            <w:tcW w:w="846" w:type="pct"/>
            <w:hideMark/>
          </w:tcPr>
          <w:p w14:paraId="4D7244B3" w14:textId="77777777" w:rsidR="00902E11" w:rsidRPr="00791A3F" w:rsidRDefault="00902E11" w:rsidP="00791A3F">
            <w:pPr>
              <w:spacing w:after="160" w:line="360" w:lineRule="auto"/>
              <w:rPr>
                <w:rFonts w:ascii="Arial" w:hAnsi="Arial" w:cs="Arial"/>
              </w:rPr>
            </w:pPr>
            <w:r w:rsidRPr="00791A3F">
              <w:rPr>
                <w:rFonts w:ascii="Arial" w:hAnsi="Arial" w:cs="Arial"/>
              </w:rPr>
              <w:t>Examine ESG-competitiveness relationship in resource-constrained context</w:t>
            </w:r>
          </w:p>
        </w:tc>
        <w:tc>
          <w:tcPr>
            <w:tcW w:w="686" w:type="pct"/>
            <w:hideMark/>
          </w:tcPr>
          <w:p w14:paraId="33C26510" w14:textId="77777777" w:rsidR="00902E11" w:rsidRPr="00791A3F" w:rsidRDefault="00902E11" w:rsidP="00791A3F">
            <w:pPr>
              <w:spacing w:after="160" w:line="360" w:lineRule="auto"/>
              <w:rPr>
                <w:rFonts w:ascii="Arial" w:hAnsi="Arial" w:cs="Arial"/>
              </w:rPr>
            </w:pPr>
            <w:r w:rsidRPr="00791A3F">
              <w:rPr>
                <w:rFonts w:ascii="Arial" w:hAnsi="Arial" w:cs="Arial"/>
              </w:rPr>
              <w:t>Quantitative; 200 Bangladeshi firms; 2018–2023; SEM</w:t>
            </w:r>
          </w:p>
        </w:tc>
        <w:tc>
          <w:tcPr>
            <w:tcW w:w="824" w:type="pct"/>
            <w:hideMark/>
          </w:tcPr>
          <w:p w14:paraId="43ABEF14" w14:textId="77777777" w:rsidR="00902E11" w:rsidRPr="00791A3F" w:rsidRDefault="00902E11" w:rsidP="00791A3F">
            <w:pPr>
              <w:spacing w:after="160" w:line="360" w:lineRule="auto"/>
              <w:rPr>
                <w:rFonts w:ascii="Arial" w:hAnsi="Arial" w:cs="Arial"/>
              </w:rPr>
            </w:pPr>
            <w:r w:rsidRPr="00791A3F">
              <w:rPr>
                <w:rFonts w:ascii="Arial" w:hAnsi="Arial" w:cs="Arial"/>
              </w:rPr>
              <w:t>ESG performance enhances long-term competitiveness but requires upfront investment capacity; small-margin firms struggle to sustain ESG commitment</w:t>
            </w:r>
          </w:p>
        </w:tc>
        <w:tc>
          <w:tcPr>
            <w:tcW w:w="830" w:type="pct"/>
            <w:hideMark/>
          </w:tcPr>
          <w:p w14:paraId="35FFAB0E" w14:textId="77777777" w:rsidR="00902E11" w:rsidRPr="00791A3F" w:rsidRDefault="00902E11" w:rsidP="00791A3F">
            <w:pPr>
              <w:spacing w:after="160" w:line="360" w:lineRule="auto"/>
              <w:rPr>
                <w:rFonts w:ascii="Arial" w:hAnsi="Arial" w:cs="Arial"/>
              </w:rPr>
            </w:pPr>
            <w:r w:rsidRPr="00791A3F">
              <w:rPr>
                <w:rFonts w:ascii="Arial" w:hAnsi="Arial" w:cs="Arial"/>
              </w:rPr>
              <w:t>Applicable to discount retailer CSR constraints; supports differentiated expectations by business model</w:t>
            </w:r>
          </w:p>
        </w:tc>
      </w:tr>
      <w:tr w:rsidR="00902E11" w:rsidRPr="00791A3F" w14:paraId="4ECFA13E" w14:textId="77777777" w:rsidTr="007A6F53">
        <w:tc>
          <w:tcPr>
            <w:tcW w:w="1814" w:type="pct"/>
            <w:hideMark/>
          </w:tcPr>
          <w:p w14:paraId="64EDD29A"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The impact of institutional ownership structure on corporate ESG performance: empirical evidence for the European capital market</w:t>
            </w:r>
          </w:p>
          <w:p w14:paraId="12B54D4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Velte (2025)</w:t>
            </w:r>
          </w:p>
          <w:p w14:paraId="5062E69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6" w:tgtFrame="_blank" w:history="1">
              <w:r w:rsidRPr="00791A3F">
                <w:rPr>
                  <w:rStyle w:val="Hyperlink"/>
                  <w:rFonts w:ascii="Arial" w:hAnsi="Arial" w:cs="Arial"/>
                </w:rPr>
                <w:t>Springer</w:t>
              </w:r>
            </w:hyperlink>
          </w:p>
        </w:tc>
        <w:tc>
          <w:tcPr>
            <w:tcW w:w="846" w:type="pct"/>
            <w:hideMark/>
          </w:tcPr>
          <w:p w14:paraId="7D34754F" w14:textId="77777777" w:rsidR="00902E11" w:rsidRPr="00791A3F" w:rsidRDefault="00902E11" w:rsidP="00791A3F">
            <w:pPr>
              <w:spacing w:after="160" w:line="360" w:lineRule="auto"/>
              <w:rPr>
                <w:rFonts w:ascii="Arial" w:hAnsi="Arial" w:cs="Arial"/>
              </w:rPr>
            </w:pPr>
            <w:r w:rsidRPr="00791A3F">
              <w:rPr>
                <w:rFonts w:ascii="Arial" w:hAnsi="Arial" w:cs="Arial"/>
              </w:rPr>
              <w:t>Test influence of institutional investor ownership on ESG performance</w:t>
            </w:r>
          </w:p>
        </w:tc>
        <w:tc>
          <w:tcPr>
            <w:tcW w:w="686" w:type="pct"/>
            <w:hideMark/>
          </w:tcPr>
          <w:p w14:paraId="608544B8" w14:textId="77777777" w:rsidR="00902E11" w:rsidRPr="00791A3F" w:rsidRDefault="00902E11" w:rsidP="00791A3F">
            <w:pPr>
              <w:spacing w:after="160" w:line="360" w:lineRule="auto"/>
              <w:rPr>
                <w:rFonts w:ascii="Arial" w:hAnsi="Arial" w:cs="Arial"/>
              </w:rPr>
            </w:pPr>
            <w:r w:rsidRPr="00791A3F">
              <w:rPr>
                <w:rFonts w:ascii="Arial" w:hAnsi="Arial" w:cs="Arial"/>
              </w:rPr>
              <w:t>Quantitative; 600 European firms; 2015–2022; Panel regression</w:t>
            </w:r>
          </w:p>
        </w:tc>
        <w:tc>
          <w:tcPr>
            <w:tcW w:w="824" w:type="pct"/>
            <w:hideMark/>
          </w:tcPr>
          <w:p w14:paraId="73AA2BC5" w14:textId="77777777" w:rsidR="00902E11" w:rsidRPr="00791A3F" w:rsidRDefault="00902E11" w:rsidP="00791A3F">
            <w:pPr>
              <w:spacing w:after="160" w:line="360" w:lineRule="auto"/>
              <w:rPr>
                <w:rFonts w:ascii="Arial" w:hAnsi="Arial" w:cs="Arial"/>
              </w:rPr>
            </w:pPr>
            <w:r w:rsidRPr="00791A3F">
              <w:rPr>
                <w:rFonts w:ascii="Arial" w:hAnsi="Arial" w:cs="Arial"/>
              </w:rPr>
              <w:t>Long-term institutional investors (e.g., pension funds) positively predict ESG performance; short-term investors correlate with ESG washing; cooperative ownership structures exhibit highest ESG scores</w:t>
            </w:r>
          </w:p>
        </w:tc>
        <w:tc>
          <w:tcPr>
            <w:tcW w:w="830" w:type="pct"/>
            <w:hideMark/>
          </w:tcPr>
          <w:p w14:paraId="625E181B" w14:textId="77777777" w:rsidR="00902E11" w:rsidRPr="00791A3F" w:rsidRDefault="00902E11" w:rsidP="00791A3F">
            <w:pPr>
              <w:spacing w:after="160" w:line="360" w:lineRule="auto"/>
              <w:rPr>
                <w:rFonts w:ascii="Arial" w:hAnsi="Arial" w:cs="Arial"/>
              </w:rPr>
            </w:pPr>
            <w:r w:rsidRPr="00791A3F">
              <w:rPr>
                <w:rFonts w:ascii="Arial" w:hAnsi="Arial" w:cs="Arial"/>
              </w:rPr>
              <w:t>Empirical support for cooperative business model hypothesis (RO4); ownership structure influences CSR authenticity</w:t>
            </w:r>
          </w:p>
        </w:tc>
      </w:tr>
      <w:tr w:rsidR="00902E11" w:rsidRPr="00791A3F" w14:paraId="25C2101F" w14:textId="77777777" w:rsidTr="007A6F53">
        <w:tc>
          <w:tcPr>
            <w:tcW w:w="1814" w:type="pct"/>
            <w:hideMark/>
          </w:tcPr>
          <w:p w14:paraId="0E69B4C6"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Unveiling the Connection Between ESG Performance and Corporate Competitiveness: Evidence From Industrial Firms in Europe and the UK</w:t>
            </w:r>
          </w:p>
          <w:p w14:paraId="0848BCF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Chouaibi &amp; Zouari (2025)</w:t>
            </w:r>
          </w:p>
          <w:p w14:paraId="69860993"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7" w:tgtFrame="_blank" w:history="1">
              <w:r w:rsidRPr="00791A3F">
                <w:rPr>
                  <w:rStyle w:val="Hyperlink"/>
                  <w:rFonts w:ascii="Arial" w:hAnsi="Arial" w:cs="Arial"/>
                </w:rPr>
                <w:t>Wiley</w:t>
              </w:r>
            </w:hyperlink>
          </w:p>
        </w:tc>
        <w:tc>
          <w:tcPr>
            <w:tcW w:w="846" w:type="pct"/>
            <w:hideMark/>
          </w:tcPr>
          <w:p w14:paraId="562A2EEF" w14:textId="77777777" w:rsidR="00902E11" w:rsidRPr="00791A3F" w:rsidRDefault="00902E11" w:rsidP="00791A3F">
            <w:pPr>
              <w:spacing w:after="160" w:line="360" w:lineRule="auto"/>
              <w:rPr>
                <w:rFonts w:ascii="Arial" w:hAnsi="Arial" w:cs="Arial"/>
              </w:rPr>
            </w:pPr>
            <w:r w:rsidRPr="00791A3F">
              <w:rPr>
                <w:rFonts w:ascii="Arial" w:hAnsi="Arial" w:cs="Arial"/>
              </w:rPr>
              <w:t>Examine ESG-competitiveness mechanisms in European industrial context</w:t>
            </w:r>
          </w:p>
        </w:tc>
        <w:tc>
          <w:tcPr>
            <w:tcW w:w="686" w:type="pct"/>
            <w:hideMark/>
          </w:tcPr>
          <w:p w14:paraId="2B575B32" w14:textId="77777777" w:rsidR="00902E11" w:rsidRPr="00791A3F" w:rsidRDefault="00902E11" w:rsidP="00791A3F">
            <w:pPr>
              <w:spacing w:after="160" w:line="360" w:lineRule="auto"/>
              <w:rPr>
                <w:rFonts w:ascii="Arial" w:hAnsi="Arial" w:cs="Arial"/>
              </w:rPr>
            </w:pPr>
            <w:r w:rsidRPr="00791A3F">
              <w:rPr>
                <w:rFonts w:ascii="Arial" w:hAnsi="Arial" w:cs="Arial"/>
              </w:rPr>
              <w:t>Quantitative; 400 UK/EU firms; 2017–2023; Mediation analysis</w:t>
            </w:r>
          </w:p>
        </w:tc>
        <w:tc>
          <w:tcPr>
            <w:tcW w:w="824" w:type="pct"/>
            <w:hideMark/>
          </w:tcPr>
          <w:p w14:paraId="515254DF" w14:textId="77777777" w:rsidR="00902E11" w:rsidRPr="00791A3F" w:rsidRDefault="00902E11" w:rsidP="00791A3F">
            <w:pPr>
              <w:spacing w:after="160" w:line="360" w:lineRule="auto"/>
              <w:rPr>
                <w:rFonts w:ascii="Arial" w:hAnsi="Arial" w:cs="Arial"/>
              </w:rPr>
            </w:pPr>
            <w:r w:rsidRPr="00791A3F">
              <w:rPr>
                <w:rFonts w:ascii="Arial" w:hAnsi="Arial" w:cs="Arial"/>
              </w:rPr>
              <w:t>ESG performance enhances competitiveness via reputation, innovation, and employee retention channels; effects strongest in consumer-facing sectors (including retail)</w:t>
            </w:r>
          </w:p>
        </w:tc>
        <w:tc>
          <w:tcPr>
            <w:tcW w:w="830" w:type="pct"/>
            <w:hideMark/>
          </w:tcPr>
          <w:p w14:paraId="5E8EC255" w14:textId="77777777" w:rsidR="00902E11" w:rsidRPr="00791A3F" w:rsidRDefault="00902E11" w:rsidP="00791A3F">
            <w:pPr>
              <w:spacing w:after="160" w:line="360" w:lineRule="auto"/>
              <w:rPr>
                <w:rFonts w:ascii="Arial" w:hAnsi="Arial" w:cs="Arial"/>
              </w:rPr>
            </w:pPr>
            <w:r w:rsidRPr="00791A3F">
              <w:rPr>
                <w:rFonts w:ascii="Arial" w:hAnsi="Arial" w:cs="Arial"/>
              </w:rPr>
              <w:t>Supports stakeholder value creation argument; ESG as competitive advantage particularly salient in retail</w:t>
            </w:r>
          </w:p>
        </w:tc>
      </w:tr>
      <w:tr w:rsidR="00902E11" w:rsidRPr="00791A3F" w14:paraId="438FA9F7" w14:textId="77777777" w:rsidTr="007A6F53">
        <w:tc>
          <w:tcPr>
            <w:tcW w:w="1814" w:type="pct"/>
            <w:hideMark/>
          </w:tcPr>
          <w:p w14:paraId="20F1358D"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The Next Generation of Sustainable Food Packaging to Preserve Our Environment in a Circular Economy Context</w:t>
            </w:r>
          </w:p>
          <w:p w14:paraId="60A0363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Ncube et al. (2020)</w:t>
            </w:r>
          </w:p>
          <w:p w14:paraId="7D4CCD91"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8" w:tgtFrame="_blank" w:history="1">
              <w:r w:rsidRPr="00791A3F">
                <w:rPr>
                  <w:rStyle w:val="Hyperlink"/>
                  <w:rFonts w:ascii="Arial" w:hAnsi="Arial" w:cs="Arial"/>
                </w:rPr>
                <w:t>PMC</w:t>
              </w:r>
            </w:hyperlink>
          </w:p>
        </w:tc>
        <w:tc>
          <w:tcPr>
            <w:tcW w:w="846" w:type="pct"/>
            <w:hideMark/>
          </w:tcPr>
          <w:p w14:paraId="067741F8" w14:textId="77777777" w:rsidR="00902E11" w:rsidRPr="00791A3F" w:rsidRDefault="00902E11" w:rsidP="00791A3F">
            <w:pPr>
              <w:spacing w:after="160" w:line="360" w:lineRule="auto"/>
              <w:rPr>
                <w:rFonts w:ascii="Arial" w:hAnsi="Arial" w:cs="Arial"/>
              </w:rPr>
            </w:pPr>
            <w:r w:rsidRPr="00791A3F">
              <w:rPr>
                <w:rFonts w:ascii="Arial" w:hAnsi="Arial" w:cs="Arial"/>
              </w:rPr>
              <w:t>Review sustainable packaging innovations and circular economy integration</w:t>
            </w:r>
          </w:p>
        </w:tc>
        <w:tc>
          <w:tcPr>
            <w:tcW w:w="686" w:type="pct"/>
            <w:hideMark/>
          </w:tcPr>
          <w:p w14:paraId="282A782C"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Material science + retail practice</w:t>
            </w:r>
          </w:p>
        </w:tc>
        <w:tc>
          <w:tcPr>
            <w:tcW w:w="824" w:type="pct"/>
            <w:hideMark/>
          </w:tcPr>
          <w:p w14:paraId="005108DB" w14:textId="77777777" w:rsidR="00902E11" w:rsidRPr="00791A3F" w:rsidRDefault="00902E11" w:rsidP="00791A3F">
            <w:pPr>
              <w:spacing w:after="160" w:line="360" w:lineRule="auto"/>
              <w:rPr>
                <w:rFonts w:ascii="Arial" w:hAnsi="Arial" w:cs="Arial"/>
              </w:rPr>
            </w:pPr>
            <w:r w:rsidRPr="00791A3F">
              <w:rPr>
                <w:rFonts w:ascii="Arial" w:hAnsi="Arial" w:cs="Arial"/>
              </w:rPr>
              <w:t>Circular packaging requires systemic change: bio-based materials, reusable systems, end-of-life infrastructure; retailer procurement power critical to scaling solutions</w:t>
            </w:r>
          </w:p>
        </w:tc>
        <w:tc>
          <w:tcPr>
            <w:tcW w:w="830" w:type="pct"/>
            <w:hideMark/>
          </w:tcPr>
          <w:p w14:paraId="3FCD5701" w14:textId="77777777" w:rsidR="00902E11" w:rsidRPr="00791A3F" w:rsidRDefault="00902E11" w:rsidP="00791A3F">
            <w:pPr>
              <w:spacing w:after="160" w:line="360" w:lineRule="auto"/>
              <w:rPr>
                <w:rFonts w:ascii="Arial" w:hAnsi="Arial" w:cs="Arial"/>
              </w:rPr>
            </w:pPr>
            <w:r w:rsidRPr="00791A3F">
              <w:rPr>
                <w:rFonts w:ascii="Arial" w:hAnsi="Arial" w:cs="Arial"/>
              </w:rPr>
              <w:t>Relevant to RQ4: circular economy as emerging priority; retailers as leverage points for packaging sustainability</w:t>
            </w:r>
          </w:p>
        </w:tc>
      </w:tr>
      <w:tr w:rsidR="00902E11" w:rsidRPr="00791A3F" w14:paraId="7A06EDC0" w14:textId="77777777" w:rsidTr="007A6F53">
        <w:tc>
          <w:tcPr>
            <w:tcW w:w="1814" w:type="pct"/>
            <w:hideMark/>
          </w:tcPr>
          <w:p w14:paraId="7978407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Consumer Behavior as a </w:t>
            </w:r>
            <w:r w:rsidRPr="00791A3F">
              <w:rPr>
                <w:rFonts w:ascii="Arial" w:hAnsi="Arial" w:cs="Arial"/>
              </w:rPr>
              <w:lastRenderedPageBreak/>
              <w:t>Challenge and Opportunity for Circular Food Packaging</w:t>
            </w:r>
          </w:p>
          <w:p w14:paraId="154E305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Herbes et al. (2023)</w:t>
            </w:r>
          </w:p>
          <w:p w14:paraId="73A106B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49" w:tgtFrame="_blank" w:history="1">
              <w:r w:rsidRPr="00791A3F">
                <w:rPr>
                  <w:rStyle w:val="Hyperlink"/>
                  <w:rFonts w:ascii="Arial" w:hAnsi="Arial" w:cs="Arial"/>
                </w:rPr>
                <w:t>Springer</w:t>
              </w:r>
            </w:hyperlink>
          </w:p>
        </w:tc>
        <w:tc>
          <w:tcPr>
            <w:tcW w:w="846" w:type="pct"/>
            <w:hideMark/>
          </w:tcPr>
          <w:p w14:paraId="038B928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Examine consumer </w:t>
            </w:r>
            <w:r w:rsidRPr="00791A3F">
              <w:rPr>
                <w:rFonts w:ascii="Arial" w:hAnsi="Arial" w:cs="Arial"/>
              </w:rPr>
              <w:lastRenderedPageBreak/>
              <w:t>acceptance of circular packaging; identify retailer intervention points</w:t>
            </w:r>
          </w:p>
        </w:tc>
        <w:tc>
          <w:tcPr>
            <w:tcW w:w="686" w:type="pct"/>
            <w:hideMark/>
          </w:tcPr>
          <w:p w14:paraId="1C80AB7F"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Systematic review; </w:t>
            </w:r>
            <w:r w:rsidRPr="00791A3F">
              <w:rPr>
                <w:rFonts w:ascii="Arial" w:hAnsi="Arial" w:cs="Arial"/>
              </w:rPr>
              <w:lastRenderedPageBreak/>
              <w:t>Behavioural studies; 2015–2022</w:t>
            </w:r>
          </w:p>
        </w:tc>
        <w:tc>
          <w:tcPr>
            <w:tcW w:w="824" w:type="pct"/>
            <w:hideMark/>
          </w:tcPr>
          <w:p w14:paraId="0F3FDCF0"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Consumer willingness-action gap on circular </w:t>
            </w:r>
            <w:r w:rsidRPr="00791A3F">
              <w:rPr>
                <w:rFonts w:ascii="Arial" w:hAnsi="Arial" w:cs="Arial"/>
              </w:rPr>
              <w:lastRenderedPageBreak/>
              <w:t>packaging; retailer interventions (defaults, incentives, information) can shift behaviour; requires substantive operational commitment beyond symbolic labelling</w:t>
            </w:r>
          </w:p>
        </w:tc>
        <w:tc>
          <w:tcPr>
            <w:tcW w:w="830" w:type="pct"/>
            <w:hideMark/>
          </w:tcPr>
          <w:p w14:paraId="200BA6B3"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Informs evaluation of </w:t>
            </w:r>
            <w:r w:rsidRPr="00791A3F">
              <w:rPr>
                <w:rFonts w:ascii="Arial" w:hAnsi="Arial" w:cs="Arial"/>
              </w:rPr>
              <w:lastRenderedPageBreak/>
              <w:t>retailer circular economy authenticity: operational changes (e.g., refill stations) vs symbolic marketing</w:t>
            </w:r>
          </w:p>
        </w:tc>
      </w:tr>
      <w:tr w:rsidR="00902E11" w:rsidRPr="00791A3F" w14:paraId="4BE29DDA" w14:textId="77777777" w:rsidTr="007A6F53">
        <w:tc>
          <w:tcPr>
            <w:tcW w:w="1814" w:type="pct"/>
            <w:hideMark/>
          </w:tcPr>
          <w:p w14:paraId="76DBDEF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Food packaging business models as drivers for sustainability in the food packaging industry</w:t>
            </w:r>
          </w:p>
          <w:p w14:paraId="6C05086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Viere et al. (2025)</w:t>
            </w:r>
          </w:p>
          <w:p w14:paraId="181F9E66"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0" w:tgtFrame="_blank" w:history="1">
              <w:r w:rsidRPr="00791A3F">
                <w:rPr>
                  <w:rStyle w:val="Hyperlink"/>
                  <w:rFonts w:ascii="Arial" w:hAnsi="Arial" w:cs="Arial"/>
                </w:rPr>
                <w:t>Frontiers</w:t>
              </w:r>
            </w:hyperlink>
          </w:p>
        </w:tc>
        <w:tc>
          <w:tcPr>
            <w:tcW w:w="846" w:type="pct"/>
            <w:hideMark/>
          </w:tcPr>
          <w:p w14:paraId="100C8035" w14:textId="77777777" w:rsidR="00902E11" w:rsidRPr="00791A3F" w:rsidRDefault="00902E11" w:rsidP="00791A3F">
            <w:pPr>
              <w:spacing w:after="160" w:line="360" w:lineRule="auto"/>
              <w:rPr>
                <w:rFonts w:ascii="Arial" w:hAnsi="Arial" w:cs="Arial"/>
              </w:rPr>
            </w:pPr>
            <w:r w:rsidRPr="00791A3F">
              <w:rPr>
                <w:rFonts w:ascii="Arial" w:hAnsi="Arial" w:cs="Arial"/>
              </w:rPr>
              <w:t>Analyse how packaging business models enable/constrain circularity</w:t>
            </w:r>
          </w:p>
        </w:tc>
        <w:tc>
          <w:tcPr>
            <w:tcW w:w="686" w:type="pct"/>
            <w:hideMark/>
          </w:tcPr>
          <w:p w14:paraId="4A9F19DD" w14:textId="77777777" w:rsidR="00902E11" w:rsidRPr="00791A3F" w:rsidRDefault="00902E11" w:rsidP="00791A3F">
            <w:pPr>
              <w:spacing w:after="160" w:line="360" w:lineRule="auto"/>
              <w:rPr>
                <w:rFonts w:ascii="Arial" w:hAnsi="Arial" w:cs="Arial"/>
              </w:rPr>
            </w:pPr>
            <w:r w:rsidRPr="00791A3F">
              <w:rPr>
                <w:rFonts w:ascii="Arial" w:hAnsi="Arial" w:cs="Arial"/>
              </w:rPr>
              <w:t>Case study; 6 European packaging initiatives; Qualitative</w:t>
            </w:r>
          </w:p>
        </w:tc>
        <w:tc>
          <w:tcPr>
            <w:tcW w:w="824" w:type="pct"/>
            <w:hideMark/>
          </w:tcPr>
          <w:p w14:paraId="54B01E5B" w14:textId="77777777" w:rsidR="00902E11" w:rsidRPr="00791A3F" w:rsidRDefault="00902E11" w:rsidP="00791A3F">
            <w:pPr>
              <w:spacing w:after="160" w:line="360" w:lineRule="auto"/>
              <w:rPr>
                <w:rFonts w:ascii="Arial" w:hAnsi="Arial" w:cs="Arial"/>
              </w:rPr>
            </w:pPr>
            <w:r w:rsidRPr="00791A3F">
              <w:rPr>
                <w:rFonts w:ascii="Arial" w:hAnsi="Arial" w:cs="Arial"/>
              </w:rPr>
              <w:t>Deposit-return schemes and reusable models require retailer-producer collaboration; single-use reduction targets drive substantive innovation; voluntary commitments yield limited impact</w:t>
            </w:r>
          </w:p>
        </w:tc>
        <w:tc>
          <w:tcPr>
            <w:tcW w:w="830" w:type="pct"/>
            <w:hideMark/>
          </w:tcPr>
          <w:p w14:paraId="0389788E" w14:textId="77777777" w:rsidR="00902E11" w:rsidRPr="00791A3F" w:rsidRDefault="00902E11" w:rsidP="00791A3F">
            <w:pPr>
              <w:spacing w:after="160" w:line="360" w:lineRule="auto"/>
              <w:rPr>
                <w:rFonts w:ascii="Arial" w:hAnsi="Arial" w:cs="Arial"/>
              </w:rPr>
            </w:pPr>
            <w:r w:rsidRPr="00791A3F">
              <w:rPr>
                <w:rFonts w:ascii="Arial" w:hAnsi="Arial" w:cs="Arial"/>
              </w:rPr>
              <w:t>Distinguishes substantive circular economy integration (systemic change) from symbolic packaging reduction claims</w:t>
            </w:r>
          </w:p>
        </w:tc>
      </w:tr>
      <w:tr w:rsidR="00902E11" w:rsidRPr="00791A3F" w14:paraId="18700460" w14:textId="77777777" w:rsidTr="007A6F53">
        <w:tc>
          <w:tcPr>
            <w:tcW w:w="1814" w:type="pct"/>
            <w:hideMark/>
          </w:tcPr>
          <w:p w14:paraId="4FCE8BDC"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xml:space="preserve"> Identifying the Drivers of Circular Food Packaging: A Comprehensive Review for the Current State of </w:t>
            </w:r>
            <w:r w:rsidRPr="00791A3F">
              <w:rPr>
                <w:rFonts w:ascii="Arial" w:hAnsi="Arial" w:cs="Arial"/>
              </w:rPr>
              <w:lastRenderedPageBreak/>
              <w:t>the Food Supply Chain</w:t>
            </w:r>
          </w:p>
          <w:p w14:paraId="41D864B1"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Ribeiro et al. (2023)</w:t>
            </w:r>
          </w:p>
          <w:p w14:paraId="259BB81D"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1" w:tgtFrame="_blank" w:history="1">
              <w:r w:rsidRPr="00791A3F">
                <w:rPr>
                  <w:rStyle w:val="Hyperlink"/>
                  <w:rFonts w:ascii="Arial" w:hAnsi="Arial" w:cs="Arial"/>
                </w:rPr>
                <w:t>MDPI</w:t>
              </w:r>
            </w:hyperlink>
          </w:p>
        </w:tc>
        <w:tc>
          <w:tcPr>
            <w:tcW w:w="846" w:type="pct"/>
            <w:hideMark/>
          </w:tcPr>
          <w:p w14:paraId="61F2F3E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Map drivers and barriers of circular packaging across food supply chain</w:t>
            </w:r>
          </w:p>
        </w:tc>
        <w:tc>
          <w:tcPr>
            <w:tcW w:w="686" w:type="pct"/>
            <w:hideMark/>
          </w:tcPr>
          <w:p w14:paraId="40837D58"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100+ studies; 2010–2023</w:t>
            </w:r>
          </w:p>
        </w:tc>
        <w:tc>
          <w:tcPr>
            <w:tcW w:w="824" w:type="pct"/>
            <w:hideMark/>
          </w:tcPr>
          <w:p w14:paraId="0F6C7B0E"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Regulatory mandates (e.g., UK Plastic Packaging Tax) drive adoption; retailer procurement specifications critical; cost barriers persist </w:t>
            </w:r>
            <w:r w:rsidRPr="00791A3F">
              <w:rPr>
                <w:rFonts w:ascii="Arial" w:hAnsi="Arial" w:cs="Arial"/>
              </w:rPr>
              <w:lastRenderedPageBreak/>
              <w:t>without policy incentives</w:t>
            </w:r>
          </w:p>
        </w:tc>
        <w:tc>
          <w:tcPr>
            <w:tcW w:w="830" w:type="pct"/>
            <w:hideMark/>
          </w:tcPr>
          <w:p w14:paraId="4FB972A5"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 xml:space="preserve">Contextualises UK regulatory evolution (packaging reduction laws) as substantive </w:t>
            </w:r>
            <w:r w:rsidRPr="00791A3F">
              <w:rPr>
                <w:rFonts w:ascii="Arial" w:hAnsi="Arial" w:cs="Arial"/>
              </w:rPr>
              <w:lastRenderedPageBreak/>
              <w:t>driver; informs environmental management evaluation</w:t>
            </w:r>
          </w:p>
        </w:tc>
      </w:tr>
      <w:tr w:rsidR="00902E11" w:rsidRPr="00791A3F" w14:paraId="205D6D9F" w14:textId="77777777" w:rsidTr="007A6F53">
        <w:tc>
          <w:tcPr>
            <w:tcW w:w="1814" w:type="pct"/>
            <w:hideMark/>
          </w:tcPr>
          <w:p w14:paraId="1C64A7F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Circular economy and sustainable practices in the food industry: A comprehensive bibliometric analysis</w:t>
            </w:r>
          </w:p>
          <w:p w14:paraId="5C8BDD48"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Kumar et al. (2024)</w:t>
            </w:r>
          </w:p>
          <w:p w14:paraId="7CB50259"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2" w:tgtFrame="_blank" w:history="1">
              <w:r w:rsidRPr="00791A3F">
                <w:rPr>
                  <w:rStyle w:val="Hyperlink"/>
                  <w:rFonts w:ascii="Arial" w:hAnsi="Arial" w:cs="Arial"/>
                </w:rPr>
                <w:t>ScienceDirect</w:t>
              </w:r>
            </w:hyperlink>
          </w:p>
        </w:tc>
        <w:tc>
          <w:tcPr>
            <w:tcW w:w="846" w:type="pct"/>
            <w:hideMark/>
          </w:tcPr>
          <w:p w14:paraId="4727FF73" w14:textId="77777777" w:rsidR="00902E11" w:rsidRPr="00791A3F" w:rsidRDefault="00902E11" w:rsidP="00791A3F">
            <w:pPr>
              <w:spacing w:after="160" w:line="360" w:lineRule="auto"/>
              <w:rPr>
                <w:rFonts w:ascii="Arial" w:hAnsi="Arial" w:cs="Arial"/>
              </w:rPr>
            </w:pPr>
            <w:r w:rsidRPr="00791A3F">
              <w:rPr>
                <w:rFonts w:ascii="Arial" w:hAnsi="Arial" w:cs="Arial"/>
              </w:rPr>
              <w:t>Bibliometric mapping of circular economy food research; identify knowledge gaps</w:t>
            </w:r>
          </w:p>
        </w:tc>
        <w:tc>
          <w:tcPr>
            <w:tcW w:w="686" w:type="pct"/>
            <w:hideMark/>
          </w:tcPr>
          <w:p w14:paraId="647FC700" w14:textId="77777777" w:rsidR="00902E11" w:rsidRPr="00791A3F" w:rsidRDefault="00902E11" w:rsidP="00791A3F">
            <w:pPr>
              <w:spacing w:after="160" w:line="360" w:lineRule="auto"/>
              <w:rPr>
                <w:rFonts w:ascii="Arial" w:hAnsi="Arial" w:cs="Arial"/>
              </w:rPr>
            </w:pPr>
            <w:r w:rsidRPr="00791A3F">
              <w:rPr>
                <w:rFonts w:ascii="Arial" w:hAnsi="Arial" w:cs="Arial"/>
              </w:rPr>
              <w:t>Bibliometric; 2,000+ publications; 1990–2023; VOSviewer</w:t>
            </w:r>
          </w:p>
        </w:tc>
        <w:tc>
          <w:tcPr>
            <w:tcW w:w="824" w:type="pct"/>
            <w:hideMark/>
          </w:tcPr>
          <w:p w14:paraId="15023E3E" w14:textId="77777777" w:rsidR="00902E11" w:rsidRPr="00791A3F" w:rsidRDefault="00902E11" w:rsidP="00791A3F">
            <w:pPr>
              <w:spacing w:after="160" w:line="360" w:lineRule="auto"/>
              <w:rPr>
                <w:rFonts w:ascii="Arial" w:hAnsi="Arial" w:cs="Arial"/>
              </w:rPr>
            </w:pPr>
            <w:r w:rsidRPr="00791A3F">
              <w:rPr>
                <w:rFonts w:ascii="Arial" w:hAnsi="Arial" w:cs="Arial"/>
              </w:rPr>
              <w:t>Research concentrated on production; retail and consumer phases under-researched; implementation gap between circular principles and practice identified as critical research frontier</w:t>
            </w:r>
          </w:p>
        </w:tc>
        <w:tc>
          <w:tcPr>
            <w:tcW w:w="830" w:type="pct"/>
            <w:hideMark/>
          </w:tcPr>
          <w:p w14:paraId="121A91F0" w14:textId="77777777" w:rsidR="00902E11" w:rsidRPr="00791A3F" w:rsidRDefault="00902E11" w:rsidP="00791A3F">
            <w:pPr>
              <w:spacing w:after="160" w:line="360" w:lineRule="auto"/>
              <w:rPr>
                <w:rFonts w:ascii="Arial" w:hAnsi="Arial" w:cs="Arial"/>
              </w:rPr>
            </w:pPr>
            <w:r w:rsidRPr="00791A3F">
              <w:rPr>
                <w:rFonts w:ascii="Arial" w:hAnsi="Arial" w:cs="Arial"/>
              </w:rPr>
              <w:t>Justifies focus on retail circular economy implementation; highlights research gap this study addresses</w:t>
            </w:r>
          </w:p>
        </w:tc>
      </w:tr>
      <w:tr w:rsidR="00902E11" w:rsidRPr="00791A3F" w14:paraId="6B6CA2DC" w14:textId="77777777" w:rsidTr="007A6F53">
        <w:tc>
          <w:tcPr>
            <w:tcW w:w="1814" w:type="pct"/>
            <w:hideMark/>
          </w:tcPr>
          <w:p w14:paraId="3B43208A"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Ultra-processed foods and public health: Evidence of harm and of conflicts of interest in the food industry to evade regulation</w:t>
            </w:r>
          </w:p>
          <w:p w14:paraId="19441551"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Authors:</w:t>
            </w:r>
            <w:r w:rsidRPr="00791A3F">
              <w:rPr>
                <w:rFonts w:ascii="Arial" w:hAnsi="Arial" w:cs="Arial"/>
              </w:rPr>
              <w:t> Scrinis &amp; Monteiro (2025)</w:t>
            </w:r>
          </w:p>
          <w:p w14:paraId="63F28D54"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3" w:tgtFrame="_blank" w:history="1">
              <w:r w:rsidRPr="00791A3F">
                <w:rPr>
                  <w:rStyle w:val="Hyperlink"/>
                  <w:rFonts w:ascii="Arial" w:hAnsi="Arial" w:cs="Arial"/>
                </w:rPr>
                <w:t>ScienceDirect</w:t>
              </w:r>
            </w:hyperlink>
          </w:p>
        </w:tc>
        <w:tc>
          <w:tcPr>
            <w:tcW w:w="846" w:type="pct"/>
            <w:hideMark/>
          </w:tcPr>
          <w:p w14:paraId="6B24C59A"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Examine public health impacts of ultra-processed foods and industry resistance to regulation</w:t>
            </w:r>
          </w:p>
        </w:tc>
        <w:tc>
          <w:tcPr>
            <w:tcW w:w="686" w:type="pct"/>
            <w:hideMark/>
          </w:tcPr>
          <w:p w14:paraId="7CBD88F9"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Public health literature; 2000–2024</w:t>
            </w:r>
          </w:p>
        </w:tc>
        <w:tc>
          <w:tcPr>
            <w:tcW w:w="824" w:type="pct"/>
            <w:hideMark/>
          </w:tcPr>
          <w:p w14:paraId="0E3CA52E" w14:textId="77777777" w:rsidR="00902E11" w:rsidRPr="00791A3F" w:rsidRDefault="00902E11" w:rsidP="00791A3F">
            <w:pPr>
              <w:spacing w:after="160" w:line="360" w:lineRule="auto"/>
              <w:rPr>
                <w:rFonts w:ascii="Arial" w:hAnsi="Arial" w:cs="Arial"/>
              </w:rPr>
            </w:pPr>
            <w:r w:rsidRPr="00791A3F">
              <w:rPr>
                <w:rFonts w:ascii="Arial" w:hAnsi="Arial" w:cs="Arial"/>
              </w:rPr>
              <w:t>Strong evidence linking ultra-processed food (UPF) consumption to obesity, diabetes, cardiovascular disease; industry employs voluntary self-regulation to forestall mandatory restrictions</w:t>
            </w:r>
          </w:p>
        </w:tc>
        <w:tc>
          <w:tcPr>
            <w:tcW w:w="830" w:type="pct"/>
            <w:hideMark/>
          </w:tcPr>
          <w:p w14:paraId="47999EC4"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Relevant to RO3 customer responsibility dimension; raises question whether retailer health commitments </w:t>
            </w:r>
            <w:r w:rsidRPr="00791A3F">
              <w:rPr>
                <w:rFonts w:ascii="Arial" w:hAnsi="Arial" w:cs="Arial"/>
              </w:rPr>
              <w:lastRenderedPageBreak/>
              <w:t>are substantive or symbolic industry self-regulation</w:t>
            </w:r>
          </w:p>
        </w:tc>
      </w:tr>
      <w:tr w:rsidR="00902E11" w:rsidRPr="00791A3F" w14:paraId="18F59A30" w14:textId="77777777" w:rsidTr="007A6F53">
        <w:tc>
          <w:tcPr>
            <w:tcW w:w="1814" w:type="pct"/>
            <w:hideMark/>
          </w:tcPr>
          <w:p w14:paraId="41B0D41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Ultra-Processed Foods in the Global Food System: The Role of US Tobacco Companies</w:t>
            </w:r>
          </w:p>
          <w:p w14:paraId="37C4A403"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Mialon et al. (2026)</w:t>
            </w:r>
          </w:p>
          <w:p w14:paraId="0DD4C908"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4" w:tgtFrame="_blank" w:history="1">
              <w:r w:rsidRPr="00791A3F">
                <w:rPr>
                  <w:rStyle w:val="Hyperlink"/>
                  <w:rFonts w:ascii="Arial" w:hAnsi="Arial" w:cs="Arial"/>
                </w:rPr>
                <w:t>AJPH</w:t>
              </w:r>
            </w:hyperlink>
          </w:p>
        </w:tc>
        <w:tc>
          <w:tcPr>
            <w:tcW w:w="846" w:type="pct"/>
            <w:hideMark/>
          </w:tcPr>
          <w:p w14:paraId="3730E563" w14:textId="77777777" w:rsidR="00902E11" w:rsidRPr="00791A3F" w:rsidRDefault="00902E11" w:rsidP="00791A3F">
            <w:pPr>
              <w:spacing w:after="160" w:line="360" w:lineRule="auto"/>
              <w:rPr>
                <w:rFonts w:ascii="Arial" w:hAnsi="Arial" w:cs="Arial"/>
              </w:rPr>
            </w:pPr>
            <w:r w:rsidRPr="00791A3F">
              <w:rPr>
                <w:rFonts w:ascii="Arial" w:hAnsi="Arial" w:cs="Arial"/>
              </w:rPr>
              <w:t>Trace corporate strategies influencing food system; examine political interference</w:t>
            </w:r>
          </w:p>
        </w:tc>
        <w:tc>
          <w:tcPr>
            <w:tcW w:w="686" w:type="pct"/>
            <w:hideMark/>
          </w:tcPr>
          <w:p w14:paraId="69DCEA9E" w14:textId="77777777" w:rsidR="00902E11" w:rsidRPr="00791A3F" w:rsidRDefault="00902E11" w:rsidP="00791A3F">
            <w:pPr>
              <w:spacing w:after="160" w:line="360" w:lineRule="auto"/>
              <w:rPr>
                <w:rFonts w:ascii="Arial" w:hAnsi="Arial" w:cs="Arial"/>
              </w:rPr>
            </w:pPr>
            <w:r w:rsidRPr="00791A3F">
              <w:rPr>
                <w:rFonts w:ascii="Arial" w:hAnsi="Arial" w:cs="Arial"/>
              </w:rPr>
              <w:t>Historical analysis; Corporate documents; 1980–2020</w:t>
            </w:r>
          </w:p>
        </w:tc>
        <w:tc>
          <w:tcPr>
            <w:tcW w:w="824" w:type="pct"/>
            <w:hideMark/>
          </w:tcPr>
          <w:p w14:paraId="5B219F91" w14:textId="77777777" w:rsidR="00902E11" w:rsidRPr="00791A3F" w:rsidRDefault="00902E11" w:rsidP="00791A3F">
            <w:pPr>
              <w:spacing w:after="160" w:line="360" w:lineRule="auto"/>
              <w:rPr>
                <w:rFonts w:ascii="Arial" w:hAnsi="Arial" w:cs="Arial"/>
              </w:rPr>
            </w:pPr>
            <w:r w:rsidRPr="00791A3F">
              <w:rPr>
                <w:rFonts w:ascii="Arial" w:hAnsi="Arial" w:cs="Arial"/>
              </w:rPr>
              <w:t>Food industry adopts tobacco playbook: voluntary codes, CSR initiatives, lobbying to prevent regulation; symbolic health marketing accompanies continued UPF promotion</w:t>
            </w:r>
          </w:p>
        </w:tc>
        <w:tc>
          <w:tcPr>
            <w:tcW w:w="830" w:type="pct"/>
            <w:hideMark/>
          </w:tcPr>
          <w:p w14:paraId="33F3544B" w14:textId="77777777" w:rsidR="00902E11" w:rsidRPr="00791A3F" w:rsidRDefault="00902E11" w:rsidP="00791A3F">
            <w:pPr>
              <w:spacing w:after="160" w:line="360" w:lineRule="auto"/>
              <w:rPr>
                <w:rFonts w:ascii="Arial" w:hAnsi="Arial" w:cs="Arial"/>
              </w:rPr>
            </w:pPr>
            <w:r w:rsidRPr="00791A3F">
              <w:rPr>
                <w:rFonts w:ascii="Arial" w:hAnsi="Arial" w:cs="Arial"/>
              </w:rPr>
              <w:t>Critical lens for evaluating retailer health CSR authenticity: voluntary commitments may serve regulatory forestalling function</w:t>
            </w:r>
          </w:p>
        </w:tc>
      </w:tr>
      <w:tr w:rsidR="00902E11" w:rsidRPr="00791A3F" w14:paraId="4D64A3B7" w14:textId="77777777" w:rsidTr="007A6F53">
        <w:tc>
          <w:tcPr>
            <w:tcW w:w="1814" w:type="pct"/>
            <w:hideMark/>
          </w:tcPr>
          <w:p w14:paraId="2128EE38"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Ultra-processed foods and public health: advancing evidence, policy, and interdisciplinary dialogue</w:t>
            </w:r>
          </w:p>
          <w:p w14:paraId="3A479876"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Baker et al. (2026)</w:t>
            </w:r>
          </w:p>
          <w:p w14:paraId="67B0B098"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Link:</w:t>
            </w:r>
            <w:r w:rsidRPr="00791A3F">
              <w:rPr>
                <w:rFonts w:ascii="Arial" w:hAnsi="Arial" w:cs="Arial"/>
              </w:rPr>
              <w:t> </w:t>
            </w:r>
            <w:hyperlink r:id="rId55" w:tgtFrame="_blank" w:history="1">
              <w:r w:rsidRPr="00791A3F">
                <w:rPr>
                  <w:rStyle w:val="Hyperlink"/>
                  <w:rFonts w:ascii="Arial" w:hAnsi="Arial" w:cs="Arial"/>
                </w:rPr>
                <w:t>Frontiers</w:t>
              </w:r>
            </w:hyperlink>
          </w:p>
        </w:tc>
        <w:tc>
          <w:tcPr>
            <w:tcW w:w="846" w:type="pct"/>
            <w:hideMark/>
          </w:tcPr>
          <w:p w14:paraId="0073AD3C" w14:textId="77777777" w:rsidR="00902E11" w:rsidRPr="00791A3F" w:rsidRDefault="00902E11" w:rsidP="00791A3F">
            <w:pPr>
              <w:spacing w:after="160" w:line="360" w:lineRule="auto"/>
              <w:rPr>
                <w:rFonts w:ascii="Arial" w:hAnsi="Arial" w:cs="Arial"/>
              </w:rPr>
            </w:pPr>
            <w:r w:rsidRPr="00791A3F">
              <w:rPr>
                <w:rFonts w:ascii="Arial" w:hAnsi="Arial" w:cs="Arial"/>
              </w:rPr>
              <w:lastRenderedPageBreak/>
              <w:t>Synthesise UPF public health scholarship; propose policy responses</w:t>
            </w:r>
          </w:p>
        </w:tc>
        <w:tc>
          <w:tcPr>
            <w:tcW w:w="686" w:type="pct"/>
            <w:hideMark/>
          </w:tcPr>
          <w:p w14:paraId="70C98D7E" w14:textId="77777777" w:rsidR="00902E11" w:rsidRPr="00791A3F" w:rsidRDefault="00902E11" w:rsidP="00791A3F">
            <w:pPr>
              <w:spacing w:after="160" w:line="360" w:lineRule="auto"/>
              <w:rPr>
                <w:rFonts w:ascii="Arial" w:hAnsi="Arial" w:cs="Arial"/>
              </w:rPr>
            </w:pPr>
            <w:r w:rsidRPr="00791A3F">
              <w:rPr>
                <w:rFonts w:ascii="Arial" w:hAnsi="Arial" w:cs="Arial"/>
              </w:rPr>
              <w:t>Systematic review; Policy analysis; 2024–2025</w:t>
            </w:r>
          </w:p>
        </w:tc>
        <w:tc>
          <w:tcPr>
            <w:tcW w:w="824" w:type="pct"/>
            <w:hideMark/>
          </w:tcPr>
          <w:p w14:paraId="7F460B8A" w14:textId="77777777" w:rsidR="00902E11" w:rsidRPr="00791A3F" w:rsidRDefault="00902E11" w:rsidP="00791A3F">
            <w:pPr>
              <w:spacing w:after="160" w:line="360" w:lineRule="auto"/>
              <w:rPr>
                <w:rFonts w:ascii="Arial" w:hAnsi="Arial" w:cs="Arial"/>
              </w:rPr>
            </w:pPr>
            <w:r w:rsidRPr="00791A3F">
              <w:rPr>
                <w:rFonts w:ascii="Arial" w:hAnsi="Arial" w:cs="Arial"/>
              </w:rPr>
              <w:t>Mandatory reformulation, fiscal measures, marketing restrictions needed; voluntary retailer health initiatives insufficient; substantive CSR requires product portfolio shift not just labelling</w:t>
            </w:r>
          </w:p>
        </w:tc>
        <w:tc>
          <w:tcPr>
            <w:tcW w:w="830" w:type="pct"/>
            <w:hideMark/>
          </w:tcPr>
          <w:p w14:paraId="3D35A0BF"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Informs customer responsibility evaluation: distinguishes substantive health commitment (UPF reduction) from symbolic </w:t>
            </w:r>
            <w:r w:rsidRPr="00791A3F">
              <w:rPr>
                <w:rFonts w:ascii="Arial" w:hAnsi="Arial" w:cs="Arial"/>
              </w:rPr>
              <w:lastRenderedPageBreak/>
              <w:t>labelling/education</w:t>
            </w:r>
          </w:p>
        </w:tc>
      </w:tr>
      <w:tr w:rsidR="00902E11" w:rsidRPr="00791A3F" w14:paraId="198FBD99" w14:textId="77777777" w:rsidTr="007A6F53">
        <w:tc>
          <w:tcPr>
            <w:tcW w:w="1814" w:type="pct"/>
            <w:hideMark/>
          </w:tcPr>
          <w:p w14:paraId="28E985A3"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Agri-food supply chain resilience strategies for preparing, responding, recovering, and adapting: a cross-country comparative analysis from the COVID-19 pandemic</w:t>
            </w:r>
          </w:p>
          <w:p w14:paraId="21B8961C"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Hobbs &amp; Rude (2022)</w:t>
            </w:r>
          </w:p>
          <w:p w14:paraId="4163661F"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6" w:tgtFrame="_blank" w:history="1">
              <w:r w:rsidRPr="00791A3F">
                <w:rPr>
                  <w:rStyle w:val="Hyperlink"/>
                  <w:rFonts w:ascii="Arial" w:hAnsi="Arial" w:cs="Arial"/>
                </w:rPr>
                <w:t>Wiley</w:t>
              </w:r>
            </w:hyperlink>
          </w:p>
        </w:tc>
        <w:tc>
          <w:tcPr>
            <w:tcW w:w="846" w:type="pct"/>
            <w:hideMark/>
          </w:tcPr>
          <w:p w14:paraId="1D5184B6" w14:textId="77777777" w:rsidR="00902E11" w:rsidRPr="00791A3F" w:rsidRDefault="00902E11" w:rsidP="00791A3F">
            <w:pPr>
              <w:spacing w:after="160" w:line="360" w:lineRule="auto"/>
              <w:rPr>
                <w:rFonts w:ascii="Arial" w:hAnsi="Arial" w:cs="Arial"/>
              </w:rPr>
            </w:pPr>
            <w:r w:rsidRPr="00791A3F">
              <w:rPr>
                <w:rFonts w:ascii="Arial" w:hAnsi="Arial" w:cs="Arial"/>
              </w:rPr>
              <w:t>Analyse supply chain resilience strategies during COVID-19; compare national responses</w:t>
            </w:r>
          </w:p>
        </w:tc>
        <w:tc>
          <w:tcPr>
            <w:tcW w:w="686" w:type="pct"/>
            <w:hideMark/>
          </w:tcPr>
          <w:p w14:paraId="5B5CFE9A" w14:textId="77777777" w:rsidR="00902E11" w:rsidRPr="00791A3F" w:rsidRDefault="00902E11" w:rsidP="00791A3F">
            <w:pPr>
              <w:spacing w:after="160" w:line="360" w:lineRule="auto"/>
              <w:rPr>
                <w:rFonts w:ascii="Arial" w:hAnsi="Arial" w:cs="Arial"/>
              </w:rPr>
            </w:pPr>
            <w:r w:rsidRPr="00791A3F">
              <w:rPr>
                <w:rFonts w:ascii="Arial" w:hAnsi="Arial" w:cs="Arial"/>
              </w:rPr>
              <w:t>Comparative case study; 5 countries including UK; 2020–2021; Mixed methods</w:t>
            </w:r>
          </w:p>
        </w:tc>
        <w:tc>
          <w:tcPr>
            <w:tcW w:w="824" w:type="pct"/>
            <w:hideMark/>
          </w:tcPr>
          <w:p w14:paraId="19A03489" w14:textId="77777777" w:rsidR="00902E11" w:rsidRPr="00791A3F" w:rsidRDefault="00902E11" w:rsidP="00791A3F">
            <w:pPr>
              <w:spacing w:after="160" w:line="360" w:lineRule="auto"/>
              <w:rPr>
                <w:rFonts w:ascii="Arial" w:hAnsi="Arial" w:cs="Arial"/>
              </w:rPr>
            </w:pPr>
            <w:r w:rsidRPr="00791A3F">
              <w:rPr>
                <w:rFonts w:ascii="Arial" w:hAnsi="Arial" w:cs="Arial"/>
              </w:rPr>
              <w:t>UK retailers demonstrated operational agility (supply reconfigurations) and social responsibility (employee protections, vulnerable customer support); crisis accelerated substantive CSR in employee welfare</w:t>
            </w:r>
          </w:p>
        </w:tc>
        <w:tc>
          <w:tcPr>
            <w:tcW w:w="830" w:type="pct"/>
            <w:hideMark/>
          </w:tcPr>
          <w:p w14:paraId="320C3666" w14:textId="77777777" w:rsidR="00902E11" w:rsidRPr="00791A3F" w:rsidRDefault="00902E11" w:rsidP="00791A3F">
            <w:pPr>
              <w:spacing w:after="160" w:line="360" w:lineRule="auto"/>
              <w:rPr>
                <w:rFonts w:ascii="Arial" w:hAnsi="Arial" w:cs="Arial"/>
              </w:rPr>
            </w:pPr>
            <w:r w:rsidRPr="00791A3F">
              <w:rPr>
                <w:rFonts w:ascii="Arial" w:hAnsi="Arial" w:cs="Arial"/>
              </w:rPr>
              <w:t>Contextualises COVID-19 as critical juncture potentially shifting CSR from symbolic to substantive; informs employee welfare evaluation</w:t>
            </w:r>
          </w:p>
        </w:tc>
      </w:tr>
      <w:tr w:rsidR="00902E11" w:rsidRPr="00791A3F" w14:paraId="66D9CD57" w14:textId="77777777" w:rsidTr="007A6F53">
        <w:tc>
          <w:tcPr>
            <w:tcW w:w="1814" w:type="pct"/>
            <w:hideMark/>
          </w:tcPr>
          <w:p w14:paraId="3A69688E" w14:textId="77777777" w:rsidR="00902E11" w:rsidRPr="00791A3F" w:rsidRDefault="00902E11" w:rsidP="00791A3F">
            <w:pPr>
              <w:spacing w:after="160" w:line="360" w:lineRule="auto"/>
              <w:rPr>
                <w:rFonts w:ascii="Arial" w:hAnsi="Arial" w:cs="Arial"/>
              </w:rPr>
            </w:pPr>
            <w:r w:rsidRPr="00791A3F">
              <w:rPr>
                <w:rFonts w:ascii="Arial" w:hAnsi="Arial" w:cs="Arial"/>
                <w:b/>
                <w:bCs/>
              </w:rPr>
              <w:t>Title:</w:t>
            </w:r>
            <w:r w:rsidRPr="00791A3F">
              <w:rPr>
                <w:rFonts w:ascii="Arial" w:hAnsi="Arial" w:cs="Arial"/>
              </w:rPr>
              <w:t> Impact of COVID-19 on the food supply chain</w:t>
            </w:r>
          </w:p>
          <w:p w14:paraId="78DCDE7B"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Chowdhury et al. (2020)</w:t>
            </w:r>
          </w:p>
          <w:p w14:paraId="4C501F27"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7" w:tgtFrame="_blank" w:history="1">
              <w:r w:rsidRPr="00791A3F">
                <w:rPr>
                  <w:rStyle w:val="Hyperlink"/>
                  <w:rFonts w:ascii="Arial" w:hAnsi="Arial" w:cs="Arial"/>
                </w:rPr>
                <w:t>Oxford Academic</w:t>
              </w:r>
            </w:hyperlink>
          </w:p>
        </w:tc>
        <w:tc>
          <w:tcPr>
            <w:tcW w:w="846" w:type="pct"/>
            <w:hideMark/>
          </w:tcPr>
          <w:p w14:paraId="38C7E86B" w14:textId="77777777" w:rsidR="00902E11" w:rsidRPr="00791A3F" w:rsidRDefault="00902E11" w:rsidP="00791A3F">
            <w:pPr>
              <w:spacing w:after="160" w:line="360" w:lineRule="auto"/>
              <w:rPr>
                <w:rFonts w:ascii="Arial" w:hAnsi="Arial" w:cs="Arial"/>
              </w:rPr>
            </w:pPr>
            <w:r w:rsidRPr="00791A3F">
              <w:rPr>
                <w:rFonts w:ascii="Arial" w:hAnsi="Arial" w:cs="Arial"/>
              </w:rPr>
              <w:t>Examine pandemic disruptions and retailer responses across global food supply chain</w:t>
            </w:r>
          </w:p>
        </w:tc>
        <w:tc>
          <w:tcPr>
            <w:tcW w:w="686" w:type="pct"/>
            <w:hideMark/>
          </w:tcPr>
          <w:p w14:paraId="682C351F" w14:textId="77777777" w:rsidR="00902E11" w:rsidRPr="00791A3F" w:rsidRDefault="00902E11" w:rsidP="00791A3F">
            <w:pPr>
              <w:spacing w:after="160" w:line="360" w:lineRule="auto"/>
              <w:rPr>
                <w:rFonts w:ascii="Arial" w:hAnsi="Arial" w:cs="Arial"/>
              </w:rPr>
            </w:pPr>
            <w:r w:rsidRPr="00791A3F">
              <w:rPr>
                <w:rFonts w:ascii="Arial" w:hAnsi="Arial" w:cs="Arial"/>
              </w:rPr>
              <w:t>Mixed methods; Interviews + secondary data; Global including UK; 2020</w:t>
            </w:r>
          </w:p>
        </w:tc>
        <w:tc>
          <w:tcPr>
            <w:tcW w:w="824" w:type="pct"/>
            <w:hideMark/>
          </w:tcPr>
          <w:p w14:paraId="02FEE7D1" w14:textId="77777777" w:rsidR="00902E11" w:rsidRPr="00791A3F" w:rsidRDefault="00902E11" w:rsidP="00791A3F">
            <w:pPr>
              <w:spacing w:after="160" w:line="360" w:lineRule="auto"/>
              <w:rPr>
                <w:rFonts w:ascii="Arial" w:hAnsi="Arial" w:cs="Arial"/>
              </w:rPr>
            </w:pPr>
            <w:r w:rsidRPr="00791A3F">
              <w:rPr>
                <w:rFonts w:ascii="Arial" w:hAnsi="Arial" w:cs="Arial"/>
              </w:rPr>
              <w:t>Retailers prioritised essential worker safety and supply continuity; inequalities exposed in supply chain labour conditions; CSR commitments tested under crisis</w:t>
            </w:r>
          </w:p>
        </w:tc>
        <w:tc>
          <w:tcPr>
            <w:tcW w:w="830" w:type="pct"/>
            <w:hideMark/>
          </w:tcPr>
          <w:p w14:paraId="080FF294" w14:textId="77777777" w:rsidR="00902E11" w:rsidRPr="00791A3F" w:rsidRDefault="00902E11" w:rsidP="00791A3F">
            <w:pPr>
              <w:spacing w:after="160" w:line="360" w:lineRule="auto"/>
              <w:rPr>
                <w:rFonts w:ascii="Arial" w:hAnsi="Arial" w:cs="Arial"/>
              </w:rPr>
            </w:pPr>
            <w:r w:rsidRPr="00791A3F">
              <w:rPr>
                <w:rFonts w:ascii="Arial" w:hAnsi="Arial" w:cs="Arial"/>
              </w:rPr>
              <w:t xml:space="preserve">Empirical evidence of pandemic as CSR stress-test; informs employee welfare and ethical sourcing temporal comparison </w:t>
            </w:r>
            <w:r w:rsidRPr="00791A3F">
              <w:rPr>
                <w:rFonts w:ascii="Arial" w:hAnsi="Arial" w:cs="Arial"/>
              </w:rPr>
              <w:lastRenderedPageBreak/>
              <w:t>(2005 vs 2020–2025)</w:t>
            </w:r>
          </w:p>
        </w:tc>
      </w:tr>
      <w:tr w:rsidR="00902E11" w:rsidRPr="00791A3F" w14:paraId="58180A9F" w14:textId="77777777" w:rsidTr="007A6F53">
        <w:tc>
          <w:tcPr>
            <w:tcW w:w="1814" w:type="pct"/>
            <w:hideMark/>
          </w:tcPr>
          <w:p w14:paraId="4CA76E91" w14:textId="77777777" w:rsidR="00902E11" w:rsidRPr="00791A3F" w:rsidRDefault="00902E11" w:rsidP="00791A3F">
            <w:pPr>
              <w:spacing w:after="160" w:line="360" w:lineRule="auto"/>
              <w:rPr>
                <w:rFonts w:ascii="Arial" w:hAnsi="Arial" w:cs="Arial"/>
              </w:rPr>
            </w:pPr>
            <w:r w:rsidRPr="00791A3F">
              <w:rPr>
                <w:rFonts w:ascii="Arial" w:hAnsi="Arial" w:cs="Arial"/>
                <w:b/>
                <w:bCs/>
              </w:rPr>
              <w:lastRenderedPageBreak/>
              <w:t>Title:</w:t>
            </w:r>
            <w:r w:rsidRPr="00791A3F">
              <w:rPr>
                <w:rFonts w:ascii="Arial" w:hAnsi="Arial" w:cs="Arial"/>
              </w:rPr>
              <w:t> Supply chain resilience during the COVID-19 pandemic</w:t>
            </w:r>
          </w:p>
          <w:p w14:paraId="4E4997C7" w14:textId="77777777" w:rsidR="00902E11" w:rsidRPr="00791A3F" w:rsidRDefault="00902E11" w:rsidP="00791A3F">
            <w:pPr>
              <w:spacing w:after="160" w:line="360" w:lineRule="auto"/>
              <w:rPr>
                <w:rFonts w:ascii="Arial" w:hAnsi="Arial" w:cs="Arial"/>
              </w:rPr>
            </w:pPr>
            <w:r w:rsidRPr="00791A3F">
              <w:rPr>
                <w:rFonts w:ascii="Arial" w:hAnsi="Arial" w:cs="Arial"/>
                <w:b/>
                <w:bCs/>
              </w:rPr>
              <w:t>Authors:</w:t>
            </w:r>
            <w:r w:rsidRPr="00791A3F">
              <w:rPr>
                <w:rFonts w:ascii="Arial" w:hAnsi="Arial" w:cs="Arial"/>
              </w:rPr>
              <w:t> Sarkis et al. (2021)</w:t>
            </w:r>
          </w:p>
          <w:p w14:paraId="785084BB" w14:textId="77777777" w:rsidR="00902E11" w:rsidRPr="00791A3F" w:rsidRDefault="00902E11" w:rsidP="00791A3F">
            <w:pPr>
              <w:spacing w:after="160" w:line="360" w:lineRule="auto"/>
              <w:rPr>
                <w:rFonts w:ascii="Arial" w:hAnsi="Arial" w:cs="Arial"/>
              </w:rPr>
            </w:pPr>
            <w:r w:rsidRPr="00791A3F">
              <w:rPr>
                <w:rFonts w:ascii="Arial" w:hAnsi="Arial" w:cs="Arial"/>
                <w:b/>
                <w:bCs/>
              </w:rPr>
              <w:t>Link:</w:t>
            </w:r>
            <w:r w:rsidRPr="00791A3F">
              <w:rPr>
                <w:rFonts w:ascii="Arial" w:hAnsi="Arial" w:cs="Arial"/>
              </w:rPr>
              <w:t> </w:t>
            </w:r>
            <w:hyperlink r:id="rId58" w:tgtFrame="_blank" w:history="1">
              <w:r w:rsidRPr="00791A3F">
                <w:rPr>
                  <w:rStyle w:val="Hyperlink"/>
                  <w:rFonts w:ascii="Arial" w:hAnsi="Arial" w:cs="Arial"/>
                </w:rPr>
                <w:t>PMC</w:t>
              </w:r>
            </w:hyperlink>
          </w:p>
        </w:tc>
        <w:tc>
          <w:tcPr>
            <w:tcW w:w="846" w:type="pct"/>
            <w:hideMark/>
          </w:tcPr>
          <w:p w14:paraId="4400F929" w14:textId="77777777" w:rsidR="00902E11" w:rsidRPr="00791A3F" w:rsidRDefault="00902E11" w:rsidP="00791A3F">
            <w:pPr>
              <w:spacing w:after="160" w:line="360" w:lineRule="auto"/>
              <w:rPr>
                <w:rFonts w:ascii="Arial" w:hAnsi="Arial" w:cs="Arial"/>
              </w:rPr>
            </w:pPr>
            <w:r w:rsidRPr="00791A3F">
              <w:rPr>
                <w:rFonts w:ascii="Arial" w:hAnsi="Arial" w:cs="Arial"/>
              </w:rPr>
              <w:t>Investigate UK perishable goods retail employee experiences during pandemic</w:t>
            </w:r>
          </w:p>
        </w:tc>
        <w:tc>
          <w:tcPr>
            <w:tcW w:w="686" w:type="pct"/>
            <w:hideMark/>
          </w:tcPr>
          <w:p w14:paraId="74638437" w14:textId="77777777" w:rsidR="00902E11" w:rsidRPr="00791A3F" w:rsidRDefault="00902E11" w:rsidP="00791A3F">
            <w:pPr>
              <w:spacing w:after="160" w:line="360" w:lineRule="auto"/>
              <w:rPr>
                <w:rFonts w:ascii="Arial" w:hAnsi="Arial" w:cs="Arial"/>
              </w:rPr>
            </w:pPr>
            <w:r w:rsidRPr="00791A3F">
              <w:rPr>
                <w:rFonts w:ascii="Arial" w:hAnsi="Arial" w:cs="Arial"/>
              </w:rPr>
              <w:t>Qualitative; 30 UK supermarket employees; 2020–2021; Interviews</w:t>
            </w:r>
          </w:p>
        </w:tc>
        <w:tc>
          <w:tcPr>
            <w:tcW w:w="824" w:type="pct"/>
            <w:hideMark/>
          </w:tcPr>
          <w:p w14:paraId="28D42885" w14:textId="77777777" w:rsidR="00902E11" w:rsidRPr="00791A3F" w:rsidRDefault="00902E11" w:rsidP="00791A3F">
            <w:pPr>
              <w:spacing w:after="160" w:line="360" w:lineRule="auto"/>
              <w:rPr>
                <w:rFonts w:ascii="Arial" w:hAnsi="Arial" w:cs="Arial"/>
              </w:rPr>
            </w:pPr>
            <w:r w:rsidRPr="00791A3F">
              <w:rPr>
                <w:rFonts w:ascii="Arial" w:hAnsi="Arial" w:cs="Arial"/>
              </w:rPr>
              <w:t>Employees reported increased workload, health risks, insufficient PPE initially; retailer responses varied: some provided hazard pay and enhanced protections (substantive); others relied on symbolic public appreciation</w:t>
            </w:r>
          </w:p>
        </w:tc>
        <w:tc>
          <w:tcPr>
            <w:tcW w:w="830" w:type="pct"/>
            <w:hideMark/>
          </w:tcPr>
          <w:p w14:paraId="6E233794" w14:textId="77777777" w:rsidR="00902E11" w:rsidRPr="00791A3F" w:rsidRDefault="00902E11" w:rsidP="00791A3F">
            <w:pPr>
              <w:spacing w:after="160" w:line="360" w:lineRule="auto"/>
              <w:rPr>
                <w:rFonts w:ascii="Arial" w:hAnsi="Arial" w:cs="Arial"/>
              </w:rPr>
            </w:pPr>
            <w:r w:rsidRPr="00791A3F">
              <w:rPr>
                <w:rFonts w:ascii="Arial" w:hAnsi="Arial" w:cs="Arial"/>
              </w:rPr>
              <w:t>Provides worker perspective on CSR authenticity during crisis; distinguishes performative appreciation from operational protections</w:t>
            </w:r>
          </w:p>
        </w:tc>
      </w:tr>
    </w:tbl>
    <w:p w14:paraId="2D5C584B" w14:textId="77777777" w:rsidR="00902E11" w:rsidRPr="00791A3F" w:rsidRDefault="00902E11" w:rsidP="00791A3F">
      <w:pPr>
        <w:spacing w:line="360" w:lineRule="auto"/>
        <w:jc w:val="both"/>
        <w:rPr>
          <w:rFonts w:ascii="Arial" w:hAnsi="Arial" w:cs="Arial"/>
        </w:rPr>
      </w:pPr>
    </w:p>
    <w:p w14:paraId="4AB4099D" w14:textId="77777777" w:rsidR="00A3718E" w:rsidRPr="00791A3F" w:rsidRDefault="00A3718E" w:rsidP="00791A3F">
      <w:pPr>
        <w:pStyle w:val="Heading2"/>
        <w:spacing w:line="360" w:lineRule="auto"/>
        <w:rPr>
          <w:rFonts w:ascii="Arial" w:hAnsi="Arial" w:cs="Arial"/>
        </w:rPr>
      </w:pPr>
      <w:bookmarkStart w:id="22" w:name="_Toc237956885"/>
      <w:bookmarkStart w:id="23" w:name="_Toc238725162"/>
      <w:r w:rsidRPr="00791A3F">
        <w:rPr>
          <w:rFonts w:ascii="Arial" w:hAnsi="Arial" w:cs="Arial"/>
        </w:rPr>
        <w:t>2.3 Thematic Synthesis and Critical Analysis</w:t>
      </w:r>
      <w:bookmarkEnd w:id="22"/>
      <w:bookmarkEnd w:id="23"/>
    </w:p>
    <w:p w14:paraId="77E1BA1A" w14:textId="77777777" w:rsidR="00A3718E" w:rsidRPr="00791A3F" w:rsidRDefault="00A3718E" w:rsidP="00791A3F">
      <w:pPr>
        <w:pStyle w:val="Heading3"/>
        <w:spacing w:line="360" w:lineRule="auto"/>
        <w:rPr>
          <w:rFonts w:ascii="Arial" w:hAnsi="Arial" w:cs="Arial"/>
        </w:rPr>
      </w:pPr>
      <w:bookmarkStart w:id="24" w:name="_Toc237956886"/>
      <w:bookmarkStart w:id="25" w:name="_Toc238725163"/>
      <w:r w:rsidRPr="00791A3F">
        <w:rPr>
          <w:rFonts w:ascii="Arial" w:hAnsi="Arial" w:cs="Arial"/>
        </w:rPr>
        <w:t>2.3.1 Theoretical Frameworks of CSR: Stakeholder Theory, Institutional Theory, and Shared Value Creation</w:t>
      </w:r>
      <w:bookmarkEnd w:id="24"/>
      <w:bookmarkEnd w:id="25"/>
    </w:p>
    <w:p w14:paraId="29AD7121" w14:textId="77777777" w:rsidR="008E0A93" w:rsidRPr="00791A3F" w:rsidRDefault="008E0A93" w:rsidP="00791A3F">
      <w:pPr>
        <w:spacing w:line="360" w:lineRule="auto"/>
        <w:jc w:val="both"/>
        <w:rPr>
          <w:rFonts w:ascii="Arial" w:hAnsi="Arial" w:cs="Arial"/>
        </w:rPr>
      </w:pPr>
      <w:r w:rsidRPr="00791A3F">
        <w:rPr>
          <w:rFonts w:ascii="Arial" w:hAnsi="Arial" w:cs="Arial"/>
        </w:rPr>
        <w:t>There are several theories that inform the CSR scholarship that explains why organisations undertake responsibility practices and why responsibility practices become entrenched or remain peripheral to core practices. The stakeholder theory, the institutional theory and shared value creation were combined in this study since both theories focus on different parts of CSR authenticity. The stakeholder theory defines who organisations are responsible to; the institutional theory is used to describe how external forces affect corporate behaviour and why decoupling can take place; and the shared value creation theory addresses the question of whether it is possible for social and environmental goals to be aligned with the competitive strategy.</w:t>
      </w:r>
    </w:p>
    <w:p w14:paraId="7DD9D839" w14:textId="77777777" w:rsidR="008E0A93" w:rsidRPr="00791A3F" w:rsidRDefault="008E0A93" w:rsidP="00791A3F">
      <w:pPr>
        <w:spacing w:line="360" w:lineRule="auto"/>
        <w:jc w:val="both"/>
        <w:rPr>
          <w:rFonts w:ascii="Arial" w:hAnsi="Arial" w:cs="Arial"/>
        </w:rPr>
      </w:pPr>
      <w:r w:rsidRPr="00791A3F">
        <w:rPr>
          <w:rFonts w:ascii="Arial" w:hAnsi="Arial" w:cs="Arial"/>
        </w:rPr>
        <w:lastRenderedPageBreak/>
        <w:t>Stakeholder theory states that organizations hold responsibilities towards stakeholders, including employees, customers, suppliers, communities and the natural environment, in addition to shareholders (Freeman, 1984; Donaldson &amp; Preston, 1995; Mitchell et al., 1997). Its normative value is that the interests of the stakeholders are legitimate, not just limiting the profitability. Managing stakeholders effectively can enhance the reputation, long-term performance and social licence to operate (Carroll &amp; Shabana, 2010; Freeman et al., 2020). Power, legitimacy, and urgency are other factors suggested by stakeholder salience theory that determines who will be included in the management process and what stakeholder interests will be addressed (Sardana et al., 2024; Sharma et al., 2024).</w:t>
      </w:r>
    </w:p>
    <w:p w14:paraId="29490FB9" w14:textId="77777777" w:rsidR="008E0A93" w:rsidRPr="00791A3F" w:rsidRDefault="008E0A93" w:rsidP="00791A3F">
      <w:pPr>
        <w:spacing w:line="360" w:lineRule="auto"/>
        <w:jc w:val="both"/>
        <w:rPr>
          <w:rFonts w:ascii="Arial" w:hAnsi="Arial" w:cs="Arial"/>
        </w:rPr>
      </w:pPr>
      <w:r w:rsidRPr="00791A3F">
        <w:rPr>
          <w:rFonts w:ascii="Arial" w:hAnsi="Arial" w:cs="Arial"/>
        </w:rPr>
        <w:t>Shared value creation is a strategic approach. Porter and Kramer (2011) contend that it is possible to achieve both social and business value in products and markets, value-chain productivity and local cluster development. Examples in food retail include: healthier product, resource efficiency, supplier development, waste reduction, and community economic development. CSR can then shift from being a side-effect of philanthropy to being an integral part of the strategy.</w:t>
      </w:r>
    </w:p>
    <w:p w14:paraId="72ED0059" w14:textId="77777777" w:rsidR="008E0A93" w:rsidRPr="00791A3F" w:rsidRDefault="008E0A93" w:rsidP="00791A3F">
      <w:pPr>
        <w:spacing w:line="360" w:lineRule="auto"/>
        <w:jc w:val="both"/>
        <w:rPr>
          <w:rFonts w:ascii="Arial" w:hAnsi="Arial" w:cs="Arial"/>
        </w:rPr>
      </w:pPr>
      <w:r w:rsidRPr="00791A3F">
        <w:rPr>
          <w:rFonts w:ascii="Arial" w:hAnsi="Arial" w:cs="Arial"/>
        </w:rPr>
        <w:t>These views are complemented by the institutional theory, which seeks to understand why organisations in similar pressures have similar structures and language. Organisational convergence can result from coercive regulation, normative expectations and mimetic competition (Bansal &amp; Roth, 2000; DiMaggio &amp; Powell, 1983). The convergence in disclosure doesn't necessarily equate to convergence in performance, however. Organisation may have visible policies to meet expectations and internal practices that are different, leading to organisational decoupling. This is crucial in the evaluation of CSR authenticity since this can mask varying degrees of implementation.</w:t>
      </w:r>
    </w:p>
    <w:p w14:paraId="093355DD" w14:textId="77777777" w:rsidR="00A3718E" w:rsidRPr="00791A3F" w:rsidRDefault="00A3718E" w:rsidP="00791A3F">
      <w:pPr>
        <w:pStyle w:val="Heading3"/>
        <w:spacing w:line="360" w:lineRule="auto"/>
        <w:rPr>
          <w:rFonts w:ascii="Arial" w:hAnsi="Arial" w:cs="Arial"/>
        </w:rPr>
      </w:pPr>
      <w:bookmarkStart w:id="26" w:name="_Toc237956887"/>
      <w:bookmarkStart w:id="27" w:name="_Toc238725164"/>
      <w:r w:rsidRPr="00791A3F">
        <w:rPr>
          <w:rFonts w:ascii="Arial" w:hAnsi="Arial" w:cs="Arial"/>
        </w:rPr>
        <w:t>2.3.2 The Substantive-Symbolic CSR Continuum and Greenwashing</w:t>
      </w:r>
      <w:bookmarkEnd w:id="26"/>
      <w:bookmarkEnd w:id="27"/>
    </w:p>
    <w:p w14:paraId="1171B8C2" w14:textId="77777777" w:rsidR="006D0EF4" w:rsidRPr="00791A3F" w:rsidRDefault="006D0EF4" w:rsidP="00791A3F">
      <w:pPr>
        <w:spacing w:line="360" w:lineRule="auto"/>
        <w:jc w:val="both"/>
        <w:rPr>
          <w:rFonts w:ascii="Arial" w:hAnsi="Arial" w:cs="Arial"/>
        </w:rPr>
      </w:pPr>
      <w:r w:rsidRPr="00791A3F">
        <w:rPr>
          <w:rFonts w:ascii="Arial" w:hAnsi="Arial" w:cs="Arial"/>
        </w:rPr>
        <w:t xml:space="preserve">This is provided by the difference between substantive and symbolic CSR as used as the central analytical lens. Substantive CSR focuses on the “true” change in behavior, resource allocation, decision-making and performance, while symbolic CSR is based on communication or legitimacy without corresponding change in the behavior of the company (Walker &amp; Wan, 2012; Torelli et al., 2020; Yang et al., 2025). It is best viewed </w:t>
      </w:r>
      <w:r w:rsidRPr="00791A3F">
        <w:rPr>
          <w:rFonts w:ascii="Arial" w:hAnsi="Arial" w:cs="Arial"/>
        </w:rPr>
        <w:lastRenderedPageBreak/>
        <w:t>as a continuum as a company might be substantive in some aspects of CSR and symbolic in others (Goelzer &amp; Wilkinson, 2024).</w:t>
      </w:r>
    </w:p>
    <w:p w14:paraId="52C9AA2A" w14:textId="77777777" w:rsidR="006D0EF4" w:rsidRPr="00791A3F" w:rsidRDefault="006D0EF4" w:rsidP="00791A3F">
      <w:pPr>
        <w:spacing w:line="360" w:lineRule="auto"/>
        <w:jc w:val="both"/>
        <w:rPr>
          <w:rFonts w:ascii="Arial" w:hAnsi="Arial" w:cs="Arial"/>
        </w:rPr>
      </w:pPr>
    </w:p>
    <w:p w14:paraId="1D91F63C" w14:textId="77777777" w:rsidR="006D0EF4" w:rsidRPr="00791A3F" w:rsidRDefault="006D0EF4" w:rsidP="00791A3F">
      <w:pPr>
        <w:spacing w:line="360" w:lineRule="auto"/>
        <w:jc w:val="both"/>
        <w:rPr>
          <w:rFonts w:ascii="Arial" w:hAnsi="Arial" w:cs="Arial"/>
        </w:rPr>
      </w:pPr>
      <w:r w:rsidRPr="00791A3F">
        <w:rPr>
          <w:rFonts w:ascii="Arial" w:hAnsi="Arial" w:cs="Arial"/>
        </w:rPr>
        <w:t>Decoupling is a widespread CSR practice in the symbolic form, which are formal commitments separated from everyday practice (Lyon &amp; Maxwell, 2011; Delmas &amp; Burbano, 2011). The absence of baselines, responsibilities, resources, deadlines, or consequences for failure are possible in aspirational language (Bose et al., 2024; Siano et al., 2017). Selective disclosure may bring to light positive signs and exclude negative results (Marquis et al., 2016; de Freitas Netto et al., 2020). Organisations might focus on policies and processes instead of on measurable impacts (Stevenson &amp; Cole, 2021; Font et al., 2016). Stakeholders have limited ability to challenge claims as a result of weak accountability mechanisms (LeBaron et al., 2021).</w:t>
      </w:r>
    </w:p>
    <w:p w14:paraId="3137026B" w14:textId="74BF4E74" w:rsidR="006D0EF4" w:rsidRPr="00791A3F" w:rsidRDefault="006D0EF4" w:rsidP="00791A3F">
      <w:pPr>
        <w:spacing w:line="360" w:lineRule="auto"/>
        <w:jc w:val="both"/>
        <w:rPr>
          <w:rFonts w:ascii="Arial" w:hAnsi="Arial" w:cs="Arial"/>
        </w:rPr>
      </w:pPr>
      <w:r w:rsidRPr="00791A3F">
        <w:rPr>
          <w:rFonts w:ascii="Arial" w:hAnsi="Arial" w:cs="Arial"/>
        </w:rPr>
        <w:t>Greenwashing is one of the symbolic CSR measures of importance. It happens when wrong information about sustainability performance is given in the environment through communication (Lyon &amp; Maxwell, 2011; Delmas &amp; Burbano, 2011; Torelli et al., 2019). They can take a variety of forms, such as hidden trade-offs, unsupported claims, vague language, false labels, irrelevant claims, lesser-evil framing, and even false statements (de Freitas Netto et al., 2020; Siano et al., 2017). However, counts of sustainability claims are limited as they do not necessarily imply strong evidence in support of the claim, especially if claims are communicated extensively.</w:t>
      </w:r>
    </w:p>
    <w:p w14:paraId="2664900D" w14:textId="77777777" w:rsidR="006D0EF4" w:rsidRPr="00791A3F" w:rsidRDefault="006D0EF4" w:rsidP="00791A3F">
      <w:pPr>
        <w:spacing w:line="360" w:lineRule="auto"/>
        <w:jc w:val="both"/>
        <w:rPr>
          <w:rFonts w:ascii="Arial" w:hAnsi="Arial" w:cs="Arial"/>
        </w:rPr>
      </w:pPr>
      <w:r w:rsidRPr="00791A3F">
        <w:rPr>
          <w:rFonts w:ascii="Arial" w:hAnsi="Arial" w:cs="Arial"/>
        </w:rPr>
        <w:t>Recent methods are based on the analysis of reporting language. Bingler et al., (2023) and Bose et al., (2024) report that vague quantifiers, future commitments, passive voice, and missing baselines are all some of the possible signs of symbolic reporting, whereas quantified targets and evidence of completed action is indicative of more substance. But linguistic analysis is not a means to establish operational truth, but rather to complement, and not to replace, triangulation.</w:t>
      </w:r>
    </w:p>
    <w:p w14:paraId="7AF6F9A4" w14:textId="77777777" w:rsidR="006D0EF4" w:rsidRPr="00791A3F" w:rsidRDefault="006D0EF4" w:rsidP="00791A3F">
      <w:pPr>
        <w:spacing w:line="360" w:lineRule="auto"/>
        <w:jc w:val="both"/>
        <w:rPr>
          <w:rFonts w:ascii="Arial" w:hAnsi="Arial" w:cs="Arial"/>
        </w:rPr>
      </w:pPr>
      <w:r w:rsidRPr="00791A3F">
        <w:rPr>
          <w:rFonts w:ascii="Arial" w:hAnsi="Arial" w:cs="Arial"/>
        </w:rPr>
        <w:t xml:space="preserve">There are a number of conditions that promote symbolic CSR. Although weak, enforcement can allow for formal compliance with the rule without changing behaviour (Delmas and Burbano, 2011; Torelli et al., 2019). Stakeholders might request </w:t>
      </w:r>
      <w:r w:rsidRPr="00791A3F">
        <w:rPr>
          <w:rFonts w:ascii="Arial" w:hAnsi="Arial" w:cs="Arial"/>
        </w:rPr>
        <w:lastRenderedPageBreak/>
        <w:t>sustainability when they are not provided with enough information or do not have enough power to be able to validate claims (Marquis et al., 2016; Lyon &amp; Maxwell, 2011). Financial pressures can deter investors from investing for the long run (Zhao et al., 2025). Comparisons to others can result in mimetic adoption of sustainability language and structures (Bansal &amp; Roth, 2000; Nicholls &amp; Opal, 2014).</w:t>
      </w:r>
    </w:p>
    <w:p w14:paraId="6FD40E3F" w14:textId="77777777" w:rsidR="00031EC3" w:rsidRPr="00791A3F" w:rsidRDefault="006D0EF4" w:rsidP="00791A3F">
      <w:pPr>
        <w:spacing w:line="360" w:lineRule="auto"/>
        <w:jc w:val="both"/>
        <w:rPr>
          <w:rFonts w:ascii="Arial" w:hAnsi="Arial" w:cs="Arial"/>
        </w:rPr>
      </w:pPr>
      <w:r w:rsidRPr="00791A3F">
        <w:rPr>
          <w:rFonts w:ascii="Arial" w:hAnsi="Arial" w:cs="Arial"/>
        </w:rPr>
        <w:t>In the present study the substance-symbolism problem is approached by five criteria. Verifiability: Does a claim have evidence that is independent? Measurability takes into account measured targets, baseline and progress. Accountability looks at governance ownership, mechanisms of stakeholders and corrective action. Integration assesses the extent to which CSR is part of the strategy and operations. Comparability is used to determine whether there is consistency between retailers and time. These are the criteria that can be used to systematically assess whether CSR is beyond communication.</w:t>
      </w:r>
    </w:p>
    <w:p w14:paraId="353388E3" w14:textId="77777777" w:rsidR="00A3718E" w:rsidRPr="00791A3F" w:rsidRDefault="00A3718E" w:rsidP="00791A3F">
      <w:pPr>
        <w:pStyle w:val="Heading3"/>
        <w:spacing w:line="360" w:lineRule="auto"/>
        <w:rPr>
          <w:rFonts w:ascii="Arial" w:hAnsi="Arial" w:cs="Arial"/>
        </w:rPr>
      </w:pPr>
      <w:bookmarkStart w:id="28" w:name="_Toc237956888"/>
      <w:bookmarkStart w:id="29" w:name="_Toc238725165"/>
      <w:r w:rsidRPr="00791A3F">
        <w:rPr>
          <w:rFonts w:ascii="Arial" w:hAnsi="Arial" w:cs="Arial"/>
        </w:rPr>
        <w:t>2.3.3 Business Model Differentiation and CSR Implementation</w:t>
      </w:r>
      <w:bookmarkEnd w:id="28"/>
      <w:bookmarkEnd w:id="29"/>
    </w:p>
    <w:p w14:paraId="24BDBC88" w14:textId="77777777" w:rsidR="006A528C" w:rsidRPr="00791A3F" w:rsidRDefault="006A528C" w:rsidP="00791A3F">
      <w:pPr>
        <w:spacing w:line="360" w:lineRule="auto"/>
        <w:jc w:val="both"/>
        <w:rPr>
          <w:rFonts w:ascii="Arial" w:hAnsi="Arial" w:cs="Arial"/>
        </w:rPr>
      </w:pPr>
      <w:r w:rsidRPr="00791A3F">
        <w:rPr>
          <w:rFonts w:ascii="Arial" w:hAnsi="Arial" w:cs="Arial"/>
        </w:rPr>
        <w:t>Food retail differs and is not homogenous across the UK, as the ownership, governance, margin, product range and relationships between the stakeholders vary amongst the different types of retailer. For this study two discount retailers, (Aldi and Lidl), four mainstream retailers (Tesco, Sainsbury's, Morrisons and Asda) and The Co-operative Food which operates on a cooperative model are used in comparison.</w:t>
      </w:r>
    </w:p>
    <w:p w14:paraId="39CB662E" w14:textId="5F9CFDB4" w:rsidR="00031EC3" w:rsidRPr="00791A3F" w:rsidRDefault="00031EC3" w:rsidP="00791A3F">
      <w:pPr>
        <w:spacing w:line="360" w:lineRule="auto"/>
        <w:jc w:val="both"/>
        <w:rPr>
          <w:rFonts w:ascii="Arial" w:hAnsi="Arial" w:cs="Arial"/>
        </w:rPr>
      </w:pPr>
      <w:r w:rsidRPr="00791A3F">
        <w:rPr>
          <w:rFonts w:ascii="Arial" w:hAnsi="Arial" w:cs="Arial"/>
        </w:rPr>
        <w:t>Their strategies for competition include low price and simplicity of operation, limited ranges, private label products and efficiency (Richards, 2023; Blythman, 2017). The features thus result in a "CSR paradox. Efficiently can be the environmental benefit, which can help to reduce the number of stores, and make the packaging and logistics easier (Richards, 2023; Zhao et al., 2025). But, margins may be tight in investment in reporting and assurance, engagement with stakeholders, and build of sustainability infrastructure (Zhao et al., 2025; ShareAction, 2023). It can also be challenging to make an external verification because of a lack of transparency.</w:t>
      </w:r>
    </w:p>
    <w:p w14:paraId="4B1BC5CE" w14:textId="77777777" w:rsidR="00031EC3" w:rsidRPr="00791A3F" w:rsidRDefault="00031EC3" w:rsidP="00791A3F">
      <w:pPr>
        <w:spacing w:line="360" w:lineRule="auto"/>
        <w:jc w:val="both"/>
        <w:rPr>
          <w:rFonts w:ascii="Arial" w:hAnsi="Arial" w:cs="Arial"/>
        </w:rPr>
      </w:pPr>
      <w:r w:rsidRPr="00791A3F">
        <w:rPr>
          <w:rFonts w:ascii="Arial" w:hAnsi="Arial" w:cs="Arial"/>
        </w:rPr>
        <w:t xml:space="preserve">The high volume, diversified supermarket is a typical business model, and has complex supply chains in mainstream supermarkets. They are very public, and are listed, putting pressure on them from investors, regulators and reputational (Jones et al., 2011; Clarke </w:t>
      </w:r>
      <w:r w:rsidRPr="00791A3F">
        <w:rPr>
          <w:rFonts w:ascii="Arial" w:hAnsi="Arial" w:cs="Arial"/>
        </w:rPr>
        <w:lastRenderedPageBreak/>
        <w:t>et al., 2012). They have a greater number of resources at their disposal for the sustainability teams, reporting, supplier programmes, assurance and climate accounting (Nicholls &amp; Opal, 2014; Hahn &amp; Kühnen, 2013). But it does not imply that the higher the level of sophistication in reporting, the deeper the level of implementation, as there are challenges to be faced including labour, wages, emissions in supply chains, food health and waste (Font et al., 2016; LeBaron &amp; Lister, 2022; Mialon et al., 2026). Sustainability investments come with a higher price tag and may be limited based on the appetite of shareholders for the investment (Velte, 2025; Zhao et al., 2025).</w:t>
      </w:r>
    </w:p>
    <w:p w14:paraId="03805A8A" w14:textId="77777777" w:rsidR="00031EC3" w:rsidRPr="00791A3F" w:rsidRDefault="00031EC3" w:rsidP="00791A3F">
      <w:pPr>
        <w:spacing w:line="360" w:lineRule="auto"/>
        <w:jc w:val="both"/>
        <w:rPr>
          <w:rFonts w:ascii="Arial" w:hAnsi="Arial" w:cs="Arial"/>
        </w:rPr>
      </w:pPr>
      <w:r w:rsidRPr="00791A3F">
        <w:rPr>
          <w:rFonts w:ascii="Arial" w:hAnsi="Arial" w:cs="Arial"/>
        </w:rPr>
        <w:t>Cooperative retailers are unique as their purpose and governance is democratic which can help to internalise social goals in their activities (Birchall, 2013; Hernández-Espallardo et al., 2021). The Co-operative Group reflects this collaborative approach in two ways, as members of the cooperative, and as community investors and in their ethical sourcing. These can be used to establish more accountability for stakeholders. It is not a substantive CSR as the operating constraints like financial and competitive pressures can affect the implementation of CSR (Hernandez-Espallardo et al., 2021).</w:t>
      </w:r>
    </w:p>
    <w:p w14:paraId="6E1E066B" w14:textId="77777777" w:rsidR="00031EC3" w:rsidRPr="00791A3F" w:rsidRDefault="00031EC3" w:rsidP="00791A3F">
      <w:pPr>
        <w:spacing w:line="360" w:lineRule="auto"/>
        <w:jc w:val="both"/>
        <w:rPr>
          <w:rFonts w:ascii="Arial" w:hAnsi="Arial" w:cs="Arial"/>
        </w:rPr>
      </w:pPr>
      <w:r w:rsidRPr="00791A3F">
        <w:rPr>
          <w:rFonts w:ascii="Arial" w:hAnsi="Arial" w:cs="Arial"/>
        </w:rPr>
        <w:t>Three expectations follow. It is anticipated that the report quality of the main stream supermarkets will be highest, discount supermarkets lowest and co-operative supermarkets will be in between. Cooperatives may have a higher level of social CSR integration, operational environmental efficiency may be greater with discount retailers and there may be a greater disclosure-performance gap with mainstream retailers. Convergence can over time be achieved due to regulatory and competitive forces.</w:t>
      </w:r>
    </w:p>
    <w:p w14:paraId="10E9301C" w14:textId="77777777" w:rsidR="00A3718E" w:rsidRPr="00791A3F" w:rsidRDefault="00A3718E" w:rsidP="00791A3F">
      <w:pPr>
        <w:pStyle w:val="Heading3"/>
        <w:spacing w:line="360" w:lineRule="auto"/>
        <w:rPr>
          <w:rFonts w:ascii="Arial" w:hAnsi="Arial" w:cs="Arial"/>
        </w:rPr>
      </w:pPr>
      <w:bookmarkStart w:id="30" w:name="_Toc237956889"/>
      <w:bookmarkStart w:id="31" w:name="_Toc238725166"/>
      <w:r w:rsidRPr="00791A3F">
        <w:rPr>
          <w:rFonts w:ascii="Arial" w:hAnsi="Arial" w:cs="Arial"/>
        </w:rPr>
        <w:t>2.3.4 Sectoral Context: Sustainability Challenges in UK Food Retail</w:t>
      </w:r>
      <w:bookmarkEnd w:id="30"/>
      <w:bookmarkEnd w:id="31"/>
    </w:p>
    <w:p w14:paraId="5CE751C0" w14:textId="77777777" w:rsidR="009069EF" w:rsidRPr="00791A3F" w:rsidRDefault="009069EF" w:rsidP="00791A3F">
      <w:pPr>
        <w:spacing w:line="360" w:lineRule="auto"/>
        <w:jc w:val="both"/>
        <w:rPr>
          <w:rFonts w:ascii="Arial" w:hAnsi="Arial" w:cs="Arial"/>
        </w:rPr>
      </w:pPr>
      <w:r w:rsidRPr="00791A3F">
        <w:rPr>
          <w:rFonts w:ascii="Arial" w:hAnsi="Arial" w:cs="Arial"/>
        </w:rPr>
        <w:t>The effects of the food retailers' CSR are significant and real (Jones et al, 2005; Dauvergne &amp; Lister, 2013) in that they affect the production, sourcing, employment, consumption and the environment. Since 2005, the responsible retailing has grown, which involves public health, regulation, complexity of the supply chain, climate change and the expectations of the stakeholders.</w:t>
      </w:r>
    </w:p>
    <w:p w14:paraId="313819B4"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The key emphasis is on being environmentally responsible. Retailers affect Scope 1 and Scope 2 emissions (stores, refrigeration, transport and energy) and for retailers, the </w:t>
      </w:r>
      <w:r w:rsidRPr="00791A3F">
        <w:rPr>
          <w:rFonts w:ascii="Arial" w:hAnsi="Arial" w:cs="Arial"/>
        </w:rPr>
        <w:lastRenderedPageBreak/>
        <w:t>majority of corporate footprints are in the area of Scope 3 (purchased goods and suppliers) emissions (CDP, 2023; Liu et al., 2024; Balsam et al., 2025). TCFD disclosure helps to increase transparency but reporting does not set reductions. Real targets, supplier involvement, measurable and verifiable reductions are necessary to have substantive climate CSR.</w:t>
      </w:r>
    </w:p>
    <w:p w14:paraId="503ED7E5" w14:textId="77777777" w:rsidR="009069EF" w:rsidRPr="00791A3F" w:rsidRDefault="009069EF" w:rsidP="00791A3F">
      <w:pPr>
        <w:spacing w:line="360" w:lineRule="auto"/>
        <w:jc w:val="both"/>
        <w:rPr>
          <w:rFonts w:ascii="Arial" w:hAnsi="Arial" w:cs="Arial"/>
        </w:rPr>
      </w:pPr>
      <w:r w:rsidRPr="00791A3F">
        <w:rPr>
          <w:rFonts w:ascii="Arial" w:hAnsi="Arial" w:cs="Arial"/>
        </w:rPr>
        <w:t>There are also barriers due to the biodiversity and land use as the purchasing of products like soy, palm oil and beef can lead to ecological damage and deforestation (Dauvergne &amp; Lister, 2013). For meaningful action it's necessary to have traceability and action specific to commodities. In addition, reduction, recycling, and reuse, and design-for-circularity are also challenges for the practices of circular economy, where there is a tendency to promote reduction and recycling, but with the objective of achieving circularity; the focus is on reuse, refill and design-for-circularity (Ncube et al., 2020; Herbes et al., 2023; Ribeiro et al., 2023).</w:t>
      </w:r>
    </w:p>
    <w:p w14:paraId="35BE0BC8" w14:textId="77777777" w:rsidR="003C73D6" w:rsidRPr="00791A3F" w:rsidRDefault="003C73D6" w:rsidP="00791A3F">
      <w:pPr>
        <w:spacing w:line="360" w:lineRule="auto"/>
        <w:jc w:val="both"/>
        <w:rPr>
          <w:rFonts w:ascii="Arial" w:hAnsi="Arial" w:cs="Arial"/>
        </w:rPr>
      </w:pPr>
      <w:r w:rsidRPr="00791A3F">
        <w:rPr>
          <w:rFonts w:ascii="Arial" w:hAnsi="Arial" w:cs="Arial"/>
        </w:rPr>
        <w:t>Social sustainability issues are equally a matter of concern. There are potential forced labour, low-income, insecurity and unsafe working conditions throughout the food supply chain (Stevenson &amp; Cole, 2021; LeBaron &amp; Lister, 2022; Meehan &amp; Pinnington, 2022). There's been increased transparency and disclosure in the Modern Slavery Act, but not necessarily deep tier visibility and remediation of workers. To implement substantive ethical sourcing, a company needs to be vigilant, engage the workers and take remedial measures, and commit to wages, as pointed out by LeBaron &amp; Lister, 2022 and Sarfaty &amp; Zhang, 2025.</w:t>
      </w:r>
    </w:p>
    <w:p w14:paraId="4BBB4608" w14:textId="5E7E7E3E" w:rsidR="009069EF" w:rsidRPr="00791A3F" w:rsidRDefault="009069EF" w:rsidP="00791A3F">
      <w:pPr>
        <w:spacing w:line="360" w:lineRule="auto"/>
        <w:jc w:val="both"/>
        <w:rPr>
          <w:rFonts w:ascii="Arial" w:hAnsi="Arial" w:cs="Arial"/>
        </w:rPr>
      </w:pPr>
      <w:r w:rsidRPr="00791A3F">
        <w:rPr>
          <w:rFonts w:ascii="Arial" w:hAnsi="Arial" w:cs="Arial"/>
        </w:rPr>
        <w:t>In employee welfare, the following aspects come under it: Wage, Security, Health and Safety of the employees, Training and involvement of the employees. These become more apparent during times of COVID-19 (Hobbs &amp; Rude, 2022; Sarkis et al., 2021). In addition to their impact on communities through employment, retailers also have an impact on their communities through their procurement, store investment and community programmes (Clarke et al., 2012; Birchall, 2013).</w:t>
      </w:r>
    </w:p>
    <w:p w14:paraId="6A7A908C" w14:textId="77777777" w:rsidR="009069EF" w:rsidRPr="00791A3F" w:rsidRDefault="009069EF" w:rsidP="00791A3F">
      <w:pPr>
        <w:spacing w:line="360" w:lineRule="auto"/>
        <w:jc w:val="both"/>
        <w:rPr>
          <w:rFonts w:ascii="Arial" w:hAnsi="Arial" w:cs="Arial"/>
        </w:rPr>
      </w:pPr>
      <w:r w:rsidRPr="00791A3F">
        <w:rPr>
          <w:rFonts w:ascii="Arial" w:hAnsi="Arial" w:cs="Arial"/>
        </w:rPr>
        <w:t xml:space="preserve">Product availability, product pricing, product placement and product promotion and reformulation are all strategies used to impact public health (Sacks et al., 2020; Taillie et al., 2020). However, there is a spectrum of concern on this topic regarding the need for </w:t>
      </w:r>
      <w:r w:rsidRPr="00791A3F">
        <w:rPr>
          <w:rFonts w:ascii="Arial" w:hAnsi="Arial" w:cs="Arial"/>
        </w:rPr>
        <w:lastRenderedPageBreak/>
        <w:t>reformulation of the products and marketing of ultra-processed foods, which requires a different strategy than simply the promotion of more healthy options, but of an action-oriented health CSR (Scrinis &amp; Monteiro, 2025; Mialon et al., 2026). An equity dimension (Robinson et al., 2025; Hobbs, 2021) is added by factors of affordability and food insecurity.</w:t>
      </w:r>
    </w:p>
    <w:p w14:paraId="7B083D6C" w14:textId="77777777" w:rsidR="009069EF" w:rsidRPr="00791A3F" w:rsidRDefault="009069EF" w:rsidP="00791A3F">
      <w:pPr>
        <w:spacing w:line="360" w:lineRule="auto"/>
        <w:jc w:val="both"/>
        <w:rPr>
          <w:rFonts w:ascii="Arial" w:hAnsi="Arial" w:cs="Arial"/>
        </w:rPr>
      </w:pPr>
      <w:r w:rsidRPr="00791A3F">
        <w:rPr>
          <w:rFonts w:ascii="Arial" w:hAnsi="Arial" w:cs="Arial"/>
        </w:rPr>
        <w:t>Governance is linked with these challenges. Supply chains can be complex to account for, shareholders can have differing expectations and requirements to those needed for long-term sustainability and regulations may only be seeking minimum standards, rather than encouraging change (Stevenson &amp; Cole, 2021; Meehan &amp; Pinnington, 2022; Christensen et al., 2021). COVID-19 underscored the importance of working with the supply chain and/or increasing the number of employees needed, and greater demands put on the CSR.This became even more a critical issue of the fragility of the supply chain and dependence of the employees when COVID-19 (Hobbs &amp; Rude, 2022) was exposed.</w:t>
      </w:r>
    </w:p>
    <w:p w14:paraId="06294E07" w14:textId="77777777" w:rsidR="00A3718E" w:rsidRPr="00791A3F" w:rsidRDefault="00A3718E" w:rsidP="00791A3F">
      <w:pPr>
        <w:pStyle w:val="Heading3"/>
        <w:spacing w:line="360" w:lineRule="auto"/>
        <w:rPr>
          <w:rFonts w:ascii="Arial" w:hAnsi="Arial" w:cs="Arial"/>
        </w:rPr>
      </w:pPr>
      <w:bookmarkStart w:id="32" w:name="_Toc237956890"/>
      <w:bookmarkStart w:id="33" w:name="_Toc238725167"/>
      <w:r w:rsidRPr="00791A3F">
        <w:rPr>
          <w:rFonts w:ascii="Arial" w:hAnsi="Arial" w:cs="Arial"/>
        </w:rPr>
        <w:t>2.3.5 CSR Disclosure, Reporting Quality, and Evaluation Methodologies</w:t>
      </w:r>
      <w:bookmarkEnd w:id="32"/>
      <w:bookmarkEnd w:id="33"/>
    </w:p>
    <w:p w14:paraId="79A30455" w14:textId="77777777" w:rsidR="00B57468" w:rsidRPr="00791A3F" w:rsidRDefault="00B57468" w:rsidP="00791A3F">
      <w:pPr>
        <w:spacing w:line="360" w:lineRule="auto"/>
        <w:jc w:val="both"/>
        <w:rPr>
          <w:rFonts w:ascii="Arial" w:hAnsi="Arial" w:cs="Arial"/>
        </w:rPr>
      </w:pPr>
      <w:r w:rsidRPr="00791A3F">
        <w:rPr>
          <w:rFonts w:ascii="Arial" w:hAnsi="Arial" w:cs="Arial"/>
        </w:rPr>
        <w:t>The number of CSR information given to stakeholders has been growing since GRI, TCFD and SASB (Hahn &amp; Kühnen, 2013; Christensen et al., 2021; Michelon et al., 2015). But don't think that the disclosure is the same as performance. Detailed reports do not necessarily have to result in different outcome, leading to disclosure-performance gap (Michelon et al., 2015; Font et al., 2016).</w:t>
      </w:r>
    </w:p>
    <w:p w14:paraId="7DEA2E01" w14:textId="77777777" w:rsidR="00B57468" w:rsidRPr="00791A3F" w:rsidRDefault="00B57468" w:rsidP="00791A3F">
      <w:pPr>
        <w:spacing w:line="360" w:lineRule="auto"/>
        <w:jc w:val="both"/>
        <w:rPr>
          <w:rFonts w:ascii="Arial" w:hAnsi="Arial" w:cs="Arial"/>
        </w:rPr>
      </w:pPr>
      <w:r w:rsidRPr="00791A3F">
        <w:rPr>
          <w:rFonts w:ascii="Arial" w:hAnsi="Arial" w:cs="Arial"/>
        </w:rPr>
        <w:t>Mandatory reporting can also lead to a lack of transparency and comparability, and even if there is, the reporting may not be of good quality or effective in enhancing CSR performance (Christensen et al., 2021). There is room for strengthening the credibility via third party assurance, but the scope and methodology of the assurance is different, and even it can be done based on a process rather than an outcome (Boiral et al., 2019; Kusumawardani &amp; Dwiridotjahjono, 2024). Therefore, it's important to see the use of assurance as being helpful but not sufficient.</w:t>
      </w:r>
    </w:p>
    <w:p w14:paraId="1BF3E9C1" w14:textId="77777777" w:rsidR="00B57468" w:rsidRPr="00791A3F" w:rsidRDefault="00B57468" w:rsidP="00791A3F">
      <w:pPr>
        <w:spacing w:line="360" w:lineRule="auto"/>
        <w:jc w:val="both"/>
        <w:rPr>
          <w:rFonts w:ascii="Arial" w:hAnsi="Arial" w:cs="Arial"/>
        </w:rPr>
      </w:pPr>
      <w:r w:rsidRPr="00791A3F">
        <w:rPr>
          <w:rFonts w:ascii="Arial" w:hAnsi="Arial" w:cs="Arial"/>
        </w:rPr>
        <w:t xml:space="preserve">It is not possible to give a complete list of the authenticity of CSR from a single source. The corporate reports indicate what they agree to, and how they are governed, but they can also be a reflection on their self presentation. Ratings are external assessments </w:t>
      </w:r>
      <w:r w:rsidRPr="00791A3F">
        <w:rPr>
          <w:rFonts w:ascii="Arial" w:hAnsi="Arial" w:cs="Arial"/>
        </w:rPr>
        <w:lastRenderedPageBreak/>
        <w:t>which could be subject to a certain portion of corporate information. There might be failures which can be identified from investigative resources, but they might be selective on the negative cases identified. It's therefore still necessary to conduct triangulation. This study combines the evidence of both the company and the regulatory bodies, independent evidence and third parties using five criteria to determine whether CSR reporting is in line with the process of operational change.</w:t>
      </w:r>
    </w:p>
    <w:p w14:paraId="775B61A8" w14:textId="77777777" w:rsidR="00424A60" w:rsidRPr="00791A3F" w:rsidRDefault="00424A60" w:rsidP="00791A3F">
      <w:pPr>
        <w:pStyle w:val="Heading3"/>
        <w:spacing w:line="360" w:lineRule="auto"/>
        <w:rPr>
          <w:rFonts w:ascii="Arial" w:hAnsi="Arial" w:cs="Arial"/>
        </w:rPr>
      </w:pPr>
      <w:bookmarkStart w:id="34" w:name="_Toc237956891"/>
      <w:bookmarkStart w:id="35" w:name="_Toc238725168"/>
      <w:r w:rsidRPr="00791A3F">
        <w:rPr>
          <w:rFonts w:ascii="Arial" w:hAnsi="Arial" w:cs="Arial"/>
        </w:rPr>
        <w:t>2.3.6 Identified Research Gaps</w:t>
      </w:r>
      <w:bookmarkEnd w:id="34"/>
      <w:bookmarkEnd w:id="35"/>
    </w:p>
    <w:p w14:paraId="6FD15452" w14:textId="77777777" w:rsidR="000C365D" w:rsidRPr="00791A3F" w:rsidRDefault="000C365D" w:rsidP="00791A3F">
      <w:pPr>
        <w:spacing w:line="360" w:lineRule="auto"/>
        <w:jc w:val="both"/>
        <w:rPr>
          <w:rFonts w:ascii="Arial" w:hAnsi="Arial" w:cs="Arial"/>
        </w:rPr>
      </w:pPr>
      <w:r w:rsidRPr="00791A3F">
        <w:rPr>
          <w:rFonts w:ascii="Arial" w:hAnsi="Arial" w:cs="Arial"/>
        </w:rPr>
        <w:t>Secondly, there is a lack of testing of the influences of the business model. Food retail research may be considered as a single sector despite the fact that there are differences in structure among discount, mainstream and co-operative retailers. Very little comparative evidence exists on the issue of ownership, margins, visibility and governance (Zhao et al., 2025; Velte, 2025).</w:t>
      </w:r>
    </w:p>
    <w:p w14:paraId="30826029" w14:textId="35253790" w:rsidR="00424A60" w:rsidRPr="00791A3F" w:rsidRDefault="00424A60" w:rsidP="00791A3F">
      <w:pPr>
        <w:spacing w:line="360" w:lineRule="auto"/>
        <w:jc w:val="both"/>
        <w:rPr>
          <w:rFonts w:ascii="Arial" w:hAnsi="Arial" w:cs="Arial"/>
        </w:rPr>
      </w:pPr>
      <w:r w:rsidRPr="00791A3F">
        <w:rPr>
          <w:rFonts w:ascii="Arial" w:hAnsi="Arial" w:cs="Arial"/>
        </w:rPr>
        <w:t>Secondly, there is a lack of testing of business model influences. Although there are structural differences between discount, mainstream, and cooperative retailers, food retail is often treated as a single sector in research.While there are some structural differences between discount, mainstream, and cooperative retailers, food retail is often considered as a single sector in research (Zhao et al., 2025; Velte, 2025). There is limited comparative evidence regarding ownership, margins, visibility and governance.</w:t>
      </w:r>
    </w:p>
    <w:p w14:paraId="14AFD8F8" w14:textId="77777777" w:rsidR="00424A60" w:rsidRPr="00791A3F" w:rsidRDefault="00424A60" w:rsidP="00791A3F">
      <w:pPr>
        <w:spacing w:line="360" w:lineRule="auto"/>
        <w:jc w:val="both"/>
        <w:rPr>
          <w:rFonts w:ascii="Arial" w:hAnsi="Arial" w:cs="Arial"/>
        </w:rPr>
      </w:pPr>
      <w:r w:rsidRPr="00791A3F">
        <w:rPr>
          <w:rFonts w:ascii="Arial" w:hAnsi="Arial" w:cs="Arial"/>
        </w:rPr>
        <w:t>Thirdly, substantive vs symbolic CSR is not consistently operationalised. Research will typically involve disclosure volume, ESG scores or general ratings, which are not able to capture authenticity (Walker &amp; Wan, 2012; Torelli et al., 2020). This is overcome by using a framework of five criteria as outlined here.</w:t>
      </w:r>
    </w:p>
    <w:p w14:paraId="39234DED" w14:textId="77777777" w:rsidR="00424A60" w:rsidRPr="00791A3F" w:rsidRDefault="00424A60" w:rsidP="00791A3F">
      <w:pPr>
        <w:spacing w:line="360" w:lineRule="auto"/>
        <w:jc w:val="both"/>
        <w:rPr>
          <w:rFonts w:ascii="Arial" w:hAnsi="Arial" w:cs="Arial"/>
        </w:rPr>
      </w:pPr>
      <w:r w:rsidRPr="00791A3F">
        <w:rPr>
          <w:rFonts w:ascii="Arial" w:hAnsi="Arial" w:cs="Arial"/>
        </w:rPr>
        <w:t>Fourth, priorities that are new are not always included in the traditional CSR assessments. The materials of scope 3 emissions and circular economy, modern slavery effectiveness, public health, ultra-processed foods and pandemic resilience are growing (Balsam et al., 2025; Stevenson &amp; Cole, 2021; Scrinis &amp; Monteiro, 2025). They can be included to test how retailers have changed their operations or simply their CSR narrative.</w:t>
      </w:r>
    </w:p>
    <w:p w14:paraId="1A7160E8" w14:textId="77777777" w:rsidR="00424A60" w:rsidRPr="00791A3F" w:rsidRDefault="00424A60" w:rsidP="00791A3F">
      <w:pPr>
        <w:spacing w:line="360" w:lineRule="auto"/>
        <w:jc w:val="both"/>
        <w:rPr>
          <w:rFonts w:ascii="Arial" w:hAnsi="Arial" w:cs="Arial"/>
        </w:rPr>
      </w:pPr>
      <w:r w:rsidRPr="00791A3F">
        <w:rPr>
          <w:rFonts w:ascii="Arial" w:hAnsi="Arial" w:cs="Arial"/>
        </w:rPr>
        <w:t xml:space="preserve">Fifth, the studies in existence continue to be corporate disclosure driven. Such data will be useful but can result in the creation of self-serving stories (Hahn &amp; Kühnen, 2013; </w:t>
      </w:r>
      <w:r w:rsidRPr="00791A3F">
        <w:rPr>
          <w:rFonts w:ascii="Arial" w:hAnsi="Arial" w:cs="Arial"/>
        </w:rPr>
        <w:lastRenderedPageBreak/>
        <w:t>Michelon et al., 2015). In this research, the answer is given in the form of triangulation with the support of independent assessments, the regulatory, evidence from civil society, and investigative reporting.</w:t>
      </w:r>
    </w:p>
    <w:p w14:paraId="0A9F55AA" w14:textId="77777777" w:rsidR="00424A60" w:rsidRPr="00791A3F" w:rsidRDefault="00424A60" w:rsidP="00791A3F">
      <w:pPr>
        <w:spacing w:line="360" w:lineRule="auto"/>
        <w:jc w:val="both"/>
        <w:rPr>
          <w:rFonts w:ascii="Arial" w:hAnsi="Arial" w:cs="Arial"/>
        </w:rPr>
      </w:pPr>
      <w:r w:rsidRPr="00791A3F">
        <w:rPr>
          <w:rFonts w:ascii="Arial" w:hAnsi="Arial" w:cs="Arial"/>
        </w:rPr>
        <w:t>When taken together, these gaps suggest a growing visibility, regulation and complexity of UK food retail CSR, which should not be taken as a proxy for authenticity. An unanswered question is if retailers have shifted to measurable, accountable, integrated and independently verifiable responsibility.</w:t>
      </w:r>
    </w:p>
    <w:p w14:paraId="1DA602C6" w14:textId="77777777" w:rsidR="00424A60" w:rsidRPr="00791A3F" w:rsidRDefault="00424A60" w:rsidP="00791A3F">
      <w:pPr>
        <w:pStyle w:val="Heading2"/>
        <w:spacing w:line="360" w:lineRule="auto"/>
        <w:rPr>
          <w:rFonts w:ascii="Arial" w:hAnsi="Arial" w:cs="Arial"/>
        </w:rPr>
      </w:pPr>
      <w:bookmarkStart w:id="36" w:name="_Toc237956892"/>
      <w:bookmarkStart w:id="37" w:name="_Toc238725169"/>
      <w:r w:rsidRPr="00791A3F">
        <w:rPr>
          <w:rFonts w:ascii="Arial" w:hAnsi="Arial" w:cs="Arial"/>
        </w:rPr>
        <w:t>2.4 Conceptual Framework</w:t>
      </w:r>
      <w:bookmarkEnd w:id="36"/>
      <w:bookmarkEnd w:id="37"/>
    </w:p>
    <w:p w14:paraId="04C51942" w14:textId="77777777" w:rsidR="00902E11" w:rsidRPr="00791A3F" w:rsidRDefault="00424A60" w:rsidP="00791A3F">
      <w:pPr>
        <w:spacing w:line="360" w:lineRule="auto"/>
        <w:jc w:val="both"/>
        <w:rPr>
          <w:rFonts w:ascii="Arial" w:hAnsi="Arial" w:cs="Arial"/>
        </w:rPr>
      </w:pPr>
      <w:r w:rsidRPr="00791A3F">
        <w:rPr>
          <w:rFonts w:ascii="Arial" w:hAnsi="Arial" w:cs="Arial"/>
        </w:rPr>
        <w:t>The conceptual framework of this study which is based on the theoretical foundations (stakeholder theory, institutional theory, shared value creation) and critical synthesis of empirical literature is presented in Figure 2.1, guiding the empirical investigation.</w:t>
      </w:r>
    </w:p>
    <w:p w14:paraId="1866BCB7" w14:textId="77777777" w:rsidR="00424A60" w:rsidRPr="00791A3F" w:rsidRDefault="00424A60" w:rsidP="00791A3F">
      <w:pPr>
        <w:spacing w:line="360" w:lineRule="auto"/>
        <w:jc w:val="both"/>
        <w:rPr>
          <w:rFonts w:ascii="Arial" w:hAnsi="Arial" w:cs="Arial"/>
        </w:rPr>
      </w:pPr>
      <w:r w:rsidRPr="00791A3F">
        <w:rPr>
          <w:rFonts w:ascii="Arial" w:hAnsi="Arial" w:cs="Arial"/>
          <w:noProof/>
        </w:rPr>
        <w:drawing>
          <wp:anchor distT="0" distB="0" distL="114300" distR="114300" simplePos="0" relativeHeight="251659264" behindDoc="1" locked="0" layoutInCell="1" allowOverlap="1" wp14:anchorId="0C8DDC0F" wp14:editId="0E894FA4">
            <wp:simplePos x="0" y="0"/>
            <wp:positionH relativeFrom="column">
              <wp:posOffset>361950</wp:posOffset>
            </wp:positionH>
            <wp:positionV relativeFrom="paragraph">
              <wp:posOffset>77470</wp:posOffset>
            </wp:positionV>
            <wp:extent cx="5549900" cy="4143925"/>
            <wp:effectExtent l="0" t="0" r="0" b="9525"/>
            <wp:wrapTight wrapText="bothSides">
              <wp:wrapPolygon edited="0">
                <wp:start x="0" y="0"/>
                <wp:lineTo x="0" y="21550"/>
                <wp:lineTo x="21501" y="21550"/>
                <wp:lineTo x="21501" y="0"/>
                <wp:lineTo x="0" y="0"/>
              </wp:wrapPolygon>
            </wp:wrapTight>
            <wp:docPr id="27742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428254" name="Picture 277428254"/>
                    <pic:cNvPicPr/>
                  </pic:nvPicPr>
                  <pic:blipFill>
                    <a:blip r:embed="rId59">
                      <a:extLst>
                        <a:ext uri="{28A0092B-C50C-407E-A947-70E740481C1C}">
                          <a14:useLocalDpi xmlns:a14="http://schemas.microsoft.com/office/drawing/2010/main" val="0"/>
                        </a:ext>
                      </a:extLst>
                    </a:blip>
                    <a:stretch>
                      <a:fillRect/>
                    </a:stretch>
                  </pic:blipFill>
                  <pic:spPr>
                    <a:xfrm>
                      <a:off x="0" y="0"/>
                      <a:ext cx="5549900" cy="4143925"/>
                    </a:xfrm>
                    <a:prstGeom prst="rect">
                      <a:avLst/>
                    </a:prstGeom>
                  </pic:spPr>
                </pic:pic>
              </a:graphicData>
            </a:graphic>
          </wp:anchor>
        </w:drawing>
      </w:r>
    </w:p>
    <w:p w14:paraId="386273C0" w14:textId="77777777" w:rsidR="00902E11" w:rsidRPr="00791A3F" w:rsidRDefault="00902E11" w:rsidP="00791A3F">
      <w:pPr>
        <w:spacing w:line="360" w:lineRule="auto"/>
        <w:ind w:left="3600" w:firstLine="720"/>
        <w:jc w:val="both"/>
        <w:rPr>
          <w:rFonts w:ascii="Arial" w:hAnsi="Arial" w:cs="Arial"/>
          <w:b/>
          <w:bCs/>
        </w:rPr>
      </w:pPr>
      <w:r w:rsidRPr="00791A3F">
        <w:rPr>
          <w:rFonts w:ascii="Arial" w:hAnsi="Arial" w:cs="Arial"/>
          <w:b/>
          <w:bCs/>
        </w:rPr>
        <w:t>Figure 2.1</w:t>
      </w:r>
    </w:p>
    <w:p w14:paraId="53FEB959" w14:textId="6E1965B1" w:rsidR="000C365D" w:rsidRPr="00791A3F" w:rsidRDefault="000C365D" w:rsidP="00791A3F">
      <w:pPr>
        <w:spacing w:line="360" w:lineRule="auto"/>
        <w:jc w:val="both"/>
        <w:rPr>
          <w:rFonts w:ascii="Arial" w:hAnsi="Arial" w:cs="Arial"/>
        </w:rPr>
      </w:pPr>
      <w:r w:rsidRPr="00791A3F">
        <w:rPr>
          <w:rFonts w:ascii="Arial" w:hAnsi="Arial" w:cs="Arial"/>
        </w:rPr>
        <w:lastRenderedPageBreak/>
        <w:t>The three theoretical perspectives that are the foundation of this study are brought together in Figure 2.1 and related to the empirical analysis of CSR. According to the Stakeholder approach, the power, legitimacy and urgency of stakeholders differ, and this impacts their ability to get the company to respond to their interests and expectations. Institutional theory is helpful in understanding why similar CSR policies, reporting and governance are likely to emerge in the presence of regulatory, normative, and competitive pressures, and can also provide some insight into why there might be symbolic compliance when there is less regulatory enforcement. The complementary perspective of shared value creation focuses on the potential for CSR to be embedded in business activities where there is the potential to create value both for the organisation and for society and/or the environment more broadly. The five dimensions of CSR, as defined by Jones et al. (2005): environmental management, ethical sourcing, employee welfare, community engagement and customer responsibility are used as the framework for the application of these theoretical perspectives. The framework then assesses the evidence on five criteria: verifiability, measurability, accountability, integration and comparability. The five principles of verifiability (independent evidence/assurance), measurability (quantification of targets and progress), accountability (governance and mechanisms for corrective action), integration (CSR integrated into operational decision and incentives) and comparability (consistent evidence across retailers and over time) are considered. These relationships constitute an analytical structure that allows for the distinction of substantive CSR integration from symbolic disclosure, and comparison of CSR development in various retail business models.</w:t>
      </w:r>
    </w:p>
    <w:p w14:paraId="2260547A" w14:textId="77777777" w:rsidR="004C58C6" w:rsidRPr="00791A3F" w:rsidRDefault="004C58C6" w:rsidP="00791A3F">
      <w:pPr>
        <w:pStyle w:val="Heading2"/>
        <w:spacing w:line="360" w:lineRule="auto"/>
        <w:rPr>
          <w:rFonts w:ascii="Arial" w:hAnsi="Arial" w:cs="Arial"/>
        </w:rPr>
      </w:pPr>
      <w:bookmarkStart w:id="38" w:name="_Toc237956893"/>
      <w:bookmarkStart w:id="39" w:name="_Toc238725170"/>
      <w:r w:rsidRPr="00791A3F">
        <w:rPr>
          <w:rFonts w:ascii="Arial" w:hAnsi="Arial" w:cs="Arial"/>
        </w:rPr>
        <w:t>2.5 Conclusion</w:t>
      </w:r>
      <w:bookmarkEnd w:id="38"/>
      <w:bookmarkEnd w:id="39"/>
    </w:p>
    <w:p w14:paraId="64958317"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This literature review was designed to combine 50 academic papers which have explored the CSR development of UK food retail between 2005 and 2025. It brought together theories of stakeholder CSR, of institutions and of shared value to explain the adoption and implementation of CSR; examined substantive-symbolic CSR and greenwashing; explored influences of the business model; and assessed business model challenges of climate, modern slavery, circular economy and public health. Five research gaps were found, including a lack of longitudinal evidence, lack of business model comparison, weak </w:t>
      </w:r>
      <w:r w:rsidRPr="00791A3F">
        <w:rPr>
          <w:rFonts w:ascii="Arial" w:hAnsi="Arial" w:cs="Arial"/>
        </w:rPr>
        <w:lastRenderedPageBreak/>
        <w:t>operationalization of the authenticity of CSR, lack of inclusion of emerging priorities and over-reliance on corporate disclosures. The conceptual framework uses five criteria (verifiability, measurable, accountable, integrated, and comparable) and five dimensions of CSR that aids system empirical evaluation and evidence-based recommendations.</w:t>
      </w:r>
    </w:p>
    <w:p w14:paraId="56D30117" w14:textId="77777777" w:rsidR="004C58C6" w:rsidRPr="00791A3F" w:rsidRDefault="004C58C6" w:rsidP="00791A3F">
      <w:pPr>
        <w:spacing w:line="360" w:lineRule="auto"/>
        <w:jc w:val="both"/>
        <w:rPr>
          <w:rFonts w:ascii="Arial" w:hAnsi="Arial" w:cs="Arial"/>
          <w:b/>
          <w:bCs/>
        </w:rPr>
      </w:pPr>
      <w:r w:rsidRPr="00791A3F">
        <w:rPr>
          <w:rFonts w:ascii="Arial" w:hAnsi="Arial" w:cs="Arial"/>
          <w:b/>
          <w:bCs/>
        </w:rPr>
        <w:t> </w:t>
      </w:r>
    </w:p>
    <w:p w14:paraId="0F31E382" w14:textId="412C4B88" w:rsidR="003C2DA1" w:rsidRPr="00791A3F" w:rsidRDefault="003C2DA1" w:rsidP="00791A3F">
      <w:pPr>
        <w:pStyle w:val="Heading1"/>
        <w:spacing w:line="360" w:lineRule="auto"/>
        <w:rPr>
          <w:rFonts w:ascii="Arial" w:hAnsi="Arial" w:cs="Arial"/>
          <w:b/>
          <w:bCs/>
        </w:rPr>
      </w:pPr>
      <w:r w:rsidRPr="00791A3F">
        <w:rPr>
          <w:rFonts w:ascii="Arial" w:hAnsi="Arial" w:cs="Arial"/>
          <w:b/>
          <w:bCs/>
        </w:rPr>
        <w:br w:type="page"/>
      </w:r>
      <w:bookmarkStart w:id="40" w:name="_Toc237956894"/>
      <w:bookmarkStart w:id="41" w:name="_Toc238725171"/>
      <w:r w:rsidR="009F6D5A" w:rsidRPr="00791A3F">
        <w:rPr>
          <w:rFonts w:ascii="Arial" w:hAnsi="Arial" w:cs="Arial"/>
        </w:rPr>
        <w:lastRenderedPageBreak/>
        <w:t>Chapter 3: Research Methodology</w:t>
      </w:r>
      <w:bookmarkEnd w:id="40"/>
      <w:bookmarkEnd w:id="41"/>
    </w:p>
    <w:p w14:paraId="07F1BC7C" w14:textId="77777777" w:rsidR="004C58C6" w:rsidRPr="00791A3F" w:rsidRDefault="004C58C6" w:rsidP="00791A3F">
      <w:pPr>
        <w:pStyle w:val="Heading2"/>
        <w:spacing w:line="360" w:lineRule="auto"/>
        <w:rPr>
          <w:rFonts w:ascii="Arial" w:hAnsi="Arial" w:cs="Arial"/>
        </w:rPr>
      </w:pPr>
      <w:bookmarkStart w:id="42" w:name="_Toc237956895"/>
      <w:bookmarkStart w:id="43" w:name="_Toc238725172"/>
      <w:r w:rsidRPr="00791A3F">
        <w:rPr>
          <w:rFonts w:ascii="Arial" w:hAnsi="Arial" w:cs="Arial"/>
        </w:rPr>
        <w:t>3.1 Introduction</w:t>
      </w:r>
      <w:bookmarkEnd w:id="42"/>
      <w:bookmarkEnd w:id="43"/>
    </w:p>
    <w:p w14:paraId="5FD894BF" w14:textId="77777777" w:rsidR="004C58C6" w:rsidRPr="00791A3F" w:rsidRDefault="004C58C6" w:rsidP="00791A3F">
      <w:pPr>
        <w:spacing w:line="360" w:lineRule="auto"/>
        <w:jc w:val="both"/>
        <w:rPr>
          <w:rFonts w:ascii="Arial" w:hAnsi="Arial" w:cs="Arial"/>
        </w:rPr>
      </w:pPr>
      <w:r w:rsidRPr="00791A3F">
        <w:rPr>
          <w:rFonts w:ascii="Arial" w:hAnsi="Arial" w:cs="Arial"/>
        </w:rPr>
        <w:t>The chapter provides an explanation of the methodological approach adopted to examine how the Corporate Social Responsibility (CSR) develops within the UK food retail sector between 2005 and 2025 and justifies selection of the approach. The study aims to explore how the transition from symbolic to substantive CSR reporting involves substantive integration of CSR into the business activities, and to investigate how business models affect the depth and authenticity of CSR. It fills in the gap in the measurement of CSR from a long-term perspective, differentiation of business models, and the specification of substantive and symbolic CSR (Jones et al., 2005; Yang et al., 2025; Torelli et al., 2020).</w:t>
      </w:r>
    </w:p>
    <w:p w14:paraId="12CF49F7" w14:textId="77777777" w:rsidR="004C58C6" w:rsidRPr="00791A3F" w:rsidRDefault="004C58C6" w:rsidP="00791A3F">
      <w:pPr>
        <w:spacing w:line="360" w:lineRule="auto"/>
        <w:jc w:val="both"/>
        <w:rPr>
          <w:rFonts w:ascii="Arial" w:hAnsi="Arial" w:cs="Arial"/>
        </w:rPr>
      </w:pPr>
      <w:r w:rsidRPr="00791A3F">
        <w:rPr>
          <w:rFonts w:ascii="Arial" w:hAnsi="Arial" w:cs="Arial"/>
        </w:rPr>
        <w:t>The importance of rigour is that CSR is a social construct, it requires impression management, involves the interpretation of stakeholders and the gap between corporate discourse and operational reality (Saunders et al., 2019; Yin, 2018). The chapter covers the concepts of philosophy, design, data collection, analysis, trustworthiness, ethics and limitations.</w:t>
      </w:r>
    </w:p>
    <w:p w14:paraId="355555C2" w14:textId="77777777" w:rsidR="004C58C6" w:rsidRPr="00791A3F" w:rsidRDefault="004C58C6" w:rsidP="00791A3F">
      <w:pPr>
        <w:pStyle w:val="Heading2"/>
        <w:spacing w:line="360" w:lineRule="auto"/>
        <w:rPr>
          <w:rFonts w:ascii="Arial" w:hAnsi="Arial" w:cs="Arial"/>
        </w:rPr>
      </w:pPr>
      <w:bookmarkStart w:id="44" w:name="_Toc237956896"/>
      <w:bookmarkStart w:id="45" w:name="_Toc238725173"/>
      <w:r w:rsidRPr="00791A3F">
        <w:rPr>
          <w:rFonts w:ascii="Arial" w:hAnsi="Arial" w:cs="Arial"/>
        </w:rPr>
        <w:t>3.2 The present research adopts a qualitative research approach.</w:t>
      </w:r>
      <w:bookmarkEnd w:id="44"/>
      <w:bookmarkEnd w:id="45"/>
    </w:p>
    <w:p w14:paraId="25C7C2D4" w14:textId="77777777" w:rsidR="004C58C6" w:rsidRPr="00791A3F" w:rsidRDefault="004C58C6" w:rsidP="00791A3F">
      <w:pPr>
        <w:spacing w:line="360" w:lineRule="auto"/>
        <w:jc w:val="both"/>
        <w:rPr>
          <w:rFonts w:ascii="Arial" w:hAnsi="Arial" w:cs="Arial"/>
        </w:rPr>
      </w:pPr>
      <w:r w:rsidRPr="00791A3F">
        <w:rPr>
          <w:rFonts w:ascii="Arial" w:hAnsi="Arial" w:cs="Arial"/>
        </w:rPr>
        <w:t>Research philosophy includes epistemological, ontological and axiological beliefs about the development of knowledge (Saunders et al, 2019; Creswell &amp; Poth, 2018). The interpretivism approach is used in this study as CSR is a socially constructed phenomenon that is shaped by the expectations of its stakeholders, institutional pressures, organizational narratives and unclear conceptions of responsibility (Bansal &amp; Roth, 2000; Jamali &amp; Karam, 2018).</w:t>
      </w:r>
    </w:p>
    <w:p w14:paraId="7B8A0033" w14:textId="77777777" w:rsidR="004C58C6" w:rsidRPr="00791A3F" w:rsidRDefault="004C58C6" w:rsidP="00791A3F">
      <w:pPr>
        <w:pStyle w:val="Heading3"/>
        <w:spacing w:line="360" w:lineRule="auto"/>
        <w:rPr>
          <w:rFonts w:ascii="Arial" w:hAnsi="Arial" w:cs="Arial"/>
        </w:rPr>
      </w:pPr>
      <w:bookmarkStart w:id="46" w:name="_Toc237956897"/>
      <w:bookmarkStart w:id="47" w:name="_Toc238725174"/>
      <w:r w:rsidRPr="00791A3F">
        <w:rPr>
          <w:rFonts w:ascii="Arial" w:hAnsi="Arial" w:cs="Arial"/>
        </w:rPr>
        <w:t>3.2.1 Ontological Position</w:t>
      </w:r>
      <w:bookmarkEnd w:id="46"/>
      <w:bookmarkEnd w:id="47"/>
    </w:p>
    <w:p w14:paraId="7836A5C7" w14:textId="77777777" w:rsidR="004C58C6" w:rsidRPr="00791A3F" w:rsidRDefault="004C58C6" w:rsidP="00791A3F">
      <w:pPr>
        <w:spacing w:line="360" w:lineRule="auto"/>
        <w:jc w:val="both"/>
        <w:rPr>
          <w:rFonts w:ascii="Arial" w:hAnsi="Arial" w:cs="Arial"/>
        </w:rPr>
      </w:pPr>
      <w:r w:rsidRPr="00791A3F">
        <w:rPr>
          <w:rFonts w:ascii="Arial" w:hAnsi="Arial" w:cs="Arial"/>
        </w:rPr>
        <w:t xml:space="preserve">Ontology is related to ‘assumptions about reality’ (Saunders et al., 2019). The study's ontological approach is a relativist perspective where the meanings of CSR are derived from the interaction of the corporations, regulators, investors, civil society, consumers and employees (Gond et al., 2020; Berger &amp; Luckmann, 1966). The concept of substantive </w:t>
      </w:r>
      <w:r w:rsidRPr="00791A3F">
        <w:rPr>
          <w:rFonts w:ascii="Arial" w:hAnsi="Arial" w:cs="Arial"/>
        </w:rPr>
        <w:lastRenderedPageBreak/>
        <w:t>versus symbolic CSR relies on what the stakeholders expect in the context, and institutional norms (Walker &amp; Wan, 2012; Yang et al., 2025).</w:t>
      </w:r>
    </w:p>
    <w:p w14:paraId="6382A9DE" w14:textId="77777777" w:rsidR="004C58C6" w:rsidRPr="00791A3F" w:rsidRDefault="004C58C6" w:rsidP="00791A3F">
      <w:pPr>
        <w:spacing w:line="360" w:lineRule="auto"/>
        <w:jc w:val="both"/>
        <w:rPr>
          <w:rFonts w:ascii="Arial" w:hAnsi="Arial" w:cs="Arial"/>
        </w:rPr>
      </w:pPr>
      <w:r w:rsidRPr="00791A3F">
        <w:rPr>
          <w:rFonts w:ascii="Arial" w:hAnsi="Arial" w:cs="Arial"/>
        </w:rPr>
        <w:t>For instance, a modern slavery statement could meet legal requirements but seem to be a purely symbolic gesture to labour rights groups if there is no remediation of workers (Stevenson &amp; Cole, 2021; LeBaron et al., 2021). Likewise, if Scope 3 targets are missing, TCFD reporting could still be considered greenwashing and receive criticism for this (Bingler et al., 2023). In this sense, relativism takes CSR authenticity as being contestable and not single or unique, as it is with Torelli et al. (2020) and Sharma et al. (2024).</w:t>
      </w:r>
    </w:p>
    <w:p w14:paraId="26BB9D1D" w14:textId="77777777" w:rsidR="004C58C6" w:rsidRPr="00791A3F" w:rsidRDefault="004C58C6" w:rsidP="00791A3F">
      <w:pPr>
        <w:spacing w:line="360" w:lineRule="auto"/>
        <w:jc w:val="both"/>
        <w:rPr>
          <w:rFonts w:ascii="Arial" w:hAnsi="Arial" w:cs="Arial"/>
        </w:rPr>
      </w:pPr>
      <w:r w:rsidRPr="00791A3F">
        <w:rPr>
          <w:rFonts w:ascii="Arial" w:hAnsi="Arial" w:cs="Arial"/>
        </w:rPr>
        <w:t>When one believes in relativism, this does not imply that anything is true. Specific criteria need to be used in the same manner. The evaluative basis is that of the five criteria of chapter 2.</w:t>
      </w:r>
    </w:p>
    <w:p w14:paraId="068737DB" w14:textId="77777777" w:rsidR="004C58C6" w:rsidRPr="00791A3F" w:rsidRDefault="004C58C6" w:rsidP="00791A3F">
      <w:pPr>
        <w:pStyle w:val="Heading3"/>
        <w:spacing w:line="360" w:lineRule="auto"/>
        <w:rPr>
          <w:rFonts w:ascii="Arial" w:hAnsi="Arial" w:cs="Arial"/>
        </w:rPr>
      </w:pPr>
      <w:bookmarkStart w:id="48" w:name="_Toc237956898"/>
      <w:bookmarkStart w:id="49" w:name="_Toc238725175"/>
      <w:r w:rsidRPr="00791A3F">
        <w:rPr>
          <w:rFonts w:ascii="Arial" w:hAnsi="Arial" w:cs="Arial"/>
        </w:rPr>
        <w:t>3.2.2 Epistemological Position</w:t>
      </w:r>
      <w:bookmarkEnd w:id="48"/>
      <w:bookmarkEnd w:id="49"/>
    </w:p>
    <w:p w14:paraId="0C7689A1" w14:textId="77777777" w:rsidR="004C58C6" w:rsidRPr="00791A3F" w:rsidRDefault="004C58C6" w:rsidP="00791A3F">
      <w:pPr>
        <w:spacing w:line="360" w:lineRule="auto"/>
        <w:jc w:val="both"/>
        <w:rPr>
          <w:rFonts w:ascii="Arial" w:hAnsi="Arial" w:cs="Arial"/>
        </w:rPr>
      </w:pPr>
      <w:r w:rsidRPr="00791A3F">
        <w:rPr>
          <w:rFonts w:ascii="Arial" w:hAnsi="Arial" w:cs="Arial"/>
        </w:rPr>
        <w:t>Epistemology is related to the process of generating and confirming knowledge (Saunders et al., 2019; Creswell &amp; Poth, 2018). The study is conducted using a subjectivist approach which is in line with interpretivism. It is important to interpret CSR evolution in the light of stakeholder judgements on CSR, institutional settings, and CSR in organisations, as such, CSR is not entirely objective and measurable (Guba &amp; Lincoln, 1994). The researcher thus serves as an interpreter, developing knowledge as he or she systematically interacts with a variety of sources and theoretical criteria (Braun &amp; Clarke, 2006).</w:t>
      </w:r>
    </w:p>
    <w:p w14:paraId="3A8A9A63" w14:textId="77777777" w:rsidR="004C58C6" w:rsidRPr="00791A3F" w:rsidRDefault="004C58C6" w:rsidP="00791A3F">
      <w:pPr>
        <w:spacing w:line="360" w:lineRule="auto"/>
        <w:jc w:val="both"/>
        <w:rPr>
          <w:rFonts w:ascii="Arial" w:hAnsi="Arial" w:cs="Arial"/>
        </w:rPr>
      </w:pPr>
      <w:r w:rsidRPr="00791A3F">
        <w:rPr>
          <w:rFonts w:ascii="Arial" w:hAnsi="Arial" w:cs="Arial"/>
        </w:rPr>
        <w:t>This is unlike positivist based methodologies on ESG scores or disclosure indices. These are indicators but not substantive CSR as the depth of implementation or integration in the operations may not be reflected in numerical scores (Michelon et al., 2015; Font et al., 2016). Labour exploitation or greenwashing can be combined with a strong ESG rating (Christensen et al., 2021; Citterio &amp; King, 2024).</w:t>
      </w:r>
    </w:p>
    <w:p w14:paraId="7251AAF1" w14:textId="77777777" w:rsidR="004C58C6" w:rsidRPr="00791A3F" w:rsidRDefault="004C58C6" w:rsidP="00791A3F">
      <w:pPr>
        <w:spacing w:line="360" w:lineRule="auto"/>
        <w:jc w:val="both"/>
        <w:rPr>
          <w:rFonts w:ascii="Arial" w:hAnsi="Arial" w:cs="Arial"/>
        </w:rPr>
      </w:pPr>
      <w:r w:rsidRPr="00791A3F">
        <w:rPr>
          <w:rFonts w:ascii="Arial" w:hAnsi="Arial" w:cs="Arial"/>
        </w:rPr>
        <w:t>Interpretivism is thus an appropriate paradigm because it focuses on changes in the nature of CSR over time, and on how claims are interpreted by stakeholders and/or whether there is operational evidence for the corporation's claims (Yin, 2018; Stake, 1995).</w:t>
      </w:r>
    </w:p>
    <w:p w14:paraId="4217DDBB" w14:textId="77777777" w:rsidR="00E72FD7" w:rsidRPr="00791A3F" w:rsidRDefault="00E72FD7" w:rsidP="00791A3F">
      <w:pPr>
        <w:pStyle w:val="Heading3"/>
        <w:spacing w:line="360" w:lineRule="auto"/>
        <w:rPr>
          <w:rFonts w:ascii="Arial" w:hAnsi="Arial" w:cs="Arial"/>
        </w:rPr>
      </w:pPr>
      <w:bookmarkStart w:id="50" w:name="_Toc237956899"/>
      <w:bookmarkStart w:id="51" w:name="_Toc238725176"/>
      <w:r w:rsidRPr="00791A3F">
        <w:rPr>
          <w:rFonts w:ascii="Arial" w:hAnsi="Arial" w:cs="Arial"/>
        </w:rPr>
        <w:lastRenderedPageBreak/>
        <w:t>3.2.3 Axiological Position</w:t>
      </w:r>
      <w:bookmarkEnd w:id="50"/>
      <w:bookmarkEnd w:id="51"/>
    </w:p>
    <w:p w14:paraId="28A22447" w14:textId="77777777" w:rsidR="000A3C77" w:rsidRPr="00791A3F" w:rsidRDefault="000A3C77" w:rsidP="00791A3F">
      <w:pPr>
        <w:spacing w:line="360" w:lineRule="auto"/>
        <w:jc w:val="both"/>
        <w:rPr>
          <w:rFonts w:ascii="Arial" w:hAnsi="Arial" w:cs="Arial"/>
        </w:rPr>
      </w:pPr>
      <w:r w:rsidRPr="00791A3F">
        <w:rPr>
          <w:rFonts w:ascii="Arial" w:hAnsi="Arial" w:cs="Arial"/>
        </w:rPr>
        <w:t>Axiology is related to the values in research (Saunders et al., 2019). There are normative judgments on the part of the evaluator in the areas of responsibility, transparency and accountability when assessing CSR authenticity (Torelli et al., 2020; Yang et al., 2025). The study thus recognises a commitment to making a real difference in achieving sustainability transformation, rather than simply impression management, in line with the stakeholder perspective (Freeman et al. 2020; Sharma et al. 2024).</w:t>
      </w:r>
    </w:p>
    <w:p w14:paraId="6F568D5C" w14:textId="77777777" w:rsidR="000A3C77" w:rsidRPr="00791A3F" w:rsidRDefault="000A3C77" w:rsidP="00791A3F">
      <w:pPr>
        <w:spacing w:line="360" w:lineRule="auto"/>
        <w:jc w:val="both"/>
        <w:rPr>
          <w:rFonts w:ascii="Arial" w:hAnsi="Arial" w:cs="Arial"/>
        </w:rPr>
      </w:pPr>
      <w:r w:rsidRPr="00791A3F">
        <w:rPr>
          <w:rFonts w:ascii="Arial" w:hAnsi="Arial" w:cs="Arial"/>
        </w:rPr>
        <w:t>Rigour does not take the place of being aware of value. Criteria are clear, evidence is triangulated, decisions are recorded and interpretations are theoretically based (Lincoln &amp; Guba, 1985). Positionality of researchers is acknowledged through reflexivity (Braun &amp; Clarke, 2006).</w:t>
      </w:r>
    </w:p>
    <w:p w14:paraId="6679ECE5" w14:textId="77777777" w:rsidR="00E72FD7" w:rsidRPr="00791A3F" w:rsidRDefault="00E72FD7" w:rsidP="00791A3F">
      <w:pPr>
        <w:pStyle w:val="Heading3"/>
        <w:spacing w:line="360" w:lineRule="auto"/>
        <w:rPr>
          <w:rFonts w:ascii="Arial" w:hAnsi="Arial" w:cs="Arial"/>
        </w:rPr>
      </w:pPr>
      <w:bookmarkStart w:id="52" w:name="_Toc237956900"/>
      <w:bookmarkStart w:id="53" w:name="_Toc238725177"/>
      <w:r w:rsidRPr="00791A3F">
        <w:rPr>
          <w:rFonts w:ascii="Arial" w:hAnsi="Arial" w:cs="Arial"/>
        </w:rPr>
        <w:t>3.2.4 Justification of Interpretivism</w:t>
      </w:r>
      <w:bookmarkEnd w:id="52"/>
      <w:bookmarkEnd w:id="53"/>
    </w:p>
    <w:p w14:paraId="6E81EB60" w14:textId="77777777" w:rsidR="00F62881" w:rsidRPr="00791A3F" w:rsidRDefault="00F62881" w:rsidP="00791A3F">
      <w:pPr>
        <w:spacing w:line="360" w:lineRule="auto"/>
        <w:jc w:val="both"/>
        <w:rPr>
          <w:rFonts w:ascii="Arial" w:hAnsi="Arial" w:cs="Arial"/>
        </w:rPr>
      </w:pPr>
      <w:r w:rsidRPr="00791A3F">
        <w:rPr>
          <w:rFonts w:ascii="Arial" w:hAnsi="Arial" w:cs="Arial"/>
        </w:rPr>
        <w:t xml:space="preserve">There are three reasons justifying the use of interpretivism. The treatment of CSR is not only positivist as it is influenced by the culture, regulation, stakeholder expectations and competition, (Bansal &amp; Roth, 2000; Jamali &amp; Karam, 2018). Second, the study is concerned with the contextual nature of business models, institutional pressures and the temporal nature of change – not statistical breadth – for it is the authentic nature of CSR that is at stake (Yin, 2018; Stake, 1995). </w:t>
      </w:r>
      <w:r w:rsidR="00D60E1E" w:rsidRPr="00791A3F">
        <w:rPr>
          <w:rFonts w:ascii="Arial" w:hAnsi="Arial" w:cs="Arial"/>
        </w:rPr>
        <w:t>Third, substantive-symbolic differences are based on the qualitative evidence of governance, stakeholder engagement, verification and operational integration (Walker and Wan, 2012; Yang et al., 2025).</w:t>
      </w:r>
    </w:p>
    <w:p w14:paraId="092FA815" w14:textId="77777777" w:rsidR="00F62881" w:rsidRPr="00791A3F" w:rsidRDefault="00F62881" w:rsidP="00791A3F">
      <w:pPr>
        <w:spacing w:line="360" w:lineRule="auto"/>
        <w:jc w:val="both"/>
        <w:rPr>
          <w:rFonts w:ascii="Arial" w:hAnsi="Arial" w:cs="Arial"/>
        </w:rPr>
      </w:pPr>
      <w:r w:rsidRPr="00791A3F">
        <w:rPr>
          <w:rFonts w:ascii="Arial" w:hAnsi="Arial" w:cs="Arial"/>
        </w:rPr>
        <w:t>The solution was rejected – positivism – as a way to avoid this contextual interpretation, but to do so would limit the power of statistical generalisation. More flexibility is offered by pragmatism, however this study's focus on stakeholders is not as explicit in its interpretation as would be found in critical realism, which highlights causal mechanisms to a greater extent than this stakeholder centred study (Creswell &amp; Poth, 2018; Saunders et al., 2019).</w:t>
      </w:r>
    </w:p>
    <w:p w14:paraId="044FD7D1" w14:textId="77777777" w:rsidR="00E72FD7" w:rsidRPr="00791A3F" w:rsidRDefault="00E72FD7" w:rsidP="00791A3F">
      <w:pPr>
        <w:pStyle w:val="Heading2"/>
        <w:spacing w:line="360" w:lineRule="auto"/>
        <w:rPr>
          <w:rFonts w:ascii="Arial" w:hAnsi="Arial" w:cs="Arial"/>
        </w:rPr>
      </w:pPr>
      <w:bookmarkStart w:id="54" w:name="_Toc237956901"/>
      <w:bookmarkStart w:id="55" w:name="_Toc238725178"/>
      <w:r w:rsidRPr="00791A3F">
        <w:rPr>
          <w:rFonts w:ascii="Arial" w:hAnsi="Arial" w:cs="Arial"/>
        </w:rPr>
        <w:lastRenderedPageBreak/>
        <w:t>3.3 Research Design</w:t>
      </w:r>
      <w:bookmarkEnd w:id="54"/>
      <w:bookmarkEnd w:id="55"/>
    </w:p>
    <w:p w14:paraId="06172A85" w14:textId="77777777" w:rsidR="00B772C6" w:rsidRPr="00791A3F" w:rsidRDefault="00B772C6" w:rsidP="00791A3F">
      <w:pPr>
        <w:spacing w:line="360" w:lineRule="auto"/>
        <w:jc w:val="both"/>
        <w:rPr>
          <w:rFonts w:ascii="Arial" w:hAnsi="Arial" w:cs="Arial"/>
        </w:rPr>
      </w:pPr>
      <w:r w:rsidRPr="00791A3F">
        <w:rPr>
          <w:rFonts w:ascii="Arial" w:hAnsi="Arial" w:cs="Arial"/>
        </w:rPr>
        <w:t>The design for the study is multiple case study using qualitative approach as proposed by Yin (2018) and Stake (1995). Case studies are appropriate for how-and-why questions in real world situations; they allow for the use of many evidence sources – Yin, 2018, Eisenhardt, 1989.</w:t>
      </w:r>
    </w:p>
    <w:p w14:paraId="41C6EFA2" w14:textId="77777777" w:rsidR="00E72FD7" w:rsidRPr="00791A3F" w:rsidRDefault="00E72FD7" w:rsidP="00791A3F">
      <w:pPr>
        <w:pStyle w:val="Heading3"/>
        <w:spacing w:line="360" w:lineRule="auto"/>
        <w:rPr>
          <w:rFonts w:ascii="Arial" w:hAnsi="Arial" w:cs="Arial"/>
        </w:rPr>
      </w:pPr>
      <w:bookmarkStart w:id="56" w:name="_Toc237956902"/>
      <w:bookmarkStart w:id="57" w:name="_Toc238725179"/>
      <w:r w:rsidRPr="00791A3F">
        <w:rPr>
          <w:rFonts w:ascii="Arial" w:hAnsi="Arial" w:cs="Arial"/>
        </w:rPr>
        <w:t>3.3.1 Justification of Case Study Design</w:t>
      </w:r>
      <w:bookmarkEnd w:id="56"/>
      <w:bookmarkEnd w:id="57"/>
    </w:p>
    <w:p w14:paraId="07E3DFFD" w14:textId="77777777" w:rsidR="00B772C6" w:rsidRPr="00791A3F" w:rsidRDefault="00B772C6" w:rsidP="00791A3F">
      <w:pPr>
        <w:spacing w:line="360" w:lineRule="auto"/>
        <w:jc w:val="both"/>
        <w:rPr>
          <w:rFonts w:ascii="Arial" w:hAnsi="Arial" w:cs="Arial"/>
        </w:rPr>
      </w:pPr>
      <w:r w:rsidRPr="00791A3F">
        <w:rPr>
          <w:rFonts w:ascii="Arial" w:hAnsi="Arial" w:cs="Arial"/>
        </w:rPr>
        <w:t>There are four requirements that are met by the design. First, it is important to have a longitudinal organisational analysis (Yin, 2018) to look into the evolution of CSR. Second, evidence for substantive and symbolic practices must be found in the areas of governance, reporting, engagement and implementation (Eisenhardt &amp; Graebner, 2007). Thirdly, business-model influence needs to be related to ownership and competitive types (Stake, 1995). Fourthly, CSR is integrated into the regulations, suppliers and stakeholder activism (Yin, 2018).</w:t>
      </w:r>
    </w:p>
    <w:p w14:paraId="4C14A0FC" w14:textId="77777777" w:rsidR="00B772C6" w:rsidRPr="00791A3F" w:rsidRDefault="00B772C6" w:rsidP="00791A3F">
      <w:pPr>
        <w:spacing w:line="360" w:lineRule="auto"/>
        <w:jc w:val="both"/>
        <w:rPr>
          <w:rFonts w:ascii="Arial" w:hAnsi="Arial" w:cs="Arial"/>
        </w:rPr>
      </w:pPr>
      <w:r w:rsidRPr="00791A3F">
        <w:rPr>
          <w:rFonts w:ascii="Arial" w:hAnsi="Arial" w:cs="Arial"/>
        </w:rPr>
        <w:t>Multiple cases can be used to generalise analytically via pattern matching and/or theoretical replication. The same results are likely to be found in other mainstream supermarkets, and variations could be found in the different discount and cooperative stores (Yin, 2018; Eisenhardt, 1989). The intent therefore is not to make a statistical generalisation (Eisenhardt &amp; Graebner, 2007), but to provide a theoretical explanation.</w:t>
      </w:r>
    </w:p>
    <w:p w14:paraId="3339C126" w14:textId="77777777" w:rsidR="000C365D" w:rsidRPr="00791A3F" w:rsidRDefault="000C365D" w:rsidP="00791A3F">
      <w:pPr>
        <w:spacing w:line="360" w:lineRule="auto"/>
        <w:jc w:val="both"/>
        <w:rPr>
          <w:rFonts w:ascii="Arial" w:hAnsi="Arial" w:cs="Arial"/>
        </w:rPr>
      </w:pPr>
      <w:bookmarkStart w:id="58" w:name="_Toc237956903"/>
      <w:bookmarkEnd w:id="58"/>
      <w:r w:rsidRPr="00791A3F">
        <w:rPr>
          <w:rFonts w:ascii="Arial" w:hAnsi="Arial" w:cs="Arial"/>
        </w:rPr>
        <w:t>Seven cases were purposely chosen and covered three business models for the UK food retailers in the study. In case research it is important to select information-rich organisations and not a sample of statistically representative random organisations (Patton, 2015; Yin, 2018), and this can be achieved by using purposive sampling.</w:t>
      </w:r>
    </w:p>
    <w:p w14:paraId="577FE0BA" w14:textId="4A658204" w:rsidR="00822698" w:rsidRPr="00791A3F" w:rsidRDefault="00822698" w:rsidP="00791A3F">
      <w:pPr>
        <w:spacing w:line="360" w:lineRule="auto"/>
        <w:jc w:val="both"/>
        <w:rPr>
          <w:rFonts w:ascii="Arial" w:hAnsi="Arial" w:cs="Arial"/>
        </w:rPr>
      </w:pPr>
      <w:r w:rsidRPr="00791A3F">
        <w:rPr>
          <w:rFonts w:ascii="Arial" w:hAnsi="Arial" w:cs="Arial"/>
        </w:rPr>
        <w:t>The UK food retailers selected for the study included six purposively selected, representing three business models. Purposive sampling is suitable for case research as it is important to select information-rich organisations that correspond to the research questions in contrast to a sample of statistically representative random organisations (Patton, 2015; Yin, 2018).</w:t>
      </w:r>
    </w:p>
    <w:p w14:paraId="5FDD3727" w14:textId="77777777" w:rsidR="00822698" w:rsidRPr="00791A3F" w:rsidRDefault="00822698" w:rsidP="00791A3F">
      <w:pPr>
        <w:spacing w:line="360" w:lineRule="auto"/>
        <w:jc w:val="both"/>
        <w:rPr>
          <w:rFonts w:ascii="Arial" w:hAnsi="Arial" w:cs="Arial"/>
        </w:rPr>
      </w:pPr>
      <w:r w:rsidRPr="00791A3F">
        <w:rPr>
          <w:rFonts w:ascii="Arial" w:hAnsi="Arial" w:cs="Arial"/>
        </w:rPr>
        <w:lastRenderedPageBreak/>
        <w:t>The big four retailers and supermarkets are the mainstream outlets - Tesco, Sainsbury's, Morrisons and Asda. They can also be evaluated for their level of sophistication in the reporting process and whether there is any substantive change and are easily counterbalanced with their scale, complex supply chains and shareholder governance (Nicholls &amp; Opal, 2014; Blythman, 2017).</w:t>
      </w:r>
    </w:p>
    <w:p w14:paraId="4499CF79" w14:textId="77777777" w:rsidR="00822698" w:rsidRPr="00791A3F" w:rsidRDefault="00822698" w:rsidP="00791A3F">
      <w:pPr>
        <w:spacing w:line="360" w:lineRule="auto"/>
        <w:jc w:val="both"/>
        <w:rPr>
          <w:rFonts w:ascii="Arial" w:hAnsi="Arial" w:cs="Arial"/>
        </w:rPr>
      </w:pPr>
      <w:r w:rsidRPr="00791A3F">
        <w:rPr>
          <w:rFonts w:ascii="Arial" w:hAnsi="Arial" w:cs="Arial"/>
        </w:rPr>
        <w:t>Aldi and Lidl are discount retail stores. This narrow scope, private labeling, low pricing, and efficiency producing models allow for testing for the operational simplicity that can aid environmental CSR and at the same time reduce transparency (Richards 2023; Zhao et al., 2025).</w:t>
      </w:r>
    </w:p>
    <w:p w14:paraId="5BB93BE8" w14:textId="77777777" w:rsidR="00822698" w:rsidRPr="00791A3F" w:rsidRDefault="00822698" w:rsidP="00791A3F">
      <w:pPr>
        <w:spacing w:line="360" w:lineRule="auto"/>
        <w:jc w:val="both"/>
        <w:rPr>
          <w:rFonts w:ascii="Arial" w:hAnsi="Arial" w:cs="Arial"/>
        </w:rPr>
      </w:pPr>
      <w:r w:rsidRPr="00791A3F">
        <w:rPr>
          <w:rFonts w:ascii="Arial" w:hAnsi="Arial" w:cs="Arial"/>
        </w:rPr>
        <w:t>Co-operative Food' is one of the 'Co-operative Retailing'. Contrast with shareholder led companies and justify the analysis of stakeholder-oriented accountability (Birchall, 2013; Hernández-Espallardo et al., 2021) in member-owned companies through their democratic management and ethical-trading traditions.</w:t>
      </w:r>
    </w:p>
    <w:p w14:paraId="6C3C2326" w14:textId="77777777" w:rsidR="00822698" w:rsidRPr="00791A3F" w:rsidRDefault="00822698" w:rsidP="00791A3F">
      <w:pPr>
        <w:spacing w:line="360" w:lineRule="auto"/>
        <w:jc w:val="both"/>
        <w:rPr>
          <w:rFonts w:ascii="Arial" w:hAnsi="Arial" w:cs="Arial"/>
        </w:rPr>
      </w:pPr>
      <w:r w:rsidRPr="00791A3F">
        <w:rPr>
          <w:rFonts w:ascii="Arial" w:hAnsi="Arial" w:cs="Arial"/>
        </w:rPr>
        <w:t>The share of the cases in the UK grocery market was about 60% of the total market share (Kantar, 2024). Retailers not having a physical store were not included.</w:t>
      </w:r>
    </w:p>
    <w:p w14:paraId="5A1D49E9" w14:textId="77777777" w:rsidR="00E72FD7" w:rsidRPr="00791A3F" w:rsidRDefault="00E72FD7" w:rsidP="00791A3F">
      <w:pPr>
        <w:pStyle w:val="Heading3"/>
        <w:spacing w:line="360" w:lineRule="auto"/>
        <w:rPr>
          <w:rFonts w:ascii="Arial" w:hAnsi="Arial" w:cs="Arial"/>
        </w:rPr>
      </w:pPr>
      <w:bookmarkStart w:id="59" w:name="_Toc237956904"/>
      <w:bookmarkStart w:id="60" w:name="_Toc238725180"/>
      <w:r w:rsidRPr="00791A3F">
        <w:rPr>
          <w:rFonts w:ascii="Arial" w:hAnsi="Arial" w:cs="Arial"/>
        </w:rPr>
        <w:t>3.3.3 Longitudinal Design and Temporal Comparison</w:t>
      </w:r>
      <w:bookmarkEnd w:id="59"/>
      <w:bookmarkEnd w:id="60"/>
    </w:p>
    <w:p w14:paraId="30A95912" w14:textId="77777777" w:rsidR="00A50B0B" w:rsidRPr="00791A3F" w:rsidRDefault="00A50B0B" w:rsidP="00791A3F">
      <w:pPr>
        <w:spacing w:line="360" w:lineRule="auto"/>
        <w:jc w:val="both"/>
        <w:rPr>
          <w:rFonts w:ascii="Arial" w:hAnsi="Arial" w:cs="Arial"/>
        </w:rPr>
      </w:pPr>
      <w:r w:rsidRPr="00791A3F">
        <w:rPr>
          <w:rFonts w:ascii="Arial" w:hAnsi="Arial" w:cs="Arial"/>
        </w:rPr>
        <w:t>The research is performed on two phases. A good source of the baseline information is Phase 1, 2003-2007, which includes the Jones et al. (2005) report, along with corporate, policy and regulatory information. The second phase (2020-2025) brings the modern CSR, which is reflected in the disclosure of the companies, evaluations by third parties, the documents of regulatory authorities and assessment by stakeholders.</w:t>
      </w:r>
    </w:p>
    <w:p w14:paraId="6BCAD0D1" w14:textId="77777777" w:rsidR="00A50B0B" w:rsidRPr="00791A3F" w:rsidRDefault="00A50B0B" w:rsidP="00791A3F">
      <w:pPr>
        <w:spacing w:line="360" w:lineRule="auto"/>
        <w:jc w:val="both"/>
        <w:rPr>
          <w:rFonts w:ascii="Arial" w:hAnsi="Arial" w:cs="Arial"/>
        </w:rPr>
      </w:pPr>
      <w:r w:rsidRPr="00791A3F">
        <w:rPr>
          <w:rFonts w:ascii="Arial" w:hAnsi="Arial" w:cs="Arial"/>
        </w:rPr>
        <w:t>This includes the Paris Agreement, the TCFD reporting, the Modern Slavery Act 2015, net zero targets, ESG investments, digital transparency and COVID-19 (Christensen et al., 2021; Stevenson &amp; Cole, 2021; Hobbs &amp; Rude, 2022). Substantive transformation or updating of the language with symbols, compliance or limited progress is evaluated by comparison.</w:t>
      </w:r>
    </w:p>
    <w:p w14:paraId="01720941" w14:textId="77777777" w:rsidR="000C365D" w:rsidRPr="00791A3F" w:rsidRDefault="000C365D" w:rsidP="00791A3F">
      <w:pPr>
        <w:spacing w:line="360" w:lineRule="auto"/>
        <w:jc w:val="both"/>
        <w:rPr>
          <w:rFonts w:ascii="Arial" w:hAnsi="Arial" w:cs="Arial"/>
        </w:rPr>
      </w:pPr>
      <w:bookmarkStart w:id="61" w:name="_Toc237956905"/>
      <w:bookmarkEnd w:id="61"/>
      <w:r w:rsidRPr="00791A3F">
        <w:rPr>
          <w:rFonts w:ascii="Arial" w:hAnsi="Arial" w:cs="Arial"/>
        </w:rPr>
        <w:t xml:space="preserve">The study was approached by abduction, as this will enable it to be theoretically informed, whilst still allowing for the emergence of the unexpected (Saunders et al., 2019; Braun &amp; </w:t>
      </w:r>
      <w:r w:rsidRPr="00791A3F">
        <w:rPr>
          <w:rFonts w:ascii="Arial" w:hAnsi="Arial" w:cs="Arial"/>
        </w:rPr>
        <w:lastRenderedPageBreak/>
        <w:t>Clarke, 2006). An inductive approach might be insufficient to properly compare the cases, while a deductive approach may not account for new developments in the area. The abductive method thus makes the theoretical structure and sensitivity to the empirical context go hand in hand.</w:t>
      </w:r>
    </w:p>
    <w:p w14:paraId="1A19B546" w14:textId="48B9229F" w:rsidR="00A50B0B" w:rsidRPr="00791A3F" w:rsidRDefault="00A50B0B" w:rsidP="00791A3F">
      <w:pPr>
        <w:spacing w:line="360" w:lineRule="auto"/>
        <w:jc w:val="both"/>
        <w:rPr>
          <w:rFonts w:ascii="Arial" w:hAnsi="Arial" w:cs="Arial"/>
        </w:rPr>
      </w:pPr>
      <w:r w:rsidRPr="00791A3F">
        <w:rPr>
          <w:rFonts w:ascii="Arial" w:hAnsi="Arial" w:cs="Arial"/>
        </w:rPr>
        <w:t>The study uses an abductive approach to the research process which is a combination of both deductive and inductive (Saunders et al., 2019). The deductive component is based on two existing analytical frameworks; the five CSR dimensions from Jones et al. (2005) and five substantive-symbolic criteria constructed in Chapter 2. These are frameworks which establish uniformity between cases and periods.</w:t>
      </w:r>
    </w:p>
    <w:p w14:paraId="674C0D8D" w14:textId="77777777" w:rsidR="00A50B0B" w:rsidRPr="00791A3F" w:rsidRDefault="00A50B0B" w:rsidP="00791A3F">
      <w:pPr>
        <w:spacing w:line="360" w:lineRule="auto"/>
        <w:jc w:val="both"/>
        <w:rPr>
          <w:rFonts w:ascii="Arial" w:hAnsi="Arial" w:cs="Arial"/>
        </w:rPr>
      </w:pPr>
      <w:r w:rsidRPr="00791A3F">
        <w:rPr>
          <w:rFonts w:ascii="Arial" w:hAnsi="Arial" w:cs="Arial"/>
        </w:rPr>
        <w:t>An inductive element has been identified to highlight current changes, such as the protection measures against COVID-19, scope 3 credibility, initiatives on the circular economy and public health commitments, which were not fully foreseen by earlier literature.</w:t>
      </w:r>
    </w:p>
    <w:p w14:paraId="6BB0D33B" w14:textId="77777777" w:rsidR="00A50B0B" w:rsidRPr="00791A3F" w:rsidRDefault="00A50B0B" w:rsidP="00791A3F">
      <w:pPr>
        <w:spacing w:line="360" w:lineRule="auto"/>
        <w:jc w:val="both"/>
        <w:rPr>
          <w:rFonts w:ascii="Arial" w:hAnsi="Arial" w:cs="Arial"/>
        </w:rPr>
      </w:pPr>
      <w:r w:rsidRPr="00791A3F">
        <w:rPr>
          <w:rFonts w:ascii="Arial" w:hAnsi="Arial" w:cs="Arial"/>
        </w:rPr>
        <w:t>Abduction is suitable because it does not rule out the discovery of unexpected results, yet is also based on a theory.Abduction is a suitable approach due to its ability to adhere to a theory while still allowing for unexpected results (Saunders et al., 2019; Braun &amp; Clarke, 2006). Using a pure deductive method might miss new developments, and a pure inductive method would lose out on the comparison with a structure. The abductive approach is thus a combination of theory and context.</w:t>
      </w:r>
    </w:p>
    <w:p w14:paraId="79A465AE" w14:textId="77777777" w:rsidR="00E72FD7" w:rsidRPr="00791A3F" w:rsidRDefault="00E72FD7" w:rsidP="00791A3F">
      <w:pPr>
        <w:pStyle w:val="Heading2"/>
        <w:spacing w:line="360" w:lineRule="auto"/>
        <w:rPr>
          <w:rFonts w:ascii="Arial" w:hAnsi="Arial" w:cs="Arial"/>
        </w:rPr>
      </w:pPr>
      <w:bookmarkStart w:id="62" w:name="_Toc237956906"/>
      <w:bookmarkStart w:id="63" w:name="_Toc238725181"/>
      <w:r w:rsidRPr="00791A3F">
        <w:rPr>
          <w:rFonts w:ascii="Arial" w:hAnsi="Arial" w:cs="Arial"/>
        </w:rPr>
        <w:t>3.5 Data Collection Methods</w:t>
      </w:r>
      <w:bookmarkEnd w:id="62"/>
      <w:bookmarkEnd w:id="63"/>
    </w:p>
    <w:p w14:paraId="32DDD01A" w14:textId="77777777" w:rsidR="00D26F7D" w:rsidRPr="00791A3F" w:rsidRDefault="00D26F7D" w:rsidP="00791A3F">
      <w:pPr>
        <w:spacing w:line="360" w:lineRule="auto"/>
        <w:jc w:val="both"/>
        <w:rPr>
          <w:rFonts w:ascii="Arial" w:hAnsi="Arial" w:cs="Arial"/>
        </w:rPr>
      </w:pPr>
      <w:r w:rsidRPr="00791A3F">
        <w:rPr>
          <w:rFonts w:ascii="Arial" w:hAnsi="Arial" w:cs="Arial"/>
        </w:rPr>
        <w:t>Secondary data (qualitative) was used in this study. This method is appropriate for case studies as UK food retailers produce a lot of corporate, regulatory and third-party documents (Saunders et al., 2019; Yin, 2018), which allow for a longitudinal study over the period of the dissertation.</w:t>
      </w:r>
    </w:p>
    <w:p w14:paraId="02855415" w14:textId="77777777" w:rsidR="00E72FD7" w:rsidRPr="00791A3F" w:rsidRDefault="00E72FD7" w:rsidP="00791A3F">
      <w:pPr>
        <w:pStyle w:val="Heading3"/>
        <w:spacing w:line="360" w:lineRule="auto"/>
        <w:rPr>
          <w:rFonts w:ascii="Arial" w:hAnsi="Arial" w:cs="Arial"/>
        </w:rPr>
      </w:pPr>
      <w:bookmarkStart w:id="64" w:name="_Toc237956907"/>
      <w:bookmarkStart w:id="65" w:name="_Toc238725182"/>
      <w:r w:rsidRPr="00791A3F">
        <w:rPr>
          <w:rFonts w:ascii="Arial" w:hAnsi="Arial" w:cs="Arial"/>
        </w:rPr>
        <w:t>3.5.1 Data Sources</w:t>
      </w:r>
      <w:bookmarkEnd w:id="64"/>
      <w:bookmarkEnd w:id="65"/>
    </w:p>
    <w:p w14:paraId="4FF76CEA" w14:textId="77777777" w:rsidR="008B6FDE" w:rsidRPr="00791A3F" w:rsidRDefault="008B6FDE" w:rsidP="00791A3F">
      <w:pPr>
        <w:spacing w:line="360" w:lineRule="auto"/>
        <w:jc w:val="both"/>
        <w:rPr>
          <w:rFonts w:ascii="Arial" w:hAnsi="Arial" w:cs="Arial"/>
        </w:rPr>
      </w:pPr>
      <w:r w:rsidRPr="00791A3F">
        <w:rPr>
          <w:rFonts w:ascii="Arial" w:hAnsi="Arial" w:cs="Arial"/>
        </w:rPr>
        <w:t>There are six types of sources that can be used for triangulation.</w:t>
      </w:r>
    </w:p>
    <w:p w14:paraId="621A2B31" w14:textId="77777777" w:rsidR="008B6FDE" w:rsidRPr="00791A3F" w:rsidRDefault="008B6FDE" w:rsidP="00791A3F">
      <w:pPr>
        <w:spacing w:line="360" w:lineRule="auto"/>
        <w:jc w:val="both"/>
        <w:rPr>
          <w:rFonts w:ascii="Arial" w:hAnsi="Arial" w:cs="Arial"/>
        </w:rPr>
      </w:pPr>
      <w:r w:rsidRPr="00791A3F">
        <w:rPr>
          <w:rFonts w:ascii="Arial" w:hAnsi="Arial" w:cs="Arial"/>
        </w:rPr>
        <w:t xml:space="preserve">The Annual and sustainability reports from 2003-2007 and 2020-2025 serve as evidence in regard to governance, strategy, risks, environmental policies and CSR claims. They </w:t>
      </w:r>
      <w:r w:rsidRPr="00791A3F">
        <w:rPr>
          <w:rFonts w:ascii="Arial" w:hAnsi="Arial" w:cs="Arial"/>
        </w:rPr>
        <w:lastRenderedPageBreak/>
        <w:t>can be related to the GRI frameworks, TCFD or SASB frameworks (Hahn &amp; Kühnen, 2013; Michelon et al., 2015).</w:t>
      </w:r>
    </w:p>
    <w:p w14:paraId="20F7F402" w14:textId="77777777" w:rsidR="008B6FDE" w:rsidRPr="00791A3F" w:rsidRDefault="008B6FDE" w:rsidP="00791A3F">
      <w:pPr>
        <w:spacing w:line="360" w:lineRule="auto"/>
        <w:jc w:val="both"/>
        <w:rPr>
          <w:rFonts w:ascii="Arial" w:hAnsi="Arial" w:cs="Arial"/>
        </w:rPr>
      </w:pPr>
      <w:r w:rsidRPr="00791A3F">
        <w:rPr>
          <w:rFonts w:ascii="Arial" w:hAnsi="Arial" w:cs="Arial"/>
        </w:rPr>
        <w:t>Modern Slavery Act statements: Statements made in 2016–2025 contain information about their supply-chain risk, due diligence, and remediation (Stevenson &amp; Cole, 2021; LeBaron et al., 2021; Meehan &amp; Pinnington, 2022).</w:t>
      </w:r>
    </w:p>
    <w:p w14:paraId="6358B835" w14:textId="77777777" w:rsidR="008B6FDE" w:rsidRPr="00791A3F" w:rsidRDefault="008B6FDE" w:rsidP="00791A3F">
      <w:pPr>
        <w:spacing w:line="360" w:lineRule="auto"/>
        <w:jc w:val="both"/>
        <w:rPr>
          <w:rFonts w:ascii="Arial" w:hAnsi="Arial" w:cs="Arial"/>
        </w:rPr>
      </w:pPr>
      <w:r w:rsidRPr="00791A3F">
        <w:rPr>
          <w:rFonts w:ascii="Arial" w:hAnsi="Arial" w:cs="Arial"/>
        </w:rPr>
        <w:t>The reports of 2020-2025 on climate disclosures and CDP report on Scope 1, 2 and 3 emissions, governance information, targets and risk assessments (Bingler et al., 2023; CDP, 2023). These facilitate the assessment of climate accountability and credibility of climate targets (Balsam et al., 2025; Chen &amp; Ma, 2024).</w:t>
      </w:r>
    </w:p>
    <w:p w14:paraId="5D9FAE08" w14:textId="77777777" w:rsidR="008B6FDE" w:rsidRPr="00791A3F" w:rsidRDefault="008B6FDE" w:rsidP="00791A3F">
      <w:pPr>
        <w:spacing w:line="360" w:lineRule="auto"/>
        <w:jc w:val="both"/>
        <w:rPr>
          <w:rFonts w:ascii="Arial" w:hAnsi="Arial" w:cs="Arial"/>
        </w:rPr>
      </w:pPr>
      <w:r w:rsidRPr="00791A3F">
        <w:rPr>
          <w:rFonts w:ascii="Arial" w:hAnsi="Arial" w:cs="Arial"/>
        </w:rPr>
        <w:t>Third party assessments: These include external evaluations of aspects of the environment, labour, supply-chain, health, and workforce, from FTSE4Good, Ethical Consumer, ShareAction and Oxfam (Oxfam, 2021; ShareAction, 2023).</w:t>
      </w:r>
    </w:p>
    <w:p w14:paraId="51E44E82" w14:textId="77777777" w:rsidR="008B6FDE" w:rsidRPr="00791A3F" w:rsidRDefault="008B6FDE" w:rsidP="00791A3F">
      <w:pPr>
        <w:spacing w:line="360" w:lineRule="auto"/>
        <w:jc w:val="both"/>
        <w:rPr>
          <w:rFonts w:ascii="Arial" w:hAnsi="Arial" w:cs="Arial"/>
        </w:rPr>
      </w:pPr>
      <w:r w:rsidRPr="00791A3F">
        <w:rPr>
          <w:rFonts w:ascii="Arial" w:hAnsi="Arial" w:cs="Arial"/>
        </w:rPr>
        <w:t>Evidence from civil society and investigation: NGO reports and campaigns, worker evidence, and reporting by Greenpeace, Friends of the Earth, War on Want, The Guardian and the Financial Times can reveal discrepancies between the claims made by companies and the experiences of stakeholders (LeBaron &amp; Lister, 2022; Sarfaty &amp; Zhang, 2025; Font et al., 2016).</w:t>
      </w:r>
    </w:p>
    <w:p w14:paraId="3EA4B6C1" w14:textId="77777777" w:rsidR="008B6FDE" w:rsidRPr="00791A3F" w:rsidRDefault="008B6FDE" w:rsidP="00791A3F">
      <w:pPr>
        <w:spacing w:line="360" w:lineRule="auto"/>
        <w:jc w:val="both"/>
        <w:rPr>
          <w:rFonts w:ascii="Arial" w:hAnsi="Arial" w:cs="Arial"/>
        </w:rPr>
      </w:pPr>
      <w:r w:rsidRPr="00791A3F">
        <w:rPr>
          <w:rFonts w:ascii="Arial" w:hAnsi="Arial" w:cs="Arial"/>
        </w:rPr>
        <w:t>Regulatory and institutional context (UK Government, 2021): Regulatory and institutional context is provided through government publications, parliamentary inquiries, investigations by the Competition and Markets Authority (CMA) and Food Standards Agency (FSA) material.</w:t>
      </w:r>
    </w:p>
    <w:p w14:paraId="5003E8AC" w14:textId="77777777" w:rsidR="00E72FD7" w:rsidRPr="00791A3F" w:rsidRDefault="00E72FD7" w:rsidP="00791A3F">
      <w:pPr>
        <w:pStyle w:val="Heading3"/>
        <w:spacing w:line="360" w:lineRule="auto"/>
        <w:rPr>
          <w:rFonts w:ascii="Arial" w:hAnsi="Arial" w:cs="Arial"/>
        </w:rPr>
      </w:pPr>
      <w:bookmarkStart w:id="66" w:name="_Toc237956908"/>
      <w:bookmarkStart w:id="67" w:name="_Toc238725183"/>
      <w:r w:rsidRPr="00791A3F">
        <w:rPr>
          <w:rFonts w:ascii="Arial" w:hAnsi="Arial" w:cs="Arial"/>
        </w:rPr>
        <w:t>3.5.2 Data Collection Process and Documentation</w:t>
      </w:r>
      <w:bookmarkEnd w:id="66"/>
      <w:bookmarkEnd w:id="67"/>
    </w:p>
    <w:p w14:paraId="4101F12A" w14:textId="77777777" w:rsidR="00F800F5" w:rsidRPr="00791A3F" w:rsidRDefault="00F800F5" w:rsidP="00791A3F">
      <w:pPr>
        <w:spacing w:line="360" w:lineRule="auto"/>
        <w:jc w:val="both"/>
        <w:rPr>
          <w:rFonts w:ascii="Arial" w:hAnsi="Arial" w:cs="Arial"/>
        </w:rPr>
      </w:pPr>
      <w:r w:rsidRPr="00791A3F">
        <w:rPr>
          <w:rFonts w:ascii="Arial" w:hAnsi="Arial" w:cs="Arial"/>
        </w:rPr>
        <w:t>The data collection was done as per a standardised protocol (Yin, 2018). The documents were broken down into time periods, collected retailer by retailer, stored with the same names, and then added to a master spreadsheet listing the document title, author(s), date, URL, date retrieved, and type. The five CSR dimensions (environmental management, ethical sourcing, employee welfare, community engagement and customer responsibility) were used in the preliminary review to measure the relevance.</w:t>
      </w:r>
    </w:p>
    <w:p w14:paraId="028DBA91" w14:textId="77777777" w:rsidR="00E72FD7" w:rsidRPr="00791A3F" w:rsidRDefault="00E72FD7" w:rsidP="00791A3F">
      <w:pPr>
        <w:pStyle w:val="Heading3"/>
        <w:spacing w:line="360" w:lineRule="auto"/>
        <w:rPr>
          <w:rFonts w:ascii="Arial" w:hAnsi="Arial" w:cs="Arial"/>
        </w:rPr>
      </w:pPr>
      <w:bookmarkStart w:id="68" w:name="_Toc237956909"/>
      <w:bookmarkStart w:id="69" w:name="_Toc238725184"/>
      <w:r w:rsidRPr="00791A3F">
        <w:rPr>
          <w:rFonts w:ascii="Arial" w:hAnsi="Arial" w:cs="Arial"/>
        </w:rPr>
        <w:lastRenderedPageBreak/>
        <w:t>3.5.3 Justification and Limitations of Secondary Data</w:t>
      </w:r>
      <w:bookmarkEnd w:id="68"/>
      <w:bookmarkEnd w:id="69"/>
    </w:p>
    <w:p w14:paraId="123B0C25" w14:textId="77777777" w:rsidR="007828ED" w:rsidRPr="00791A3F" w:rsidRDefault="007828ED" w:rsidP="00791A3F">
      <w:pPr>
        <w:spacing w:line="360" w:lineRule="auto"/>
        <w:jc w:val="both"/>
        <w:rPr>
          <w:rFonts w:ascii="Arial" w:hAnsi="Arial" w:cs="Arial"/>
        </w:rPr>
      </w:pPr>
      <w:r w:rsidRPr="00791A3F">
        <w:rPr>
          <w:rFonts w:ascii="Arial" w:hAnsi="Arial" w:cs="Arial"/>
        </w:rPr>
        <w:t>Secondary data can be used to establish claims regarding strategic priorities, governance and accountability in a longitudinal manner (Saunders et al., 2019; Yin, 2018). Independent assessments have the capacity to pose a challenge to corporate accounts (Font et al., 2016; LeBaron et al., 2021).</w:t>
      </w:r>
    </w:p>
    <w:p w14:paraId="7E4D9526" w14:textId="77777777" w:rsidR="007828ED" w:rsidRPr="00791A3F" w:rsidRDefault="007828ED" w:rsidP="00791A3F">
      <w:pPr>
        <w:spacing w:line="360" w:lineRule="auto"/>
        <w:jc w:val="both"/>
        <w:rPr>
          <w:rFonts w:ascii="Arial" w:hAnsi="Arial" w:cs="Arial"/>
        </w:rPr>
      </w:pPr>
      <w:r w:rsidRPr="00791A3F">
        <w:rPr>
          <w:rFonts w:ascii="Arial" w:hAnsi="Arial" w:cs="Arial"/>
        </w:rPr>
        <w:t>Impression management can manifest itself in corporate documents (Michelon et al., 2015; Torelli et al., 2020). The corporate information within the third-party ratings can include different information and the methodology used can differ (Christensen et al., 2021). Previous revelations are more vague, causing time-symmetry. These limitations are overcome in the case of triangulation (Bose et al., 2024; Yang et al., 2025).</w:t>
      </w:r>
    </w:p>
    <w:p w14:paraId="015FBC02" w14:textId="77777777" w:rsidR="00E72FD7" w:rsidRPr="00791A3F" w:rsidRDefault="00E72FD7" w:rsidP="00791A3F">
      <w:pPr>
        <w:pStyle w:val="Heading2"/>
        <w:spacing w:line="360" w:lineRule="auto"/>
        <w:rPr>
          <w:rFonts w:ascii="Arial" w:hAnsi="Arial" w:cs="Arial"/>
        </w:rPr>
      </w:pPr>
      <w:bookmarkStart w:id="70" w:name="_Toc237956910"/>
      <w:bookmarkStart w:id="71" w:name="_Toc238725185"/>
      <w:r w:rsidRPr="00791A3F">
        <w:rPr>
          <w:rFonts w:ascii="Arial" w:hAnsi="Arial" w:cs="Arial"/>
        </w:rPr>
        <w:t>3.6 Data Analysis Methods</w:t>
      </w:r>
      <w:bookmarkEnd w:id="70"/>
      <w:bookmarkEnd w:id="71"/>
    </w:p>
    <w:p w14:paraId="50BC4D1A" w14:textId="77777777" w:rsidR="007828ED" w:rsidRPr="00791A3F" w:rsidRDefault="007828ED" w:rsidP="00791A3F">
      <w:pPr>
        <w:spacing w:line="360" w:lineRule="auto"/>
        <w:jc w:val="both"/>
        <w:rPr>
          <w:rFonts w:ascii="Arial" w:hAnsi="Arial" w:cs="Arial"/>
        </w:rPr>
      </w:pPr>
      <w:r w:rsidRPr="00791A3F">
        <w:rPr>
          <w:rFonts w:ascii="Arial" w:hAnsi="Arial" w:cs="Arial"/>
        </w:rPr>
        <w:t>Thematic analysis is used in this study as a way to systematically identify the patterns in the qualitative case evidence, and therefore interpret the patterns within the evidence (Braun &amp; Clarke, 2006; Saldaña, 2015; Nowell et al., 2017).</w:t>
      </w:r>
    </w:p>
    <w:p w14:paraId="62E6B703" w14:textId="77777777" w:rsidR="00E72FD7" w:rsidRPr="00791A3F" w:rsidRDefault="00E72FD7" w:rsidP="00791A3F">
      <w:pPr>
        <w:pStyle w:val="Heading3"/>
        <w:spacing w:line="360" w:lineRule="auto"/>
        <w:rPr>
          <w:rFonts w:ascii="Arial" w:hAnsi="Arial" w:cs="Arial"/>
        </w:rPr>
      </w:pPr>
      <w:bookmarkStart w:id="72" w:name="_Toc237956911"/>
      <w:bookmarkStart w:id="73" w:name="_Toc238725186"/>
      <w:r w:rsidRPr="00791A3F">
        <w:rPr>
          <w:rFonts w:ascii="Arial" w:hAnsi="Arial" w:cs="Arial"/>
        </w:rPr>
        <w:t>3.6.1 Analytical Framework</w:t>
      </w:r>
      <w:bookmarkEnd w:id="72"/>
      <w:bookmarkEnd w:id="73"/>
    </w:p>
    <w:p w14:paraId="4807C7DB" w14:textId="77777777" w:rsidR="00921A07" w:rsidRPr="00791A3F" w:rsidRDefault="00921A07" w:rsidP="00791A3F">
      <w:pPr>
        <w:spacing w:line="360" w:lineRule="auto"/>
        <w:jc w:val="both"/>
        <w:rPr>
          <w:rFonts w:ascii="Arial" w:hAnsi="Arial" w:cs="Arial"/>
        </w:rPr>
      </w:pPr>
      <w:r w:rsidRPr="00791A3F">
        <w:rPr>
          <w:rFonts w:ascii="Arial" w:hAnsi="Arial" w:cs="Arial"/>
        </w:rPr>
        <w:t>There are two complementary structures to analysis. The five dimensions of CSR that have been selected in Framework 1 are based on the work of Jones et al. (2005), who identified these as the five dimensions of CSR. These are dimensions that are covered by contemporary priorities.</w:t>
      </w:r>
    </w:p>
    <w:p w14:paraId="6D8AE742" w14:textId="77777777" w:rsidR="00921A07" w:rsidRPr="00791A3F" w:rsidRDefault="00921A07" w:rsidP="00791A3F">
      <w:pPr>
        <w:spacing w:line="360" w:lineRule="auto"/>
        <w:jc w:val="both"/>
        <w:rPr>
          <w:rFonts w:ascii="Arial" w:hAnsi="Arial" w:cs="Arial"/>
        </w:rPr>
      </w:pPr>
      <w:r w:rsidRPr="00791A3F">
        <w:rPr>
          <w:rFonts w:ascii="Arial" w:hAnsi="Arial" w:cs="Arial"/>
        </w:rPr>
        <w:t>We look at substance versus symbolism of CSR with five criteria in Framework 2. The verifiability encompasses independent audit, certification, assurance and stakeholder verifiability. Measurability is discussed in relation to targets/baselines and KPIs and data on progress. Accountability takes into account the ownership, oversight, incentives, correction and recourse of stakeholders in governance. The focus of Integration is in strategy, procurement, operations and resource allocation. Consistency of measures, known standards and comparison to peers are all included in the concept of comparability.</w:t>
      </w:r>
    </w:p>
    <w:p w14:paraId="04D6D2DB" w14:textId="77777777" w:rsidR="00E72FD7" w:rsidRPr="00791A3F" w:rsidRDefault="00E72FD7" w:rsidP="00791A3F">
      <w:pPr>
        <w:pStyle w:val="Heading3"/>
        <w:spacing w:line="360" w:lineRule="auto"/>
        <w:rPr>
          <w:rFonts w:ascii="Arial" w:hAnsi="Arial" w:cs="Arial"/>
        </w:rPr>
      </w:pPr>
      <w:bookmarkStart w:id="74" w:name="_Toc237956912"/>
      <w:bookmarkStart w:id="75" w:name="_Toc238725187"/>
      <w:r w:rsidRPr="00791A3F">
        <w:rPr>
          <w:rFonts w:ascii="Arial" w:hAnsi="Arial" w:cs="Arial"/>
        </w:rPr>
        <w:lastRenderedPageBreak/>
        <w:t>3.6.2 Coding Process</w:t>
      </w:r>
      <w:bookmarkEnd w:id="74"/>
      <w:bookmarkEnd w:id="75"/>
    </w:p>
    <w:p w14:paraId="4063C30C" w14:textId="77777777" w:rsidR="00921A07" w:rsidRPr="00791A3F" w:rsidRDefault="00921A07" w:rsidP="00791A3F">
      <w:pPr>
        <w:spacing w:line="360" w:lineRule="auto"/>
        <w:jc w:val="both"/>
        <w:rPr>
          <w:rFonts w:ascii="Arial" w:hAnsi="Arial" w:cs="Arial"/>
        </w:rPr>
      </w:pPr>
      <w:r w:rsidRPr="00791A3F">
        <w:rPr>
          <w:rFonts w:ascii="Arial" w:hAnsi="Arial" w:cs="Arial"/>
        </w:rPr>
        <w:t>Thematic analysis, like most other analysis methods, is divided into six phases; familiarisation, coding, theme development, review, definition and reporting (Braun and Clarke 2006). Codes created through evidence, deductively and inductively from a variety of evidence; such as Scope 3, Modern Slavery, Living wages, COVID-19, Circular economy, and Public health (Nowell et al., 2017).</w:t>
      </w:r>
    </w:p>
    <w:p w14:paraId="4E3E72A2" w14:textId="77777777" w:rsidR="00E72FD7" w:rsidRPr="00791A3F" w:rsidRDefault="00E72FD7" w:rsidP="00791A3F">
      <w:pPr>
        <w:pStyle w:val="Heading3"/>
        <w:spacing w:line="360" w:lineRule="auto"/>
        <w:rPr>
          <w:rFonts w:ascii="Arial" w:hAnsi="Arial" w:cs="Arial"/>
        </w:rPr>
      </w:pPr>
      <w:bookmarkStart w:id="76" w:name="_Toc237956913"/>
      <w:bookmarkStart w:id="77" w:name="_Toc238725188"/>
      <w:r w:rsidRPr="00791A3F">
        <w:rPr>
          <w:rFonts w:ascii="Arial" w:hAnsi="Arial" w:cs="Arial"/>
        </w:rPr>
        <w:t>3.6.3 Comparative Analysis</w:t>
      </w:r>
      <w:bookmarkEnd w:id="76"/>
      <w:bookmarkEnd w:id="77"/>
    </w:p>
    <w:p w14:paraId="4CC0916F" w14:textId="77777777" w:rsidR="00862EEE" w:rsidRPr="00791A3F" w:rsidRDefault="00862EEE" w:rsidP="00791A3F">
      <w:pPr>
        <w:spacing w:line="360" w:lineRule="auto"/>
        <w:jc w:val="both"/>
        <w:rPr>
          <w:rFonts w:ascii="Arial" w:hAnsi="Arial" w:cs="Arial"/>
        </w:rPr>
      </w:pPr>
      <w:r w:rsidRPr="00791A3F">
        <w:rPr>
          <w:rFonts w:ascii="Arial" w:hAnsi="Arial" w:cs="Arial"/>
        </w:rPr>
        <w:t>Within-case analysis considers each retailer in terms of five dimensions of CSR and the two phases to detect its strengths and weaknesses, its changes and substantive-symbolic patterns (Eisenhardt, 1989; Yin, 2018). In Cross-case analysis, the mainstream, discount and cooperative model models are compared, and the four key factors of ownership, governance, competition and operational design, and resource capacity are taken into account (Zhao et al., 2025; Velte, 2025). In temporal analysis, the evidence for Phase 1 and Phase 2 for each retailer and dimension is compared to determine if there is a correlation between disclosure expansion and increased performance, governance, integration and accountability (Jones et al., 2005; Nicholls &amp; Opal, 2014).</w:t>
      </w:r>
    </w:p>
    <w:p w14:paraId="12982E56" w14:textId="77777777" w:rsidR="00E72FD7" w:rsidRPr="00791A3F" w:rsidRDefault="00E72FD7" w:rsidP="00791A3F">
      <w:pPr>
        <w:pStyle w:val="Heading2"/>
        <w:spacing w:line="360" w:lineRule="auto"/>
        <w:rPr>
          <w:rFonts w:ascii="Arial" w:hAnsi="Arial" w:cs="Arial"/>
        </w:rPr>
      </w:pPr>
      <w:bookmarkStart w:id="78" w:name="_Toc237956914"/>
      <w:bookmarkStart w:id="79" w:name="_Toc238725189"/>
      <w:r w:rsidRPr="00791A3F">
        <w:rPr>
          <w:rFonts w:ascii="Arial" w:hAnsi="Arial" w:cs="Arial"/>
        </w:rPr>
        <w:t>3.7 Quality Criteria and Trustworthiness</w:t>
      </w:r>
      <w:bookmarkEnd w:id="78"/>
      <w:bookmarkEnd w:id="79"/>
    </w:p>
    <w:p w14:paraId="73365901" w14:textId="77777777" w:rsidR="00CD3CEA" w:rsidRPr="00791A3F" w:rsidRDefault="00CD3CEA" w:rsidP="00791A3F">
      <w:pPr>
        <w:spacing w:line="360" w:lineRule="auto"/>
        <w:jc w:val="both"/>
        <w:rPr>
          <w:rFonts w:ascii="Arial" w:hAnsi="Arial" w:cs="Arial"/>
        </w:rPr>
      </w:pPr>
      <w:r w:rsidRPr="00791A3F">
        <w:rPr>
          <w:rFonts w:ascii="Arial" w:hAnsi="Arial" w:cs="Arial"/>
        </w:rPr>
        <w:t>Conventional positivist measures (Lincoln &amp; Guba, 1985; Tracy, 2010) are not used for the assessment of qualitative quality, but rather credibility, transferability, dependability and confirmability.</w:t>
      </w:r>
    </w:p>
    <w:p w14:paraId="07016B4F" w14:textId="77777777" w:rsidR="00CD3CEA" w:rsidRPr="00791A3F" w:rsidRDefault="00CD3CEA" w:rsidP="00791A3F">
      <w:pPr>
        <w:spacing w:line="360" w:lineRule="auto"/>
        <w:jc w:val="both"/>
        <w:rPr>
          <w:rFonts w:ascii="Arial" w:hAnsi="Arial" w:cs="Arial"/>
        </w:rPr>
      </w:pPr>
      <w:r w:rsidRPr="00791A3F">
        <w:rPr>
          <w:rFonts w:ascii="Arial" w:hAnsi="Arial" w:cs="Arial"/>
        </w:rPr>
        <w:t>Triangulation is used to enhance the credibility of evidence in both ways: by using multiple sources of evidence (corporate, regulatory, third-party, NGO, investigative) for each claim and by using multiple criteria for each claim (Patton, 2015).</w:t>
      </w:r>
    </w:p>
    <w:p w14:paraId="5C7E778F" w14:textId="77777777" w:rsidR="00CD3CEA" w:rsidRPr="00791A3F" w:rsidRDefault="00CD3CEA" w:rsidP="00791A3F">
      <w:pPr>
        <w:spacing w:line="360" w:lineRule="auto"/>
        <w:jc w:val="both"/>
        <w:rPr>
          <w:rFonts w:ascii="Arial" w:hAnsi="Arial" w:cs="Arial"/>
        </w:rPr>
      </w:pPr>
      <w:r w:rsidRPr="00791A3F">
        <w:rPr>
          <w:rFonts w:ascii="Arial" w:hAnsi="Arial" w:cs="Arial"/>
        </w:rPr>
        <w:t>Transferability is established by the contextual description—for the reader to make his or her own judgments on transferability to other settings (Geertz, 1973). Findings are not statistically generalisable, but are rather analytical (Yin, 2018).</w:t>
      </w:r>
    </w:p>
    <w:p w14:paraId="7ABD9C30" w14:textId="77777777" w:rsidR="00CD3CEA" w:rsidRPr="00791A3F" w:rsidRDefault="00CD3CEA" w:rsidP="00791A3F">
      <w:pPr>
        <w:spacing w:line="360" w:lineRule="auto"/>
        <w:jc w:val="both"/>
        <w:rPr>
          <w:rFonts w:ascii="Arial" w:hAnsi="Arial" w:cs="Arial"/>
        </w:rPr>
      </w:pPr>
      <w:r w:rsidRPr="00791A3F">
        <w:rPr>
          <w:rFonts w:ascii="Arial" w:hAnsi="Arial" w:cs="Arial"/>
        </w:rPr>
        <w:lastRenderedPageBreak/>
        <w:t>Documentation, procedures, coding decisions and analytical logs (Lincoln &amp; Guba, 1985) help to provide dependability. Reflexivity and explicit and consistent application of criteria (Nowell et al., 2017; Tracy, 2010) increase the confirmability of the results.</w:t>
      </w:r>
    </w:p>
    <w:p w14:paraId="571DC536" w14:textId="77777777" w:rsidR="00E72FD7" w:rsidRPr="00791A3F" w:rsidRDefault="00E72FD7" w:rsidP="00791A3F">
      <w:pPr>
        <w:pStyle w:val="Heading2"/>
        <w:spacing w:line="360" w:lineRule="auto"/>
        <w:rPr>
          <w:rFonts w:ascii="Arial" w:hAnsi="Arial" w:cs="Arial"/>
        </w:rPr>
      </w:pPr>
      <w:bookmarkStart w:id="80" w:name="_Toc237956915"/>
      <w:bookmarkStart w:id="81" w:name="_Toc238725190"/>
      <w:r w:rsidRPr="00791A3F">
        <w:rPr>
          <w:rFonts w:ascii="Arial" w:hAnsi="Arial" w:cs="Arial"/>
        </w:rPr>
        <w:t>3.8 Ethical Considerations</w:t>
      </w:r>
      <w:bookmarkEnd w:id="80"/>
      <w:bookmarkEnd w:id="81"/>
    </w:p>
    <w:p w14:paraId="2C23987D" w14:textId="77777777" w:rsidR="00240A06" w:rsidRPr="00791A3F" w:rsidRDefault="00240A06" w:rsidP="00791A3F">
      <w:pPr>
        <w:spacing w:line="360" w:lineRule="auto"/>
        <w:jc w:val="both"/>
        <w:rPr>
          <w:rFonts w:ascii="Arial" w:hAnsi="Arial" w:cs="Arial"/>
        </w:rPr>
      </w:pPr>
      <w:r w:rsidRPr="00791A3F">
        <w:rPr>
          <w:rFonts w:ascii="Arial" w:hAnsi="Arial" w:cs="Arial"/>
        </w:rPr>
        <w:t>The investigation solely focuses on secondary data which is publicly accessible, but issues of ethical responsibilities are still relevant: data integrity, data ownership, transparency and responsible criticism (Saunders et al., 2019).</w:t>
      </w:r>
    </w:p>
    <w:p w14:paraId="6C9DAE27" w14:textId="77777777" w:rsidR="00240A06" w:rsidRPr="00791A3F" w:rsidRDefault="00240A06" w:rsidP="00791A3F">
      <w:pPr>
        <w:spacing w:line="360" w:lineRule="auto"/>
        <w:jc w:val="both"/>
        <w:rPr>
          <w:rFonts w:ascii="Arial" w:hAnsi="Arial" w:cs="Arial"/>
        </w:rPr>
      </w:pPr>
      <w:r w:rsidRPr="00791A3F">
        <w:rPr>
          <w:rFonts w:ascii="Arial" w:hAnsi="Arial" w:cs="Arial"/>
        </w:rPr>
        <w:t>To guarantee data integrity, the information needs to be accurate, the statements made by the company needs to be distinguished from the independent information, and the information must not be presented in a misleading way (Yin, 2018). Appropriate credit is given to another person's work and the UK Copyright, Designs and Patents Act 1988 allows for fair dealing.</w:t>
      </w:r>
    </w:p>
    <w:p w14:paraId="782EF797" w14:textId="77777777" w:rsidR="00240A06" w:rsidRPr="00791A3F" w:rsidRDefault="00240A06" w:rsidP="00791A3F">
      <w:pPr>
        <w:spacing w:line="360" w:lineRule="auto"/>
        <w:jc w:val="both"/>
        <w:rPr>
          <w:rFonts w:ascii="Arial" w:hAnsi="Arial" w:cs="Arial"/>
        </w:rPr>
      </w:pPr>
      <w:r w:rsidRPr="00791A3F">
        <w:rPr>
          <w:rFonts w:ascii="Arial" w:hAnsi="Arial" w:cs="Arial"/>
        </w:rPr>
        <w:t>Documenting sources, frameworks and interpretative processes (Lincoln &amp; Guba, 1985) help to ensure transparency and reproducibility. Any statement of "greenwashing" or poor implementation is only attributed if there is evidence on which to base this claim and explicit criteria to justify this (Torelli et al., 2020).</w:t>
      </w:r>
    </w:p>
    <w:p w14:paraId="3CDD4B93" w14:textId="77777777" w:rsidR="00240A06" w:rsidRPr="00791A3F" w:rsidRDefault="00240A06" w:rsidP="00791A3F">
      <w:pPr>
        <w:spacing w:line="360" w:lineRule="auto"/>
        <w:jc w:val="both"/>
        <w:rPr>
          <w:rFonts w:ascii="Arial" w:hAnsi="Arial" w:cs="Arial"/>
        </w:rPr>
      </w:pPr>
      <w:r w:rsidRPr="00791A3F">
        <w:rPr>
          <w:rFonts w:ascii="Arial" w:hAnsi="Arial" w:cs="Arial"/>
        </w:rPr>
        <w:t>There is a need for scholarship in sustainability governance that is based on evidence and criticism (Freeman et al., 2020; Sharma et al., 2024), to which the study contributes. Ethical requirements of institutions are adhered to.</w:t>
      </w:r>
    </w:p>
    <w:p w14:paraId="10A919A7" w14:textId="77777777" w:rsidR="00E72FD7" w:rsidRPr="00791A3F" w:rsidRDefault="00E72FD7" w:rsidP="00791A3F">
      <w:pPr>
        <w:pStyle w:val="Heading2"/>
        <w:spacing w:line="360" w:lineRule="auto"/>
        <w:rPr>
          <w:rFonts w:ascii="Arial" w:hAnsi="Arial" w:cs="Arial"/>
        </w:rPr>
      </w:pPr>
      <w:bookmarkStart w:id="82" w:name="_Toc237956916"/>
      <w:bookmarkStart w:id="83" w:name="_Toc238725191"/>
      <w:r w:rsidRPr="00791A3F">
        <w:rPr>
          <w:rFonts w:ascii="Arial" w:hAnsi="Arial" w:cs="Arial"/>
        </w:rPr>
        <w:t>3.9 Research Limitations</w:t>
      </w:r>
      <w:bookmarkEnd w:id="82"/>
      <w:bookmarkEnd w:id="83"/>
    </w:p>
    <w:p w14:paraId="4249C793" w14:textId="77777777" w:rsidR="008C0C8F" w:rsidRPr="00791A3F" w:rsidRDefault="008C0C8F" w:rsidP="00791A3F">
      <w:pPr>
        <w:spacing w:line="360" w:lineRule="auto"/>
        <w:jc w:val="both"/>
        <w:rPr>
          <w:rFonts w:ascii="Arial" w:hAnsi="Arial" w:cs="Arial"/>
        </w:rPr>
      </w:pPr>
      <w:r w:rsidRPr="00791A3F">
        <w:rPr>
          <w:rFonts w:ascii="Arial" w:hAnsi="Arial" w:cs="Arial"/>
        </w:rPr>
        <w:t>There are a number of caveats to be noted. Firstly, secondary data limit access to managers, employees, suppliers and customers, which may have more insights into the implementation (Saunders et al., 2019). Partially, triangulation does not have this restriction.</w:t>
      </w:r>
    </w:p>
    <w:p w14:paraId="237A3D2D" w14:textId="77777777" w:rsidR="008C0C8F" w:rsidRPr="00791A3F" w:rsidRDefault="008C0C8F" w:rsidP="00791A3F">
      <w:pPr>
        <w:spacing w:line="360" w:lineRule="auto"/>
        <w:jc w:val="both"/>
        <w:rPr>
          <w:rFonts w:ascii="Arial" w:hAnsi="Arial" w:cs="Arial"/>
        </w:rPr>
      </w:pPr>
      <w:r w:rsidRPr="00791A3F">
        <w:rPr>
          <w:rFonts w:ascii="Arial" w:hAnsi="Arial" w:cs="Arial"/>
        </w:rPr>
        <w:t xml:space="preserve">Second, disclosures' content in recent times is broader than in 2005, which may result in an overstatement of progress due to reporting improvements rather than the actual performance (Christensen et al., 2021). </w:t>
      </w:r>
      <w:r w:rsidR="005B3246" w:rsidRPr="00791A3F">
        <w:rPr>
          <w:rFonts w:ascii="Arial" w:hAnsi="Arial" w:cs="Arial"/>
        </w:rPr>
        <w:t>The analysis thus differentiates between disclosure expansion and substantive change.</w:t>
      </w:r>
    </w:p>
    <w:p w14:paraId="2389BAF8" w14:textId="77777777" w:rsidR="008C0C8F" w:rsidRPr="00791A3F" w:rsidRDefault="008C0C8F" w:rsidP="00791A3F">
      <w:pPr>
        <w:spacing w:line="360" w:lineRule="auto"/>
        <w:jc w:val="both"/>
        <w:rPr>
          <w:rFonts w:ascii="Arial" w:hAnsi="Arial" w:cs="Arial"/>
        </w:rPr>
      </w:pPr>
      <w:r w:rsidRPr="00791A3F">
        <w:rPr>
          <w:rFonts w:ascii="Arial" w:hAnsi="Arial" w:cs="Arial"/>
        </w:rPr>
        <w:lastRenderedPageBreak/>
        <w:t>Thirdly, there is an imbalance between the representation of business models, with more mainstream business models than discount and cooperative business models. This does not make it easy to make numerical comparisons, but case studies emphasize theory, rather than numbers and balance (Yin, 2018).</w:t>
      </w:r>
    </w:p>
    <w:p w14:paraId="75D68AD7" w14:textId="77777777" w:rsidR="008C0C8F" w:rsidRPr="00791A3F" w:rsidRDefault="008C0C8F" w:rsidP="00791A3F">
      <w:pPr>
        <w:spacing w:line="360" w:lineRule="auto"/>
        <w:jc w:val="both"/>
        <w:rPr>
          <w:rFonts w:ascii="Arial" w:hAnsi="Arial" w:cs="Arial"/>
        </w:rPr>
      </w:pPr>
      <w:r w:rsidRPr="00791A3F">
        <w:rPr>
          <w:rFonts w:ascii="Arial" w:hAnsi="Arial" w:cs="Arial"/>
        </w:rPr>
        <w:t>Fourthly, interpretation is a form of researcher's judgment. Alternative themes would be identified by different researchers and the classification and categorisation of the borderline cases could vary (Braun &amp; Clarke, 2006; Lincoln &amp; Guba, 1985). Subjectivity can be minimized but not completely eliminated by using explicit criteria, triangulation and reflexivity.</w:t>
      </w:r>
    </w:p>
    <w:p w14:paraId="429956A3" w14:textId="77777777" w:rsidR="008C0C8F" w:rsidRPr="00791A3F" w:rsidRDefault="008C0C8F" w:rsidP="00791A3F">
      <w:pPr>
        <w:spacing w:line="360" w:lineRule="auto"/>
        <w:jc w:val="both"/>
        <w:rPr>
          <w:rFonts w:ascii="Arial" w:hAnsi="Arial" w:cs="Arial"/>
        </w:rPr>
      </w:pPr>
      <w:r w:rsidRPr="00791A3F">
        <w:rPr>
          <w:rFonts w:ascii="Arial" w:hAnsi="Arial" w:cs="Arial"/>
        </w:rPr>
        <w:t>The findings are not statistically generalizable, but are analytic. Conclusions are specific to food retail in the UK and might not be applicable to other sectors, countries or time periods (Yin, 2018). These constraints are dealt with in an explicit manner.</w:t>
      </w:r>
    </w:p>
    <w:p w14:paraId="0F9D80DC" w14:textId="77777777" w:rsidR="00E72FD7" w:rsidRPr="00791A3F" w:rsidRDefault="00E72FD7" w:rsidP="00791A3F">
      <w:pPr>
        <w:pStyle w:val="Heading2"/>
        <w:spacing w:line="360" w:lineRule="auto"/>
        <w:rPr>
          <w:rFonts w:ascii="Arial" w:hAnsi="Arial" w:cs="Arial"/>
        </w:rPr>
      </w:pPr>
      <w:bookmarkStart w:id="84" w:name="_Toc237956917"/>
      <w:bookmarkStart w:id="85" w:name="_Toc238725192"/>
      <w:r w:rsidRPr="00791A3F">
        <w:rPr>
          <w:rFonts w:ascii="Arial" w:hAnsi="Arial" w:cs="Arial"/>
        </w:rPr>
        <w:t>3.10 Conclusion</w:t>
      </w:r>
      <w:bookmarkEnd w:id="84"/>
      <w:bookmarkEnd w:id="85"/>
    </w:p>
    <w:p w14:paraId="28654300" w14:textId="77777777" w:rsidR="0088091B" w:rsidRPr="00791A3F" w:rsidRDefault="0088091B" w:rsidP="00791A3F">
      <w:pPr>
        <w:spacing w:line="360" w:lineRule="auto"/>
        <w:jc w:val="both"/>
        <w:rPr>
          <w:rFonts w:ascii="Arial" w:hAnsi="Arial" w:cs="Arial"/>
        </w:rPr>
      </w:pPr>
      <w:r w:rsidRPr="00791A3F">
        <w:rPr>
          <w:rFonts w:ascii="Arial" w:hAnsi="Arial" w:cs="Arial"/>
        </w:rPr>
        <w:t>This chapter has warranted the methodological approach that has been used to explore the evolution of CSR in food retail in the UK from 2005 to 2025. With respect to CSR, there are at least three different ontological and epistemological orientations: interpretivism, relativist ontology and subjectivist epistemology, and an abductive approach which is a combination of theory and sensitivity to new findings.</w:t>
      </w:r>
    </w:p>
    <w:p w14:paraId="4FC830FD" w14:textId="77777777" w:rsidR="0088091B" w:rsidRPr="00791A3F" w:rsidRDefault="0088091B" w:rsidP="00791A3F">
      <w:pPr>
        <w:spacing w:line="360" w:lineRule="auto"/>
        <w:jc w:val="both"/>
        <w:rPr>
          <w:rFonts w:ascii="Arial" w:hAnsi="Arial" w:cs="Arial"/>
        </w:rPr>
      </w:pPr>
      <w:r w:rsidRPr="00791A3F">
        <w:rPr>
          <w:rFonts w:ascii="Arial" w:hAnsi="Arial" w:cs="Arial"/>
        </w:rPr>
        <w:t>Capturing the evolving nature of these six retailers from mainstream, discount and cooperative retail stores successfully, a qualitative multiple case study design was employed. Secondary evidence includes corporate reports, statements on Modern Slavery Act, climate disclosure reports, third party assessments, civil society reports, and regulatory reports and statements that can be used to triangulate and to conduct longitudinal analysis.</w:t>
      </w:r>
    </w:p>
    <w:p w14:paraId="4E0C3985" w14:textId="77777777" w:rsidR="0088091B" w:rsidRPr="00791A3F" w:rsidRDefault="0088091B" w:rsidP="00791A3F">
      <w:pPr>
        <w:spacing w:line="360" w:lineRule="auto"/>
        <w:jc w:val="both"/>
        <w:rPr>
          <w:rFonts w:ascii="Arial" w:hAnsi="Arial" w:cs="Arial"/>
        </w:rPr>
      </w:pPr>
      <w:r w:rsidRPr="00791A3F">
        <w:rPr>
          <w:rFonts w:ascii="Arial" w:hAnsi="Arial" w:cs="Arial"/>
        </w:rPr>
        <w:t>Five dimensions of CSR and five substantive-symbolic criteria are used to structure the thematic analysis, and to systematically assess verifiability, measurability, accountability, integration and comparability. Using within-case, cross-case and temporal comparisons the differences in business-models and the evolution of CSR can be studied.</w:t>
      </w:r>
    </w:p>
    <w:p w14:paraId="46077477" w14:textId="77777777" w:rsidR="0088091B" w:rsidRPr="00791A3F" w:rsidRDefault="0088091B" w:rsidP="00791A3F">
      <w:pPr>
        <w:spacing w:line="360" w:lineRule="auto"/>
        <w:jc w:val="both"/>
        <w:rPr>
          <w:rFonts w:ascii="Arial" w:hAnsi="Arial" w:cs="Arial"/>
        </w:rPr>
      </w:pPr>
      <w:r w:rsidRPr="00791A3F">
        <w:rPr>
          <w:rFonts w:ascii="Arial" w:hAnsi="Arial" w:cs="Arial"/>
        </w:rPr>
        <w:lastRenderedPageBreak/>
        <w:t>Credibility, transferability, dependability, and confirmability enhances the trustworthiness of the search, while the ethical procedures help ensure the integrity of the data, the protection of intellectual property, transparency and responsible criticism. There are some limitations associated with secondary data, temporal asymmetry, case balance, interpretive subjectivity and generalisability.</w:t>
      </w:r>
    </w:p>
    <w:p w14:paraId="270BC835" w14:textId="77777777" w:rsidR="0088091B" w:rsidRPr="00791A3F" w:rsidRDefault="0088091B" w:rsidP="00791A3F">
      <w:pPr>
        <w:spacing w:line="360" w:lineRule="auto"/>
        <w:jc w:val="both"/>
        <w:rPr>
          <w:rFonts w:ascii="Arial" w:hAnsi="Arial" w:cs="Arial"/>
        </w:rPr>
      </w:pPr>
      <w:r w:rsidRPr="00791A3F">
        <w:rPr>
          <w:rFonts w:ascii="Arial" w:hAnsi="Arial" w:cs="Arial"/>
        </w:rPr>
        <w:t>The methodology serves as a guideline as to whether CSR transformation is a real integration or symbolic reporting. The results of this framework are shown in the next chapter.</w:t>
      </w:r>
    </w:p>
    <w:p w14:paraId="0A0C5DF7" w14:textId="77777777" w:rsidR="009F6D5A" w:rsidRPr="00791A3F" w:rsidRDefault="009F6D5A" w:rsidP="00791A3F">
      <w:pPr>
        <w:spacing w:line="360" w:lineRule="auto"/>
        <w:rPr>
          <w:rFonts w:ascii="Arial" w:hAnsi="Arial" w:cs="Arial"/>
          <w:b/>
          <w:bCs/>
        </w:rPr>
      </w:pPr>
      <w:r w:rsidRPr="00791A3F">
        <w:rPr>
          <w:rFonts w:ascii="Arial" w:hAnsi="Arial" w:cs="Arial"/>
          <w:b/>
          <w:bCs/>
        </w:rPr>
        <w:br w:type="page"/>
      </w:r>
    </w:p>
    <w:p w14:paraId="177D95DD" w14:textId="77777777" w:rsidR="009F6D5A" w:rsidRPr="00791A3F" w:rsidRDefault="009F6D5A" w:rsidP="00791A3F">
      <w:pPr>
        <w:pStyle w:val="Heading1"/>
        <w:spacing w:line="360" w:lineRule="auto"/>
        <w:rPr>
          <w:rFonts w:ascii="Arial" w:hAnsi="Arial" w:cs="Arial"/>
        </w:rPr>
      </w:pPr>
      <w:bookmarkStart w:id="86" w:name="_Toc237956918"/>
      <w:bookmarkStart w:id="87" w:name="_Toc238725193"/>
      <w:r w:rsidRPr="00791A3F">
        <w:rPr>
          <w:rFonts w:ascii="Arial" w:hAnsi="Arial" w:cs="Arial"/>
        </w:rPr>
        <w:lastRenderedPageBreak/>
        <w:t>Chapter 4: Findings, Analysis and Discussion</w:t>
      </w:r>
      <w:bookmarkEnd w:id="86"/>
      <w:bookmarkEnd w:id="87"/>
    </w:p>
    <w:p w14:paraId="47EAFD8D" w14:textId="77777777" w:rsidR="003302A0" w:rsidRPr="00791A3F" w:rsidRDefault="003302A0" w:rsidP="00791A3F">
      <w:pPr>
        <w:pStyle w:val="Heading2"/>
        <w:spacing w:line="360" w:lineRule="auto"/>
        <w:rPr>
          <w:rFonts w:ascii="Arial" w:hAnsi="Arial" w:cs="Arial"/>
        </w:rPr>
      </w:pPr>
      <w:bookmarkStart w:id="88" w:name="_Toc237956919"/>
      <w:bookmarkStart w:id="89" w:name="_Toc238725194"/>
      <w:r w:rsidRPr="00791A3F">
        <w:rPr>
          <w:rFonts w:ascii="Arial" w:hAnsi="Arial" w:cs="Arial"/>
        </w:rPr>
        <w:t>4.1 Introduction</w:t>
      </w:r>
      <w:bookmarkEnd w:id="88"/>
      <w:bookmarkEnd w:id="89"/>
    </w:p>
    <w:p w14:paraId="1D0DE1E4" w14:textId="77777777" w:rsidR="00035DB5" w:rsidRPr="00791A3F" w:rsidRDefault="00035DB5" w:rsidP="00791A3F">
      <w:pPr>
        <w:spacing w:line="360" w:lineRule="auto"/>
        <w:jc w:val="both"/>
        <w:rPr>
          <w:rFonts w:ascii="Arial" w:hAnsi="Arial" w:cs="Arial"/>
        </w:rPr>
      </w:pPr>
      <w:r w:rsidRPr="00791A3F">
        <w:rPr>
          <w:rFonts w:ascii="Arial" w:hAnsi="Arial" w:cs="Arial"/>
        </w:rPr>
        <w:t>This chapter introduces, examines and discusses empirical findings of the systematic evolution of the SR strategies of six food retailers in the United Kingdom (UK) from 2005 to 2025. The analysis is done using the five-dimensional approach to CSR, which was developed in Chapters 2 and 3: environmental management, ethical sourcing, employee welfare, community engagement and customer responsibility. These dimensions are judged based on 5 evaluative criteria – verifiability, measurability, accountability, integration, and comparability. This can be useful in the research to differentiate the two categories of CSR practices: embedded and symbolic.</w:t>
      </w:r>
    </w:p>
    <w:p w14:paraId="389FAF3C" w14:textId="77777777" w:rsidR="00035DB5" w:rsidRPr="00791A3F" w:rsidRDefault="00035DB5" w:rsidP="00791A3F">
      <w:pPr>
        <w:spacing w:line="360" w:lineRule="auto"/>
        <w:jc w:val="both"/>
        <w:rPr>
          <w:rFonts w:ascii="Arial" w:hAnsi="Arial" w:cs="Arial"/>
        </w:rPr>
      </w:pPr>
      <w:r w:rsidRPr="00791A3F">
        <w:rPr>
          <w:rFonts w:ascii="Arial" w:hAnsi="Arial" w:cs="Arial"/>
        </w:rPr>
        <w:t>The longitudinal analysis shows significant increase in the amount of CSR disclosure, governance mechanisms and sustainability terminology for all retailers. That said, increased disclosure doesn't always go hand in hand with increased operations. The pressure of regulation, scrutiny by investors, expectations of stakeholders and technological advances have helped drive progress, not least in the reporting of climate impacts or in packaging. Voluntary initiatives like living wages, worker remediation, Scope 3 emissions reduction, community outcomes and public-health reform are less developed, however (Christensen et al., 2021; Torelli et al., 2020; Yang et al., 2025).</w:t>
      </w:r>
    </w:p>
    <w:p w14:paraId="61126E9B" w14:textId="77777777" w:rsidR="003302A0" w:rsidRPr="00791A3F" w:rsidRDefault="00035DB5" w:rsidP="00791A3F">
      <w:pPr>
        <w:spacing w:line="360" w:lineRule="auto"/>
        <w:jc w:val="both"/>
        <w:rPr>
          <w:rFonts w:ascii="Arial" w:hAnsi="Arial" w:cs="Arial"/>
        </w:rPr>
      </w:pPr>
      <w:r w:rsidRPr="00791A3F">
        <w:rPr>
          <w:rFonts w:ascii="Arial" w:hAnsi="Arial" w:cs="Arial"/>
        </w:rPr>
        <w:t>The chapter starts with a summary of the cross-retailer results, and then discusses the research questions. It then analyses the evidence in the light of the institutional theory, stakeholder theory and critical CSR approaches. To minimise corporate self-reporting, throughout the analysis corporate disclosures are compared to regulatory documents, third party assessments, NGO investigations and independent evidence (Michelon et al., 2015; Font et al., 2016).</w:t>
      </w:r>
    </w:p>
    <w:p w14:paraId="1B2A1A09" w14:textId="77777777" w:rsidR="003302A0" w:rsidRPr="00791A3F" w:rsidRDefault="003302A0" w:rsidP="00791A3F">
      <w:pPr>
        <w:pStyle w:val="Heading2"/>
        <w:spacing w:line="360" w:lineRule="auto"/>
        <w:rPr>
          <w:rFonts w:ascii="Arial" w:hAnsi="Arial" w:cs="Arial"/>
        </w:rPr>
      </w:pPr>
      <w:bookmarkStart w:id="90" w:name="_Toc237956920"/>
      <w:bookmarkStart w:id="91" w:name="_Toc238725195"/>
      <w:r w:rsidRPr="00791A3F">
        <w:rPr>
          <w:rFonts w:ascii="Arial" w:hAnsi="Arial" w:cs="Arial"/>
        </w:rPr>
        <w:lastRenderedPageBreak/>
        <w:t>4.2 Summary of Findings</w:t>
      </w:r>
      <w:bookmarkEnd w:id="90"/>
      <w:bookmarkEnd w:id="91"/>
    </w:p>
    <w:p w14:paraId="39358A0F" w14:textId="77777777" w:rsidR="003302A0" w:rsidRPr="00791A3F" w:rsidRDefault="003302A0" w:rsidP="00791A3F">
      <w:pPr>
        <w:pStyle w:val="Heading3"/>
        <w:spacing w:line="360" w:lineRule="auto"/>
        <w:rPr>
          <w:rFonts w:ascii="Arial" w:hAnsi="Arial" w:cs="Arial"/>
        </w:rPr>
      </w:pPr>
      <w:bookmarkStart w:id="92" w:name="_Toc237956921"/>
      <w:bookmarkStart w:id="93" w:name="_Toc238725196"/>
      <w:r w:rsidRPr="00791A3F">
        <w:rPr>
          <w:rFonts w:ascii="Arial" w:hAnsi="Arial" w:cs="Arial"/>
        </w:rPr>
        <w:t>4.2.1 CSR Evolution from 2005 to 2025</w:t>
      </w:r>
      <w:bookmarkEnd w:id="92"/>
      <w:bookmarkEnd w:id="93"/>
    </w:p>
    <w:p w14:paraId="55FE4388" w14:textId="77777777" w:rsidR="00221AF1" w:rsidRPr="00791A3F" w:rsidRDefault="00221AF1" w:rsidP="00791A3F">
      <w:pPr>
        <w:spacing w:line="360" w:lineRule="auto"/>
        <w:jc w:val="both"/>
        <w:rPr>
          <w:rFonts w:ascii="Arial" w:hAnsi="Arial" w:cs="Arial"/>
        </w:rPr>
      </w:pPr>
      <w:r w:rsidRPr="00791A3F">
        <w:rPr>
          <w:rFonts w:ascii="Arial" w:hAnsi="Arial" w:cs="Arial"/>
        </w:rPr>
        <w:t>There is strong evidence on the growth of CSR reporting over time, from the longitudinal evidence which shows that CSR reporting has grown much more extensive and sophisticated since the Jones et al. (2005) baseline. There has been a significant increase in documentation of sustainability by mainstream retailers, the development of Board-level governance for sustainability, embedding sustainability related executive bonuses and tying reporting with frameworks such as GRI and TCFD. Aldi and Lidl then followed suit with more structured reporting of sustainability, whilst the Co-operative Food continued to have relatively strong ethical disclosure, due to its cooperative history (Birchall, 2013).</w:t>
      </w:r>
    </w:p>
    <w:p w14:paraId="16718955" w14:textId="77777777" w:rsidR="00221AF1" w:rsidRPr="00791A3F" w:rsidRDefault="00221AF1" w:rsidP="00791A3F">
      <w:pPr>
        <w:spacing w:line="360" w:lineRule="auto"/>
        <w:jc w:val="both"/>
        <w:rPr>
          <w:rFonts w:ascii="Arial" w:hAnsi="Arial" w:cs="Arial"/>
        </w:rPr>
      </w:pPr>
      <w:r w:rsidRPr="00791A3F">
        <w:rPr>
          <w:rFonts w:ascii="Arial" w:hAnsi="Arial" w:cs="Arial"/>
        </w:rPr>
        <w:t>But disclosure increases is not a good measure of CSR performance. The progress of independent assurance is only partial — particularly for social metrics — and there is still a limited number of third-party certifications for ethical sourcing, employee outcomes, community impacts, and customer-health performance. The results of this study help to support the proposition that disclosure sophistication and operation accountability can be developed at different speeds (Michelon et al., 2015; Kusumawardani &amp; Dwiridotjahjono, 2024).</w:t>
      </w:r>
    </w:p>
    <w:p w14:paraId="1CAE3BF3" w14:textId="77777777" w:rsidR="00221AF1" w:rsidRPr="00791A3F" w:rsidRDefault="00221AF1" w:rsidP="00791A3F">
      <w:pPr>
        <w:spacing w:line="360" w:lineRule="auto"/>
        <w:jc w:val="both"/>
        <w:rPr>
          <w:rFonts w:ascii="Arial" w:hAnsi="Arial" w:cs="Arial"/>
        </w:rPr>
      </w:pPr>
      <w:r w:rsidRPr="00791A3F">
        <w:rPr>
          <w:rFonts w:ascii="Arial" w:hAnsi="Arial" w:cs="Arial"/>
        </w:rPr>
        <w:t>The highest level of CSR is related to environmental management. 100% of the six retailers report Scope 1 and Scope 2 emissions and have set out targets for reductions. Energy efficiency, logistics optimisation and packaging reduction are examples of tangible operational change as the same are part of the renewable energy procurement, refrigeration upgrades. However, Scope 3 emissions are still quite weak regarding target adequacy, consistency with baseline, supplier transformation, and independent verification (CDP, 2023; Balsam et al., 2025).</w:t>
      </w:r>
    </w:p>
    <w:p w14:paraId="633EAA59" w14:textId="77777777" w:rsidR="00221AF1" w:rsidRPr="00791A3F" w:rsidRDefault="00221AF1" w:rsidP="00791A3F">
      <w:pPr>
        <w:spacing w:line="360" w:lineRule="auto"/>
        <w:jc w:val="both"/>
        <w:rPr>
          <w:rFonts w:ascii="Arial" w:hAnsi="Arial" w:cs="Arial"/>
        </w:rPr>
      </w:pPr>
      <w:r w:rsidRPr="00791A3F">
        <w:rPr>
          <w:rFonts w:ascii="Arial" w:hAnsi="Arial" w:cs="Arial"/>
        </w:rPr>
        <w:t xml:space="preserve">The Modern Slavery Act 2015 is a key driver of the growth in ethical sourcing. Retailers are now reporting supplier audits, providing descriptions of risk assessments, and providing annual statements. However, there is less remediation evidence among workers and considerable lack of visibility in the supply chain. This seems to be regulatory </w:t>
      </w:r>
      <w:r w:rsidRPr="00791A3F">
        <w:rPr>
          <w:rFonts w:ascii="Arial" w:hAnsi="Arial" w:cs="Arial"/>
        </w:rPr>
        <w:lastRenderedPageBreak/>
        <w:t>compliance without matched development of worker-centred, or worker-focused, accountability (Stevenson &amp; Cole, 2021; LeBaron et al., 2021).</w:t>
      </w:r>
    </w:p>
    <w:p w14:paraId="761A06B3" w14:textId="77777777" w:rsidR="00221AF1" w:rsidRPr="00791A3F" w:rsidRDefault="00221AF1" w:rsidP="00791A3F">
      <w:pPr>
        <w:spacing w:line="360" w:lineRule="auto"/>
        <w:jc w:val="both"/>
        <w:rPr>
          <w:rFonts w:ascii="Arial" w:hAnsi="Arial" w:cs="Arial"/>
        </w:rPr>
      </w:pPr>
      <w:r w:rsidRPr="00791A3F">
        <w:rPr>
          <w:rFonts w:ascii="Arial" w:hAnsi="Arial" w:cs="Arial"/>
        </w:rPr>
        <w:t>Some improvement with employee welfare. COVID-19 had significant positive short-term effects, such as hazard pay, additional sick leave, PPE, mental-health protections, and more (Hobbs &amp; Rude, 2022; Sarkis et al., 2021). However, adoption of living wages, secure job opportunities, collective bargaining and worker voice are still relatively low. The Co-operative Food is unique in being Living Wage accredited, and in having improved stakeholder governance (Living Wage Foundation, 2024; Birchall, 2013).</w:t>
      </w:r>
    </w:p>
    <w:p w14:paraId="5F7FF038" w14:textId="77777777" w:rsidR="00221AF1" w:rsidRPr="00791A3F" w:rsidRDefault="00221AF1" w:rsidP="00791A3F">
      <w:pPr>
        <w:spacing w:line="360" w:lineRule="auto"/>
        <w:jc w:val="both"/>
        <w:rPr>
          <w:rFonts w:ascii="Arial" w:hAnsi="Arial" w:cs="Arial"/>
        </w:rPr>
      </w:pPr>
      <w:r w:rsidRPr="00791A3F">
        <w:rPr>
          <w:rFonts w:ascii="Arial" w:hAnsi="Arial" w:cs="Arial"/>
        </w:rPr>
        <w:t>The difference between symbolic substantivation is greatest in the community engagement sector. Reporting is done more for inputs than outcomes in terms of social outcomes, with reporting on donations, volunteering, food redistribution and local partnerships increasing. It is uncommon to share details of measures of community wellbeing, local economic development or measures of impact, which are often defined by the stakeholders; thus, the actual value creation remains difficult to assess (Clarke et al., 2012; Porter &amp; Kramer, 2011).</w:t>
      </w:r>
    </w:p>
    <w:p w14:paraId="4A2F8376" w14:textId="77777777" w:rsidR="00221AF1" w:rsidRPr="00791A3F" w:rsidRDefault="00221AF1" w:rsidP="00791A3F">
      <w:pPr>
        <w:spacing w:line="360" w:lineRule="auto"/>
        <w:jc w:val="both"/>
        <w:rPr>
          <w:rFonts w:ascii="Arial" w:hAnsi="Arial" w:cs="Arial"/>
        </w:rPr>
      </w:pPr>
      <w:r w:rsidRPr="00791A3F">
        <w:rPr>
          <w:rFonts w:ascii="Arial" w:hAnsi="Arial" w:cs="Arial"/>
        </w:rPr>
        <w:t>There is clear progress in labelling and food transparency around allergens, and selected reformulation programmes through customer responsibility. However, in general, retailers offer little detail with regards to exposure to ultra-processed food, promotion or whole-portfolio nutrition. This mismatch between the health associated messages and existing focus on processed products reinforces the fears around health washing (ShareAction, 2023; Scrinis &amp; Monteiro, 2025).</w:t>
      </w:r>
    </w:p>
    <w:p w14:paraId="1BD32E05" w14:textId="77777777" w:rsidR="003302A0" w:rsidRPr="00791A3F" w:rsidRDefault="003302A0" w:rsidP="00791A3F">
      <w:pPr>
        <w:pStyle w:val="Heading3"/>
        <w:spacing w:line="360" w:lineRule="auto"/>
        <w:rPr>
          <w:rFonts w:ascii="Arial" w:hAnsi="Arial" w:cs="Arial"/>
        </w:rPr>
      </w:pPr>
      <w:bookmarkStart w:id="94" w:name="_Toc237956922"/>
      <w:bookmarkStart w:id="95" w:name="_Toc238725197"/>
      <w:r w:rsidRPr="00791A3F">
        <w:rPr>
          <w:rFonts w:ascii="Arial" w:hAnsi="Arial" w:cs="Arial"/>
        </w:rPr>
        <w:t>4.2.2 Business Model Differences</w:t>
      </w:r>
      <w:bookmarkEnd w:id="94"/>
      <w:bookmarkEnd w:id="95"/>
    </w:p>
    <w:p w14:paraId="0F993BBA" w14:textId="77777777" w:rsidR="00A41EB8" w:rsidRPr="00791A3F" w:rsidRDefault="00A41EB8" w:rsidP="00791A3F">
      <w:pPr>
        <w:spacing w:line="360" w:lineRule="auto"/>
        <w:jc w:val="both"/>
        <w:rPr>
          <w:rFonts w:ascii="Arial" w:hAnsi="Arial" w:cs="Arial"/>
        </w:rPr>
      </w:pPr>
      <w:r w:rsidRPr="00791A3F">
        <w:rPr>
          <w:rFonts w:ascii="Arial" w:hAnsi="Arial" w:cs="Arial"/>
        </w:rPr>
        <w:t>The results show that there are three general CSR profiles. Mainstream supermarkets (Tesco, Sainsbury's, Morrisons and Asda) are reported to have the best reporting processes, and are also the largest to have sustainability teams and assurance and governance capability. They also have the highest level symbolic-substantive gap. Though their disclosures are generous, there is limited implementation, such as in areas of scope 3 emissions, living wages, paying attention to supply-chain remediation, and healthy-food transformation (Christensen et al., 2021; Zhao et al., 2025).</w:t>
      </w:r>
    </w:p>
    <w:p w14:paraId="0495141C" w14:textId="77777777" w:rsidR="00A41EB8" w:rsidRPr="00791A3F" w:rsidRDefault="00A41EB8" w:rsidP="00791A3F">
      <w:pPr>
        <w:spacing w:line="360" w:lineRule="auto"/>
        <w:jc w:val="both"/>
        <w:rPr>
          <w:rFonts w:ascii="Arial" w:hAnsi="Arial" w:cs="Arial"/>
        </w:rPr>
      </w:pPr>
      <w:r w:rsidRPr="00791A3F">
        <w:rPr>
          <w:rFonts w:ascii="Arial" w:hAnsi="Arial" w:cs="Arial"/>
        </w:rPr>
        <w:lastRenderedPageBreak/>
        <w:t>There's another pattern that is evident at discount retailers like Aldis and Lidl. Real environmental efficiencies can be achieved through operational efficiencies, simplifying the store format, offering a limited range and relatively light supply chains. Whereas sustainability reporting and external assurance is not as widespread and extensive as stakeholder engagement. Their business models thus exhibit an efficiency-focused business approach with a lack of transparency (Richards, 2023; Zhao et al., 2025).</w:t>
      </w:r>
    </w:p>
    <w:p w14:paraId="01237198" w14:textId="77777777" w:rsidR="000C365D" w:rsidRPr="00791A3F" w:rsidRDefault="000C365D" w:rsidP="00791A3F">
      <w:pPr>
        <w:spacing w:line="360" w:lineRule="auto"/>
        <w:rPr>
          <w:rFonts w:ascii="Arial" w:hAnsi="Arial" w:cs="Arial"/>
        </w:rPr>
      </w:pPr>
      <w:bookmarkStart w:id="96" w:name="_Toc237956923"/>
      <w:r w:rsidRPr="00791A3F">
        <w:rPr>
          <w:rFonts w:ascii="Arial" w:hAnsi="Arial" w:cs="Arial"/>
        </w:rPr>
        <w:t>The Co-operative Food has a strong structural orientation with regard to stakeholder principles. It is an accredited Living Wage, cooperative owned, has ethical trading traditions, led by Fairtrade, and delivered the community dividend to the community, in comparison to shareholder owned competitors. But because of the competition and insufficient funding, substantive performance (on all dimensions) is not possible (Birchall, 2013; Hernández-Espallardo et al., 2021).</w:t>
      </w:r>
    </w:p>
    <w:p w14:paraId="0493B3F3" w14:textId="02D6AFD0" w:rsidR="003302A0" w:rsidRPr="00791A3F" w:rsidRDefault="003302A0" w:rsidP="00791A3F">
      <w:pPr>
        <w:pStyle w:val="Heading2"/>
        <w:spacing w:line="360" w:lineRule="auto"/>
        <w:rPr>
          <w:rFonts w:ascii="Arial" w:hAnsi="Arial" w:cs="Arial"/>
        </w:rPr>
      </w:pPr>
      <w:bookmarkStart w:id="97" w:name="_Toc238725198"/>
      <w:r w:rsidRPr="00791A3F">
        <w:rPr>
          <w:rFonts w:ascii="Arial" w:hAnsi="Arial" w:cs="Arial"/>
        </w:rPr>
        <w:t>4.3 Analysis by Research Question</w:t>
      </w:r>
      <w:bookmarkEnd w:id="96"/>
      <w:bookmarkEnd w:id="97"/>
    </w:p>
    <w:p w14:paraId="316B26B4" w14:textId="77777777" w:rsidR="003302A0" w:rsidRPr="00791A3F" w:rsidRDefault="003302A0" w:rsidP="00791A3F">
      <w:pPr>
        <w:pStyle w:val="Heading3"/>
        <w:spacing w:line="360" w:lineRule="auto"/>
        <w:rPr>
          <w:rFonts w:ascii="Arial" w:hAnsi="Arial" w:cs="Arial"/>
        </w:rPr>
      </w:pPr>
      <w:bookmarkStart w:id="98" w:name="_Toc237956924"/>
      <w:bookmarkStart w:id="99" w:name="_Toc238725199"/>
      <w:r w:rsidRPr="00791A3F">
        <w:rPr>
          <w:rFonts w:ascii="Arial" w:hAnsi="Arial" w:cs="Arial"/>
        </w:rPr>
        <w:t>4.3.1 RQ1: How has CSR developed since Jones et al. (2005)?</w:t>
      </w:r>
      <w:bookmarkEnd w:id="98"/>
      <w:bookmarkEnd w:id="99"/>
    </w:p>
    <w:p w14:paraId="76B88E6B" w14:textId="77777777" w:rsidR="008C61DC" w:rsidRPr="00791A3F" w:rsidRDefault="008C61DC" w:rsidP="00791A3F">
      <w:pPr>
        <w:spacing w:line="360" w:lineRule="auto"/>
        <w:jc w:val="both"/>
        <w:rPr>
          <w:rFonts w:ascii="Arial" w:hAnsi="Arial" w:cs="Arial"/>
        </w:rPr>
      </w:pPr>
      <w:r w:rsidRPr="00791A3F">
        <w:rPr>
          <w:rFonts w:ascii="Arial" w:hAnsi="Arial" w:cs="Arial"/>
        </w:rPr>
        <w:t>The main result is the shift from a peripheral to an institutionalised business function of CSR and the lack of a uniform operational change brought about by institutionalisation. Today, the existence of board committees, sustainability strategies, links to executive KPI, risk systems, supplier programmes and formal reporting are common practice amongst large retailers (Gond et al., 2020; Matten &amp; Moon, 2008). This is a definite improvement from the mid 2000s.</w:t>
      </w:r>
    </w:p>
    <w:p w14:paraId="213CA692" w14:textId="77777777" w:rsidR="008C61DC" w:rsidRPr="00791A3F" w:rsidRDefault="008C61DC" w:rsidP="00791A3F">
      <w:pPr>
        <w:spacing w:line="360" w:lineRule="auto"/>
        <w:jc w:val="both"/>
        <w:rPr>
          <w:rFonts w:ascii="Arial" w:hAnsi="Arial" w:cs="Arial"/>
        </w:rPr>
      </w:pPr>
      <w:r w:rsidRPr="00791A3F">
        <w:rPr>
          <w:rFonts w:ascii="Arial" w:hAnsi="Arial" w:cs="Arial"/>
        </w:rPr>
        <w:t>There has been the greatest increase in verifiability in the environmental reporting area. There is increasing structured accounting and external assurance for Scope 1 and Scope 2 emissions, while Tesco and Sainsbury's have assurance for some climate metrics. In contrast, social indicators are to a large extent self-reported. In contrast, modern slavery outcomes, employee wellbeing, community impacts, and health outcomes are less frequently subject to independent verification, if any, and rarely is the same level of effort used to verify each of these outcomes. (Kusumawardani &amp; Dwiridotjahjono, 2024; Boiral et al., 2019)</w:t>
      </w:r>
    </w:p>
    <w:p w14:paraId="2ECEE0B8" w14:textId="77777777" w:rsidR="008C61DC" w:rsidRPr="00791A3F" w:rsidRDefault="008C61DC" w:rsidP="00791A3F">
      <w:pPr>
        <w:spacing w:line="360" w:lineRule="auto"/>
        <w:jc w:val="both"/>
        <w:rPr>
          <w:rFonts w:ascii="Arial" w:hAnsi="Arial" w:cs="Arial"/>
        </w:rPr>
      </w:pPr>
      <w:r w:rsidRPr="00791A3F">
        <w:rPr>
          <w:rFonts w:ascii="Arial" w:hAnsi="Arial" w:cs="Arial"/>
        </w:rPr>
        <w:lastRenderedPageBreak/>
        <w:t>There has also been an improvement (albeit not uniform) in measurability. While climate commitments can be established with a baseline, percentage, a time frame and a measure of progress, social commitments can be formulated with very general future oriented statements, such as 'improving wellbeing' or 'supporting communities'. Linguistic vagueness may make it more difficult to hold someone accountable since there is no clear starting point or standard to measure against to determine achievement (Bose et al., 2024).</w:t>
      </w:r>
    </w:p>
    <w:p w14:paraId="518FB6BA" w14:textId="77777777" w:rsidR="008C61DC" w:rsidRPr="00791A3F" w:rsidRDefault="008C61DC" w:rsidP="00791A3F">
      <w:pPr>
        <w:spacing w:line="360" w:lineRule="auto"/>
        <w:jc w:val="both"/>
        <w:rPr>
          <w:rFonts w:ascii="Arial" w:hAnsi="Arial" w:cs="Arial"/>
        </w:rPr>
      </w:pPr>
      <w:r w:rsidRPr="00791A3F">
        <w:rPr>
          <w:rFonts w:ascii="Arial" w:hAnsi="Arial" w:cs="Arial"/>
        </w:rPr>
        <w:t>Board oversight and executive incentives for accountability have increased, but consequences for failure are not so clear. Poor performance does not always lead to notifications of corrective actions, and there are few formal processes in place for worker/community stakeholders to hold poor performance accountable (LeBaron et al., 2021; Stevenson &amp; Cole, 2021).</w:t>
      </w:r>
    </w:p>
    <w:p w14:paraId="1161ED24" w14:textId="77777777" w:rsidR="008C61DC" w:rsidRPr="00791A3F" w:rsidRDefault="008C61DC" w:rsidP="00791A3F">
      <w:pPr>
        <w:spacing w:line="360" w:lineRule="auto"/>
        <w:jc w:val="both"/>
        <w:rPr>
          <w:rFonts w:ascii="Arial" w:hAnsi="Arial" w:cs="Arial"/>
        </w:rPr>
      </w:pPr>
      <w:r w:rsidRPr="00791A3F">
        <w:rPr>
          <w:rFonts w:ascii="Arial" w:hAnsi="Arial" w:cs="Arial"/>
        </w:rPr>
        <w:t>The best integration is achieved when CSR is related to cost cutting or regulation. Reducing environmental impacts and operating costs can be achieved at the same time, for example through energy efficiency, refrigeration and through using renewable electricity and reducing packaging. Social initiatives which involve regular financial redistributions (e.g. living wages, supplier remediation) are more likely to meet with opposition. This means that economic compatibility of CSR integration with the current business model is a contributing factor to CSR integration.</w:t>
      </w:r>
    </w:p>
    <w:p w14:paraId="74D3434F" w14:textId="77777777" w:rsidR="008C61DC" w:rsidRPr="00791A3F" w:rsidRDefault="008C61DC" w:rsidP="00791A3F">
      <w:pPr>
        <w:spacing w:line="360" w:lineRule="auto"/>
        <w:jc w:val="both"/>
        <w:rPr>
          <w:rFonts w:ascii="Arial" w:hAnsi="Arial" w:cs="Arial"/>
        </w:rPr>
      </w:pPr>
      <w:r w:rsidRPr="00791A3F">
        <w:rPr>
          <w:rFonts w:ascii="Arial" w:hAnsi="Arial" w:cs="Arial"/>
        </w:rPr>
        <w:t>The frameworks such as TCFD, GRI and others have helped to increase comparability. Social reporting, however, is still disconnected across a variety of subjects, especially in the areas of modern slavery, worker voice, community outcomes and nutrition. This means that CSR will evolve over time and is measurable, but not all dimensions have evolved to the same extent.</w:t>
      </w:r>
    </w:p>
    <w:p w14:paraId="67CA279B" w14:textId="77777777" w:rsidR="003302A0" w:rsidRPr="00791A3F" w:rsidRDefault="003302A0" w:rsidP="00791A3F">
      <w:pPr>
        <w:pStyle w:val="Heading3"/>
        <w:spacing w:line="360" w:lineRule="auto"/>
        <w:rPr>
          <w:rFonts w:ascii="Arial" w:hAnsi="Arial" w:cs="Arial"/>
        </w:rPr>
      </w:pPr>
      <w:bookmarkStart w:id="100" w:name="_Toc237956925"/>
      <w:bookmarkStart w:id="101" w:name="_Toc238725200"/>
      <w:r w:rsidRPr="00791A3F">
        <w:rPr>
          <w:rFonts w:ascii="Arial" w:hAnsi="Arial" w:cs="Arial"/>
        </w:rPr>
        <w:t>4.3.2 Mandatory and Voluntary CSR</w:t>
      </w:r>
      <w:bookmarkEnd w:id="100"/>
      <w:bookmarkEnd w:id="101"/>
    </w:p>
    <w:p w14:paraId="515E5387" w14:textId="77777777" w:rsidR="00D062F4" w:rsidRPr="00791A3F" w:rsidRDefault="00D062F4" w:rsidP="00791A3F">
      <w:pPr>
        <w:spacing w:line="360" w:lineRule="auto"/>
        <w:jc w:val="both"/>
        <w:rPr>
          <w:rFonts w:ascii="Arial" w:hAnsi="Arial" w:cs="Arial"/>
        </w:rPr>
      </w:pPr>
      <w:r w:rsidRPr="00791A3F">
        <w:rPr>
          <w:rFonts w:ascii="Arial" w:hAnsi="Arial" w:cs="Arial"/>
        </w:rPr>
        <w:t xml:space="preserve">One of the most important results is that of the distinction between mandatory CSR areas and voluntary CSR areas. TCFD related climate reporting, Modern Slavery Act (MSA) statements, food-safety standards and packaging tax have been widely adopted. </w:t>
      </w:r>
      <w:r w:rsidRPr="00791A3F">
        <w:rPr>
          <w:rFonts w:ascii="Arial" w:hAnsi="Arial" w:cs="Arial"/>
        </w:rPr>
        <w:lastRenderedPageBreak/>
        <w:t>Retailers have put in place quantified systems and changes to their operations, where there is a clear minimum standard set by regulation.</w:t>
      </w:r>
    </w:p>
    <w:p w14:paraId="2AB7434D" w14:textId="77777777" w:rsidR="00D062F4" w:rsidRPr="00791A3F" w:rsidRDefault="00D062F4" w:rsidP="00791A3F">
      <w:pPr>
        <w:spacing w:line="360" w:lineRule="auto"/>
        <w:jc w:val="both"/>
        <w:rPr>
          <w:rFonts w:ascii="Arial" w:hAnsi="Arial" w:cs="Arial"/>
        </w:rPr>
      </w:pPr>
      <w:r w:rsidRPr="00791A3F">
        <w:rPr>
          <w:rFonts w:ascii="Arial" w:hAnsi="Arial" w:cs="Arial"/>
        </w:rPr>
        <w:t>Voluntary areas are still not as substantial. There are few living-wage pledges, many strategies are not ambitious enough, remediation of the workers is not documented, and there is no clear enforcement of healthy food targets. This conforms to the institutional theory, which suggests that pressures to conform and comply come from coercion (DiMaggio &amp; Powell, 1983; Bansal &amp; Roth, 2000), while pressures to conform and comply come from some norm, but without sanctions, it is possible to get symbolic responses.</w:t>
      </w:r>
    </w:p>
    <w:p w14:paraId="00E53C6C" w14:textId="77777777" w:rsidR="000C365D" w:rsidRPr="00791A3F" w:rsidRDefault="000C365D" w:rsidP="00791A3F">
      <w:pPr>
        <w:spacing w:line="360" w:lineRule="auto"/>
        <w:jc w:val="both"/>
        <w:rPr>
          <w:rFonts w:ascii="Arial" w:hAnsi="Arial" w:cs="Arial"/>
        </w:rPr>
      </w:pPr>
      <w:r w:rsidRPr="00791A3F">
        <w:rPr>
          <w:rFonts w:ascii="Arial" w:hAnsi="Arial" w:cs="Arial"/>
        </w:rPr>
        <w:t>Environmental progress is an example of what happens when there's no regulatory pressure, and when there is. Retailers have stepped up from relatively basic Scope 1 and 2 energy efficiency measures, to green electricity procurement and refrigeration upgrades, between 2005 and 2025. The regulatory developments also had an impact on packaging reduction. However, transformation is still more limited in terms of biodiversity and Scope 3 transformation which needs deeper change in the supplier relationships and agricultural production.</w:t>
      </w:r>
    </w:p>
    <w:p w14:paraId="63C15E7E" w14:textId="0E662D51" w:rsidR="00D062F4" w:rsidRPr="00791A3F" w:rsidRDefault="00D062F4" w:rsidP="00791A3F">
      <w:pPr>
        <w:spacing w:line="360" w:lineRule="auto"/>
        <w:jc w:val="both"/>
        <w:rPr>
          <w:rFonts w:ascii="Arial" w:hAnsi="Arial" w:cs="Arial"/>
        </w:rPr>
      </w:pPr>
      <w:r w:rsidRPr="00791A3F">
        <w:rPr>
          <w:rFonts w:ascii="Arial" w:hAnsi="Arial" w:cs="Arial"/>
        </w:rPr>
        <w:t>Ethical sourcing shows evidence of disclosure growth that does not have any outcome evidence. Although suppliers' codes, certifications, audits and human-rights committees increased, the identification of worker compensation and remediation was still challenging. The gap is that while retailers are establishing their due diligence processes, they don't necessarily have their processes in place to restore impacted workers (Meehan &amp; Pinnington, 2022; Sarfaty &amp; Zhang, 2025).</w:t>
      </w:r>
    </w:p>
    <w:p w14:paraId="0C52FB17" w14:textId="77777777" w:rsidR="00D062F4" w:rsidRPr="00791A3F" w:rsidRDefault="00D062F4" w:rsidP="00791A3F">
      <w:pPr>
        <w:spacing w:line="360" w:lineRule="auto"/>
        <w:jc w:val="both"/>
        <w:rPr>
          <w:rFonts w:ascii="Arial" w:hAnsi="Arial" w:cs="Arial"/>
        </w:rPr>
      </w:pPr>
      <w:r w:rsidRPr="00791A3F">
        <w:rPr>
          <w:rFonts w:ascii="Arial" w:hAnsi="Arial" w:cs="Arial"/>
        </w:rPr>
        <w:t>The pattern of employee welfare is a more complicated one. COVID-19 offered immediate incentives to protect workers in all the areas of pay support, sick leave, health protection, and provision for mental health – resulting in real upgrades in the interim. During the crisis, a number of short-term measures were scrapped and long-term wage and job security mechanisms were relatively unaffected. This shows that the substantive action does not necessarily result from the crisis pressure, but it could. (Hobbs &amp; Rude, 2022)</w:t>
      </w:r>
    </w:p>
    <w:p w14:paraId="667769BC" w14:textId="77777777" w:rsidR="00D062F4" w:rsidRPr="00791A3F" w:rsidRDefault="00D062F4" w:rsidP="00791A3F">
      <w:pPr>
        <w:spacing w:line="360" w:lineRule="auto"/>
        <w:jc w:val="both"/>
        <w:rPr>
          <w:rFonts w:ascii="Arial" w:hAnsi="Arial" w:cs="Arial"/>
        </w:rPr>
      </w:pPr>
      <w:r w:rsidRPr="00791A3F">
        <w:rPr>
          <w:rFonts w:ascii="Arial" w:hAnsi="Arial" w:cs="Arial"/>
        </w:rPr>
        <w:t xml:space="preserve">Through the community engagement, the charitable funds were used, along with volunteering, re-distribution of food and partnerships. However, very few retailers record </w:t>
      </w:r>
      <w:r w:rsidRPr="00791A3F">
        <w:rPr>
          <w:rFonts w:ascii="Arial" w:hAnsi="Arial" w:cs="Arial"/>
        </w:rPr>
        <w:lastRenderedPageBreak/>
        <w:t>their activity not their outcomes. Giving to organisations or volunteering time shows the effort an organisation has put in but not necessarily a better wellbeing or a decrease in inequalities. This is an old output-outcome dichotomy of CSR evaluation that has been established by Clarke et al. (2012).</w:t>
      </w:r>
    </w:p>
    <w:p w14:paraId="0E203CF9" w14:textId="77777777" w:rsidR="00D062F4" w:rsidRPr="00791A3F" w:rsidRDefault="00D062F4" w:rsidP="00791A3F">
      <w:pPr>
        <w:spacing w:line="360" w:lineRule="auto"/>
        <w:jc w:val="both"/>
        <w:rPr>
          <w:rFonts w:ascii="Arial" w:hAnsi="Arial" w:cs="Arial"/>
        </w:rPr>
      </w:pPr>
      <w:r w:rsidRPr="00791A3F">
        <w:rPr>
          <w:rFonts w:ascii="Arial" w:hAnsi="Arial" w:cs="Arial"/>
        </w:rPr>
        <w:t>Some improvements have been made that have actually been the responsibility of the customer. A reinforced transparency of the consumer has been achieved thanks to the nutrition labelling and the information about allergens, and a reformulation of selected products. However, the lack of full disclosure of ultra-processed food sales, and the continuation of the promotion of processed categories of food, limits the ability to say that there is a comprehensive transformation of the food system for health (ShareAction, 2023; Scrinis &amp; Monteiro, 2025).</w:t>
      </w:r>
    </w:p>
    <w:p w14:paraId="05CFD09C" w14:textId="77777777" w:rsidR="003302A0" w:rsidRPr="00791A3F" w:rsidRDefault="003302A0" w:rsidP="00791A3F">
      <w:pPr>
        <w:pStyle w:val="Heading3"/>
        <w:spacing w:line="360" w:lineRule="auto"/>
        <w:rPr>
          <w:rFonts w:ascii="Arial" w:hAnsi="Arial" w:cs="Arial"/>
        </w:rPr>
      </w:pPr>
      <w:bookmarkStart w:id="102" w:name="_Toc237956926"/>
      <w:bookmarkStart w:id="103" w:name="_Toc238725201"/>
      <w:r w:rsidRPr="00791A3F">
        <w:rPr>
          <w:rFonts w:ascii="Arial" w:hAnsi="Arial" w:cs="Arial"/>
        </w:rPr>
        <w:t>4.3.3 RQ2: What Evidence Exists of Substantive Rather Than Symbolic CSR?</w:t>
      </w:r>
      <w:bookmarkEnd w:id="102"/>
      <w:bookmarkEnd w:id="103"/>
    </w:p>
    <w:p w14:paraId="752B3D8F" w14:textId="77777777" w:rsidR="000C365D" w:rsidRPr="00791A3F" w:rsidRDefault="000C365D" w:rsidP="00791A3F">
      <w:pPr>
        <w:spacing w:line="360" w:lineRule="auto"/>
        <w:jc w:val="both"/>
        <w:rPr>
          <w:rFonts w:ascii="Arial" w:hAnsi="Arial" w:cs="Arial"/>
        </w:rPr>
      </w:pPr>
      <w:r w:rsidRPr="00791A3F">
        <w:rPr>
          <w:rFonts w:ascii="Arial" w:hAnsi="Arial" w:cs="Arial"/>
        </w:rPr>
        <w:t>There is good evidence of operational change provided by environmental management. Changes made by all retailers as a result of the electricity, refrigeration, packaging and logistics have been quantified and the links between the various changes and capital investments can be established. But scope 3 is the major challenge as it is dependent on suppliers and agricultural production.</w:t>
      </w:r>
    </w:p>
    <w:p w14:paraId="014CFB8C" w14:textId="7472DA3D" w:rsidR="00774993" w:rsidRPr="00791A3F" w:rsidRDefault="00774993" w:rsidP="00791A3F">
      <w:pPr>
        <w:spacing w:line="360" w:lineRule="auto"/>
        <w:jc w:val="both"/>
        <w:rPr>
          <w:rFonts w:ascii="Arial" w:hAnsi="Arial" w:cs="Arial"/>
        </w:rPr>
      </w:pPr>
      <w:r w:rsidRPr="00791A3F">
        <w:rPr>
          <w:rFonts w:ascii="Arial" w:hAnsi="Arial" w:cs="Arial"/>
        </w:rPr>
        <w:t>The scope 3 reporting can't therefore be mistaken with the scope 3 transformation. The targets could be small, baselines may be updated and supplier programmes could include only a small proportion of the farms. Evidence of absolute transformation in the supply chain is less strong for claims that rely heavily on accounting improvements or renewable-energy procurement or on small pilots (Bingler et al., 2023).</w:t>
      </w:r>
    </w:p>
    <w:p w14:paraId="015AD519" w14:textId="77777777" w:rsidR="00774993" w:rsidRPr="00791A3F" w:rsidRDefault="00774993" w:rsidP="00791A3F">
      <w:pPr>
        <w:spacing w:line="360" w:lineRule="auto"/>
        <w:jc w:val="both"/>
        <w:rPr>
          <w:rFonts w:ascii="Arial" w:hAnsi="Arial" w:cs="Arial"/>
        </w:rPr>
      </w:pPr>
      <w:r w:rsidRPr="00791A3F">
        <w:rPr>
          <w:rFonts w:ascii="Arial" w:hAnsi="Arial" w:cs="Arial"/>
        </w:rPr>
        <w:t>A similar issue occurs with biodiversity. The language and commitments from retailers are made towards nature through soy, palm oil, cocoa and beef are lacking in transparency of exclusion mechanisms and lack large-scale regenerative agriculture. Overall, innovation does not necessarily imply system-wide change, since a pilot programme can prove innovative, but not necessarily a sign of change on a broader scale (Greenpeace, 2023).</w:t>
      </w:r>
    </w:p>
    <w:p w14:paraId="14ADCC25" w14:textId="77777777" w:rsidR="00774993" w:rsidRPr="00791A3F" w:rsidRDefault="00774993" w:rsidP="00791A3F">
      <w:pPr>
        <w:spacing w:line="360" w:lineRule="auto"/>
        <w:jc w:val="both"/>
        <w:rPr>
          <w:rFonts w:ascii="Arial" w:hAnsi="Arial" w:cs="Arial"/>
        </w:rPr>
      </w:pPr>
      <w:r w:rsidRPr="00791A3F">
        <w:rPr>
          <w:rFonts w:ascii="Arial" w:hAnsi="Arial" w:cs="Arial"/>
        </w:rPr>
        <w:lastRenderedPageBreak/>
        <w:t>Ethical sourcing has been mainly symbolic in terms of the five criteria. While it is universal to have a modern slavery statement, there is not a universal set of outcome measures. Supplier audits aren't about the number of exploited workers that have been successfully compensated, reinstated or protected. There is also not a complete mapping of the deep tiers, meaning there is less transparency where risks can be focused (Stevenson &amp; Cole, 2021; LeBaron et al., 2021).</w:t>
      </w:r>
    </w:p>
    <w:p w14:paraId="6A7D5EEC" w14:textId="77777777" w:rsidR="00774993" w:rsidRPr="00791A3F" w:rsidRDefault="00774993" w:rsidP="00791A3F">
      <w:pPr>
        <w:spacing w:line="360" w:lineRule="auto"/>
        <w:jc w:val="both"/>
        <w:rPr>
          <w:rFonts w:ascii="Arial" w:hAnsi="Arial" w:cs="Arial"/>
        </w:rPr>
      </w:pPr>
      <w:r w:rsidRPr="00791A3F">
        <w:rPr>
          <w:rFonts w:ascii="Arial" w:hAnsi="Arial" w:cs="Arial"/>
        </w:rPr>
        <w:t>There's no doubt that employee welfare is taking on a lot more meaning during this pandemic of COVID-19. Employers put in place PPE, physical protection, sick leave benefits and additional pay premiums. They were actions taken to deal with short term, material threats and were consuming resources. However, long-term concerns, particularly living wages, secured hours and employee representation measures are more challenging as they have an impact on labour costs and managerial decisions (Oxfam, 2021; ShareAction, 2023).</w:t>
      </w:r>
    </w:p>
    <w:p w14:paraId="66AF6D1E" w14:textId="77777777" w:rsidR="00774993" w:rsidRPr="00791A3F" w:rsidRDefault="00774993" w:rsidP="00791A3F">
      <w:pPr>
        <w:spacing w:line="360" w:lineRule="auto"/>
        <w:jc w:val="both"/>
        <w:rPr>
          <w:rFonts w:ascii="Arial" w:hAnsi="Arial" w:cs="Arial"/>
        </w:rPr>
      </w:pPr>
      <w:r w:rsidRPr="00791A3F">
        <w:rPr>
          <w:rFonts w:ascii="Arial" w:hAnsi="Arial" w:cs="Arial"/>
        </w:rPr>
        <w:t>Evaluating community initiatives raises a challenge as it is hard to categorize them as substantive as it is unlikely that retailers report outcomes. The Co-operative Food is relatively unique in terms of its community dividend as it allocates resources structurally to the localities. However, there is still very limited evidence of how affected communities exert their own decisions on the core commercial decisions in philanthropistic models (Birchall, 2013).</w:t>
      </w:r>
    </w:p>
    <w:p w14:paraId="72FA1746" w14:textId="77777777" w:rsidR="00774993" w:rsidRPr="00791A3F" w:rsidRDefault="00774993" w:rsidP="00791A3F">
      <w:pPr>
        <w:spacing w:line="360" w:lineRule="auto"/>
        <w:jc w:val="both"/>
        <w:rPr>
          <w:rFonts w:ascii="Arial" w:hAnsi="Arial" w:cs="Arial"/>
        </w:rPr>
      </w:pPr>
      <w:r w:rsidRPr="00791A3F">
        <w:rPr>
          <w:rFonts w:ascii="Arial" w:hAnsi="Arial" w:cs="Arial"/>
        </w:rPr>
        <w:t>Customer Responsibility: True transparency and Selective health communication. Whilst reformulation and labelling improvements can help to tackle own-brand products, they are not necessarily linked together and do not necessarily cover the food portfolio as a whole. There is currently no legislation for the public sale of UPFs, making it hard to make a comprehensive evaluation. Thus, the claims about health might be valid on a limited basis within specific programmes, but won't be when they are read as a proof of transformation of the entire portfolio (ShareAction, 2023; Scrinis &amp; Monteiro, 2025).</w:t>
      </w:r>
    </w:p>
    <w:p w14:paraId="7F5BD089" w14:textId="77777777" w:rsidR="003302A0" w:rsidRPr="00791A3F" w:rsidRDefault="003302A0" w:rsidP="00791A3F">
      <w:pPr>
        <w:pStyle w:val="Heading3"/>
        <w:spacing w:line="360" w:lineRule="auto"/>
        <w:rPr>
          <w:rFonts w:ascii="Arial" w:hAnsi="Arial" w:cs="Arial"/>
        </w:rPr>
      </w:pPr>
      <w:bookmarkStart w:id="104" w:name="_Toc237956927"/>
      <w:bookmarkStart w:id="105" w:name="_Toc238725202"/>
      <w:r w:rsidRPr="00791A3F">
        <w:rPr>
          <w:rFonts w:ascii="Arial" w:hAnsi="Arial" w:cs="Arial"/>
        </w:rPr>
        <w:t>4.3.4 RQ3: How Do Business Models Differ?</w:t>
      </w:r>
      <w:bookmarkEnd w:id="104"/>
      <w:bookmarkEnd w:id="105"/>
    </w:p>
    <w:p w14:paraId="005C1E92" w14:textId="77777777" w:rsidR="00CA2D93" w:rsidRPr="00791A3F" w:rsidRDefault="00CA2D93" w:rsidP="00791A3F">
      <w:pPr>
        <w:spacing w:line="360" w:lineRule="auto"/>
        <w:jc w:val="both"/>
        <w:rPr>
          <w:rFonts w:ascii="Arial" w:hAnsi="Arial" w:cs="Arial"/>
        </w:rPr>
      </w:pPr>
      <w:r w:rsidRPr="00791A3F">
        <w:rPr>
          <w:rFonts w:ascii="Arial" w:hAnsi="Arial" w:cs="Arial"/>
        </w:rPr>
        <w:t xml:space="preserve">Research indicates that mainstream retailers have good institutional capacity and also have good reputational management incentives. They are large and conspicuous enough </w:t>
      </w:r>
      <w:r w:rsidRPr="00791A3F">
        <w:rPr>
          <w:rFonts w:ascii="Arial" w:hAnsi="Arial" w:cs="Arial"/>
        </w:rPr>
        <w:lastRenderedPageBreak/>
        <w:t>to attract attention, and have long supply chains that allow for symbolic distinctions to be made between the actions of the company and its suppliers. CSR can therefore be professionalised to bring about real improvements, as well as impression management (Michelon et al., 2015; Zhao et al., 2025).</w:t>
      </w:r>
    </w:p>
    <w:p w14:paraId="690D71D2" w14:textId="77777777" w:rsidR="00CA2D93" w:rsidRPr="00791A3F" w:rsidRDefault="00CA2D93" w:rsidP="00791A3F">
      <w:pPr>
        <w:spacing w:line="360" w:lineRule="auto"/>
        <w:jc w:val="both"/>
        <w:rPr>
          <w:rFonts w:ascii="Arial" w:hAnsi="Arial" w:cs="Arial"/>
        </w:rPr>
      </w:pPr>
      <w:r w:rsidRPr="00791A3F">
        <w:rPr>
          <w:rFonts w:ascii="Arial" w:hAnsi="Arial" w:cs="Arial"/>
        </w:rPr>
        <w:t>This is reflected by Tesco. It has large climate governance, large operational environmental investment, sustainability reporting and accountability of the executive. But a more ambitious scope 3, remediation, adoption of living-wages, and nutrition transformation are less convincing. The case illustrates that in order to be held accountable in a substantive way, a CSR infrastructure needs to be both advanced and comprehensive.</w:t>
      </w:r>
    </w:p>
    <w:p w14:paraId="43D47AA1" w14:textId="77777777" w:rsidR="00CA2D93" w:rsidRPr="00791A3F" w:rsidRDefault="00CA2D93" w:rsidP="00791A3F">
      <w:pPr>
        <w:spacing w:line="360" w:lineRule="auto"/>
        <w:jc w:val="both"/>
        <w:rPr>
          <w:rFonts w:ascii="Arial" w:hAnsi="Arial" w:cs="Arial"/>
        </w:rPr>
      </w:pPr>
      <w:r w:rsidRPr="00791A3F">
        <w:rPr>
          <w:rFonts w:ascii="Arial" w:hAnsi="Arial" w:cs="Arial"/>
        </w:rPr>
        <w:t>Aldi and Lidl are an example of an alternative that is more efficient. Advantages for the environment can be achieved by smaller formats, limited ranges, package simplifications and optimized logistics without a lot of communication. However, there are not comprehensive sustainability disclosures and external assurance, which makes it challenging to verify the outcomes comprehensively. Their transparency shortfall is thus a different issue than their disclosure-substance shortfall (Richards, 2023) that the mainstream retailers have.</w:t>
      </w:r>
    </w:p>
    <w:p w14:paraId="49714595" w14:textId="77777777" w:rsidR="00CA2D93" w:rsidRPr="00791A3F" w:rsidRDefault="00CA2D93" w:rsidP="00791A3F">
      <w:pPr>
        <w:spacing w:line="360" w:lineRule="auto"/>
        <w:jc w:val="both"/>
        <w:rPr>
          <w:rFonts w:ascii="Arial" w:hAnsi="Arial" w:cs="Arial"/>
        </w:rPr>
      </w:pPr>
      <w:r w:rsidRPr="00791A3F">
        <w:rPr>
          <w:rFonts w:ascii="Arial" w:hAnsi="Arial" w:cs="Arial"/>
        </w:rPr>
        <w:t>The Co-operative Food illustrates how governance can help to deepen the integration of stakeholders. Structural foundations for CSR are improved by the Living Wage accreditation, Fairtrade leadership, community investment, and community participation. Social goals are included in the ownership model, which limits the short-term managerial discretion that makes these commitments less dependent on the decisions of managers (Hernández-Espallardo et al., 2021; Birchall, 2013). However, competing and financial problems can still not be avoided even in cooperative ownership.</w:t>
      </w:r>
    </w:p>
    <w:p w14:paraId="06EA6497" w14:textId="7E830686" w:rsidR="00225B11" w:rsidRPr="00791A3F" w:rsidRDefault="00225B11" w:rsidP="00791A3F">
      <w:pPr>
        <w:spacing w:line="360" w:lineRule="auto"/>
        <w:jc w:val="both"/>
        <w:rPr>
          <w:rFonts w:ascii="Arial" w:hAnsi="Arial" w:cs="Arial"/>
        </w:rPr>
      </w:pPr>
      <w:bookmarkStart w:id="106" w:name="_Toc237956928"/>
      <w:r w:rsidRPr="00791A3F">
        <w:rPr>
          <w:rFonts w:ascii="Arial" w:hAnsi="Arial" w:cs="Arial"/>
        </w:rPr>
        <w:t>But the differences in the business models should not be read on their own without considering the pressures on the business in the sector as a whole. As a market participant, the retailer should not only guarantee the quality of products and services but also ensure their competitiveness through maintaining their optimal price and satisfying the shareholders, while dealing with the fragmented regulations, affordability of consumers and complex supply chains (Zhao et al., 2025).</w:t>
      </w:r>
    </w:p>
    <w:p w14:paraId="770E44AA" w14:textId="6F756D2E" w:rsidR="003302A0" w:rsidRPr="00791A3F" w:rsidRDefault="003302A0" w:rsidP="00791A3F">
      <w:pPr>
        <w:pStyle w:val="Heading3"/>
        <w:spacing w:line="360" w:lineRule="auto"/>
        <w:rPr>
          <w:rFonts w:ascii="Arial" w:hAnsi="Arial" w:cs="Arial"/>
        </w:rPr>
      </w:pPr>
      <w:bookmarkStart w:id="107" w:name="_Toc238725203"/>
      <w:r w:rsidRPr="00791A3F">
        <w:rPr>
          <w:rFonts w:ascii="Arial" w:hAnsi="Arial" w:cs="Arial"/>
        </w:rPr>
        <w:lastRenderedPageBreak/>
        <w:t>4.3.5 RQ4: How Are Emerging Priorities Shaping CSR Agendas?</w:t>
      </w:r>
      <w:bookmarkEnd w:id="106"/>
      <w:bookmarkEnd w:id="107"/>
    </w:p>
    <w:p w14:paraId="796D26FD" w14:textId="77777777" w:rsidR="004D3070" w:rsidRPr="00791A3F" w:rsidRDefault="004D3070" w:rsidP="00791A3F">
      <w:pPr>
        <w:spacing w:line="360" w:lineRule="auto"/>
        <w:jc w:val="both"/>
        <w:rPr>
          <w:rFonts w:ascii="Arial" w:hAnsi="Arial" w:cs="Arial"/>
        </w:rPr>
      </w:pPr>
      <w:r w:rsidRPr="00791A3F">
        <w:rPr>
          <w:rFonts w:ascii="Arial" w:hAnsi="Arial" w:cs="Arial"/>
        </w:rPr>
        <w:t>Since 2020 Scope 3 emissions have been a major concern in climate change. Retailers are more often publicly reporting their upstream emissions, implementing science based targets and implementing supplier engagement programmes. But the use of operating translation is still limited. Targets may not be on track to reach the rapid decarbonisation pathways, the farmer transition programmes may be smaller than overall supply bases, and the baselines can be modified (Balsam et al., 2025; Bingler et al., 2023).</w:t>
      </w:r>
    </w:p>
    <w:p w14:paraId="6B7DB437" w14:textId="77777777" w:rsidR="004D3070" w:rsidRPr="00791A3F" w:rsidRDefault="004D3070" w:rsidP="00791A3F">
      <w:pPr>
        <w:spacing w:line="360" w:lineRule="auto"/>
        <w:jc w:val="both"/>
        <w:rPr>
          <w:rFonts w:ascii="Arial" w:hAnsi="Arial" w:cs="Arial"/>
        </w:rPr>
      </w:pPr>
      <w:r w:rsidRPr="00791A3F">
        <w:rPr>
          <w:rFonts w:ascii="Arial" w:hAnsi="Arial" w:cs="Arial"/>
        </w:rPr>
        <w:t>Most of the commitments under the circular economy have increased, primarily in the area of packaging. The direct finance incentives are those provided by plastic taxes and extended producer responsibility. These are the actions for substantive change. However, reusing, refilling and circularity at the system level is still small in comparison, indicating that the retailers operate as a single use system (Ncube et al., 2020; Ribeiro et al., 2023).</w:t>
      </w:r>
    </w:p>
    <w:p w14:paraId="50778902" w14:textId="77777777" w:rsidR="004D3070" w:rsidRPr="00791A3F" w:rsidRDefault="004D3070" w:rsidP="00791A3F">
      <w:pPr>
        <w:spacing w:line="360" w:lineRule="auto"/>
        <w:jc w:val="both"/>
        <w:rPr>
          <w:rFonts w:ascii="Arial" w:hAnsi="Arial" w:cs="Arial"/>
        </w:rPr>
      </w:pPr>
      <w:r w:rsidRPr="00791A3F">
        <w:rPr>
          <w:rFonts w:ascii="Arial" w:hAnsi="Arial" w:cs="Arial"/>
        </w:rPr>
        <w:t>There has been a large amount of agenda integration, and little remediation, for modern slavery. Statements are longer, there is greater sophistication in governance systems, but more challenging to check if the worker-centred outcomes are achieved. The regulatory system thus seems to be more successful in fostering the creation of reporting than protection outcomes (Stevenson &amp; Cole, 2021).</w:t>
      </w:r>
    </w:p>
    <w:p w14:paraId="14CFE247" w14:textId="77777777" w:rsidR="004D3070" w:rsidRPr="00791A3F" w:rsidRDefault="004D3070" w:rsidP="00791A3F">
      <w:pPr>
        <w:spacing w:line="360" w:lineRule="auto"/>
        <w:jc w:val="both"/>
        <w:rPr>
          <w:rFonts w:ascii="Arial" w:hAnsi="Arial" w:cs="Arial"/>
        </w:rPr>
      </w:pPr>
      <w:r w:rsidRPr="00791A3F">
        <w:rPr>
          <w:rFonts w:ascii="Arial" w:hAnsi="Arial" w:cs="Arial"/>
        </w:rPr>
        <w:t>Public health has also grown in prominence with the reformulation of products, nutrition labelling and healthy ranges, as well as responsible-eating campaigns. The lack of transparency around UPFs in the public health message, the promotion of processed products, their affordability and poor implementation contribute to a disjunction between the public-health message and transformation at the portfolio level (ShareAction, 2023; Mialon et al., 2026).</w:t>
      </w:r>
    </w:p>
    <w:p w14:paraId="06287B63" w14:textId="77777777" w:rsidR="00D864A6" w:rsidRPr="00791A3F" w:rsidRDefault="00D864A6" w:rsidP="00791A3F">
      <w:pPr>
        <w:pStyle w:val="Heading2"/>
        <w:spacing w:line="360" w:lineRule="auto"/>
        <w:rPr>
          <w:rFonts w:ascii="Arial" w:hAnsi="Arial" w:cs="Arial"/>
        </w:rPr>
      </w:pPr>
      <w:bookmarkStart w:id="108" w:name="_Toc237956929"/>
      <w:bookmarkStart w:id="109" w:name="_Toc238725204"/>
      <w:r w:rsidRPr="00791A3F">
        <w:rPr>
          <w:rFonts w:ascii="Arial" w:hAnsi="Arial" w:cs="Arial"/>
        </w:rPr>
        <w:t>4.4 Discussion of Results</w:t>
      </w:r>
      <w:bookmarkEnd w:id="108"/>
      <w:bookmarkEnd w:id="109"/>
    </w:p>
    <w:p w14:paraId="5A124447" w14:textId="77777777" w:rsidR="00D864A6" w:rsidRPr="00791A3F" w:rsidRDefault="00D864A6" w:rsidP="00791A3F">
      <w:pPr>
        <w:pStyle w:val="Heading3"/>
        <w:spacing w:line="360" w:lineRule="auto"/>
        <w:rPr>
          <w:rFonts w:ascii="Arial" w:hAnsi="Arial" w:cs="Arial"/>
        </w:rPr>
      </w:pPr>
      <w:bookmarkStart w:id="110" w:name="_Toc237956930"/>
      <w:bookmarkStart w:id="111" w:name="_Toc238725205"/>
      <w:r w:rsidRPr="00791A3F">
        <w:rPr>
          <w:rFonts w:ascii="Arial" w:hAnsi="Arial" w:cs="Arial"/>
        </w:rPr>
        <w:t>4.4.1 Institutional Pressures</w:t>
      </w:r>
      <w:bookmarkEnd w:id="110"/>
      <w:bookmarkEnd w:id="111"/>
    </w:p>
    <w:p w14:paraId="09D2444B" w14:textId="77777777" w:rsidR="00D864A6" w:rsidRPr="00791A3F" w:rsidRDefault="00D864A6" w:rsidP="00791A3F">
      <w:pPr>
        <w:spacing w:line="360" w:lineRule="auto"/>
        <w:jc w:val="both"/>
        <w:rPr>
          <w:rFonts w:ascii="Arial" w:hAnsi="Arial" w:cs="Arial"/>
        </w:rPr>
      </w:pPr>
      <w:r w:rsidRPr="00791A3F">
        <w:rPr>
          <w:rFonts w:ascii="Arial" w:hAnsi="Arial" w:cs="Arial"/>
        </w:rPr>
        <w:t xml:space="preserve">Results are very supportive of the institutional theory. Normative forces can induce reporting without deep change and coercive forces can induce responses that are more consistent across operations, but do not necessarily result in deep change (DiMaggio and </w:t>
      </w:r>
      <w:r w:rsidRPr="00791A3F">
        <w:rPr>
          <w:rFonts w:ascii="Arial" w:hAnsi="Arial" w:cs="Arial"/>
        </w:rPr>
        <w:lastRenderedPageBreak/>
        <w:t>Powell, 1983; Bansal and Roth, 2000). The mandatory climate and packaging requirements have had measurable impacts while the voluntary living wages, Scope 3 ambition and worker remediation and health transformation are weaker.</w:t>
      </w:r>
    </w:p>
    <w:p w14:paraId="6292A552" w14:textId="77777777" w:rsidR="00D864A6" w:rsidRPr="00791A3F" w:rsidRDefault="00D864A6" w:rsidP="00791A3F">
      <w:pPr>
        <w:spacing w:line="360" w:lineRule="auto"/>
        <w:jc w:val="both"/>
        <w:rPr>
          <w:rFonts w:ascii="Arial" w:hAnsi="Arial" w:cs="Arial"/>
        </w:rPr>
      </w:pPr>
      <w:r w:rsidRPr="00791A3F">
        <w:rPr>
          <w:rFonts w:ascii="Arial" w:hAnsi="Arial" w:cs="Arial"/>
        </w:rPr>
        <w:t>This discovery is an outlier to positive readings of the notion of shared value. When CSR requirements are in direct opposition to short-term profitability, less expensive responses like disclosure, pilot programmes and voluntary targets are favoured by retailers (Porter &amp; Kramer, 2011; Crane et al., 2014). Outcome-based regulation, independent assurance, and sanctions, therefore could be the need for effective policy, in addition to disclosure.</w:t>
      </w:r>
    </w:p>
    <w:p w14:paraId="2EDD1DD8" w14:textId="77777777" w:rsidR="00D864A6" w:rsidRPr="00791A3F" w:rsidRDefault="00D864A6" w:rsidP="00791A3F">
      <w:pPr>
        <w:pStyle w:val="Heading3"/>
        <w:spacing w:line="360" w:lineRule="auto"/>
        <w:rPr>
          <w:rFonts w:ascii="Arial" w:hAnsi="Arial" w:cs="Arial"/>
        </w:rPr>
      </w:pPr>
      <w:bookmarkStart w:id="112" w:name="_Toc237956931"/>
      <w:bookmarkStart w:id="113" w:name="_Toc238725206"/>
      <w:r w:rsidRPr="00791A3F">
        <w:rPr>
          <w:rFonts w:ascii="Arial" w:hAnsi="Arial" w:cs="Arial"/>
        </w:rPr>
        <w:t>4.4.2 Stakeholder Salience</w:t>
      </w:r>
      <w:bookmarkEnd w:id="112"/>
      <w:bookmarkEnd w:id="113"/>
    </w:p>
    <w:p w14:paraId="73CEC640" w14:textId="77777777" w:rsidR="00D864A6" w:rsidRPr="00791A3F" w:rsidRDefault="00D864A6" w:rsidP="00791A3F">
      <w:pPr>
        <w:spacing w:line="360" w:lineRule="auto"/>
        <w:jc w:val="both"/>
        <w:rPr>
          <w:rFonts w:ascii="Arial" w:hAnsi="Arial" w:cs="Arial"/>
        </w:rPr>
      </w:pPr>
      <w:r w:rsidRPr="00791A3F">
        <w:rPr>
          <w:rFonts w:ascii="Arial" w:hAnsi="Arial" w:cs="Arial"/>
        </w:rPr>
        <w:t>The theory of the stakeholders is also embraced. The power of investors and regulators are relatively high and thus CSR responsiveness is stronger. Workers in the supply chain, low wage earners, weak consumers and future generations have high levels of legitimacy and urgency but lower levels of direct power - which equates to weaker substantive outcomes (Mitchell et al., 1997).</w:t>
      </w:r>
    </w:p>
    <w:p w14:paraId="5E987CD6" w14:textId="77777777" w:rsidR="00D864A6" w:rsidRPr="00791A3F" w:rsidRDefault="00D864A6" w:rsidP="00791A3F">
      <w:pPr>
        <w:spacing w:line="360" w:lineRule="auto"/>
        <w:jc w:val="both"/>
        <w:rPr>
          <w:rFonts w:ascii="Arial" w:hAnsi="Arial" w:cs="Arial"/>
        </w:rPr>
      </w:pPr>
      <w:r w:rsidRPr="00791A3F">
        <w:rPr>
          <w:rFonts w:ascii="Arial" w:hAnsi="Arial" w:cs="Arial"/>
        </w:rPr>
        <w:t>The pattern implies there is some selective responsiveness by stakeholders. Communication can be enhanced through engagement without a redistribution of decision-making power, e.g. through panels or consultations. The Co-operative Food makes a partial exception because of the governance by its members that helps to increase the formal influence of its stakeholders (Birchall, 2013). However, even the cooperative governance is done in competitive markets.</w:t>
      </w:r>
    </w:p>
    <w:p w14:paraId="1AF9F3B0" w14:textId="77777777" w:rsidR="00D864A6" w:rsidRPr="00791A3F" w:rsidRDefault="00D864A6" w:rsidP="00791A3F">
      <w:pPr>
        <w:pStyle w:val="Heading3"/>
        <w:spacing w:line="360" w:lineRule="auto"/>
        <w:rPr>
          <w:rFonts w:ascii="Arial" w:hAnsi="Arial" w:cs="Arial"/>
        </w:rPr>
      </w:pPr>
      <w:bookmarkStart w:id="114" w:name="_Toc237956932"/>
      <w:bookmarkStart w:id="115" w:name="_Toc238725207"/>
      <w:r w:rsidRPr="00791A3F">
        <w:rPr>
          <w:rFonts w:ascii="Arial" w:hAnsi="Arial" w:cs="Arial"/>
        </w:rPr>
        <w:t>4.4.3 Greenwashing and Health-Washing</w:t>
      </w:r>
      <w:bookmarkEnd w:id="114"/>
      <w:bookmarkEnd w:id="115"/>
    </w:p>
    <w:p w14:paraId="02066788" w14:textId="77777777" w:rsidR="00D864A6" w:rsidRPr="00791A3F" w:rsidRDefault="00D864A6" w:rsidP="00791A3F">
      <w:pPr>
        <w:spacing w:line="360" w:lineRule="auto"/>
        <w:jc w:val="both"/>
        <w:rPr>
          <w:rFonts w:ascii="Arial" w:hAnsi="Arial" w:cs="Arial"/>
        </w:rPr>
      </w:pPr>
      <w:r w:rsidRPr="00791A3F">
        <w:rPr>
          <w:rFonts w:ascii="Arial" w:hAnsi="Arial" w:cs="Arial"/>
        </w:rPr>
        <w:t>The evidence confirms the literature that refers to greenwashing as a legitimacy management strategy (Delmas &amp; Burbano, 2011; Torelli et al., 2020). There are common trends, such as the inclusion of positive initiatives but the absence of negative trade-offs, the commitment to vague initiatives that do not have measurable outcomes, the promotion of small pilot projects as being strategic measures for transforming the situation, and the selective reporting which focuses on environmental and health improvements but does not reveal any contradictory practices.</w:t>
      </w:r>
    </w:p>
    <w:p w14:paraId="4ABE6F8C" w14:textId="77777777" w:rsidR="00D864A6" w:rsidRPr="00791A3F" w:rsidRDefault="00D864A6" w:rsidP="00791A3F">
      <w:pPr>
        <w:spacing w:line="360" w:lineRule="auto"/>
        <w:jc w:val="both"/>
        <w:rPr>
          <w:rFonts w:ascii="Arial" w:hAnsi="Arial" w:cs="Arial"/>
        </w:rPr>
      </w:pPr>
      <w:r w:rsidRPr="00791A3F">
        <w:rPr>
          <w:rFonts w:ascii="Arial" w:hAnsi="Arial" w:cs="Arial"/>
        </w:rPr>
        <w:lastRenderedPageBreak/>
        <w:t>The example of climate communication shows how the efforts in Scope 1 and 2 receive a lot of attention, and Scope 3 efforts less attention. Biodiversity commitments are also written in a very general way with no clear evidence to suggest it's excluding suppliers or making change system-wide. Community CSR also makes a point of giving and volunteering and offers sparse evidence of results.</w:t>
      </w:r>
    </w:p>
    <w:p w14:paraId="06CA2EF9" w14:textId="77777777" w:rsidR="00D864A6" w:rsidRPr="00791A3F" w:rsidRDefault="00D864A6" w:rsidP="00791A3F">
      <w:pPr>
        <w:spacing w:line="360" w:lineRule="auto"/>
        <w:jc w:val="both"/>
        <w:rPr>
          <w:rFonts w:ascii="Arial" w:hAnsi="Arial" w:cs="Arial"/>
        </w:rPr>
      </w:pPr>
      <w:r w:rsidRPr="00791A3F">
        <w:rPr>
          <w:rFonts w:ascii="Arial" w:hAnsi="Arial" w:cs="Arial"/>
        </w:rPr>
        <w:t>The health washing is particularly evident when nutrition labelling and some food changes occur alongside the persistence of promotion of processed foods. It is also possible that voluntary health commitments will put pressure on mandatory interventions, which will leave a regulatory-forestalled space (Mialon et al., 2026).</w:t>
      </w:r>
    </w:p>
    <w:p w14:paraId="1578BA29" w14:textId="77777777" w:rsidR="00D864A6" w:rsidRPr="00791A3F" w:rsidRDefault="00D864A6" w:rsidP="00791A3F">
      <w:pPr>
        <w:spacing w:line="360" w:lineRule="auto"/>
        <w:jc w:val="both"/>
        <w:rPr>
          <w:rFonts w:ascii="Arial" w:hAnsi="Arial" w:cs="Arial"/>
        </w:rPr>
      </w:pPr>
      <w:r w:rsidRPr="00791A3F">
        <w:rPr>
          <w:rFonts w:ascii="Arial" w:hAnsi="Arial" w:cs="Arial"/>
        </w:rPr>
        <w:t>The practices in this document do not indicate that all CSR claims are false. Instead, the results show that there is no conflict between selective disclosure and real improvements. This further highlights the importance of evaluating CSR using several different standards, rather than in terms of reporting volumes.</w:t>
      </w:r>
    </w:p>
    <w:p w14:paraId="538A771B" w14:textId="77777777" w:rsidR="003302A0" w:rsidRPr="00791A3F" w:rsidRDefault="003302A0" w:rsidP="00791A3F">
      <w:pPr>
        <w:pStyle w:val="Heading3"/>
        <w:spacing w:line="360" w:lineRule="auto"/>
        <w:rPr>
          <w:rFonts w:ascii="Arial" w:hAnsi="Arial" w:cs="Arial"/>
        </w:rPr>
      </w:pPr>
      <w:bookmarkStart w:id="116" w:name="_Toc237956933"/>
      <w:bookmarkStart w:id="117" w:name="_Toc238725208"/>
      <w:r w:rsidRPr="00791A3F">
        <w:rPr>
          <w:rFonts w:ascii="Arial" w:hAnsi="Arial" w:cs="Arial"/>
        </w:rPr>
        <w:t>4.4.4 Business Model as Constraint and Enabler</w:t>
      </w:r>
      <w:bookmarkEnd w:id="116"/>
      <w:bookmarkEnd w:id="117"/>
    </w:p>
    <w:p w14:paraId="02083A34" w14:textId="77777777" w:rsidR="001A2919" w:rsidRPr="00791A3F" w:rsidRDefault="001A2919" w:rsidP="00791A3F">
      <w:pPr>
        <w:spacing w:line="360" w:lineRule="auto"/>
        <w:jc w:val="both"/>
        <w:rPr>
          <w:rFonts w:ascii="Arial" w:hAnsi="Arial" w:cs="Arial"/>
        </w:rPr>
      </w:pPr>
      <w:r w:rsidRPr="00791A3F">
        <w:rPr>
          <w:rFonts w:ascii="Arial" w:hAnsi="Arial" w:cs="Arial"/>
        </w:rPr>
        <w:t>The main stream supermarkets have the means to invest a lot in their CSR, but also have the highest motivation to control the risk of their reputation. They can therefore support sophisticated communication via the symbolic systems and the support for substantive environmental investment. Discount retailers demonstrate that efficiency can lead to real environmental benefits without the need for a lot of reporting, which has led some to think that there is a direct link between reporting and performance.</w:t>
      </w:r>
    </w:p>
    <w:p w14:paraId="10AD85E1" w14:textId="77777777" w:rsidR="001A2919" w:rsidRPr="00791A3F" w:rsidRDefault="001A2919" w:rsidP="00791A3F">
      <w:pPr>
        <w:spacing w:line="360" w:lineRule="auto"/>
        <w:jc w:val="both"/>
        <w:rPr>
          <w:rFonts w:ascii="Arial" w:hAnsi="Arial" w:cs="Arial"/>
        </w:rPr>
      </w:pPr>
      <w:r w:rsidRPr="00791A3F">
        <w:rPr>
          <w:rFonts w:ascii="Arial" w:hAnsi="Arial" w:cs="Arial"/>
        </w:rPr>
        <w:t>Evidence of structural support of stakeholder objectives in the form of a cooperative model. But competition, startup funding and scale is still an issue in the depth of implementation. Therefore, business model has an impact on CSR, albeit with the limitation of the sectoral economic structures (Hernández-Espallardo et al., 2021).</w:t>
      </w:r>
    </w:p>
    <w:p w14:paraId="6BF5C9ED" w14:textId="77777777" w:rsidR="003302A0" w:rsidRPr="00791A3F" w:rsidRDefault="001A2919" w:rsidP="00791A3F">
      <w:pPr>
        <w:spacing w:line="360" w:lineRule="auto"/>
        <w:jc w:val="both"/>
        <w:rPr>
          <w:rFonts w:ascii="Arial" w:hAnsi="Arial" w:cs="Arial"/>
        </w:rPr>
      </w:pPr>
      <w:r w:rsidRPr="00791A3F">
        <w:rPr>
          <w:rFonts w:ascii="Arial" w:hAnsi="Arial" w:cs="Arial"/>
        </w:rPr>
        <w:t xml:space="preserve">There has also been some convergence in regulation, thereby minimizing some differences between models and increasing interdependence. Institutional rules and expectations have now been standardised and all retailers report on climate and modern slavery. But disclosure convergence does not lead to disclosure substance convergence, </w:t>
      </w:r>
      <w:r w:rsidRPr="00791A3F">
        <w:rPr>
          <w:rFonts w:ascii="Arial" w:hAnsi="Arial" w:cs="Arial"/>
        </w:rPr>
        <w:lastRenderedPageBreak/>
        <w:t>as evidenced by the different performances of the common ways of reporting (Christensen et al., 2021)</w:t>
      </w:r>
      <w:r w:rsidR="00BE6C25" w:rsidRPr="00791A3F">
        <w:rPr>
          <w:rFonts w:ascii="Arial" w:hAnsi="Arial" w:cs="Arial"/>
        </w:rPr>
        <w:t>.</w:t>
      </w:r>
    </w:p>
    <w:p w14:paraId="4F507AFD" w14:textId="77777777" w:rsidR="003302A0" w:rsidRPr="00791A3F" w:rsidRDefault="003302A0" w:rsidP="00791A3F">
      <w:pPr>
        <w:pStyle w:val="Heading3"/>
        <w:spacing w:line="360" w:lineRule="auto"/>
        <w:rPr>
          <w:rFonts w:ascii="Arial" w:hAnsi="Arial" w:cs="Arial"/>
        </w:rPr>
      </w:pPr>
      <w:bookmarkStart w:id="118" w:name="_Toc237956934"/>
      <w:bookmarkStart w:id="119" w:name="_Toc238725209"/>
      <w:r w:rsidRPr="00791A3F">
        <w:rPr>
          <w:rFonts w:ascii="Arial" w:hAnsi="Arial" w:cs="Arial"/>
        </w:rPr>
        <w:t>4.4.5 COVID-19 as a Critical Juncture</w:t>
      </w:r>
      <w:bookmarkEnd w:id="118"/>
      <w:bookmarkEnd w:id="119"/>
    </w:p>
    <w:p w14:paraId="5D8B1958" w14:textId="77777777" w:rsidR="00BE6C25" w:rsidRPr="00791A3F" w:rsidRDefault="00BE6C25" w:rsidP="00791A3F">
      <w:pPr>
        <w:spacing w:line="360" w:lineRule="auto"/>
        <w:jc w:val="both"/>
        <w:rPr>
          <w:rFonts w:ascii="Arial" w:hAnsi="Arial" w:cs="Arial"/>
        </w:rPr>
      </w:pPr>
      <w:r w:rsidRPr="00791A3F">
        <w:rPr>
          <w:rFonts w:ascii="Arial" w:hAnsi="Arial" w:cs="Arial"/>
        </w:rPr>
        <w:t>That substantive CSR can take place in the presence of a pandemic when the short term demands of stakeholders and regulators are matched by operational requirements is all evidence to all. Retailers' adaptive capacity (Hobbs &amp; Rude, 2022) was evident in their rapid response to protect workers and provide financial assistance.</w:t>
      </w:r>
    </w:p>
    <w:p w14:paraId="3C583237" w14:textId="77777777" w:rsidR="00BE6C25" w:rsidRPr="00791A3F" w:rsidRDefault="00BE6C25" w:rsidP="00791A3F">
      <w:pPr>
        <w:spacing w:line="360" w:lineRule="auto"/>
        <w:jc w:val="both"/>
        <w:rPr>
          <w:rFonts w:ascii="Arial" w:hAnsi="Arial" w:cs="Arial"/>
        </w:rPr>
      </w:pPr>
      <w:r w:rsidRPr="00791A3F">
        <w:rPr>
          <w:rFonts w:ascii="Arial" w:hAnsi="Arial" w:cs="Arial"/>
        </w:rPr>
        <w:t>But a number of actions were short term. As the immediate crisis receded, there was a drop in hazard pay and improvement of policies, but no changes in wage and security concerns in the long term. Crises, in the episode, thus showed that organisations could have the potential to move beyond rhetoric to do something substantive, even if it was not to alter underlying governance priorities (Fleming &amp; Jones, 2013).</w:t>
      </w:r>
    </w:p>
    <w:p w14:paraId="1E8B3B61" w14:textId="77777777" w:rsidR="003302A0" w:rsidRPr="00791A3F" w:rsidRDefault="003302A0" w:rsidP="00791A3F">
      <w:pPr>
        <w:pStyle w:val="Heading3"/>
        <w:spacing w:line="360" w:lineRule="auto"/>
        <w:rPr>
          <w:rFonts w:ascii="Arial" w:hAnsi="Arial" w:cs="Arial"/>
        </w:rPr>
      </w:pPr>
      <w:bookmarkStart w:id="120" w:name="_Toc237956935"/>
      <w:bookmarkStart w:id="121" w:name="_Toc238725210"/>
      <w:r w:rsidRPr="00791A3F">
        <w:rPr>
          <w:rFonts w:ascii="Arial" w:hAnsi="Arial" w:cs="Arial"/>
        </w:rPr>
        <w:t>4.4.6 Theoretical and Practical Implications</w:t>
      </w:r>
      <w:bookmarkEnd w:id="120"/>
      <w:bookmarkEnd w:id="121"/>
    </w:p>
    <w:p w14:paraId="5E71B215" w14:textId="77777777" w:rsidR="0017785F" w:rsidRPr="00791A3F" w:rsidRDefault="0017785F" w:rsidP="00791A3F">
      <w:pPr>
        <w:spacing w:line="360" w:lineRule="auto"/>
        <w:jc w:val="both"/>
        <w:rPr>
          <w:rFonts w:ascii="Arial" w:hAnsi="Arial" w:cs="Arial"/>
        </w:rPr>
      </w:pPr>
      <w:r w:rsidRPr="00791A3F">
        <w:rPr>
          <w:rFonts w:ascii="Arial" w:hAnsi="Arial" w:cs="Arial"/>
        </w:rPr>
        <w:t>The first theoretical development is methodological—the five criterion framework offers a practical way of articulating the substantive-symbolic distinction. CSR claims can be assessed in a systematic way, not impressionistic, by virtue of the principles of verifiability, measurability, accountability, integration and comparability (Walker &amp; Wan, 2012; Yang et al., 2025).</w:t>
      </w:r>
    </w:p>
    <w:p w14:paraId="4AC9B229" w14:textId="77777777" w:rsidR="0017785F" w:rsidRPr="00791A3F" w:rsidRDefault="0017785F" w:rsidP="00791A3F">
      <w:pPr>
        <w:spacing w:line="360" w:lineRule="auto"/>
        <w:jc w:val="both"/>
        <w:rPr>
          <w:rFonts w:ascii="Arial" w:hAnsi="Arial" w:cs="Arial"/>
        </w:rPr>
      </w:pPr>
      <w:r w:rsidRPr="00791A3F">
        <w:rPr>
          <w:rFonts w:ascii="Arial" w:hAnsi="Arial" w:cs="Arial"/>
        </w:rPr>
        <w:t>Second, the institutional theory and stakeholder theory can be integrated together for a better understanding of the results of CSR. Although it is not intended to provide a comprehensive explanation of the decisions made by organizations that lead to the same internal structures and roles for CSR, the institutional theory provides an explanation for this. While the stakeholder theory explains what role the stakeholders play in the substantive action of the organization, it cannot explain which stakeholder interests are being translated into substantive action (Jamali &amp; Karam, 2018).</w:t>
      </w:r>
    </w:p>
    <w:p w14:paraId="36C4A344" w14:textId="77777777" w:rsidR="0017785F" w:rsidRPr="00791A3F" w:rsidRDefault="0017785F" w:rsidP="00791A3F">
      <w:pPr>
        <w:spacing w:line="360" w:lineRule="auto"/>
        <w:jc w:val="both"/>
        <w:rPr>
          <w:rFonts w:ascii="Arial" w:hAnsi="Arial" w:cs="Arial"/>
        </w:rPr>
      </w:pPr>
      <w:r w:rsidRPr="00791A3F">
        <w:rPr>
          <w:rFonts w:ascii="Arial" w:hAnsi="Arial" w:cs="Arial"/>
        </w:rPr>
        <w:t>Thirdly, business model comparison shows that it is possible to see how ownership, resources capacity, visibility and business design influence the CSR strategies. However, if there are gaps in the universal level, it shows the significance of sector level constraints.</w:t>
      </w:r>
    </w:p>
    <w:p w14:paraId="30B82F69" w14:textId="77777777" w:rsidR="003302A0" w:rsidRPr="00791A3F" w:rsidRDefault="0017785F" w:rsidP="00791A3F">
      <w:pPr>
        <w:spacing w:line="360" w:lineRule="auto"/>
        <w:jc w:val="both"/>
        <w:rPr>
          <w:rFonts w:ascii="Arial" w:hAnsi="Arial" w:cs="Arial"/>
        </w:rPr>
      </w:pPr>
      <w:r w:rsidRPr="00791A3F">
        <w:rPr>
          <w:rFonts w:ascii="Arial" w:hAnsi="Arial" w:cs="Arial"/>
        </w:rPr>
        <w:lastRenderedPageBreak/>
        <w:t>The results reinforce the usefulness of outcome reporting, independent verification, worker-remediation regulations, and requirement of health and climate targets for regulators (Christensen et al., 2021; Stevenson &amp; Cole, 2021). The research also shows that, for investors and consumers, the sophistication of disclosure can be different from outcomes. The picture for NGOs highlights specific challenges in terms of accountability that need to be investigated. To managers, the credibility of CSR relies on how well it can be integrated into business operations, have clear metrics, independent assurance and have meaningful stakeholder engagement.</w:t>
      </w:r>
    </w:p>
    <w:p w14:paraId="24FFA277" w14:textId="77777777" w:rsidR="003302A0" w:rsidRPr="00791A3F" w:rsidRDefault="003302A0" w:rsidP="00791A3F">
      <w:pPr>
        <w:pStyle w:val="Heading3"/>
        <w:spacing w:line="360" w:lineRule="auto"/>
        <w:rPr>
          <w:rFonts w:ascii="Arial" w:hAnsi="Arial" w:cs="Arial"/>
        </w:rPr>
      </w:pPr>
      <w:bookmarkStart w:id="122" w:name="_Toc237956936"/>
      <w:bookmarkStart w:id="123" w:name="_Toc238725211"/>
      <w:r w:rsidRPr="00791A3F">
        <w:rPr>
          <w:rFonts w:ascii="Arial" w:hAnsi="Arial" w:cs="Arial"/>
        </w:rPr>
        <w:t>4.4.7 Overall Interpretation of the Evidence</w:t>
      </w:r>
      <w:bookmarkEnd w:id="122"/>
      <w:bookmarkEnd w:id="123"/>
    </w:p>
    <w:p w14:paraId="7E088877" w14:textId="77777777" w:rsidR="006D4399" w:rsidRPr="00791A3F" w:rsidRDefault="006D4399" w:rsidP="00791A3F">
      <w:pPr>
        <w:spacing w:line="360" w:lineRule="auto"/>
        <w:jc w:val="both"/>
        <w:rPr>
          <w:rFonts w:ascii="Arial" w:hAnsi="Arial" w:cs="Arial"/>
        </w:rPr>
      </w:pPr>
      <w:r w:rsidRPr="00791A3F">
        <w:rPr>
          <w:rFonts w:ascii="Arial" w:hAnsi="Arial" w:cs="Arial"/>
        </w:rPr>
        <w:t>The results suggest that CSR change in UK food retail can be seen as a process of institutionalisation and the results are not equal. It is clear that the retailers are taking their CSR beyond the relatively limited confines of philanthropy as they did in the past. The influence of sustainability extends to board governance, risk management, investment decision making, procurement, reporting, programmes for the workforce and customer communication. That's a huge organisational evolution and not something that can be relegated to the symbolic level (Gond et al., 2020; Matten &amp; Moon, 2008).</w:t>
      </w:r>
    </w:p>
    <w:p w14:paraId="28684A3F" w14:textId="77777777" w:rsidR="006D4399" w:rsidRPr="00791A3F" w:rsidRDefault="006D4399" w:rsidP="00791A3F">
      <w:pPr>
        <w:spacing w:line="360" w:lineRule="auto"/>
        <w:jc w:val="both"/>
        <w:rPr>
          <w:rFonts w:ascii="Arial" w:hAnsi="Arial" w:cs="Arial"/>
        </w:rPr>
      </w:pPr>
      <w:r w:rsidRPr="00791A3F">
        <w:rPr>
          <w:rFonts w:ascii="Arial" w:hAnsi="Arial" w:cs="Arial"/>
        </w:rPr>
        <w:t>However, there has been a faster institutionalisation in the organisational architecture, as opposed to the level of outcomes of stakeholders. Retailers are now adept at quantifying, reporting, branding and managing their CSR, yet such skills do not necessarily alter underpinning commercial agendas. In cases where environmental measures do lead to an operational efficiency or are in response to direct regulation, substantive implementation is stronger. In the case of redistribution of value or increased labour costs, for changing purchasing or for taking lower margins, symbolic responses are more likely to occur (Crane et al., 2014; Zhao et al., 2025).</w:t>
      </w:r>
    </w:p>
    <w:p w14:paraId="3B44D16E" w14:textId="77777777" w:rsidR="00225B11" w:rsidRPr="00791A3F" w:rsidRDefault="00225B11" w:rsidP="00791A3F">
      <w:pPr>
        <w:spacing w:line="360" w:lineRule="auto"/>
        <w:jc w:val="both"/>
        <w:rPr>
          <w:rFonts w:ascii="Arial" w:hAnsi="Arial" w:cs="Arial"/>
        </w:rPr>
      </w:pPr>
      <w:r w:rsidRPr="00791A3F">
        <w:rPr>
          <w:rFonts w:ascii="Arial" w:hAnsi="Arial" w:cs="Arial"/>
        </w:rPr>
        <w:t xml:space="preserve">The evidence also suggests that the CSR authenticity is multi-dimensional. A retailer can achieve high and low scores for working well for the environment, and high and low scores for working well for their workers, respectively. There can be considerable internal variation, so the overall CSR ratings are not necessarily representative. Walker and Wan (2012), and Yang et al. (2025) note that the five-criterion framework looks for these differences not only in their presence of commitment, but also that the commitment can </w:t>
      </w:r>
      <w:r w:rsidRPr="00791A3F">
        <w:rPr>
          <w:rFonts w:ascii="Arial" w:hAnsi="Arial" w:cs="Arial"/>
        </w:rPr>
        <w:lastRenderedPageBreak/>
        <w:t>be verified, measured, attributed to accountable actors and embedded in operations and compared across cases and time periods.</w:t>
      </w:r>
    </w:p>
    <w:p w14:paraId="2EE73713" w14:textId="54938AE8" w:rsidR="006D4399" w:rsidRPr="00791A3F" w:rsidRDefault="006D4399" w:rsidP="00791A3F">
      <w:pPr>
        <w:spacing w:line="360" w:lineRule="auto"/>
        <w:jc w:val="both"/>
        <w:rPr>
          <w:rFonts w:ascii="Arial" w:hAnsi="Arial" w:cs="Arial"/>
        </w:rPr>
      </w:pPr>
      <w:r w:rsidRPr="00791A3F">
        <w:rPr>
          <w:rFonts w:ascii="Arial" w:hAnsi="Arial" w:cs="Arial"/>
        </w:rPr>
        <w:t>This is also a multidimensional explanation as to why there are mixed rather than linear results from business-model comparison. While the mainstream retailers have more capacity and more reputational risk, the efficiency gains that the discounters are able to achieve comes at the cost of risk in disclosing less information, while the social priorities of the cooperatives are embedded structurally while being exposed to market competition. No model then, is a better CSR solution per se. Each model, however, is unique in that it represents a specific set of enablers and constraints that determine the types of substantive CSR models that are possible.</w:t>
      </w:r>
    </w:p>
    <w:p w14:paraId="77388D38" w14:textId="77777777" w:rsidR="006D4399" w:rsidRPr="00791A3F" w:rsidRDefault="006D4399" w:rsidP="00791A3F">
      <w:pPr>
        <w:spacing w:line="360" w:lineRule="auto"/>
        <w:jc w:val="both"/>
        <w:rPr>
          <w:rFonts w:ascii="Arial" w:hAnsi="Arial" w:cs="Arial"/>
        </w:rPr>
      </w:pPr>
      <w:r w:rsidRPr="00791A3F">
        <w:rPr>
          <w:rFonts w:ascii="Arial" w:hAnsi="Arial" w:cs="Arial"/>
        </w:rPr>
        <w:t>Last, the findings indicate that the central issue of the next wave of CSR is not that of scaling up the amount of reporting, but improving outcome accountability. Stable baselines, similar indicators, independent verification, credible remediation, meaningful worker and community participation in projects, and connections between corporate claims and measurable social and environmental benefits are important factors that will shape the future of the initiative. If these do not happen then CSR could develop more complex without being proportionately more transformative.</w:t>
      </w:r>
    </w:p>
    <w:p w14:paraId="4F8E9BD2" w14:textId="77777777" w:rsidR="006D4399" w:rsidRPr="00791A3F" w:rsidRDefault="006D4399" w:rsidP="00791A3F">
      <w:pPr>
        <w:spacing w:line="360" w:lineRule="auto"/>
        <w:jc w:val="both"/>
        <w:rPr>
          <w:rFonts w:ascii="Arial" w:hAnsi="Arial" w:cs="Arial"/>
        </w:rPr>
      </w:pPr>
      <w:r w:rsidRPr="00791A3F">
        <w:rPr>
          <w:rFonts w:ascii="Arial" w:hAnsi="Arial" w:cs="Arial"/>
        </w:rPr>
        <w:t>Increasingly, with the rising complexity of regulations and the growing demand from stakeholders for accountability, future credibility will rely on actual results that become more obvious in the public eye than ever before, rather than on increasingly complex stories that are told in the public forum.</w:t>
      </w:r>
    </w:p>
    <w:p w14:paraId="2CFCB882" w14:textId="77777777" w:rsidR="003302A0" w:rsidRPr="00791A3F" w:rsidRDefault="003302A0" w:rsidP="00791A3F">
      <w:pPr>
        <w:pStyle w:val="Heading2"/>
        <w:spacing w:line="360" w:lineRule="auto"/>
        <w:rPr>
          <w:rFonts w:ascii="Arial" w:hAnsi="Arial" w:cs="Arial"/>
        </w:rPr>
      </w:pPr>
      <w:bookmarkStart w:id="124" w:name="_Toc237956937"/>
      <w:bookmarkStart w:id="125" w:name="_Toc238725212"/>
      <w:r w:rsidRPr="00791A3F">
        <w:rPr>
          <w:rFonts w:ascii="Arial" w:hAnsi="Arial" w:cs="Arial"/>
        </w:rPr>
        <w:t>4.5 Chapter Summary</w:t>
      </w:r>
      <w:bookmarkEnd w:id="124"/>
      <w:bookmarkEnd w:id="125"/>
    </w:p>
    <w:p w14:paraId="51AE483F" w14:textId="77777777" w:rsidR="00225B11" w:rsidRPr="00791A3F" w:rsidRDefault="00225B11" w:rsidP="00791A3F">
      <w:pPr>
        <w:spacing w:line="360" w:lineRule="auto"/>
        <w:jc w:val="both"/>
        <w:rPr>
          <w:rFonts w:ascii="Arial" w:hAnsi="Arial" w:cs="Arial"/>
        </w:rPr>
      </w:pPr>
      <w:r w:rsidRPr="00791A3F">
        <w:rPr>
          <w:rFonts w:ascii="Arial" w:hAnsi="Arial" w:cs="Arial"/>
        </w:rPr>
        <w:t>The chapter explained the analysis of how CSR has developed over 20 years (2005-2025) in seven food retailers in the UK. The findings make it clear that there is a considerable amount of disclosure and governance of CSR and CSR/sustainability related language.</w:t>
      </w:r>
    </w:p>
    <w:p w14:paraId="6D947AAB" w14:textId="416B6FD6" w:rsidR="00BF238B" w:rsidRPr="00791A3F" w:rsidRDefault="00BF238B" w:rsidP="00791A3F">
      <w:pPr>
        <w:spacing w:line="360" w:lineRule="auto"/>
        <w:jc w:val="both"/>
        <w:rPr>
          <w:rFonts w:ascii="Arial" w:hAnsi="Arial" w:cs="Arial"/>
        </w:rPr>
      </w:pPr>
      <w:r w:rsidRPr="00791A3F">
        <w:rPr>
          <w:rFonts w:ascii="Arial" w:hAnsi="Arial" w:cs="Arial"/>
        </w:rPr>
        <w:t xml:space="preserve">The most advanced dimension is on environmental management especially in the areas of Scope 1 and 2 emissions, energy efficiency, refrigeration and packaging. There is less substance in scope 3 emissions and biodiversity as it will be more difficult to transform </w:t>
      </w:r>
      <w:r w:rsidRPr="00791A3F">
        <w:rPr>
          <w:rFonts w:ascii="Arial" w:hAnsi="Arial" w:cs="Arial"/>
        </w:rPr>
        <w:lastRenderedPageBreak/>
        <w:t>and verify their supply chains. Modern slavery statements and supplier audits have been a great way to institutionalise ethical sourcing, but remediation for workers and accountability at deep level of the chain of command are not sufficient.</w:t>
      </w:r>
    </w:p>
    <w:p w14:paraId="7432E894" w14:textId="77777777" w:rsidR="00BF238B" w:rsidRPr="00791A3F" w:rsidRDefault="00BF238B" w:rsidP="00791A3F">
      <w:pPr>
        <w:spacing w:line="360" w:lineRule="auto"/>
        <w:jc w:val="both"/>
        <w:rPr>
          <w:rFonts w:ascii="Arial" w:hAnsi="Arial" w:cs="Arial"/>
        </w:rPr>
      </w:pPr>
      <w:r w:rsidRPr="00791A3F">
        <w:rPr>
          <w:rFonts w:ascii="Arial" w:hAnsi="Arial" w:cs="Arial"/>
        </w:rPr>
        <w:t>The picture with respect to employee welfare is not bright. COVID-19 has created real improvements in the operational aspects of the workplace, but worker voice, job security and living wages are comparatively low. Community involvement has increased primarily through philanthropy and volunteerism with no corresponding measurement of the outcomes. There are improvements in customer responsibility through labelling and some reformulation programmes, but there is still concern about the prevalence of UPF, promoting them, their affordability and health-washing.</w:t>
      </w:r>
    </w:p>
    <w:p w14:paraId="60117CB6" w14:textId="77777777" w:rsidR="00BF238B" w:rsidRPr="00791A3F" w:rsidRDefault="00BF238B" w:rsidP="00791A3F">
      <w:pPr>
        <w:spacing w:line="360" w:lineRule="auto"/>
        <w:jc w:val="both"/>
        <w:rPr>
          <w:rFonts w:ascii="Arial" w:hAnsi="Arial" w:cs="Arial"/>
        </w:rPr>
      </w:pPr>
      <w:r w:rsidRPr="00791A3F">
        <w:rPr>
          <w:rFonts w:ascii="Arial" w:hAnsi="Arial" w:cs="Arial"/>
        </w:rPr>
        <w:t>There are differences in business model. The supermarkets in the middle price range are characterized by both high CSR capacity and sophisticated symbolic communication, while discount supermarkets are characterized by their efficiency of operation and less transparency, and the cooperative model is characterized by good integration of the stakeholders, particularly in the field of wages and community investment. However, there is no model that is able to provide full substantive CSR, which means that the state of the institutions and the economy in each sector are still relevant.</w:t>
      </w:r>
    </w:p>
    <w:p w14:paraId="19EA3134" w14:textId="77777777" w:rsidR="00BF238B" w:rsidRPr="00791A3F" w:rsidRDefault="00BF238B" w:rsidP="00791A3F">
      <w:pPr>
        <w:spacing w:line="360" w:lineRule="auto"/>
        <w:jc w:val="both"/>
        <w:rPr>
          <w:rFonts w:ascii="Arial" w:hAnsi="Arial" w:cs="Arial"/>
        </w:rPr>
      </w:pPr>
      <w:r w:rsidRPr="00791A3F">
        <w:rPr>
          <w:rFonts w:ascii="Arial" w:hAnsi="Arial" w:cs="Arial"/>
        </w:rPr>
        <w:t>The results confirm the findings from institutional theory as shown by the high level of substantive responses in the presence of coercive regulation and low levels of response when CSR is still voluntary. Stakeholder theory is also strengthened as powerful stakeholders are more likely to be given responses than those that are less powerful and have less capacity to impose sanctions. The study also shows that greenwashing and health-washing can co-exist alongside any true improvements and independent verification and outcome-based evaluation are necessary.</w:t>
      </w:r>
    </w:p>
    <w:p w14:paraId="486E5E9F" w14:textId="77777777" w:rsidR="003302A0" w:rsidRPr="00791A3F" w:rsidRDefault="00BF238B" w:rsidP="00791A3F">
      <w:pPr>
        <w:spacing w:line="360" w:lineRule="auto"/>
        <w:jc w:val="both"/>
        <w:rPr>
          <w:rFonts w:ascii="Arial" w:hAnsi="Arial" w:cs="Arial"/>
        </w:rPr>
      </w:pPr>
      <w:r w:rsidRPr="00791A3F">
        <w:rPr>
          <w:rFonts w:ascii="Arial" w:hAnsi="Arial" w:cs="Arial"/>
        </w:rPr>
        <w:t xml:space="preserve">Overall, evidence indicates that UK food retailing is not just stuck with the narrow forms of CSR found around the 2005 baseline, but that it is on course for a shift towards a more integrated stakeholder-focused CSR. While CSR is now institutionalised and professionalised, and seen as important, transformation in operations is selective. The symbolic and substantive CSR issue is thus key to gauging progress. The results of these </w:t>
      </w:r>
      <w:r w:rsidRPr="00791A3F">
        <w:rPr>
          <w:rFonts w:ascii="Arial" w:hAnsi="Arial" w:cs="Arial"/>
        </w:rPr>
        <w:lastRenderedPageBreak/>
        <w:t>are summarized in the conclusions, recommendations, limitations and future research in the following chapter.</w:t>
      </w:r>
      <w:r w:rsidR="003302A0" w:rsidRPr="00791A3F">
        <w:rPr>
          <w:rFonts w:ascii="Arial" w:hAnsi="Arial" w:cs="Arial"/>
        </w:rPr>
        <w:br w:type="page"/>
      </w:r>
    </w:p>
    <w:p w14:paraId="4D30E595" w14:textId="77777777" w:rsidR="00897863" w:rsidRPr="00791A3F" w:rsidRDefault="00897863" w:rsidP="00791A3F">
      <w:pPr>
        <w:pStyle w:val="Heading1"/>
        <w:spacing w:line="360" w:lineRule="auto"/>
        <w:rPr>
          <w:rFonts w:ascii="Arial" w:hAnsi="Arial" w:cs="Arial"/>
        </w:rPr>
      </w:pPr>
      <w:bookmarkStart w:id="126" w:name="_Toc237956938"/>
      <w:bookmarkStart w:id="127" w:name="_Toc238725213"/>
      <w:r w:rsidRPr="00791A3F">
        <w:rPr>
          <w:rFonts w:ascii="Arial" w:hAnsi="Arial" w:cs="Arial"/>
        </w:rPr>
        <w:lastRenderedPageBreak/>
        <w:t>Chapter 5: Conclusions and Recommendations</w:t>
      </w:r>
      <w:bookmarkEnd w:id="126"/>
      <w:bookmarkEnd w:id="127"/>
    </w:p>
    <w:p w14:paraId="67E46D94" w14:textId="77777777" w:rsidR="008D435C" w:rsidRPr="00791A3F" w:rsidRDefault="008D435C" w:rsidP="00791A3F">
      <w:pPr>
        <w:pStyle w:val="Heading2"/>
        <w:spacing w:line="360" w:lineRule="auto"/>
        <w:rPr>
          <w:rFonts w:ascii="Arial" w:hAnsi="Arial" w:cs="Arial"/>
        </w:rPr>
      </w:pPr>
      <w:bookmarkStart w:id="128" w:name="_Toc237956939"/>
      <w:bookmarkStart w:id="129" w:name="_Toc238725214"/>
      <w:r w:rsidRPr="00791A3F">
        <w:rPr>
          <w:rFonts w:ascii="Arial" w:hAnsi="Arial" w:cs="Arial"/>
        </w:rPr>
        <w:t>5.1 Introduction</w:t>
      </w:r>
      <w:bookmarkEnd w:id="128"/>
      <w:bookmarkEnd w:id="129"/>
    </w:p>
    <w:p w14:paraId="77B7CBE3" w14:textId="77777777" w:rsidR="00225B11" w:rsidRPr="00791A3F" w:rsidRDefault="00225B11" w:rsidP="00791A3F">
      <w:pPr>
        <w:spacing w:line="360" w:lineRule="auto"/>
        <w:jc w:val="both"/>
        <w:rPr>
          <w:rFonts w:ascii="Arial" w:hAnsi="Arial" w:cs="Arial"/>
        </w:rPr>
      </w:pPr>
      <w:r w:rsidRPr="00791A3F">
        <w:rPr>
          <w:rFonts w:ascii="Arial" w:hAnsi="Arial" w:cs="Arial"/>
        </w:rPr>
        <w:t>This dissertation has explored the development of CSR in the UK food retail industry from 2005 to 2025 and whether there were any shifts in terms of the nature of food retailers' CSR contribution from symbolic to substantive. It examined 5 domains of CSR (Jones et al., 2005) which are being practiced in retail outlets such as Tesco, Sainsbury's, Morrisons, Asda, Aldi, Lidl and The Co-operative Food. The five criteria which distinguished substantive practices from symbolic compliance were: verifiability, measurability, accountability, integration and comparability. This chapter is a summary of the findings, answers the research questions, provides recommendations, identifies limitations and specifies future research.</w:t>
      </w:r>
    </w:p>
    <w:p w14:paraId="34EADE46" w14:textId="655B3973" w:rsidR="00F70C3F" w:rsidRPr="00791A3F" w:rsidRDefault="00F70C3F" w:rsidP="00791A3F">
      <w:pPr>
        <w:spacing w:line="360" w:lineRule="auto"/>
        <w:jc w:val="both"/>
        <w:rPr>
          <w:rFonts w:ascii="Arial" w:hAnsi="Arial" w:cs="Arial"/>
        </w:rPr>
      </w:pPr>
      <w:r w:rsidRPr="00791A3F">
        <w:rPr>
          <w:rFonts w:ascii="Arial" w:hAnsi="Arial" w:cs="Arial"/>
        </w:rPr>
        <w:t>There were five criteria that distinguished substantive practices from symbolic compliance: verifiability, measurability, accountability, integration and comparability. This chapter is a summary of the findings, answers the research questions, provides recommendations, identifies limitations and specifies future research.</w:t>
      </w:r>
    </w:p>
    <w:p w14:paraId="315DEDFC" w14:textId="77777777" w:rsidR="008D435C" w:rsidRPr="00791A3F" w:rsidRDefault="008D435C" w:rsidP="00791A3F">
      <w:pPr>
        <w:pStyle w:val="Heading2"/>
        <w:spacing w:line="360" w:lineRule="auto"/>
        <w:rPr>
          <w:rFonts w:ascii="Arial" w:hAnsi="Arial" w:cs="Arial"/>
        </w:rPr>
      </w:pPr>
      <w:bookmarkStart w:id="130" w:name="_Toc237956940"/>
      <w:bookmarkStart w:id="131" w:name="_Toc238725215"/>
      <w:r w:rsidRPr="00791A3F">
        <w:rPr>
          <w:rFonts w:ascii="Arial" w:hAnsi="Arial" w:cs="Arial"/>
        </w:rPr>
        <w:t>5.2 Summary of Main Findings</w:t>
      </w:r>
      <w:bookmarkEnd w:id="130"/>
      <w:bookmarkEnd w:id="131"/>
    </w:p>
    <w:p w14:paraId="7B7FAC1E" w14:textId="77777777" w:rsidR="00322C8C" w:rsidRPr="00791A3F" w:rsidRDefault="00000000" w:rsidP="00791A3F">
      <w:pPr>
        <w:spacing w:line="360" w:lineRule="auto"/>
        <w:rPr>
          <w:rFonts w:ascii="Arial" w:hAnsi="Arial" w:cs="Arial"/>
        </w:rPr>
      </w:pPr>
      <w:r w:rsidRPr="00791A3F">
        <w:rPr>
          <w:rFonts w:ascii="Arial" w:hAnsi="Arial" w:cs="Arial"/>
          <w:b/>
        </w:rPr>
        <w:t>Finding 1: CSR Institutionalisation Without Consistent Substantiation</w:t>
      </w:r>
    </w:p>
    <w:p w14:paraId="72EAB43B" w14:textId="77777777" w:rsidR="00166E4C" w:rsidRPr="00791A3F" w:rsidRDefault="00166E4C" w:rsidP="00791A3F">
      <w:pPr>
        <w:spacing w:line="360" w:lineRule="auto"/>
        <w:rPr>
          <w:rFonts w:ascii="Arial" w:hAnsi="Arial" w:cs="Arial"/>
        </w:rPr>
      </w:pPr>
      <w:r w:rsidRPr="00791A3F">
        <w:rPr>
          <w:rFonts w:ascii="Arial" w:hAnsi="Arial" w:cs="Arial"/>
        </w:rPr>
        <w:t>Since the baseline of Jones et al. (2005) food retailing in the UK has become institutionalised with CSR. Board-level governance, environmental policies and sustainability strategies, and executive compensation with sustainability are standard industry practice. But there is not necessarily an equal degree of operational change with the increasing formalization of the organizations on all CSR dimensions. Measurable and verifiable environmental performance tends to be more standardised and measurable and less so in the social arena.</w:t>
      </w:r>
    </w:p>
    <w:p w14:paraId="15F02CA9" w14:textId="081D9BB2" w:rsidR="00322C8C" w:rsidRPr="00791A3F" w:rsidRDefault="00000000" w:rsidP="00791A3F">
      <w:pPr>
        <w:spacing w:line="360" w:lineRule="auto"/>
        <w:rPr>
          <w:rFonts w:ascii="Arial" w:hAnsi="Arial" w:cs="Arial"/>
        </w:rPr>
      </w:pPr>
      <w:r w:rsidRPr="00791A3F">
        <w:rPr>
          <w:rFonts w:ascii="Arial" w:hAnsi="Arial" w:cs="Arial"/>
          <w:b/>
        </w:rPr>
        <w:t>Finding 2: Uneven CSR Development Across Dimensions</w:t>
      </w:r>
    </w:p>
    <w:p w14:paraId="12D6014A" w14:textId="77777777" w:rsidR="00166E4C" w:rsidRPr="00791A3F" w:rsidRDefault="00166E4C" w:rsidP="00791A3F">
      <w:pPr>
        <w:spacing w:line="360" w:lineRule="auto"/>
        <w:rPr>
          <w:rFonts w:ascii="Arial" w:hAnsi="Arial" w:cs="Arial"/>
        </w:rPr>
      </w:pPr>
      <w:r w:rsidRPr="00791A3F">
        <w:rPr>
          <w:rFonts w:ascii="Arial" w:hAnsi="Arial" w:cs="Arial"/>
        </w:rPr>
        <w:t xml:space="preserve">The sector with the most relevant results of substantive progress is environmental management, among others, in the areas of Scope 1 and 2 emissions, energy </w:t>
      </w:r>
      <w:r w:rsidRPr="00791A3F">
        <w:rPr>
          <w:rFonts w:ascii="Arial" w:hAnsi="Arial" w:cs="Arial"/>
        </w:rPr>
        <w:lastRenderedPageBreak/>
        <w:t>efficiency, refrigeration and packaging. Ethical sourcing is becoming more codified and systematised with modern slavery reporting and supplier due diligence, however remediation of workers and visibility at deep tiers is weaker. So, while living wages and job security and worker voice are less well-developed, employee welfare has improved during COVID-19. There has been more involvement with the community, but less reporting is focused on outcomes as opposed to activities. Labelling and targeted reformulation efforts have led to a reduction in customer responsibility and there are ongoing concerns about general nutrition and exposure to ultra-processed foods.</w:t>
      </w:r>
    </w:p>
    <w:p w14:paraId="7E1012BA" w14:textId="2F3156A7" w:rsidR="00322C8C" w:rsidRPr="00791A3F" w:rsidRDefault="00000000" w:rsidP="00791A3F">
      <w:pPr>
        <w:spacing w:line="360" w:lineRule="auto"/>
        <w:rPr>
          <w:rFonts w:ascii="Arial" w:hAnsi="Arial" w:cs="Arial"/>
        </w:rPr>
      </w:pPr>
      <w:r w:rsidRPr="00791A3F">
        <w:rPr>
          <w:rFonts w:ascii="Arial" w:hAnsi="Arial" w:cs="Arial"/>
          <w:b/>
        </w:rPr>
        <w:t>Finding 3: Regulatory Mandates Drive Substantiation</w:t>
      </w:r>
    </w:p>
    <w:p w14:paraId="34D1915A" w14:textId="77777777" w:rsidR="00166E4C" w:rsidRPr="00791A3F" w:rsidRDefault="00166E4C" w:rsidP="00791A3F">
      <w:pPr>
        <w:spacing w:line="360" w:lineRule="auto"/>
        <w:rPr>
          <w:rFonts w:ascii="Arial" w:hAnsi="Arial" w:cs="Arial"/>
        </w:rPr>
      </w:pPr>
      <w:r w:rsidRPr="00791A3F">
        <w:rPr>
          <w:rFonts w:ascii="Arial" w:hAnsi="Arial" w:cs="Arial"/>
        </w:rPr>
        <w:t>Where there is stronger regulation in the CSR area there is increased measurability and accountability compared to CSR areas with weaker regulation. In contrast to these voluntary commitments, those linked to living wages, remediation for workers, and public-health transformation are still less structured, even as climate disclosure and packaging demands and standards have driven greater structuring of response.</w:t>
      </w:r>
    </w:p>
    <w:p w14:paraId="50BD9A66" w14:textId="0B075EEE" w:rsidR="00322C8C" w:rsidRPr="00791A3F" w:rsidRDefault="00000000" w:rsidP="00791A3F">
      <w:pPr>
        <w:spacing w:line="360" w:lineRule="auto"/>
        <w:rPr>
          <w:rFonts w:ascii="Arial" w:hAnsi="Arial" w:cs="Arial"/>
        </w:rPr>
      </w:pPr>
      <w:r w:rsidRPr="00791A3F">
        <w:rPr>
          <w:rFonts w:ascii="Arial" w:hAnsi="Arial" w:cs="Arial"/>
          <w:b/>
        </w:rPr>
        <w:t>Finding 4: Business Model Differentiation Shapes CSR Strategies</w:t>
      </w:r>
    </w:p>
    <w:p w14:paraId="1FCED2A1" w14:textId="77777777" w:rsidR="00166E4C" w:rsidRPr="00791A3F" w:rsidRDefault="00166E4C" w:rsidP="00791A3F">
      <w:pPr>
        <w:spacing w:line="360" w:lineRule="auto"/>
        <w:rPr>
          <w:rFonts w:ascii="Arial" w:hAnsi="Arial" w:cs="Arial"/>
        </w:rPr>
      </w:pPr>
      <w:r w:rsidRPr="00791A3F">
        <w:rPr>
          <w:rFonts w:ascii="Arial" w:hAnsi="Arial" w:cs="Arial"/>
        </w:rPr>
        <w:t>There is a relationship between business models and the resources, incentives and governance that become available for CSR. Mainstream retailers typically are more likely to be able to report and have sustainability capacity, while cooperative ownership can offer more robust governance structures for integrating stakeholders and operational simplicity can create environmental efficiencies at discount retailers. Despite this, there is no such thing as a "typical" model of substantive CSR as all retailers have commercial and institutional constraints in the industry as a whole.</w:t>
      </w:r>
    </w:p>
    <w:p w14:paraId="68B57355" w14:textId="0896E4A9" w:rsidR="00322C8C" w:rsidRPr="00791A3F" w:rsidRDefault="00000000" w:rsidP="00791A3F">
      <w:pPr>
        <w:spacing w:line="360" w:lineRule="auto"/>
        <w:rPr>
          <w:rFonts w:ascii="Arial" w:hAnsi="Arial" w:cs="Arial"/>
        </w:rPr>
      </w:pPr>
      <w:r w:rsidRPr="00791A3F">
        <w:rPr>
          <w:rFonts w:ascii="Arial" w:hAnsi="Arial" w:cs="Arial"/>
          <w:b/>
        </w:rPr>
        <w:t>Finding 5: Emerging Priorities Entered the Agenda Faster Than Operations Changed</w:t>
      </w:r>
    </w:p>
    <w:p w14:paraId="14167B2B" w14:textId="5C2FC818" w:rsidR="00322C8C" w:rsidRPr="00791A3F" w:rsidRDefault="00166E4C" w:rsidP="00791A3F">
      <w:pPr>
        <w:spacing w:line="360" w:lineRule="auto"/>
        <w:rPr>
          <w:rFonts w:ascii="Arial" w:hAnsi="Arial" w:cs="Arial"/>
        </w:rPr>
      </w:pPr>
      <w:r w:rsidRPr="00791A3F">
        <w:rPr>
          <w:rFonts w:ascii="Arial" w:hAnsi="Arial" w:cs="Arial"/>
        </w:rPr>
        <w:t xml:space="preserve">Today, Scope 3 emissions, circular economy and modern slavery and public health have emerged as major topics of the CSR strategies and governance. However, this is not uniformly being put into practice in terms of operations. Packaging remains a key driver of circular economy activity while processes are more often discussed in the </w:t>
      </w:r>
      <w:r w:rsidRPr="00791A3F">
        <w:rPr>
          <w:rFonts w:ascii="Arial" w:hAnsi="Arial" w:cs="Arial"/>
        </w:rPr>
        <w:lastRenderedPageBreak/>
        <w:t>context of modern slavery reporting, and health strategies are typically around the issues of labelling and reformulation instead of transformation of the whole portfolio.</w:t>
      </w:r>
    </w:p>
    <w:p w14:paraId="3D7FDAB1" w14:textId="77777777" w:rsidR="00322C8C" w:rsidRPr="00791A3F" w:rsidRDefault="00000000" w:rsidP="00791A3F">
      <w:pPr>
        <w:spacing w:line="360" w:lineRule="auto"/>
        <w:rPr>
          <w:rFonts w:ascii="Arial" w:hAnsi="Arial" w:cs="Arial"/>
        </w:rPr>
      </w:pPr>
      <w:r w:rsidRPr="00791A3F">
        <w:rPr>
          <w:rFonts w:ascii="Arial" w:hAnsi="Arial" w:cs="Arial"/>
          <w:b/>
        </w:rPr>
        <w:t>Finding 6: Stakeholder Salience Determines Responsiveness</w:t>
      </w:r>
    </w:p>
    <w:p w14:paraId="60527612" w14:textId="77777777" w:rsidR="00166E4C" w:rsidRPr="00791A3F" w:rsidRDefault="00166E4C" w:rsidP="00791A3F">
      <w:pPr>
        <w:spacing w:line="360" w:lineRule="auto"/>
        <w:rPr>
          <w:rFonts w:ascii="Arial" w:hAnsi="Arial" w:cs="Arial"/>
        </w:rPr>
      </w:pPr>
      <w:r w:rsidRPr="00791A3F">
        <w:rPr>
          <w:rFonts w:ascii="Arial" w:hAnsi="Arial" w:cs="Arial"/>
        </w:rPr>
        <w:t>The results suggest that the more institutional and/or reputational power a stakeholder has the higher the response of the retailer, especially investors, regulators and consumers. There may be individuals and groups of people who are legitimate, who feel that they have a high level of urgency, but who have fewer ways of imposing sanctions.There may be individuals and groups of people who have high legitimacy, high urgency, but low means for imposing sanctions. This helps to shed light on the salience of each of the stakeholders and the reasons for the mixed results of CSR.</w:t>
      </w:r>
    </w:p>
    <w:p w14:paraId="22A3EFE2" w14:textId="59DBCCF3" w:rsidR="00322C8C" w:rsidRPr="00791A3F" w:rsidRDefault="00000000" w:rsidP="00791A3F">
      <w:pPr>
        <w:spacing w:line="360" w:lineRule="auto"/>
        <w:rPr>
          <w:rFonts w:ascii="Arial" w:hAnsi="Arial" w:cs="Arial"/>
        </w:rPr>
      </w:pPr>
      <w:r w:rsidRPr="00791A3F">
        <w:rPr>
          <w:rFonts w:ascii="Arial" w:hAnsi="Arial" w:cs="Arial"/>
          <w:b/>
        </w:rPr>
        <w:t>Finding 7: Greenwashing and Health-Washing Can Coexist with Genuine Progress</w:t>
      </w:r>
    </w:p>
    <w:p w14:paraId="7A2A77F7" w14:textId="77777777" w:rsidR="00166E4C" w:rsidRPr="00791A3F" w:rsidRDefault="00166E4C" w:rsidP="00791A3F">
      <w:pPr>
        <w:spacing w:line="360" w:lineRule="auto"/>
        <w:rPr>
          <w:rFonts w:ascii="Arial" w:hAnsi="Arial" w:cs="Arial"/>
        </w:rPr>
      </w:pPr>
      <w:bookmarkStart w:id="132" w:name="_Toc237956941"/>
      <w:r w:rsidRPr="00791A3F">
        <w:rPr>
          <w:rFonts w:ascii="Arial" w:hAnsi="Arial" w:cs="Arial"/>
        </w:rPr>
        <w:t>The evidence is not an indication that it is always false to claim to be a CSR. Instead, the operational improvement can be achieved, and selective and/or murky disclosure of negative trade-offs can be made. This highlights the need to measure the impact of CSR by results, verification and accountability measures as well as volume of disclosure.</w:t>
      </w:r>
    </w:p>
    <w:p w14:paraId="72F36E73" w14:textId="38C1B430" w:rsidR="008D435C" w:rsidRPr="00791A3F" w:rsidRDefault="008D435C" w:rsidP="00791A3F">
      <w:pPr>
        <w:pStyle w:val="Heading2"/>
        <w:spacing w:line="360" w:lineRule="auto"/>
        <w:rPr>
          <w:rFonts w:ascii="Arial" w:hAnsi="Arial" w:cs="Arial"/>
        </w:rPr>
      </w:pPr>
      <w:bookmarkStart w:id="133" w:name="_Toc238725216"/>
      <w:r w:rsidRPr="00791A3F">
        <w:rPr>
          <w:rFonts w:ascii="Arial" w:hAnsi="Arial" w:cs="Arial"/>
        </w:rPr>
        <w:t>5.3 Conclusions Based on Research Questions</w:t>
      </w:r>
      <w:bookmarkEnd w:id="132"/>
      <w:bookmarkEnd w:id="133"/>
    </w:p>
    <w:p w14:paraId="7FE115CE" w14:textId="77777777" w:rsidR="008D435C" w:rsidRPr="00791A3F" w:rsidRDefault="008D435C" w:rsidP="00791A3F">
      <w:pPr>
        <w:pStyle w:val="Heading3"/>
      </w:pPr>
      <w:bookmarkStart w:id="134" w:name="_Toc237956942"/>
      <w:bookmarkStart w:id="135" w:name="_Toc238725217"/>
      <w:r w:rsidRPr="00791A3F">
        <w:t>5.3.1 RQ1: How Has CSR Developed Since Jones et al. (2005)?</w:t>
      </w:r>
      <w:bookmarkEnd w:id="134"/>
      <w:bookmarkEnd w:id="135"/>
    </w:p>
    <w:p w14:paraId="790E6C8E" w14:textId="77777777" w:rsidR="00212D06" w:rsidRPr="00791A3F" w:rsidRDefault="00212D06" w:rsidP="00791A3F">
      <w:pPr>
        <w:spacing w:line="360" w:lineRule="auto"/>
        <w:rPr>
          <w:rFonts w:ascii="Arial" w:hAnsi="Arial" w:cs="Arial"/>
        </w:rPr>
      </w:pPr>
      <w:r w:rsidRPr="00791A3F">
        <w:rPr>
          <w:rFonts w:ascii="Arial" w:hAnsi="Arial" w:cs="Arial"/>
        </w:rPr>
        <w:t>CSR has moved beyond ‘business philanthropy' to become a formalized part of the business. Organisational development is represented in the board's governance, the sustainability team, executive incentives, strategic plans and reporting frameworks. However, institutionalisation is not synonymous with complete transformation of the institution based on stakeholders.</w:t>
      </w:r>
    </w:p>
    <w:p w14:paraId="39677301" w14:textId="77777777" w:rsidR="00212D06" w:rsidRPr="00791A3F" w:rsidRDefault="00212D06" w:rsidP="00791A3F">
      <w:pPr>
        <w:spacing w:line="360" w:lineRule="auto"/>
        <w:jc w:val="both"/>
        <w:rPr>
          <w:rFonts w:ascii="Arial" w:hAnsi="Arial" w:cs="Arial"/>
        </w:rPr>
      </w:pPr>
      <w:r w:rsidRPr="00791A3F">
        <w:rPr>
          <w:rFonts w:ascii="Arial" w:hAnsi="Arial" w:cs="Arial"/>
        </w:rPr>
        <w:t xml:space="preserve">The five criteria form a useful way of measuring. The 'measurability' is strongest for climate indicators, the 'verifiability' is strongest for selected environmental indicators, the 'accountability' is weak when the target is not met and the 'integration' is strongest where the sustainability proves to overlap with operating efficiency, while the ‘comparability' is </w:t>
      </w:r>
      <w:r w:rsidRPr="00791A3F">
        <w:rPr>
          <w:rFonts w:ascii="Arial" w:hAnsi="Arial" w:cs="Arial"/>
        </w:rPr>
        <w:lastRenderedPageBreak/>
        <w:t>getting enhanced by the introduction of standardised reporting, though it is weaker for social outcomes (Walker &amp; Wan, 2012; Yang et al., 2025).</w:t>
      </w:r>
    </w:p>
    <w:p w14:paraId="50B3CB19" w14:textId="77777777" w:rsidR="00212D06" w:rsidRPr="00791A3F" w:rsidRDefault="00212D06" w:rsidP="00791A3F">
      <w:pPr>
        <w:spacing w:line="360" w:lineRule="auto"/>
        <w:jc w:val="both"/>
        <w:rPr>
          <w:rFonts w:ascii="Arial" w:hAnsi="Arial" w:cs="Arial"/>
        </w:rPr>
      </w:pPr>
      <w:r w:rsidRPr="00791A3F">
        <w:rPr>
          <w:rFonts w:ascii="Arial" w:hAnsi="Arial" w:cs="Arial"/>
        </w:rPr>
        <w:t>The development of CSR is not linear, but rather has gaps. There has been some progress in environmental efficiency but scope 3 is less convincing. Ethical sourcing is more on the surface without being as worker-centred as it could be, worker protection has been enhanced during the pandemic, but precarity is still there, and community and health initiatives still have big gaps. Thus, the institutional pressure seems to be a stronger factor than corporate ethics, in absence of which (Bansal &amp; Roth, 2000).</w:t>
      </w:r>
    </w:p>
    <w:p w14:paraId="1C8360D7" w14:textId="77777777" w:rsidR="008D435C" w:rsidRPr="00791A3F" w:rsidRDefault="008D435C" w:rsidP="00791A3F">
      <w:pPr>
        <w:pStyle w:val="Heading3"/>
        <w:spacing w:line="360" w:lineRule="auto"/>
        <w:rPr>
          <w:rFonts w:ascii="Arial" w:hAnsi="Arial" w:cs="Arial"/>
        </w:rPr>
      </w:pPr>
      <w:bookmarkStart w:id="136" w:name="_Toc237956943"/>
      <w:bookmarkStart w:id="137" w:name="_Toc238725218"/>
      <w:r w:rsidRPr="00791A3F">
        <w:rPr>
          <w:rFonts w:ascii="Arial" w:hAnsi="Arial" w:cs="Arial"/>
        </w:rPr>
        <w:t>5.3.2 RQ2: What Evidence Exists of Substantive CSR Integration?</w:t>
      </w:r>
      <w:bookmarkEnd w:id="136"/>
      <w:bookmarkEnd w:id="137"/>
    </w:p>
    <w:p w14:paraId="7726DB03" w14:textId="77777777" w:rsidR="00663A93" w:rsidRPr="00791A3F" w:rsidRDefault="00663A93" w:rsidP="00791A3F">
      <w:pPr>
        <w:spacing w:line="360" w:lineRule="auto"/>
        <w:jc w:val="both"/>
        <w:rPr>
          <w:rFonts w:ascii="Arial" w:hAnsi="Arial" w:cs="Arial"/>
        </w:rPr>
      </w:pPr>
      <w:r w:rsidRPr="00791A3F">
        <w:rPr>
          <w:rFonts w:ascii="Arial" w:hAnsi="Arial" w:cs="Arial"/>
        </w:rPr>
        <w:t>Structural governance, financial alignment, and enforcement are all areas of focus for substantive CSR. This can be things like Scope 1 reductions, Scope 2 reductions, energy efficiency, packaging reduction, COVID-19 protections, Co-op Living Wage accreditation, and nutrition-labelling improvements.</w:t>
      </w:r>
    </w:p>
    <w:p w14:paraId="28AD0A29" w14:textId="77777777" w:rsidR="00663A93" w:rsidRPr="00791A3F" w:rsidRDefault="00663A93" w:rsidP="00791A3F">
      <w:pPr>
        <w:spacing w:line="360" w:lineRule="auto"/>
        <w:jc w:val="both"/>
        <w:rPr>
          <w:rFonts w:ascii="Arial" w:hAnsi="Arial" w:cs="Arial"/>
        </w:rPr>
      </w:pPr>
      <w:r w:rsidRPr="00791A3F">
        <w:rPr>
          <w:rFonts w:ascii="Arial" w:hAnsi="Arial" w:cs="Arial"/>
        </w:rPr>
        <w:t>Practices that are symbolic or weakly substantiated occur more frequently in Scope 3 decarbonisation, worker remediation, living wages (apart from the cooperative model), community outcomes and health transformation of the portfolio. Hence, substantive integration requires enforcement, financial incentives and/or governance structures safeguarding stakeholder interests. If it is not the case, disclosure can meet the legitimacy criteria, without significantly altering the practice (Lyon &amp; Maxwell, 2011; Delmas &amp; Burbano, 2011).</w:t>
      </w:r>
    </w:p>
    <w:p w14:paraId="116B9B58" w14:textId="77777777" w:rsidR="008D435C" w:rsidRPr="00791A3F" w:rsidRDefault="008D435C" w:rsidP="00791A3F">
      <w:pPr>
        <w:pStyle w:val="Heading3"/>
        <w:spacing w:line="360" w:lineRule="auto"/>
        <w:rPr>
          <w:rFonts w:ascii="Arial" w:hAnsi="Arial" w:cs="Arial"/>
        </w:rPr>
      </w:pPr>
      <w:bookmarkStart w:id="138" w:name="_Toc237956944"/>
      <w:bookmarkStart w:id="139" w:name="_Toc238725219"/>
      <w:r w:rsidRPr="00791A3F">
        <w:rPr>
          <w:rFonts w:ascii="Arial" w:hAnsi="Arial" w:cs="Arial"/>
        </w:rPr>
        <w:t>5.3.3 RQ3: How Do Business Models Differ?</w:t>
      </w:r>
      <w:bookmarkEnd w:id="138"/>
      <w:bookmarkEnd w:id="139"/>
    </w:p>
    <w:p w14:paraId="68332747" w14:textId="77777777" w:rsidR="00DA354A" w:rsidRPr="00791A3F" w:rsidRDefault="00DA354A" w:rsidP="00791A3F">
      <w:pPr>
        <w:spacing w:line="360" w:lineRule="auto"/>
        <w:jc w:val="both"/>
        <w:rPr>
          <w:rFonts w:ascii="Arial" w:hAnsi="Arial" w:cs="Arial"/>
        </w:rPr>
      </w:pPr>
      <w:r w:rsidRPr="00791A3F">
        <w:rPr>
          <w:rFonts w:ascii="Arial" w:hAnsi="Arial" w:cs="Arial"/>
        </w:rPr>
        <w:t>CSR strategies have an impact on business models. Mainstream supermarkets have the largest resources and reporting sophistication, and have good incentives for reputational management and shareholder performance. Discount retailers can gain environmental efficiencies by streamlining their structures and revealing less. In cooperative governance, there is a greater level of embeddedness of stakeholder consideration, either as a result of member ownership or ethical commitments.</w:t>
      </w:r>
    </w:p>
    <w:p w14:paraId="0D76C45C" w14:textId="77777777" w:rsidR="00DA354A" w:rsidRPr="00791A3F" w:rsidRDefault="00DA354A" w:rsidP="00791A3F">
      <w:pPr>
        <w:spacing w:line="360" w:lineRule="auto"/>
        <w:jc w:val="both"/>
        <w:rPr>
          <w:rFonts w:ascii="Arial" w:hAnsi="Arial" w:cs="Arial"/>
        </w:rPr>
      </w:pPr>
      <w:r w:rsidRPr="00791A3F">
        <w:rPr>
          <w:rFonts w:ascii="Arial" w:hAnsi="Arial" w:cs="Arial"/>
        </w:rPr>
        <w:lastRenderedPageBreak/>
        <w:t>There is no model that has a full range of substantive CSR. Ownership and operating models are important but are limited in their implementation by competition, costs, regulation and the market structure of the players. While business model innovation alone cannot achieve systemic change (Hernandez-Espallardo et al., 2021; Crane et al., 2014), it may participate in the transition.Business-model innovation can contribute to the transition, but it cannot be the solution for achieving systemic change (Hernandez-Espallardo et al., 2021; Crane et al., 2014).</w:t>
      </w:r>
    </w:p>
    <w:p w14:paraId="2057B0AD" w14:textId="77777777" w:rsidR="008D435C" w:rsidRPr="00791A3F" w:rsidRDefault="008D435C" w:rsidP="00791A3F">
      <w:pPr>
        <w:pStyle w:val="Heading3"/>
        <w:spacing w:line="360" w:lineRule="auto"/>
        <w:rPr>
          <w:rFonts w:ascii="Arial" w:hAnsi="Arial" w:cs="Arial"/>
        </w:rPr>
      </w:pPr>
      <w:bookmarkStart w:id="140" w:name="_Toc237956945"/>
      <w:bookmarkStart w:id="141" w:name="_Toc238725220"/>
      <w:r w:rsidRPr="00791A3F">
        <w:rPr>
          <w:rFonts w:ascii="Arial" w:hAnsi="Arial" w:cs="Arial"/>
        </w:rPr>
        <w:t>5.3.4 RQ4: How Are Emerging Priorities Shaping Agendas?</w:t>
      </w:r>
      <w:bookmarkEnd w:id="140"/>
      <w:bookmarkEnd w:id="141"/>
    </w:p>
    <w:p w14:paraId="5F21999D" w14:textId="77777777" w:rsidR="00797C3D" w:rsidRPr="00791A3F" w:rsidRDefault="00797C3D" w:rsidP="00791A3F">
      <w:pPr>
        <w:spacing w:line="360" w:lineRule="auto"/>
        <w:jc w:val="both"/>
        <w:rPr>
          <w:rFonts w:ascii="Arial" w:hAnsi="Arial" w:cs="Arial"/>
        </w:rPr>
      </w:pPr>
      <w:r w:rsidRPr="00791A3F">
        <w:rPr>
          <w:rFonts w:ascii="Arial" w:hAnsi="Arial" w:cs="Arial"/>
        </w:rPr>
        <w:t>Institutionalization of emerging priorities in the discourses and governance of CSR. The concepts of scope 3 (circular economy), modern slavery and public health are frequently seen in the current strategies, but there are fewer instances where they are translated into practice. Circular economy projects may not be ambitious enough, packaging may be the only focus of the circular economy, modern slavery may be more of a process than remediation and health projects may be more about labelling and limited reformulation than about a whole portfolio transformation. In order to be able to realize substantive translation, it is necessary to have outcome reporting, independent assurance, the enforcement of stakeholders, and financial incentives for structural change (Christensen et al., 2021).</w:t>
      </w:r>
    </w:p>
    <w:p w14:paraId="270F01CA" w14:textId="77777777" w:rsidR="008D435C" w:rsidRPr="00791A3F" w:rsidRDefault="008D435C" w:rsidP="00791A3F">
      <w:pPr>
        <w:pStyle w:val="Heading2"/>
        <w:spacing w:line="360" w:lineRule="auto"/>
        <w:rPr>
          <w:rFonts w:ascii="Arial" w:hAnsi="Arial" w:cs="Arial"/>
        </w:rPr>
      </w:pPr>
      <w:bookmarkStart w:id="142" w:name="_Toc237956946"/>
      <w:bookmarkStart w:id="143" w:name="_Toc238725221"/>
      <w:r w:rsidRPr="00791A3F">
        <w:rPr>
          <w:rFonts w:ascii="Arial" w:hAnsi="Arial" w:cs="Arial"/>
        </w:rPr>
        <w:t>5.4 Recommendations</w:t>
      </w:r>
      <w:bookmarkEnd w:id="142"/>
      <w:bookmarkEnd w:id="143"/>
    </w:p>
    <w:p w14:paraId="05C46F7D"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1: </w:t>
      </w:r>
      <w:r w:rsidRPr="00791A3F">
        <w:rPr>
          <w:rFonts w:ascii="Arial" w:hAnsi="Arial" w:cs="Arial"/>
        </w:rPr>
        <w:t>Disclosure is being replaced by actual measurable results of retailers' emissions, remediation, wages, community health and wellbeing, and health, with independent verification ( Yang et al., 2025; Kusumawardani &amp; Dwiridotjahjono, 2024).</w:t>
      </w:r>
    </w:p>
    <w:p w14:paraId="5BF5BE5D" w14:textId="77777777" w:rsidR="00D9611C" w:rsidRPr="00791A3F" w:rsidRDefault="00D9611C" w:rsidP="00791A3F">
      <w:pPr>
        <w:spacing w:line="360" w:lineRule="auto"/>
        <w:jc w:val="both"/>
        <w:rPr>
          <w:rFonts w:ascii="Arial" w:hAnsi="Arial" w:cs="Arial"/>
          <w:b/>
          <w:bCs/>
        </w:rPr>
      </w:pPr>
      <w:r w:rsidRPr="00791A3F">
        <w:rPr>
          <w:rFonts w:ascii="Arial" w:hAnsi="Arial" w:cs="Arial"/>
          <w:b/>
          <w:bCs/>
        </w:rPr>
        <w:t xml:space="preserve">Recommendation 2: </w:t>
      </w:r>
      <w:r w:rsidRPr="00791A3F">
        <w:rPr>
          <w:rFonts w:ascii="Arial" w:hAnsi="Arial" w:cs="Arial"/>
        </w:rPr>
        <w:t>Participating in CSR governance in meaningful ways requires stakeholder voice to be strengthened by engaging with and involving a diversity of workers, communities and supply chains (Freeman et al., 2020).</w:t>
      </w:r>
    </w:p>
    <w:p w14:paraId="7D94D936"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3: </w:t>
      </w:r>
      <w:r w:rsidRPr="00791A3F">
        <w:rPr>
          <w:rFonts w:ascii="Arial" w:hAnsi="Arial" w:cs="Arial"/>
        </w:rPr>
        <w:t>There should be incentives for the Executive to reduce Scope 3 emissions, remediation, Living Wage implementation and health performance and penalties for the Executive if they fail to do so (Zhao et al., 2025).</w:t>
      </w:r>
    </w:p>
    <w:p w14:paraId="525DEE3E" w14:textId="77777777" w:rsidR="00D9611C" w:rsidRPr="00791A3F" w:rsidRDefault="00D9611C" w:rsidP="00791A3F">
      <w:pPr>
        <w:spacing w:line="360" w:lineRule="auto"/>
        <w:jc w:val="both"/>
        <w:rPr>
          <w:rFonts w:ascii="Arial" w:hAnsi="Arial" w:cs="Arial"/>
        </w:rPr>
      </w:pPr>
      <w:r w:rsidRPr="00791A3F">
        <w:rPr>
          <w:rFonts w:ascii="Arial" w:hAnsi="Arial" w:cs="Arial"/>
          <w:b/>
          <w:bCs/>
        </w:rPr>
        <w:lastRenderedPageBreak/>
        <w:t xml:space="preserve">Recommendation 4: </w:t>
      </w:r>
      <w:r w:rsidRPr="00791A3F">
        <w:rPr>
          <w:rFonts w:ascii="Arial" w:hAnsi="Arial" w:cs="Arial"/>
        </w:rPr>
        <w:t>Policymakers should introduce outcome-based reporting, enhance the Modern Slavery Act, ensure that there are more robust public health measures and incorporate Scope 3 accountability (Christensen et al, 2021; Stevenson &amp; Cole, 2021; Mialon et al, 2026; Balsam et al, 2025).</w:t>
      </w:r>
    </w:p>
    <w:p w14:paraId="7889A3A7" w14:textId="77777777" w:rsidR="00D9611C" w:rsidRPr="00791A3F" w:rsidRDefault="00D9611C" w:rsidP="00791A3F">
      <w:pPr>
        <w:spacing w:line="360" w:lineRule="auto"/>
        <w:jc w:val="both"/>
        <w:rPr>
          <w:rFonts w:ascii="Arial" w:hAnsi="Arial" w:cs="Arial"/>
        </w:rPr>
      </w:pPr>
      <w:r w:rsidRPr="00791A3F">
        <w:rPr>
          <w:rFonts w:ascii="Arial" w:hAnsi="Arial" w:cs="Arial"/>
          <w:b/>
          <w:bCs/>
        </w:rPr>
        <w:t xml:space="preserve">Recommendation 5: </w:t>
      </w:r>
      <w:r w:rsidRPr="00791A3F">
        <w:rPr>
          <w:rFonts w:ascii="Arial" w:hAnsi="Arial" w:cs="Arial"/>
        </w:rPr>
        <w:t>Investors should put greater emphasis on deliverables, and enhance their engagement on wages, Scope 3, remediation and health (Citterio &amp; King, 2024; Velte, 2025).</w:t>
      </w:r>
    </w:p>
    <w:p w14:paraId="5358236B" w14:textId="77777777" w:rsidR="00D9611C" w:rsidRPr="00791A3F" w:rsidRDefault="00D9611C" w:rsidP="00791A3F">
      <w:pPr>
        <w:spacing w:line="360" w:lineRule="auto"/>
        <w:jc w:val="both"/>
        <w:rPr>
          <w:rFonts w:ascii="Arial" w:hAnsi="Arial" w:cs="Arial"/>
          <w:b/>
          <w:bCs/>
        </w:rPr>
      </w:pPr>
      <w:r w:rsidRPr="00791A3F">
        <w:rPr>
          <w:rFonts w:ascii="Arial" w:hAnsi="Arial" w:cs="Arial"/>
          <w:b/>
          <w:bCs/>
        </w:rPr>
        <w:t xml:space="preserve">Recommendation 6: </w:t>
      </w:r>
      <w:r w:rsidRPr="00791A3F">
        <w:rPr>
          <w:rFonts w:ascii="Arial" w:hAnsi="Arial" w:cs="Arial"/>
        </w:rPr>
        <w:t>The substantive-symbolic measurement needs to be developed further, and used in conjunction with theory, as well as in comparative studies (Walker &amp; Wan, 2012; Yang et al., 2025; Jamali &amp; Karam, 2018).</w:t>
      </w:r>
    </w:p>
    <w:p w14:paraId="7753B37B" w14:textId="77777777" w:rsidR="008D435C" w:rsidRPr="00791A3F" w:rsidRDefault="008D435C" w:rsidP="00791A3F">
      <w:pPr>
        <w:spacing w:line="360" w:lineRule="auto"/>
        <w:jc w:val="both"/>
        <w:rPr>
          <w:rFonts w:ascii="Arial" w:hAnsi="Arial" w:cs="Arial"/>
          <w:b/>
          <w:bCs/>
        </w:rPr>
      </w:pPr>
      <w:r w:rsidRPr="00791A3F">
        <w:rPr>
          <w:rFonts w:ascii="Arial" w:hAnsi="Arial" w:cs="Arial"/>
          <w:b/>
          <w:bCs/>
        </w:rPr>
        <w:t>5.5 Limitations of Research</w:t>
      </w:r>
    </w:p>
    <w:p w14:paraId="6119804D" w14:textId="77777777" w:rsidR="00277AA7" w:rsidRPr="00791A3F" w:rsidRDefault="00277AA7" w:rsidP="00791A3F">
      <w:pPr>
        <w:spacing w:line="360" w:lineRule="auto"/>
        <w:jc w:val="both"/>
        <w:rPr>
          <w:rFonts w:ascii="Arial" w:hAnsi="Arial" w:cs="Arial"/>
        </w:rPr>
      </w:pPr>
      <w:r w:rsidRPr="00791A3F">
        <w:rPr>
          <w:rFonts w:ascii="Arial" w:hAnsi="Arial" w:cs="Arial"/>
        </w:rPr>
        <w:t>There are a number of limitations to the research. Direct access to managers, workers, suppliers, communities and customers was limited by first, secondary data-dependence. Triangulation enhanced the level of credibility, but interviews and participatory research might enable the experiences to be uncovered which could not be seen in corporate reporting (Saunders et al., 2019).</w:t>
      </w:r>
    </w:p>
    <w:p w14:paraId="2A5BE550" w14:textId="77777777" w:rsidR="00277AA7" w:rsidRPr="00791A3F" w:rsidRDefault="00277AA7" w:rsidP="00791A3F">
      <w:pPr>
        <w:spacing w:line="360" w:lineRule="auto"/>
        <w:jc w:val="both"/>
        <w:rPr>
          <w:rFonts w:ascii="Arial" w:hAnsi="Arial" w:cs="Arial"/>
        </w:rPr>
      </w:pPr>
      <w:r w:rsidRPr="00791A3F">
        <w:rPr>
          <w:rFonts w:ascii="Arial" w:hAnsi="Arial" w:cs="Arial"/>
        </w:rPr>
        <w:t>Secondly, the case representation is not even – there are more mainstream cases than cooperative or discount cases. The goal is analytical, not statistical generalisation; but more breadth (larger samples) could be achieved.</w:t>
      </w:r>
    </w:p>
    <w:p w14:paraId="2278F1A6" w14:textId="77777777" w:rsidR="00277AA7" w:rsidRPr="00791A3F" w:rsidRDefault="00277AA7" w:rsidP="00791A3F">
      <w:pPr>
        <w:spacing w:line="360" w:lineRule="auto"/>
        <w:jc w:val="both"/>
        <w:rPr>
          <w:rFonts w:ascii="Arial" w:hAnsi="Arial" w:cs="Arial"/>
        </w:rPr>
      </w:pPr>
      <w:r w:rsidRPr="00791A3F">
        <w:rPr>
          <w:rFonts w:ascii="Arial" w:hAnsi="Arial" w:cs="Arial"/>
        </w:rPr>
        <w:t>Third, interpretation is a judgement on the part of the researcher. This risk is diminished by transparent criteria, systematic coding and reflexivity but cannot be eliminated as there can be alternative interpretations (Braun &amp; Clarke, 2006).</w:t>
      </w:r>
    </w:p>
    <w:p w14:paraId="14DB4101" w14:textId="77777777" w:rsidR="00277AA7" w:rsidRPr="00791A3F" w:rsidRDefault="00277AA7" w:rsidP="00791A3F">
      <w:pPr>
        <w:spacing w:line="360" w:lineRule="auto"/>
        <w:jc w:val="both"/>
        <w:rPr>
          <w:rFonts w:ascii="Arial" w:hAnsi="Arial" w:cs="Arial"/>
        </w:rPr>
      </w:pPr>
      <w:r w:rsidRPr="00791A3F">
        <w:rPr>
          <w:rFonts w:ascii="Arial" w:hAnsi="Arial" w:cs="Arial"/>
        </w:rPr>
        <w:t>Fourth, the five criterion framework is normative which means that different thresholds may give different classifications. Fifth, case analysis only can detect patterns and not cause. These restrictions help to map out the field of interpretation.</w:t>
      </w:r>
    </w:p>
    <w:p w14:paraId="3A5972B8" w14:textId="77777777" w:rsidR="008D435C" w:rsidRPr="00791A3F" w:rsidRDefault="008D435C" w:rsidP="00791A3F">
      <w:pPr>
        <w:pStyle w:val="Heading2"/>
        <w:spacing w:line="360" w:lineRule="auto"/>
        <w:rPr>
          <w:rFonts w:ascii="Arial" w:hAnsi="Arial" w:cs="Arial"/>
        </w:rPr>
      </w:pPr>
      <w:bookmarkStart w:id="144" w:name="_Toc237956947"/>
      <w:bookmarkStart w:id="145" w:name="_Toc238725222"/>
      <w:r w:rsidRPr="00791A3F">
        <w:rPr>
          <w:rFonts w:ascii="Arial" w:hAnsi="Arial" w:cs="Arial"/>
        </w:rPr>
        <w:t>5.6 Priorities for Future Research</w:t>
      </w:r>
      <w:bookmarkEnd w:id="144"/>
      <w:bookmarkEnd w:id="145"/>
    </w:p>
    <w:p w14:paraId="1492CEE5" w14:textId="77777777" w:rsidR="00F56141" w:rsidRPr="00791A3F" w:rsidRDefault="00F56141" w:rsidP="00791A3F">
      <w:pPr>
        <w:spacing w:line="360" w:lineRule="auto"/>
        <w:jc w:val="both"/>
        <w:rPr>
          <w:rFonts w:ascii="Arial" w:hAnsi="Arial" w:cs="Arial"/>
        </w:rPr>
      </w:pPr>
      <w:r w:rsidRPr="00791A3F">
        <w:rPr>
          <w:rFonts w:ascii="Arial" w:hAnsi="Arial" w:cs="Arial"/>
        </w:rPr>
        <w:t xml:space="preserve">Studies that focus on workers need to be prioritized, causal analysis of CSR regulation studies, comparative ownership studies, and computational methods to detect </w:t>
      </w:r>
      <w:r w:rsidRPr="00791A3F">
        <w:rPr>
          <w:rFonts w:ascii="Arial" w:hAnsi="Arial" w:cs="Arial"/>
        </w:rPr>
        <w:lastRenderedPageBreak/>
        <w:t>greenwashing should be focused on in future research (LeBaron et al., 2021; Christensen et al., 2021; Hernández-Espallardo et al., 2021; Bose et al., 2024). Further research is needed on Scope 3 supplier transition and commercially viable solutions that allow for the reduction of UPF dependence whilst ensuring affordability (Balsam et al., 2025; Scrinis &amp; Monteiro, 2025).</w:t>
      </w:r>
    </w:p>
    <w:p w14:paraId="5F17D6B2" w14:textId="77777777" w:rsidR="008D435C" w:rsidRPr="00791A3F" w:rsidRDefault="008D435C" w:rsidP="00791A3F">
      <w:pPr>
        <w:pStyle w:val="Heading2"/>
        <w:spacing w:line="360" w:lineRule="auto"/>
        <w:rPr>
          <w:rFonts w:ascii="Arial" w:hAnsi="Arial" w:cs="Arial"/>
        </w:rPr>
      </w:pPr>
      <w:bookmarkStart w:id="146" w:name="_Toc237956948"/>
      <w:bookmarkStart w:id="147" w:name="_Toc238725223"/>
      <w:r w:rsidRPr="00791A3F">
        <w:rPr>
          <w:rFonts w:ascii="Arial" w:hAnsi="Arial" w:cs="Arial"/>
        </w:rPr>
        <w:t>5.7 Final Reflections and Conclusion</w:t>
      </w:r>
      <w:bookmarkEnd w:id="146"/>
      <w:bookmarkEnd w:id="147"/>
    </w:p>
    <w:p w14:paraId="30944AA6" w14:textId="77777777" w:rsidR="00E76C70" w:rsidRPr="00791A3F" w:rsidRDefault="00E76C70" w:rsidP="00791A3F">
      <w:pPr>
        <w:spacing w:line="360" w:lineRule="auto"/>
        <w:jc w:val="both"/>
        <w:rPr>
          <w:rFonts w:ascii="Arial" w:hAnsi="Arial" w:cs="Arial"/>
        </w:rPr>
      </w:pPr>
      <w:r w:rsidRPr="00791A3F">
        <w:rPr>
          <w:rFonts w:ascii="Arial" w:hAnsi="Arial" w:cs="Arial"/>
        </w:rPr>
        <w:t>The question that this dissertation poses is whether there is any true CSR transformation or advancing and complex symbolic CSR compliance in the UK food retail sector. Both of these processes appear to co-exist, based on the evidence. Efforts have been made by retailers to improve their emissions efficiency, packaging, food safety, transparency and worker protection in crises, especially when supported by regulation or financial incentives and/or synergies in operations.</w:t>
      </w:r>
    </w:p>
    <w:p w14:paraId="44008FEE" w14:textId="77777777" w:rsidR="00E76C70" w:rsidRPr="00791A3F" w:rsidRDefault="00E76C70" w:rsidP="00791A3F">
      <w:pPr>
        <w:spacing w:line="360" w:lineRule="auto"/>
        <w:jc w:val="both"/>
        <w:rPr>
          <w:rFonts w:ascii="Arial" w:hAnsi="Arial" w:cs="Arial"/>
        </w:rPr>
      </w:pPr>
      <w:r w:rsidRPr="00791A3F">
        <w:rPr>
          <w:rFonts w:ascii="Arial" w:hAnsi="Arial" w:cs="Arial"/>
        </w:rPr>
        <w:t>But, gaps still emerge between corporate stories and reality on decarbonisation, remediation of the workforce, living wage, circular re-use and whole portfolio health – Scope 3. Such shortcomings are most significant in situations where it's difficult, expensive, or inconsistent with existing incentives to do something.</w:t>
      </w:r>
    </w:p>
    <w:p w14:paraId="649E7E31" w14:textId="77777777" w:rsidR="00E76C70" w:rsidRPr="00791A3F" w:rsidRDefault="00E76C70" w:rsidP="00791A3F">
      <w:pPr>
        <w:spacing w:line="360" w:lineRule="auto"/>
        <w:jc w:val="both"/>
        <w:rPr>
          <w:rFonts w:ascii="Arial" w:hAnsi="Arial" w:cs="Arial"/>
        </w:rPr>
      </w:pPr>
      <w:r w:rsidRPr="00791A3F">
        <w:rPr>
          <w:rFonts w:ascii="Arial" w:hAnsi="Arial" w:cs="Arial"/>
        </w:rPr>
        <w:t>The main finding is that CSR is "institutionalised" rather than systematically "transformed. Reporting is more professional but not all operational integration is done (Walker &amp; Wan, 2012; Yang et al., 2025).</w:t>
      </w:r>
    </w:p>
    <w:p w14:paraId="2F5C0ABF" w14:textId="77777777" w:rsidR="00E76C70" w:rsidRPr="00791A3F" w:rsidRDefault="00E76C70" w:rsidP="00791A3F">
      <w:pPr>
        <w:spacing w:line="360" w:lineRule="auto"/>
        <w:jc w:val="both"/>
        <w:rPr>
          <w:rFonts w:ascii="Arial" w:hAnsi="Arial" w:cs="Arial"/>
        </w:rPr>
      </w:pPr>
      <w:r w:rsidRPr="00791A3F">
        <w:rPr>
          <w:rFonts w:ascii="Arial" w:hAnsi="Arial" w:cs="Arial"/>
        </w:rPr>
        <w:t>The business model affects this process but none can circumvent the sets of constraints at sector level. Support for stakeholders' outcomes, environmental benefits from discount efficiency and sustainability infrastructure from mainstream resources are all possible through the use of cooperative governance. Competition, cost pressures and regulation are all a threat to all.</w:t>
      </w:r>
    </w:p>
    <w:p w14:paraId="79151F45" w14:textId="77777777" w:rsidR="00E76C70" w:rsidRPr="00791A3F" w:rsidRDefault="00E76C70" w:rsidP="00791A3F">
      <w:pPr>
        <w:spacing w:line="360" w:lineRule="auto"/>
        <w:jc w:val="both"/>
        <w:rPr>
          <w:rFonts w:ascii="Arial" w:hAnsi="Arial" w:cs="Arial"/>
        </w:rPr>
      </w:pPr>
      <w:r w:rsidRPr="00791A3F">
        <w:rPr>
          <w:rFonts w:ascii="Arial" w:hAnsi="Arial" w:cs="Arial"/>
        </w:rPr>
        <w:t xml:space="preserve">Power of the stakeholders is also significant. There is good response from investors and regulators, who have some institutional power, because they can have consequences for these people; future generations, vulnerable consumers, communities and workers may have less power. However, CSR can create inequalities if the stakeholders who are </w:t>
      </w:r>
      <w:r w:rsidRPr="00791A3F">
        <w:rPr>
          <w:rFonts w:ascii="Arial" w:hAnsi="Arial" w:cs="Arial"/>
        </w:rPr>
        <w:lastRenderedPageBreak/>
        <w:t>impacted by the CSR do not have more robust decision-making processes (Mitchell et al., 1997; Freeman et al., 2020).</w:t>
      </w:r>
    </w:p>
    <w:p w14:paraId="3A5D8AC2" w14:textId="77777777" w:rsidR="00E76C70" w:rsidRPr="00791A3F" w:rsidRDefault="00E76C70" w:rsidP="00791A3F">
      <w:pPr>
        <w:spacing w:line="360" w:lineRule="auto"/>
        <w:jc w:val="both"/>
        <w:rPr>
          <w:rFonts w:ascii="Arial" w:hAnsi="Arial" w:cs="Arial"/>
        </w:rPr>
      </w:pPr>
      <w:r w:rsidRPr="00791A3F">
        <w:rPr>
          <w:rFonts w:ascii="Arial" w:hAnsi="Arial" w:cs="Arial"/>
        </w:rPr>
        <w:t>Just the disclosure isn't enough. To take the next step from legitimacy management to accountability, mandatory outcome reporting, independent verification, worker-remediation requirements, credible climate targets, and increased public-health regulation and enforcement by stakeholders are required (Christensen et al., 2021; Stevenson &amp; Cole, 2021).</w:t>
      </w:r>
    </w:p>
    <w:p w14:paraId="31A11583" w14:textId="77777777" w:rsidR="00E76C70" w:rsidRPr="00791A3F" w:rsidRDefault="00E76C70" w:rsidP="00791A3F">
      <w:pPr>
        <w:spacing w:line="360" w:lineRule="auto"/>
        <w:jc w:val="both"/>
        <w:rPr>
          <w:rFonts w:ascii="Arial" w:hAnsi="Arial" w:cs="Arial"/>
        </w:rPr>
      </w:pPr>
      <w:r w:rsidRPr="00791A3F">
        <w:rPr>
          <w:rFonts w:ascii="Arial" w:hAnsi="Arial" w:cs="Arial"/>
        </w:rPr>
        <w:t>In the end, the substantive-symbolic gap is determined by governance and regulation, by the influence of stakeholders and by incentives and expectations of institutions. When there is alignment with the conditions, there is potential for true transformation in UK food retail. Future steps will require less language about sustainability and more circumstances under which measurable, independently verified, stakeholder-relevant outcomes are inevitable, so as to gain stakeholder accountability and trust. The idea of sustainability needs to be truly an integral part of the value creation process of stakeholders and society.</w:t>
      </w:r>
    </w:p>
    <w:p w14:paraId="0BC2FEB0" w14:textId="77777777" w:rsidR="008E62CB" w:rsidRPr="00791A3F" w:rsidRDefault="008E62CB" w:rsidP="00791A3F">
      <w:pPr>
        <w:spacing w:line="360" w:lineRule="auto"/>
        <w:rPr>
          <w:rFonts w:ascii="Arial" w:hAnsi="Arial" w:cs="Arial"/>
          <w:b/>
          <w:bCs/>
        </w:rPr>
      </w:pPr>
      <w:r w:rsidRPr="00791A3F">
        <w:rPr>
          <w:rFonts w:ascii="Arial" w:hAnsi="Arial" w:cs="Arial"/>
          <w:b/>
          <w:bCs/>
        </w:rPr>
        <w:br w:type="page"/>
      </w:r>
    </w:p>
    <w:p w14:paraId="52B14CF9" w14:textId="77777777" w:rsidR="00EC58AB" w:rsidRPr="00791A3F" w:rsidRDefault="00EC58AB" w:rsidP="00791A3F">
      <w:pPr>
        <w:pStyle w:val="Heading1"/>
        <w:spacing w:line="360" w:lineRule="auto"/>
        <w:rPr>
          <w:rFonts w:ascii="Arial" w:hAnsi="Arial" w:cs="Arial"/>
        </w:rPr>
      </w:pPr>
      <w:bookmarkStart w:id="148" w:name="_Toc237956949"/>
      <w:bookmarkStart w:id="149" w:name="_Toc238725224"/>
      <w:r w:rsidRPr="00791A3F">
        <w:rPr>
          <w:rFonts w:ascii="Arial" w:hAnsi="Arial" w:cs="Arial"/>
        </w:rPr>
        <w:lastRenderedPageBreak/>
        <w:t>Reference List</w:t>
      </w:r>
      <w:bookmarkEnd w:id="148"/>
      <w:bookmarkEnd w:id="149"/>
    </w:p>
    <w:p w14:paraId="76E2DEA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Baker, P. et al. (2026) ‘Ultra-processed foods and public health: advancing evidence, policy, and interdisciplinary dialogue’, </w:t>
      </w:r>
      <w:r w:rsidRPr="00791A3F">
        <w:rPr>
          <w:rFonts w:ascii="Arial" w:hAnsi="Arial" w:cs="Arial"/>
          <w:i/>
          <w:iCs/>
        </w:rPr>
        <w:t>Frontiers in Public Health</w:t>
      </w:r>
      <w:r w:rsidRPr="00791A3F">
        <w:rPr>
          <w:rFonts w:ascii="Arial" w:hAnsi="Arial" w:cs="Arial"/>
        </w:rPr>
        <w:t>.</w:t>
      </w:r>
    </w:p>
    <w:p w14:paraId="7884593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Balsam, S. et al. (2025) ‘Does accounting Scope 3 emissions improve sustainable business outcomes? Evidence from S&amp;P 500 technology companies’, </w:t>
      </w:r>
      <w:r w:rsidRPr="00791A3F">
        <w:rPr>
          <w:rFonts w:ascii="Arial" w:hAnsi="Arial" w:cs="Arial"/>
          <w:i/>
          <w:iCs/>
        </w:rPr>
        <w:t>Business Strategy and the Environment</w:t>
      </w:r>
      <w:r w:rsidRPr="00791A3F">
        <w:rPr>
          <w:rFonts w:ascii="Arial" w:hAnsi="Arial" w:cs="Arial"/>
        </w:rPr>
        <w:t>.</w:t>
      </w:r>
    </w:p>
    <w:p w14:paraId="0860C91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Bansal, P. and Roth, K. (2000) ‘Why companies go green: A model of ecological responsiveness’, </w:t>
      </w:r>
      <w:r w:rsidRPr="00791A3F">
        <w:rPr>
          <w:rFonts w:ascii="Arial" w:hAnsi="Arial" w:cs="Arial"/>
          <w:i/>
          <w:iCs/>
        </w:rPr>
        <w:t>Academy of Management Journal</w:t>
      </w:r>
      <w:r w:rsidRPr="00791A3F">
        <w:rPr>
          <w:rFonts w:ascii="Arial" w:hAnsi="Arial" w:cs="Arial"/>
        </w:rPr>
        <w:t>, 43(4), pp. 717–736.</w:t>
      </w:r>
    </w:p>
    <w:p w14:paraId="040F2CE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Berger, P.L. and Luckmann, T. (1966) </w:t>
      </w:r>
      <w:r w:rsidRPr="00791A3F">
        <w:rPr>
          <w:rFonts w:ascii="Arial" w:hAnsi="Arial" w:cs="Arial"/>
          <w:i/>
          <w:iCs/>
        </w:rPr>
        <w:t>The Social Construction of Reality: A Treatise in the Sociology of Knowledge</w:t>
      </w:r>
      <w:r w:rsidRPr="00791A3F">
        <w:rPr>
          <w:rFonts w:ascii="Arial" w:hAnsi="Arial" w:cs="Arial"/>
        </w:rPr>
        <w:t>. New York: Anchor Books.</w:t>
      </w:r>
    </w:p>
    <w:p w14:paraId="553B7B6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Bingler, J.A. et al. (2023) ‘Evaluating TCFD reporting: A new application of zero-shot analysis to climate-related financial disclosures’, </w:t>
      </w:r>
      <w:r w:rsidRPr="00791A3F">
        <w:rPr>
          <w:rFonts w:ascii="Arial" w:hAnsi="Arial" w:cs="Arial"/>
          <w:i/>
          <w:iCs/>
        </w:rPr>
        <w:t>PLOS ONE</w:t>
      </w:r>
      <w:r w:rsidRPr="00791A3F">
        <w:rPr>
          <w:rFonts w:ascii="Arial" w:hAnsi="Arial" w:cs="Arial"/>
        </w:rPr>
        <w:t>.</w:t>
      </w:r>
    </w:p>
    <w:p w14:paraId="65FB04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Birchall, J. (2013) </w:t>
      </w:r>
      <w:r w:rsidRPr="00791A3F">
        <w:rPr>
          <w:rFonts w:ascii="Arial" w:hAnsi="Arial" w:cs="Arial"/>
          <w:i/>
          <w:iCs/>
        </w:rPr>
        <w:t>Resilience in a Downturn: The Power of Financial Cooperatives</w:t>
      </w:r>
      <w:r w:rsidRPr="00791A3F">
        <w:rPr>
          <w:rFonts w:ascii="Arial" w:hAnsi="Arial" w:cs="Arial"/>
        </w:rPr>
        <w:t>. Geneva: International Labour Organization.</w:t>
      </w:r>
    </w:p>
    <w:p w14:paraId="69D73F6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Blythman, J. (2017) ‘Comparing UK food retailers’ corporate social responsibility strategies’. Available at: ResearchGate.</w:t>
      </w:r>
    </w:p>
    <w:p w14:paraId="01A987E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Boiral, O. et al. (2019) ‘Standards and sustainability reporting: The role of assurance’, </w:t>
      </w:r>
      <w:r w:rsidRPr="00791A3F">
        <w:rPr>
          <w:rFonts w:ascii="Arial" w:hAnsi="Arial" w:cs="Arial"/>
          <w:i/>
          <w:iCs/>
        </w:rPr>
        <w:t>Journal of Business Ethics</w:t>
      </w:r>
      <w:r w:rsidRPr="00791A3F">
        <w:rPr>
          <w:rFonts w:ascii="Arial" w:hAnsi="Arial" w:cs="Arial"/>
        </w:rPr>
        <w:t>.</w:t>
      </w:r>
    </w:p>
    <w:p w14:paraId="5FD0599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Bose, I. et al. (2024) ‘Identifying greenwashing in corporate social responsibility reports using natural-language processing’. Available at: Wiley.</w:t>
      </w:r>
    </w:p>
    <w:p w14:paraId="57094B5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Braun, V. and Clarke, V. (2006) ‘Using thematic analysis in psychology’, </w:t>
      </w:r>
      <w:r w:rsidRPr="00791A3F">
        <w:rPr>
          <w:rFonts w:ascii="Arial" w:hAnsi="Arial" w:cs="Arial"/>
          <w:i/>
          <w:iCs/>
        </w:rPr>
        <w:t>Qualitative Research in Psychology</w:t>
      </w:r>
      <w:r w:rsidRPr="00791A3F">
        <w:rPr>
          <w:rFonts w:ascii="Arial" w:hAnsi="Arial" w:cs="Arial"/>
        </w:rPr>
        <w:t>, 3(2), pp. 77–101.</w:t>
      </w:r>
    </w:p>
    <w:p w14:paraId="1A9D613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Carroll, A.B. and Shabana, K.M. (2010) ‘The business case for corporate social responsibility: A review of concepts, research and practice’, </w:t>
      </w:r>
      <w:r w:rsidRPr="00791A3F">
        <w:rPr>
          <w:rFonts w:ascii="Arial" w:hAnsi="Arial" w:cs="Arial"/>
          <w:i/>
          <w:iCs/>
        </w:rPr>
        <w:t>International Journal of Management Reviews</w:t>
      </w:r>
      <w:r w:rsidRPr="00791A3F">
        <w:rPr>
          <w:rFonts w:ascii="Arial" w:hAnsi="Arial" w:cs="Arial"/>
        </w:rPr>
        <w:t>, 12(1), pp. 85–105.</w:t>
      </w:r>
    </w:p>
    <w:p w14:paraId="22A65AF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Chen, Y. and Ma, Y. (2024) ‘Climate-related disclosures under the TCFD framework and business green innovation: Evidence from China A-share companies’. Available at: ScienceDirect.</w:t>
      </w:r>
    </w:p>
    <w:p w14:paraId="62FB5D4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Chowdhury, P. et al. (2020) ‘Impact of COVID-19 on the food supply chain’, </w:t>
      </w:r>
      <w:r w:rsidRPr="00791A3F">
        <w:rPr>
          <w:rFonts w:ascii="Arial" w:hAnsi="Arial" w:cs="Arial"/>
          <w:i/>
          <w:iCs/>
        </w:rPr>
        <w:t>Food Quality and Safety</w:t>
      </w:r>
      <w:r w:rsidRPr="00791A3F">
        <w:rPr>
          <w:rFonts w:ascii="Arial" w:hAnsi="Arial" w:cs="Arial"/>
        </w:rPr>
        <w:t>, 4(4), pp. 167–180.</w:t>
      </w:r>
    </w:p>
    <w:p w14:paraId="6035B66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Chouaibi, S. and Zouari, G. (2025) ‘Unveiling the connection between ESG performance and corporate competitiveness: Evidence from industrial firms in Europe and the UK’, </w:t>
      </w:r>
      <w:r w:rsidRPr="00791A3F">
        <w:rPr>
          <w:rFonts w:ascii="Arial" w:hAnsi="Arial" w:cs="Arial"/>
          <w:i/>
          <w:iCs/>
        </w:rPr>
        <w:t>Corporate Social Responsibility and Environmental Management</w:t>
      </w:r>
      <w:r w:rsidRPr="00791A3F">
        <w:rPr>
          <w:rFonts w:ascii="Arial" w:hAnsi="Arial" w:cs="Arial"/>
        </w:rPr>
        <w:t>.</w:t>
      </w:r>
    </w:p>
    <w:p w14:paraId="07A31F7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Christensen, H.B. et al. (2021) ‘Mandatory CSR and sustainability reporting: Evidence on disclosure and performance’.</w:t>
      </w:r>
    </w:p>
    <w:p w14:paraId="17FB5C8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Citterio, C. and King, A. (2024) ‘Not all that glitters is green: Empirical evidence from the Eurostoxx600 on greenwashing perception’.</w:t>
      </w:r>
    </w:p>
    <w:p w14:paraId="211A167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Clarke, N. et al. (2012) ‘Moving towards sustainable food retailing?’</w:t>
      </w:r>
    </w:p>
    <w:p w14:paraId="00DBADA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Crane, A. et al. (2014) ‘Contemporary corporate social responsibility: The role of business in society’, </w:t>
      </w:r>
      <w:r w:rsidRPr="00791A3F">
        <w:rPr>
          <w:rFonts w:ascii="Arial" w:hAnsi="Arial" w:cs="Arial"/>
          <w:i/>
          <w:iCs/>
        </w:rPr>
        <w:t>Academy of Management Review</w:t>
      </w:r>
      <w:r w:rsidRPr="00791A3F">
        <w:rPr>
          <w:rFonts w:ascii="Arial" w:hAnsi="Arial" w:cs="Arial"/>
        </w:rPr>
        <w:t>, 39(1), pp. 1–27.</w:t>
      </w:r>
    </w:p>
    <w:p w14:paraId="06A1361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Creswell, J.W. and Poth, C.N. (2018) </w:t>
      </w:r>
      <w:r w:rsidRPr="00791A3F">
        <w:rPr>
          <w:rFonts w:ascii="Arial" w:hAnsi="Arial" w:cs="Arial"/>
          <w:i/>
          <w:iCs/>
        </w:rPr>
        <w:t>Qualitative Inquiry and Research Design: Choosing Among Five Approaches</w:t>
      </w:r>
      <w:r w:rsidRPr="00791A3F">
        <w:rPr>
          <w:rFonts w:ascii="Arial" w:hAnsi="Arial" w:cs="Arial"/>
        </w:rPr>
        <w:t>. 4th edn. Thousand Oaks, CA: SAGE.</w:t>
      </w:r>
    </w:p>
    <w:p w14:paraId="71A4A4B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Dauvergne, P. and Lister, J. (2013) </w:t>
      </w:r>
      <w:r w:rsidRPr="00791A3F">
        <w:rPr>
          <w:rFonts w:ascii="Arial" w:hAnsi="Arial" w:cs="Arial"/>
          <w:i/>
          <w:iCs/>
        </w:rPr>
        <w:t>Eco-Business: A Big-Brand Takeover of Sustainability</w:t>
      </w:r>
      <w:r w:rsidRPr="00791A3F">
        <w:rPr>
          <w:rFonts w:ascii="Arial" w:hAnsi="Arial" w:cs="Arial"/>
        </w:rPr>
        <w:t>. Cambridge, MA: MIT Press.</w:t>
      </w:r>
    </w:p>
    <w:p w14:paraId="5450B53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 Freitas Netto, S.V. et al. (2020) ‘Concepts and forms of greenwashing: A systematic review’, </w:t>
      </w:r>
      <w:r w:rsidRPr="00791A3F">
        <w:rPr>
          <w:rFonts w:ascii="Arial" w:hAnsi="Arial" w:cs="Arial"/>
          <w:i/>
          <w:iCs/>
        </w:rPr>
        <w:t>Environmental Sciences Europe</w:t>
      </w:r>
      <w:r w:rsidRPr="00791A3F">
        <w:rPr>
          <w:rFonts w:ascii="Arial" w:hAnsi="Arial" w:cs="Arial"/>
        </w:rPr>
        <w:t>, 32.</w:t>
      </w:r>
    </w:p>
    <w:p w14:paraId="3744F5B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Delmas, M.A. and Burbano, V.C. (2011) ‘The drivers of greenwashing’, </w:t>
      </w:r>
      <w:r w:rsidRPr="00791A3F">
        <w:rPr>
          <w:rFonts w:ascii="Arial" w:hAnsi="Arial" w:cs="Arial"/>
          <w:i/>
          <w:iCs/>
        </w:rPr>
        <w:t>California Management Review</w:t>
      </w:r>
      <w:r w:rsidRPr="00791A3F">
        <w:rPr>
          <w:rFonts w:ascii="Arial" w:hAnsi="Arial" w:cs="Arial"/>
        </w:rPr>
        <w:t>, 54(1), pp. 64–87.</w:t>
      </w:r>
    </w:p>
    <w:p w14:paraId="6B94500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Deephouse, D.L. (1996) ‘Does isomorphism legitimate?’, </w:t>
      </w:r>
      <w:r w:rsidRPr="00791A3F">
        <w:rPr>
          <w:rFonts w:ascii="Arial" w:hAnsi="Arial" w:cs="Arial"/>
          <w:i/>
          <w:iCs/>
        </w:rPr>
        <w:t>Academy of Management Journal</w:t>
      </w:r>
      <w:r w:rsidRPr="00791A3F">
        <w:rPr>
          <w:rFonts w:ascii="Arial" w:hAnsi="Arial" w:cs="Arial"/>
        </w:rPr>
        <w:t>, 39(4), pp. 1024–1039.</w:t>
      </w:r>
    </w:p>
    <w:p w14:paraId="33CF7D8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DiMaggio, P.J. and Powell, W.W. (1983) ‘The iron cage revisited: Institutional isomorphism and collective rationality in organizational fields’, </w:t>
      </w:r>
      <w:r w:rsidRPr="00791A3F">
        <w:rPr>
          <w:rFonts w:ascii="Arial" w:hAnsi="Arial" w:cs="Arial"/>
          <w:i/>
          <w:iCs/>
        </w:rPr>
        <w:t>American Sociological Review</w:t>
      </w:r>
      <w:r w:rsidRPr="00791A3F">
        <w:rPr>
          <w:rFonts w:ascii="Arial" w:hAnsi="Arial" w:cs="Arial"/>
        </w:rPr>
        <w:t>, 48(2), pp. 147–160.</w:t>
      </w:r>
    </w:p>
    <w:p w14:paraId="3A1076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Donaldson, T. and Preston, L.E. (1995) ‘The stakeholder theory of the corporation: Concepts, evidence, and implications’, </w:t>
      </w:r>
      <w:r w:rsidRPr="00791A3F">
        <w:rPr>
          <w:rFonts w:ascii="Arial" w:hAnsi="Arial" w:cs="Arial"/>
          <w:i/>
          <w:iCs/>
        </w:rPr>
        <w:t>Academy of Management Review</w:t>
      </w:r>
      <w:r w:rsidRPr="00791A3F">
        <w:rPr>
          <w:rFonts w:ascii="Arial" w:hAnsi="Arial" w:cs="Arial"/>
        </w:rPr>
        <w:t>, 20(1), pp. 65–91.</w:t>
      </w:r>
    </w:p>
    <w:p w14:paraId="248D6C7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Eisenhardt, K.M. (1989) ‘Building theories from case study research’, </w:t>
      </w:r>
      <w:r w:rsidRPr="00791A3F">
        <w:rPr>
          <w:rFonts w:ascii="Arial" w:hAnsi="Arial" w:cs="Arial"/>
          <w:i/>
          <w:iCs/>
        </w:rPr>
        <w:t>Academy of Management Review</w:t>
      </w:r>
      <w:r w:rsidRPr="00791A3F">
        <w:rPr>
          <w:rFonts w:ascii="Arial" w:hAnsi="Arial" w:cs="Arial"/>
        </w:rPr>
        <w:t>, 14(4), pp. 532–550.</w:t>
      </w:r>
    </w:p>
    <w:p w14:paraId="6086333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Eisenhardt, K.M. and Graebner, M.E. (2007) ‘Theory building from cases: Opportunities and challenges’, </w:t>
      </w:r>
      <w:r w:rsidRPr="00791A3F">
        <w:rPr>
          <w:rFonts w:ascii="Arial" w:hAnsi="Arial" w:cs="Arial"/>
          <w:i/>
          <w:iCs/>
        </w:rPr>
        <w:t>Academy of Management Journal</w:t>
      </w:r>
      <w:r w:rsidRPr="00791A3F">
        <w:rPr>
          <w:rFonts w:ascii="Arial" w:hAnsi="Arial" w:cs="Arial"/>
        </w:rPr>
        <w:t>, 50(1), pp. 25–32.</w:t>
      </w:r>
    </w:p>
    <w:p w14:paraId="1766E09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Fleming, P. and Jones, M.T. (2013) </w:t>
      </w:r>
      <w:r w:rsidRPr="00791A3F">
        <w:rPr>
          <w:rFonts w:ascii="Arial" w:hAnsi="Arial" w:cs="Arial"/>
          <w:i/>
          <w:iCs/>
        </w:rPr>
        <w:t>The End of Corporate Social Responsibility: Crisis and Critique</w:t>
      </w:r>
      <w:r w:rsidRPr="00791A3F">
        <w:rPr>
          <w:rFonts w:ascii="Arial" w:hAnsi="Arial" w:cs="Arial"/>
        </w:rPr>
        <w:t>. London: SAGE.</w:t>
      </w:r>
    </w:p>
    <w:p w14:paraId="60C2585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Font, X. et al. (2016) ‘Corporate social responsibility and sustainability in tourism and hospitality: A review and research agenda’.</w:t>
      </w:r>
    </w:p>
    <w:p w14:paraId="1AC3115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Freeman, R.E. (1984) </w:t>
      </w:r>
      <w:r w:rsidRPr="00791A3F">
        <w:rPr>
          <w:rFonts w:ascii="Arial" w:hAnsi="Arial" w:cs="Arial"/>
          <w:i/>
          <w:iCs/>
        </w:rPr>
        <w:t>Strategic Management: A Stakeholder Approach</w:t>
      </w:r>
      <w:r w:rsidRPr="00791A3F">
        <w:rPr>
          <w:rFonts w:ascii="Arial" w:hAnsi="Arial" w:cs="Arial"/>
        </w:rPr>
        <w:t>. Boston, MA: Pitman.</w:t>
      </w:r>
    </w:p>
    <w:p w14:paraId="487DF2E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Freeman, R.E. et al. (2020) </w:t>
      </w:r>
      <w:r w:rsidRPr="00791A3F">
        <w:rPr>
          <w:rFonts w:ascii="Arial" w:hAnsi="Arial" w:cs="Arial"/>
          <w:i/>
          <w:iCs/>
        </w:rPr>
        <w:t>Stakeholder Theory: The State of the Art</w:t>
      </w:r>
      <w:r w:rsidRPr="00791A3F">
        <w:rPr>
          <w:rFonts w:ascii="Arial" w:hAnsi="Arial" w:cs="Arial"/>
        </w:rPr>
        <w:t>. Cambridge: Cambridge University Press.</w:t>
      </w:r>
    </w:p>
    <w:p w14:paraId="22DB704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Geertz, C. (1973) </w:t>
      </w:r>
      <w:r w:rsidRPr="00791A3F">
        <w:rPr>
          <w:rFonts w:ascii="Arial" w:hAnsi="Arial" w:cs="Arial"/>
          <w:i/>
          <w:iCs/>
        </w:rPr>
        <w:t>The Interpretation of Cultures</w:t>
      </w:r>
      <w:r w:rsidRPr="00791A3F">
        <w:rPr>
          <w:rFonts w:ascii="Arial" w:hAnsi="Arial" w:cs="Arial"/>
        </w:rPr>
        <w:t>. New York: Basic Books.</w:t>
      </w:r>
    </w:p>
    <w:p w14:paraId="576EA1F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Goelzer, P. and Wilkinson, A. (2024) ‘Greenwashing or striving to persist: An alternative explanation of a loose coupling’, </w:t>
      </w:r>
      <w:r w:rsidRPr="00791A3F">
        <w:rPr>
          <w:rFonts w:ascii="Arial" w:hAnsi="Arial" w:cs="Arial"/>
          <w:i/>
          <w:iCs/>
        </w:rPr>
        <w:t>Journal of Business Ethics</w:t>
      </w:r>
      <w:r w:rsidRPr="00791A3F">
        <w:rPr>
          <w:rFonts w:ascii="Arial" w:hAnsi="Arial" w:cs="Arial"/>
        </w:rPr>
        <w:t>.</w:t>
      </w:r>
    </w:p>
    <w:p w14:paraId="4A48629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Gond, J.-P. et al. (2020) ‘Corporate social responsibility and institutional theory’.</w:t>
      </w:r>
    </w:p>
    <w:p w14:paraId="55FAF6D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Guba, E.G. and Lincoln, Y.S. (1994) ‘Competing paradigms in qualitative research’, in Denzin, N.K. and Lincoln, Y.S. (eds.) </w:t>
      </w:r>
      <w:r w:rsidRPr="00791A3F">
        <w:rPr>
          <w:rFonts w:ascii="Arial" w:hAnsi="Arial" w:cs="Arial"/>
          <w:i/>
          <w:iCs/>
        </w:rPr>
        <w:t>Handbook of Qualitative Research</w:t>
      </w:r>
      <w:r w:rsidRPr="00791A3F">
        <w:rPr>
          <w:rFonts w:ascii="Arial" w:hAnsi="Arial" w:cs="Arial"/>
        </w:rPr>
        <w:t>. Thousand Oaks, CA: SAGE, pp. 105–117.</w:t>
      </w:r>
    </w:p>
    <w:p w14:paraId="17DDB5C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Hahn, R. and Kühnen, M. (2013) ‘Determinants of sustainability reporting: A review of results, trends, theory, and opportunities in an expanding field of research’, </w:t>
      </w:r>
      <w:r w:rsidRPr="00791A3F">
        <w:rPr>
          <w:rFonts w:ascii="Arial" w:hAnsi="Arial" w:cs="Arial"/>
          <w:i/>
          <w:iCs/>
        </w:rPr>
        <w:t>Journal of Cleaner Production</w:t>
      </w:r>
      <w:r w:rsidRPr="00791A3F">
        <w:rPr>
          <w:rFonts w:ascii="Arial" w:hAnsi="Arial" w:cs="Arial"/>
        </w:rPr>
        <w:t>, 59, pp. 5–21.</w:t>
      </w:r>
    </w:p>
    <w:p w14:paraId="2F94962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Herbes, C. et al. (2023) ‘Consumer behavior as a challenge and opportunity for circular food packaging’.</w:t>
      </w:r>
    </w:p>
    <w:p w14:paraId="7251025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Hernández-Espallardo, M. et al. (2021) ‘Cooperative governance under increasing member diversity: Towards a new theoretical framework’.</w:t>
      </w:r>
    </w:p>
    <w:p w14:paraId="28D4FD2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Hobbs, J.E. (2021) ‘Food supply chain resilience and the COVID-19 pandemic: What have we learned?’, </w:t>
      </w:r>
      <w:r w:rsidRPr="00791A3F">
        <w:rPr>
          <w:rFonts w:ascii="Arial" w:hAnsi="Arial" w:cs="Arial"/>
          <w:i/>
          <w:iCs/>
        </w:rPr>
        <w:t>Canadian Journal of Agricultural Economics</w:t>
      </w:r>
      <w:r w:rsidRPr="00791A3F">
        <w:rPr>
          <w:rFonts w:ascii="Arial" w:hAnsi="Arial" w:cs="Arial"/>
        </w:rPr>
        <w:t xml:space="preserve">, 69, pp. 189–196. </w:t>
      </w:r>
    </w:p>
    <w:p w14:paraId="0E00D11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Hobbs, J.E. and Rude, J. (2022) ‘Agri-food supply chain resilience strategies for preparing, responding, recovering, and adapting: A cross-country comparative analysis from the COVID-19 pandemic’, </w:t>
      </w:r>
      <w:r w:rsidRPr="00791A3F">
        <w:rPr>
          <w:rFonts w:ascii="Arial" w:hAnsi="Arial" w:cs="Arial"/>
          <w:i/>
          <w:iCs/>
        </w:rPr>
        <w:t>Journal of Business Logistics</w:t>
      </w:r>
      <w:r w:rsidRPr="00791A3F">
        <w:rPr>
          <w:rFonts w:ascii="Arial" w:hAnsi="Arial" w:cs="Arial"/>
        </w:rPr>
        <w:t>.</w:t>
      </w:r>
    </w:p>
    <w:p w14:paraId="5062D00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Hossain, M. et al. (2025) ‘Does ESG performance affect corporate commitment, competitiveness, and profitability? Evidence from a developing country’.</w:t>
      </w:r>
    </w:p>
    <w:p w14:paraId="79D3608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Jamali, D. and Karam, C. (2018) ‘Corporate social responsibility in developing countries as an emerging field of study’, </w:t>
      </w:r>
      <w:r w:rsidRPr="00791A3F">
        <w:rPr>
          <w:rFonts w:ascii="Arial" w:hAnsi="Arial" w:cs="Arial"/>
          <w:i/>
          <w:iCs/>
        </w:rPr>
        <w:t>International Journal of Management Reviews</w:t>
      </w:r>
      <w:r w:rsidRPr="00791A3F">
        <w:rPr>
          <w:rFonts w:ascii="Arial" w:hAnsi="Arial" w:cs="Arial"/>
        </w:rPr>
        <w:t>, 20(1), pp. 32–61.</w:t>
      </w:r>
    </w:p>
    <w:p w14:paraId="3D2A050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Jones, P., Comfort, D., Hillier, D. and Eastwood, I. (2005) ‘Corporate social responsibility: A case study of the UK’s leading food retailers’, British Food Journal, 107(6), pp. 423–435. doi: 10.1108/00070700510602192.</w:t>
      </w:r>
    </w:p>
    <w:p w14:paraId="101011E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Khan, M. et al. (2025) ‘ESG performance and financial stability: A bibliometric and meta-analysis’, </w:t>
      </w:r>
      <w:r w:rsidRPr="00791A3F">
        <w:rPr>
          <w:rFonts w:ascii="Arial" w:hAnsi="Arial" w:cs="Arial"/>
          <w:i/>
          <w:iCs/>
        </w:rPr>
        <w:t>SAGE Open</w:t>
      </w:r>
      <w:r w:rsidRPr="00791A3F">
        <w:rPr>
          <w:rFonts w:ascii="Arial" w:hAnsi="Arial" w:cs="Arial"/>
        </w:rPr>
        <w:t>.</w:t>
      </w:r>
    </w:p>
    <w:p w14:paraId="538B60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Kumar, V. et al. (2024) ‘Circular economy and sustainable practices in the food industry: A comprehensive bibliometric analysis’.</w:t>
      </w:r>
    </w:p>
    <w:p w14:paraId="24F08EB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Kusumawardani, A. and Dwiridotjahjono, J. (2024) ‘Does sustainability report assurance matter? Symbolic versus substantive ESG greenwashing’, </w:t>
      </w:r>
      <w:r w:rsidRPr="00791A3F">
        <w:rPr>
          <w:rFonts w:ascii="Arial" w:hAnsi="Arial" w:cs="Arial"/>
          <w:i/>
          <w:iCs/>
        </w:rPr>
        <w:t>Jurnal Akuntansi dan Keuangan Indonesia</w:t>
      </w:r>
      <w:r w:rsidRPr="00791A3F">
        <w:rPr>
          <w:rFonts w:ascii="Arial" w:hAnsi="Arial" w:cs="Arial"/>
        </w:rPr>
        <w:t>, 23(1).</w:t>
      </w:r>
    </w:p>
    <w:p w14:paraId="3BA0D57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Laplume, A.O. et al. (2008) ‘Corporate social responsibility and stakeholder theory: Learning from each other’, </w:t>
      </w:r>
      <w:r w:rsidRPr="00791A3F">
        <w:rPr>
          <w:rFonts w:ascii="Arial" w:hAnsi="Arial" w:cs="Arial"/>
          <w:i/>
          <w:iCs/>
        </w:rPr>
        <w:t>Journal of Business Ethics</w:t>
      </w:r>
      <w:r w:rsidRPr="00791A3F">
        <w:rPr>
          <w:rFonts w:ascii="Arial" w:hAnsi="Arial" w:cs="Arial"/>
        </w:rPr>
        <w:t>, 81, pp. 115–127.</w:t>
      </w:r>
    </w:p>
    <w:p w14:paraId="2429B97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LeBaron, G. et al. (2021) ‘Modern slavery disclosure regulation and global supply chains: Insights from stakeholder narratives on the UK Modern Slavery Act’, </w:t>
      </w:r>
      <w:r w:rsidRPr="00791A3F">
        <w:rPr>
          <w:rFonts w:ascii="Arial" w:hAnsi="Arial" w:cs="Arial"/>
          <w:i/>
          <w:iCs/>
        </w:rPr>
        <w:t>Journal of Business Ethics</w:t>
      </w:r>
      <w:r w:rsidRPr="00791A3F">
        <w:rPr>
          <w:rFonts w:ascii="Arial" w:hAnsi="Arial" w:cs="Arial"/>
        </w:rPr>
        <w:t>.</w:t>
      </w:r>
    </w:p>
    <w:p w14:paraId="6FBC69B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LeBaron, G. and Lister, J. (2022) ‘Modern slavery in supply chains: The limits of disclosure and corporate accountability’.</w:t>
      </w:r>
    </w:p>
    <w:p w14:paraId="2A304B6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Lincoln, Y.S. and Guba, E.G. (1985) </w:t>
      </w:r>
      <w:r w:rsidRPr="00791A3F">
        <w:rPr>
          <w:rFonts w:ascii="Arial" w:hAnsi="Arial" w:cs="Arial"/>
          <w:i/>
          <w:iCs/>
        </w:rPr>
        <w:t>Naturalistic Inquiry</w:t>
      </w:r>
      <w:r w:rsidRPr="00791A3F">
        <w:rPr>
          <w:rFonts w:ascii="Arial" w:hAnsi="Arial" w:cs="Arial"/>
        </w:rPr>
        <w:t>. Beverly Hills, CA: SAGE.</w:t>
      </w:r>
    </w:p>
    <w:p w14:paraId="19C971A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Liu, et al. (2024) ‘ESG performance and corporate carbon emission intensity: Panel data analysis of A-share listed companies’.</w:t>
      </w:r>
    </w:p>
    <w:p w14:paraId="601904B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Lyon, T.P. and Maxwell, J.W. (2011) ‘Greenwash: Corporate environmental disclosure under threat of audit’, </w:t>
      </w:r>
      <w:r w:rsidRPr="00791A3F">
        <w:rPr>
          <w:rFonts w:ascii="Arial" w:hAnsi="Arial" w:cs="Arial"/>
          <w:i/>
          <w:iCs/>
        </w:rPr>
        <w:t>Journal of Economics &amp; Management Strategy</w:t>
      </w:r>
      <w:r w:rsidRPr="00791A3F">
        <w:rPr>
          <w:rFonts w:ascii="Arial" w:hAnsi="Arial" w:cs="Arial"/>
        </w:rPr>
        <w:t xml:space="preserve">, 20(1), pp. 3–41. </w:t>
      </w:r>
      <w:hyperlink r:id="rId60" w:tgtFrame="_new" w:history="1">
        <w:r w:rsidRPr="00791A3F">
          <w:rPr>
            <w:rStyle w:val="Hyperlink"/>
            <w:rFonts w:ascii="Arial" w:hAnsi="Arial" w:cs="Arial"/>
          </w:rPr>
          <w:t>https://doi.org/10.1111/j.1530-9134.2010.00282.x</w:t>
        </w:r>
      </w:hyperlink>
      <w:r w:rsidRPr="00791A3F">
        <w:rPr>
          <w:rFonts w:ascii="Arial" w:hAnsi="Arial" w:cs="Arial"/>
        </w:rPr>
        <w:t xml:space="preserve"> </w:t>
      </w:r>
    </w:p>
    <w:p w14:paraId="3AD657B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Marquis, C., Toffel, M.W. and Zhou, Y. (2016) ‘Scrutiny, norms, and selective disclosure: A global study of greenwashing’, </w:t>
      </w:r>
      <w:r w:rsidRPr="00791A3F">
        <w:rPr>
          <w:rFonts w:ascii="Arial" w:hAnsi="Arial" w:cs="Arial"/>
          <w:i/>
          <w:iCs/>
        </w:rPr>
        <w:t>Organization Science</w:t>
      </w:r>
      <w:r w:rsidRPr="00791A3F">
        <w:rPr>
          <w:rFonts w:ascii="Arial" w:hAnsi="Arial" w:cs="Arial"/>
        </w:rPr>
        <w:t xml:space="preserve">, 27(2), pp. 483–504. </w:t>
      </w:r>
      <w:hyperlink r:id="rId61" w:tgtFrame="_new" w:history="1">
        <w:r w:rsidRPr="00791A3F">
          <w:rPr>
            <w:rStyle w:val="Hyperlink"/>
            <w:rFonts w:ascii="Arial" w:hAnsi="Arial" w:cs="Arial"/>
          </w:rPr>
          <w:t>https://doi.org/10.1287/orsc.2015.1039</w:t>
        </w:r>
      </w:hyperlink>
      <w:r w:rsidRPr="00791A3F">
        <w:rPr>
          <w:rFonts w:ascii="Arial" w:hAnsi="Arial" w:cs="Arial"/>
        </w:rPr>
        <w:t xml:space="preserve"> </w:t>
      </w:r>
    </w:p>
    <w:p w14:paraId="4BEFD7A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Matten, D. and Moon, J. (2008) ‘“Implicit” and “explicit” CSR: A conceptual framework for a comparative understanding of corporate social responsibility’, </w:t>
      </w:r>
      <w:r w:rsidRPr="00791A3F">
        <w:rPr>
          <w:rFonts w:ascii="Arial" w:hAnsi="Arial" w:cs="Arial"/>
          <w:i/>
          <w:iCs/>
        </w:rPr>
        <w:t>Academy of Management Review</w:t>
      </w:r>
      <w:r w:rsidRPr="00791A3F">
        <w:rPr>
          <w:rFonts w:ascii="Arial" w:hAnsi="Arial" w:cs="Arial"/>
        </w:rPr>
        <w:t>, 33(2), pp. 404–424.</w:t>
      </w:r>
    </w:p>
    <w:p w14:paraId="4B31092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Meehan, J. and Pinnington, B.D. (2022) ‘Modern slavery in supply chains: A systematic literature review’.</w:t>
      </w:r>
    </w:p>
    <w:p w14:paraId="3338A45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Mehmood, A. et al. (2025) ‘Mapping the greenwashing research landscape: A theoretical and field analysis’.</w:t>
      </w:r>
    </w:p>
    <w:p w14:paraId="1F06480C"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Michelon, G. et al. (2015) ‘CSR reporting practices and the quality of disclosure’.</w:t>
      </w:r>
    </w:p>
    <w:p w14:paraId="4F06BA0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Miles, S. (2017) ‘The relationship between stakeholder theory and corporate social responsibility’, </w:t>
      </w:r>
      <w:r w:rsidRPr="00791A3F">
        <w:rPr>
          <w:rFonts w:ascii="Arial" w:hAnsi="Arial" w:cs="Arial"/>
          <w:i/>
          <w:iCs/>
        </w:rPr>
        <w:t>Journal of Management Studies</w:t>
      </w:r>
      <w:r w:rsidRPr="00791A3F">
        <w:rPr>
          <w:rFonts w:ascii="Arial" w:hAnsi="Arial" w:cs="Arial"/>
        </w:rPr>
        <w:t>.</w:t>
      </w:r>
    </w:p>
    <w:p w14:paraId="501C0EF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 xml:space="preserve">Mialon, M. et al. (2026) ‘Ultra-processed foods in the global food system: The role of US tobacco companies’, </w:t>
      </w:r>
      <w:r w:rsidRPr="00791A3F">
        <w:rPr>
          <w:rFonts w:ascii="Arial" w:hAnsi="Arial" w:cs="Arial"/>
          <w:i/>
          <w:iCs/>
        </w:rPr>
        <w:t>American Journal of Public Health</w:t>
      </w:r>
      <w:r w:rsidRPr="00791A3F">
        <w:rPr>
          <w:rFonts w:ascii="Arial" w:hAnsi="Arial" w:cs="Arial"/>
        </w:rPr>
        <w:t>.</w:t>
      </w:r>
    </w:p>
    <w:p w14:paraId="5F77D55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Mitchell, R.K., Agle, B.R. and Wood, D.J. (1997) ‘Toward a theory of stakeholder identification and salience: Defining the principle of who and what really counts’, </w:t>
      </w:r>
      <w:r w:rsidRPr="00791A3F">
        <w:rPr>
          <w:rFonts w:ascii="Arial" w:hAnsi="Arial" w:cs="Arial"/>
          <w:i/>
          <w:iCs/>
        </w:rPr>
        <w:t>Academy of Management Review</w:t>
      </w:r>
      <w:r w:rsidRPr="00791A3F">
        <w:rPr>
          <w:rFonts w:ascii="Arial" w:hAnsi="Arial" w:cs="Arial"/>
        </w:rPr>
        <w:t>, 22(4), pp. 853–886.</w:t>
      </w:r>
    </w:p>
    <w:p w14:paraId="133FD40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Ncube, L.K. et al. (2020) ‘The next generation of sustainable food packaging to preserve our environment in a circular economy context’.</w:t>
      </w:r>
    </w:p>
    <w:p w14:paraId="12B6DD1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Nicholls, A. and Opal, C. (2014) ‘CSR: The co-evolution of grocery multiples in the UK (2005–2010)’.</w:t>
      </w:r>
    </w:p>
    <w:p w14:paraId="0C4C006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Nowell, L.S. et al. (2017) ‘Thematic analysis: Striving to meet the trustworthiness criteria’, </w:t>
      </w:r>
      <w:r w:rsidRPr="00791A3F">
        <w:rPr>
          <w:rFonts w:ascii="Arial" w:hAnsi="Arial" w:cs="Arial"/>
          <w:i/>
          <w:iCs/>
        </w:rPr>
        <w:t>International Journal of Qualitative Methods</w:t>
      </w:r>
      <w:r w:rsidRPr="00791A3F">
        <w:rPr>
          <w:rFonts w:ascii="Arial" w:hAnsi="Arial" w:cs="Arial"/>
        </w:rPr>
        <w:t>, 16, pp. 1–13.</w:t>
      </w:r>
    </w:p>
    <w:p w14:paraId="5AB7B1A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Oxfam (2021) </w:t>
      </w:r>
      <w:r w:rsidRPr="00791A3F">
        <w:rPr>
          <w:rFonts w:ascii="Arial" w:hAnsi="Arial" w:cs="Arial"/>
          <w:i/>
          <w:iCs/>
        </w:rPr>
        <w:t>Behind the Barcodes: Food Retailers and Human Rights in Global Supply Chains</w:t>
      </w:r>
      <w:r w:rsidRPr="00791A3F">
        <w:rPr>
          <w:rFonts w:ascii="Arial" w:hAnsi="Arial" w:cs="Arial"/>
        </w:rPr>
        <w:t>. Oxford: Oxfam.</w:t>
      </w:r>
    </w:p>
    <w:p w14:paraId="5428204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Pantano, E. et al. (2020) ‘Competing during a pandemic? Retailers’ ups and downs during the COVID-19 outbreak’, </w:t>
      </w:r>
      <w:r w:rsidRPr="00791A3F">
        <w:rPr>
          <w:rFonts w:ascii="Arial" w:hAnsi="Arial" w:cs="Arial"/>
          <w:i/>
          <w:iCs/>
        </w:rPr>
        <w:t>Journal of Business Research</w:t>
      </w:r>
      <w:r w:rsidRPr="00791A3F">
        <w:rPr>
          <w:rFonts w:ascii="Arial" w:hAnsi="Arial" w:cs="Arial"/>
        </w:rPr>
        <w:t>, 116, pp. 209–213.</w:t>
      </w:r>
    </w:p>
    <w:p w14:paraId="226B02E2"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Patton, M.Q. (2015) </w:t>
      </w:r>
      <w:r w:rsidRPr="00791A3F">
        <w:rPr>
          <w:rFonts w:ascii="Arial" w:hAnsi="Arial" w:cs="Arial"/>
          <w:i/>
          <w:iCs/>
        </w:rPr>
        <w:t>Qualitative Research &amp; Evaluation Methods</w:t>
      </w:r>
      <w:r w:rsidRPr="00791A3F">
        <w:rPr>
          <w:rFonts w:ascii="Arial" w:hAnsi="Arial" w:cs="Arial"/>
        </w:rPr>
        <w:t>. 4th edn. Thousand Oaks, CA: SAGE.</w:t>
      </w:r>
    </w:p>
    <w:p w14:paraId="7E5A6FB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Porter, M.E. and Kramer, M.R. (2011) ‘Creating shared value’, </w:t>
      </w:r>
      <w:r w:rsidRPr="00791A3F">
        <w:rPr>
          <w:rFonts w:ascii="Arial" w:hAnsi="Arial" w:cs="Arial"/>
          <w:i/>
          <w:iCs/>
        </w:rPr>
        <w:t>Harvard Business Review</w:t>
      </w:r>
      <w:r w:rsidRPr="00791A3F">
        <w:rPr>
          <w:rFonts w:ascii="Arial" w:hAnsi="Arial" w:cs="Arial"/>
        </w:rPr>
        <w:t>, 89(1–2), pp. 62–77.</w:t>
      </w:r>
    </w:p>
    <w:p w14:paraId="6E7BC01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Quazi, A.M. and O’Brien, D. (2000) ‘An empirical test of a cross-national model of corporate social responsibility’, </w:t>
      </w:r>
      <w:r w:rsidRPr="00791A3F">
        <w:rPr>
          <w:rFonts w:ascii="Arial" w:hAnsi="Arial" w:cs="Arial"/>
          <w:i/>
          <w:iCs/>
        </w:rPr>
        <w:t>Journal of Business Ethics</w:t>
      </w:r>
      <w:r w:rsidRPr="00791A3F">
        <w:rPr>
          <w:rFonts w:ascii="Arial" w:hAnsi="Arial" w:cs="Arial"/>
        </w:rPr>
        <w:t>, 25, pp. 33–51.</w:t>
      </w:r>
    </w:p>
    <w:p w14:paraId="1C85876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Ribeiro, M. et al. (2023) ‘Identifying the drivers of circular food packaging: A comprehensive review for the current state of the food supply chain’, </w:t>
      </w:r>
      <w:r w:rsidRPr="00791A3F">
        <w:rPr>
          <w:rFonts w:ascii="Arial" w:hAnsi="Arial" w:cs="Arial"/>
          <w:i/>
          <w:iCs/>
        </w:rPr>
        <w:t>Sustainability</w:t>
      </w:r>
      <w:r w:rsidRPr="00791A3F">
        <w:rPr>
          <w:rFonts w:ascii="Arial" w:hAnsi="Arial" w:cs="Arial"/>
        </w:rPr>
        <w:t>, 15(15), 11703.</w:t>
      </w:r>
    </w:p>
    <w:p w14:paraId="49A7574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Richards, M. (2023) [Source on discount-retail business models and CSR].</w:t>
      </w:r>
    </w:p>
    <w:p w14:paraId="33CCEE41"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Robinson, E. et al. (2025) ‘Supermarket nutritionists’ perspectives on affordability interventions for healthier, sustainable food purchasing in UK retail’.</w:t>
      </w:r>
    </w:p>
    <w:p w14:paraId="57DCFFD0"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Sacks, G. et al. (2020) [Source on food retail, food environments and public health].</w:t>
      </w:r>
    </w:p>
    <w:p w14:paraId="544EC45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Saldaña, J. (2015) </w:t>
      </w:r>
      <w:r w:rsidRPr="00791A3F">
        <w:rPr>
          <w:rFonts w:ascii="Arial" w:hAnsi="Arial" w:cs="Arial"/>
          <w:i/>
          <w:iCs/>
        </w:rPr>
        <w:t>The Coding Manual for Qualitative Researchers</w:t>
      </w:r>
      <w:r w:rsidRPr="00791A3F">
        <w:rPr>
          <w:rFonts w:ascii="Arial" w:hAnsi="Arial" w:cs="Arial"/>
        </w:rPr>
        <w:t>. 3rd edn. London: SAGE.</w:t>
      </w:r>
    </w:p>
    <w:p w14:paraId="6CCF78D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Sardana, D. et al. (2024) ‘Corporate social responsibility and stakeholder theory: An integrated review’.</w:t>
      </w:r>
    </w:p>
    <w:p w14:paraId="6E5C19F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Sarfaty, G.A. and Zhang, Y. (2025) ‘Labour rights movements and modern slavery audit disclosures within global supply chains: A political mediation perspective’.</w:t>
      </w:r>
    </w:p>
    <w:p w14:paraId="5E5CD96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Sarkis, J. et al. (2021) ‘Supply chain resilience during the COVID-19 pandemic’.</w:t>
      </w:r>
    </w:p>
    <w:p w14:paraId="2B0CC83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Saunders, M., Lewis, P. and Thornhill, A. (2019) </w:t>
      </w:r>
      <w:r w:rsidRPr="00791A3F">
        <w:rPr>
          <w:rFonts w:ascii="Arial" w:hAnsi="Arial" w:cs="Arial"/>
          <w:i/>
          <w:iCs/>
        </w:rPr>
        <w:t>Research Methods for Business Students</w:t>
      </w:r>
      <w:r w:rsidRPr="00791A3F">
        <w:rPr>
          <w:rFonts w:ascii="Arial" w:hAnsi="Arial" w:cs="Arial"/>
        </w:rPr>
        <w:t>. 8th edn. Harlow: Pearson.</w:t>
      </w:r>
    </w:p>
    <w:p w14:paraId="246AB01E"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Schons, L. and Steinmeier, M. (2016) [Source on stakeholder salience/CSR].</w:t>
      </w:r>
    </w:p>
    <w:p w14:paraId="2BF32E3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Scrinis, G. and Monteiro, C.A. (2025) ‘Ultra-processed foods and public health: Evidence of harm and of conflicts of interest in the food industry to evade regulation’.</w:t>
      </w:r>
    </w:p>
    <w:p w14:paraId="2B40BA1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ShareAction (2023) </w:t>
      </w:r>
      <w:r w:rsidRPr="00791A3F">
        <w:rPr>
          <w:rFonts w:ascii="Arial" w:hAnsi="Arial" w:cs="Arial"/>
          <w:i/>
          <w:iCs/>
        </w:rPr>
        <w:t>[Retail/food-sector ESG and health assessment report cited in the dissertation]</w:t>
      </w:r>
      <w:r w:rsidRPr="00791A3F">
        <w:rPr>
          <w:rFonts w:ascii="Arial" w:hAnsi="Arial" w:cs="Arial"/>
        </w:rPr>
        <w:t>. London: ShareAction.</w:t>
      </w:r>
    </w:p>
    <w:p w14:paraId="6D30C4F9"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Siano, A. et al. (2017) [Source on symbolic and substantive CSR communication].</w:t>
      </w:r>
    </w:p>
    <w:p w14:paraId="03016784"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Stake, R.E. (1995) </w:t>
      </w:r>
      <w:r w:rsidRPr="00791A3F">
        <w:rPr>
          <w:rFonts w:ascii="Arial" w:hAnsi="Arial" w:cs="Arial"/>
          <w:i/>
          <w:iCs/>
        </w:rPr>
        <w:t>The Art of Case Study Research</w:t>
      </w:r>
      <w:r w:rsidRPr="00791A3F">
        <w:rPr>
          <w:rFonts w:ascii="Arial" w:hAnsi="Arial" w:cs="Arial"/>
        </w:rPr>
        <w:t>. Thousand Oaks, CA: SAGE.</w:t>
      </w:r>
    </w:p>
    <w:p w14:paraId="67ECEB8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Stanny, E. and Ely, K. (2024) ‘Quantifying firm-level greenwashing: A systematic literature review’.</w:t>
      </w:r>
    </w:p>
    <w:p w14:paraId="071452D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Stevenson, M. and Cole, R. (2021) ‘Modern slavery statements: From regulation to substantive supply chain reporting’.</w:t>
      </w:r>
    </w:p>
    <w:p w14:paraId="31BAE6C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Suardi, S. and Fiandrino, S. (2025) ‘Quality, determinants and financial consequences of climate change disclosures: A structured review’.</w:t>
      </w:r>
    </w:p>
    <w:p w14:paraId="6A3571D5"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Taillie, L.S. et al. (2020) [Source on food environments, ultra-processed foods and public health].</w:t>
      </w:r>
    </w:p>
    <w:p w14:paraId="1F5CE208"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lastRenderedPageBreak/>
        <w:t>Torelli, R. et al. (2019) ‘Grey zone in – greenwash out. A review of greenwashing research’.</w:t>
      </w:r>
    </w:p>
    <w:p w14:paraId="495804BA"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Torelli, R. et al. (2020) [Source on substantive and symbolic CSR/greenwashing].</w:t>
      </w:r>
    </w:p>
    <w:p w14:paraId="50BA39C6"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Tracy, S.J. (2010) ‘Qualitative quality: Eight “big-tent” criteria for excellent qualitative research’, </w:t>
      </w:r>
      <w:r w:rsidRPr="00791A3F">
        <w:rPr>
          <w:rFonts w:ascii="Arial" w:hAnsi="Arial" w:cs="Arial"/>
          <w:i/>
          <w:iCs/>
        </w:rPr>
        <w:t>Qualitative Inquiry</w:t>
      </w:r>
      <w:r w:rsidRPr="00791A3F">
        <w:rPr>
          <w:rFonts w:ascii="Arial" w:hAnsi="Arial" w:cs="Arial"/>
        </w:rPr>
        <w:t>, 16(10), pp. 837–851.</w:t>
      </w:r>
    </w:p>
    <w:p w14:paraId="1347317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UK Government (2021) </w:t>
      </w:r>
      <w:r w:rsidRPr="00791A3F">
        <w:rPr>
          <w:rFonts w:ascii="Arial" w:hAnsi="Arial" w:cs="Arial"/>
          <w:i/>
          <w:iCs/>
        </w:rPr>
        <w:t>[Net-zero/climate disclosure and supply-chain due-diligence policy document cited in the dissertation]</w:t>
      </w:r>
      <w:r w:rsidRPr="00791A3F">
        <w:rPr>
          <w:rFonts w:ascii="Arial" w:hAnsi="Arial" w:cs="Arial"/>
        </w:rPr>
        <w:t>. London: UK Government.</w:t>
      </w:r>
    </w:p>
    <w:p w14:paraId="2D41F94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Velte, P. (2025) ‘The impact of institutional ownership structure on corporate ESG performance: Empirical evidence for the European capital market’.</w:t>
      </w:r>
    </w:p>
    <w:p w14:paraId="5704D81B"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Viere, T. et al. (2025) ‘Food packaging business models as drivers for sustainability in the food packaging industry’, </w:t>
      </w:r>
      <w:r w:rsidRPr="00791A3F">
        <w:rPr>
          <w:rFonts w:ascii="Arial" w:hAnsi="Arial" w:cs="Arial"/>
          <w:i/>
          <w:iCs/>
        </w:rPr>
        <w:t>Frontiers in Sustainable Food Systems</w:t>
      </w:r>
      <w:r w:rsidRPr="00791A3F">
        <w:rPr>
          <w:rFonts w:ascii="Arial" w:hAnsi="Arial" w:cs="Arial"/>
        </w:rPr>
        <w:t>.</w:t>
      </w:r>
    </w:p>
    <w:p w14:paraId="6FE3704D"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Walker, K. and Wan, F. (2012) ‘The harm of symbolic actions and green-washing: Corporate actions and communications on environmental performance and their financial implications’, </w:t>
      </w:r>
      <w:r w:rsidRPr="00791A3F">
        <w:rPr>
          <w:rFonts w:ascii="Arial" w:hAnsi="Arial" w:cs="Arial"/>
          <w:i/>
          <w:iCs/>
        </w:rPr>
        <w:t>Journal of Business Ethics</w:t>
      </w:r>
      <w:r w:rsidRPr="00791A3F">
        <w:rPr>
          <w:rFonts w:ascii="Arial" w:hAnsi="Arial" w:cs="Arial"/>
        </w:rPr>
        <w:t>, 109, pp. 227–242.</w:t>
      </w:r>
    </w:p>
    <w:p w14:paraId="03583AC7"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White, K. et al. (2020) [Source on consumer sustainability expectations and behaviour].</w:t>
      </w:r>
    </w:p>
    <w:p w14:paraId="6AD3A10F"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Yang, Y. et al. (2025) ‘Symbolic versus substantive ESG practices: A systematic review and integrative framework’, </w:t>
      </w:r>
      <w:r w:rsidRPr="00791A3F">
        <w:rPr>
          <w:rFonts w:ascii="Arial" w:hAnsi="Arial" w:cs="Arial"/>
          <w:i/>
          <w:iCs/>
        </w:rPr>
        <w:t>Corporate Social Responsibility and Environmental Management</w:t>
      </w:r>
      <w:r w:rsidRPr="00791A3F">
        <w:rPr>
          <w:rFonts w:ascii="Arial" w:hAnsi="Arial" w:cs="Arial"/>
        </w:rPr>
        <w:t>.</w:t>
      </w:r>
    </w:p>
    <w:p w14:paraId="53D6A233" w14:textId="77777777" w:rsidR="00490FC0" w:rsidRPr="00791A3F" w:rsidRDefault="00490FC0" w:rsidP="00791A3F">
      <w:pPr>
        <w:spacing w:line="360" w:lineRule="auto"/>
        <w:ind w:left="360"/>
        <w:jc w:val="both"/>
        <w:rPr>
          <w:rFonts w:ascii="Arial" w:hAnsi="Arial" w:cs="Arial"/>
        </w:rPr>
      </w:pPr>
      <w:r w:rsidRPr="00791A3F">
        <w:rPr>
          <w:rFonts w:ascii="Arial" w:hAnsi="Arial" w:cs="Arial"/>
        </w:rPr>
        <w:t xml:space="preserve">Yin, R.K. (2018) </w:t>
      </w:r>
      <w:r w:rsidRPr="00791A3F">
        <w:rPr>
          <w:rFonts w:ascii="Arial" w:hAnsi="Arial" w:cs="Arial"/>
          <w:i/>
          <w:iCs/>
        </w:rPr>
        <w:t>Case Study Research and Applications: Design and Methods</w:t>
      </w:r>
      <w:r w:rsidRPr="00791A3F">
        <w:rPr>
          <w:rFonts w:ascii="Arial" w:hAnsi="Arial" w:cs="Arial"/>
        </w:rPr>
        <w:t>. 6th edn. Thousand Oaks, CA: SAGE.</w:t>
      </w:r>
    </w:p>
    <w:p w14:paraId="6C197224" w14:textId="77777777" w:rsidR="00AD53BD" w:rsidRPr="00791A3F" w:rsidRDefault="00490FC0" w:rsidP="00791A3F">
      <w:pPr>
        <w:spacing w:line="360" w:lineRule="auto"/>
        <w:ind w:left="360"/>
        <w:jc w:val="both"/>
        <w:rPr>
          <w:rFonts w:ascii="Arial" w:hAnsi="Arial" w:cs="Arial"/>
        </w:rPr>
      </w:pPr>
      <w:r w:rsidRPr="00791A3F">
        <w:rPr>
          <w:rFonts w:ascii="Arial" w:hAnsi="Arial" w:cs="Arial"/>
        </w:rPr>
        <w:t>Zhao, X. et al. (2025) ‘Market competitiveness and corporate ESG performance’.</w:t>
      </w:r>
    </w:p>
    <w:sectPr w:rsidR="00AD53BD" w:rsidRPr="00791A3F" w:rsidSect="00A16FCC">
      <w:footerReference w:type="default" r:id="rId6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878A9" w14:textId="77777777" w:rsidR="00725B26" w:rsidRDefault="00725B26" w:rsidP="00A16FCC">
      <w:pPr>
        <w:spacing w:after="0" w:line="240" w:lineRule="auto"/>
      </w:pPr>
      <w:r>
        <w:separator/>
      </w:r>
    </w:p>
  </w:endnote>
  <w:endnote w:type="continuationSeparator" w:id="0">
    <w:p w14:paraId="131EA09E" w14:textId="77777777" w:rsidR="00725B26" w:rsidRDefault="00725B26" w:rsidP="00A1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875498"/>
      <w:docPartObj>
        <w:docPartGallery w:val="Page Numbers (Bottom of Page)"/>
        <w:docPartUnique/>
      </w:docPartObj>
    </w:sdtPr>
    <w:sdtEndPr>
      <w:rPr>
        <w:color w:val="7F7F7F" w:themeColor="background1" w:themeShade="7F"/>
        <w:spacing w:val="60"/>
      </w:rPr>
    </w:sdtEndPr>
    <w:sdtContent>
      <w:p w14:paraId="11D96C02" w14:textId="77777777" w:rsidR="00A16FCC" w:rsidRDefault="00A16FC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11512E" w14:textId="77777777" w:rsidR="00A16FCC" w:rsidRDefault="00A16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56F4" w14:textId="77777777" w:rsidR="00725B26" w:rsidRDefault="00725B26" w:rsidP="00A16FCC">
      <w:pPr>
        <w:spacing w:after="0" w:line="240" w:lineRule="auto"/>
      </w:pPr>
      <w:r>
        <w:separator/>
      </w:r>
    </w:p>
  </w:footnote>
  <w:footnote w:type="continuationSeparator" w:id="0">
    <w:p w14:paraId="11BF3497" w14:textId="77777777" w:rsidR="00725B26" w:rsidRDefault="00725B26" w:rsidP="00A1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B5CF2"/>
    <w:multiLevelType w:val="multilevel"/>
    <w:tmpl w:val="19BA6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2359C8"/>
    <w:multiLevelType w:val="hybridMultilevel"/>
    <w:tmpl w:val="0FF6B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931A53"/>
    <w:multiLevelType w:val="multilevel"/>
    <w:tmpl w:val="514E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DA956F7"/>
    <w:multiLevelType w:val="hybridMultilevel"/>
    <w:tmpl w:val="F91E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830C65"/>
    <w:multiLevelType w:val="multilevel"/>
    <w:tmpl w:val="6CB85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C1380B"/>
    <w:multiLevelType w:val="multilevel"/>
    <w:tmpl w:val="82706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2929667">
    <w:abstractNumId w:val="0"/>
  </w:num>
  <w:num w:numId="2" w16cid:durableId="1063915345">
    <w:abstractNumId w:val="2"/>
  </w:num>
  <w:num w:numId="3" w16cid:durableId="1689675809">
    <w:abstractNumId w:val="5"/>
  </w:num>
  <w:num w:numId="4" w16cid:durableId="507866733">
    <w:abstractNumId w:val="4"/>
  </w:num>
  <w:num w:numId="5" w16cid:durableId="2028092700">
    <w:abstractNumId w:val="1"/>
  </w:num>
  <w:num w:numId="6" w16cid:durableId="1806466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3BD"/>
    <w:rsid w:val="00031EC3"/>
    <w:rsid w:val="00035DB5"/>
    <w:rsid w:val="000868EE"/>
    <w:rsid w:val="000A3C77"/>
    <w:rsid w:val="000C365D"/>
    <w:rsid w:val="000D56B3"/>
    <w:rsid w:val="000E57D5"/>
    <w:rsid w:val="00104298"/>
    <w:rsid w:val="00104445"/>
    <w:rsid w:val="00120618"/>
    <w:rsid w:val="0012783A"/>
    <w:rsid w:val="001551C6"/>
    <w:rsid w:val="00157318"/>
    <w:rsid w:val="001650E4"/>
    <w:rsid w:val="00166E4C"/>
    <w:rsid w:val="0017785F"/>
    <w:rsid w:val="001A2919"/>
    <w:rsid w:val="001C09F3"/>
    <w:rsid w:val="001D0206"/>
    <w:rsid w:val="001E1DAA"/>
    <w:rsid w:val="001E46C6"/>
    <w:rsid w:val="00203435"/>
    <w:rsid w:val="00207829"/>
    <w:rsid w:val="00212D06"/>
    <w:rsid w:val="00221AF1"/>
    <w:rsid w:val="00225B11"/>
    <w:rsid w:val="00240A06"/>
    <w:rsid w:val="00272B92"/>
    <w:rsid w:val="00277AA7"/>
    <w:rsid w:val="002B0261"/>
    <w:rsid w:val="0031327F"/>
    <w:rsid w:val="00322C8C"/>
    <w:rsid w:val="003302A0"/>
    <w:rsid w:val="00355947"/>
    <w:rsid w:val="003961F5"/>
    <w:rsid w:val="003C2DA1"/>
    <w:rsid w:val="003C73D6"/>
    <w:rsid w:val="003F0721"/>
    <w:rsid w:val="00424A60"/>
    <w:rsid w:val="0043549C"/>
    <w:rsid w:val="0045047A"/>
    <w:rsid w:val="0045281C"/>
    <w:rsid w:val="00490FC0"/>
    <w:rsid w:val="00494FD0"/>
    <w:rsid w:val="004C311C"/>
    <w:rsid w:val="004C58C6"/>
    <w:rsid w:val="004C6604"/>
    <w:rsid w:val="004D3070"/>
    <w:rsid w:val="004E19DE"/>
    <w:rsid w:val="00507FF4"/>
    <w:rsid w:val="005146C2"/>
    <w:rsid w:val="00514BF5"/>
    <w:rsid w:val="00533350"/>
    <w:rsid w:val="00571A37"/>
    <w:rsid w:val="005903F1"/>
    <w:rsid w:val="005B08F1"/>
    <w:rsid w:val="005B3246"/>
    <w:rsid w:val="00661AEA"/>
    <w:rsid w:val="00662FB5"/>
    <w:rsid w:val="00663A93"/>
    <w:rsid w:val="00687B77"/>
    <w:rsid w:val="006A528C"/>
    <w:rsid w:val="006D0B87"/>
    <w:rsid w:val="006D0EF4"/>
    <w:rsid w:val="006D4399"/>
    <w:rsid w:val="006D56EB"/>
    <w:rsid w:val="00725B26"/>
    <w:rsid w:val="007468AA"/>
    <w:rsid w:val="00774749"/>
    <w:rsid w:val="00774993"/>
    <w:rsid w:val="00780BFA"/>
    <w:rsid w:val="007828ED"/>
    <w:rsid w:val="00791A3F"/>
    <w:rsid w:val="00797C3D"/>
    <w:rsid w:val="007D45BD"/>
    <w:rsid w:val="007E1833"/>
    <w:rsid w:val="00822698"/>
    <w:rsid w:val="008369A9"/>
    <w:rsid w:val="00862EEE"/>
    <w:rsid w:val="0088091B"/>
    <w:rsid w:val="0088695C"/>
    <w:rsid w:val="00887BA8"/>
    <w:rsid w:val="00892BD6"/>
    <w:rsid w:val="00894728"/>
    <w:rsid w:val="00897863"/>
    <w:rsid w:val="008B5FCA"/>
    <w:rsid w:val="008B6FDE"/>
    <w:rsid w:val="008C0C8F"/>
    <w:rsid w:val="008C61DC"/>
    <w:rsid w:val="008D435C"/>
    <w:rsid w:val="008E0A93"/>
    <w:rsid w:val="008E62CB"/>
    <w:rsid w:val="008F1DBA"/>
    <w:rsid w:val="00902E11"/>
    <w:rsid w:val="009069EF"/>
    <w:rsid w:val="00912855"/>
    <w:rsid w:val="00921A07"/>
    <w:rsid w:val="00946500"/>
    <w:rsid w:val="00991BF8"/>
    <w:rsid w:val="009936D4"/>
    <w:rsid w:val="009B734B"/>
    <w:rsid w:val="009F6D5A"/>
    <w:rsid w:val="00A02F10"/>
    <w:rsid w:val="00A10F42"/>
    <w:rsid w:val="00A16FCC"/>
    <w:rsid w:val="00A3718E"/>
    <w:rsid w:val="00A41EB8"/>
    <w:rsid w:val="00A50B0B"/>
    <w:rsid w:val="00A52928"/>
    <w:rsid w:val="00A72DED"/>
    <w:rsid w:val="00A91B5C"/>
    <w:rsid w:val="00AA0155"/>
    <w:rsid w:val="00AA24A9"/>
    <w:rsid w:val="00AC3E96"/>
    <w:rsid w:val="00AD3756"/>
    <w:rsid w:val="00AD53BD"/>
    <w:rsid w:val="00AE3401"/>
    <w:rsid w:val="00B45A14"/>
    <w:rsid w:val="00B57468"/>
    <w:rsid w:val="00B65F8B"/>
    <w:rsid w:val="00B74E21"/>
    <w:rsid w:val="00B772C6"/>
    <w:rsid w:val="00B94B4F"/>
    <w:rsid w:val="00BE6C25"/>
    <w:rsid w:val="00BF238B"/>
    <w:rsid w:val="00C35FC7"/>
    <w:rsid w:val="00C52BBC"/>
    <w:rsid w:val="00C745A7"/>
    <w:rsid w:val="00C81F38"/>
    <w:rsid w:val="00CA2D93"/>
    <w:rsid w:val="00CA5D2E"/>
    <w:rsid w:val="00CC2C34"/>
    <w:rsid w:val="00CD1D85"/>
    <w:rsid w:val="00CD3CEA"/>
    <w:rsid w:val="00CF07AB"/>
    <w:rsid w:val="00CF27DF"/>
    <w:rsid w:val="00CF4D83"/>
    <w:rsid w:val="00D05FD1"/>
    <w:rsid w:val="00D062F4"/>
    <w:rsid w:val="00D2275A"/>
    <w:rsid w:val="00D23EAE"/>
    <w:rsid w:val="00D26F7D"/>
    <w:rsid w:val="00D3243D"/>
    <w:rsid w:val="00D37005"/>
    <w:rsid w:val="00D46615"/>
    <w:rsid w:val="00D60E1E"/>
    <w:rsid w:val="00D864A6"/>
    <w:rsid w:val="00D91350"/>
    <w:rsid w:val="00D9611C"/>
    <w:rsid w:val="00DA3036"/>
    <w:rsid w:val="00DA354A"/>
    <w:rsid w:val="00DD2533"/>
    <w:rsid w:val="00DE708F"/>
    <w:rsid w:val="00E043BF"/>
    <w:rsid w:val="00E72FD7"/>
    <w:rsid w:val="00E76C70"/>
    <w:rsid w:val="00EC31A5"/>
    <w:rsid w:val="00EC58AB"/>
    <w:rsid w:val="00F13FE9"/>
    <w:rsid w:val="00F32759"/>
    <w:rsid w:val="00F56141"/>
    <w:rsid w:val="00F62881"/>
    <w:rsid w:val="00F64EB6"/>
    <w:rsid w:val="00F70C3F"/>
    <w:rsid w:val="00F800F5"/>
    <w:rsid w:val="00FE663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A4C7"/>
  <w15:chartTrackingRefBased/>
  <w15:docId w15:val="{4032AAAF-6911-403F-ABE0-A9F5579BC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FE9"/>
  </w:style>
  <w:style w:type="paragraph" w:styleId="Heading1">
    <w:name w:val="heading 1"/>
    <w:basedOn w:val="Normal"/>
    <w:next w:val="Normal"/>
    <w:link w:val="Heading1Char"/>
    <w:uiPriority w:val="9"/>
    <w:qFormat/>
    <w:rsid w:val="00AD5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5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53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3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3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3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3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3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3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3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53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53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3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3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3BD"/>
    <w:rPr>
      <w:rFonts w:eastAsiaTheme="majorEastAsia" w:cstheme="majorBidi"/>
      <w:color w:val="272727" w:themeColor="text1" w:themeTint="D8"/>
    </w:rPr>
  </w:style>
  <w:style w:type="paragraph" w:styleId="Title">
    <w:name w:val="Title"/>
    <w:basedOn w:val="Normal"/>
    <w:next w:val="Normal"/>
    <w:link w:val="TitleChar"/>
    <w:uiPriority w:val="10"/>
    <w:qFormat/>
    <w:rsid w:val="00AD53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3BD"/>
    <w:pPr>
      <w:spacing w:before="160"/>
      <w:jc w:val="center"/>
    </w:pPr>
    <w:rPr>
      <w:i/>
      <w:iCs/>
      <w:color w:val="404040" w:themeColor="text1" w:themeTint="BF"/>
    </w:rPr>
  </w:style>
  <w:style w:type="character" w:customStyle="1" w:styleId="QuoteChar">
    <w:name w:val="Quote Char"/>
    <w:basedOn w:val="DefaultParagraphFont"/>
    <w:link w:val="Quote"/>
    <w:uiPriority w:val="29"/>
    <w:rsid w:val="00AD53BD"/>
    <w:rPr>
      <w:i/>
      <w:iCs/>
      <w:color w:val="404040" w:themeColor="text1" w:themeTint="BF"/>
    </w:rPr>
  </w:style>
  <w:style w:type="paragraph" w:styleId="ListParagraph">
    <w:name w:val="List Paragraph"/>
    <w:basedOn w:val="Normal"/>
    <w:uiPriority w:val="34"/>
    <w:qFormat/>
    <w:rsid w:val="00AD53BD"/>
    <w:pPr>
      <w:ind w:left="720"/>
      <w:contextualSpacing/>
    </w:pPr>
  </w:style>
  <w:style w:type="character" w:styleId="IntenseEmphasis">
    <w:name w:val="Intense Emphasis"/>
    <w:basedOn w:val="DefaultParagraphFont"/>
    <w:uiPriority w:val="21"/>
    <w:qFormat/>
    <w:rsid w:val="00AD53BD"/>
    <w:rPr>
      <w:i/>
      <w:iCs/>
      <w:color w:val="0F4761" w:themeColor="accent1" w:themeShade="BF"/>
    </w:rPr>
  </w:style>
  <w:style w:type="paragraph" w:styleId="IntenseQuote">
    <w:name w:val="Intense Quote"/>
    <w:basedOn w:val="Normal"/>
    <w:next w:val="Normal"/>
    <w:link w:val="IntenseQuoteChar"/>
    <w:uiPriority w:val="30"/>
    <w:qFormat/>
    <w:rsid w:val="00AD5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3BD"/>
    <w:rPr>
      <w:i/>
      <w:iCs/>
      <w:color w:val="0F4761" w:themeColor="accent1" w:themeShade="BF"/>
    </w:rPr>
  </w:style>
  <w:style w:type="character" w:styleId="IntenseReference">
    <w:name w:val="Intense Reference"/>
    <w:basedOn w:val="DefaultParagraphFont"/>
    <w:uiPriority w:val="32"/>
    <w:qFormat/>
    <w:rsid w:val="00AD53BD"/>
    <w:rPr>
      <w:b/>
      <w:bCs/>
      <w:smallCaps/>
      <w:color w:val="0F4761" w:themeColor="accent1" w:themeShade="BF"/>
      <w:spacing w:val="5"/>
    </w:rPr>
  </w:style>
  <w:style w:type="table" w:styleId="TableGrid">
    <w:name w:val="Table Grid"/>
    <w:basedOn w:val="TableNormal"/>
    <w:uiPriority w:val="39"/>
    <w:rsid w:val="00902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2E11"/>
    <w:rPr>
      <w:color w:val="467886" w:themeColor="hyperlink"/>
      <w:u w:val="single"/>
    </w:rPr>
  </w:style>
  <w:style w:type="character" w:styleId="UnresolvedMention">
    <w:name w:val="Unresolved Mention"/>
    <w:basedOn w:val="DefaultParagraphFont"/>
    <w:uiPriority w:val="99"/>
    <w:semiHidden/>
    <w:unhideWhenUsed/>
    <w:rsid w:val="00EC58AB"/>
    <w:rPr>
      <w:color w:val="605E5C"/>
      <w:shd w:val="clear" w:color="auto" w:fill="E1DFDD"/>
    </w:rPr>
  </w:style>
  <w:style w:type="paragraph" w:styleId="Header">
    <w:name w:val="header"/>
    <w:basedOn w:val="Normal"/>
    <w:link w:val="HeaderChar"/>
    <w:uiPriority w:val="99"/>
    <w:unhideWhenUsed/>
    <w:rsid w:val="00A16F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FCC"/>
  </w:style>
  <w:style w:type="paragraph" w:styleId="Footer">
    <w:name w:val="footer"/>
    <w:basedOn w:val="Normal"/>
    <w:link w:val="FooterChar"/>
    <w:uiPriority w:val="99"/>
    <w:unhideWhenUsed/>
    <w:rsid w:val="00A16F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FCC"/>
  </w:style>
  <w:style w:type="paragraph" w:styleId="TOCHeading">
    <w:name w:val="TOC Heading"/>
    <w:basedOn w:val="Heading1"/>
    <w:next w:val="Normal"/>
    <w:uiPriority w:val="39"/>
    <w:unhideWhenUsed/>
    <w:qFormat/>
    <w:rsid w:val="00AA24A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A24A9"/>
    <w:pPr>
      <w:spacing w:after="100"/>
    </w:pPr>
  </w:style>
  <w:style w:type="paragraph" w:styleId="TOC2">
    <w:name w:val="toc 2"/>
    <w:basedOn w:val="Normal"/>
    <w:next w:val="Normal"/>
    <w:autoRedefine/>
    <w:uiPriority w:val="39"/>
    <w:unhideWhenUsed/>
    <w:rsid w:val="00AA24A9"/>
    <w:pPr>
      <w:spacing w:after="100"/>
      <w:ind w:left="240"/>
    </w:pPr>
  </w:style>
  <w:style w:type="paragraph" w:styleId="TOC3">
    <w:name w:val="toc 3"/>
    <w:basedOn w:val="Normal"/>
    <w:next w:val="Normal"/>
    <w:autoRedefine/>
    <w:uiPriority w:val="39"/>
    <w:unhideWhenUsed/>
    <w:rsid w:val="00AA24A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joms.12684" TargetMode="External"/><Relationship Id="rId18" Type="http://schemas.openxmlformats.org/officeDocument/2006/relationships/hyperlink" Target="https://onlinelibrary.wiley.com/doi/full/10.1111/eufm.12509" TargetMode="External"/><Relationship Id="rId26" Type="http://schemas.openxmlformats.org/officeDocument/2006/relationships/hyperlink" Target="https://centaur.reading.ac.uk/36981/1/NMK-NK%20-%20CSR%20paper%20SRJ%202014%200069.pdf" TargetMode="External"/><Relationship Id="rId39" Type="http://schemas.openxmlformats.org/officeDocument/2006/relationships/hyperlink" Target="https://www.sciencedirect.com/science/article/abs/pii/S1544612324003404" TargetMode="External"/><Relationship Id="rId21" Type="http://schemas.openxmlformats.org/officeDocument/2006/relationships/hyperlink" Target="https://www.sciencedirect.com/science/article/pii/S0301479724033851" TargetMode="External"/><Relationship Id="rId34" Type="http://schemas.openxmlformats.org/officeDocument/2006/relationships/hyperlink" Target="https://www.sciencedirect.com/science/article/pii/S0959652621020904" TargetMode="External"/><Relationship Id="rId42" Type="http://schemas.openxmlformats.org/officeDocument/2006/relationships/hyperlink" Target="https://www.frontiersin.org/journals/environmental-science/articles/10.3389/fenvs.2024.1483237/full" TargetMode="External"/><Relationship Id="rId47" Type="http://schemas.openxmlformats.org/officeDocument/2006/relationships/hyperlink" Target="https://onlinelibrary.wiley.com/doi/10.1002/csr.70279" TargetMode="External"/><Relationship Id="rId50" Type="http://schemas.openxmlformats.org/officeDocument/2006/relationships/hyperlink" Target="https://www.frontiersin.org/journals/sustainable-food-systems/articles/10.3389/fsufs.2025.1563904/full" TargetMode="External"/><Relationship Id="rId55" Type="http://schemas.openxmlformats.org/officeDocument/2006/relationships/hyperlink" Target="https://www.frontiersin.org/journals/public-health/articles/10.3389/fpubh.2026.1837261/abstract"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larhub.ui.ac.id/jaki/vol23/iss1/4/" TargetMode="External"/><Relationship Id="rId29" Type="http://schemas.openxmlformats.org/officeDocument/2006/relationships/hyperlink" Target="https://www.researchgate.net/publication/236152089_Corporate_Social_Responsibility_and_UK_Retailers" TargetMode="External"/><Relationship Id="rId11" Type="http://schemas.openxmlformats.org/officeDocument/2006/relationships/hyperlink" Target="https://www.academia.edu/116768735/CORPORATE_SOCIAL_RESPONSIBILITY_AND_STAKEHOLDER_THEORY_AN_INTEGRATED_REVIEW" TargetMode="External"/><Relationship Id="rId24" Type="http://schemas.openxmlformats.org/officeDocument/2006/relationships/hyperlink" Target="https://link.springer.com/article/10.1007/s41060-024-00641-7" TargetMode="External"/><Relationship Id="rId32" Type="http://schemas.openxmlformats.org/officeDocument/2006/relationships/hyperlink" Target="https://www.tandfonline.com/doi/full/10.1080/13675567.2022.2118696" TargetMode="External"/><Relationship Id="rId37" Type="http://schemas.openxmlformats.org/officeDocument/2006/relationships/hyperlink" Target="https://www.emerald.com/jaoc/article/21/7/1/1267361/Climate-change-and-Task-Force-on-Climate-related" TargetMode="External"/><Relationship Id="rId40" Type="http://schemas.openxmlformats.org/officeDocument/2006/relationships/hyperlink" Target="https://journals.plos.org/plosone/article?id=10.1371%2Fjournal.pone.0288052" TargetMode="External"/><Relationship Id="rId45" Type="http://schemas.openxmlformats.org/officeDocument/2006/relationships/hyperlink" Target="https://link.springer.com/article/10.1007/s43621-025-01353-z" TargetMode="External"/><Relationship Id="rId53" Type="http://schemas.openxmlformats.org/officeDocument/2006/relationships/hyperlink" Target="https://www.sciencedirect.com/science/article/pii/S2514664525000426" TargetMode="External"/><Relationship Id="rId58" Type="http://schemas.openxmlformats.org/officeDocument/2006/relationships/hyperlink" Target="https://pmc.ncbi.nlm.nih.gov/articles/PMC8771080/" TargetMode="External"/><Relationship Id="rId5" Type="http://schemas.openxmlformats.org/officeDocument/2006/relationships/webSettings" Target="webSettings.xml"/><Relationship Id="rId61" Type="http://schemas.openxmlformats.org/officeDocument/2006/relationships/hyperlink" Target="https://doi.org/10.1287/orsc.2015.1039" TargetMode="External"/><Relationship Id="rId19" Type="http://schemas.openxmlformats.org/officeDocument/2006/relationships/hyperlink" Target="https://onlinelibrary.wiley.com/doi/10.1002/csr.70722" TargetMode="External"/><Relationship Id="rId14" Type="http://schemas.openxmlformats.org/officeDocument/2006/relationships/hyperlink" Target="https://www.researchgate.net/publication/345050809_Corporate_Social_Responsibility_and_Stakeholder_Theory_Learning_From_Each_Other" TargetMode="External"/><Relationship Id="rId22" Type="http://schemas.openxmlformats.org/officeDocument/2006/relationships/hyperlink" Target="https://link.springer.com/article/10.1007/s10551-024-05778-w" TargetMode="External"/><Relationship Id="rId27" Type="http://schemas.openxmlformats.org/officeDocument/2006/relationships/hyperlink" Target="https://www.researchgate.net/publication/316542747_Comparing_UK_food_retailers_corporate_social_responsibility_strategies" TargetMode="External"/><Relationship Id="rId30" Type="http://schemas.openxmlformats.org/officeDocument/2006/relationships/hyperlink" Target="https://www.ncbi.nlm.nih.gov/pmc/articles/PMC12750461/" TargetMode="External"/><Relationship Id="rId35" Type="http://schemas.openxmlformats.org/officeDocument/2006/relationships/hyperlink" Target="https://link.springer.com/article/10.1007/s10551-021-04878-1" TargetMode="External"/><Relationship Id="rId43" Type="http://schemas.openxmlformats.org/officeDocument/2006/relationships/hyperlink" Target="https://www.sciencedirect.com/science/article/pii/S1059056025003648" TargetMode="External"/><Relationship Id="rId48" Type="http://schemas.openxmlformats.org/officeDocument/2006/relationships/hyperlink" Target="https://pmc.ncbi.nlm.nih.gov/articles/PMC6288173/" TargetMode="External"/><Relationship Id="rId56" Type="http://schemas.openxmlformats.org/officeDocument/2006/relationships/hyperlink" Target="https://onlinelibrary.wiley.com/doi/10.1111/jbl.12361"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mdpi.com/2071-1050/15/15/11703" TargetMode="External"/><Relationship Id="rId3" Type="http://schemas.openxmlformats.org/officeDocument/2006/relationships/styles" Target="styles.xml"/><Relationship Id="rId12" Type="http://schemas.openxmlformats.org/officeDocument/2006/relationships/hyperlink" Target="https://jcsr.springeropen.com/articles/10.1186/s40991-024-00094-y" TargetMode="External"/><Relationship Id="rId17" Type="http://schemas.openxmlformats.org/officeDocument/2006/relationships/hyperlink" Target="https://enveurope.springeropen.com/articles/10.1186/s12302-020-0300-3" TargetMode="External"/><Relationship Id="rId25" Type="http://schemas.openxmlformats.org/officeDocument/2006/relationships/hyperlink" Target="https://www.emerald.com/insight/content/doi/10.1108/00070700510602192/full/html" TargetMode="External"/><Relationship Id="rId33" Type="http://schemas.openxmlformats.org/officeDocument/2006/relationships/hyperlink" Target="https://www.tandfonline.com/doi/full/10.1080/09638180.2025.2485478?af=R" TargetMode="External"/><Relationship Id="rId38" Type="http://schemas.openxmlformats.org/officeDocument/2006/relationships/hyperlink" Target="https://www.tandfonline.com/doi/full/10.1080/23311975.2025.2579663" TargetMode="External"/><Relationship Id="rId46" Type="http://schemas.openxmlformats.org/officeDocument/2006/relationships/hyperlink" Target="https://link.springer.com/article/10.1007/s11846-025-00879-w" TargetMode="External"/><Relationship Id="rId59" Type="http://schemas.openxmlformats.org/officeDocument/2006/relationships/image" Target="media/image2.jpg"/><Relationship Id="rId20" Type="http://schemas.openxmlformats.org/officeDocument/2006/relationships/hyperlink" Target="https://link.springer.com/article/10.1007/s11846-025-00856-3" TargetMode="External"/><Relationship Id="rId41" Type="http://schemas.openxmlformats.org/officeDocument/2006/relationships/hyperlink" Target="https://onlinelibrary.wiley.com/doi/full/10.1002/bse.70370" TargetMode="External"/><Relationship Id="rId54" Type="http://schemas.openxmlformats.org/officeDocument/2006/relationships/hyperlink" Target="https://ajph.aphapublications.org/doi/10.2105/AJPH.2026.308501"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abs/pii/S0956522121000543" TargetMode="External"/><Relationship Id="rId23" Type="http://schemas.openxmlformats.org/officeDocument/2006/relationships/hyperlink" Target="https://jcsr.springeropen.com/articles/10.1186/s40991-019-0044-9" TargetMode="External"/><Relationship Id="rId28" Type="http://schemas.openxmlformats.org/officeDocument/2006/relationships/hyperlink" Target="https://www.researchgate.net/publication/240260680_Moving_towards_sustainable_food_retailing" TargetMode="External"/><Relationship Id="rId36" Type="http://schemas.openxmlformats.org/officeDocument/2006/relationships/hyperlink" Target="https://arxiv.org/pdf/2302.00326" TargetMode="External"/><Relationship Id="rId49" Type="http://schemas.openxmlformats.org/officeDocument/2006/relationships/hyperlink" Target="https://link.springer.com/article/10.1007/s43615-023-00290-1" TargetMode="External"/><Relationship Id="rId57" Type="http://schemas.openxmlformats.org/officeDocument/2006/relationships/hyperlink" Target="https://academic.oup.com/fqs/article/4/4/167/5896496" TargetMode="External"/><Relationship Id="rId10" Type="http://schemas.openxmlformats.org/officeDocument/2006/relationships/hyperlink" Target="https://www.sciencedirect.com/science/article/pii/S1019683815000591" TargetMode="External"/><Relationship Id="rId31" Type="http://schemas.openxmlformats.org/officeDocument/2006/relationships/hyperlink" Target="https://www.researchgate.net/publication/236110469_Corporate_Social_Responsibility_A_Case_Study_of_the_UK's_Leading_Food_Retailers" TargetMode="External"/><Relationship Id="rId44" Type="http://schemas.openxmlformats.org/officeDocument/2006/relationships/hyperlink" Target="https://journals.sagepub.com/doi/10.1177/21582440251381772" TargetMode="External"/><Relationship Id="rId52" Type="http://schemas.openxmlformats.org/officeDocument/2006/relationships/hyperlink" Target="https://www.sciencedirect.com/science/article/pii/S2666784324000391" TargetMode="External"/><Relationship Id="rId60" Type="http://schemas.openxmlformats.org/officeDocument/2006/relationships/hyperlink" Target="https://doi.org/10.1111/j.1530-9134.2010.00282.x?utm_source=chatgpt.com" TargetMode="External"/><Relationship Id="rId4" Type="http://schemas.openxmlformats.org/officeDocument/2006/relationships/settings" Target="settings.xml"/><Relationship Id="rId9" Type="http://schemas.openxmlformats.org/officeDocument/2006/relationships/hyperlink" Target="https://link.springer.com/article/10.1007/s10551-011-08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9E8A9-9BE3-489A-AABE-6E614669B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1861</TotalTime>
  <Pages>91</Pages>
  <Words>24208</Words>
  <Characters>137991</Characters>
  <Application>Microsoft Office Word</Application>
  <DocSecurity>0</DocSecurity>
  <Lines>1149</Lines>
  <Paragraphs>323</Paragraphs>
  <ScaleCrop>false</ScaleCrop>
  <Company/>
  <LinksUpToDate>false</LinksUpToDate>
  <CharactersWithSpaces>161876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Tarikul Islam Tarek (2435183)</cp:lastModifiedBy>
  <cp:revision>151</cp:revision>
  <dcterms:created xsi:type="dcterms:W3CDTF">2026-08-14T20:02:00Z</dcterms:created>
  <dcterms:modified xsi:type="dcterms:W3CDTF">2026-08-27T22:48:00Z</dcterms:modified>
</cp:coreProperties>
</file>