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tabs>
          <w:tab w:val="left" w:pos="1305" w:leader="none"/>
        </w:tabs>
        <w:jc w:val="left"/>
        <w:rPr>
          <w:b/>
          <w:b/>
          <w:sz w:val="36"/>
          <w:szCs w:val="36"/>
          <w:u w:val="single"/>
        </w:rPr>
      </w:pPr>
      <w:r>
        <w:rPr>
          <w:b/>
          <w:sz w:val="36"/>
          <w:szCs w:val="36"/>
          <w:u w:val="single"/>
        </w:rPr>
        <mc:AlternateContent>
          <mc:Choice Requires="wps">
            <w:drawing>
              <wp:anchor behindDoc="0" distT="0" distB="0" distL="0" distR="0" simplePos="0" locked="0" layoutInCell="1" allowOverlap="1" relativeHeight="2">
                <wp:simplePos x="0" y="0"/>
                <wp:positionH relativeFrom="column">
                  <wp:posOffset>0</wp:posOffset>
                </wp:positionH>
                <wp:positionV relativeFrom="paragraph">
                  <wp:posOffset>628650</wp:posOffset>
                </wp:positionV>
                <wp:extent cx="5484495" cy="178435"/>
                <wp:effectExtent l="0" t="0" r="0" b="0"/>
                <wp:wrapNone/>
                <wp:docPr id="1" name="Frame1"/>
                <a:graphic xmlns:a="http://schemas.openxmlformats.org/drawingml/2006/main">
                  <a:graphicData uri="http://schemas.microsoft.com/office/word/2010/wordprocessingShape">
                    <wps:wsp>
                      <wps:cNvSpPr/>
                      <wps:spPr>
                        <a:xfrm>
                          <a:off x="0" y="0"/>
                          <a:ext cx="5483880" cy="177840"/>
                        </a:xfrm>
                        <a:prstGeom prst="rect">
                          <a:avLst/>
                        </a:prstGeom>
                        <a:noFill/>
                        <a:ln>
                          <a:noFill/>
                        </a:ln>
                      </wps:spPr>
                      <wps:style>
                        <a:lnRef idx="0"/>
                        <a:fillRef idx="0"/>
                        <a:effectRef idx="0"/>
                        <a:fontRef idx="minor"/>
                      </wps:style>
                      <wps:txbx>
                        <w:txbxContent>
                          <w:p>
                            <w:pPr>
                              <w:pStyle w:val="TextBody"/>
                              <w:spacing w:lineRule="auto" w:line="288" w:before="0" w:after="140"/>
                              <w:rPr>
                                <w:color w:val="000000"/>
                              </w:rPr>
                            </w:pPr>
                            <w:r>
                              <w:rPr>
                                <w:color w:val="000000"/>
                              </w:rPr>
                            </w:r>
                          </w:p>
                        </w:txbxContent>
                      </wps:txbx>
                      <wps:bodyPr lIns="0" rIns="0" tIns="0" bIns="0">
                        <a:noAutofit/>
                      </wps:bodyPr>
                    </wps:wsp>
                  </a:graphicData>
                </a:graphic>
              </wp:anchor>
            </w:drawing>
          </mc:Choice>
          <mc:Fallback>
            <w:pict>
              <v:rect id="shape_0" ID="Frame1" stroked="f" style="position:absolute;margin-left:0pt;margin-top:49.5pt;width:431.75pt;height:13.95pt">
                <w10:wrap type="none"/>
                <v:fill o:detectmouseclick="t" on="false"/>
                <v:stroke color="#3465a4" joinstyle="round" endcap="flat"/>
                <v:textbox>
                  <w:txbxContent>
                    <w:p>
                      <w:pPr>
                        <w:pStyle w:val="TextBody"/>
                        <w:spacing w:lineRule="auto" w:line="288" w:before="0" w:after="140"/>
                        <w:rPr>
                          <w:color w:val="000000"/>
                        </w:rPr>
                      </w:pPr>
                      <w:r>
                        <w:rPr>
                          <w:color w:val="000000"/>
                        </w:rPr>
                      </w:r>
                    </w:p>
                  </w:txbxContent>
                </v:textbox>
              </v:rect>
            </w:pict>
          </mc:Fallback>
        </mc:AlternateContent>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left"/>
        <w:rPr>
          <w:b/>
          <w:b/>
          <w:sz w:val="36"/>
          <w:szCs w:val="36"/>
          <w:u w:val="single"/>
        </w:rPr>
      </w:pPr>
      <w:r>
        <w:rPr>
          <w:b/>
          <w:sz w:val="36"/>
          <w:szCs w:val="36"/>
          <w:u w:val="single"/>
        </w:rPr>
      </w:r>
    </w:p>
    <w:p>
      <w:pPr>
        <w:pStyle w:val="Normal"/>
        <w:jc w:val="right"/>
        <w:rPr/>
      </w:pPr>
      <w:r>
        <w:rPr>
          <w:rFonts w:cs="Arial" w:ascii="Arial" w:hAnsi="Arial"/>
          <w:b/>
          <w:bCs/>
          <w:sz w:val="56"/>
          <w:szCs w:val="36"/>
          <w:u w:val="none"/>
        </w:rPr>
        <w:t>Swansea Bay &amp; The Gower</w:t>
      </w:r>
    </w:p>
    <w:p>
      <w:pPr>
        <w:pStyle w:val="Normal"/>
        <w:jc w:val="right"/>
        <w:rPr/>
      </w:pPr>
      <w:r>
        <w:rPr>
          <w:rFonts w:cs="Arial" w:ascii="Arial" w:hAnsi="Arial"/>
          <w:b/>
          <w:bCs/>
          <w:sz w:val="56"/>
          <w:szCs w:val="36"/>
          <w:u w:val="none"/>
        </w:rPr>
        <w:t>Marketing Plan</w:t>
      </w:r>
    </w:p>
    <w:p>
      <w:pPr>
        <w:pStyle w:val="Normal"/>
        <w:jc w:val="right"/>
        <w:rPr/>
      </w:pPr>
      <w:r>
        <w:rPr>
          <w:rFonts w:cs="Arial" w:ascii="Arial" w:hAnsi="Arial"/>
          <w:b/>
          <w:bCs/>
          <w:sz w:val="36"/>
          <w:szCs w:val="36"/>
          <w:u w:val="none"/>
        </w:rPr>
        <w:t>Leisure Marketing</w:t>
      </w:r>
    </w:p>
    <w:p>
      <w:pPr>
        <w:pStyle w:val="Normal"/>
        <w:jc w:val="right"/>
        <w:rPr>
          <w:rFonts w:ascii="Arial" w:hAnsi="Arial" w:cs="Arial"/>
          <w:sz w:val="36"/>
          <w:szCs w:val="36"/>
          <w:u w:val="none"/>
        </w:rPr>
      </w:pPr>
      <w:r>
        <w:rPr>
          <w:rFonts w:cs="Arial" w:ascii="Arial" w:hAnsi="Arial"/>
          <w:sz w:val="36"/>
          <w:szCs w:val="36"/>
          <w:u w:val="none"/>
        </w:rPr>
      </w:r>
    </w:p>
    <w:p>
      <w:pPr>
        <w:pStyle w:val="Normal"/>
        <w:jc w:val="right"/>
        <w:rPr>
          <w:rFonts w:ascii="Arial" w:hAnsi="Arial" w:cs="Arial"/>
          <w:b/>
          <w:b/>
          <w:bCs/>
          <w:sz w:val="36"/>
          <w:szCs w:val="36"/>
        </w:rPr>
      </w:pPr>
      <w:r>
        <w:rPr>
          <w:rFonts w:cs="Arial" w:ascii="Arial" w:hAnsi="Arial"/>
          <w:b/>
          <w:bCs/>
          <w:sz w:val="36"/>
          <w:szCs w:val="36"/>
        </w:rPr>
      </w:r>
    </w:p>
    <w:p>
      <w:pPr>
        <w:pStyle w:val="Normal"/>
        <w:jc w:val="right"/>
        <w:rPr>
          <w:rFonts w:ascii="Arial" w:hAnsi="Arial" w:cs="Arial"/>
          <w:b/>
          <w:b/>
          <w:bCs/>
          <w:sz w:val="36"/>
          <w:szCs w:val="36"/>
        </w:rPr>
      </w:pPr>
      <w:r>
        <w:rPr>
          <w:rFonts w:cs="Arial" w:ascii="Arial" w:hAnsi="Arial"/>
          <w:b/>
          <w:bCs/>
          <w:sz w:val="36"/>
          <w:szCs w:val="36"/>
        </w:rPr>
      </w:r>
    </w:p>
    <w:p>
      <w:pPr>
        <w:pStyle w:val="Normal"/>
        <w:jc w:val="right"/>
        <w:rPr>
          <w:rFonts w:ascii="Arial" w:hAnsi="Arial" w:cs="Arial"/>
          <w:b/>
          <w:b/>
          <w:bCs/>
          <w:sz w:val="32"/>
          <w:szCs w:val="32"/>
          <w:u w:val="none"/>
        </w:rPr>
      </w:pPr>
      <w:r>
        <w:rPr>
          <w:rFonts w:cs="Arial" w:ascii="Arial" w:hAnsi="Arial"/>
          <w:b/>
          <w:bCs/>
          <w:sz w:val="32"/>
          <w:szCs w:val="32"/>
          <w:u w:val="none"/>
        </w:rPr>
      </w:r>
    </w:p>
    <w:p>
      <w:pPr>
        <w:pStyle w:val="Normal"/>
        <w:jc w:val="right"/>
        <w:rPr>
          <w:rFonts w:ascii="Arial" w:hAnsi="Arial" w:cs="Arial"/>
          <w:b/>
          <w:b/>
          <w:bCs/>
          <w:sz w:val="32"/>
          <w:szCs w:val="32"/>
          <w:u w:val="none"/>
        </w:rPr>
      </w:pPr>
      <w:r>
        <w:rPr>
          <w:rFonts w:cs="Arial" w:ascii="Arial" w:hAnsi="Arial"/>
          <w:b/>
          <w:bCs/>
          <w:sz w:val="32"/>
          <w:szCs w:val="32"/>
          <w:u w:val="none"/>
        </w:rPr>
      </w:r>
    </w:p>
    <w:p>
      <w:pPr>
        <w:pStyle w:val="Normal"/>
        <w:jc w:val="right"/>
        <w:rPr>
          <w:rFonts w:ascii="Arial" w:hAnsi="Arial" w:cs="Arial"/>
          <w:b/>
          <w:b/>
          <w:bCs/>
          <w:sz w:val="32"/>
          <w:szCs w:val="32"/>
          <w:u w:val="none"/>
        </w:rPr>
      </w:pPr>
      <w:r>
        <w:rPr>
          <w:rFonts w:cs="Arial" w:ascii="Arial" w:hAnsi="Arial"/>
          <w:b/>
          <w:bCs/>
          <w:sz w:val="32"/>
          <w:szCs w:val="32"/>
          <w:u w:val="none"/>
        </w:rPr>
      </w:r>
    </w:p>
    <w:p>
      <w:pPr>
        <w:pStyle w:val="Normal"/>
        <w:jc w:val="right"/>
        <w:rPr>
          <w:rFonts w:ascii="Arial" w:hAnsi="Arial" w:cs="Arial"/>
          <w:b/>
          <w:b/>
          <w:bCs/>
          <w:sz w:val="32"/>
          <w:szCs w:val="32"/>
          <w:u w:val="none"/>
        </w:rPr>
      </w:pPr>
      <w:r>
        <w:rPr>
          <w:rFonts w:cs="Arial" w:ascii="Arial" w:hAnsi="Arial"/>
          <w:b/>
          <w:bCs/>
          <w:sz w:val="32"/>
          <w:szCs w:val="32"/>
          <w:u w:val="none"/>
        </w:rPr>
      </w:r>
    </w:p>
    <w:p>
      <w:pPr>
        <w:pStyle w:val="Normal"/>
        <w:spacing w:before="0" w:after="0"/>
        <w:jc w:val="right"/>
        <w:rPr/>
      </w:pPr>
      <w:r>
        <w:rPr>
          <w:rFonts w:cs="Arial" w:ascii="Arial" w:hAnsi="Arial"/>
          <w:b/>
          <w:bCs/>
          <w:sz w:val="32"/>
          <w:szCs w:val="32"/>
          <w:u w:val="none"/>
        </w:rPr>
        <w:t>Melissa Duffy</w:t>
      </w:r>
    </w:p>
    <w:p>
      <w:pPr>
        <w:pStyle w:val="Normal"/>
        <w:jc w:val="right"/>
        <w:rPr/>
      </w:pPr>
      <w:r>
        <w:rPr>
          <w:rFonts w:cs="Arial" w:ascii="Arial" w:hAnsi="Arial"/>
          <w:b/>
          <w:bCs/>
          <w:sz w:val="32"/>
          <w:szCs w:val="32"/>
          <w:u w:val="none"/>
        </w:rPr>
        <w:t>P1708486</w:t>
      </w:r>
    </w:p>
    <w:p>
      <w:pPr>
        <w:pStyle w:val="Normal"/>
        <w:spacing w:before="114" w:after="114"/>
        <w:jc w:val="left"/>
        <w:rPr>
          <w:rFonts w:ascii="Arial" w:hAnsi="Arial" w:cs="Arial"/>
          <w:sz w:val="28"/>
          <w:szCs w:val="28"/>
          <w:u w:val="none"/>
        </w:rPr>
      </w:pPr>
      <w:r>
        <w:rPr>
          <w:rFonts w:cs="Arial" w:ascii="Arial" w:hAnsi="Arial"/>
          <w:sz w:val="28"/>
          <w:szCs w:val="28"/>
          <w:u w:val="none"/>
        </w:rPr>
      </w:r>
    </w:p>
    <w:p>
      <w:pPr>
        <w:pStyle w:val="Normal"/>
        <w:spacing w:before="114" w:after="114"/>
        <w:jc w:val="left"/>
        <w:rPr>
          <w:rFonts w:ascii="Arial" w:hAnsi="Arial" w:cs="Arial"/>
          <w:sz w:val="28"/>
          <w:szCs w:val="28"/>
          <w:u w:val="none"/>
        </w:rPr>
      </w:pPr>
      <w:r>
        <w:rPr>
          <w:rFonts w:cs="Arial" w:ascii="Arial" w:hAnsi="Arial"/>
          <w:sz w:val="28"/>
          <w:szCs w:val="28"/>
          <w:u w:val="none"/>
        </w:rPr>
      </w:r>
    </w:p>
    <w:p>
      <w:pPr>
        <w:pStyle w:val="Normal"/>
        <w:spacing w:before="114" w:after="114"/>
        <w:jc w:val="left"/>
        <w:rPr>
          <w:rFonts w:ascii="Arial" w:hAnsi="Arial" w:cs="Arial"/>
          <w:sz w:val="28"/>
          <w:szCs w:val="28"/>
          <w:u w:val="none"/>
        </w:rPr>
      </w:pPr>
      <w:r>
        <w:rPr>
          <w:rFonts w:cs="Arial" w:ascii="Arial" w:hAnsi="Arial"/>
          <w:sz w:val="28"/>
          <w:szCs w:val="28"/>
          <w:u w:val="none"/>
        </w:rPr>
      </w:r>
    </w:p>
    <w:p>
      <w:pPr>
        <w:pStyle w:val="Normal"/>
        <w:spacing w:before="114" w:after="114"/>
        <w:jc w:val="left"/>
        <w:rPr/>
      </w:pPr>
      <w:r>
        <w:rPr>
          <w:rFonts w:cs="Arial" w:ascii="Arial" w:hAnsi="Arial"/>
          <w:b/>
          <w:bCs/>
          <w:sz w:val="28"/>
          <w:szCs w:val="28"/>
          <w:u w:val="none"/>
        </w:rPr>
        <w:t>Executive Summary</w:t>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lineRule="auto" w:line="360" w:before="114" w:after="114"/>
        <w:jc w:val="left"/>
        <w:rPr/>
      </w:pPr>
      <w:r>
        <w:rPr>
          <w:rFonts w:cs="Arial" w:ascii="Arial" w:hAnsi="Arial"/>
          <w:b w:val="false"/>
          <w:bCs w:val="false"/>
          <w:sz w:val="24"/>
          <w:szCs w:val="24"/>
          <w:u w:val="none"/>
        </w:rPr>
        <w:t xml:space="preserve">Swansea Bay and the Gower Peninsula is fast becoming recognised as one of the most attractive parts of the UK and continues to attract visitors year after year.  It has been a major contributor to the Welsh economy and recent figures indicate that 4.59m tourists came to the area and spent in excess of £400m (STEAM 2016). Having a city located directly on the waterfront, award winning beaches combined with spectacular scenery, the area has a unique product offer that many other towns and cities can only dream of.  In this report, a marketing plan and an itinerary has been developed for a couple aged 55yrs+.  The aim of this marketing plan is to </w:t>
      </w:r>
      <w:r>
        <w:rPr>
          <w:rFonts w:cs="Arial" w:ascii="Arial" w:hAnsi="Arial"/>
          <w:b w:val="false"/>
          <w:bCs w:val="false"/>
          <w:i w:val="false"/>
          <w:iCs w:val="false"/>
          <w:sz w:val="24"/>
          <w:szCs w:val="24"/>
          <w:u w:val="none"/>
        </w:rPr>
        <w:t>promote and attract visitors from this demograhic to the Swansea Bay and Gower Peninsula by discovering and appreciating the natural beauty of the land through  a tailor-made tours and walking packages specific to their needs, abilities and interests.</w:t>
      </w:r>
      <w:r>
        <w:rPr>
          <w:rFonts w:cs="Arial" w:ascii="Arial" w:hAnsi="Arial"/>
          <w:b w:val="false"/>
          <w:bCs w:val="false"/>
          <w:sz w:val="24"/>
          <w:szCs w:val="24"/>
          <w:u w:val="none"/>
        </w:rPr>
        <w:t xml:space="preserve">  It also looks at a range of other activities that may attract this particular market segment. The report also identifies some of the strengths, weaknesses and areas for improvement for visitors to this region.  </w:t>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rFonts w:ascii="Arial" w:hAnsi="Arial" w:cs="Arial"/>
          <w:b w:val="false"/>
          <w:b w:val="false"/>
          <w:bCs w:val="false"/>
          <w:sz w:val="24"/>
          <w:szCs w:val="24"/>
          <w:u w:val="none"/>
        </w:rPr>
      </w:pPr>
      <w:r>
        <w:rPr>
          <w:rFonts w:cs="Arial" w:ascii="Arial" w:hAnsi="Arial"/>
          <w:b w:val="false"/>
          <w:bCs w:val="false"/>
          <w:sz w:val="24"/>
          <w:szCs w:val="24"/>
          <w:u w:val="none"/>
        </w:rPr>
      </w:r>
    </w:p>
    <w:p>
      <w:pPr>
        <w:pStyle w:val="Normal"/>
        <w:spacing w:before="114" w:after="114"/>
        <w:jc w:val="left"/>
        <w:rPr/>
      </w:pPr>
      <w:r>
        <w:rPr>
          <w:rFonts w:cs="Arial" w:ascii="Arial" w:hAnsi="Arial"/>
          <w:b/>
          <w:bCs/>
          <w:sz w:val="28"/>
          <w:szCs w:val="28"/>
          <w:u w:val="none"/>
        </w:rPr>
        <w:t>Table of Contents</w:t>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pPr>
      <w:r>
        <w:rPr>
          <w:rFonts w:cs="Arial" w:ascii="Arial" w:hAnsi="Arial"/>
          <w:b/>
          <w:bCs/>
          <w:sz w:val="28"/>
          <w:szCs w:val="28"/>
          <w:u w:val="none"/>
        </w:rPr>
        <w:t>1.</w:t>
        <w:tab/>
        <w:t>Executive Summary</w:t>
      </w:r>
      <w:r>
        <w:rPr>
          <w:rFonts w:cs="Arial" w:ascii="Arial" w:hAnsi="Arial"/>
          <w:b w:val="false"/>
          <w:bCs w:val="false"/>
          <w:sz w:val="28"/>
          <w:szCs w:val="28"/>
          <w:u w:val="none"/>
        </w:rPr>
        <w:t>……………………..…………..…………….2</w:t>
      </w:r>
    </w:p>
    <w:p>
      <w:pPr>
        <w:pStyle w:val="Normal"/>
        <w:spacing w:before="114" w:after="114"/>
        <w:jc w:val="left"/>
        <w:rPr>
          <w:rFonts w:ascii="Arial" w:hAnsi="Arial" w:cs="Arial"/>
          <w:u w:val="none"/>
        </w:rPr>
      </w:pPr>
      <w:r>
        <w:rPr>
          <w:rFonts w:cs="Arial" w:ascii="Arial" w:hAnsi="Arial"/>
          <w:u w:val="none"/>
        </w:rPr>
      </w:r>
    </w:p>
    <w:p>
      <w:pPr>
        <w:pStyle w:val="Normal"/>
        <w:spacing w:before="114" w:after="114"/>
        <w:jc w:val="left"/>
        <w:rPr/>
      </w:pPr>
      <w:r>
        <w:rPr>
          <w:rFonts w:cs="Arial" w:ascii="Arial" w:hAnsi="Arial"/>
          <w:b/>
          <w:bCs/>
          <w:sz w:val="28"/>
          <w:szCs w:val="28"/>
          <w:u w:val="none"/>
        </w:rPr>
        <w:t>2.</w:t>
        <w:tab/>
        <w:t>Destination &amp; Product Description</w:t>
      </w:r>
      <w:r>
        <w:rPr>
          <w:rFonts w:cs="Arial" w:ascii="Arial" w:hAnsi="Arial"/>
          <w:b w:val="false"/>
          <w:bCs w:val="false"/>
          <w:sz w:val="28"/>
          <w:szCs w:val="28"/>
          <w:u w:val="none"/>
        </w:rPr>
        <w:t>…….……..………………...4</w:t>
      </w:r>
    </w:p>
    <w:p>
      <w:pPr>
        <w:pStyle w:val="Normal"/>
        <w:spacing w:before="114" w:after="114"/>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jc w:val="left"/>
        <w:rPr/>
      </w:pPr>
      <w:r>
        <w:rPr>
          <w:rFonts w:cs="Arial" w:ascii="Arial" w:hAnsi="Arial"/>
          <w:b/>
          <w:bCs/>
          <w:sz w:val="28"/>
          <w:szCs w:val="28"/>
          <w:u w:val="none"/>
        </w:rPr>
        <w:t>3.</w:t>
        <w:tab/>
        <w:t>Situation Analysis</w:t>
      </w:r>
      <w:r>
        <w:rPr>
          <w:rFonts w:cs="Arial" w:ascii="Arial" w:hAnsi="Arial"/>
          <w:b w:val="false"/>
          <w:bCs w:val="false"/>
          <w:sz w:val="28"/>
          <w:szCs w:val="28"/>
          <w:u w:val="none"/>
        </w:rPr>
        <w:t>.….…….….….……………….…………...…...5</w:t>
      </w:r>
    </w:p>
    <w:p>
      <w:pPr>
        <w:pStyle w:val="Normal"/>
        <w:numPr>
          <w:ilvl w:val="0"/>
          <w:numId w:val="0"/>
        </w:numPr>
        <w:spacing w:before="114" w:after="114"/>
        <w:ind w:left="720" w:hanging="0"/>
        <w:jc w:val="left"/>
        <w:rPr/>
      </w:pPr>
      <w:r>
        <w:rPr>
          <w:rFonts w:cs="Arial" w:ascii="Arial" w:hAnsi="Arial"/>
          <w:b w:val="false"/>
          <w:bCs w:val="false"/>
          <w:sz w:val="28"/>
          <w:szCs w:val="28"/>
          <w:u w:val="none"/>
        </w:rPr>
        <w:t>3.1</w:t>
        <w:tab/>
        <w:t>Internal.….……………………...…………………...…….…..5</w:t>
      </w:r>
    </w:p>
    <w:p>
      <w:pPr>
        <w:pStyle w:val="Normal"/>
        <w:numPr>
          <w:ilvl w:val="0"/>
          <w:numId w:val="0"/>
        </w:numPr>
        <w:spacing w:before="114" w:after="114"/>
        <w:ind w:left="720" w:hanging="0"/>
        <w:jc w:val="left"/>
        <w:rPr/>
      </w:pPr>
      <w:r>
        <w:rPr>
          <w:rFonts w:cs="Arial" w:ascii="Arial" w:hAnsi="Arial"/>
          <w:b w:val="false"/>
          <w:bCs w:val="false"/>
          <w:sz w:val="28"/>
          <w:szCs w:val="28"/>
          <w:u w:val="none"/>
        </w:rPr>
        <w:t>3.2</w:t>
        <w:tab/>
        <w:t>External.….….……………….………..…….………………...5</w:t>
      </w:r>
    </w:p>
    <w:p>
      <w:pPr>
        <w:pStyle w:val="Normal"/>
        <w:numPr>
          <w:ilvl w:val="0"/>
          <w:numId w:val="0"/>
        </w:numPr>
        <w:spacing w:before="114" w:after="114"/>
        <w:ind w:left="720"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numPr>
          <w:ilvl w:val="0"/>
          <w:numId w:val="0"/>
        </w:numPr>
        <w:spacing w:before="114" w:after="114"/>
        <w:ind w:hanging="0"/>
        <w:jc w:val="left"/>
        <w:rPr/>
      </w:pPr>
      <w:r>
        <w:rPr>
          <w:rFonts w:cs="Arial" w:ascii="Arial" w:hAnsi="Arial"/>
          <w:b/>
          <w:bCs/>
          <w:sz w:val="28"/>
          <w:szCs w:val="28"/>
          <w:u w:val="none"/>
        </w:rPr>
        <w:t>4.</w:t>
        <w:tab/>
        <w:t>Analysis of Key Market Segment</w:t>
      </w:r>
      <w:r>
        <w:rPr>
          <w:rFonts w:cs="Arial" w:ascii="Arial" w:hAnsi="Arial"/>
          <w:b w:val="false"/>
          <w:bCs w:val="false"/>
          <w:sz w:val="28"/>
          <w:szCs w:val="28"/>
          <w:u w:val="none"/>
        </w:rPr>
        <w:t>..…….………………...……...6</w:t>
      </w:r>
    </w:p>
    <w:p>
      <w:pPr>
        <w:pStyle w:val="Normal"/>
        <w:numPr>
          <w:ilvl w:val="0"/>
          <w:numId w:val="0"/>
        </w:numPr>
        <w:spacing w:before="114" w:after="114"/>
        <w:ind w:left="720"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numPr>
          <w:ilvl w:val="0"/>
          <w:numId w:val="0"/>
        </w:numPr>
        <w:spacing w:before="114" w:after="114"/>
        <w:ind w:hanging="0"/>
        <w:jc w:val="left"/>
        <w:rPr/>
      </w:pPr>
      <w:r>
        <w:rPr>
          <w:rFonts w:cs="Arial" w:ascii="Arial" w:hAnsi="Arial"/>
          <w:b/>
          <w:bCs/>
          <w:sz w:val="28"/>
          <w:szCs w:val="28"/>
          <w:u w:val="none"/>
        </w:rPr>
        <w:t>5.</w:t>
        <w:tab/>
        <w:t>Marketing Objectives</w:t>
      </w:r>
      <w:r>
        <w:rPr>
          <w:rFonts w:cs="Arial" w:ascii="Arial" w:hAnsi="Arial"/>
          <w:b w:val="false"/>
          <w:bCs w:val="false"/>
          <w:sz w:val="28"/>
          <w:szCs w:val="28"/>
          <w:u w:val="none"/>
        </w:rPr>
        <w:t>……………………………………………...7</w:t>
      </w:r>
    </w:p>
    <w:p>
      <w:pPr>
        <w:pStyle w:val="Normal"/>
        <w:numPr>
          <w:ilvl w:val="0"/>
          <w:numId w:val="0"/>
        </w:numPr>
        <w:spacing w:before="114" w:after="114"/>
        <w:ind w:hanging="0"/>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numPr>
          <w:ilvl w:val="0"/>
          <w:numId w:val="0"/>
        </w:numPr>
        <w:spacing w:before="114" w:after="114"/>
        <w:ind w:hanging="0"/>
        <w:jc w:val="left"/>
        <w:rPr/>
      </w:pPr>
      <w:r>
        <w:rPr>
          <w:rFonts w:cs="Arial" w:ascii="Arial" w:hAnsi="Arial"/>
          <w:b/>
          <w:bCs/>
          <w:sz w:val="28"/>
          <w:szCs w:val="28"/>
          <w:u w:val="none"/>
        </w:rPr>
        <w:t>6.</w:t>
        <w:tab/>
        <w:t>Marketing Mix..……..…………</w:t>
      </w:r>
      <w:r>
        <w:rPr>
          <w:rFonts w:cs="Arial" w:ascii="Arial" w:hAnsi="Arial"/>
          <w:b w:val="false"/>
          <w:bCs w:val="false"/>
          <w:sz w:val="28"/>
          <w:szCs w:val="28"/>
          <w:u w:val="none"/>
        </w:rPr>
        <w:t>....…………………………..……..8</w:t>
      </w:r>
    </w:p>
    <w:p>
      <w:pPr>
        <w:pStyle w:val="Normal"/>
        <w:numPr>
          <w:ilvl w:val="0"/>
          <w:numId w:val="0"/>
        </w:numPr>
        <w:spacing w:before="114" w:after="114"/>
        <w:ind w:left="720" w:hanging="0"/>
        <w:jc w:val="left"/>
        <w:rPr/>
      </w:pPr>
      <w:r>
        <w:rPr>
          <w:rFonts w:cs="Arial" w:ascii="Arial" w:hAnsi="Arial"/>
          <w:b w:val="false"/>
          <w:bCs w:val="false"/>
          <w:sz w:val="28"/>
          <w:szCs w:val="28"/>
          <w:u w:val="none"/>
        </w:rPr>
        <w:t>6.1</w:t>
        <w:tab/>
        <w:t>Product.…….…………………………..……………………...8</w:t>
      </w:r>
    </w:p>
    <w:p>
      <w:pPr>
        <w:pStyle w:val="Normal"/>
        <w:numPr>
          <w:ilvl w:val="0"/>
          <w:numId w:val="0"/>
        </w:numPr>
        <w:spacing w:before="114" w:after="114"/>
        <w:ind w:left="720" w:hanging="0"/>
        <w:jc w:val="left"/>
        <w:rPr/>
      </w:pPr>
      <w:r>
        <w:rPr>
          <w:rFonts w:cs="Arial" w:ascii="Arial" w:hAnsi="Arial"/>
          <w:b w:val="false"/>
          <w:bCs w:val="false"/>
          <w:sz w:val="28"/>
          <w:szCs w:val="28"/>
          <w:u w:val="none"/>
        </w:rPr>
        <w:t>6.2</w:t>
        <w:tab/>
        <w:t>Place..…….………….………………………………………...8</w:t>
      </w:r>
    </w:p>
    <w:p>
      <w:pPr>
        <w:pStyle w:val="Normal"/>
        <w:numPr>
          <w:ilvl w:val="0"/>
          <w:numId w:val="0"/>
        </w:numPr>
        <w:spacing w:before="114" w:after="114"/>
        <w:ind w:left="720" w:hanging="0"/>
        <w:jc w:val="left"/>
        <w:rPr/>
      </w:pPr>
      <w:r>
        <w:rPr>
          <w:rFonts w:cs="Arial" w:ascii="Arial" w:hAnsi="Arial"/>
          <w:b w:val="false"/>
          <w:bCs w:val="false"/>
          <w:sz w:val="28"/>
          <w:szCs w:val="28"/>
          <w:u w:val="none"/>
        </w:rPr>
        <w:t>6.3</w:t>
        <w:tab/>
        <w:t>Price.….…..……………………………………………………9</w:t>
      </w:r>
    </w:p>
    <w:p>
      <w:pPr>
        <w:pStyle w:val="Normal"/>
        <w:numPr>
          <w:ilvl w:val="0"/>
          <w:numId w:val="0"/>
        </w:numPr>
        <w:spacing w:before="114" w:after="114"/>
        <w:ind w:left="720" w:hanging="0"/>
        <w:jc w:val="left"/>
        <w:rPr/>
      </w:pPr>
      <w:r>
        <w:rPr>
          <w:rFonts w:cs="Arial" w:ascii="Arial" w:hAnsi="Arial"/>
          <w:b w:val="false"/>
          <w:bCs w:val="false"/>
          <w:sz w:val="28"/>
          <w:szCs w:val="28"/>
          <w:u w:val="none"/>
        </w:rPr>
        <w:t>6.4</w:t>
        <w:tab/>
        <w:t>Promotion.……………………………………………………..9</w:t>
      </w:r>
    </w:p>
    <w:p>
      <w:pPr>
        <w:pStyle w:val="Normal"/>
        <w:numPr>
          <w:ilvl w:val="0"/>
          <w:numId w:val="0"/>
        </w:numPr>
        <w:spacing w:before="114" w:after="114"/>
        <w:ind w:left="720" w:hanging="0"/>
        <w:jc w:val="left"/>
        <w:rPr>
          <w:b w:val="false"/>
          <w:b w:val="false"/>
          <w:bCs w:val="false"/>
          <w:sz w:val="28"/>
          <w:szCs w:val="28"/>
        </w:rPr>
      </w:pPr>
      <w:r>
        <w:rPr>
          <w:b w:val="false"/>
          <w:bCs w:val="false"/>
          <w:sz w:val="28"/>
          <w:szCs w:val="28"/>
        </w:rPr>
      </w:r>
    </w:p>
    <w:p>
      <w:pPr>
        <w:pStyle w:val="Normal"/>
        <w:spacing w:before="114" w:after="114"/>
        <w:jc w:val="left"/>
        <w:rPr/>
      </w:pPr>
      <w:r>
        <w:rPr>
          <w:rFonts w:cs="Arial" w:ascii="Arial" w:hAnsi="Arial"/>
          <w:b/>
          <w:bCs/>
          <w:sz w:val="28"/>
          <w:szCs w:val="28"/>
          <w:u w:val="none"/>
        </w:rPr>
        <w:t>7.</w:t>
        <w:tab/>
        <w:t>Summary</w:t>
      </w:r>
      <w:r>
        <w:rPr>
          <w:rFonts w:cs="Arial" w:ascii="Arial" w:hAnsi="Arial"/>
          <w:b w:val="false"/>
          <w:bCs w:val="false"/>
          <w:sz w:val="28"/>
          <w:szCs w:val="28"/>
          <w:u w:val="none"/>
        </w:rPr>
        <w:t>………………..…………………………………………...9</w:t>
      </w:r>
    </w:p>
    <w:p>
      <w:pPr>
        <w:pStyle w:val="Normal"/>
        <w:spacing w:before="114" w:after="114"/>
        <w:jc w:val="left"/>
        <w:rPr>
          <w:rFonts w:ascii="Arial" w:hAnsi="Arial" w:cs="Arial"/>
          <w:b w:val="false"/>
          <w:b w:val="false"/>
          <w:bCs w:val="false"/>
          <w:sz w:val="28"/>
          <w:szCs w:val="28"/>
          <w:u w:val="none"/>
        </w:rPr>
      </w:pPr>
      <w:r>
        <w:rPr>
          <w:rFonts w:cs="Arial" w:ascii="Arial" w:hAnsi="Arial"/>
          <w:b w:val="false"/>
          <w:bCs w:val="false"/>
          <w:sz w:val="28"/>
          <w:szCs w:val="28"/>
          <w:u w:val="none"/>
        </w:rPr>
      </w:r>
    </w:p>
    <w:p>
      <w:pPr>
        <w:pStyle w:val="Normal"/>
        <w:spacing w:before="114" w:after="114"/>
        <w:jc w:val="left"/>
        <w:rPr/>
      </w:pPr>
      <w:r>
        <w:rPr>
          <w:rFonts w:cs="Arial" w:ascii="Arial" w:hAnsi="Arial"/>
          <w:b/>
          <w:bCs/>
          <w:sz w:val="28"/>
          <w:szCs w:val="28"/>
          <w:u w:val="none"/>
        </w:rPr>
        <w:t>8.</w:t>
        <w:tab/>
        <w:t>Appendices</w:t>
      </w:r>
      <w:r>
        <w:rPr>
          <w:rFonts w:cs="Arial" w:ascii="Arial" w:hAnsi="Arial"/>
          <w:b w:val="false"/>
          <w:bCs w:val="false"/>
          <w:sz w:val="28"/>
          <w:szCs w:val="28"/>
          <w:u w:val="none"/>
        </w:rPr>
        <w:t>………………………..…...……………...…………..10</w:t>
      </w:r>
    </w:p>
    <w:p>
      <w:pPr>
        <w:pStyle w:val="Normal"/>
        <w:spacing w:before="114" w:after="114"/>
        <w:jc w:val="left"/>
        <w:rPr>
          <w:rFonts w:ascii="Arial" w:hAnsi="Arial" w:cs="Arial"/>
          <w:b/>
          <w:b/>
          <w:bCs/>
          <w:sz w:val="28"/>
          <w:szCs w:val="28"/>
          <w:u w:val="none"/>
        </w:rPr>
      </w:pPr>
      <w:r>
        <w:rPr>
          <w:rFonts w:cs="Arial" w:ascii="Arial" w:hAnsi="Arial"/>
          <w:b/>
          <w:bCs/>
          <w:sz w:val="28"/>
          <w:szCs w:val="28"/>
          <w:u w:val="none"/>
        </w:rPr>
        <w:tab/>
      </w:r>
      <w:r>
        <w:rPr>
          <w:rFonts w:cs="Arial" w:ascii="Arial" w:hAnsi="Arial"/>
          <w:b w:val="false"/>
          <w:bCs w:val="false"/>
          <w:sz w:val="28"/>
          <w:szCs w:val="28"/>
          <w:u w:val="none"/>
        </w:rPr>
        <w:t>Fig 1</w:t>
        <w:tab/>
        <w:t>SWOT Analysis….……………………...……………….…..10</w:t>
      </w:r>
    </w:p>
    <w:p>
      <w:pPr>
        <w:pStyle w:val="Normal"/>
        <w:spacing w:before="114" w:after="114"/>
        <w:jc w:val="left"/>
        <w:rPr/>
      </w:pPr>
      <w:r>
        <w:rPr>
          <w:rFonts w:cs="Arial" w:ascii="Arial" w:hAnsi="Arial"/>
          <w:b w:val="false"/>
          <w:bCs w:val="false"/>
          <w:sz w:val="28"/>
          <w:szCs w:val="28"/>
          <w:u w:val="none"/>
        </w:rPr>
        <w:tab/>
        <w:t>Fig 2</w:t>
        <w:tab/>
        <w:t>PEST Analysis..……………..……………..…………..….…11</w:t>
      </w:r>
    </w:p>
    <w:p>
      <w:pPr>
        <w:pStyle w:val="Normal"/>
        <w:spacing w:before="114" w:after="114"/>
        <w:jc w:val="left"/>
        <w:rPr/>
      </w:pPr>
      <w:r>
        <w:rPr>
          <w:rFonts w:cs="Arial" w:ascii="Arial" w:hAnsi="Arial"/>
          <w:b/>
          <w:bCs/>
          <w:sz w:val="28"/>
          <w:szCs w:val="28"/>
          <w:u w:val="none"/>
        </w:rPr>
        <w:tab/>
      </w:r>
      <w:r>
        <w:rPr>
          <w:rFonts w:cs="Arial" w:ascii="Arial" w:hAnsi="Arial"/>
          <w:b w:val="false"/>
          <w:bCs w:val="false"/>
          <w:sz w:val="28"/>
          <w:szCs w:val="28"/>
          <w:u w:val="none"/>
        </w:rPr>
        <w:t>Fig 3 ITINERARY..….…..…..……………………………………...12</w:t>
      </w:r>
    </w:p>
    <w:p>
      <w:pPr>
        <w:pStyle w:val="Normal"/>
        <w:spacing w:before="114" w:after="114"/>
        <w:jc w:val="left"/>
        <w:rPr>
          <w:rFonts w:ascii="Arial" w:hAnsi="Arial" w:cs="Arial"/>
          <w:b/>
          <w:b/>
          <w:bCs/>
          <w:sz w:val="28"/>
          <w:szCs w:val="28"/>
          <w:u w:val="none"/>
        </w:rPr>
      </w:pPr>
      <w:r>
        <w:rPr/>
      </w:r>
    </w:p>
    <w:p>
      <w:pPr>
        <w:pStyle w:val="Normal"/>
        <w:spacing w:before="114" w:after="114"/>
        <w:jc w:val="left"/>
        <w:rPr>
          <w:rFonts w:ascii="Arial" w:hAnsi="Arial" w:cs="Arial"/>
          <w:b/>
          <w:b/>
          <w:bCs/>
          <w:sz w:val="28"/>
          <w:szCs w:val="28"/>
          <w:u w:val="none"/>
        </w:rPr>
      </w:pPr>
      <w:r>
        <w:rPr/>
      </w:r>
    </w:p>
    <w:p>
      <w:pPr>
        <w:pStyle w:val="Normal"/>
        <w:spacing w:before="114" w:after="114"/>
        <w:jc w:val="left"/>
        <w:rPr/>
      </w:pPr>
      <w:r>
        <w:rPr>
          <w:rFonts w:cs="Arial" w:ascii="Arial" w:hAnsi="Arial"/>
          <w:b/>
          <w:bCs/>
          <w:sz w:val="28"/>
          <w:szCs w:val="28"/>
          <w:u w:val="none"/>
        </w:rPr>
        <w:t>2.</w:t>
        <w:tab/>
        <w:t>Destination &amp; Product Description</w:t>
      </w:r>
    </w:p>
    <w:p>
      <w:pPr>
        <w:pStyle w:val="Normal"/>
        <w:spacing w:lineRule="auto" w:line="360" w:before="114" w:after="114"/>
        <w:jc w:val="left"/>
        <w:rPr/>
      </w:pPr>
      <w:r>
        <w:rPr>
          <w:rFonts w:ascii="Arial" w:hAnsi="Arial"/>
          <w:sz w:val="24"/>
          <w:szCs w:val="24"/>
        </w:rPr>
        <w:t xml:space="preserve">Swansea Bay and the Gower Peninsula continues to attract visitors year after year. The Gower was designated as Britain’s first </w:t>
      </w:r>
      <w:r>
        <w:rPr>
          <w:rFonts w:cs="Arial" w:ascii="Arial" w:hAnsi="Arial"/>
          <w:b w:val="false"/>
          <w:bCs w:val="false"/>
          <w:i w:val="false"/>
          <w:caps w:val="false"/>
          <w:smallCaps w:val="false"/>
          <w:color w:val="1B1B1B"/>
          <w:spacing w:val="0"/>
          <w:sz w:val="24"/>
          <w:szCs w:val="24"/>
          <w:u w:val="none"/>
        </w:rPr>
        <w:t>Area of Outstanding Natural Beauty (AONB) and has become famous for its beautiful coastline, surf beaches, walking trails and n</w:t>
      </w:r>
      <w:r>
        <w:rPr>
          <w:rFonts w:ascii="Arial" w:hAnsi="Arial"/>
          <w:sz w:val="24"/>
          <w:szCs w:val="24"/>
        </w:rPr>
        <w:t>ature reserves.  You will also find several sites of special scientific interest</w:t>
      </w:r>
      <w:r>
        <w:rPr>
          <w:rFonts w:ascii="Arial" w:hAnsi="Arial"/>
          <w:b w:val="false"/>
          <w:i w:val="false"/>
          <w:caps w:val="false"/>
          <w:smallCaps w:val="false"/>
          <w:color w:val="1B1B1B"/>
          <w:spacing w:val="0"/>
          <w:sz w:val="24"/>
          <w:szCs w:val="24"/>
        </w:rPr>
        <w:t xml:space="preserve"> and one of the earliest known burial sites known in Europe.  As for the</w:t>
      </w:r>
      <w:r>
        <w:rPr>
          <w:rFonts w:cs="Arial" w:ascii="Arial" w:hAnsi="Arial"/>
          <w:b w:val="false"/>
          <w:bCs w:val="false"/>
          <w:i w:val="false"/>
          <w:caps w:val="false"/>
          <w:smallCaps w:val="false"/>
          <w:color w:val="1B1B1B"/>
          <w:spacing w:val="0"/>
          <w:sz w:val="24"/>
          <w:szCs w:val="24"/>
          <w:u w:val="none"/>
        </w:rPr>
        <w:t xml:space="preserve"> city itself, Swansea is uniquely positioned on the waterfront.  It is a place where people can relax and unwind and has become popular for its culture, art, good food and attractions. </w:t>
      </w:r>
      <w:r>
        <w:rPr>
          <w:rFonts w:cs="Arial" w:ascii="Arial" w:hAnsi="Arial"/>
          <w:b w:val="false"/>
          <w:bCs w:val="false"/>
          <w:sz w:val="24"/>
          <w:szCs w:val="24"/>
          <w:u w:val="none"/>
        </w:rPr>
        <w:t xml:space="preserve">  With this in mind, the </w:t>
      </w:r>
      <w:r>
        <w:rPr>
          <w:rFonts w:cs="Arial" w:ascii="Arial" w:hAnsi="Arial"/>
          <w:b w:val="false"/>
          <w:bCs w:val="false"/>
          <w:i w:val="false"/>
          <w:caps w:val="false"/>
          <w:smallCaps w:val="false"/>
          <w:color w:val="281E1E"/>
          <w:spacing w:val="0"/>
          <w:sz w:val="24"/>
          <w:szCs w:val="24"/>
          <w:u w:val="none"/>
        </w:rPr>
        <w:t>opportunity to promote Swansea Bay and the Gower Peninsula as an ideal holiday destination to the 55+ age group had transpired.  The plan was to take advantage of the regions unique landscape, picturesque views and beautiful beaches by developing a range of tailor-made tours and self-guided walks specific to the visitors needs, requirements, interests and abilities.   It was evident, that this type of product was not available in the area.  A similar product is being used by a company called VIP Wales located in Pembrokeshire and some aspects of their tours were adopted into the marketing plan.  Four types of tours are available:</w:t>
      </w:r>
    </w:p>
    <w:p>
      <w:pPr>
        <w:pStyle w:val="Normal"/>
        <w:numPr>
          <w:ilvl w:val="0"/>
          <w:numId w:val="9"/>
        </w:numPr>
        <w:spacing w:lineRule="auto" w:line="360" w:before="114" w:after="114"/>
        <w:jc w:val="left"/>
        <w:rPr>
          <w:b/>
          <w:b/>
          <w:bCs/>
        </w:rPr>
      </w:pPr>
      <w:r>
        <w:rPr>
          <w:rFonts w:cs="Arial" w:ascii="Arial" w:hAnsi="Arial"/>
          <w:b/>
          <w:bCs/>
          <w:i w:val="false"/>
          <w:caps w:val="false"/>
          <w:smallCaps w:val="false"/>
          <w:color w:val="281E1E"/>
          <w:spacing w:val="0"/>
          <w:sz w:val="24"/>
          <w:szCs w:val="24"/>
          <w:u w:val="none"/>
        </w:rPr>
        <w:t>Stay, relax &amp; explore</w:t>
      </w:r>
    </w:p>
    <w:p>
      <w:pPr>
        <w:pStyle w:val="Normal"/>
        <w:numPr>
          <w:ilvl w:val="0"/>
          <w:numId w:val="0"/>
        </w:numPr>
        <w:spacing w:lineRule="auto" w:line="360" w:before="114" w:after="114"/>
        <w:ind w:left="720" w:hanging="0"/>
        <w:jc w:val="left"/>
        <w:rPr/>
      </w:pPr>
      <w:r>
        <w:rPr>
          <w:rFonts w:cs="Arial" w:ascii="Arial" w:hAnsi="Arial"/>
          <w:b w:val="false"/>
          <w:bCs w:val="false"/>
          <w:i w:val="false"/>
          <w:caps w:val="false"/>
          <w:smallCaps w:val="false"/>
          <w:color w:val="281E1E"/>
          <w:spacing w:val="0"/>
          <w:sz w:val="24"/>
          <w:szCs w:val="24"/>
          <w:u w:val="none"/>
        </w:rPr>
        <w:t>This type of tour suits the self-guided walker who prefers to have a base but have the opportunity to explore the area.</w:t>
      </w:r>
    </w:p>
    <w:p>
      <w:pPr>
        <w:pStyle w:val="Normal"/>
        <w:numPr>
          <w:ilvl w:val="0"/>
          <w:numId w:val="9"/>
        </w:numPr>
        <w:spacing w:lineRule="auto" w:line="360" w:before="114" w:after="114"/>
        <w:jc w:val="left"/>
        <w:rPr>
          <w:b/>
          <w:b/>
          <w:bCs/>
        </w:rPr>
      </w:pPr>
      <w:r>
        <w:rPr>
          <w:rFonts w:cs="Arial" w:ascii="Arial" w:hAnsi="Arial"/>
          <w:b/>
          <w:bCs/>
          <w:i w:val="false"/>
          <w:caps w:val="false"/>
          <w:smallCaps w:val="false"/>
          <w:color w:val="281E1E"/>
          <w:spacing w:val="0"/>
          <w:sz w:val="24"/>
          <w:szCs w:val="24"/>
          <w:u w:val="none"/>
        </w:rPr>
        <w:t>Place to Place</w:t>
      </w:r>
    </w:p>
    <w:p>
      <w:pPr>
        <w:pStyle w:val="Normal"/>
        <w:numPr>
          <w:ilvl w:val="0"/>
          <w:numId w:val="0"/>
        </w:numPr>
        <w:spacing w:lineRule="auto" w:line="360" w:before="114" w:after="114"/>
        <w:ind w:left="720" w:hanging="0"/>
        <w:jc w:val="left"/>
        <w:rPr>
          <w:b w:val="false"/>
          <w:b w:val="false"/>
          <w:bCs w:val="false"/>
        </w:rPr>
      </w:pPr>
      <w:r>
        <w:rPr>
          <w:rFonts w:cs="Arial" w:ascii="Arial" w:hAnsi="Arial"/>
          <w:b w:val="false"/>
          <w:bCs w:val="false"/>
          <w:i w:val="false"/>
          <w:caps w:val="false"/>
          <w:smallCaps w:val="false"/>
          <w:color w:val="281E1E"/>
          <w:spacing w:val="0"/>
          <w:sz w:val="24"/>
          <w:szCs w:val="24"/>
          <w:u w:val="none"/>
        </w:rPr>
        <w:t xml:space="preserve">This tour is more suited to the walker looking for a set walk each day and is happy to move to different accommodation on a daily basis.  </w:t>
      </w:r>
    </w:p>
    <w:p>
      <w:pPr>
        <w:pStyle w:val="Normal"/>
        <w:numPr>
          <w:ilvl w:val="0"/>
          <w:numId w:val="9"/>
        </w:numPr>
        <w:spacing w:lineRule="auto" w:line="360" w:before="114" w:after="114"/>
        <w:jc w:val="left"/>
        <w:rPr>
          <w:b/>
          <w:b/>
          <w:bCs/>
        </w:rPr>
      </w:pPr>
      <w:r>
        <w:rPr>
          <w:rFonts w:cs="Arial" w:ascii="Arial" w:hAnsi="Arial"/>
          <w:b/>
          <w:bCs/>
          <w:i w:val="false"/>
          <w:caps w:val="false"/>
          <w:smallCaps w:val="false"/>
          <w:color w:val="281E1E"/>
          <w:spacing w:val="0"/>
          <w:sz w:val="24"/>
          <w:szCs w:val="24"/>
          <w:u w:val="none"/>
        </w:rPr>
        <w:t>Guided Walks</w:t>
      </w:r>
    </w:p>
    <w:p>
      <w:pPr>
        <w:pStyle w:val="Normal"/>
        <w:numPr>
          <w:ilvl w:val="0"/>
          <w:numId w:val="0"/>
        </w:numPr>
        <w:spacing w:lineRule="auto" w:line="360" w:before="114" w:after="114"/>
        <w:ind w:left="720" w:hanging="0"/>
        <w:jc w:val="left"/>
        <w:rPr>
          <w:b w:val="false"/>
          <w:b w:val="false"/>
          <w:bCs w:val="false"/>
        </w:rPr>
      </w:pPr>
      <w:r>
        <w:rPr>
          <w:rFonts w:cs="Arial" w:ascii="Arial" w:hAnsi="Arial"/>
          <w:b w:val="false"/>
          <w:bCs w:val="false"/>
          <w:i w:val="false"/>
          <w:caps w:val="false"/>
          <w:smallCaps w:val="false"/>
          <w:color w:val="281E1E"/>
          <w:spacing w:val="0"/>
          <w:sz w:val="24"/>
          <w:szCs w:val="24"/>
          <w:u w:val="none"/>
        </w:rPr>
        <w:t xml:space="preserve">A locally qualified tour guide will lead you along the way and help you discover the beauty and wonders of the area. </w:t>
      </w:r>
    </w:p>
    <w:p>
      <w:pPr>
        <w:pStyle w:val="Normal"/>
        <w:numPr>
          <w:ilvl w:val="0"/>
          <w:numId w:val="9"/>
        </w:numPr>
        <w:spacing w:lineRule="auto" w:line="360" w:before="114" w:after="114"/>
        <w:jc w:val="left"/>
        <w:rPr>
          <w:b/>
          <w:b/>
          <w:bCs/>
        </w:rPr>
      </w:pPr>
      <w:r>
        <w:rPr>
          <w:rFonts w:cs="Arial" w:ascii="Arial" w:hAnsi="Arial"/>
          <w:b/>
          <w:bCs/>
          <w:i w:val="false"/>
          <w:caps w:val="false"/>
          <w:smallCaps w:val="false"/>
          <w:color w:val="281E1E"/>
          <w:spacing w:val="0"/>
          <w:sz w:val="24"/>
          <w:szCs w:val="24"/>
          <w:u w:val="none"/>
        </w:rPr>
        <w:t>VIP experience</w:t>
      </w:r>
    </w:p>
    <w:p>
      <w:pPr>
        <w:pStyle w:val="Normal"/>
        <w:spacing w:lineRule="auto" w:line="360" w:before="114" w:after="114"/>
        <w:ind w:left="720" w:hanging="0"/>
        <w:jc w:val="left"/>
        <w:rPr>
          <w:b w:val="false"/>
          <w:b w:val="false"/>
          <w:bCs w:val="false"/>
          <w:sz w:val="24"/>
          <w:szCs w:val="24"/>
        </w:rPr>
      </w:pPr>
      <w:r>
        <w:rPr>
          <w:rFonts w:cs="Arial" w:ascii="Arial" w:hAnsi="Arial"/>
          <w:b w:val="false"/>
          <w:bCs w:val="false"/>
          <w:sz w:val="24"/>
          <w:szCs w:val="24"/>
          <w:u w:val="none"/>
        </w:rPr>
        <w:t>An opportunity to create memorable experiences is on offer.  We will suggest the idyllic setting for the customer to enjoy a bottle of champagne or a customised picnic hamper on the beach.</w:t>
      </w:r>
    </w:p>
    <w:p>
      <w:pPr>
        <w:pStyle w:val="Normal"/>
        <w:spacing w:lineRule="auto" w:line="360" w:before="114" w:after="114"/>
        <w:jc w:val="left"/>
        <w:rPr/>
      </w:pPr>
      <w:r>
        <w:rPr>
          <w:rFonts w:cs="Arial" w:ascii="Arial" w:hAnsi="Arial"/>
          <w:b/>
          <w:bCs/>
          <w:sz w:val="28"/>
          <w:szCs w:val="28"/>
          <w:u w:val="none"/>
        </w:rPr>
        <w:t>3.</w:t>
        <w:tab/>
        <w:t>Situation Analysis</w:t>
      </w:r>
    </w:p>
    <w:p>
      <w:pPr>
        <w:pStyle w:val="Normal"/>
        <w:spacing w:lineRule="auto" w:line="360" w:before="114" w:after="114"/>
        <w:jc w:val="left"/>
        <w:rPr/>
      </w:pPr>
      <w:r>
        <w:rPr>
          <w:rFonts w:cs="Arial" w:ascii="Arial" w:hAnsi="Arial"/>
          <w:b w:val="false"/>
          <w:bCs w:val="false"/>
          <w:sz w:val="24"/>
          <w:szCs w:val="24"/>
          <w:u w:val="none"/>
        </w:rPr>
        <w:t>A SWOT analysis - Strengths, Weaknesses, Opportunities and Threats – (Fig 1) was conducted to check the viability of the marketing plan and was then divided into two main catergories; internal and external factors.  The internal factors highlighted the strengths and weaknesses that were internal to the proposed product of this plan.  The external factors highlighted the opportunities and threats that can be attributed to the environment.  The internal and external factors of the analysis revealed many things which will now be summarised as follows:</w:t>
      </w:r>
    </w:p>
    <w:p>
      <w:pPr>
        <w:pStyle w:val="Normal"/>
        <w:spacing w:lineRule="auto" w:line="360" w:before="114" w:after="114"/>
        <w:ind w:left="0" w:hanging="0"/>
        <w:jc w:val="left"/>
        <w:rPr/>
      </w:pPr>
      <w:r>
        <w:rPr>
          <w:rFonts w:cs="Arial" w:ascii="Arial" w:hAnsi="Arial"/>
          <w:b w:val="false"/>
          <w:bCs w:val="false"/>
          <w:i w:val="false"/>
          <w:caps w:val="false"/>
          <w:smallCaps w:val="false"/>
          <w:color w:val="222222"/>
          <w:spacing w:val="0"/>
          <w:sz w:val="28"/>
          <w:szCs w:val="28"/>
          <w:u w:val="none"/>
        </w:rPr>
        <w:t>3.1</w:t>
        <w:tab/>
        <w:t>Internal</w:t>
      </w:r>
    </w:p>
    <w:p>
      <w:pPr>
        <w:pStyle w:val="Normal"/>
        <w:spacing w:lineRule="auto" w:line="360" w:before="114" w:after="114"/>
        <w:ind w:left="0" w:hanging="0"/>
        <w:jc w:val="left"/>
        <w:rPr/>
      </w:pPr>
      <w:r>
        <w:rPr>
          <w:rFonts w:cs="Arial" w:ascii="Arial" w:hAnsi="Arial"/>
          <w:b w:val="false"/>
          <w:bCs w:val="false"/>
          <w:i w:val="false"/>
          <w:caps w:val="false"/>
          <w:smallCaps w:val="false"/>
          <w:color w:val="222222"/>
          <w:spacing w:val="0"/>
          <w:sz w:val="24"/>
          <w:szCs w:val="24"/>
          <w:u w:val="none"/>
        </w:rPr>
        <w:t>The main strength of this marketing plan is the areas natural landscape.  With its award winning beaches, beautiful landscape and spectacular scenery, it acts as a natural backdrop for the proposed product.  On the other hand, its strength could inadvertently become its weakness.  One of the weaknesses identified in the SWOT analysis was the impact that increased visitors could have on the natural environment.  A visitor survey conducted by the Swansea City Council (2015) showed that the Gower landscape was a key motivating factor for visitors to the area.  It revealed that walking was one of the most popular activities in the area as well as watersports, cycling, golf and fishing.</w:t>
      </w:r>
    </w:p>
    <w:p>
      <w:pPr>
        <w:pStyle w:val="Normal"/>
        <w:spacing w:lineRule="auto" w:line="360" w:before="114" w:after="114"/>
        <w:ind w:left="0" w:hanging="0"/>
        <w:jc w:val="left"/>
        <w:rPr/>
      </w:pPr>
      <w:r>
        <w:rPr>
          <w:rFonts w:cs="Arial" w:ascii="Arial" w:hAnsi="Arial"/>
          <w:b w:val="false"/>
          <w:bCs w:val="false"/>
          <w:i w:val="false"/>
          <w:caps w:val="false"/>
          <w:smallCaps w:val="false"/>
          <w:color w:val="222222"/>
          <w:spacing w:val="0"/>
          <w:sz w:val="28"/>
          <w:szCs w:val="28"/>
          <w:u w:val="none"/>
        </w:rPr>
        <w:t>3.1</w:t>
        <w:tab/>
        <w:t>External</w:t>
      </w:r>
    </w:p>
    <w:p>
      <w:pPr>
        <w:pStyle w:val="Normal"/>
        <w:spacing w:lineRule="auto" w:line="360" w:before="114" w:after="114"/>
        <w:ind w:left="0" w:hanging="0"/>
        <w:jc w:val="left"/>
        <w:rPr>
          <w:sz w:val="24"/>
        </w:rPr>
      </w:pPr>
      <w:r>
        <w:rPr>
          <w:rFonts w:cs="Arial" w:ascii="Arial" w:hAnsi="Arial"/>
          <w:b w:val="false"/>
          <w:bCs w:val="false"/>
          <w:i w:val="false"/>
          <w:caps w:val="false"/>
          <w:smallCaps w:val="false"/>
          <w:color w:val="222222"/>
          <w:spacing w:val="0"/>
          <w:sz w:val="24"/>
          <w:szCs w:val="24"/>
          <w:u w:val="none"/>
        </w:rPr>
        <w:t xml:space="preserve">Many opportunities and threats were identified and although these external factors are usually beyond a companies control, they were recognised so they could be managed appropriately.  One of the main opportunities was the growing trend of ‘staycation’ type holidays.  According to Sojern (a travel marketing group), recent data indicated a 23.8% rise in British holiday makers choosing to holiday in the UK rather than go abroad.  With unfavourable exchange rates following Brexit and an  increase in the cost of living meant there was less disposable income to spend on a holiday.  As a result, the chance to promote the area as an ideal destination by developing tailor-made tours was conceived.  However, one of the main threats to the area was the increasing change in weather patterns and the lack of wet weather attractions in the area.  </w:t>
      </w:r>
    </w:p>
    <w:p>
      <w:pPr>
        <w:pStyle w:val="Normal"/>
        <w:spacing w:lineRule="auto" w:line="360" w:before="114" w:after="114"/>
        <w:ind w:hanging="0"/>
        <w:jc w:val="left"/>
        <w:rPr/>
      </w:pPr>
      <w:r>
        <w:rPr>
          <w:rFonts w:cs="Arial" w:ascii="Arial" w:hAnsi="Arial"/>
          <w:b/>
          <w:bCs/>
          <w:i w:val="false"/>
          <w:caps w:val="false"/>
          <w:smallCaps w:val="false"/>
          <w:color w:val="222222"/>
          <w:spacing w:val="0"/>
          <w:sz w:val="28"/>
          <w:szCs w:val="28"/>
          <w:u w:val="none"/>
        </w:rPr>
        <w:t>4.</w:t>
        <w:tab/>
        <w:t>Analysis of Key Market Segment</w:t>
      </w:r>
      <w:r>
        <w:rPr>
          <w:rFonts w:cs="Arial" w:ascii="Arial" w:hAnsi="Arial"/>
          <w:b w:val="false"/>
          <w:bCs w:val="false"/>
          <w:i w:val="false"/>
          <w:caps w:val="false"/>
          <w:smallCaps w:val="false"/>
          <w:color w:val="222222"/>
          <w:spacing w:val="0"/>
          <w:sz w:val="28"/>
          <w:szCs w:val="28"/>
          <w:u w:val="none"/>
        </w:rPr>
        <w:t>.</w:t>
      </w:r>
    </w:p>
    <w:p>
      <w:pPr>
        <w:pStyle w:val="Normal"/>
        <w:spacing w:lineRule="auto" w:line="360" w:before="114" w:after="114"/>
        <w:ind w:hanging="0"/>
        <w:jc w:val="left"/>
        <w:rPr>
          <w:sz w:val="24"/>
        </w:rPr>
      </w:pPr>
      <w:r>
        <w:rPr>
          <w:rFonts w:cs="Arial" w:ascii="Arial" w:hAnsi="Arial"/>
          <w:b w:val="false"/>
          <w:bCs w:val="false"/>
          <w:i w:val="false"/>
          <w:caps w:val="false"/>
          <w:smallCaps w:val="false"/>
          <w:color w:val="222222"/>
          <w:spacing w:val="0"/>
          <w:sz w:val="24"/>
          <w:szCs w:val="24"/>
          <w:u w:val="none"/>
        </w:rPr>
        <w:t>The key market segment used in this marketing plan is the 55yr+ empty nester.  This group is generally aged between 55 and 64yrs whose children have left home to start their own families and careers.  Many are still working while others will take the opportunity of this new freedom to travel.  According to research conducted by the Royals Mail market reach, empty nesters still enjoyed TV and newspapers.  It also showed how this group were not as keen as the younger generation to respond to direct mail using digital technology. Instead, they preferred a good quality brochure to read at their leisure and would rather speak to someone in person or over the phone.   Some other key statistics from the research regarding empty nesters were:</w:t>
      </w:r>
    </w:p>
    <w:p>
      <w:pPr>
        <w:pStyle w:val="Normal"/>
        <w:numPr>
          <w:ilvl w:val="0"/>
          <w:numId w:val="10"/>
        </w:numPr>
        <w:spacing w:lineRule="auto" w:line="360" w:before="114" w:after="114"/>
        <w:jc w:val="left"/>
        <w:rPr/>
      </w:pPr>
      <w:r>
        <w:rPr>
          <w:rFonts w:ascii="Arial" w:hAnsi="Arial"/>
          <w:b w:val="false"/>
          <w:i w:val="false"/>
          <w:caps w:val="false"/>
          <w:smallCaps w:val="false"/>
          <w:color w:val="232323"/>
          <w:spacing w:val="0"/>
          <w:sz w:val="24"/>
        </w:rPr>
        <w:t>74% take responsibility for their own financial security after retirement</w:t>
      </w:r>
    </w:p>
    <w:p>
      <w:pPr>
        <w:pStyle w:val="Normal"/>
        <w:numPr>
          <w:ilvl w:val="0"/>
          <w:numId w:val="10"/>
        </w:numPr>
        <w:spacing w:lineRule="auto" w:line="360" w:before="114" w:after="114"/>
        <w:jc w:val="left"/>
        <w:rPr/>
      </w:pPr>
      <w:r>
        <w:rPr>
          <w:rFonts w:ascii="Arial" w:hAnsi="Arial"/>
          <w:b w:val="false"/>
          <w:i w:val="false"/>
          <w:caps w:val="false"/>
          <w:smallCaps w:val="false"/>
          <w:color w:val="232323"/>
          <w:spacing w:val="0"/>
          <w:sz w:val="24"/>
        </w:rPr>
        <w:t>Empty nesters spend 18 minutes a day reading mail</w:t>
      </w:r>
    </w:p>
    <w:p>
      <w:pPr>
        <w:pStyle w:val="Normal"/>
        <w:numPr>
          <w:ilvl w:val="0"/>
          <w:numId w:val="10"/>
        </w:numPr>
        <w:spacing w:lineRule="auto" w:line="360" w:before="114" w:after="114"/>
        <w:jc w:val="left"/>
        <w:rPr/>
      </w:pPr>
      <w:r>
        <w:rPr>
          <w:rFonts w:ascii="Arial" w:hAnsi="Arial"/>
          <w:b w:val="false"/>
          <w:i w:val="false"/>
          <w:caps w:val="false"/>
          <w:smallCaps w:val="false"/>
          <w:color w:val="232323"/>
          <w:spacing w:val="0"/>
          <w:sz w:val="24"/>
        </w:rPr>
        <w:t>26% have responded to an item of mail in the last 12 months</w:t>
      </w:r>
    </w:p>
    <w:p>
      <w:pPr>
        <w:pStyle w:val="Normal"/>
        <w:numPr>
          <w:ilvl w:val="0"/>
          <w:numId w:val="10"/>
        </w:numPr>
        <w:spacing w:lineRule="auto" w:line="360" w:before="114" w:after="114"/>
        <w:jc w:val="left"/>
        <w:rPr/>
      </w:pPr>
      <w:r>
        <w:rPr>
          <w:rFonts w:ascii="Arial" w:hAnsi="Arial"/>
          <w:b w:val="false"/>
          <w:i w:val="false"/>
          <w:caps w:val="false"/>
          <w:smallCaps w:val="false"/>
          <w:color w:val="232323"/>
          <w:spacing w:val="0"/>
          <w:sz w:val="24"/>
        </w:rPr>
        <w:t>39% say they are comfortable on their present income</w:t>
      </w:r>
    </w:p>
    <w:p>
      <w:pPr>
        <w:pStyle w:val="Normal"/>
        <w:numPr>
          <w:ilvl w:val="0"/>
          <w:numId w:val="10"/>
        </w:numPr>
        <w:spacing w:lineRule="auto" w:line="360" w:before="114" w:after="114"/>
        <w:jc w:val="left"/>
        <w:rPr/>
      </w:pPr>
      <w:r>
        <w:rPr>
          <w:rFonts w:ascii="Arial" w:hAnsi="Arial"/>
          <w:b w:val="false"/>
          <w:i w:val="false"/>
          <w:caps w:val="false"/>
          <w:smallCaps w:val="false"/>
          <w:color w:val="232323"/>
          <w:spacing w:val="0"/>
          <w:sz w:val="24"/>
        </w:rPr>
        <w:t>64% agree they would feel less in control without printed copies of important documents</w:t>
      </w:r>
    </w:p>
    <w:p>
      <w:pPr>
        <w:pStyle w:val="Normal"/>
        <w:spacing w:lineRule="auto" w:line="360" w:before="114" w:after="114"/>
        <w:jc w:val="left"/>
        <w:rPr/>
      </w:pPr>
      <w:r>
        <w:rPr>
          <w:rFonts w:cs="Arial" w:ascii="Arial" w:hAnsi="Arial"/>
          <w:b w:val="false"/>
          <w:bCs w:val="false"/>
          <w:i w:val="false"/>
          <w:caps w:val="false"/>
          <w:smallCaps w:val="false"/>
          <w:color w:val="222222"/>
          <w:spacing w:val="0"/>
          <w:sz w:val="24"/>
          <w:szCs w:val="24"/>
          <w:u w:val="none"/>
        </w:rPr>
        <w:t xml:space="preserve">Empty nesters are also taking more responsibility for their health.  The Welsh Assembly Government introduced a “Walking and Cycling Action Plan for Wales” (2009-2013) whose aim was to establish a walking and cycling culture in Wales and to encourage more people, both young and old, to walk and cycle more often.  Benefits  such as improved health, less traffic congestion which in turn reduces harmful gas emissions to the atmosphere. </w:t>
      </w:r>
    </w:p>
    <w:p>
      <w:pPr>
        <w:pStyle w:val="TextBody"/>
        <w:widowControl/>
        <w:spacing w:before="0" w:after="0"/>
        <w:ind w:left="0" w:right="0" w:hanging="0"/>
        <w:rPr>
          <w:rFonts w:ascii="Arial" w:hAnsi="Arial" w:cs="Arial"/>
          <w:b w:val="false"/>
          <w:b w:val="false"/>
          <w:bCs w:val="false"/>
          <w:i w:val="false"/>
          <w:i w:val="false"/>
          <w:caps w:val="false"/>
          <w:smallCaps w:val="false"/>
          <w:color w:val="222222"/>
          <w:spacing w:val="0"/>
          <w:u w:val="none"/>
        </w:rPr>
      </w:pPr>
      <w:r>
        <w:rPr>
          <w:rFonts w:cs="Arial" w:ascii="Arial" w:hAnsi="Arial"/>
          <w:b w:val="false"/>
          <w:bCs w:val="false"/>
          <w:i w:val="false"/>
          <w:caps w:val="false"/>
          <w:smallCaps w:val="false"/>
          <w:color w:val="222222"/>
          <w:spacing w:val="0"/>
          <w:u w:val="none"/>
        </w:rPr>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u w:val="none"/>
        </w:rPr>
      </w:pPr>
      <w:r>
        <w:rPr>
          <w:rFonts w:cs="Arial" w:ascii="Arial" w:hAnsi="Arial"/>
          <w:b w:val="false"/>
          <w:bCs w:val="false"/>
          <w:i w:val="false"/>
          <w:caps w:val="false"/>
          <w:smallCaps w:val="false"/>
          <w:color w:val="222222"/>
          <w:spacing w:val="0"/>
          <w:u w:val="none"/>
        </w:rPr>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Normal"/>
        <w:spacing w:lineRule="auto" w:line="360" w:before="114" w:after="114"/>
        <w:ind w:hanging="0"/>
        <w:jc w:val="left"/>
        <w:rPr/>
      </w:pPr>
      <w:r>
        <w:rPr>
          <w:rFonts w:cs="Arial" w:ascii="Arial" w:hAnsi="Arial"/>
          <w:b/>
          <w:bCs/>
          <w:i w:val="false"/>
          <w:caps w:val="false"/>
          <w:smallCaps w:val="false"/>
          <w:color w:val="222222"/>
          <w:spacing w:val="0"/>
          <w:sz w:val="28"/>
          <w:szCs w:val="28"/>
          <w:u w:val="none"/>
        </w:rPr>
        <w:t>5.</w:t>
        <w:tab/>
        <w:t>Marketing Objectives</w:t>
      </w:r>
    </w:p>
    <w:p>
      <w:pPr>
        <w:pStyle w:val="Normal"/>
        <w:spacing w:lineRule="auto" w:line="360" w:before="114" w:after="114"/>
        <w:ind w:hanging="0"/>
        <w:jc w:val="left"/>
        <w:rPr>
          <w:sz w:val="24"/>
          <w:szCs w:val="24"/>
        </w:rPr>
      </w:pPr>
      <w:r>
        <w:rPr>
          <w:rFonts w:cs="Arial" w:ascii="Arial" w:hAnsi="Arial"/>
          <w:b w:val="false"/>
          <w:bCs w:val="false"/>
          <w:i w:val="false"/>
          <w:caps w:val="false"/>
          <w:smallCaps w:val="false"/>
          <w:color w:val="222222"/>
          <w:spacing w:val="0"/>
          <w:sz w:val="24"/>
          <w:szCs w:val="24"/>
          <w:u w:val="none"/>
        </w:rPr>
        <w:t>In order to achieve the overall goals of this marketing plan, the aims and objectives were set and the target market was identified.  They were as follows:</w:t>
      </w:r>
    </w:p>
    <w:p>
      <w:pPr>
        <w:pStyle w:val="Normal"/>
        <w:numPr>
          <w:ilvl w:val="0"/>
          <w:numId w:val="6"/>
        </w:numPr>
        <w:spacing w:lineRule="auto" w:line="360" w:before="114" w:after="114"/>
        <w:jc w:val="left"/>
        <w:rPr>
          <w:b/>
          <w:b/>
          <w:bCs/>
          <w:i/>
          <w:i/>
          <w:iCs/>
          <w:sz w:val="24"/>
          <w:szCs w:val="24"/>
        </w:rPr>
      </w:pPr>
      <w:r>
        <w:rPr>
          <w:rFonts w:cs="Arial" w:ascii="Arial" w:hAnsi="Arial"/>
          <w:b/>
          <w:bCs/>
          <w:i/>
          <w:iCs/>
          <w:caps w:val="false"/>
          <w:smallCaps w:val="false"/>
          <w:color w:val="222222"/>
          <w:spacing w:val="0"/>
          <w:sz w:val="24"/>
          <w:szCs w:val="24"/>
          <w:u w:val="none"/>
        </w:rPr>
        <w:t>Target Market:  Visitors aged 55yrs+</w:t>
      </w:r>
    </w:p>
    <w:p>
      <w:pPr>
        <w:pStyle w:val="Normal"/>
        <w:numPr>
          <w:ilvl w:val="0"/>
          <w:numId w:val="5"/>
        </w:numPr>
        <w:spacing w:lineRule="auto" w:line="360" w:before="114" w:after="114"/>
        <w:jc w:val="left"/>
        <w:rPr>
          <w:b/>
          <w:b/>
          <w:bCs/>
          <w:i/>
          <w:i/>
          <w:iCs/>
          <w:sz w:val="24"/>
          <w:szCs w:val="24"/>
        </w:rPr>
      </w:pPr>
      <w:r>
        <w:rPr>
          <w:rFonts w:cs="Arial" w:ascii="Arial" w:hAnsi="Arial"/>
          <w:b/>
          <w:bCs/>
          <w:i/>
          <w:iCs/>
          <w:caps w:val="false"/>
          <w:smallCaps w:val="false"/>
          <w:color w:val="222222"/>
          <w:spacing w:val="0"/>
          <w:sz w:val="24"/>
          <w:szCs w:val="24"/>
          <w:u w:val="none"/>
        </w:rPr>
        <w:t>Aim:  To promote the natural beauty and landscape of the Swansea Bay and Gower Peninsula by offering a range of tailor-made tours and self-guided walks to suit visitors aged 55yrs+</w:t>
      </w:r>
    </w:p>
    <w:p>
      <w:pPr>
        <w:pStyle w:val="Normal"/>
        <w:numPr>
          <w:ilvl w:val="0"/>
          <w:numId w:val="5"/>
        </w:numPr>
        <w:spacing w:lineRule="auto" w:line="360" w:before="114" w:after="114"/>
        <w:jc w:val="left"/>
        <w:rPr/>
      </w:pPr>
      <w:r>
        <w:rPr>
          <w:rFonts w:cs="Arial" w:ascii="Arial" w:hAnsi="Arial"/>
          <w:b/>
          <w:bCs/>
          <w:i/>
          <w:iCs/>
          <w:caps w:val="false"/>
          <w:smallCaps w:val="false"/>
          <w:color w:val="222222"/>
          <w:spacing w:val="0"/>
          <w:sz w:val="24"/>
          <w:szCs w:val="24"/>
          <w:u w:val="none"/>
        </w:rPr>
        <w:t xml:space="preserve">Objectives: (1) Increase product awareness among the target market;    (2) Promote the Swansea region as an ideal holiday destination (3) </w:t>
      </w:r>
    </w:p>
    <w:p>
      <w:pPr>
        <w:pStyle w:val="Normal"/>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To summarise, the opportunity to create a unique tour packages for this demographic was due to:</w:t>
      </w:r>
    </w:p>
    <w:p>
      <w:pPr>
        <w:pStyle w:val="Normal"/>
        <w:numPr>
          <w:ilvl w:val="0"/>
          <w:numId w:val="7"/>
        </w:numPr>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Gower being an Area of Outstanding Natural Beauty (AONB)</w:t>
      </w:r>
    </w:p>
    <w:p>
      <w:pPr>
        <w:pStyle w:val="Normal"/>
        <w:numPr>
          <w:ilvl w:val="0"/>
          <w:numId w:val="7"/>
        </w:numPr>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 xml:space="preserve">Cultural/Heritage Tourism – includes performing, visual and literary arts, museums, historic landscapes and gardens and the Welsh Language. </w:t>
      </w:r>
    </w:p>
    <w:p>
      <w:pPr>
        <w:pStyle w:val="Normal"/>
        <w:numPr>
          <w:ilvl w:val="0"/>
          <w:numId w:val="7"/>
        </w:numPr>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 xml:space="preserve">Industrial Heritage – The Copperworks.  </w:t>
      </w:r>
    </w:p>
    <w:p>
      <w:pPr>
        <w:pStyle w:val="Normal"/>
        <w:numPr>
          <w:ilvl w:val="0"/>
          <w:numId w:val="7"/>
        </w:numPr>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 xml:space="preserve">Activity Tourism – reputation for walking, mountain biking and surfing opportunities. Endurance and multisport events are attracting visitors and competitors to the area.  Great location for kitesurfing, sailing, climbing, fishing and golf activities. </w:t>
      </w:r>
    </w:p>
    <w:p>
      <w:pPr>
        <w:pStyle w:val="Normal"/>
        <w:numPr>
          <w:ilvl w:val="0"/>
          <w:numId w:val="7"/>
        </w:numPr>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Walking, Cycling and Horseriding – The location is ideal for these activities.</w:t>
      </w:r>
    </w:p>
    <w:p>
      <w:pPr>
        <w:pStyle w:val="Normal"/>
        <w:numPr>
          <w:ilvl w:val="0"/>
          <w:numId w:val="7"/>
        </w:numPr>
        <w:spacing w:lineRule="auto" w:line="360" w:before="114" w:after="114"/>
        <w:jc w:val="left"/>
        <w:rPr/>
      </w:pPr>
      <w:r>
        <w:rPr>
          <w:rFonts w:cs="Arial" w:ascii="Arial" w:hAnsi="Arial"/>
          <w:b w:val="false"/>
          <w:bCs w:val="false"/>
          <w:i w:val="false"/>
          <w:caps w:val="false"/>
          <w:smallCaps w:val="false"/>
          <w:color w:val="281E1E"/>
          <w:spacing w:val="0"/>
          <w:sz w:val="24"/>
          <w:szCs w:val="24"/>
          <w:u w:val="none"/>
        </w:rPr>
        <w:t xml:space="preserve">Golf – Golf visitors to Wales had increased in 2009.   </w:t>
      </w:r>
    </w:p>
    <w:p>
      <w:pPr>
        <w:pStyle w:val="Normal"/>
        <w:spacing w:lineRule="auto" w:line="360" w:before="114" w:after="114"/>
        <w:ind w:hanging="0"/>
        <w:jc w:val="left"/>
        <w:rPr>
          <w:sz w:val="24"/>
          <w:szCs w:val="24"/>
        </w:rPr>
      </w:pPr>
      <w:r>
        <w:rPr>
          <w:rFonts w:cs="Arial" w:ascii="Arial" w:hAnsi="Arial"/>
          <w:b w:val="false"/>
          <w:bCs w:val="false"/>
          <w:i w:val="false"/>
          <w:caps w:val="false"/>
          <w:smallCaps w:val="false"/>
          <w:color w:val="222222"/>
          <w:spacing w:val="0"/>
          <w:sz w:val="24"/>
          <w:szCs w:val="24"/>
          <w:u w:val="none"/>
        </w:rPr>
        <w:t xml:space="preserve">The region was recently part of the Swansea city deal which secured a £1.3billion deal to help transform the economic activities in the area, boost the local economy and would help generate nearly 10,000 new jobs over the next 15years.  </w:t>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Normal"/>
        <w:spacing w:lineRule="auto" w:line="360" w:before="114" w:after="114"/>
        <w:ind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TextBody"/>
        <w:spacing w:lineRule="auto" w:line="360" w:before="114" w:after="114"/>
        <w:jc w:val="left"/>
        <w:rPr>
          <w:rFonts w:ascii="sans-serif" w:hAnsi="sans-serif" w:cs="Arial"/>
          <w:b/>
          <w:b/>
          <w:bCs w:val="false"/>
          <w:i w:val="false"/>
          <w:i w:val="false"/>
          <w:caps w:val="false"/>
          <w:smallCaps w:val="false"/>
          <w:color w:val="222222"/>
          <w:spacing w:val="0"/>
          <w:sz w:val="21"/>
          <w:szCs w:val="24"/>
          <w:u w:val="none"/>
        </w:rPr>
      </w:pPr>
      <w:r>
        <w:rPr>
          <w:rFonts w:cs="Arial" w:ascii="sans-serif" w:hAnsi="sans-serif"/>
          <w:b/>
          <w:bCs w:val="false"/>
          <w:i w:val="false"/>
          <w:caps w:val="false"/>
          <w:smallCaps w:val="false"/>
          <w:color w:val="222222"/>
          <w:spacing w:val="0"/>
          <w:sz w:val="21"/>
          <w:szCs w:val="24"/>
          <w:u w:val="none"/>
        </w:rPr>
      </w:r>
    </w:p>
    <w:p>
      <w:pPr>
        <w:pStyle w:val="Normal"/>
        <w:spacing w:lineRule="auto" w:line="360" w:before="114" w:after="114"/>
        <w:ind w:hanging="0"/>
        <w:jc w:val="left"/>
        <w:rPr/>
      </w:pPr>
      <w:r>
        <w:rPr>
          <w:rFonts w:cs="Arial" w:ascii="Arial" w:hAnsi="Arial"/>
          <w:b/>
          <w:bCs/>
          <w:i w:val="false"/>
          <w:caps w:val="false"/>
          <w:smallCaps w:val="false"/>
          <w:color w:val="222222"/>
          <w:spacing w:val="0"/>
          <w:sz w:val="28"/>
          <w:szCs w:val="28"/>
          <w:u w:val="none"/>
        </w:rPr>
        <w:t>6.</w:t>
        <w:tab/>
        <w:t>Marketing Mix</w:t>
      </w:r>
    </w:p>
    <w:p>
      <w:pPr>
        <w:pStyle w:val="Heading3"/>
        <w:spacing w:lineRule="auto" w:line="360" w:before="114" w:after="114"/>
        <w:jc w:val="left"/>
        <w:rPr>
          <w:rFonts w:ascii="Arial" w:hAnsi="Arial"/>
          <w:b w:val="false"/>
          <w:b w:val="false"/>
          <w:i w:val="false"/>
          <w:i w:val="false"/>
          <w:caps w:val="false"/>
          <w:smallCaps w:val="false"/>
          <w:color w:val="013B49"/>
          <w:spacing w:val="0"/>
          <w:sz w:val="24"/>
          <w:szCs w:val="24"/>
        </w:rPr>
      </w:pPr>
      <w:r>
        <w:rPr>
          <w:rFonts w:cs="Arial" w:ascii="Arial" w:hAnsi="Arial"/>
          <w:b w:val="false"/>
          <w:bCs w:val="false"/>
          <w:i w:val="false"/>
          <w:caps w:val="false"/>
          <w:smallCaps w:val="false"/>
          <w:color w:val="222222"/>
          <w:spacing w:val="0"/>
          <w:sz w:val="24"/>
          <w:szCs w:val="24"/>
          <w:u w:val="none"/>
        </w:rPr>
        <w:t>The term ‘marketing mix’ is a phrase that has been around since 1949 and was developed by Neil Borden.  According to Borden, “When building a marketing program to fit the needs of his firm, the marketing manager has to weigh the behavioural forces and then juggle the marketing elements in his mix with a keen eye on the resources with which he has to work.”  (Borden, N. 1964, pg 365).   However, McCarthy (1960) introduced the four P’s of marketing – product, place, price. promotion – and believed it was the foundation of any marketing plan.  With this in mind, the four P’s have been applied to the marketing plan and are discussed further.</w:t>
      </w:r>
    </w:p>
    <w:p>
      <w:pPr>
        <w:pStyle w:val="Normal"/>
        <w:spacing w:lineRule="auto" w:line="360" w:before="114" w:after="114"/>
        <w:ind w:left="0" w:hanging="0"/>
        <w:jc w:val="left"/>
        <w:rPr/>
      </w:pPr>
      <w:r>
        <w:rPr>
          <w:rFonts w:cs="Arial" w:ascii="Arial" w:hAnsi="Arial"/>
          <w:b w:val="false"/>
          <w:bCs w:val="false"/>
          <w:i w:val="false"/>
          <w:caps w:val="false"/>
          <w:smallCaps w:val="false"/>
          <w:color w:val="222222"/>
          <w:spacing w:val="0"/>
          <w:sz w:val="28"/>
          <w:szCs w:val="28"/>
          <w:u w:val="none"/>
        </w:rPr>
        <w:t>6.1</w:t>
        <w:tab/>
        <w:t>Product</w:t>
      </w:r>
    </w:p>
    <w:p>
      <w:pPr>
        <w:pStyle w:val="Normal"/>
        <w:spacing w:lineRule="auto" w:line="360" w:before="114" w:after="114"/>
        <w:ind w:left="0" w:hanging="0"/>
        <w:jc w:val="left"/>
        <w:rPr/>
      </w:pPr>
      <w:r>
        <w:rPr>
          <w:rFonts w:cs="Arial" w:ascii="Arial" w:hAnsi="Arial"/>
          <w:b w:val="false"/>
          <w:bCs w:val="false"/>
          <w:i w:val="false"/>
          <w:caps w:val="false"/>
          <w:smallCaps w:val="false"/>
          <w:color w:val="222222"/>
          <w:spacing w:val="0"/>
          <w:sz w:val="24"/>
          <w:szCs w:val="24"/>
          <w:u w:val="none"/>
        </w:rPr>
        <w:t>The opportunity to provide a premium product targeted at the 55yrs+ agegroup evolved.  It would take into account the natural landscape and the beauty of the area as well other aspects such as the culture, heritage, industrial heritage.  In a visitor survey conducted by the City and County of Swansea (2015) it showed that the county was under performing in attracting walkers to the area in comparison to other areas in Wales, such as Pembrokeshire. The product also supports the Welsh Government’s campaign ‘A Walking and Cycling Action Plan for Wales 2009- 2013 which has two specific aims relating to tourism (i) to maximise the contribution that walking and cycling can make to increase tourism and (ii) make Wales a premier destination for walking and cycling events.</w:t>
      </w:r>
    </w:p>
    <w:p>
      <w:pPr>
        <w:pStyle w:val="Normal"/>
        <w:widowControl/>
        <w:spacing w:lineRule="atLeast" w:line="480" w:before="114" w:after="114"/>
        <w:ind w:left="0" w:hanging="0"/>
        <w:jc w:val="left"/>
        <w:rPr/>
      </w:pPr>
      <w:r>
        <w:rPr>
          <w:rFonts w:cs="Arial" w:ascii="Arial" w:hAnsi="Arial"/>
          <w:b w:val="false"/>
          <w:bCs w:val="false"/>
          <w:i w:val="false"/>
          <w:caps w:val="false"/>
          <w:smallCaps w:val="false"/>
          <w:spacing w:val="0"/>
          <w:sz w:val="28"/>
          <w:szCs w:val="28"/>
          <w:u w:val="none"/>
        </w:rPr>
        <w:t>6.2</w:t>
        <w:tab/>
        <w:t>Place</w:t>
      </w:r>
    </w:p>
    <w:p>
      <w:pPr>
        <w:pStyle w:val="Normal"/>
        <w:widowControl/>
        <w:spacing w:lineRule="atLeast" w:line="480" w:before="114" w:after="114"/>
        <w:ind w:left="0" w:hanging="0"/>
        <w:jc w:val="left"/>
        <w:rPr>
          <w:sz w:val="24"/>
          <w:szCs w:val="24"/>
        </w:rPr>
      </w:pPr>
      <w:r>
        <w:rPr>
          <w:rFonts w:cs="Arial" w:ascii="Arial" w:hAnsi="Arial"/>
          <w:b w:val="false"/>
          <w:bCs w:val="false"/>
          <w:i w:val="false"/>
          <w:caps w:val="false"/>
          <w:smallCaps w:val="false"/>
          <w:spacing w:val="0"/>
          <w:sz w:val="24"/>
          <w:szCs w:val="24"/>
          <w:u w:val="none"/>
        </w:rPr>
        <w:t xml:space="preserve">One of the main objectives of the marketing plan was to promote the local area through product awareness to the 55yrs+ age group.  In previous years, it was common for tour providers to sell and promote their products through the shop front window.  These days, technology has made information more convenient and readily available for consumers whether it be on the internet or via mobile phones.  Although most consumers in this age bracket are technically advance, our product will be promoted through brochures, leaflet drops and tv advertising.  </w:t>
      </w:r>
    </w:p>
    <w:p>
      <w:pPr>
        <w:pStyle w:val="Normal"/>
        <w:widowControl/>
        <w:spacing w:lineRule="atLeast" w:line="480" w:before="114" w:after="114"/>
        <w:ind w:left="0" w:hanging="0"/>
        <w:jc w:val="left"/>
        <w:rPr/>
      </w:pPr>
      <w:r>
        <w:rPr>
          <w:rFonts w:cs="Arial" w:ascii="Arial" w:hAnsi="Arial"/>
          <w:b w:val="false"/>
          <w:bCs w:val="false"/>
          <w:i w:val="false"/>
          <w:caps w:val="false"/>
          <w:smallCaps w:val="false"/>
          <w:spacing w:val="0"/>
          <w:sz w:val="28"/>
          <w:szCs w:val="28"/>
          <w:u w:val="none"/>
        </w:rPr>
        <w:t>6.3</w:t>
        <w:tab/>
        <w:t>Price</w:t>
      </w:r>
    </w:p>
    <w:p>
      <w:pPr>
        <w:pStyle w:val="Normal"/>
        <w:widowControl/>
        <w:spacing w:lineRule="atLeast" w:line="480" w:before="114" w:after="114"/>
        <w:ind w:left="0" w:hanging="0"/>
        <w:jc w:val="left"/>
        <w:rPr/>
      </w:pPr>
      <w:r>
        <w:rPr>
          <w:rFonts w:cs="Arial" w:ascii="Arial" w:hAnsi="Arial"/>
          <w:b w:val="false"/>
          <w:bCs w:val="false"/>
          <w:i w:val="false"/>
          <w:caps w:val="false"/>
          <w:smallCaps w:val="false"/>
          <w:spacing w:val="0"/>
          <w:sz w:val="24"/>
          <w:szCs w:val="24"/>
          <w:u w:val="none"/>
        </w:rPr>
        <w:t xml:space="preserve">The price of the tailor-made tours will be priced according to the customers budget. The emphasis will be to create a personalised itinerary that is completely flexible and can be customised to meet the customers needs and requirements.  Accommodation choices can be suggested but if the customer has a specific accommodation type in mind, then it can be arranged.  VIP experiences can be arranged to make the trip extra special.  </w:t>
      </w:r>
    </w:p>
    <w:p>
      <w:pPr>
        <w:pStyle w:val="Normal"/>
        <w:widowControl/>
        <w:spacing w:lineRule="atLeast" w:line="480" w:before="114" w:after="114"/>
        <w:ind w:left="0" w:hanging="0"/>
        <w:jc w:val="left"/>
        <w:rPr/>
      </w:pPr>
      <w:r>
        <w:rPr>
          <w:rFonts w:cs="Arial" w:ascii="Arial" w:hAnsi="Arial"/>
          <w:b w:val="false"/>
          <w:bCs w:val="false"/>
          <w:i w:val="false"/>
          <w:caps w:val="false"/>
          <w:smallCaps w:val="false"/>
          <w:color w:val="222222"/>
          <w:spacing w:val="0"/>
          <w:sz w:val="28"/>
          <w:szCs w:val="28"/>
          <w:u w:val="none"/>
        </w:rPr>
        <w:t>6.4</w:t>
        <w:tab/>
        <w:t>Promotion</w:t>
      </w:r>
    </w:p>
    <w:p>
      <w:pPr>
        <w:pStyle w:val="Normal"/>
        <w:widowControl/>
        <w:spacing w:lineRule="atLeast" w:line="480" w:before="114" w:after="114"/>
        <w:ind w:left="0" w:hanging="0"/>
        <w:jc w:val="left"/>
        <w:rPr>
          <w:sz w:val="24"/>
          <w:szCs w:val="24"/>
        </w:rPr>
      </w:pPr>
      <w:r>
        <w:rPr>
          <w:rFonts w:cs="Arial" w:ascii="Arial" w:hAnsi="Arial"/>
          <w:b w:val="false"/>
          <w:bCs w:val="false"/>
          <w:i w:val="false"/>
          <w:caps w:val="false"/>
          <w:smallCaps w:val="false"/>
          <w:color w:val="222222"/>
          <w:spacing w:val="0"/>
          <w:sz w:val="24"/>
          <w:szCs w:val="24"/>
          <w:u w:val="none"/>
        </w:rPr>
        <w:t xml:space="preserve">Research suggests that the target group used in the marketing plan prefers TV and newspaper advertising, good quality brochures, direct marketing and personal contact to learn about a new product or service.  As a result, these are the methods that would be used to promote the new product.  </w:t>
      </w:r>
    </w:p>
    <w:p>
      <w:pPr>
        <w:pStyle w:val="Normal"/>
        <w:spacing w:lineRule="auto" w:line="360" w:before="114" w:after="114"/>
        <w:ind w:left="0" w:hanging="0"/>
        <w:jc w:val="left"/>
        <w:rPr>
          <w:rFonts w:ascii="Arial" w:hAnsi="Arial" w:cs="Arial"/>
          <w:b w:val="false"/>
          <w:b w:val="false"/>
          <w:bCs w:val="false"/>
          <w:i w:val="false"/>
          <w:i w:val="false"/>
          <w:caps w:val="false"/>
          <w:smallCaps w:val="false"/>
          <w:color w:val="222222"/>
          <w:spacing w:val="0"/>
          <w:sz w:val="28"/>
          <w:szCs w:val="28"/>
          <w:u w:val="none"/>
        </w:rPr>
      </w:pPr>
      <w:r>
        <w:rPr>
          <w:rFonts w:cs="Arial" w:ascii="Arial" w:hAnsi="Arial"/>
          <w:b w:val="false"/>
          <w:bCs w:val="false"/>
          <w:i w:val="false"/>
          <w:caps w:val="false"/>
          <w:smallCaps w:val="false"/>
          <w:color w:val="222222"/>
          <w:spacing w:val="0"/>
          <w:sz w:val="28"/>
          <w:szCs w:val="28"/>
          <w:u w:val="none"/>
        </w:rPr>
      </w:r>
    </w:p>
    <w:p>
      <w:pPr>
        <w:pStyle w:val="Normal"/>
        <w:spacing w:lineRule="auto" w:line="360" w:before="114" w:after="114"/>
        <w:ind w:left="0" w:hanging="0"/>
        <w:jc w:val="left"/>
        <w:rPr>
          <w:b/>
          <w:b/>
          <w:bCs/>
          <w:color w:val="000000"/>
        </w:rPr>
      </w:pPr>
      <w:r>
        <w:rPr>
          <w:rFonts w:cs="Arial" w:ascii="Arial" w:hAnsi="Arial"/>
          <w:b/>
          <w:bCs/>
          <w:i w:val="false"/>
          <w:caps w:val="false"/>
          <w:smallCaps w:val="false"/>
          <w:strike w:val="false"/>
          <w:dstrike w:val="false"/>
          <w:color w:val="000000"/>
          <w:spacing w:val="0"/>
          <w:sz w:val="28"/>
          <w:szCs w:val="28"/>
          <w:u w:val="none"/>
          <w:effect w:val="none"/>
        </w:rPr>
        <w:t>7.</w:t>
        <w:tab/>
        <w:t>Summary</w:t>
      </w:r>
    </w:p>
    <w:p>
      <w:pPr>
        <w:pStyle w:val="Normal"/>
        <w:spacing w:lineRule="auto" w:line="360" w:before="114" w:after="114"/>
        <w:ind w:left="0" w:hanging="0"/>
        <w:jc w:val="left"/>
        <w:rPr/>
      </w:pPr>
      <w:r>
        <w:rPr>
          <w:rFonts w:cs="Arial" w:ascii="Arial" w:hAnsi="Arial"/>
          <w:b w:val="false"/>
          <w:bCs w:val="false"/>
          <w:i w:val="false"/>
          <w:caps w:val="false"/>
          <w:smallCaps w:val="false"/>
          <w:strike w:val="false"/>
          <w:dstrike w:val="false"/>
          <w:color w:val="000000"/>
          <w:spacing w:val="0"/>
          <w:sz w:val="24"/>
          <w:szCs w:val="24"/>
          <w:u w:val="none"/>
          <w:effect w:val="none"/>
        </w:rPr>
        <w:t xml:space="preserve">Dwyer et at (2004) recognized that tourism can have a positive effect on a countries economic activities and that most countries around the world consider it to be important .  In Wales, Tourism has been recognised as a vital contributor to the Welsh economy and the Swansea Bay and Gower Peninsula is not exception.  Statistics from the visitor survey confirmed that the natural landscape and beauty of the region and was a strong motivating factor which has encouraged people to visit area.  As a result, an opportunity to target a specific market segment was identified as it was felt that this particular group was not being catered for.  The destination has so many benefits which include its natural landscape and beaches, being Britains first AONB and other places of interest.  These positive factors have contributed to a strong visitor base over the years.  </w:t>
      </w:r>
      <w:r>
        <w:rPr>
          <w:rFonts w:cs="Arial" w:ascii="Arial" w:hAnsi="Arial"/>
          <w:b w:val="false"/>
          <w:bCs/>
          <w:i w:val="false"/>
          <w:caps w:val="false"/>
          <w:smallCaps w:val="false"/>
          <w:strike w:val="false"/>
          <w:dstrike w:val="false"/>
          <w:color w:val="000000"/>
          <w:spacing w:val="0"/>
          <w:sz w:val="24"/>
          <w:szCs w:val="24"/>
          <w:u w:val="none"/>
          <w:effect w:val="none"/>
        </w:rPr>
        <w:t xml:space="preserve">The challenge is to build on these strengths, explore new markets and opportunities and ultimately to strengthen and further develop Swansea Bay into a ‘world class destination’.  </w:t>
      </w:r>
    </w:p>
    <w:p>
      <w:pPr>
        <w:pStyle w:val="Normal"/>
        <w:spacing w:lineRule="auto" w:line="360" w:before="114" w:after="114"/>
        <w:ind w:left="0" w:hanging="0"/>
        <w:jc w:val="left"/>
        <w:rPr>
          <w:rFonts w:ascii="Arial" w:hAnsi="Arial" w:cs="Arial"/>
          <w:b w:val="false"/>
          <w:b w:val="false"/>
          <w:bCs/>
          <w:i w:val="false"/>
          <w:i w:val="false"/>
          <w:caps w:val="false"/>
          <w:smallCaps w:val="false"/>
          <w:strike w:val="false"/>
          <w:dstrike w:val="false"/>
          <w:color w:val="000000"/>
          <w:spacing w:val="0"/>
          <w:sz w:val="24"/>
          <w:szCs w:val="24"/>
          <w:u w:val="none"/>
          <w:effect w:val="none"/>
        </w:rPr>
      </w:pPr>
      <w:r>
        <w:rPr>
          <w:rFonts w:cs="Arial" w:ascii="Arial" w:hAnsi="Arial"/>
          <w:b w:val="false"/>
          <w:bCs/>
          <w:i w:val="false"/>
          <w:caps w:val="false"/>
          <w:smallCaps w:val="false"/>
          <w:strike w:val="false"/>
          <w:dstrike w:val="false"/>
          <w:color w:val="000000"/>
          <w:spacing w:val="0"/>
          <w:sz w:val="24"/>
          <w:szCs w:val="24"/>
          <w:u w:val="none"/>
          <w:effect w:val="none"/>
        </w:rPr>
      </w:r>
    </w:p>
    <w:p>
      <w:pPr>
        <w:pStyle w:val="Normal"/>
        <w:spacing w:lineRule="auto" w:line="360" w:before="114" w:after="114"/>
        <w:ind w:left="0" w:hanging="0"/>
        <w:jc w:val="left"/>
        <w:rPr/>
      </w:pPr>
      <w:r>
        <w:rPr>
          <w:rFonts w:cs="Arial" w:ascii="Arial" w:hAnsi="Arial"/>
          <w:b/>
          <w:bCs/>
          <w:i w:val="false"/>
          <w:caps w:val="false"/>
          <w:smallCaps w:val="false"/>
          <w:color w:val="222222"/>
          <w:spacing w:val="0"/>
          <w:sz w:val="28"/>
          <w:szCs w:val="28"/>
          <w:u w:val="none"/>
        </w:rPr>
        <w:t>SWOT Analysis</w:t>
      </w:r>
    </w:p>
    <w:tbl>
      <w:tblPr>
        <w:tblW w:w="9026" w:type="dxa"/>
        <w:jc w:val="left"/>
        <w:tblInd w:w="47" w:type="dxa"/>
        <w:tblBorders>
          <w:top w:val="single" w:sz="2" w:space="0" w:color="000001"/>
          <w:left w:val="single" w:sz="2" w:space="0" w:color="000001"/>
          <w:bottom w:val="single" w:sz="2" w:space="0" w:color="000001"/>
          <w:insideH w:val="single" w:sz="2" w:space="0" w:color="000001"/>
        </w:tblBorders>
        <w:tblCellMar>
          <w:top w:w="55" w:type="dxa"/>
          <w:left w:w="45" w:type="dxa"/>
          <w:bottom w:w="55" w:type="dxa"/>
          <w:right w:w="55" w:type="dxa"/>
        </w:tblCellMar>
      </w:tblPr>
      <w:tblGrid>
        <w:gridCol w:w="4513"/>
        <w:gridCol w:w="4512"/>
      </w:tblGrid>
      <w:tr>
        <w:trPr/>
        <w:tc>
          <w:tcPr>
            <w:tcW w:w="4513" w:type="dxa"/>
            <w:tcBorders>
              <w:top w:val="single" w:sz="2" w:space="0" w:color="000001"/>
              <w:left w:val="single" w:sz="2" w:space="0" w:color="000001"/>
              <w:bottom w:val="single" w:sz="2" w:space="0" w:color="000001"/>
              <w:insideH w:val="single" w:sz="2" w:space="0" w:color="000001"/>
            </w:tcBorders>
            <w:shd w:fill="auto" w:val="clear"/>
            <w:tcMar>
              <w:left w:w="45" w:type="dxa"/>
            </w:tcMar>
          </w:tcPr>
          <w:p>
            <w:pPr>
              <w:pStyle w:val="TableContents"/>
              <w:jc w:val="center"/>
              <w:rPr/>
            </w:pPr>
            <w:r>
              <w:rPr>
                <w:b/>
                <w:bCs/>
                <w:sz w:val="28"/>
                <w:szCs w:val="28"/>
              </w:rPr>
              <w:t>STRENGTHS</w:t>
            </w:r>
          </w:p>
          <w:p>
            <w:pPr>
              <w:pStyle w:val="TableContents"/>
              <w:numPr>
                <w:ilvl w:val="0"/>
                <w:numId w:val="1"/>
              </w:numPr>
              <w:spacing w:lineRule="auto" w:line="240"/>
              <w:jc w:val="left"/>
              <w:rPr/>
            </w:pPr>
            <w:r>
              <w:rPr>
                <w:b w:val="false"/>
                <w:bCs w:val="false"/>
                <w:sz w:val="24"/>
                <w:szCs w:val="24"/>
              </w:rPr>
              <w:t>Natural Landscape, scenery and beaches</w:t>
            </w:r>
          </w:p>
          <w:p>
            <w:pPr>
              <w:pStyle w:val="TableContents"/>
              <w:numPr>
                <w:ilvl w:val="0"/>
                <w:numId w:val="1"/>
              </w:numPr>
              <w:spacing w:lineRule="auto" w:line="240"/>
              <w:jc w:val="left"/>
              <w:rPr/>
            </w:pPr>
            <w:r>
              <w:rPr>
                <w:b w:val="false"/>
                <w:bCs w:val="false"/>
                <w:sz w:val="24"/>
                <w:szCs w:val="24"/>
              </w:rPr>
              <w:t>Gower known as Britain’s first Area of Outstanding Natural Beauty</w:t>
            </w:r>
          </w:p>
          <w:p>
            <w:pPr>
              <w:pStyle w:val="TableContents"/>
              <w:numPr>
                <w:ilvl w:val="0"/>
                <w:numId w:val="1"/>
              </w:numPr>
              <w:spacing w:lineRule="auto" w:line="240"/>
              <w:jc w:val="left"/>
              <w:rPr/>
            </w:pPr>
            <w:r>
              <w:rPr>
                <w:b w:val="false"/>
                <w:bCs w:val="false"/>
                <w:sz w:val="24"/>
                <w:szCs w:val="24"/>
              </w:rPr>
              <w:t>Development of Swansea Marina</w:t>
            </w:r>
          </w:p>
          <w:p>
            <w:pPr>
              <w:pStyle w:val="TableContents"/>
              <w:numPr>
                <w:ilvl w:val="0"/>
                <w:numId w:val="1"/>
              </w:numPr>
              <w:spacing w:lineRule="auto" w:line="240"/>
              <w:jc w:val="left"/>
              <w:rPr/>
            </w:pPr>
            <w:r>
              <w:rPr>
                <w:b w:val="false"/>
                <w:bCs w:val="false"/>
                <w:sz w:val="24"/>
                <w:szCs w:val="24"/>
              </w:rPr>
              <w:t xml:space="preserve">Uniqueness of city, coast and countryside location. </w:t>
            </w:r>
          </w:p>
          <w:p>
            <w:pPr>
              <w:pStyle w:val="TableContents"/>
              <w:numPr>
                <w:ilvl w:val="0"/>
                <w:numId w:val="1"/>
              </w:numPr>
              <w:spacing w:lineRule="auto" w:line="240"/>
              <w:jc w:val="left"/>
              <w:rPr/>
            </w:pPr>
            <w:r>
              <w:rPr>
                <w:b w:val="false"/>
                <w:bCs w:val="false"/>
                <w:sz w:val="24"/>
                <w:szCs w:val="24"/>
              </w:rPr>
              <w:t>Signing of Swansea Bay city deal boosts local economy by £1.3b</w:t>
            </w:r>
          </w:p>
          <w:p>
            <w:pPr>
              <w:pStyle w:val="TableContents"/>
              <w:numPr>
                <w:ilvl w:val="0"/>
                <w:numId w:val="1"/>
              </w:numPr>
              <w:spacing w:lineRule="auto" w:line="240"/>
              <w:jc w:val="left"/>
              <w:rPr/>
            </w:pPr>
            <w:r>
              <w:rPr>
                <w:b w:val="false"/>
                <w:bCs w:val="false"/>
                <w:sz w:val="24"/>
                <w:szCs w:val="24"/>
              </w:rPr>
              <w:t>Welcome and friendliness of locals</w:t>
            </w:r>
          </w:p>
          <w:p>
            <w:pPr>
              <w:pStyle w:val="TableContents"/>
              <w:numPr>
                <w:ilvl w:val="0"/>
                <w:numId w:val="1"/>
              </w:numPr>
              <w:spacing w:lineRule="auto" w:line="240" w:before="0" w:after="160"/>
              <w:jc w:val="left"/>
              <w:rPr/>
            </w:pPr>
            <w:r>
              <w:rPr>
                <w:b w:val="false"/>
                <w:bCs w:val="false"/>
                <w:sz w:val="24"/>
                <w:szCs w:val="24"/>
              </w:rPr>
              <w:t>Cycle path</w:t>
            </w:r>
          </w:p>
          <w:p>
            <w:pPr>
              <w:pStyle w:val="TableContents"/>
              <w:numPr>
                <w:ilvl w:val="0"/>
                <w:numId w:val="1"/>
              </w:numPr>
              <w:spacing w:lineRule="auto" w:line="240" w:before="0" w:after="160"/>
              <w:jc w:val="left"/>
              <w:rPr/>
            </w:pPr>
            <w:r>
              <w:rPr>
                <w:b w:val="false"/>
                <w:bCs w:val="false"/>
                <w:sz w:val="24"/>
                <w:szCs w:val="24"/>
              </w:rPr>
              <w:t>Area becoming popular for endurance and multi-sport events</w:t>
            </w:r>
          </w:p>
        </w:tc>
        <w:tc>
          <w:tcPr>
            <w:tcW w:w="451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5" w:type="dxa"/>
            </w:tcMar>
          </w:tcPr>
          <w:p>
            <w:pPr>
              <w:pStyle w:val="TableContents"/>
              <w:jc w:val="center"/>
              <w:rPr/>
            </w:pPr>
            <w:r>
              <w:rPr>
                <w:b/>
                <w:bCs/>
                <w:sz w:val="28"/>
                <w:szCs w:val="28"/>
              </w:rPr>
              <w:t>WEAKNESSES</w:t>
            </w:r>
          </w:p>
          <w:p>
            <w:pPr>
              <w:pStyle w:val="TableContents"/>
              <w:numPr>
                <w:ilvl w:val="0"/>
                <w:numId w:val="8"/>
              </w:numPr>
              <w:spacing w:lineRule="auto" w:line="240"/>
              <w:jc w:val="left"/>
              <w:rPr/>
            </w:pPr>
            <w:r>
              <w:rPr>
                <w:b w:val="false"/>
                <w:bCs w:val="false"/>
                <w:sz w:val="24"/>
                <w:szCs w:val="24"/>
              </w:rPr>
              <w:t>increased visitors could have a negative impact on the environment</w:t>
            </w:r>
          </w:p>
          <w:p>
            <w:pPr>
              <w:pStyle w:val="TableContents"/>
              <w:numPr>
                <w:ilvl w:val="0"/>
                <w:numId w:val="2"/>
              </w:numPr>
              <w:spacing w:lineRule="auto" w:line="240"/>
              <w:jc w:val="left"/>
              <w:rPr/>
            </w:pPr>
            <w:r>
              <w:rPr>
                <w:b w:val="false"/>
                <w:bCs w:val="false"/>
                <w:sz w:val="24"/>
                <w:szCs w:val="24"/>
              </w:rPr>
              <w:t>Negative perception of Swansea</w:t>
            </w:r>
          </w:p>
          <w:p>
            <w:pPr>
              <w:pStyle w:val="TableContents"/>
              <w:numPr>
                <w:ilvl w:val="0"/>
                <w:numId w:val="2"/>
              </w:numPr>
              <w:spacing w:lineRule="auto" w:line="240"/>
              <w:jc w:val="left"/>
              <w:rPr/>
            </w:pPr>
            <w:r>
              <w:rPr>
                <w:b w:val="false"/>
                <w:bCs w:val="false"/>
                <w:sz w:val="24"/>
                <w:szCs w:val="24"/>
              </w:rPr>
              <w:t>Cleanliness of streets and local facilities make it unappealing</w:t>
            </w:r>
          </w:p>
          <w:p>
            <w:pPr>
              <w:pStyle w:val="TableContents"/>
              <w:numPr>
                <w:ilvl w:val="0"/>
                <w:numId w:val="2"/>
              </w:numPr>
              <w:spacing w:lineRule="auto" w:line="240"/>
              <w:jc w:val="left"/>
              <w:rPr/>
            </w:pPr>
            <w:r>
              <w:rPr>
                <w:b w:val="false"/>
                <w:bCs w:val="false"/>
                <w:sz w:val="24"/>
                <w:szCs w:val="24"/>
              </w:rPr>
              <w:t>Closure of many high street shops</w:t>
            </w:r>
          </w:p>
          <w:p>
            <w:pPr>
              <w:pStyle w:val="TableContents"/>
              <w:numPr>
                <w:ilvl w:val="0"/>
                <w:numId w:val="2"/>
              </w:numPr>
              <w:spacing w:lineRule="auto" w:line="240"/>
              <w:jc w:val="left"/>
              <w:rPr/>
            </w:pPr>
            <w:r>
              <w:rPr>
                <w:b w:val="false"/>
                <w:bCs w:val="false"/>
                <w:sz w:val="24"/>
                <w:szCs w:val="24"/>
              </w:rPr>
              <w:t>Lack of wet weather attractions</w:t>
            </w:r>
          </w:p>
          <w:p>
            <w:pPr>
              <w:pStyle w:val="TableContents"/>
              <w:numPr>
                <w:ilvl w:val="0"/>
                <w:numId w:val="2"/>
              </w:numPr>
              <w:spacing w:lineRule="auto" w:line="240"/>
              <w:jc w:val="left"/>
              <w:rPr/>
            </w:pPr>
            <w:r>
              <w:rPr>
                <w:b w:val="false"/>
                <w:bCs w:val="false"/>
                <w:sz w:val="24"/>
                <w:szCs w:val="24"/>
              </w:rPr>
              <w:t>Lack of public toilets</w:t>
            </w:r>
          </w:p>
          <w:p>
            <w:pPr>
              <w:pStyle w:val="TableContents"/>
              <w:numPr>
                <w:ilvl w:val="0"/>
                <w:numId w:val="2"/>
              </w:numPr>
              <w:spacing w:lineRule="auto" w:line="240"/>
              <w:jc w:val="left"/>
              <w:rPr/>
            </w:pPr>
            <w:r>
              <w:rPr>
                <w:b w:val="false"/>
                <w:bCs w:val="false"/>
                <w:sz w:val="24"/>
                <w:szCs w:val="24"/>
              </w:rPr>
              <w:t>Difficulty in parking and parking prices</w:t>
            </w:r>
          </w:p>
          <w:p>
            <w:pPr>
              <w:pStyle w:val="TableContents"/>
              <w:numPr>
                <w:ilvl w:val="0"/>
                <w:numId w:val="2"/>
              </w:numPr>
              <w:spacing w:lineRule="auto" w:line="240" w:before="0" w:after="160"/>
              <w:jc w:val="left"/>
              <w:rPr>
                <w:b w:val="false"/>
                <w:b w:val="false"/>
                <w:bCs w:val="false"/>
                <w:sz w:val="24"/>
                <w:szCs w:val="24"/>
              </w:rPr>
            </w:pPr>
            <w:r>
              <w:rPr>
                <w:b w:val="false"/>
                <w:bCs w:val="false"/>
                <w:sz w:val="24"/>
                <w:szCs w:val="24"/>
              </w:rPr>
              <w:t>Limited accommodation choices</w:t>
            </w:r>
          </w:p>
          <w:p>
            <w:pPr>
              <w:pStyle w:val="TableContents"/>
              <w:spacing w:lineRule="auto" w:line="240" w:before="0" w:after="160"/>
              <w:jc w:val="left"/>
              <w:rPr>
                <w:b w:val="false"/>
                <w:b w:val="false"/>
                <w:bCs w:val="false"/>
                <w:sz w:val="24"/>
                <w:szCs w:val="24"/>
              </w:rPr>
            </w:pPr>
            <w:r>
              <w:rPr>
                <w:b w:val="false"/>
                <w:bCs w:val="false"/>
                <w:sz w:val="24"/>
                <w:szCs w:val="24"/>
              </w:rPr>
            </w:r>
          </w:p>
        </w:tc>
      </w:tr>
      <w:tr>
        <w:trPr/>
        <w:tc>
          <w:tcPr>
            <w:tcW w:w="4513" w:type="dxa"/>
            <w:tcBorders>
              <w:top w:val="single" w:sz="2" w:space="0" w:color="000001"/>
              <w:left w:val="single" w:sz="2" w:space="0" w:color="000001"/>
              <w:bottom w:val="single" w:sz="2" w:space="0" w:color="000001"/>
              <w:insideH w:val="single" w:sz="2" w:space="0" w:color="000001"/>
            </w:tcBorders>
            <w:shd w:fill="auto" w:val="clear"/>
            <w:tcMar>
              <w:left w:w="45" w:type="dxa"/>
            </w:tcMar>
          </w:tcPr>
          <w:p>
            <w:pPr>
              <w:pStyle w:val="TableContents"/>
              <w:jc w:val="center"/>
              <w:rPr/>
            </w:pPr>
            <w:r>
              <w:rPr>
                <w:b/>
                <w:bCs/>
                <w:sz w:val="28"/>
                <w:szCs w:val="28"/>
              </w:rPr>
              <w:t>OPPORTUNITIES</w:t>
            </w:r>
          </w:p>
          <w:p>
            <w:pPr>
              <w:pStyle w:val="TableContents"/>
              <w:numPr>
                <w:ilvl w:val="0"/>
                <w:numId w:val="3"/>
              </w:numPr>
              <w:jc w:val="left"/>
              <w:rPr/>
            </w:pPr>
            <w:r>
              <w:rPr>
                <w:b w:val="false"/>
                <w:bCs w:val="false"/>
                <w:sz w:val="24"/>
                <w:szCs w:val="24"/>
              </w:rPr>
              <w:t>Create short break packages for ‘staycation’ holidaymakers</w:t>
            </w:r>
          </w:p>
          <w:p>
            <w:pPr>
              <w:pStyle w:val="TableContents"/>
              <w:numPr>
                <w:ilvl w:val="0"/>
                <w:numId w:val="3"/>
              </w:numPr>
              <w:jc w:val="left"/>
              <w:rPr/>
            </w:pPr>
            <w:r>
              <w:rPr>
                <w:b w:val="false"/>
                <w:bCs w:val="false"/>
                <w:sz w:val="24"/>
                <w:szCs w:val="24"/>
              </w:rPr>
              <w:t>Promote cultural/heritage/Industrial tourism</w:t>
            </w:r>
          </w:p>
          <w:p>
            <w:pPr>
              <w:pStyle w:val="TableContents"/>
              <w:numPr>
                <w:ilvl w:val="0"/>
                <w:numId w:val="3"/>
              </w:numPr>
              <w:jc w:val="left"/>
              <w:rPr/>
            </w:pPr>
            <w:r>
              <w:rPr>
                <w:b w:val="false"/>
                <w:bCs w:val="false"/>
                <w:sz w:val="24"/>
                <w:szCs w:val="24"/>
              </w:rPr>
              <w:t>Develop Golf packages due to increase in golf visitors</w:t>
            </w:r>
          </w:p>
          <w:p>
            <w:pPr>
              <w:pStyle w:val="TableContents"/>
              <w:numPr>
                <w:ilvl w:val="0"/>
                <w:numId w:val="3"/>
              </w:numPr>
              <w:jc w:val="left"/>
              <w:rPr/>
            </w:pPr>
            <w:r>
              <w:rPr>
                <w:b w:val="false"/>
                <w:bCs w:val="false"/>
                <w:sz w:val="24"/>
                <w:szCs w:val="24"/>
              </w:rPr>
              <w:t>Develop more accommodation options in the Gower</w:t>
            </w:r>
          </w:p>
          <w:p>
            <w:pPr>
              <w:pStyle w:val="TableContents"/>
              <w:numPr>
                <w:ilvl w:val="0"/>
                <w:numId w:val="3"/>
              </w:numPr>
              <w:jc w:val="left"/>
              <w:rPr/>
            </w:pPr>
            <w:r>
              <w:rPr>
                <w:b w:val="false"/>
                <w:bCs w:val="false"/>
                <w:sz w:val="24"/>
                <w:szCs w:val="24"/>
              </w:rPr>
              <w:t>Develop Walking tours</w:t>
            </w:r>
          </w:p>
          <w:p>
            <w:pPr>
              <w:pStyle w:val="TextBody"/>
              <w:numPr>
                <w:ilvl w:val="0"/>
                <w:numId w:val="3"/>
              </w:numPr>
              <w:spacing w:before="0" w:after="140"/>
              <w:rPr/>
            </w:pPr>
            <w:r>
              <w:rPr/>
              <w:t>Encourage more watersports and beach activities</w:t>
            </w:r>
          </w:p>
        </w:tc>
        <w:tc>
          <w:tcPr>
            <w:tcW w:w="451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5" w:type="dxa"/>
            </w:tcMar>
          </w:tcPr>
          <w:p>
            <w:pPr>
              <w:pStyle w:val="TableContents"/>
              <w:jc w:val="center"/>
              <w:rPr/>
            </w:pPr>
            <w:r>
              <w:rPr>
                <w:b/>
                <w:bCs/>
                <w:sz w:val="28"/>
                <w:szCs w:val="28"/>
              </w:rPr>
              <w:t>THREATS</w:t>
            </w:r>
          </w:p>
          <w:p>
            <w:pPr>
              <w:pStyle w:val="TableContents"/>
              <w:numPr>
                <w:ilvl w:val="0"/>
                <w:numId w:val="4"/>
              </w:numPr>
              <w:jc w:val="left"/>
              <w:rPr/>
            </w:pPr>
            <w:r>
              <w:rPr>
                <w:b w:val="false"/>
                <w:bCs w:val="false"/>
                <w:sz w:val="24"/>
                <w:szCs w:val="24"/>
              </w:rPr>
              <w:t>Changing weather patterns</w:t>
            </w:r>
          </w:p>
          <w:p>
            <w:pPr>
              <w:pStyle w:val="TableContents"/>
              <w:numPr>
                <w:ilvl w:val="0"/>
                <w:numId w:val="4"/>
              </w:numPr>
              <w:jc w:val="left"/>
              <w:rPr/>
            </w:pPr>
            <w:r>
              <w:rPr>
                <w:b w:val="false"/>
                <w:bCs w:val="false"/>
                <w:sz w:val="24"/>
                <w:szCs w:val="24"/>
              </w:rPr>
              <w:t>Budget cuts in local councils</w:t>
            </w:r>
          </w:p>
          <w:p>
            <w:pPr>
              <w:pStyle w:val="TableContents"/>
              <w:numPr>
                <w:ilvl w:val="0"/>
                <w:numId w:val="4"/>
              </w:numPr>
              <w:jc w:val="left"/>
              <w:rPr/>
            </w:pPr>
            <w:r>
              <w:rPr>
                <w:b w:val="false"/>
                <w:bCs w:val="false"/>
                <w:sz w:val="24"/>
                <w:szCs w:val="24"/>
              </w:rPr>
              <w:t>Closure of many high street shops make the city look unattractive</w:t>
            </w:r>
          </w:p>
          <w:p>
            <w:pPr>
              <w:pStyle w:val="TableContents"/>
              <w:numPr>
                <w:ilvl w:val="0"/>
                <w:numId w:val="4"/>
              </w:numPr>
              <w:jc w:val="left"/>
              <w:rPr/>
            </w:pPr>
            <w:r>
              <w:rPr>
                <w:b w:val="false"/>
                <w:bCs w:val="false"/>
                <w:sz w:val="24"/>
                <w:szCs w:val="24"/>
              </w:rPr>
              <w:t xml:space="preserve">Negative attitude of local people do not give potential visitors a good impression. </w:t>
            </w:r>
          </w:p>
          <w:p>
            <w:pPr>
              <w:pStyle w:val="TableContents"/>
              <w:numPr>
                <w:ilvl w:val="0"/>
                <w:numId w:val="0"/>
              </w:numPr>
              <w:spacing w:before="0" w:after="160"/>
              <w:ind w:left="720" w:hanging="0"/>
              <w:jc w:val="left"/>
              <w:rPr>
                <w:b w:val="false"/>
                <w:b w:val="false"/>
                <w:bCs w:val="false"/>
                <w:sz w:val="24"/>
                <w:szCs w:val="24"/>
              </w:rPr>
            </w:pPr>
            <w:r>
              <w:rPr>
                <w:b w:val="false"/>
                <w:bCs w:val="false"/>
                <w:sz w:val="24"/>
                <w:szCs w:val="24"/>
              </w:rPr>
            </w:r>
          </w:p>
        </w:tc>
      </w:tr>
    </w:tbl>
    <w:p>
      <w:pPr>
        <w:pStyle w:val="Normal"/>
        <w:spacing w:lineRule="auto" w:line="360" w:before="114" w:after="114"/>
        <w:jc w:val="left"/>
        <w:rPr/>
      </w:pPr>
      <w:r>
        <w:rPr>
          <w:rFonts w:cs="Arial" w:ascii="Arial" w:hAnsi="Arial"/>
          <w:b/>
          <w:bCs/>
          <w:i/>
          <w:iCs/>
          <w:caps w:val="false"/>
          <w:smallCaps w:val="false"/>
          <w:color w:val="222222"/>
          <w:spacing w:val="0"/>
          <w:sz w:val="20"/>
          <w:szCs w:val="20"/>
          <w:u w:val="none"/>
        </w:rPr>
        <w:t>Appendix 1</w:t>
      </w:r>
    </w:p>
    <w:p>
      <w:pPr>
        <w:pStyle w:val="Normal"/>
        <w:spacing w:lineRule="auto" w:line="360" w:before="114" w:after="114"/>
        <w:jc w:val="left"/>
        <w:rPr>
          <w:rFonts w:ascii="Arial" w:hAnsi="Arial" w:cs="Arial"/>
          <w:b/>
          <w:b/>
          <w:bCs/>
          <w:i/>
          <w:i/>
          <w:iCs/>
          <w:caps w:val="false"/>
          <w:smallCaps w:val="false"/>
          <w:color w:val="222222"/>
          <w:spacing w:val="0"/>
          <w:sz w:val="20"/>
          <w:szCs w:val="20"/>
          <w:u w:val="none"/>
        </w:rPr>
      </w:pPr>
      <w:r>
        <w:rPr>
          <w:rFonts w:cs="Arial" w:ascii="Arial" w:hAnsi="Arial"/>
          <w:b/>
          <w:bCs/>
          <w:i/>
          <w:iCs/>
          <w:caps w:val="false"/>
          <w:smallCaps w:val="false"/>
          <w:color w:val="222222"/>
          <w:spacing w:val="0"/>
          <w:sz w:val="20"/>
          <w:szCs w:val="20"/>
          <w:u w:val="none"/>
        </w:rPr>
      </w:r>
    </w:p>
    <w:p>
      <w:pPr>
        <w:pStyle w:val="Normal"/>
        <w:spacing w:lineRule="auto" w:line="360" w:before="114" w:after="114"/>
        <w:jc w:val="left"/>
        <w:rPr>
          <w:rFonts w:ascii="Arial" w:hAnsi="Arial" w:cs="Arial"/>
          <w:b w:val="false"/>
          <w:b w:val="false"/>
          <w:bCs w:val="false"/>
          <w:i w:val="false"/>
          <w:i w:val="false"/>
          <w:caps w:val="false"/>
          <w:smallCaps w:val="false"/>
          <w:color w:val="222222"/>
          <w:spacing w:val="0"/>
          <w:sz w:val="24"/>
          <w:szCs w:val="24"/>
          <w:u w:val="none"/>
        </w:rPr>
      </w:pPr>
      <w:r>
        <w:rPr>
          <w:rFonts w:cs="Arial" w:ascii="Arial" w:hAnsi="Arial"/>
          <w:b w:val="false"/>
          <w:bCs w:val="false"/>
          <w:i w:val="false"/>
          <w:caps w:val="false"/>
          <w:smallCaps w:val="false"/>
          <w:color w:val="222222"/>
          <w:spacing w:val="0"/>
          <w:sz w:val="24"/>
          <w:szCs w:val="24"/>
          <w:u w:val="none"/>
        </w:rPr>
      </w:r>
    </w:p>
    <w:p>
      <w:pPr>
        <w:pStyle w:val="Normal"/>
        <w:spacing w:lineRule="auto" w:line="360" w:before="114" w:after="114"/>
        <w:jc w:val="left"/>
        <w:rPr/>
      </w:pPr>
      <w:r>
        <w:rPr>
          <w:rFonts w:cs="Arial" w:ascii="Arial" w:hAnsi="Arial"/>
          <w:b/>
          <w:bCs/>
          <w:i w:val="false"/>
          <w:caps w:val="false"/>
          <w:smallCaps w:val="false"/>
          <w:color w:val="222222"/>
          <w:spacing w:val="0"/>
          <w:sz w:val="28"/>
          <w:szCs w:val="28"/>
          <w:u w:val="none"/>
        </w:rPr>
        <w:t>PEST Analysis</w:t>
      </w:r>
    </w:p>
    <w:tbl>
      <w:tblPr>
        <w:tblW w:w="9026" w:type="dxa"/>
        <w:jc w:val="left"/>
        <w:tblInd w:w="47" w:type="dxa"/>
        <w:tblBorders>
          <w:top w:val="single" w:sz="2" w:space="0" w:color="000001"/>
          <w:left w:val="single" w:sz="2" w:space="0" w:color="000001"/>
          <w:bottom w:val="single" w:sz="2" w:space="0" w:color="000001"/>
          <w:insideH w:val="single" w:sz="2" w:space="0" w:color="000001"/>
        </w:tblBorders>
        <w:tblCellMar>
          <w:top w:w="55" w:type="dxa"/>
          <w:left w:w="45" w:type="dxa"/>
          <w:bottom w:w="55" w:type="dxa"/>
          <w:right w:w="55" w:type="dxa"/>
        </w:tblCellMar>
      </w:tblPr>
      <w:tblGrid>
        <w:gridCol w:w="4513"/>
        <w:gridCol w:w="4512"/>
      </w:tblGrid>
      <w:tr>
        <w:trPr/>
        <w:tc>
          <w:tcPr>
            <w:tcW w:w="4513" w:type="dxa"/>
            <w:tcBorders>
              <w:top w:val="single" w:sz="2" w:space="0" w:color="000001"/>
              <w:left w:val="single" w:sz="2" w:space="0" w:color="000001"/>
              <w:bottom w:val="single" w:sz="2" w:space="0" w:color="000001"/>
              <w:insideH w:val="single" w:sz="2" w:space="0" w:color="000001"/>
            </w:tcBorders>
            <w:shd w:fill="auto" w:val="clear"/>
            <w:tcMar>
              <w:left w:w="45" w:type="dxa"/>
            </w:tcMar>
          </w:tcPr>
          <w:p>
            <w:pPr>
              <w:pStyle w:val="TableContents"/>
              <w:jc w:val="center"/>
              <w:rPr/>
            </w:pPr>
            <w:r>
              <w:rPr>
                <w:b/>
                <w:bCs/>
                <w:sz w:val="28"/>
                <w:szCs w:val="28"/>
              </w:rPr>
              <w:t>POLITICAL</w:t>
            </w:r>
          </w:p>
          <w:p>
            <w:pPr>
              <w:pStyle w:val="TableContents"/>
              <w:numPr>
                <w:ilvl w:val="0"/>
                <w:numId w:val="1"/>
              </w:numPr>
              <w:spacing w:lineRule="auto" w:line="240"/>
              <w:jc w:val="left"/>
              <w:rPr/>
            </w:pPr>
            <w:r>
              <w:rPr>
                <w:b w:val="false"/>
                <w:bCs w:val="false"/>
                <w:sz w:val="24"/>
                <w:szCs w:val="24"/>
              </w:rPr>
              <w:t>Knock-on effects from BREXIT creates uncertainty and potentially affects visitors to an area.</w:t>
            </w:r>
          </w:p>
          <w:p>
            <w:pPr>
              <w:pStyle w:val="TableContents"/>
              <w:numPr>
                <w:ilvl w:val="0"/>
                <w:numId w:val="0"/>
              </w:numPr>
              <w:spacing w:lineRule="auto" w:line="240" w:before="0" w:after="160"/>
              <w:ind w:left="720" w:hanging="0"/>
              <w:jc w:val="left"/>
              <w:rPr>
                <w:b w:val="false"/>
                <w:b w:val="false"/>
                <w:bCs w:val="false"/>
                <w:sz w:val="24"/>
                <w:szCs w:val="24"/>
              </w:rPr>
            </w:pPr>
            <w:r>
              <w:rPr>
                <w:b w:val="false"/>
                <w:bCs w:val="false"/>
                <w:sz w:val="24"/>
                <w:szCs w:val="24"/>
              </w:rPr>
            </w:r>
          </w:p>
        </w:tc>
        <w:tc>
          <w:tcPr>
            <w:tcW w:w="451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5" w:type="dxa"/>
            </w:tcMar>
          </w:tcPr>
          <w:p>
            <w:pPr>
              <w:pStyle w:val="TableContents"/>
              <w:jc w:val="center"/>
              <w:rPr/>
            </w:pPr>
            <w:r>
              <w:rPr>
                <w:b/>
                <w:bCs/>
                <w:sz w:val="28"/>
                <w:szCs w:val="28"/>
              </w:rPr>
              <w:t>ECONOMIC</w:t>
            </w:r>
          </w:p>
          <w:p>
            <w:pPr>
              <w:pStyle w:val="TableContents"/>
              <w:numPr>
                <w:ilvl w:val="0"/>
                <w:numId w:val="2"/>
              </w:numPr>
              <w:spacing w:lineRule="auto" w:line="240"/>
              <w:jc w:val="left"/>
              <w:rPr>
                <w:b w:val="false"/>
                <w:b w:val="false"/>
                <w:bCs w:val="false"/>
                <w:sz w:val="24"/>
                <w:szCs w:val="24"/>
              </w:rPr>
            </w:pPr>
            <w:r>
              <w:rPr>
                <w:b w:val="false"/>
                <w:bCs w:val="false"/>
                <w:sz w:val="24"/>
                <w:szCs w:val="24"/>
              </w:rPr>
              <w:t>Unfavourable exchange rates following BREXIT.</w:t>
            </w:r>
          </w:p>
          <w:p>
            <w:pPr>
              <w:pStyle w:val="TableContents"/>
              <w:numPr>
                <w:ilvl w:val="0"/>
                <w:numId w:val="2"/>
              </w:numPr>
              <w:spacing w:lineRule="auto" w:line="240"/>
              <w:jc w:val="left"/>
              <w:rPr>
                <w:b w:val="false"/>
                <w:b w:val="false"/>
                <w:bCs w:val="false"/>
                <w:sz w:val="24"/>
                <w:szCs w:val="24"/>
              </w:rPr>
            </w:pPr>
            <w:r>
              <w:rPr>
                <w:b w:val="false"/>
                <w:bCs w:val="false"/>
                <w:sz w:val="24"/>
                <w:szCs w:val="24"/>
              </w:rPr>
              <w:t xml:space="preserve">Budget cuts in local council.  </w:t>
            </w:r>
          </w:p>
          <w:p>
            <w:pPr>
              <w:pStyle w:val="TableContents"/>
              <w:numPr>
                <w:ilvl w:val="0"/>
                <w:numId w:val="2"/>
              </w:numPr>
              <w:spacing w:lineRule="auto" w:line="240"/>
              <w:jc w:val="left"/>
              <w:rPr>
                <w:b w:val="false"/>
                <w:b w:val="false"/>
                <w:bCs w:val="false"/>
                <w:sz w:val="24"/>
                <w:szCs w:val="24"/>
              </w:rPr>
            </w:pPr>
            <w:r>
              <w:rPr>
                <w:b w:val="false"/>
                <w:bCs w:val="false"/>
                <w:sz w:val="24"/>
                <w:szCs w:val="24"/>
              </w:rPr>
              <w:t>Increase in cost of living means less disposable income.</w:t>
            </w:r>
          </w:p>
          <w:p>
            <w:pPr>
              <w:pStyle w:val="TableContents"/>
              <w:numPr>
                <w:ilvl w:val="0"/>
                <w:numId w:val="2"/>
              </w:numPr>
              <w:spacing w:lineRule="auto" w:line="240" w:before="0" w:after="160"/>
              <w:jc w:val="left"/>
              <w:rPr>
                <w:b w:val="false"/>
                <w:b w:val="false"/>
                <w:bCs w:val="false"/>
                <w:sz w:val="24"/>
                <w:szCs w:val="24"/>
              </w:rPr>
            </w:pPr>
            <w:r>
              <w:rPr>
                <w:b w:val="false"/>
                <w:bCs w:val="false"/>
                <w:sz w:val="24"/>
                <w:szCs w:val="24"/>
              </w:rPr>
            </w:r>
          </w:p>
        </w:tc>
      </w:tr>
      <w:tr>
        <w:trPr/>
        <w:tc>
          <w:tcPr>
            <w:tcW w:w="4513" w:type="dxa"/>
            <w:tcBorders>
              <w:top w:val="single" w:sz="2" w:space="0" w:color="000001"/>
              <w:left w:val="single" w:sz="2" w:space="0" w:color="000001"/>
              <w:bottom w:val="single" w:sz="2" w:space="0" w:color="000001"/>
              <w:insideH w:val="single" w:sz="2" w:space="0" w:color="000001"/>
            </w:tcBorders>
            <w:shd w:fill="auto" w:val="clear"/>
            <w:tcMar>
              <w:left w:w="45" w:type="dxa"/>
            </w:tcMar>
          </w:tcPr>
          <w:p>
            <w:pPr>
              <w:pStyle w:val="TableContents"/>
              <w:jc w:val="center"/>
              <w:rPr/>
            </w:pPr>
            <w:r>
              <w:rPr>
                <w:b/>
                <w:bCs/>
                <w:sz w:val="28"/>
                <w:szCs w:val="28"/>
              </w:rPr>
              <w:t>SOCIAL</w:t>
            </w:r>
          </w:p>
          <w:p>
            <w:pPr>
              <w:pStyle w:val="TableContents"/>
              <w:numPr>
                <w:ilvl w:val="0"/>
                <w:numId w:val="3"/>
              </w:numPr>
              <w:jc w:val="left"/>
              <w:rPr/>
            </w:pPr>
            <w:r>
              <w:rPr>
                <w:b w:val="false"/>
                <w:bCs w:val="false"/>
                <w:sz w:val="24"/>
                <w:szCs w:val="24"/>
              </w:rPr>
              <w:t>Promotes healthy living.</w:t>
            </w:r>
          </w:p>
          <w:p>
            <w:pPr>
              <w:pStyle w:val="TableContents"/>
              <w:numPr>
                <w:ilvl w:val="0"/>
                <w:numId w:val="3"/>
              </w:numPr>
              <w:jc w:val="left"/>
              <w:rPr/>
            </w:pPr>
            <w:r>
              <w:rPr>
                <w:b w:val="false"/>
                <w:bCs w:val="false"/>
                <w:sz w:val="24"/>
                <w:szCs w:val="24"/>
              </w:rPr>
              <w:t>Promotes social concerns towards the environment.</w:t>
            </w:r>
          </w:p>
          <w:p>
            <w:pPr>
              <w:pStyle w:val="TableContents"/>
              <w:numPr>
                <w:ilvl w:val="0"/>
                <w:numId w:val="3"/>
              </w:numPr>
              <w:jc w:val="left"/>
              <w:rPr/>
            </w:pPr>
            <w:r>
              <w:rPr>
                <w:b w:val="false"/>
                <w:bCs w:val="false"/>
                <w:sz w:val="24"/>
                <w:szCs w:val="24"/>
              </w:rPr>
              <w:t>Environmental awareness.</w:t>
            </w:r>
          </w:p>
          <w:p>
            <w:pPr>
              <w:pStyle w:val="TableContents"/>
              <w:numPr>
                <w:ilvl w:val="0"/>
                <w:numId w:val="3"/>
              </w:numPr>
              <w:spacing w:before="0" w:after="160"/>
              <w:jc w:val="left"/>
              <w:rPr>
                <w:b w:val="false"/>
                <w:b w:val="false"/>
                <w:bCs w:val="false"/>
                <w:sz w:val="24"/>
                <w:szCs w:val="24"/>
              </w:rPr>
            </w:pPr>
            <w:r>
              <w:rPr>
                <w:b w:val="false"/>
                <w:bCs w:val="false"/>
                <w:sz w:val="24"/>
                <w:szCs w:val="24"/>
              </w:rPr>
            </w:r>
          </w:p>
        </w:tc>
        <w:tc>
          <w:tcPr>
            <w:tcW w:w="451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5" w:type="dxa"/>
            </w:tcMar>
          </w:tcPr>
          <w:p>
            <w:pPr>
              <w:pStyle w:val="TableContents"/>
              <w:jc w:val="center"/>
              <w:rPr/>
            </w:pPr>
            <w:r>
              <w:rPr>
                <w:b/>
                <w:bCs/>
                <w:sz w:val="28"/>
                <w:szCs w:val="28"/>
              </w:rPr>
              <w:t>TECHNOLOGICAL</w:t>
            </w:r>
          </w:p>
          <w:p>
            <w:pPr>
              <w:pStyle w:val="TableContents"/>
              <w:numPr>
                <w:ilvl w:val="0"/>
                <w:numId w:val="4"/>
              </w:numPr>
              <w:jc w:val="left"/>
              <w:rPr>
                <w:b w:val="false"/>
                <w:b w:val="false"/>
                <w:bCs w:val="false"/>
                <w:sz w:val="24"/>
                <w:szCs w:val="24"/>
              </w:rPr>
            </w:pPr>
            <w:r>
              <w:rPr>
                <w:b w:val="false"/>
                <w:bCs w:val="false"/>
                <w:sz w:val="24"/>
                <w:szCs w:val="24"/>
              </w:rPr>
              <w:t>Web and social networking channels not always favoured by older demographic.</w:t>
            </w:r>
          </w:p>
          <w:p>
            <w:pPr>
              <w:pStyle w:val="TableContents"/>
              <w:numPr>
                <w:ilvl w:val="0"/>
                <w:numId w:val="4"/>
              </w:numPr>
              <w:jc w:val="left"/>
              <w:rPr>
                <w:b w:val="false"/>
                <w:b w:val="false"/>
                <w:bCs w:val="false"/>
                <w:sz w:val="24"/>
                <w:szCs w:val="24"/>
              </w:rPr>
            </w:pPr>
            <w:r>
              <w:rPr>
                <w:b w:val="false"/>
                <w:bCs w:val="false"/>
                <w:sz w:val="24"/>
                <w:szCs w:val="24"/>
              </w:rPr>
              <w:t>Convenience of making enquiries and bookings online.</w:t>
            </w:r>
          </w:p>
          <w:p>
            <w:pPr>
              <w:pStyle w:val="TableContents"/>
              <w:numPr>
                <w:ilvl w:val="0"/>
                <w:numId w:val="4"/>
              </w:numPr>
              <w:spacing w:before="0" w:after="160"/>
              <w:jc w:val="left"/>
              <w:rPr>
                <w:b w:val="false"/>
                <w:b w:val="false"/>
                <w:bCs w:val="false"/>
                <w:sz w:val="24"/>
                <w:szCs w:val="24"/>
              </w:rPr>
            </w:pPr>
            <w:r>
              <w:rPr>
                <w:b w:val="false"/>
                <w:bCs w:val="false"/>
                <w:sz w:val="24"/>
                <w:szCs w:val="24"/>
              </w:rPr>
            </w:r>
          </w:p>
        </w:tc>
      </w:tr>
    </w:tbl>
    <w:p>
      <w:pPr>
        <w:pStyle w:val="Normal"/>
        <w:spacing w:lineRule="auto" w:line="360" w:before="114" w:after="114"/>
        <w:jc w:val="left"/>
        <w:rPr/>
      </w:pPr>
      <w:r>
        <w:rPr>
          <w:rFonts w:cs="Arial" w:ascii="Arial" w:hAnsi="Arial"/>
          <w:b/>
          <w:bCs/>
          <w:i/>
          <w:iCs/>
          <w:caps w:val="false"/>
          <w:smallCaps w:val="false"/>
          <w:color w:val="222222"/>
          <w:spacing w:val="0"/>
          <w:sz w:val="20"/>
          <w:szCs w:val="20"/>
          <w:u w:val="none"/>
        </w:rPr>
        <w:t>Appendix 2</w:t>
      </w:r>
    </w:p>
    <w:p>
      <w:pPr>
        <w:pStyle w:val="Normal"/>
        <w:spacing w:lineRule="auto" w:line="360" w:before="114" w:after="114"/>
        <w:jc w:val="left"/>
        <w:rPr>
          <w:rFonts w:ascii="Arial" w:hAnsi="Arial" w:cs="Arial"/>
          <w:b/>
          <w:b/>
          <w:bCs/>
          <w:i/>
          <w:i/>
          <w:iCs/>
          <w:caps w:val="false"/>
          <w:smallCaps w:val="false"/>
          <w:color w:val="222222"/>
          <w:spacing w:val="0"/>
          <w:sz w:val="20"/>
          <w:szCs w:val="20"/>
          <w:u w:val="none"/>
        </w:rPr>
      </w:pPr>
      <w:r>
        <w:rPr>
          <w:rFonts w:cs="Arial" w:ascii="Arial" w:hAnsi="Arial"/>
          <w:b/>
          <w:bCs/>
          <w:i/>
          <w:iCs/>
          <w:caps w:val="false"/>
          <w:smallCaps w:val="false"/>
          <w:color w:val="222222"/>
          <w:spacing w:val="0"/>
          <w:sz w:val="20"/>
          <w:szCs w:val="20"/>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b/>
          <w:bCs/>
          <w:sz w:val="28"/>
          <w:szCs w:val="28"/>
          <w:u w:val="none"/>
        </w:rPr>
      </w:pPr>
      <w:r>
        <w:rPr>
          <w:rFonts w:cs="Arial" w:ascii="Arial" w:hAnsi="Arial"/>
          <w:b/>
          <w:bCs/>
          <w:sz w:val="28"/>
          <w:szCs w:val="28"/>
          <w:u w:val="none"/>
        </w:rPr>
      </w:r>
    </w:p>
    <w:p>
      <w:pPr>
        <w:pStyle w:val="Normal"/>
        <w:spacing w:before="114" w:after="114"/>
        <w:jc w:val="left"/>
        <w:rPr>
          <w:rFonts w:ascii="Arial" w:hAnsi="Arial" w:cs="Arial"/>
          <w:b w:val="false"/>
          <w:b w:val="false"/>
          <w:bCs w:val="false"/>
          <w:i w:val="false"/>
          <w:i w:val="false"/>
          <w:iCs w:val="false"/>
          <w:sz w:val="24"/>
          <w:szCs w:val="24"/>
          <w:u w:val="none"/>
        </w:rPr>
      </w:pPr>
      <w:r>
        <w:rPr>
          <w:rFonts w:cs="Arial" w:ascii="Arial" w:hAnsi="Arial"/>
          <w:b w:val="false"/>
          <w:bCs w:val="false"/>
          <w:i w:val="false"/>
          <w:iCs w:val="false"/>
          <w:sz w:val="24"/>
          <w:szCs w:val="24"/>
          <w:u w:val="none"/>
        </w:rPr>
      </w:r>
    </w:p>
    <w:p>
      <w:pPr>
        <w:pStyle w:val="Normal"/>
        <w:spacing w:before="114" w:after="114"/>
        <w:jc w:val="left"/>
        <w:rPr>
          <w:rFonts w:ascii="Arial" w:hAnsi="Arial" w:cs="Arial"/>
          <w:b/>
          <w:b/>
          <w:bCs/>
          <w:i w:val="false"/>
          <w:i w:val="false"/>
          <w:iCs w:val="false"/>
          <w:sz w:val="28"/>
          <w:szCs w:val="28"/>
          <w:u w:val="none"/>
        </w:rPr>
      </w:pPr>
      <w:r>
        <w:rPr>
          <w:rFonts w:cs="Arial" w:ascii="Arial" w:hAnsi="Arial"/>
          <w:b/>
          <w:bCs/>
          <w:i w:val="false"/>
          <w:iCs w:val="false"/>
          <w:sz w:val="28"/>
          <w:szCs w:val="28"/>
          <w:u w:val="none"/>
        </w:rPr>
      </w:r>
    </w:p>
    <w:p>
      <w:pPr>
        <w:pStyle w:val="Normal"/>
        <w:spacing w:before="114" w:after="114"/>
        <w:jc w:val="left"/>
        <w:rPr>
          <w:rFonts w:ascii="Arial" w:hAnsi="Arial" w:cs="Arial"/>
          <w:b/>
          <w:b/>
          <w:bCs/>
          <w:i w:val="false"/>
          <w:i w:val="false"/>
          <w:iCs w:val="false"/>
          <w:sz w:val="28"/>
          <w:szCs w:val="28"/>
          <w:u w:val="none"/>
        </w:rPr>
      </w:pPr>
      <w:r>
        <w:rPr>
          <w:rFonts w:cs="Arial" w:ascii="Arial" w:hAnsi="Arial"/>
          <w:b/>
          <w:bCs/>
          <w:i w:val="false"/>
          <w:iCs w:val="false"/>
          <w:sz w:val="28"/>
          <w:szCs w:val="28"/>
          <w:u w:val="none"/>
        </w:rPr>
      </w:r>
    </w:p>
    <w:p>
      <w:pPr>
        <w:pStyle w:val="Normal"/>
        <w:spacing w:before="114" w:after="114"/>
        <w:jc w:val="left"/>
        <w:rPr>
          <w:rFonts w:ascii="Arial" w:hAnsi="Arial" w:cs="Arial"/>
          <w:b/>
          <w:b/>
          <w:bCs/>
          <w:i w:val="false"/>
          <w:i w:val="false"/>
          <w:iCs w:val="false"/>
          <w:sz w:val="28"/>
          <w:szCs w:val="28"/>
          <w:u w:val="none"/>
        </w:rPr>
      </w:pPr>
      <w:r>
        <w:rPr>
          <w:rFonts w:cs="Arial" w:ascii="Arial" w:hAnsi="Arial"/>
          <w:b/>
          <w:bCs/>
          <w:i w:val="false"/>
          <w:iCs w:val="false"/>
          <w:sz w:val="28"/>
          <w:szCs w:val="28"/>
          <w:u w:val="none"/>
        </w:rPr>
      </w:r>
    </w:p>
    <w:p>
      <w:pPr>
        <w:pStyle w:val="TextBody"/>
        <w:spacing w:before="114" w:after="114"/>
        <w:jc w:val="left"/>
        <w:rPr>
          <w:rFonts w:ascii="Arial" w:hAnsi="Arial" w:cs="Arial"/>
          <w:b/>
          <w:b/>
          <w:bCs/>
          <w:i w:val="false"/>
          <w:i w:val="false"/>
          <w:iCs w:val="false"/>
          <w:sz w:val="24"/>
          <w:szCs w:val="24"/>
          <w:u w:val="none"/>
        </w:rPr>
      </w:pPr>
      <w:r>
        <w:rPr/>
      </w:r>
    </w:p>
    <w:p>
      <w:pPr>
        <w:pStyle w:val="TextBody"/>
        <w:spacing w:before="114" w:after="114"/>
        <w:jc w:val="left"/>
        <w:rPr>
          <w:rFonts w:ascii="Arial" w:hAnsi="Arial" w:cs="Arial"/>
          <w:b w:val="false"/>
          <w:b w:val="false"/>
          <w:bCs w:val="false"/>
          <w:i w:val="false"/>
          <w:i w:val="false"/>
          <w:iCs w:val="false"/>
          <w:color w:val="737373"/>
          <w:sz w:val="24"/>
          <w:szCs w:val="24"/>
          <w:u w:val="none"/>
        </w:rPr>
      </w:pPr>
      <w:r>
        <w:rPr/>
      </w:r>
    </w:p>
    <w:p>
      <w:pPr>
        <w:pStyle w:val="TextBody"/>
        <w:spacing w:before="114" w:after="114"/>
        <w:jc w:val="left"/>
        <w:rPr>
          <w:rFonts w:ascii="Calibri;Helvetica;sans-serif;EmojiFont;Apple Color Emoji;Segoe UI Emoji;NotoColorEmoji;Segoe UI Symbol;Android Emoji;EmojiSymbols" w:hAnsi="Calibri;Helvetica;sans-serif;EmojiFont;Apple Color Emoji;Segoe UI Emoji;NotoColorEmoji;Segoe UI Symbol;Android Emoji;EmojiSymbols"/>
          <w:b/>
          <w:i w:val="false"/>
          <w:caps w:val="false"/>
          <w:smallCaps w:val="false"/>
          <w:color w:val="000000"/>
          <w:spacing w:val="0"/>
          <w:sz w:val="24"/>
        </w:rPr>
      </w:pPr>
      <w:r>
        <w:rPr>
          <w:rFonts w:ascii="Calibri;Helvetica;sans-serif;EmojiFont;Apple Color Emoji;Segoe UI Emoji;NotoColorEmoji;Segoe UI Symbol;Android Emoji;EmojiSymbols" w:hAnsi="Calibri;Helvetica;sans-serif;EmojiFont;Apple Color Emoji;Segoe UI Emoji;NotoColorEmoji;Segoe UI Symbol;Android Emoji;EmojiSymbols"/>
          <w:b/>
          <w:i w:val="false"/>
          <w:caps w:val="false"/>
          <w:smallCaps w:val="false"/>
          <w:color w:val="000000"/>
          <w:spacing w:val="0"/>
          <w:sz w:val="24"/>
        </w:rPr>
        <w:t>PROPOSED TRAVEL ITINERARY: </w:t>
      </w:r>
    </w:p>
    <w:p>
      <w:pPr>
        <w:pStyle w:val="TextBody"/>
        <w:widowControl/>
        <w:spacing w:before="0" w:after="0"/>
        <w:ind w:left="0" w:right="0" w:hanging="0"/>
        <w:rPr>
          <w:b/>
        </w:rPr>
      </w:pPr>
      <w:r>
        <w:rPr>
          <w:b/>
        </w:rPr>
      </w:r>
    </w:p>
    <w:p>
      <w:pPr>
        <w:pStyle w:val="TextBody"/>
        <w:widowControl/>
        <w:spacing w:before="0" w:after="0"/>
        <w:ind w:left="0" w:right="0" w:hanging="0"/>
        <w:rPr>
          <w:rFonts w:ascii="Calibri;Helvetica;sans-serif;EmojiFont;Apple Color Emoji;Segoe UI Emoji;NotoColorEmoji;Segoe UI Symbol;Android Emoji;EmojiSymbols" w:hAnsi="Calibri;Helvetica;sans-serif;EmojiFont;Apple Color Emoji;Segoe UI Emoji;NotoColorEmoji;Segoe UI Symbol;Android Emoji;EmojiSymbols"/>
          <w:b/>
          <w:i w:val="false"/>
          <w:caps w:val="false"/>
          <w:smallCaps w:val="false"/>
          <w:color w:val="000000"/>
          <w:spacing w:val="0"/>
          <w:sz w:val="24"/>
        </w:rPr>
      </w:pPr>
      <w:r>
        <w:rPr>
          <w:rFonts w:ascii="Calibri;Helvetica;sans-serif;EmojiFont;Apple Color Emoji;Segoe UI Emoji;NotoColorEmoji;Segoe UI Symbol;Android Emoji;EmojiSymbols" w:hAnsi="Calibri;Helvetica;sans-serif;EmojiFont;Apple Color Emoji;Segoe UI Emoji;NotoColorEmoji;Segoe UI Symbol;Android Emoji;EmojiSymbols"/>
          <w:b/>
          <w:i w:val="false"/>
          <w:caps w:val="false"/>
          <w:smallCaps w:val="false"/>
          <w:color w:val="000000"/>
          <w:spacing w:val="0"/>
          <w:sz w:val="24"/>
        </w:rPr>
        <w:t>5 day itinerary for two couples aged 55+yrs visiting from Scotland. Both couples looking for a walking tour, one base accommodation and prefer self-catering.</w:t>
      </w:r>
    </w:p>
    <w:p>
      <w:pPr>
        <w:pStyle w:val="TextBody"/>
        <w:widowControl/>
        <w:spacing w:before="0" w:after="0"/>
        <w:ind w:left="0" w:right="0" w:hanging="0"/>
        <w:rPr/>
      </w:pPr>
      <w:r>
        <w:rPr/>
      </w:r>
    </w:p>
    <w:p>
      <w:pPr>
        <w:pStyle w:val="TextBody"/>
        <w:numPr>
          <w:ilvl w:val="0"/>
          <w:numId w:val="11"/>
        </w:numPr>
        <w:tabs>
          <w:tab w:val="left" w:pos="0" w:leader="none"/>
        </w:tabs>
        <w:spacing w:before="0" w:after="0"/>
        <w:ind w:left="707" w:right="0" w:hanging="283"/>
        <w:rPr/>
      </w:pPr>
      <w:r>
        <w:rPr/>
        <w:t xml:space="preserve">   ✈</w:t>
      </w:r>
      <w:r>
        <w:rPr/>
        <w:tab/>
      </w:r>
      <w:r>
        <w:rPr>
          <w:b/>
          <w:bCs/>
          <w:sz w:val="24"/>
        </w:rPr>
        <w:t>Fly from Edinburgh to Bristol</w:t>
      </w:r>
      <w:r>
        <w:rPr>
          <w:sz w:val="24"/>
        </w:rPr>
        <w:t xml:space="preserve"> airport with Easyjet.</w:t>
      </w:r>
    </w:p>
    <w:p>
      <w:pPr>
        <w:pStyle w:val="TextBody"/>
        <w:numPr>
          <w:ilvl w:val="0"/>
          <w:numId w:val="11"/>
        </w:numPr>
        <w:tabs>
          <w:tab w:val="left" w:pos="0" w:leader="none"/>
        </w:tabs>
        <w:spacing w:before="0" w:after="0"/>
        <w:ind w:left="707" w:hanging="283"/>
        <w:rPr/>
      </w:pPr>
      <w:r>
        <w:rPr/>
        <w:t xml:space="preserve">  🚗</w:t>
      </w:r>
      <w:r>
        <w:rPr/>
        <w:tab/>
      </w:r>
      <w:r>
        <w:rPr>
          <w:b/>
          <w:bCs/>
        </w:rPr>
        <w:t xml:space="preserve">Pick up hire car from Hertz Rental Cars. </w:t>
      </w:r>
      <w:r>
        <w:rPr/>
        <w:t>Drive from Bristol to Swansea.</w:t>
        <w:tab/>
      </w:r>
    </w:p>
    <w:p>
      <w:pPr>
        <w:pStyle w:val="TextBody"/>
        <w:numPr>
          <w:ilvl w:val="0"/>
          <w:numId w:val="11"/>
        </w:numPr>
        <w:tabs>
          <w:tab w:val="left" w:pos="0" w:leader="none"/>
        </w:tabs>
        <w:spacing w:before="0" w:after="0"/>
        <w:ind w:left="707" w:hanging="283"/>
        <w:rPr/>
      </w:pPr>
      <w:r>
        <w:rPr/>
        <w:t xml:space="preserve">  🏨</w:t>
      </w:r>
      <w:r>
        <w:rPr/>
        <w:tab/>
        <w:t xml:space="preserve">Arrival at </w:t>
      </w:r>
      <w:r>
        <w:rPr>
          <w:b/>
          <w:i/>
        </w:rPr>
        <w:t xml:space="preserve">Pilton Green Farmhouse, Pilton, Rhossili </w:t>
      </w:r>
      <w:r>
        <w:rPr/>
        <w:t xml:space="preserve">at approximately 4pm for 3 </w:t>
        <w:tab/>
        <w:tab/>
        <w:tab/>
        <w:t xml:space="preserve">nights. Rest and relaxation for the remainder of the afternoon/evening. Pickup </w:t>
        <w:tab/>
        <w:tab/>
        <w:tab/>
        <w:t xml:space="preserve">groceries en-route to accommodation as self-catering facilities.  Remember picnic </w:t>
        <w:tab/>
        <w:tab/>
        <w:t>items for walks.</w:t>
      </w:r>
    </w:p>
    <w:p>
      <w:pPr>
        <w:pStyle w:val="TextBody"/>
        <w:numPr>
          <w:ilvl w:val="0"/>
          <w:numId w:val="11"/>
        </w:numPr>
        <w:tabs>
          <w:tab w:val="left" w:pos="0" w:leader="none"/>
        </w:tabs>
        <w:spacing w:before="0" w:after="0"/>
        <w:ind w:left="707" w:hanging="283"/>
        <w:rPr/>
      </w:pPr>
      <w:r>
        <w:rPr/>
        <w:t xml:space="preserve">   🚶</w:t>
      </w:r>
      <w:r>
        <w:rPr/>
        <w:tab/>
      </w:r>
      <w:r>
        <w:rPr>
          <w:b/>
        </w:rPr>
        <w:t xml:space="preserve">Day 1: Walk Rhossili </w:t>
      </w:r>
      <w:r>
        <w:rPr/>
        <w:t xml:space="preserve">- Drive down to Rhossili and park vehicle (fee payable).  Three </w:t>
        <w:tab/>
        <w:tab/>
        <w:t xml:space="preserve">walks to choose from or do all three. (1) Headland walk (2) Hillend and Beach Walk </w:t>
        <w:tab/>
        <w:tab/>
        <w:t>(3</w:t>
      </w:r>
      <w:r>
        <w:rPr/>
        <w:t>)</w:t>
      </w:r>
      <w:r>
        <w:rPr/>
        <w:t xml:space="preserve">Serpents, Seascape and shipwreck walk. Take a picnic lunch to enjoy along the </w:t>
        <w:tab/>
        <w:tab/>
        <w:t xml:space="preserve">way while you take in the stunning scenery. These walks will take the majority of </w:t>
        <w:tab/>
        <w:tab/>
        <w:t xml:space="preserve">your day. Return to the farmhouse late afternoon to rest and relax for the remainder </w:t>
        <w:tab/>
        <w:tab/>
        <w:t xml:space="preserve">of the evening. </w:t>
      </w:r>
    </w:p>
    <w:p>
      <w:pPr>
        <w:pStyle w:val="TextBody"/>
        <w:numPr>
          <w:ilvl w:val="0"/>
          <w:numId w:val="11"/>
        </w:numPr>
        <w:tabs>
          <w:tab w:val="left" w:pos="0" w:leader="none"/>
        </w:tabs>
        <w:spacing w:before="0" w:after="0"/>
        <w:ind w:left="707" w:hanging="283"/>
        <w:rPr/>
      </w:pPr>
      <w:r>
        <w:rPr/>
        <w:t xml:space="preserve">   🚶</w:t>
      </w:r>
      <w:r>
        <w:rPr/>
        <w:tab/>
      </w:r>
      <w:r>
        <w:rPr>
          <w:b/>
        </w:rPr>
        <w:t xml:space="preserve">Day 2:  Visit Oxwich, Three Cliffs and Caswell and Langlands Bay </w:t>
      </w:r>
      <w:r>
        <w:rPr/>
        <w:t xml:space="preserve">- Recommend that </w:t>
        <w:tab/>
        <w:tab/>
        <w:t xml:space="preserve">drive to Oxwich Bay to commence sightseeing in these areas. Possibly enjoy lunch at </w:t>
        <w:tab/>
        <w:tab/>
        <w:t xml:space="preserve">Langlands Bay.  Choice of two eating places. (1) Langland Brasserie which is more </w:t>
        <w:tab/>
        <w:tab/>
        <w:t xml:space="preserve">restaurant style eating or (2) Langland Seaside Cafe for more casual dining.  After </w:t>
        <w:tab/>
        <w:tab/>
        <w:t xml:space="preserve">lunch, take a walk along the coastal path from Langland Bay to Bracelet Bay enjoying </w:t>
        <w:tab/>
        <w:tab/>
        <w:t xml:space="preserve">the view along the way.  A walk will take approximately hour each way.  On return, </w:t>
        <w:tab/>
        <w:tab/>
        <w:t xml:space="preserve">take a drive to Mumbles and take a walk along the promenade. Return later in the </w:t>
        <w:tab/>
        <w:tab/>
        <w:t>afternoon.</w:t>
      </w:r>
    </w:p>
    <w:p>
      <w:pPr>
        <w:pStyle w:val="TextBody"/>
        <w:numPr>
          <w:ilvl w:val="0"/>
          <w:numId w:val="11"/>
        </w:numPr>
        <w:tabs>
          <w:tab w:val="left" w:pos="0" w:leader="none"/>
        </w:tabs>
        <w:spacing w:before="0" w:after="0"/>
        <w:ind w:left="707" w:hanging="283"/>
        <w:rPr/>
      </w:pPr>
      <w:r>
        <w:rPr>
          <w:caps w:val="false"/>
          <w:smallCaps w:val="false"/>
          <w:color w:val="000000"/>
          <w:spacing w:val="0"/>
        </w:rPr>
        <w:t xml:space="preserve">  ⛺</w:t>
      </w:r>
      <w:r>
        <w:rPr/>
        <w:t xml:space="preserve"> </w:t>
      </w:r>
      <w:r>
        <w:rPr/>
        <w:tab/>
      </w:r>
      <w:r>
        <w:rPr>
          <w:b/>
          <w:bCs/>
        </w:rPr>
        <w:t>Day 3:  Sightseeing in and around Swansea</w:t>
      </w:r>
      <w:r>
        <w:rPr/>
        <w:t xml:space="preserve"> – Opportunity to see what Swansea has </w:t>
        <w:tab/>
        <w:tab/>
        <w:t xml:space="preserve">to offer.  Visit the museums, Clyne Park, Swansea Marina for a selection of good </w:t>
        <w:tab/>
        <w:tab/>
        <w:tab/>
        <w:t xml:space="preserve">restaurants, Uplands Market, Dylan Thomas’ birthplace, The Copperworks, take a </w:t>
        <w:tab/>
        <w:tab/>
        <w:t xml:space="preserve">boat trip on the Copper Jack River Cruise are just some of the activities and places of </w:t>
        <w:tab/>
        <w:tab/>
        <w:t xml:space="preserve">interest in and around Swansea. </w:t>
      </w:r>
    </w:p>
    <w:p>
      <w:pPr>
        <w:pStyle w:val="TextBody"/>
        <w:numPr>
          <w:ilvl w:val="0"/>
          <w:numId w:val="11"/>
        </w:numPr>
        <w:tabs>
          <w:tab w:val="left" w:pos="0" w:leader="none"/>
        </w:tabs>
        <w:spacing w:before="0" w:after="0"/>
        <w:ind w:left="707" w:hanging="283"/>
        <w:rPr/>
      </w:pPr>
      <w:r>
        <w:rPr/>
        <w:t xml:space="preserve">  🏨</w:t>
      </w:r>
      <w:r>
        <w:rPr/>
        <w:tab/>
      </w:r>
      <w:r>
        <w:rPr>
          <w:b/>
          <w:bCs/>
        </w:rPr>
        <w:t>Check out of Pilton Green Farmhouse</w:t>
      </w:r>
      <w:r>
        <w:rPr/>
        <w:t xml:space="preserve"> by 10am.  Drive from Swansea back to Bristol </w:t>
        <w:tab/>
        <w:tab/>
        <w:t xml:space="preserve">airport to catch late afternoon flight back to Edinburgh.  </w:t>
      </w:r>
    </w:p>
    <w:p>
      <w:pPr>
        <w:pStyle w:val="TextBody"/>
        <w:numPr>
          <w:ilvl w:val="0"/>
          <w:numId w:val="11"/>
        </w:numPr>
        <w:tabs>
          <w:tab w:val="left" w:pos="0" w:leader="none"/>
        </w:tabs>
        <w:spacing w:before="0" w:after="0"/>
        <w:ind w:left="707" w:hanging="283"/>
        <w:rPr/>
      </w:pPr>
      <w:r>
        <w:rPr/>
        <w:t xml:space="preserve">  🚗</w:t>
      </w:r>
      <w:r>
        <w:rPr/>
        <w:tab/>
      </w:r>
      <w:r>
        <w:rPr>
          <w:b/>
          <w:bCs/>
        </w:rPr>
        <w:t>Return Hire car back to Hertz Rental Cars.</w:t>
      </w:r>
      <w:r>
        <w:rPr/>
        <w:t xml:space="preserve"> </w:t>
      </w:r>
    </w:p>
    <w:p>
      <w:pPr>
        <w:pStyle w:val="TextBody"/>
        <w:numPr>
          <w:ilvl w:val="0"/>
          <w:numId w:val="11"/>
        </w:numPr>
        <w:tabs>
          <w:tab w:val="left" w:pos="0" w:leader="none"/>
        </w:tabs>
        <w:spacing w:before="0" w:after="0"/>
        <w:ind w:left="707" w:right="0" w:hanging="283"/>
        <w:rPr/>
      </w:pPr>
      <w:r>
        <w:rPr/>
        <w:t xml:space="preserve">    ✈</w:t>
      </w:r>
      <w:r>
        <w:rPr/>
        <w:tab/>
      </w:r>
      <w:r>
        <w:rPr>
          <w:b/>
          <w:bCs/>
        </w:rPr>
        <w:t>Fly from Bristol back to Edinburgh</w:t>
      </w:r>
      <w:r>
        <w:rPr/>
        <w:t xml:space="preserve"> on Easyjet flight.  </w:t>
      </w:r>
    </w:p>
    <w:p>
      <w:pPr>
        <w:pStyle w:val="TextBody"/>
        <w:rPr/>
      </w:pPr>
      <w:r>
        <w:rPr/>
      </w:r>
    </w:p>
    <w:p>
      <w:pPr>
        <w:pStyle w:val="TextBody"/>
        <w:widowControl/>
        <w:spacing w:before="0" w:after="0"/>
        <w:ind w:left="0" w:right="0" w:hanging="0"/>
        <w:rPr>
          <w:rFonts w:ascii="Calibri;Helvetica;sans-serif;EmojiFont;Apple Color Emoji;Segoe UI Emoji;NotoColorEmoji;Segoe UI Symbol;Android Emoji;EmojiSymbols" w:hAnsi="Calibri;Helvetica;sans-serif;EmojiFont;Apple Color Emoji;Segoe UI Emoji;NotoColorEmoji;Segoe UI Symbol;Android Emoji;EmojiSymbols"/>
          <w:b/>
          <w:i w:val="false"/>
          <w:caps w:val="false"/>
          <w:smallCaps w:val="false"/>
          <w:color w:val="000000"/>
          <w:spacing w:val="0"/>
          <w:sz w:val="24"/>
        </w:rPr>
      </w:pPr>
      <w:r>
        <w:rPr>
          <w:rFonts w:ascii="Calibri;Helvetica;sans-serif;EmojiFont;Apple Color Emoji;Segoe UI Emoji;NotoColorEmoji;Segoe UI Symbol;Android Emoji;EmojiSymbols" w:hAnsi="Calibri;Helvetica;sans-serif;EmojiFont;Apple Color Emoji;Segoe UI Emoji;NotoColorEmoji;Segoe UI Symbol;Android Emoji;EmojiSymbols"/>
          <w:b/>
          <w:i w:val="false"/>
          <w:caps w:val="false"/>
          <w:smallCaps w:val="false"/>
          <w:color w:val="000000"/>
          <w:spacing w:val="0"/>
          <w:sz w:val="24"/>
        </w:rPr>
        <w:t>Pilton Green Farmhouse, Pilton, Rhossilli</w:t>
      </w:r>
    </w:p>
    <w:p>
      <w:pPr>
        <w:pStyle w:val="TextBody"/>
        <w:widowControl/>
        <w:spacing w:before="0" w:after="0"/>
        <w:ind w:left="0" w:right="0" w:hanging="0"/>
        <w:rPr>
          <w:rFonts w:ascii="Calibri;Helvetica;sans-serif;EmojiFont;Apple Color Emoji;Segoe UI Emoji;NotoColorEmoji;Segoe UI Symbol;Android Emoji;EmojiSymbols" w:hAnsi="Calibri;Helvetica;sans-serif;EmojiFont;Apple Color Emoji;Segoe UI Emoji;NotoColorEmoji;Segoe UI Symbol;Android Emoji;EmojiSymbols"/>
          <w:b w:val="false"/>
          <w:i w:val="false"/>
          <w:caps w:val="false"/>
          <w:smallCaps w:val="false"/>
          <w:color w:val="000000"/>
          <w:spacing w:val="0"/>
          <w:sz w:val="24"/>
        </w:rPr>
      </w:pPr>
      <w:r>
        <w:rPr>
          <w:rFonts w:ascii="Calibri;Helvetica;sans-serif;EmojiFont;Apple Color Emoji;Segoe UI Emoji;NotoColorEmoji;Segoe UI Symbol;Android Emoji;EmojiSymbols" w:hAnsi="Calibri;Helvetica;sans-serif;EmojiFont;Apple Color Emoji;Segoe UI Emoji;NotoColorEmoji;Segoe UI Symbol;Android Emoji;EmojiSymbols"/>
          <w:b w:val="false"/>
          <w:i w:val="false"/>
          <w:caps w:val="false"/>
          <w:smallCaps w:val="false"/>
          <w:color w:val="000000"/>
          <w:spacing w:val="0"/>
          <w:sz w:val="24"/>
        </w:rPr>
        <w:t>A stunning little cottage surrounded by farmland and conveniently located to explore the Gower and surrounding areas.  Ideal for those visitors wanting to explore the area by foot.</w:t>
      </w:r>
    </w:p>
    <w:p>
      <w:pPr>
        <w:pStyle w:val="TextBody"/>
        <w:rPr>
          <w:rFonts w:ascii="Arial" w:hAnsi="Arial" w:cs="Arial"/>
          <w:b/>
          <w:b/>
          <w:bCs/>
          <w:i w:val="false"/>
          <w:i w:val="false"/>
          <w:iCs w:val="false"/>
          <w:sz w:val="24"/>
          <w:szCs w:val="24"/>
          <w:u w:val="none"/>
        </w:rPr>
      </w:pPr>
      <w:r>
        <w:rPr/>
      </w:r>
    </w:p>
    <w:p>
      <w:pPr>
        <w:pStyle w:val="TextBody"/>
        <w:rPr/>
      </w:pPr>
      <w:r>
        <w:rPr>
          <w:rFonts w:cs="Arial" w:ascii="Arial" w:hAnsi="Arial"/>
          <w:b/>
          <w:bCs/>
          <w:i w:val="false"/>
          <w:iCs w:val="false"/>
          <w:sz w:val="24"/>
          <w:szCs w:val="24"/>
          <w:u w:val="none"/>
        </w:rPr>
        <w:t>REFERENCES:</w:t>
      </w:r>
    </w:p>
    <w:p>
      <w:pPr>
        <w:pStyle w:val="Normal"/>
        <w:spacing w:lineRule="auto" w:line="240" w:before="0" w:after="0"/>
        <w:rPr/>
      </w:pPr>
      <w:bookmarkStart w:id="0" w:name="__DdeLink__11528_3079702599"/>
      <w:bookmarkEnd w:id="0"/>
      <w:r>
        <w:rPr>
          <w:rFonts w:cs="Arial" w:ascii="Arial" w:hAnsi="Arial"/>
          <w:sz w:val="24"/>
          <w:szCs w:val="24"/>
          <w:lang w:eastAsia="en-GB"/>
        </w:rPr>
        <w:t>Brassington F. and Petitt S. (2010), Principles and Practice of Marketing, Prentice Hall, London.</w:t>
      </w:r>
    </w:p>
    <w:p>
      <w:pPr>
        <w:pStyle w:val="Normal"/>
        <w:spacing w:lineRule="auto" w:line="240" w:before="0" w:after="0"/>
        <w:rPr>
          <w:rStyle w:val="InternetLink"/>
          <w:rFonts w:ascii="Arial" w:hAnsi="Arial" w:cs="Arial"/>
          <w:b w:val="false"/>
          <w:b w:val="false"/>
          <w:bCs/>
          <w:i w:val="false"/>
          <w:i w:val="false"/>
          <w:iCs w:val="false"/>
          <w:caps w:val="false"/>
          <w:smallCaps w:val="false"/>
          <w:strike w:val="false"/>
          <w:dstrike w:val="false"/>
          <w:color w:val="000000"/>
          <w:spacing w:val="0"/>
          <w:sz w:val="24"/>
          <w:szCs w:val="24"/>
          <w:u w:val="none"/>
          <w:effect w:val="none"/>
          <w:lang w:eastAsia="en-GB"/>
        </w:rPr>
      </w:pPr>
      <w:r>
        <w:rPr>
          <w:rFonts w:cs="Arial" w:ascii="Arial" w:hAnsi="Arial"/>
          <w:b w:val="false"/>
          <w:bCs/>
          <w:i w:val="false"/>
          <w:iCs w:val="false"/>
          <w:caps w:val="false"/>
          <w:smallCaps w:val="false"/>
          <w:strike w:val="false"/>
          <w:dstrike w:val="false"/>
          <w:color w:val="000000"/>
          <w:spacing w:val="0"/>
          <w:sz w:val="24"/>
          <w:szCs w:val="24"/>
          <w:u w:val="none"/>
          <w:effect w:val="none"/>
          <w:lang w:eastAsia="en-GB"/>
        </w:rPr>
      </w:r>
    </w:p>
    <w:p>
      <w:pPr>
        <w:pStyle w:val="TextBody"/>
        <w:widowControl/>
        <w:spacing w:lineRule="auto" w:line="240" w:before="0" w:after="0"/>
        <w:ind w:left="0" w:right="0" w:hanging="0"/>
        <w:jc w:val="left"/>
        <w:rPr/>
      </w:pPr>
      <w:r>
        <w:rPr>
          <w:rStyle w:val="InternetLink"/>
          <w:rFonts w:cs="Arial" w:ascii="Arial" w:hAnsi="Arial"/>
          <w:b w:val="false"/>
          <w:bCs/>
          <w:i w:val="false"/>
          <w:iCs w:val="false"/>
          <w:caps w:val="false"/>
          <w:smallCaps w:val="false"/>
          <w:strike w:val="false"/>
          <w:dstrike w:val="false"/>
          <w:color w:val="000000"/>
          <w:spacing w:val="0"/>
          <w:sz w:val="24"/>
          <w:szCs w:val="24"/>
          <w:u w:val="none"/>
          <w:effect w:val="none"/>
          <w:lang w:eastAsia="en-GB"/>
        </w:rPr>
        <w:t xml:space="preserve">Culliton, J.W. (1948). The Management of Marketing Costs. Division of Research, Graduate School of Business Administration, Boston, MA: Harvard University. </w:t>
      </w:r>
    </w:p>
    <w:p>
      <w:pPr>
        <w:pStyle w:val="Normal"/>
        <w:spacing w:lineRule="auto" w:line="240" w:before="0" w:after="0"/>
        <w:rPr>
          <w:rFonts w:ascii="Arial" w:hAnsi="Arial" w:cs="Arial"/>
          <w:lang w:eastAsia="en-GB"/>
        </w:rPr>
      </w:pPr>
      <w:r>
        <w:rPr>
          <w:rFonts w:cs="Arial" w:ascii="Arial" w:hAnsi="Arial"/>
          <w:lang w:eastAsia="en-GB"/>
        </w:rPr>
      </w:r>
    </w:p>
    <w:p>
      <w:pPr>
        <w:pStyle w:val="Normal"/>
        <w:widowControl/>
        <w:spacing w:lineRule="auto" w:line="240" w:before="0" w:after="0"/>
        <w:ind w:left="0" w:right="0" w:hanging="0"/>
        <w:jc w:val="left"/>
        <w:rPr/>
      </w:pPr>
      <w:r>
        <w:rPr>
          <w:rStyle w:val="InternetLink"/>
          <w:rFonts w:cs="Arial" w:ascii="Arial" w:hAnsi="Arial"/>
          <w:b w:val="false"/>
          <w:bCs/>
          <w:i w:val="false"/>
          <w:iCs w:val="false"/>
          <w:caps w:val="false"/>
          <w:smallCaps w:val="false"/>
          <w:strike w:val="false"/>
          <w:dstrike w:val="false"/>
          <w:color w:val="000000"/>
          <w:spacing w:val="0"/>
          <w:sz w:val="24"/>
          <w:szCs w:val="24"/>
          <w:u w:val="none"/>
          <w:effect w:val="none"/>
          <w:lang w:eastAsia="en-GB"/>
        </w:rPr>
        <w:t>Kotler P, Armstrong G, Harris, LC, Piercy N (2013), Principles of Marketing, 6e, Pearson, London.</w:t>
      </w:r>
    </w:p>
    <w:p>
      <w:pPr>
        <w:pStyle w:val="TextBody"/>
        <w:widowControl/>
        <w:spacing w:lineRule="atLeast" w:line="480" w:before="0" w:after="0"/>
        <w:ind w:left="0" w:right="0" w:hanging="0"/>
        <w:jc w:val="left"/>
        <w:rPr>
          <w:rStyle w:val="InternetLink"/>
          <w:rFonts w:ascii="Arial" w:hAnsi="Arial" w:cs="Arial"/>
          <w:b/>
          <w:b/>
          <w:bCs/>
          <w:i w:val="false"/>
          <w:i w:val="false"/>
          <w:iCs w:val="false"/>
          <w:caps w:val="false"/>
          <w:smallCaps w:val="false"/>
          <w:strike w:val="false"/>
          <w:dstrike w:val="false"/>
          <w:color w:val="000000"/>
          <w:spacing w:val="0"/>
          <w:sz w:val="24"/>
          <w:szCs w:val="24"/>
          <w:u w:val="none"/>
          <w:effect w:val="none"/>
        </w:rPr>
      </w:pPr>
      <w:r>
        <w:rPr>
          <w:rFonts w:cs="Arial" w:ascii="Arial" w:hAnsi="Arial"/>
          <w:b/>
          <w:bCs/>
          <w:i w:val="false"/>
          <w:iCs w:val="false"/>
          <w:caps w:val="false"/>
          <w:smallCaps w:val="false"/>
          <w:strike w:val="false"/>
          <w:dstrike w:val="false"/>
          <w:color w:val="000000"/>
          <w:spacing w:val="0"/>
          <w:sz w:val="24"/>
          <w:szCs w:val="24"/>
          <w:u w:val="none"/>
          <w:effect w:val="none"/>
        </w:rPr>
      </w:r>
    </w:p>
    <w:p>
      <w:pPr>
        <w:pStyle w:val="TextBody"/>
        <w:widowControl/>
        <w:spacing w:lineRule="atLeast" w:line="480" w:before="0" w:after="0"/>
        <w:ind w:left="0" w:right="0" w:hanging="0"/>
        <w:jc w:val="left"/>
        <w:rPr/>
      </w:pPr>
      <w:r>
        <w:rPr>
          <w:rFonts w:cs="Arial" w:ascii="Arial" w:hAnsi="Arial"/>
          <w:b/>
          <w:bCs/>
          <w:i w:val="false"/>
          <w:iCs w:val="false"/>
          <w:caps w:val="false"/>
          <w:smallCaps w:val="false"/>
          <w:color w:val="000000"/>
          <w:spacing w:val="0"/>
          <w:sz w:val="24"/>
          <w:szCs w:val="24"/>
          <w:u w:val="none"/>
        </w:rPr>
        <w:t>Journals:</w:t>
      </w:r>
    </w:p>
    <w:p>
      <w:pPr>
        <w:pStyle w:val="Heading1"/>
        <w:widowControl/>
        <w:spacing w:lineRule="auto" w:line="240" w:before="57" w:after="57"/>
        <w:ind w:left="0" w:right="0" w:hanging="0"/>
        <w:jc w:val="left"/>
        <w:rPr>
          <w:rStyle w:val="InternetLink"/>
          <w:b w:val="false"/>
          <w:b w:val="false"/>
          <w:bCs w:val="false"/>
          <w:color w:val="000000"/>
          <w:u w:val="none"/>
        </w:rPr>
      </w:pPr>
      <w:r>
        <w:rPr>
          <w:b w:val="false"/>
          <w:bCs w:val="false"/>
          <w:color w:val="000000"/>
          <w:u w:val="none"/>
        </w:rPr>
      </w:r>
    </w:p>
    <w:p>
      <w:pPr>
        <w:pStyle w:val="Heading1"/>
        <w:widowControl/>
        <w:spacing w:lineRule="auto" w:line="240" w:before="57" w:after="57"/>
        <w:ind w:left="0" w:right="0" w:hanging="0"/>
        <w:jc w:val="left"/>
        <w:rPr/>
      </w:pPr>
      <w:bookmarkStart w:id="1" w:name="pageTitle"/>
      <w:bookmarkEnd w:id="1"/>
      <w:r>
        <w:rPr>
          <w:rStyle w:val="InternetLink"/>
          <w:rFonts w:cs="Arial" w:ascii="Arial" w:hAnsi="Arial"/>
          <w:b w:val="false"/>
          <w:bCs w:val="false"/>
          <w:i w:val="false"/>
          <w:iCs w:val="false"/>
          <w:caps w:val="false"/>
          <w:smallCaps w:val="false"/>
          <w:color w:val="000000"/>
          <w:spacing w:val="0"/>
          <w:sz w:val="24"/>
          <w:szCs w:val="24"/>
          <w:u w:val="none"/>
        </w:rPr>
        <w:t>Borden, N. (1964) The concept of the marketing mix, Journal of Advertising Research, June, p.365</w:t>
      </w:r>
    </w:p>
    <w:p>
      <w:pPr>
        <w:pStyle w:val="ListContents"/>
        <w:spacing w:before="0" w:after="0"/>
        <w:ind w:left="0" w:right="0" w:hanging="0"/>
        <w:rPr>
          <w:rFonts w:ascii="Arial" w:hAnsi="Arial"/>
          <w:b w:val="false"/>
          <w:b w:val="false"/>
          <w:bCs w:val="false"/>
          <w:color w:val="000000"/>
          <w:sz w:val="24"/>
          <w:szCs w:val="24"/>
        </w:rPr>
      </w:pPr>
      <w:r>
        <w:rPr>
          <w:rFonts w:ascii="Arial" w:hAnsi="Arial"/>
          <w:b w:val="false"/>
          <w:bCs w:val="false"/>
          <w:color w:val="000000"/>
          <w:sz w:val="24"/>
          <w:szCs w:val="24"/>
        </w:rPr>
      </w:r>
    </w:p>
    <w:p>
      <w:pPr>
        <w:pStyle w:val="ListContents"/>
        <w:spacing w:before="0" w:after="0"/>
        <w:ind w:left="0" w:right="0" w:hanging="0"/>
        <w:rPr/>
      </w:pPr>
      <w:r>
        <w:rPr>
          <w:rFonts w:ascii="Arial" w:hAnsi="Arial"/>
          <w:b w:val="false"/>
          <w:bCs w:val="false"/>
          <w:color w:val="000000"/>
          <w:sz w:val="24"/>
          <w:szCs w:val="24"/>
        </w:rPr>
        <w:t xml:space="preserve">Dwyer, L. Forsyth, P. Spurr - </w:t>
      </w:r>
      <w:r>
        <w:rPr>
          <w:rStyle w:val="StrongEmphasis"/>
          <w:rFonts w:ascii="Arial" w:hAnsi="Arial"/>
          <w:b w:val="false"/>
          <w:bCs w:val="false"/>
          <w:color w:val="000000"/>
          <w:sz w:val="24"/>
          <w:szCs w:val="24"/>
        </w:rPr>
        <w:t xml:space="preserve">Evaluating tourism's economic effects: new and old approaches </w:t>
      </w:r>
      <w:r>
        <w:rPr>
          <w:rFonts w:cs="Arial" w:ascii="Arial" w:hAnsi="Arial"/>
          <w:b w:val="false"/>
          <w:bCs w:val="false"/>
          <w:i w:val="false"/>
          <w:iCs w:val="false"/>
          <w:caps w:val="false"/>
          <w:smallCaps w:val="false"/>
          <w:color w:val="000000"/>
          <w:spacing w:val="0"/>
          <w:sz w:val="24"/>
          <w:szCs w:val="24"/>
          <w:u w:val="none"/>
        </w:rPr>
        <w:t>Tourism Management, (2004), pp.307-317</w:t>
      </w:r>
    </w:p>
    <w:p>
      <w:pPr>
        <w:pStyle w:val="TextBody"/>
        <w:widowControl/>
        <w:spacing w:lineRule="atLeast" w:line="480" w:before="0" w:after="0"/>
        <w:ind w:left="0" w:right="0" w:hanging="0"/>
        <w:jc w:val="left"/>
        <w:rPr/>
      </w:pPr>
      <w:r>
        <w:rPr>
          <w:rFonts w:cs="Arial" w:ascii="Arial" w:hAnsi="Arial"/>
          <w:b/>
          <w:bCs/>
          <w:i w:val="false"/>
          <w:iCs w:val="false"/>
          <w:caps w:val="false"/>
          <w:smallCaps w:val="false"/>
          <w:color w:val="000000"/>
          <w:spacing w:val="0"/>
          <w:sz w:val="24"/>
          <w:szCs w:val="24"/>
          <w:u w:val="none"/>
        </w:rPr>
        <w:t>Websites:</w:t>
      </w:r>
    </w:p>
    <w:p>
      <w:pPr>
        <w:pStyle w:val="TextBody"/>
        <w:spacing w:before="114" w:after="114"/>
        <w:jc w:val="left"/>
        <w:rPr/>
      </w:pPr>
      <w:r>
        <w:rPr>
          <w:rFonts w:cs="Arial" w:ascii="Arial" w:hAnsi="Arial"/>
          <w:b w:val="false"/>
          <w:bCs w:val="false"/>
          <w:i w:val="false"/>
          <w:iCs w:val="false"/>
          <w:color w:val="000000"/>
          <w:sz w:val="24"/>
          <w:szCs w:val="24"/>
          <w:u w:val="none"/>
        </w:rPr>
        <w:t xml:space="preserve">City and County of Swansea Visitor Survey – November 2015 </w:t>
      </w:r>
    </w:p>
    <w:p>
      <w:pPr>
        <w:pStyle w:val="TextBody"/>
        <w:spacing w:before="114" w:after="114"/>
        <w:jc w:val="left"/>
        <w:rPr/>
      </w:pPr>
      <w:r>
        <w:rPr>
          <w:rFonts w:cs="Arial" w:ascii="Arial" w:hAnsi="Arial"/>
          <w:b w:val="false"/>
          <w:bCs w:val="false"/>
          <w:i w:val="false"/>
          <w:iCs w:val="false"/>
          <w:color w:val="000000"/>
          <w:sz w:val="24"/>
          <w:szCs w:val="24"/>
          <w:u w:val="none"/>
        </w:rPr>
        <w:t xml:space="preserve">Cultural Tourism Strategy 2003, Welsh Assembly Government </w:t>
      </w:r>
    </w:p>
    <w:p>
      <w:pPr>
        <w:pStyle w:val="TextBody"/>
        <w:spacing w:before="114" w:after="114"/>
        <w:jc w:val="left"/>
        <w:rPr/>
      </w:pPr>
      <w:hyperlink r:id="rId2">
        <w:r>
          <w:rPr>
            <w:rStyle w:val="InternetLink"/>
            <w:rFonts w:cs="Arial" w:ascii="Arial" w:hAnsi="Arial"/>
            <w:b w:val="false"/>
            <w:bCs w:val="false"/>
            <w:i w:val="false"/>
            <w:iCs w:val="false"/>
            <w:color w:val="000000"/>
            <w:sz w:val="24"/>
            <w:szCs w:val="24"/>
            <w:u w:val="none"/>
          </w:rPr>
          <w:t>https://www.independent.co.uk/travel/news-and-advice/staycation-uk-holidays-brexit-travel-eu-a7668991.html</w:t>
        </w:r>
      </w:hyperlink>
    </w:p>
    <w:p>
      <w:pPr>
        <w:pStyle w:val="TextBody"/>
        <w:spacing w:before="114" w:after="114"/>
        <w:jc w:val="left"/>
        <w:rPr/>
      </w:pPr>
      <w:hyperlink r:id="rId3">
        <w:r>
          <w:rPr>
            <w:rStyle w:val="InternetLink"/>
            <w:rFonts w:cs="Arial" w:ascii="Arial" w:hAnsi="Arial"/>
            <w:b w:val="false"/>
            <w:bCs w:val="false"/>
            <w:i w:val="false"/>
            <w:iCs w:val="false"/>
            <w:color w:val="000000"/>
            <w:sz w:val="24"/>
            <w:szCs w:val="24"/>
            <w:u w:val="none"/>
          </w:rPr>
          <w:t>http://gov.wales/docs/desh/publications/090223walkingactionplanen.pdf</w:t>
        </w:r>
      </w:hyperlink>
    </w:p>
    <w:p>
      <w:pPr>
        <w:pStyle w:val="TextBody"/>
        <w:spacing w:before="114" w:after="114"/>
        <w:jc w:val="left"/>
        <w:rPr/>
      </w:pPr>
      <w:r>
        <w:rPr>
          <w:rFonts w:cs="Arial" w:ascii="Arial" w:hAnsi="Arial"/>
          <w:b w:val="false"/>
          <w:bCs w:val="false"/>
          <w:i w:val="false"/>
          <w:iCs w:val="false"/>
          <w:color w:val="000000"/>
          <w:sz w:val="24"/>
          <w:szCs w:val="24"/>
          <w:u w:val="none"/>
        </w:rPr>
        <w:t>file:///C:/Users/User/Downloads/Swansea_Bay_Strategy_Action_Plan%20(1).pdf</w:t>
      </w:r>
    </w:p>
    <w:p>
      <w:pPr>
        <w:pStyle w:val="TextBody"/>
        <w:spacing w:lineRule="auto" w:line="240" w:before="114" w:after="114"/>
        <w:jc w:val="left"/>
        <w:rPr>
          <w:rFonts w:cs="Arial"/>
          <w:b/>
          <w:b/>
          <w:bCs/>
          <w:i w:val="false"/>
          <w:i w:val="false"/>
          <w:iCs w:val="false"/>
          <w:u w:val="none"/>
        </w:rPr>
      </w:pPr>
      <w:r>
        <w:rPr>
          <w:rFonts w:cs="Arial"/>
          <w:b/>
          <w:bCs/>
          <w:i w:val="false"/>
          <w:iCs w:val="false"/>
          <w:u w:val="none"/>
        </w:rPr>
      </w:r>
    </w:p>
    <w:p>
      <w:pPr>
        <w:pStyle w:val="TextBody"/>
        <w:spacing w:before="114" w:after="114"/>
        <w:jc w:val="left"/>
        <w:rPr/>
      </w:pPr>
      <w:hyperlink r:id="rId4">
        <w:r>
          <w:rPr>
            <w:rStyle w:val="InternetLink"/>
            <w:rFonts w:cs="Arial" w:ascii="Arial" w:hAnsi="Arial"/>
            <w:b w:val="false"/>
            <w:bCs w:val="false"/>
            <w:i w:val="false"/>
            <w:iCs w:val="false"/>
            <w:color w:val="000000"/>
            <w:sz w:val="24"/>
            <w:szCs w:val="24"/>
            <w:u w:val="none"/>
          </w:rPr>
          <w:t>https://swansea.jdi-consult.net/documents/pdfs20160714/Gower_Landscape_Capacity_Study_for_Caravan_and_Camping_Sites_FINAL%202014.pdf</w:t>
        </w:r>
      </w:hyperlink>
    </w:p>
    <w:p>
      <w:pPr>
        <w:pStyle w:val="TextBody"/>
        <w:spacing w:lineRule="auto" w:line="240" w:before="114" w:after="114"/>
        <w:jc w:val="left"/>
        <w:rPr>
          <w:rStyle w:val="InternetLink"/>
          <w:rFonts w:ascii="Arial" w:hAnsi="Arial" w:cs="Arial"/>
          <w:b/>
          <w:b/>
          <w:bCs/>
          <w:i w:val="false"/>
          <w:i w:val="false"/>
          <w:iCs w:val="false"/>
          <w:color w:val="000000"/>
          <w:sz w:val="24"/>
          <w:szCs w:val="24"/>
          <w:u w:val="none"/>
        </w:rPr>
      </w:pPr>
      <w:r>
        <w:rPr>
          <w:rFonts w:cs="Arial" w:ascii="Arial" w:hAnsi="Arial"/>
          <w:b/>
          <w:bCs/>
          <w:i w:val="false"/>
          <w:iCs w:val="false"/>
          <w:color w:val="000000"/>
          <w:sz w:val="24"/>
          <w:szCs w:val="24"/>
          <w:u w:val="none"/>
        </w:rPr>
      </w:r>
    </w:p>
    <w:p>
      <w:pPr>
        <w:pStyle w:val="TextBody"/>
        <w:spacing w:before="114" w:after="114"/>
        <w:jc w:val="left"/>
        <w:rPr/>
      </w:pPr>
      <w:hyperlink r:id="rId5">
        <w:r>
          <w:rPr>
            <w:rStyle w:val="InternetLink"/>
            <w:rFonts w:cs="Arial" w:ascii="Arial" w:hAnsi="Arial"/>
            <w:b w:val="false"/>
            <w:bCs w:val="false"/>
            <w:i w:val="false"/>
            <w:iCs w:val="false"/>
            <w:color w:val="000000"/>
            <w:sz w:val="24"/>
            <w:szCs w:val="24"/>
            <w:u w:val="none"/>
          </w:rPr>
          <w:t>http://tourismswanseabay.co.uk/</w:t>
        </w:r>
      </w:hyperlink>
    </w:p>
    <w:p>
      <w:pPr>
        <w:pStyle w:val="TextBody"/>
        <w:widowControl/>
        <w:spacing w:lineRule="auto" w:line="240" w:before="0" w:after="0"/>
        <w:ind w:left="0" w:right="0" w:hanging="0"/>
        <w:jc w:val="left"/>
        <w:rPr>
          <w:rStyle w:val="InternetLink"/>
          <w:b w:val="false"/>
          <w:b w:val="false"/>
          <w:bCs w:val="false"/>
          <w:color w:val="000000"/>
          <w:u w:val="none"/>
        </w:rPr>
      </w:pPr>
      <w:r>
        <w:rPr>
          <w:b w:val="false"/>
          <w:bCs w:val="false"/>
          <w:color w:val="000000"/>
          <w:u w:val="none"/>
        </w:rPr>
      </w:r>
    </w:p>
    <w:p>
      <w:pPr>
        <w:pStyle w:val="TextBody"/>
        <w:widowControl/>
        <w:spacing w:lineRule="atLeast" w:line="480" w:before="0" w:after="0"/>
        <w:ind w:left="0" w:right="0" w:hanging="0"/>
        <w:jc w:val="left"/>
        <w:rPr/>
      </w:pPr>
      <w:hyperlink r:id="rId6">
        <w:r>
          <w:rPr>
            <w:rStyle w:val="InternetLink"/>
            <w:rFonts w:cs="Arial" w:ascii="Arial" w:hAnsi="Arial"/>
            <w:b w:val="false"/>
            <w:bCs w:val="false"/>
            <w:i w:val="false"/>
            <w:iCs w:val="false"/>
            <w:color w:val="000000"/>
            <w:sz w:val="24"/>
            <w:szCs w:val="24"/>
            <w:u w:val="none"/>
          </w:rPr>
          <w:t>http://www.workingword.co.uk/projects/visit-swansea-bay/</w:t>
        </w:r>
      </w:hyperlink>
    </w:p>
    <w:p>
      <w:pPr>
        <w:pStyle w:val="ListHeading"/>
        <w:spacing w:before="114" w:after="114"/>
        <w:jc w:val="left"/>
        <w:rPr>
          <w:rStyle w:val="InternetLink"/>
          <w:rFonts w:ascii="Arial" w:hAnsi="Arial" w:cs="Arial"/>
          <w:b w:val="false"/>
          <w:b w:val="false"/>
          <w:bCs w:val="false"/>
          <w:i w:val="false"/>
          <w:i w:val="false"/>
          <w:iCs w:val="false"/>
          <w:caps w:val="false"/>
          <w:smallCaps w:val="false"/>
          <w:strike w:val="false"/>
          <w:dstrike w:val="false"/>
          <w:color w:val="737373"/>
          <w:spacing w:val="0"/>
          <w:sz w:val="24"/>
          <w:szCs w:val="24"/>
          <w:u w:val="none"/>
          <w:effect w:val="none"/>
        </w:rPr>
      </w:pPr>
      <w:r>
        <w:rPr>
          <w:rFonts w:cs="Arial" w:ascii="Arial" w:hAnsi="Arial"/>
          <w:b w:val="false"/>
          <w:bCs w:val="false"/>
          <w:i w:val="false"/>
          <w:iCs w:val="false"/>
          <w:caps w:val="false"/>
          <w:smallCaps w:val="false"/>
          <w:strike w:val="false"/>
          <w:dstrike w:val="false"/>
          <w:color w:val="737373"/>
          <w:spacing w:val="0"/>
          <w:sz w:val="24"/>
          <w:szCs w:val="24"/>
          <w:u w:val="none"/>
          <w:effect w:val="none"/>
        </w:rPr>
      </w:r>
    </w:p>
    <w:p>
      <w:pPr>
        <w:pStyle w:val="ListHeading"/>
        <w:spacing w:before="114" w:after="114"/>
        <w:jc w:val="left"/>
        <w:rPr/>
      </w:pPr>
      <w:r>
        <w:fldChar w:fldCharType="begin"/>
      </w:r>
      <w:r>
        <w:instrText> HYPERLINK "https://www.sciencedirect.com/science/article/pii/S0264999313001557" \l "bbb0240"</w:instrText>
      </w:r>
      <w:r>
        <w:fldChar w:fldCharType="separate"/>
      </w:r>
      <w:bookmarkStart w:id="2" w:name="ref-id-bb0240"/>
      <w:bookmarkEnd w:id="2"/>
      <w:r>
        <w:rPr>
          <w:rStyle w:val="InternetLink"/>
          <w:rFonts w:cs="Arial" w:ascii="Arial" w:hAnsi="Arial"/>
          <w:b w:val="false"/>
          <w:bCs/>
          <w:i w:val="false"/>
          <w:iCs w:val="false"/>
          <w:caps w:val="false"/>
          <w:smallCaps w:val="false"/>
          <w:color w:val="000000"/>
          <w:spacing w:val="0"/>
          <w:sz w:val="24"/>
          <w:szCs w:val="24"/>
          <w:u w:val="single"/>
        </w:rPr>
        <w:t>WTTC, 2011</w:t>
      </w:r>
      <w:r>
        <w:fldChar w:fldCharType="end"/>
      </w:r>
      <w:bookmarkStart w:id="3" w:name="rf0240"/>
      <w:bookmarkEnd w:id="3"/>
      <w:r>
        <w:rPr>
          <w:rStyle w:val="InternetLink"/>
          <w:rFonts w:cs="Arial" w:ascii="Arial" w:hAnsi="Arial"/>
          <w:b w:val="false"/>
          <w:bCs/>
          <w:i w:val="false"/>
          <w:iCs w:val="false"/>
          <w:caps w:val="false"/>
          <w:smallCaps w:val="false"/>
          <w:color w:val="000000"/>
          <w:spacing w:val="0"/>
          <w:sz w:val="24"/>
          <w:szCs w:val="24"/>
          <w:u w:val="single"/>
        </w:rPr>
        <w:t xml:space="preserve"> </w:t>
      </w:r>
      <w:r>
        <w:rPr>
          <w:rFonts w:ascii="Arial" w:hAnsi="Arial"/>
          <w:b w:val="false"/>
          <w:bCs w:val="false"/>
          <w:color w:val="000000"/>
          <w:sz w:val="24"/>
          <w:szCs w:val="24"/>
        </w:rPr>
        <w:t>WTTC</w:t>
      </w:r>
      <w:r>
        <w:rPr>
          <w:rStyle w:val="StrongEmphasis"/>
          <w:rFonts w:ascii="Arial" w:hAnsi="Arial"/>
          <w:b w:val="false"/>
          <w:bCs w:val="false"/>
          <w:color w:val="000000"/>
          <w:sz w:val="24"/>
          <w:szCs w:val="24"/>
        </w:rPr>
        <w:t>Annual Reports, Progress and Priorities 2011/11</w:t>
      </w:r>
    </w:p>
    <w:p>
      <w:pPr>
        <w:pStyle w:val="TextBody"/>
        <w:spacing w:before="0" w:after="140"/>
        <w:rPr/>
      </w:pPr>
      <w:r>
        <w:rPr>
          <w:rFonts w:ascii="Arial" w:hAnsi="Arial"/>
          <w:b w:val="false"/>
          <w:bCs w:val="false"/>
          <w:caps w:val="false"/>
          <w:smallCaps w:val="false"/>
          <w:color w:val="000000"/>
          <w:spacing w:val="0"/>
          <w:sz w:val="24"/>
          <w:szCs w:val="24"/>
        </w:rPr>
        <w:t>The World Travel and Tourism Council (2011)</w:t>
      </w:r>
    </w:p>
    <w:sectPr>
      <w:footerReference w:type="default" r:id="rId7"/>
      <w:type w:val="nextPage"/>
      <w:pgSz w:w="11906" w:h="16838"/>
      <w:pgMar w:left="1440" w:right="1440" w:header="0" w:top="1440" w:footer="1440" w:bottom="2065"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OpenSymbol">
    <w:altName w:val="Arial Unicode MS"/>
    <w:charset w:val="00"/>
    <w:family w:val="roman"/>
    <w:pitch w:val="variable"/>
  </w:font>
  <w:font w:name="Symbol">
    <w:charset w:val="00"/>
    <w:family w:val="roman"/>
    <w:pitch w:val="variable"/>
  </w:font>
  <w:font w:name="Courier New">
    <w:charset w:val="00"/>
    <w:family w:val="roman"/>
    <w:pitch w:val="variable"/>
  </w:font>
  <w:font w:name="Wingdings">
    <w:charset w:val="00"/>
    <w:family w:val="roman"/>
    <w:pitch w:val="variable"/>
  </w:font>
  <w:font w:name="Liberation Sans">
    <w:altName w:val="Arial"/>
    <w:charset w:val="00"/>
    <w:family w:val="roman"/>
    <w:pitch w:val="variable"/>
  </w:font>
  <w:font w:name="sans-serif">
    <w:altName w:val="Arial"/>
    <w:charset w:val="00"/>
    <w:family w:val="roman"/>
    <w:pitch w:val="variable"/>
  </w:font>
  <w:font w:name="Calibri">
    <w:altName w:val="Helvetica"/>
    <w:charset w:val="00"/>
    <w:family w:val="auto"/>
    <w:pitch w:val="default"/>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before="0" w:after="160"/>
      <w:jc w:val="center"/>
      <w:rPr/>
    </w:pPr>
    <w:r>
      <w:rPr/>
      <w:fldChar w:fldCharType="begin"/>
    </w:r>
    <w:r>
      <w:instrText> PAGE </w:instrText>
    </w:r>
    <w:r>
      <w:fldChar w:fldCharType="separate"/>
    </w:r>
    <w:r>
      <w:t>11</w:t>
    </w:r>
    <w: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2">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3">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4">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5">
    <w:lvl w:ilvl="0">
      <w:start w:val="1"/>
      <w:numFmt w:val="bullet"/>
      <w:lvlText w:val=""/>
      <w:lvlJc w:val="left"/>
      <w:pPr>
        <w:tabs>
          <w:tab w:val="num" w:pos="720"/>
        </w:tabs>
        <w:ind w:left="720" w:hanging="360"/>
      </w:pPr>
      <w:rPr>
        <w:rFonts w:ascii="Symbol" w:hAnsi="Symbol" w:cs="Symbol" w:hint="default"/>
        <w:sz w:val="24"/>
        <w:b/>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6">
    <w:lvl w:ilvl="0">
      <w:start w:val="1"/>
      <w:numFmt w:val="bullet"/>
      <w:lvlText w:val=""/>
      <w:lvlJc w:val="left"/>
      <w:pPr>
        <w:tabs>
          <w:tab w:val="num" w:pos="720"/>
        </w:tabs>
        <w:ind w:left="720" w:hanging="360"/>
      </w:pPr>
      <w:rPr>
        <w:rFonts w:ascii="Symbol" w:hAnsi="Symbol" w:cs="Symbol" w:hint="default"/>
        <w:sz w:val="24"/>
        <w:b/>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7">
    <w:lvl w:ilvl="0">
      <w:start w:val="1"/>
      <w:numFmt w:val="lowerLetter"/>
      <w:lvlText w:val="%1)"/>
      <w:lvlJc w:val="left"/>
      <w:pPr>
        <w:tabs>
          <w:tab w:val="num" w:pos="720"/>
        </w:tabs>
        <w:ind w:left="720" w:hanging="360"/>
      </w:pPr>
    </w:lvl>
    <w:lvl w:ilvl="1">
      <w:start w:val="1"/>
      <w:numFmt w:val="lowerLetter"/>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8">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9">
    <w:lvl w:ilvl="0">
      <w:start w:val="1"/>
      <w:numFmt w:val="lowerRoman"/>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0">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11">
    <w:lvl w:ilvl="0">
      <w:start w:val="1"/>
      <w:numFmt w:val="decimal"/>
      <w:lvlText w:val="%1."/>
      <w:lvlJc w:val="left"/>
      <w:pPr>
        <w:tabs>
          <w:tab w:val="num" w:pos="707"/>
        </w:tabs>
        <w:ind w:left="707" w:hanging="283"/>
      </w:pPr>
      <w:rPr/>
    </w:lvl>
    <w:lvl w:ilvl="1">
      <w:start w:val="1"/>
      <w:numFmt w:val="decimal"/>
      <w:lvlText w:val="%2."/>
      <w:lvlJc w:val="left"/>
      <w:pPr>
        <w:tabs>
          <w:tab w:val="num" w:pos="1414"/>
        </w:tabs>
        <w:ind w:left="1414" w:hanging="283"/>
      </w:pPr>
      <w:rPr/>
    </w:lvl>
    <w:lvl w:ilvl="2">
      <w:start w:val="1"/>
      <w:numFmt w:val="decimal"/>
      <w:lvlText w:val="%3."/>
      <w:lvlJc w:val="left"/>
      <w:pPr>
        <w:tabs>
          <w:tab w:val="num" w:pos="2121"/>
        </w:tabs>
        <w:ind w:left="2121" w:hanging="283"/>
      </w:pPr>
      <w:rPr/>
    </w:lvl>
    <w:lvl w:ilvl="3">
      <w:start w:val="1"/>
      <w:numFmt w:val="decimal"/>
      <w:lvlText w:val="%4."/>
      <w:lvlJc w:val="left"/>
      <w:pPr>
        <w:tabs>
          <w:tab w:val="num" w:pos="2828"/>
        </w:tabs>
        <w:ind w:left="2828" w:hanging="283"/>
      </w:pPr>
      <w:rPr/>
    </w:lvl>
    <w:lvl w:ilvl="4">
      <w:start w:val="1"/>
      <w:numFmt w:val="decimal"/>
      <w:lvlText w:val="%5."/>
      <w:lvlJc w:val="left"/>
      <w:pPr>
        <w:tabs>
          <w:tab w:val="num" w:pos="3535"/>
        </w:tabs>
        <w:ind w:left="3535" w:hanging="283"/>
      </w:pPr>
      <w:rPr/>
    </w:lvl>
    <w:lvl w:ilvl="5">
      <w:start w:val="1"/>
      <w:numFmt w:val="decimal"/>
      <w:lvlText w:val="%6."/>
      <w:lvlJc w:val="left"/>
      <w:pPr>
        <w:tabs>
          <w:tab w:val="num" w:pos="4242"/>
        </w:tabs>
        <w:ind w:left="4242" w:hanging="283"/>
      </w:pPr>
      <w:rPr/>
    </w:lvl>
    <w:lvl w:ilvl="6">
      <w:start w:val="1"/>
      <w:numFmt w:val="decimal"/>
      <w:lvlText w:val="%7."/>
      <w:lvlJc w:val="left"/>
      <w:pPr>
        <w:tabs>
          <w:tab w:val="num" w:pos="4949"/>
        </w:tabs>
        <w:ind w:left="4949" w:hanging="283"/>
      </w:pPr>
      <w:rPr/>
    </w:lvl>
    <w:lvl w:ilvl="7">
      <w:start w:val="1"/>
      <w:numFmt w:val="decimal"/>
      <w:lvlText w:val="%8."/>
      <w:lvlJc w:val="left"/>
      <w:pPr>
        <w:tabs>
          <w:tab w:val="num" w:pos="5656"/>
        </w:tabs>
        <w:ind w:left="5656" w:hanging="283"/>
      </w:pPr>
      <w:rPr/>
    </w:lvl>
    <w:lvl w:ilvl="8">
      <w:start w:val="1"/>
      <w:numFmt w:val="decimal"/>
      <w:lvlText w:val="%9."/>
      <w:lvlJc w:val="left"/>
      <w:pPr>
        <w:tabs>
          <w:tab w:val="num" w:pos="6363"/>
        </w:tabs>
        <w:ind w:left="6363" w:hanging="283"/>
      </w:pPr>
      <w:rPr/>
    </w:lvl>
  </w:abstractNum>
  <w:abstractNum w:abstractNumId="1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w="http://schemas.openxmlformats.org/wordprocessingml/2006/main">
  <w:zoom w:percent="10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0"/>
        <w:szCs w:val="22"/>
        <w:lang w:val="en-GB" w:eastAsia="en-US" w:bidi="ar-SA"/>
      </w:rPr>
    </w:rPrDefault>
    <w:pPrDefault>
      <w:pPr/>
    </w:pPrDefault>
  </w:docDefaults>
  <w:style w:type="paragraph" w:styleId="Normal">
    <w:name w:val="Normal"/>
    <w:qFormat/>
    <w:pPr>
      <w:widowControl/>
      <w:overflowPunct w:val="true"/>
      <w:bidi w:val="0"/>
      <w:spacing w:lineRule="auto" w:line="259" w:before="0" w:after="160"/>
      <w:jc w:val="left"/>
    </w:pPr>
    <w:rPr>
      <w:rFonts w:ascii="Calibri" w:hAnsi="Calibri" w:eastAsia="Calibri" w:cs="Tahoma"/>
      <w:color w:val="00000A"/>
      <w:sz w:val="22"/>
      <w:szCs w:val="22"/>
      <w:lang w:val="en-GB" w:eastAsia="en-US" w:bidi="ar-SA"/>
    </w:rPr>
  </w:style>
  <w:style w:type="paragraph" w:styleId="Heading1">
    <w:name w:val="Heading 1"/>
    <w:basedOn w:val="Heading"/>
    <w:qFormat/>
    <w:pPr/>
    <w:rPr/>
  </w:style>
  <w:style w:type="paragraph" w:styleId="Heading2">
    <w:name w:val="Heading 2"/>
    <w:basedOn w:val="Heading"/>
    <w:qFormat/>
    <w:pPr/>
    <w:rPr/>
  </w:style>
  <w:style w:type="paragraph" w:styleId="Heading3">
    <w:name w:val="Heading 3"/>
    <w:basedOn w:val="Heading"/>
    <w:qFormat/>
    <w:pPr/>
    <w:rPr/>
  </w:style>
  <w:style w:type="paragraph" w:styleId="Heading4">
    <w:name w:val="Heading 4"/>
    <w:basedOn w:val="Heading"/>
    <w:qFormat/>
    <w:pPr/>
    <w:rPr/>
  </w:style>
  <w:style w:type="character" w:styleId="DefaultParagraphFont">
    <w:name w:val="Default Paragraph Font"/>
    <w:qFormat/>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ListLabel46">
    <w:name w:val="ListLabel 46"/>
    <w:qFormat/>
    <w:rPr>
      <w:rFonts w:cs="Symbol"/>
      <w:sz w:val="24"/>
    </w:rPr>
  </w:style>
  <w:style w:type="character" w:styleId="ListLabel47">
    <w:name w:val="ListLabel 47"/>
    <w:qFormat/>
    <w:rPr>
      <w:rFonts w:cs="Courier New"/>
    </w:rPr>
  </w:style>
  <w:style w:type="character" w:styleId="ListLabel48">
    <w:name w:val="ListLabel 48"/>
    <w:qFormat/>
    <w:rPr>
      <w:rFonts w:cs="Wingdings"/>
    </w:rPr>
  </w:style>
  <w:style w:type="character" w:styleId="ListLabel49">
    <w:name w:val="ListLabel 49"/>
    <w:qFormat/>
    <w:rPr>
      <w:rFonts w:cs="Symbol"/>
    </w:rPr>
  </w:style>
  <w:style w:type="character" w:styleId="ListLabel50">
    <w:name w:val="ListLabel 50"/>
    <w:qFormat/>
    <w:rPr>
      <w:rFonts w:cs="Courier New"/>
    </w:rPr>
  </w:style>
  <w:style w:type="character" w:styleId="ListLabel51">
    <w:name w:val="ListLabel 51"/>
    <w:qFormat/>
    <w:rPr>
      <w:rFonts w:cs="Wingdings"/>
    </w:rPr>
  </w:style>
  <w:style w:type="character" w:styleId="ListLabel52">
    <w:name w:val="ListLabel 52"/>
    <w:qFormat/>
    <w:rPr>
      <w:rFonts w:cs="Symbol"/>
    </w:rPr>
  </w:style>
  <w:style w:type="character" w:styleId="ListLabel53">
    <w:name w:val="ListLabel 53"/>
    <w:qFormat/>
    <w:rPr>
      <w:rFonts w:cs="Courier New"/>
    </w:rPr>
  </w:style>
  <w:style w:type="character" w:styleId="ListLabel54">
    <w:name w:val="ListLabel 54"/>
    <w:qFormat/>
    <w:rPr>
      <w:rFonts w:cs="Wingdings"/>
    </w:rPr>
  </w:style>
  <w:style w:type="character" w:styleId="ListLabel55">
    <w:name w:val="ListLabel 55"/>
    <w:qFormat/>
    <w:rPr>
      <w:rFonts w:cs="Symbol"/>
      <w:sz w:val="24"/>
    </w:rPr>
  </w:style>
  <w:style w:type="character" w:styleId="ListLabel56">
    <w:name w:val="ListLabel 56"/>
    <w:qFormat/>
    <w:rPr>
      <w:rFonts w:cs="Courier New"/>
    </w:rPr>
  </w:style>
  <w:style w:type="character" w:styleId="ListLabel57">
    <w:name w:val="ListLabel 57"/>
    <w:qFormat/>
    <w:rPr>
      <w:rFonts w:cs="Wingdings"/>
    </w:rPr>
  </w:style>
  <w:style w:type="character" w:styleId="ListLabel58">
    <w:name w:val="ListLabel 58"/>
    <w:qFormat/>
    <w:rPr>
      <w:rFonts w:cs="Symbol"/>
    </w:rPr>
  </w:style>
  <w:style w:type="character" w:styleId="ListLabel59">
    <w:name w:val="ListLabel 59"/>
    <w:qFormat/>
    <w:rPr>
      <w:rFonts w:cs="Courier New"/>
    </w:rPr>
  </w:style>
  <w:style w:type="character" w:styleId="ListLabel60">
    <w:name w:val="ListLabel 60"/>
    <w:qFormat/>
    <w:rPr>
      <w:rFonts w:cs="Wingdings"/>
    </w:rPr>
  </w:style>
  <w:style w:type="character" w:styleId="ListLabel61">
    <w:name w:val="ListLabel 61"/>
    <w:qFormat/>
    <w:rPr>
      <w:rFonts w:cs="Symbol"/>
    </w:rPr>
  </w:style>
  <w:style w:type="character" w:styleId="ListLabel62">
    <w:name w:val="ListLabel 62"/>
    <w:qFormat/>
    <w:rPr>
      <w:rFonts w:cs="Courier New"/>
    </w:rPr>
  </w:style>
  <w:style w:type="character" w:styleId="ListLabel63">
    <w:name w:val="ListLabel 63"/>
    <w:qFormat/>
    <w:rPr>
      <w:rFonts w:cs="Wingdings"/>
    </w:rPr>
  </w:style>
  <w:style w:type="character" w:styleId="ListLabel64">
    <w:name w:val="ListLabel 64"/>
    <w:qFormat/>
    <w:rPr>
      <w:rFonts w:cs="Symbol"/>
      <w:sz w:val="24"/>
    </w:rPr>
  </w:style>
  <w:style w:type="character" w:styleId="ListLabel65">
    <w:name w:val="ListLabel 65"/>
    <w:qFormat/>
    <w:rPr>
      <w:rFonts w:cs="Courier New"/>
    </w:rPr>
  </w:style>
  <w:style w:type="character" w:styleId="ListLabel66">
    <w:name w:val="ListLabel 66"/>
    <w:qFormat/>
    <w:rPr>
      <w:rFonts w:cs="Wingdings"/>
    </w:rPr>
  </w:style>
  <w:style w:type="character" w:styleId="ListLabel67">
    <w:name w:val="ListLabel 67"/>
    <w:qFormat/>
    <w:rPr>
      <w:rFonts w:cs="Symbol"/>
    </w:rPr>
  </w:style>
  <w:style w:type="character" w:styleId="ListLabel68">
    <w:name w:val="ListLabel 68"/>
    <w:qFormat/>
    <w:rPr>
      <w:rFonts w:cs="Courier New"/>
    </w:rPr>
  </w:style>
  <w:style w:type="character" w:styleId="ListLabel69">
    <w:name w:val="ListLabel 69"/>
    <w:qFormat/>
    <w:rPr>
      <w:rFonts w:cs="Wingdings"/>
    </w:rPr>
  </w:style>
  <w:style w:type="character" w:styleId="ListLabel70">
    <w:name w:val="ListLabel 70"/>
    <w:qFormat/>
    <w:rPr>
      <w:rFonts w:cs="Symbol"/>
    </w:rPr>
  </w:style>
  <w:style w:type="character" w:styleId="ListLabel71">
    <w:name w:val="ListLabel 71"/>
    <w:qFormat/>
    <w:rPr>
      <w:rFonts w:cs="Courier New"/>
    </w:rPr>
  </w:style>
  <w:style w:type="character" w:styleId="ListLabel72">
    <w:name w:val="ListLabel 72"/>
    <w:qFormat/>
    <w:rPr>
      <w:rFonts w:cs="Wingdings"/>
    </w:rPr>
  </w:style>
  <w:style w:type="character" w:styleId="ListLabel73">
    <w:name w:val="ListLabel 73"/>
    <w:qFormat/>
    <w:rPr>
      <w:rFonts w:cs="Symbol"/>
      <w:sz w:val="24"/>
    </w:rPr>
  </w:style>
  <w:style w:type="character" w:styleId="ListLabel74">
    <w:name w:val="ListLabel 74"/>
    <w:qFormat/>
    <w:rPr>
      <w:rFonts w:cs="Courier New"/>
    </w:rPr>
  </w:style>
  <w:style w:type="character" w:styleId="ListLabel75">
    <w:name w:val="ListLabel 75"/>
    <w:qFormat/>
    <w:rPr>
      <w:rFonts w:cs="Wingdings"/>
    </w:rPr>
  </w:style>
  <w:style w:type="character" w:styleId="ListLabel76">
    <w:name w:val="ListLabel 76"/>
    <w:qFormat/>
    <w:rPr>
      <w:rFonts w:cs="Symbol"/>
    </w:rPr>
  </w:style>
  <w:style w:type="character" w:styleId="ListLabel77">
    <w:name w:val="ListLabel 77"/>
    <w:qFormat/>
    <w:rPr>
      <w:rFonts w:cs="Courier New"/>
    </w:rPr>
  </w:style>
  <w:style w:type="character" w:styleId="ListLabel78">
    <w:name w:val="ListLabel 78"/>
    <w:qFormat/>
    <w:rPr>
      <w:rFonts w:cs="Wingdings"/>
    </w:rPr>
  </w:style>
  <w:style w:type="character" w:styleId="ListLabel79">
    <w:name w:val="ListLabel 79"/>
    <w:qFormat/>
    <w:rPr>
      <w:rFonts w:cs="Symbol"/>
    </w:rPr>
  </w:style>
  <w:style w:type="character" w:styleId="ListLabel80">
    <w:name w:val="ListLabel 80"/>
    <w:qFormat/>
    <w:rPr>
      <w:rFonts w:cs="Courier New"/>
    </w:rPr>
  </w:style>
  <w:style w:type="character" w:styleId="ListLabel81">
    <w:name w:val="ListLabel 81"/>
    <w:qFormat/>
    <w:rPr>
      <w:rFonts w:cs="Wingdings"/>
    </w:rPr>
  </w:style>
  <w:style w:type="character" w:styleId="ListLabel82">
    <w:name w:val="ListLabel 82"/>
    <w:qFormat/>
    <w:rPr>
      <w:rFonts w:cs="Symbol"/>
      <w:sz w:val="24"/>
    </w:rPr>
  </w:style>
  <w:style w:type="character" w:styleId="ListLabel83">
    <w:name w:val="ListLabel 83"/>
    <w:qFormat/>
    <w:rPr>
      <w:rFonts w:cs="Courier New"/>
    </w:rPr>
  </w:style>
  <w:style w:type="character" w:styleId="ListLabel84">
    <w:name w:val="ListLabel 84"/>
    <w:qFormat/>
    <w:rPr>
      <w:rFonts w:cs="Wingdings"/>
    </w:rPr>
  </w:style>
  <w:style w:type="character" w:styleId="ListLabel85">
    <w:name w:val="ListLabel 85"/>
    <w:qFormat/>
    <w:rPr>
      <w:rFonts w:cs="Symbol"/>
    </w:rPr>
  </w:style>
  <w:style w:type="character" w:styleId="ListLabel86">
    <w:name w:val="ListLabel 86"/>
    <w:qFormat/>
    <w:rPr>
      <w:rFonts w:cs="Courier New"/>
    </w:rPr>
  </w:style>
  <w:style w:type="character" w:styleId="ListLabel87">
    <w:name w:val="ListLabel 87"/>
    <w:qFormat/>
    <w:rPr>
      <w:rFonts w:cs="Wingdings"/>
    </w:rPr>
  </w:style>
  <w:style w:type="character" w:styleId="ListLabel88">
    <w:name w:val="ListLabel 88"/>
    <w:qFormat/>
    <w:rPr>
      <w:rFonts w:cs="Symbol"/>
    </w:rPr>
  </w:style>
  <w:style w:type="character" w:styleId="ListLabel89">
    <w:name w:val="ListLabel 89"/>
    <w:qFormat/>
    <w:rPr>
      <w:rFonts w:cs="Courier New"/>
    </w:rPr>
  </w:style>
  <w:style w:type="character" w:styleId="ListLabel90">
    <w:name w:val="ListLabel 90"/>
    <w:qFormat/>
    <w:rPr>
      <w:rFonts w:cs="Wingdings"/>
    </w:rPr>
  </w:style>
  <w:style w:type="character" w:styleId="ListLabel91">
    <w:name w:val="ListLabel 91"/>
    <w:qFormat/>
    <w:rPr>
      <w:rFonts w:ascii="Arial" w:hAnsi="Arial" w:cs="Symbol"/>
      <w:sz w:val="24"/>
    </w:rPr>
  </w:style>
  <w:style w:type="character" w:styleId="ListLabel92">
    <w:name w:val="ListLabel 92"/>
    <w:qFormat/>
    <w:rPr>
      <w:rFonts w:cs="Courier New"/>
    </w:rPr>
  </w:style>
  <w:style w:type="character" w:styleId="ListLabel93">
    <w:name w:val="ListLabel 93"/>
    <w:qFormat/>
    <w:rPr>
      <w:rFonts w:cs="Wingdings"/>
    </w:rPr>
  </w:style>
  <w:style w:type="character" w:styleId="ListLabel94">
    <w:name w:val="ListLabel 94"/>
    <w:qFormat/>
    <w:rPr>
      <w:rFonts w:cs="Symbol"/>
    </w:rPr>
  </w:style>
  <w:style w:type="character" w:styleId="ListLabel95">
    <w:name w:val="ListLabel 95"/>
    <w:qFormat/>
    <w:rPr>
      <w:rFonts w:cs="Courier New"/>
    </w:rPr>
  </w:style>
  <w:style w:type="character" w:styleId="ListLabel96">
    <w:name w:val="ListLabel 96"/>
    <w:qFormat/>
    <w:rPr>
      <w:rFonts w:cs="Wingdings"/>
    </w:rPr>
  </w:style>
  <w:style w:type="character" w:styleId="ListLabel97">
    <w:name w:val="ListLabel 97"/>
    <w:qFormat/>
    <w:rPr>
      <w:rFonts w:cs="Symbol"/>
    </w:rPr>
  </w:style>
  <w:style w:type="character" w:styleId="ListLabel98">
    <w:name w:val="ListLabel 98"/>
    <w:qFormat/>
    <w:rPr>
      <w:rFonts w:cs="Courier New"/>
    </w:rPr>
  </w:style>
  <w:style w:type="character" w:styleId="ListLabel99">
    <w:name w:val="ListLabel 99"/>
    <w:qFormat/>
    <w:rPr>
      <w:rFonts w:cs="Wingdings"/>
    </w:rPr>
  </w:style>
  <w:style w:type="character" w:styleId="Emphasis">
    <w:name w:val="Emphasis"/>
    <w:qFormat/>
    <w:rPr>
      <w:i/>
      <w:iCs/>
    </w:rPr>
  </w:style>
  <w:style w:type="character" w:styleId="StrongEmphasis">
    <w:name w:val="Strong Emphasis"/>
    <w:qFormat/>
    <w:rPr>
      <w:b/>
      <w:bCs/>
    </w:rPr>
  </w:style>
  <w:style w:type="character" w:styleId="ListLabel100">
    <w:name w:val="ListLabel 100"/>
    <w:qFormat/>
    <w:rPr>
      <w:rFonts w:ascii="Arial" w:hAnsi="Arial" w:cs="Symbol"/>
      <w:sz w:val="24"/>
    </w:rPr>
  </w:style>
  <w:style w:type="character" w:styleId="ListLabel101">
    <w:name w:val="ListLabel 101"/>
    <w:qFormat/>
    <w:rPr>
      <w:rFonts w:cs="Courier New"/>
    </w:rPr>
  </w:style>
  <w:style w:type="character" w:styleId="ListLabel102">
    <w:name w:val="ListLabel 102"/>
    <w:qFormat/>
    <w:rPr>
      <w:rFonts w:cs="Wingdings"/>
    </w:rPr>
  </w:style>
  <w:style w:type="character" w:styleId="ListLabel103">
    <w:name w:val="ListLabel 103"/>
    <w:qFormat/>
    <w:rPr>
      <w:rFonts w:cs="Symbol"/>
    </w:rPr>
  </w:style>
  <w:style w:type="character" w:styleId="ListLabel104">
    <w:name w:val="ListLabel 104"/>
    <w:qFormat/>
    <w:rPr>
      <w:rFonts w:cs="Courier New"/>
    </w:rPr>
  </w:style>
  <w:style w:type="character" w:styleId="ListLabel105">
    <w:name w:val="ListLabel 105"/>
    <w:qFormat/>
    <w:rPr>
      <w:rFonts w:cs="Wingdings"/>
    </w:rPr>
  </w:style>
  <w:style w:type="character" w:styleId="ListLabel106">
    <w:name w:val="ListLabel 106"/>
    <w:qFormat/>
    <w:rPr>
      <w:rFonts w:cs="Symbol"/>
    </w:rPr>
  </w:style>
  <w:style w:type="character" w:styleId="ListLabel107">
    <w:name w:val="ListLabel 107"/>
    <w:qFormat/>
    <w:rPr>
      <w:rFonts w:cs="Courier New"/>
    </w:rPr>
  </w:style>
  <w:style w:type="character" w:styleId="ListLabel108">
    <w:name w:val="ListLabel 108"/>
    <w:qFormat/>
    <w:rPr>
      <w:rFonts w:cs="Wingdings"/>
    </w:rPr>
  </w:style>
  <w:style w:type="character" w:styleId="ListLabel109">
    <w:name w:val="ListLabel 109"/>
    <w:qFormat/>
    <w:rPr>
      <w:rFonts w:ascii="Arial" w:hAnsi="Arial" w:cs="Symbol"/>
      <w:sz w:val="24"/>
    </w:rPr>
  </w:style>
  <w:style w:type="character" w:styleId="ListLabel110">
    <w:name w:val="ListLabel 110"/>
    <w:qFormat/>
    <w:rPr>
      <w:rFonts w:cs="Courier New"/>
    </w:rPr>
  </w:style>
  <w:style w:type="character" w:styleId="ListLabel111">
    <w:name w:val="ListLabel 111"/>
    <w:qFormat/>
    <w:rPr>
      <w:rFonts w:cs="Wingdings"/>
    </w:rPr>
  </w:style>
  <w:style w:type="character" w:styleId="ListLabel112">
    <w:name w:val="ListLabel 112"/>
    <w:qFormat/>
    <w:rPr>
      <w:rFonts w:cs="Symbol"/>
    </w:rPr>
  </w:style>
  <w:style w:type="character" w:styleId="ListLabel113">
    <w:name w:val="ListLabel 113"/>
    <w:qFormat/>
    <w:rPr>
      <w:rFonts w:cs="Courier New"/>
    </w:rPr>
  </w:style>
  <w:style w:type="character" w:styleId="ListLabel114">
    <w:name w:val="ListLabel 114"/>
    <w:qFormat/>
    <w:rPr>
      <w:rFonts w:cs="Wingdings"/>
    </w:rPr>
  </w:style>
  <w:style w:type="character" w:styleId="ListLabel115">
    <w:name w:val="ListLabel 115"/>
    <w:qFormat/>
    <w:rPr>
      <w:rFonts w:cs="Symbol"/>
    </w:rPr>
  </w:style>
  <w:style w:type="character" w:styleId="ListLabel116">
    <w:name w:val="ListLabel 116"/>
    <w:qFormat/>
    <w:rPr>
      <w:rFonts w:cs="Courier New"/>
    </w:rPr>
  </w:style>
  <w:style w:type="character" w:styleId="ListLabel117">
    <w:name w:val="ListLabel 117"/>
    <w:qFormat/>
    <w:rPr>
      <w:rFonts w:cs="Wingdings"/>
    </w:rPr>
  </w:style>
  <w:style w:type="character" w:styleId="Bullets">
    <w:name w:val="Bullets"/>
    <w:qFormat/>
    <w:rPr>
      <w:rFonts w:ascii="OpenSymbol" w:hAnsi="OpenSymbol" w:eastAsia="OpenSymbol" w:cs="OpenSymbol"/>
    </w:rPr>
  </w:style>
  <w:style w:type="character" w:styleId="ListLabel118">
    <w:name w:val="ListLabel 118"/>
    <w:qFormat/>
    <w:rPr>
      <w:rFonts w:cs="OpenSymbol"/>
    </w:rPr>
  </w:style>
  <w:style w:type="character" w:styleId="ListLabel119">
    <w:name w:val="ListLabel 119"/>
    <w:qFormat/>
    <w:rPr>
      <w:rFonts w:cs="OpenSymbol"/>
    </w:rPr>
  </w:style>
  <w:style w:type="character" w:styleId="ListLabel120">
    <w:name w:val="ListLabel 120"/>
    <w:qFormat/>
    <w:rPr>
      <w:rFonts w:cs="OpenSymbol"/>
    </w:rPr>
  </w:style>
  <w:style w:type="character" w:styleId="ListLabel121">
    <w:name w:val="ListLabel 121"/>
    <w:qFormat/>
    <w:rPr>
      <w:rFonts w:cs="OpenSymbol"/>
    </w:rPr>
  </w:style>
  <w:style w:type="character" w:styleId="ListLabel122">
    <w:name w:val="ListLabel 122"/>
    <w:qFormat/>
    <w:rPr>
      <w:rFonts w:cs="OpenSymbol"/>
    </w:rPr>
  </w:style>
  <w:style w:type="character" w:styleId="ListLabel123">
    <w:name w:val="ListLabel 123"/>
    <w:qFormat/>
    <w:rPr>
      <w:rFonts w:cs="OpenSymbol"/>
    </w:rPr>
  </w:style>
  <w:style w:type="character" w:styleId="ListLabel124">
    <w:name w:val="ListLabel 124"/>
    <w:qFormat/>
    <w:rPr>
      <w:rFonts w:cs="OpenSymbol"/>
    </w:rPr>
  </w:style>
  <w:style w:type="character" w:styleId="ListLabel125">
    <w:name w:val="ListLabel 125"/>
    <w:qFormat/>
    <w:rPr>
      <w:rFonts w:cs="OpenSymbol"/>
    </w:rPr>
  </w:style>
  <w:style w:type="character" w:styleId="ListLabel126">
    <w:name w:val="ListLabel 126"/>
    <w:qFormat/>
    <w:rPr>
      <w:rFonts w:cs="OpenSymbol"/>
    </w:rPr>
  </w:style>
  <w:style w:type="character" w:styleId="ListLabel127">
    <w:name w:val="ListLabel 127"/>
    <w:qFormat/>
    <w:rPr>
      <w:rFonts w:cs="OpenSymbol"/>
    </w:rPr>
  </w:style>
  <w:style w:type="character" w:styleId="ListLabel128">
    <w:name w:val="ListLabel 128"/>
    <w:qFormat/>
    <w:rPr>
      <w:rFonts w:cs="OpenSymbol"/>
    </w:rPr>
  </w:style>
  <w:style w:type="character" w:styleId="ListLabel129">
    <w:name w:val="ListLabel 129"/>
    <w:qFormat/>
    <w:rPr>
      <w:rFonts w:cs="OpenSymbol"/>
    </w:rPr>
  </w:style>
  <w:style w:type="character" w:styleId="ListLabel130">
    <w:name w:val="ListLabel 130"/>
    <w:qFormat/>
    <w:rPr>
      <w:rFonts w:cs="OpenSymbol"/>
    </w:rPr>
  </w:style>
  <w:style w:type="character" w:styleId="ListLabel131">
    <w:name w:val="ListLabel 131"/>
    <w:qFormat/>
    <w:rPr>
      <w:rFonts w:cs="OpenSymbol"/>
    </w:rPr>
  </w:style>
  <w:style w:type="character" w:styleId="ListLabel132">
    <w:name w:val="ListLabel 132"/>
    <w:qFormat/>
    <w:rPr>
      <w:rFonts w:cs="OpenSymbol"/>
    </w:rPr>
  </w:style>
  <w:style w:type="character" w:styleId="ListLabel133">
    <w:name w:val="ListLabel 133"/>
    <w:qFormat/>
    <w:rPr>
      <w:rFonts w:cs="OpenSymbol"/>
    </w:rPr>
  </w:style>
  <w:style w:type="character" w:styleId="ListLabel134">
    <w:name w:val="ListLabel 134"/>
    <w:qFormat/>
    <w:rPr>
      <w:rFonts w:cs="OpenSymbol"/>
    </w:rPr>
  </w:style>
  <w:style w:type="character" w:styleId="ListLabel135">
    <w:name w:val="ListLabel 135"/>
    <w:qFormat/>
    <w:rPr>
      <w:rFonts w:cs="OpenSymbol"/>
    </w:rPr>
  </w:style>
  <w:style w:type="character" w:styleId="ListLabel136">
    <w:name w:val="ListLabel 136"/>
    <w:qFormat/>
    <w:rPr>
      <w:rFonts w:cs="OpenSymbol"/>
    </w:rPr>
  </w:style>
  <w:style w:type="character" w:styleId="ListLabel137">
    <w:name w:val="ListLabel 137"/>
    <w:qFormat/>
    <w:rPr>
      <w:rFonts w:cs="OpenSymbol"/>
    </w:rPr>
  </w:style>
  <w:style w:type="character" w:styleId="ListLabel138">
    <w:name w:val="ListLabel 138"/>
    <w:qFormat/>
    <w:rPr>
      <w:rFonts w:cs="OpenSymbol"/>
    </w:rPr>
  </w:style>
  <w:style w:type="character" w:styleId="ListLabel139">
    <w:name w:val="ListLabel 139"/>
    <w:qFormat/>
    <w:rPr>
      <w:rFonts w:cs="OpenSymbol"/>
    </w:rPr>
  </w:style>
  <w:style w:type="character" w:styleId="ListLabel140">
    <w:name w:val="ListLabel 140"/>
    <w:qFormat/>
    <w:rPr>
      <w:rFonts w:cs="OpenSymbol"/>
    </w:rPr>
  </w:style>
  <w:style w:type="character" w:styleId="ListLabel141">
    <w:name w:val="ListLabel 141"/>
    <w:qFormat/>
    <w:rPr>
      <w:rFonts w:cs="OpenSymbol"/>
    </w:rPr>
  </w:style>
  <w:style w:type="character" w:styleId="ListLabel142">
    <w:name w:val="ListLabel 142"/>
    <w:qFormat/>
    <w:rPr>
      <w:rFonts w:cs="OpenSymbol"/>
    </w:rPr>
  </w:style>
  <w:style w:type="character" w:styleId="ListLabel143">
    <w:name w:val="ListLabel 143"/>
    <w:qFormat/>
    <w:rPr>
      <w:rFonts w:cs="OpenSymbol"/>
    </w:rPr>
  </w:style>
  <w:style w:type="character" w:styleId="ListLabel144">
    <w:name w:val="ListLabel 144"/>
    <w:qFormat/>
    <w:rPr>
      <w:rFonts w:cs="OpenSymbol"/>
    </w:rPr>
  </w:style>
  <w:style w:type="character" w:styleId="ListLabel145">
    <w:name w:val="ListLabel 145"/>
    <w:qFormat/>
    <w:rPr>
      <w:rFonts w:cs="OpenSymbol"/>
    </w:rPr>
  </w:style>
  <w:style w:type="character" w:styleId="ListLabel146">
    <w:name w:val="ListLabel 146"/>
    <w:qFormat/>
    <w:rPr>
      <w:rFonts w:cs="OpenSymbol"/>
    </w:rPr>
  </w:style>
  <w:style w:type="character" w:styleId="ListLabel147">
    <w:name w:val="ListLabel 147"/>
    <w:qFormat/>
    <w:rPr>
      <w:rFonts w:cs="OpenSymbol"/>
    </w:rPr>
  </w:style>
  <w:style w:type="character" w:styleId="ListLabel148">
    <w:name w:val="ListLabel 148"/>
    <w:qFormat/>
    <w:rPr>
      <w:rFonts w:cs="OpenSymbol"/>
    </w:rPr>
  </w:style>
  <w:style w:type="character" w:styleId="ListLabel149">
    <w:name w:val="ListLabel 149"/>
    <w:qFormat/>
    <w:rPr>
      <w:rFonts w:cs="OpenSymbol"/>
    </w:rPr>
  </w:style>
  <w:style w:type="character" w:styleId="ListLabel150">
    <w:name w:val="ListLabel 150"/>
    <w:qFormat/>
    <w:rPr>
      <w:rFonts w:cs="OpenSymbol"/>
    </w:rPr>
  </w:style>
  <w:style w:type="character" w:styleId="ListLabel151">
    <w:name w:val="ListLabel 151"/>
    <w:qFormat/>
    <w:rPr>
      <w:rFonts w:cs="OpenSymbol"/>
    </w:rPr>
  </w:style>
  <w:style w:type="character" w:styleId="ListLabel152">
    <w:name w:val="ListLabel 152"/>
    <w:qFormat/>
    <w:rPr>
      <w:rFonts w:cs="OpenSymbol"/>
    </w:rPr>
  </w:style>
  <w:style w:type="character" w:styleId="ListLabel153">
    <w:name w:val="ListLabel 153"/>
    <w:qFormat/>
    <w:rPr>
      <w:rFonts w:cs="OpenSymbol"/>
    </w:rPr>
  </w:style>
  <w:style w:type="character" w:styleId="ListLabel154">
    <w:name w:val="ListLabel 154"/>
    <w:qFormat/>
    <w:rPr>
      <w:rFonts w:cs="OpenSymbol"/>
    </w:rPr>
  </w:style>
  <w:style w:type="character" w:styleId="ListLabel155">
    <w:name w:val="ListLabel 155"/>
    <w:qFormat/>
    <w:rPr>
      <w:rFonts w:cs="OpenSymbol"/>
    </w:rPr>
  </w:style>
  <w:style w:type="character" w:styleId="ListLabel156">
    <w:name w:val="ListLabel 156"/>
    <w:qFormat/>
    <w:rPr>
      <w:rFonts w:cs="OpenSymbol"/>
    </w:rPr>
  </w:style>
  <w:style w:type="character" w:styleId="ListLabel157">
    <w:name w:val="ListLabel 157"/>
    <w:qFormat/>
    <w:rPr>
      <w:rFonts w:cs="OpenSymbol"/>
    </w:rPr>
  </w:style>
  <w:style w:type="character" w:styleId="ListLabel158">
    <w:name w:val="ListLabel 158"/>
    <w:qFormat/>
    <w:rPr>
      <w:rFonts w:cs="OpenSymbol"/>
    </w:rPr>
  </w:style>
  <w:style w:type="character" w:styleId="ListLabel159">
    <w:name w:val="ListLabel 159"/>
    <w:qFormat/>
    <w:rPr>
      <w:rFonts w:cs="OpenSymbol"/>
    </w:rPr>
  </w:style>
  <w:style w:type="character" w:styleId="ListLabel160">
    <w:name w:val="ListLabel 160"/>
    <w:qFormat/>
    <w:rPr>
      <w:rFonts w:cs="OpenSymbol"/>
    </w:rPr>
  </w:style>
  <w:style w:type="character" w:styleId="ListLabel161">
    <w:name w:val="ListLabel 161"/>
    <w:qFormat/>
    <w:rPr>
      <w:rFonts w:cs="OpenSymbol"/>
    </w:rPr>
  </w:style>
  <w:style w:type="character" w:styleId="ListLabel162">
    <w:name w:val="ListLabel 162"/>
    <w:qFormat/>
    <w:rPr>
      <w:rFonts w:cs="OpenSymbol"/>
    </w:rPr>
  </w:style>
  <w:style w:type="character" w:styleId="ListLabel163">
    <w:name w:val="ListLabel 163"/>
    <w:qFormat/>
    <w:rPr>
      <w:rFonts w:cs="Wingdings"/>
    </w:rPr>
  </w:style>
  <w:style w:type="character" w:styleId="ListLabel164">
    <w:name w:val="ListLabel 164"/>
    <w:qFormat/>
    <w:rPr>
      <w:rFonts w:cs="Wingdings"/>
    </w:rPr>
  </w:style>
  <w:style w:type="character" w:styleId="ListLabel165">
    <w:name w:val="ListLabel 165"/>
    <w:qFormat/>
    <w:rPr>
      <w:rFonts w:cs="Wingdings"/>
    </w:rPr>
  </w:style>
  <w:style w:type="character" w:styleId="ListLabel166">
    <w:name w:val="ListLabel 166"/>
    <w:qFormat/>
    <w:rPr>
      <w:rFonts w:cs="Wingdings"/>
    </w:rPr>
  </w:style>
  <w:style w:type="character" w:styleId="ListLabel167">
    <w:name w:val="ListLabel 167"/>
    <w:qFormat/>
    <w:rPr>
      <w:rFonts w:cs="Wingdings"/>
    </w:rPr>
  </w:style>
  <w:style w:type="character" w:styleId="ListLabel168">
    <w:name w:val="ListLabel 168"/>
    <w:qFormat/>
    <w:rPr>
      <w:rFonts w:cs="Wingdings"/>
    </w:rPr>
  </w:style>
  <w:style w:type="character" w:styleId="ListLabel169">
    <w:name w:val="ListLabel 169"/>
    <w:qFormat/>
    <w:rPr>
      <w:rFonts w:cs="Wingdings"/>
    </w:rPr>
  </w:style>
  <w:style w:type="character" w:styleId="ListLabel170">
    <w:name w:val="ListLabel 170"/>
    <w:qFormat/>
    <w:rPr>
      <w:rFonts w:cs="Wingdings"/>
    </w:rPr>
  </w:style>
  <w:style w:type="character" w:styleId="ListLabel171">
    <w:name w:val="ListLabel 171"/>
    <w:qFormat/>
    <w:rPr>
      <w:rFonts w:cs="Wingdings"/>
    </w:rPr>
  </w:style>
  <w:style w:type="character" w:styleId="ListLabel172">
    <w:name w:val="ListLabel 172"/>
    <w:qFormat/>
    <w:rPr>
      <w:rFonts w:cs="OpenSymbol"/>
    </w:rPr>
  </w:style>
  <w:style w:type="character" w:styleId="ListLabel173">
    <w:name w:val="ListLabel 173"/>
    <w:qFormat/>
    <w:rPr>
      <w:rFonts w:cs="OpenSymbol"/>
    </w:rPr>
  </w:style>
  <w:style w:type="character" w:styleId="ListLabel174">
    <w:name w:val="ListLabel 174"/>
    <w:qFormat/>
    <w:rPr>
      <w:rFonts w:cs="OpenSymbol"/>
    </w:rPr>
  </w:style>
  <w:style w:type="character" w:styleId="ListLabel175">
    <w:name w:val="ListLabel 175"/>
    <w:qFormat/>
    <w:rPr>
      <w:rFonts w:cs="OpenSymbol"/>
    </w:rPr>
  </w:style>
  <w:style w:type="character" w:styleId="ListLabel176">
    <w:name w:val="ListLabel 176"/>
    <w:qFormat/>
    <w:rPr>
      <w:rFonts w:cs="OpenSymbol"/>
    </w:rPr>
  </w:style>
  <w:style w:type="character" w:styleId="ListLabel177">
    <w:name w:val="ListLabel 177"/>
    <w:qFormat/>
    <w:rPr>
      <w:rFonts w:cs="OpenSymbol"/>
    </w:rPr>
  </w:style>
  <w:style w:type="character" w:styleId="ListLabel178">
    <w:name w:val="ListLabel 178"/>
    <w:qFormat/>
    <w:rPr>
      <w:rFonts w:cs="OpenSymbol"/>
    </w:rPr>
  </w:style>
  <w:style w:type="character" w:styleId="ListLabel179">
    <w:name w:val="ListLabel 179"/>
    <w:qFormat/>
    <w:rPr>
      <w:rFonts w:cs="OpenSymbol"/>
    </w:rPr>
  </w:style>
  <w:style w:type="character" w:styleId="ListLabel180">
    <w:name w:val="ListLabel 180"/>
    <w:qFormat/>
    <w:rPr>
      <w:rFonts w:cs="OpenSymbol"/>
    </w:rPr>
  </w:style>
  <w:style w:type="character" w:styleId="ListLabel181">
    <w:name w:val="ListLabel 181"/>
    <w:qFormat/>
    <w:rPr>
      <w:rFonts w:cs="Wingdings"/>
    </w:rPr>
  </w:style>
  <w:style w:type="character" w:styleId="ListLabel182">
    <w:name w:val="ListLabel 182"/>
    <w:qFormat/>
    <w:rPr>
      <w:rFonts w:cs="Wingdings"/>
    </w:rPr>
  </w:style>
  <w:style w:type="character" w:styleId="ListLabel183">
    <w:name w:val="ListLabel 183"/>
    <w:qFormat/>
    <w:rPr>
      <w:rFonts w:cs="Wingdings"/>
    </w:rPr>
  </w:style>
  <w:style w:type="character" w:styleId="ListLabel184">
    <w:name w:val="ListLabel 184"/>
    <w:qFormat/>
    <w:rPr>
      <w:rFonts w:cs="Wingdings"/>
    </w:rPr>
  </w:style>
  <w:style w:type="character" w:styleId="ListLabel185">
    <w:name w:val="ListLabel 185"/>
    <w:qFormat/>
    <w:rPr>
      <w:rFonts w:cs="Wingdings"/>
    </w:rPr>
  </w:style>
  <w:style w:type="character" w:styleId="ListLabel186">
    <w:name w:val="ListLabel 186"/>
    <w:qFormat/>
    <w:rPr>
      <w:rFonts w:cs="Wingdings"/>
    </w:rPr>
  </w:style>
  <w:style w:type="character" w:styleId="ListLabel187">
    <w:name w:val="ListLabel 187"/>
    <w:qFormat/>
    <w:rPr>
      <w:rFonts w:cs="Wingdings"/>
    </w:rPr>
  </w:style>
  <w:style w:type="character" w:styleId="ListLabel188">
    <w:name w:val="ListLabel 188"/>
    <w:qFormat/>
    <w:rPr>
      <w:rFonts w:cs="Wingdings"/>
    </w:rPr>
  </w:style>
  <w:style w:type="character" w:styleId="ListLabel189">
    <w:name w:val="ListLabel 189"/>
    <w:qFormat/>
    <w:rPr>
      <w:rFonts w:cs="Wingdings"/>
    </w:rPr>
  </w:style>
  <w:style w:type="character" w:styleId="ListLabel190">
    <w:name w:val="ListLabel 190"/>
    <w:qFormat/>
    <w:rPr>
      <w:rFonts w:cs="OpenSymbol"/>
    </w:rPr>
  </w:style>
  <w:style w:type="character" w:styleId="ListLabel191">
    <w:name w:val="ListLabel 191"/>
    <w:qFormat/>
    <w:rPr>
      <w:rFonts w:cs="OpenSymbol"/>
    </w:rPr>
  </w:style>
  <w:style w:type="character" w:styleId="ListLabel192">
    <w:name w:val="ListLabel 192"/>
    <w:qFormat/>
    <w:rPr>
      <w:rFonts w:cs="OpenSymbol"/>
    </w:rPr>
  </w:style>
  <w:style w:type="character" w:styleId="ListLabel193">
    <w:name w:val="ListLabel 193"/>
    <w:qFormat/>
    <w:rPr>
      <w:rFonts w:cs="OpenSymbol"/>
    </w:rPr>
  </w:style>
  <w:style w:type="character" w:styleId="ListLabel194">
    <w:name w:val="ListLabel 194"/>
    <w:qFormat/>
    <w:rPr>
      <w:rFonts w:cs="OpenSymbol"/>
    </w:rPr>
  </w:style>
  <w:style w:type="character" w:styleId="ListLabel195">
    <w:name w:val="ListLabel 195"/>
    <w:qFormat/>
    <w:rPr>
      <w:rFonts w:cs="OpenSymbol"/>
    </w:rPr>
  </w:style>
  <w:style w:type="character" w:styleId="ListLabel196">
    <w:name w:val="ListLabel 196"/>
    <w:qFormat/>
    <w:rPr>
      <w:rFonts w:cs="OpenSymbol"/>
    </w:rPr>
  </w:style>
  <w:style w:type="character" w:styleId="ListLabel197">
    <w:name w:val="ListLabel 197"/>
    <w:qFormat/>
    <w:rPr>
      <w:rFonts w:cs="OpenSymbol"/>
    </w:rPr>
  </w:style>
  <w:style w:type="character" w:styleId="ListLabel198">
    <w:name w:val="ListLabel 198"/>
    <w:qFormat/>
    <w:rPr>
      <w:rFonts w:cs="OpenSymbol"/>
    </w:rPr>
  </w:style>
  <w:style w:type="character" w:styleId="ListLabel199">
    <w:name w:val="ListLabel 199"/>
    <w:qFormat/>
    <w:rPr>
      <w:rFonts w:cs="Wingdings"/>
    </w:rPr>
  </w:style>
  <w:style w:type="character" w:styleId="ListLabel200">
    <w:name w:val="ListLabel 200"/>
    <w:qFormat/>
    <w:rPr>
      <w:rFonts w:cs="Wingdings"/>
    </w:rPr>
  </w:style>
  <w:style w:type="character" w:styleId="ListLabel201">
    <w:name w:val="ListLabel 201"/>
    <w:qFormat/>
    <w:rPr>
      <w:rFonts w:cs="Wingdings"/>
    </w:rPr>
  </w:style>
  <w:style w:type="character" w:styleId="ListLabel202">
    <w:name w:val="ListLabel 202"/>
    <w:qFormat/>
    <w:rPr>
      <w:rFonts w:cs="Wingdings"/>
    </w:rPr>
  </w:style>
  <w:style w:type="character" w:styleId="ListLabel203">
    <w:name w:val="ListLabel 203"/>
    <w:qFormat/>
    <w:rPr>
      <w:rFonts w:cs="Wingdings"/>
    </w:rPr>
  </w:style>
  <w:style w:type="character" w:styleId="ListLabel204">
    <w:name w:val="ListLabel 204"/>
    <w:qFormat/>
    <w:rPr>
      <w:rFonts w:cs="Wingdings"/>
    </w:rPr>
  </w:style>
  <w:style w:type="character" w:styleId="ListLabel205">
    <w:name w:val="ListLabel 205"/>
    <w:qFormat/>
    <w:rPr>
      <w:rFonts w:cs="Wingdings"/>
    </w:rPr>
  </w:style>
  <w:style w:type="character" w:styleId="ListLabel206">
    <w:name w:val="ListLabel 206"/>
    <w:qFormat/>
    <w:rPr>
      <w:rFonts w:cs="Wingdings"/>
    </w:rPr>
  </w:style>
  <w:style w:type="character" w:styleId="ListLabel207">
    <w:name w:val="ListLabel 207"/>
    <w:qFormat/>
    <w:rPr>
      <w:rFonts w:cs="Wingdings"/>
    </w:rPr>
  </w:style>
  <w:style w:type="character" w:styleId="ListLabel208">
    <w:name w:val="ListLabel 208"/>
    <w:qFormat/>
    <w:rPr>
      <w:rFonts w:cs="OpenSymbol"/>
    </w:rPr>
  </w:style>
  <w:style w:type="character" w:styleId="ListLabel209">
    <w:name w:val="ListLabel 209"/>
    <w:qFormat/>
    <w:rPr>
      <w:rFonts w:cs="OpenSymbol"/>
    </w:rPr>
  </w:style>
  <w:style w:type="character" w:styleId="ListLabel210">
    <w:name w:val="ListLabel 210"/>
    <w:qFormat/>
    <w:rPr>
      <w:rFonts w:cs="OpenSymbol"/>
    </w:rPr>
  </w:style>
  <w:style w:type="character" w:styleId="ListLabel211">
    <w:name w:val="ListLabel 211"/>
    <w:qFormat/>
    <w:rPr>
      <w:rFonts w:cs="OpenSymbol"/>
    </w:rPr>
  </w:style>
  <w:style w:type="character" w:styleId="ListLabel212">
    <w:name w:val="ListLabel 212"/>
    <w:qFormat/>
    <w:rPr>
      <w:rFonts w:cs="OpenSymbol"/>
    </w:rPr>
  </w:style>
  <w:style w:type="character" w:styleId="ListLabel213">
    <w:name w:val="ListLabel 213"/>
    <w:qFormat/>
    <w:rPr>
      <w:rFonts w:cs="OpenSymbol"/>
    </w:rPr>
  </w:style>
  <w:style w:type="character" w:styleId="ListLabel214">
    <w:name w:val="ListLabel 214"/>
    <w:qFormat/>
    <w:rPr>
      <w:rFonts w:cs="OpenSymbol"/>
    </w:rPr>
  </w:style>
  <w:style w:type="character" w:styleId="ListLabel215">
    <w:name w:val="ListLabel 215"/>
    <w:qFormat/>
    <w:rPr>
      <w:rFonts w:cs="OpenSymbol"/>
    </w:rPr>
  </w:style>
  <w:style w:type="character" w:styleId="ListLabel216">
    <w:name w:val="ListLabel 216"/>
    <w:qFormat/>
    <w:rPr>
      <w:rFonts w:cs="OpenSymbol"/>
    </w:rPr>
  </w:style>
  <w:style w:type="character" w:styleId="ListLabel217">
    <w:name w:val="ListLabel 217"/>
    <w:qFormat/>
    <w:rPr>
      <w:rFonts w:cs="Wingdings"/>
    </w:rPr>
  </w:style>
  <w:style w:type="character" w:styleId="ListLabel218">
    <w:name w:val="ListLabel 218"/>
    <w:qFormat/>
    <w:rPr>
      <w:rFonts w:cs="Wingdings"/>
    </w:rPr>
  </w:style>
  <w:style w:type="character" w:styleId="ListLabel219">
    <w:name w:val="ListLabel 219"/>
    <w:qFormat/>
    <w:rPr>
      <w:rFonts w:cs="Wingdings"/>
    </w:rPr>
  </w:style>
  <w:style w:type="character" w:styleId="ListLabel220">
    <w:name w:val="ListLabel 220"/>
    <w:qFormat/>
    <w:rPr>
      <w:rFonts w:cs="Wingdings"/>
    </w:rPr>
  </w:style>
  <w:style w:type="character" w:styleId="ListLabel221">
    <w:name w:val="ListLabel 221"/>
    <w:qFormat/>
    <w:rPr>
      <w:rFonts w:cs="Wingdings"/>
    </w:rPr>
  </w:style>
  <w:style w:type="character" w:styleId="ListLabel222">
    <w:name w:val="ListLabel 222"/>
    <w:qFormat/>
    <w:rPr>
      <w:rFonts w:cs="Wingdings"/>
    </w:rPr>
  </w:style>
  <w:style w:type="character" w:styleId="ListLabel223">
    <w:name w:val="ListLabel 223"/>
    <w:qFormat/>
    <w:rPr>
      <w:rFonts w:cs="Wingdings"/>
    </w:rPr>
  </w:style>
  <w:style w:type="character" w:styleId="ListLabel224">
    <w:name w:val="ListLabel 224"/>
    <w:qFormat/>
    <w:rPr>
      <w:rFonts w:cs="Wingdings"/>
    </w:rPr>
  </w:style>
  <w:style w:type="character" w:styleId="ListLabel225">
    <w:name w:val="ListLabel 225"/>
    <w:qFormat/>
    <w:rPr>
      <w:rFonts w:cs="Wingdings"/>
    </w:rPr>
  </w:style>
  <w:style w:type="character" w:styleId="ListLabel226">
    <w:name w:val="ListLabel 226"/>
    <w:qFormat/>
    <w:rPr>
      <w:rFonts w:cs="OpenSymbol"/>
    </w:rPr>
  </w:style>
  <w:style w:type="character" w:styleId="ListLabel227">
    <w:name w:val="ListLabel 227"/>
    <w:qFormat/>
    <w:rPr>
      <w:rFonts w:cs="OpenSymbol"/>
    </w:rPr>
  </w:style>
  <w:style w:type="character" w:styleId="ListLabel228">
    <w:name w:val="ListLabel 228"/>
    <w:qFormat/>
    <w:rPr>
      <w:rFonts w:cs="OpenSymbol"/>
    </w:rPr>
  </w:style>
  <w:style w:type="character" w:styleId="ListLabel229">
    <w:name w:val="ListLabel 229"/>
    <w:qFormat/>
    <w:rPr>
      <w:rFonts w:cs="OpenSymbol"/>
    </w:rPr>
  </w:style>
  <w:style w:type="character" w:styleId="ListLabel230">
    <w:name w:val="ListLabel 230"/>
    <w:qFormat/>
    <w:rPr>
      <w:rFonts w:cs="OpenSymbol"/>
    </w:rPr>
  </w:style>
  <w:style w:type="character" w:styleId="ListLabel231">
    <w:name w:val="ListLabel 231"/>
    <w:qFormat/>
    <w:rPr>
      <w:rFonts w:cs="OpenSymbol"/>
    </w:rPr>
  </w:style>
  <w:style w:type="character" w:styleId="ListLabel232">
    <w:name w:val="ListLabel 232"/>
    <w:qFormat/>
    <w:rPr>
      <w:rFonts w:cs="OpenSymbol"/>
    </w:rPr>
  </w:style>
  <w:style w:type="character" w:styleId="ListLabel233">
    <w:name w:val="ListLabel 233"/>
    <w:qFormat/>
    <w:rPr>
      <w:rFonts w:cs="OpenSymbol"/>
    </w:rPr>
  </w:style>
  <w:style w:type="character" w:styleId="ListLabel234">
    <w:name w:val="ListLabel 234"/>
    <w:qFormat/>
    <w:rPr>
      <w:rFonts w:cs="OpenSymbol"/>
    </w:rPr>
  </w:style>
  <w:style w:type="character" w:styleId="ListLabel235">
    <w:name w:val="ListLabel 235"/>
    <w:qFormat/>
    <w:rPr>
      <w:rFonts w:cs="OpenSymbol"/>
    </w:rPr>
  </w:style>
  <w:style w:type="character" w:styleId="ListLabel236">
    <w:name w:val="ListLabel 236"/>
    <w:qFormat/>
    <w:rPr>
      <w:rFonts w:cs="OpenSymbol"/>
    </w:rPr>
  </w:style>
  <w:style w:type="character" w:styleId="ListLabel237">
    <w:name w:val="ListLabel 237"/>
    <w:qFormat/>
    <w:rPr>
      <w:rFonts w:cs="OpenSymbol"/>
    </w:rPr>
  </w:style>
  <w:style w:type="character" w:styleId="ListLabel238">
    <w:name w:val="ListLabel 238"/>
    <w:qFormat/>
    <w:rPr>
      <w:rFonts w:cs="OpenSymbol"/>
    </w:rPr>
  </w:style>
  <w:style w:type="character" w:styleId="ListLabel239">
    <w:name w:val="ListLabel 239"/>
    <w:qFormat/>
    <w:rPr>
      <w:rFonts w:cs="OpenSymbol"/>
    </w:rPr>
  </w:style>
  <w:style w:type="character" w:styleId="ListLabel240">
    <w:name w:val="ListLabel 240"/>
    <w:qFormat/>
    <w:rPr>
      <w:rFonts w:cs="OpenSymbol"/>
    </w:rPr>
  </w:style>
  <w:style w:type="character" w:styleId="ListLabel241">
    <w:name w:val="ListLabel 241"/>
    <w:qFormat/>
    <w:rPr>
      <w:rFonts w:cs="OpenSymbol"/>
    </w:rPr>
  </w:style>
  <w:style w:type="character" w:styleId="ListLabel242">
    <w:name w:val="ListLabel 242"/>
    <w:qFormat/>
    <w:rPr>
      <w:rFonts w:cs="OpenSymbol"/>
    </w:rPr>
  </w:style>
  <w:style w:type="character" w:styleId="ListLabel243">
    <w:name w:val="ListLabel 243"/>
    <w:qFormat/>
    <w:rPr>
      <w:rFonts w:cs="OpenSymbol"/>
    </w:rPr>
  </w:style>
  <w:style w:type="character" w:styleId="ListLabel244">
    <w:name w:val="ListLabel 244"/>
    <w:qFormat/>
    <w:rPr>
      <w:rFonts w:cs="OpenSymbol"/>
    </w:rPr>
  </w:style>
  <w:style w:type="character" w:styleId="ListLabel245">
    <w:name w:val="ListLabel 245"/>
    <w:qFormat/>
    <w:rPr>
      <w:rFonts w:cs="OpenSymbol"/>
    </w:rPr>
  </w:style>
  <w:style w:type="character" w:styleId="ListLabel246">
    <w:name w:val="ListLabel 246"/>
    <w:qFormat/>
    <w:rPr>
      <w:rFonts w:cs="OpenSymbol"/>
    </w:rPr>
  </w:style>
  <w:style w:type="character" w:styleId="ListLabel247">
    <w:name w:val="ListLabel 247"/>
    <w:qFormat/>
    <w:rPr>
      <w:rFonts w:cs="OpenSymbol"/>
    </w:rPr>
  </w:style>
  <w:style w:type="character" w:styleId="ListLabel248">
    <w:name w:val="ListLabel 248"/>
    <w:qFormat/>
    <w:rPr>
      <w:rFonts w:cs="OpenSymbol"/>
    </w:rPr>
  </w:style>
  <w:style w:type="character" w:styleId="ListLabel249">
    <w:name w:val="ListLabel 249"/>
    <w:qFormat/>
    <w:rPr>
      <w:rFonts w:cs="OpenSymbol"/>
    </w:rPr>
  </w:style>
  <w:style w:type="character" w:styleId="ListLabel250">
    <w:name w:val="ListLabel 250"/>
    <w:qFormat/>
    <w:rPr>
      <w:rFonts w:cs="OpenSymbol"/>
    </w:rPr>
  </w:style>
  <w:style w:type="character" w:styleId="ListLabel251">
    <w:name w:val="ListLabel 251"/>
    <w:qFormat/>
    <w:rPr>
      <w:rFonts w:cs="OpenSymbol"/>
    </w:rPr>
  </w:style>
  <w:style w:type="character" w:styleId="ListLabel252">
    <w:name w:val="ListLabel 252"/>
    <w:qFormat/>
    <w:rPr>
      <w:rFonts w:cs="OpenSymbol"/>
    </w:rPr>
  </w:style>
  <w:style w:type="character" w:styleId="ListLabel253">
    <w:name w:val="ListLabel 253"/>
    <w:qFormat/>
    <w:rPr>
      <w:rFonts w:cs="OpenSymbol"/>
    </w:rPr>
  </w:style>
  <w:style w:type="character" w:styleId="ListLabel254">
    <w:name w:val="ListLabel 254"/>
    <w:qFormat/>
    <w:rPr>
      <w:rFonts w:cs="OpenSymbol"/>
    </w:rPr>
  </w:style>
  <w:style w:type="character" w:styleId="ListLabel255">
    <w:name w:val="ListLabel 255"/>
    <w:qFormat/>
    <w:rPr>
      <w:rFonts w:cs="OpenSymbol"/>
    </w:rPr>
  </w:style>
  <w:style w:type="character" w:styleId="ListLabel256">
    <w:name w:val="ListLabel 256"/>
    <w:qFormat/>
    <w:rPr>
      <w:rFonts w:cs="OpenSymbol"/>
    </w:rPr>
  </w:style>
  <w:style w:type="character" w:styleId="ListLabel257">
    <w:name w:val="ListLabel 257"/>
    <w:qFormat/>
    <w:rPr>
      <w:rFonts w:cs="OpenSymbol"/>
    </w:rPr>
  </w:style>
  <w:style w:type="character" w:styleId="ListLabel258">
    <w:name w:val="ListLabel 258"/>
    <w:qFormat/>
    <w:rPr>
      <w:rFonts w:cs="OpenSymbol"/>
    </w:rPr>
  </w:style>
  <w:style w:type="character" w:styleId="ListLabel259">
    <w:name w:val="ListLabel 259"/>
    <w:qFormat/>
    <w:rPr>
      <w:rFonts w:cs="OpenSymbol"/>
    </w:rPr>
  </w:style>
  <w:style w:type="character" w:styleId="ListLabel260">
    <w:name w:val="ListLabel 260"/>
    <w:qFormat/>
    <w:rPr>
      <w:rFonts w:cs="OpenSymbol"/>
    </w:rPr>
  </w:style>
  <w:style w:type="character" w:styleId="ListLabel261">
    <w:name w:val="ListLabel 261"/>
    <w:qFormat/>
    <w:rPr>
      <w:rFonts w:cs="OpenSymbol"/>
    </w:rPr>
  </w:style>
  <w:style w:type="character" w:styleId="ListLabel262">
    <w:name w:val="ListLabel 262"/>
    <w:qFormat/>
    <w:rPr>
      <w:rFonts w:cs="Wingdings"/>
    </w:rPr>
  </w:style>
  <w:style w:type="character" w:styleId="ListLabel263">
    <w:name w:val="ListLabel 263"/>
    <w:qFormat/>
    <w:rPr>
      <w:rFonts w:cs="Wingdings"/>
    </w:rPr>
  </w:style>
  <w:style w:type="character" w:styleId="ListLabel264">
    <w:name w:val="ListLabel 264"/>
    <w:qFormat/>
    <w:rPr>
      <w:rFonts w:cs="Wingdings"/>
    </w:rPr>
  </w:style>
  <w:style w:type="character" w:styleId="ListLabel265">
    <w:name w:val="ListLabel 265"/>
    <w:qFormat/>
    <w:rPr>
      <w:rFonts w:cs="Wingdings"/>
    </w:rPr>
  </w:style>
  <w:style w:type="character" w:styleId="ListLabel266">
    <w:name w:val="ListLabel 266"/>
    <w:qFormat/>
    <w:rPr>
      <w:rFonts w:cs="Wingdings"/>
    </w:rPr>
  </w:style>
  <w:style w:type="character" w:styleId="ListLabel267">
    <w:name w:val="ListLabel 267"/>
    <w:qFormat/>
    <w:rPr>
      <w:rFonts w:cs="Wingdings"/>
    </w:rPr>
  </w:style>
  <w:style w:type="character" w:styleId="ListLabel268">
    <w:name w:val="ListLabel 268"/>
    <w:qFormat/>
    <w:rPr>
      <w:rFonts w:cs="Wingdings"/>
    </w:rPr>
  </w:style>
  <w:style w:type="character" w:styleId="ListLabel269">
    <w:name w:val="ListLabel 269"/>
    <w:qFormat/>
    <w:rPr>
      <w:rFonts w:cs="Wingdings"/>
    </w:rPr>
  </w:style>
  <w:style w:type="character" w:styleId="ListLabel270">
    <w:name w:val="ListLabel 270"/>
    <w:qFormat/>
    <w:rPr>
      <w:rFonts w:cs="Wingdings"/>
    </w:rPr>
  </w:style>
  <w:style w:type="character" w:styleId="ListLabel271">
    <w:name w:val="ListLabel 271"/>
    <w:qFormat/>
    <w:rPr>
      <w:rFonts w:ascii="Arial" w:hAnsi="Arial" w:cs="OpenSymbol"/>
      <w:b w:val="false"/>
      <w:sz w:val="24"/>
    </w:rPr>
  </w:style>
  <w:style w:type="character" w:styleId="ListLabel272">
    <w:name w:val="ListLabel 272"/>
    <w:qFormat/>
    <w:rPr>
      <w:rFonts w:cs="OpenSymbol"/>
    </w:rPr>
  </w:style>
  <w:style w:type="character" w:styleId="ListLabel273">
    <w:name w:val="ListLabel 273"/>
    <w:qFormat/>
    <w:rPr>
      <w:rFonts w:cs="OpenSymbol"/>
    </w:rPr>
  </w:style>
  <w:style w:type="character" w:styleId="ListLabel274">
    <w:name w:val="ListLabel 274"/>
    <w:qFormat/>
    <w:rPr>
      <w:rFonts w:cs="OpenSymbol"/>
    </w:rPr>
  </w:style>
  <w:style w:type="character" w:styleId="ListLabel275">
    <w:name w:val="ListLabel 275"/>
    <w:qFormat/>
    <w:rPr>
      <w:rFonts w:cs="OpenSymbol"/>
    </w:rPr>
  </w:style>
  <w:style w:type="character" w:styleId="ListLabel276">
    <w:name w:val="ListLabel 276"/>
    <w:qFormat/>
    <w:rPr>
      <w:rFonts w:cs="OpenSymbol"/>
    </w:rPr>
  </w:style>
  <w:style w:type="character" w:styleId="ListLabel277">
    <w:name w:val="ListLabel 277"/>
    <w:qFormat/>
    <w:rPr>
      <w:rFonts w:cs="OpenSymbol"/>
    </w:rPr>
  </w:style>
  <w:style w:type="character" w:styleId="ListLabel278">
    <w:name w:val="ListLabel 278"/>
    <w:qFormat/>
    <w:rPr>
      <w:rFonts w:cs="OpenSymbol"/>
    </w:rPr>
  </w:style>
  <w:style w:type="character" w:styleId="ListLabel279">
    <w:name w:val="ListLabel 279"/>
    <w:qFormat/>
    <w:rPr>
      <w:rFonts w:cs="OpenSymbol"/>
    </w:rPr>
  </w:style>
  <w:style w:type="character" w:styleId="ListLabel280">
    <w:name w:val="ListLabel 280"/>
    <w:qFormat/>
    <w:rPr>
      <w:rFonts w:ascii="Arial" w:hAnsi="Arial" w:cs="OpenSymbol"/>
      <w:sz w:val="24"/>
    </w:rPr>
  </w:style>
  <w:style w:type="character" w:styleId="ListLabel281">
    <w:name w:val="ListLabel 281"/>
    <w:qFormat/>
    <w:rPr>
      <w:rFonts w:cs="OpenSymbol"/>
    </w:rPr>
  </w:style>
  <w:style w:type="character" w:styleId="ListLabel282">
    <w:name w:val="ListLabel 282"/>
    <w:qFormat/>
    <w:rPr>
      <w:rFonts w:cs="OpenSymbol"/>
    </w:rPr>
  </w:style>
  <w:style w:type="character" w:styleId="ListLabel283">
    <w:name w:val="ListLabel 283"/>
    <w:qFormat/>
    <w:rPr>
      <w:rFonts w:cs="OpenSymbol"/>
    </w:rPr>
  </w:style>
  <w:style w:type="character" w:styleId="ListLabel284">
    <w:name w:val="ListLabel 284"/>
    <w:qFormat/>
    <w:rPr>
      <w:rFonts w:cs="OpenSymbol"/>
    </w:rPr>
  </w:style>
  <w:style w:type="character" w:styleId="ListLabel285">
    <w:name w:val="ListLabel 285"/>
    <w:qFormat/>
    <w:rPr>
      <w:rFonts w:cs="OpenSymbol"/>
    </w:rPr>
  </w:style>
  <w:style w:type="character" w:styleId="ListLabel286">
    <w:name w:val="ListLabel 286"/>
    <w:qFormat/>
    <w:rPr>
      <w:rFonts w:cs="OpenSymbol"/>
    </w:rPr>
  </w:style>
  <w:style w:type="character" w:styleId="ListLabel287">
    <w:name w:val="ListLabel 287"/>
    <w:qFormat/>
    <w:rPr>
      <w:rFonts w:cs="OpenSymbol"/>
    </w:rPr>
  </w:style>
  <w:style w:type="character" w:styleId="ListLabel288">
    <w:name w:val="ListLabel 288"/>
    <w:qFormat/>
    <w:rPr>
      <w:rFonts w:cs="OpenSymbol"/>
    </w:rPr>
  </w:style>
  <w:style w:type="character" w:styleId="ListLabel289">
    <w:name w:val="ListLabel 289"/>
    <w:qFormat/>
    <w:rPr>
      <w:rFonts w:ascii="Arial" w:hAnsi="Arial" w:cs="OpenSymbol"/>
      <w:sz w:val="24"/>
    </w:rPr>
  </w:style>
  <w:style w:type="character" w:styleId="ListLabel290">
    <w:name w:val="ListLabel 290"/>
    <w:qFormat/>
    <w:rPr>
      <w:rFonts w:cs="OpenSymbol"/>
    </w:rPr>
  </w:style>
  <w:style w:type="character" w:styleId="ListLabel291">
    <w:name w:val="ListLabel 291"/>
    <w:qFormat/>
    <w:rPr>
      <w:rFonts w:cs="OpenSymbol"/>
    </w:rPr>
  </w:style>
  <w:style w:type="character" w:styleId="ListLabel292">
    <w:name w:val="ListLabel 292"/>
    <w:qFormat/>
    <w:rPr>
      <w:rFonts w:cs="OpenSymbol"/>
    </w:rPr>
  </w:style>
  <w:style w:type="character" w:styleId="ListLabel293">
    <w:name w:val="ListLabel 293"/>
    <w:qFormat/>
    <w:rPr>
      <w:rFonts w:cs="OpenSymbol"/>
    </w:rPr>
  </w:style>
  <w:style w:type="character" w:styleId="ListLabel294">
    <w:name w:val="ListLabel 294"/>
    <w:qFormat/>
    <w:rPr>
      <w:rFonts w:cs="OpenSymbol"/>
    </w:rPr>
  </w:style>
  <w:style w:type="character" w:styleId="ListLabel295">
    <w:name w:val="ListLabel 295"/>
    <w:qFormat/>
    <w:rPr>
      <w:rFonts w:cs="OpenSymbol"/>
    </w:rPr>
  </w:style>
  <w:style w:type="character" w:styleId="ListLabel296">
    <w:name w:val="ListLabel 296"/>
    <w:qFormat/>
    <w:rPr>
      <w:rFonts w:cs="OpenSymbol"/>
    </w:rPr>
  </w:style>
  <w:style w:type="character" w:styleId="ListLabel297">
    <w:name w:val="ListLabel 297"/>
    <w:qFormat/>
    <w:rPr>
      <w:rFonts w:cs="OpenSymbol"/>
    </w:rPr>
  </w:style>
  <w:style w:type="character" w:styleId="ListLabel298">
    <w:name w:val="ListLabel 298"/>
    <w:qFormat/>
    <w:rPr>
      <w:rFonts w:cs="Wingdings"/>
    </w:rPr>
  </w:style>
  <w:style w:type="character" w:styleId="ListLabel299">
    <w:name w:val="ListLabel 299"/>
    <w:qFormat/>
    <w:rPr>
      <w:rFonts w:cs="Wingdings"/>
    </w:rPr>
  </w:style>
  <w:style w:type="character" w:styleId="ListLabel300">
    <w:name w:val="ListLabel 300"/>
    <w:qFormat/>
    <w:rPr>
      <w:rFonts w:cs="Wingdings"/>
    </w:rPr>
  </w:style>
  <w:style w:type="character" w:styleId="ListLabel301">
    <w:name w:val="ListLabel 301"/>
    <w:qFormat/>
    <w:rPr>
      <w:rFonts w:cs="Wingdings"/>
    </w:rPr>
  </w:style>
  <w:style w:type="character" w:styleId="ListLabel302">
    <w:name w:val="ListLabel 302"/>
    <w:qFormat/>
    <w:rPr>
      <w:rFonts w:cs="Wingdings"/>
    </w:rPr>
  </w:style>
  <w:style w:type="character" w:styleId="ListLabel303">
    <w:name w:val="ListLabel 303"/>
    <w:qFormat/>
    <w:rPr>
      <w:rFonts w:cs="Wingdings"/>
    </w:rPr>
  </w:style>
  <w:style w:type="character" w:styleId="ListLabel304">
    <w:name w:val="ListLabel 304"/>
    <w:qFormat/>
    <w:rPr>
      <w:rFonts w:cs="Wingdings"/>
    </w:rPr>
  </w:style>
  <w:style w:type="character" w:styleId="ListLabel305">
    <w:name w:val="ListLabel 305"/>
    <w:qFormat/>
    <w:rPr>
      <w:rFonts w:cs="Wingdings"/>
    </w:rPr>
  </w:style>
  <w:style w:type="character" w:styleId="ListLabel306">
    <w:name w:val="ListLabel 306"/>
    <w:qFormat/>
    <w:rPr>
      <w:rFonts w:cs="Wingdings"/>
    </w:rPr>
  </w:style>
  <w:style w:type="character" w:styleId="ListLabel307">
    <w:name w:val="ListLabel 307"/>
    <w:qFormat/>
    <w:rPr>
      <w:rFonts w:ascii="Arial" w:hAnsi="Arial" w:cs="OpenSymbol"/>
      <w:b w:val="false"/>
      <w:sz w:val="24"/>
    </w:rPr>
  </w:style>
  <w:style w:type="character" w:styleId="ListLabel308">
    <w:name w:val="ListLabel 308"/>
    <w:qFormat/>
    <w:rPr>
      <w:rFonts w:cs="OpenSymbol"/>
    </w:rPr>
  </w:style>
  <w:style w:type="character" w:styleId="ListLabel309">
    <w:name w:val="ListLabel 309"/>
    <w:qFormat/>
    <w:rPr>
      <w:rFonts w:cs="OpenSymbol"/>
    </w:rPr>
  </w:style>
  <w:style w:type="character" w:styleId="ListLabel310">
    <w:name w:val="ListLabel 310"/>
    <w:qFormat/>
    <w:rPr>
      <w:rFonts w:cs="OpenSymbol"/>
    </w:rPr>
  </w:style>
  <w:style w:type="character" w:styleId="ListLabel311">
    <w:name w:val="ListLabel 311"/>
    <w:qFormat/>
    <w:rPr>
      <w:rFonts w:cs="OpenSymbol"/>
    </w:rPr>
  </w:style>
  <w:style w:type="character" w:styleId="ListLabel312">
    <w:name w:val="ListLabel 312"/>
    <w:qFormat/>
    <w:rPr>
      <w:rFonts w:cs="OpenSymbol"/>
    </w:rPr>
  </w:style>
  <w:style w:type="character" w:styleId="ListLabel313">
    <w:name w:val="ListLabel 313"/>
    <w:qFormat/>
    <w:rPr>
      <w:rFonts w:cs="OpenSymbol"/>
    </w:rPr>
  </w:style>
  <w:style w:type="character" w:styleId="ListLabel314">
    <w:name w:val="ListLabel 314"/>
    <w:qFormat/>
    <w:rPr>
      <w:rFonts w:cs="OpenSymbol"/>
    </w:rPr>
  </w:style>
  <w:style w:type="character" w:styleId="ListLabel315">
    <w:name w:val="ListLabel 315"/>
    <w:qFormat/>
    <w:rPr>
      <w:rFonts w:cs="OpenSymbol"/>
    </w:rPr>
  </w:style>
  <w:style w:type="character" w:styleId="ListLabel316">
    <w:name w:val="ListLabel 316"/>
    <w:qFormat/>
    <w:rPr>
      <w:rFonts w:ascii="Arial" w:hAnsi="Arial" w:cs="OpenSymbol"/>
      <w:sz w:val="24"/>
    </w:rPr>
  </w:style>
  <w:style w:type="character" w:styleId="ListLabel317">
    <w:name w:val="ListLabel 317"/>
    <w:qFormat/>
    <w:rPr>
      <w:rFonts w:cs="OpenSymbol"/>
    </w:rPr>
  </w:style>
  <w:style w:type="character" w:styleId="ListLabel318">
    <w:name w:val="ListLabel 318"/>
    <w:qFormat/>
    <w:rPr>
      <w:rFonts w:cs="OpenSymbol"/>
    </w:rPr>
  </w:style>
  <w:style w:type="character" w:styleId="ListLabel319">
    <w:name w:val="ListLabel 319"/>
    <w:qFormat/>
    <w:rPr>
      <w:rFonts w:cs="OpenSymbol"/>
    </w:rPr>
  </w:style>
  <w:style w:type="character" w:styleId="ListLabel320">
    <w:name w:val="ListLabel 320"/>
    <w:qFormat/>
    <w:rPr>
      <w:rFonts w:cs="OpenSymbol"/>
    </w:rPr>
  </w:style>
  <w:style w:type="character" w:styleId="ListLabel321">
    <w:name w:val="ListLabel 321"/>
    <w:qFormat/>
    <w:rPr>
      <w:rFonts w:cs="OpenSymbol"/>
    </w:rPr>
  </w:style>
  <w:style w:type="character" w:styleId="ListLabel322">
    <w:name w:val="ListLabel 322"/>
    <w:qFormat/>
    <w:rPr>
      <w:rFonts w:cs="OpenSymbol"/>
    </w:rPr>
  </w:style>
  <w:style w:type="character" w:styleId="ListLabel323">
    <w:name w:val="ListLabel 323"/>
    <w:qFormat/>
    <w:rPr>
      <w:rFonts w:cs="OpenSymbol"/>
    </w:rPr>
  </w:style>
  <w:style w:type="character" w:styleId="ListLabel324">
    <w:name w:val="ListLabel 324"/>
    <w:qFormat/>
    <w:rPr>
      <w:rFonts w:cs="OpenSymbol"/>
    </w:rPr>
  </w:style>
  <w:style w:type="character" w:styleId="ListLabel325">
    <w:name w:val="ListLabel 325"/>
    <w:qFormat/>
    <w:rPr>
      <w:rFonts w:ascii="Arial" w:hAnsi="Arial" w:cs="OpenSymbol"/>
      <w:sz w:val="24"/>
    </w:rPr>
  </w:style>
  <w:style w:type="character" w:styleId="ListLabel326">
    <w:name w:val="ListLabel 326"/>
    <w:qFormat/>
    <w:rPr>
      <w:rFonts w:cs="OpenSymbol"/>
    </w:rPr>
  </w:style>
  <w:style w:type="character" w:styleId="ListLabel327">
    <w:name w:val="ListLabel 327"/>
    <w:qFormat/>
    <w:rPr>
      <w:rFonts w:cs="OpenSymbol"/>
    </w:rPr>
  </w:style>
  <w:style w:type="character" w:styleId="ListLabel328">
    <w:name w:val="ListLabel 328"/>
    <w:qFormat/>
    <w:rPr>
      <w:rFonts w:cs="OpenSymbol"/>
    </w:rPr>
  </w:style>
  <w:style w:type="character" w:styleId="ListLabel329">
    <w:name w:val="ListLabel 329"/>
    <w:qFormat/>
    <w:rPr>
      <w:rFonts w:cs="OpenSymbol"/>
    </w:rPr>
  </w:style>
  <w:style w:type="character" w:styleId="ListLabel330">
    <w:name w:val="ListLabel 330"/>
    <w:qFormat/>
    <w:rPr>
      <w:rFonts w:cs="OpenSymbol"/>
    </w:rPr>
  </w:style>
  <w:style w:type="character" w:styleId="ListLabel331">
    <w:name w:val="ListLabel 331"/>
    <w:qFormat/>
    <w:rPr>
      <w:rFonts w:cs="OpenSymbol"/>
    </w:rPr>
  </w:style>
  <w:style w:type="character" w:styleId="ListLabel332">
    <w:name w:val="ListLabel 332"/>
    <w:qFormat/>
    <w:rPr>
      <w:rFonts w:cs="OpenSymbol"/>
    </w:rPr>
  </w:style>
  <w:style w:type="character" w:styleId="ListLabel333">
    <w:name w:val="ListLabel 333"/>
    <w:qFormat/>
    <w:rPr>
      <w:rFonts w:cs="OpenSymbol"/>
    </w:rPr>
  </w:style>
  <w:style w:type="character" w:styleId="ListLabel334">
    <w:name w:val="ListLabel 334"/>
    <w:qFormat/>
    <w:rPr>
      <w:rFonts w:cs="Wingdings"/>
    </w:rPr>
  </w:style>
  <w:style w:type="character" w:styleId="ListLabel335">
    <w:name w:val="ListLabel 335"/>
    <w:qFormat/>
    <w:rPr>
      <w:rFonts w:cs="Wingdings"/>
    </w:rPr>
  </w:style>
  <w:style w:type="character" w:styleId="ListLabel336">
    <w:name w:val="ListLabel 336"/>
    <w:qFormat/>
    <w:rPr>
      <w:rFonts w:cs="Wingdings"/>
    </w:rPr>
  </w:style>
  <w:style w:type="character" w:styleId="ListLabel337">
    <w:name w:val="ListLabel 337"/>
    <w:qFormat/>
    <w:rPr>
      <w:rFonts w:cs="Wingdings"/>
    </w:rPr>
  </w:style>
  <w:style w:type="character" w:styleId="ListLabel338">
    <w:name w:val="ListLabel 338"/>
    <w:qFormat/>
    <w:rPr>
      <w:rFonts w:cs="Wingdings"/>
    </w:rPr>
  </w:style>
  <w:style w:type="character" w:styleId="ListLabel339">
    <w:name w:val="ListLabel 339"/>
    <w:qFormat/>
    <w:rPr>
      <w:rFonts w:cs="Wingdings"/>
    </w:rPr>
  </w:style>
  <w:style w:type="character" w:styleId="ListLabel340">
    <w:name w:val="ListLabel 340"/>
    <w:qFormat/>
    <w:rPr>
      <w:rFonts w:cs="Wingdings"/>
    </w:rPr>
  </w:style>
  <w:style w:type="character" w:styleId="ListLabel341">
    <w:name w:val="ListLabel 341"/>
    <w:qFormat/>
    <w:rPr>
      <w:rFonts w:cs="Wingdings"/>
    </w:rPr>
  </w:style>
  <w:style w:type="character" w:styleId="ListLabel342">
    <w:name w:val="ListLabel 342"/>
    <w:qFormat/>
    <w:rPr>
      <w:rFonts w:cs="Wingdings"/>
    </w:rPr>
  </w:style>
  <w:style w:type="character" w:styleId="ListLabel343">
    <w:name w:val="ListLabel 343"/>
    <w:qFormat/>
    <w:rPr>
      <w:rFonts w:ascii="Arial" w:hAnsi="Arial" w:cs="OpenSymbol"/>
      <w:b w:val="false"/>
      <w:sz w:val="24"/>
    </w:rPr>
  </w:style>
  <w:style w:type="character" w:styleId="ListLabel344">
    <w:name w:val="ListLabel 344"/>
    <w:qFormat/>
    <w:rPr>
      <w:rFonts w:cs="OpenSymbol"/>
    </w:rPr>
  </w:style>
  <w:style w:type="character" w:styleId="ListLabel345">
    <w:name w:val="ListLabel 345"/>
    <w:qFormat/>
    <w:rPr>
      <w:rFonts w:cs="OpenSymbol"/>
    </w:rPr>
  </w:style>
  <w:style w:type="character" w:styleId="ListLabel346">
    <w:name w:val="ListLabel 346"/>
    <w:qFormat/>
    <w:rPr>
      <w:rFonts w:cs="OpenSymbol"/>
    </w:rPr>
  </w:style>
  <w:style w:type="character" w:styleId="ListLabel347">
    <w:name w:val="ListLabel 347"/>
    <w:qFormat/>
    <w:rPr>
      <w:rFonts w:cs="OpenSymbol"/>
    </w:rPr>
  </w:style>
  <w:style w:type="character" w:styleId="ListLabel348">
    <w:name w:val="ListLabel 348"/>
    <w:qFormat/>
    <w:rPr>
      <w:rFonts w:cs="OpenSymbol"/>
    </w:rPr>
  </w:style>
  <w:style w:type="character" w:styleId="ListLabel349">
    <w:name w:val="ListLabel 349"/>
    <w:qFormat/>
    <w:rPr>
      <w:rFonts w:cs="OpenSymbol"/>
    </w:rPr>
  </w:style>
  <w:style w:type="character" w:styleId="ListLabel350">
    <w:name w:val="ListLabel 350"/>
    <w:qFormat/>
    <w:rPr>
      <w:rFonts w:cs="OpenSymbol"/>
    </w:rPr>
  </w:style>
  <w:style w:type="character" w:styleId="ListLabel351">
    <w:name w:val="ListLabel 351"/>
    <w:qFormat/>
    <w:rPr>
      <w:rFonts w:cs="OpenSymbol"/>
    </w:rPr>
  </w:style>
  <w:style w:type="character" w:styleId="ListLabel352">
    <w:name w:val="ListLabel 352"/>
    <w:qFormat/>
    <w:rPr>
      <w:rFonts w:ascii="Arial" w:hAnsi="Arial" w:cs="OpenSymbol"/>
      <w:sz w:val="24"/>
    </w:rPr>
  </w:style>
  <w:style w:type="character" w:styleId="ListLabel353">
    <w:name w:val="ListLabel 353"/>
    <w:qFormat/>
    <w:rPr>
      <w:rFonts w:cs="OpenSymbol"/>
    </w:rPr>
  </w:style>
  <w:style w:type="character" w:styleId="ListLabel354">
    <w:name w:val="ListLabel 354"/>
    <w:qFormat/>
    <w:rPr>
      <w:rFonts w:cs="OpenSymbol"/>
    </w:rPr>
  </w:style>
  <w:style w:type="character" w:styleId="ListLabel355">
    <w:name w:val="ListLabel 355"/>
    <w:qFormat/>
    <w:rPr>
      <w:rFonts w:cs="OpenSymbol"/>
    </w:rPr>
  </w:style>
  <w:style w:type="character" w:styleId="ListLabel356">
    <w:name w:val="ListLabel 356"/>
    <w:qFormat/>
    <w:rPr>
      <w:rFonts w:cs="OpenSymbol"/>
    </w:rPr>
  </w:style>
  <w:style w:type="character" w:styleId="ListLabel357">
    <w:name w:val="ListLabel 357"/>
    <w:qFormat/>
    <w:rPr>
      <w:rFonts w:cs="OpenSymbol"/>
    </w:rPr>
  </w:style>
  <w:style w:type="character" w:styleId="ListLabel358">
    <w:name w:val="ListLabel 358"/>
    <w:qFormat/>
    <w:rPr>
      <w:rFonts w:cs="OpenSymbol"/>
    </w:rPr>
  </w:style>
  <w:style w:type="character" w:styleId="ListLabel359">
    <w:name w:val="ListLabel 359"/>
    <w:qFormat/>
    <w:rPr>
      <w:rFonts w:cs="OpenSymbol"/>
    </w:rPr>
  </w:style>
  <w:style w:type="character" w:styleId="ListLabel360">
    <w:name w:val="ListLabel 360"/>
    <w:qFormat/>
    <w:rPr>
      <w:rFonts w:cs="OpenSymbol"/>
    </w:rPr>
  </w:style>
  <w:style w:type="character" w:styleId="ListLabel361">
    <w:name w:val="ListLabel 361"/>
    <w:qFormat/>
    <w:rPr>
      <w:rFonts w:ascii="Arial" w:hAnsi="Arial" w:cs="OpenSymbol"/>
      <w:sz w:val="24"/>
    </w:rPr>
  </w:style>
  <w:style w:type="character" w:styleId="ListLabel362">
    <w:name w:val="ListLabel 362"/>
    <w:qFormat/>
    <w:rPr>
      <w:rFonts w:cs="OpenSymbol"/>
    </w:rPr>
  </w:style>
  <w:style w:type="character" w:styleId="ListLabel363">
    <w:name w:val="ListLabel 363"/>
    <w:qFormat/>
    <w:rPr>
      <w:rFonts w:cs="OpenSymbol"/>
    </w:rPr>
  </w:style>
  <w:style w:type="character" w:styleId="ListLabel364">
    <w:name w:val="ListLabel 364"/>
    <w:qFormat/>
    <w:rPr>
      <w:rFonts w:cs="OpenSymbol"/>
    </w:rPr>
  </w:style>
  <w:style w:type="character" w:styleId="ListLabel365">
    <w:name w:val="ListLabel 365"/>
    <w:qFormat/>
    <w:rPr>
      <w:rFonts w:cs="OpenSymbol"/>
    </w:rPr>
  </w:style>
  <w:style w:type="character" w:styleId="ListLabel366">
    <w:name w:val="ListLabel 366"/>
    <w:qFormat/>
    <w:rPr>
      <w:rFonts w:cs="OpenSymbol"/>
    </w:rPr>
  </w:style>
  <w:style w:type="character" w:styleId="ListLabel367">
    <w:name w:val="ListLabel 367"/>
    <w:qFormat/>
    <w:rPr>
      <w:rFonts w:cs="OpenSymbol"/>
    </w:rPr>
  </w:style>
  <w:style w:type="character" w:styleId="ListLabel368">
    <w:name w:val="ListLabel 368"/>
    <w:qFormat/>
    <w:rPr>
      <w:rFonts w:cs="OpenSymbol"/>
    </w:rPr>
  </w:style>
  <w:style w:type="character" w:styleId="ListLabel369">
    <w:name w:val="ListLabel 369"/>
    <w:qFormat/>
    <w:rPr>
      <w:rFonts w:cs="OpenSymbol"/>
    </w:rPr>
  </w:style>
  <w:style w:type="character" w:styleId="ListLabel370">
    <w:name w:val="ListLabel 370"/>
    <w:qFormat/>
    <w:rPr>
      <w:rFonts w:cs="Wingdings"/>
    </w:rPr>
  </w:style>
  <w:style w:type="character" w:styleId="ListLabel371">
    <w:name w:val="ListLabel 371"/>
    <w:qFormat/>
    <w:rPr>
      <w:rFonts w:cs="Wingdings"/>
    </w:rPr>
  </w:style>
  <w:style w:type="character" w:styleId="ListLabel372">
    <w:name w:val="ListLabel 372"/>
    <w:qFormat/>
    <w:rPr>
      <w:rFonts w:cs="Wingdings"/>
    </w:rPr>
  </w:style>
  <w:style w:type="character" w:styleId="ListLabel373">
    <w:name w:val="ListLabel 373"/>
    <w:qFormat/>
    <w:rPr>
      <w:rFonts w:cs="Wingdings"/>
    </w:rPr>
  </w:style>
  <w:style w:type="character" w:styleId="ListLabel374">
    <w:name w:val="ListLabel 374"/>
    <w:qFormat/>
    <w:rPr>
      <w:rFonts w:cs="Wingdings"/>
    </w:rPr>
  </w:style>
  <w:style w:type="character" w:styleId="ListLabel375">
    <w:name w:val="ListLabel 375"/>
    <w:qFormat/>
    <w:rPr>
      <w:rFonts w:cs="Wingdings"/>
    </w:rPr>
  </w:style>
  <w:style w:type="character" w:styleId="ListLabel376">
    <w:name w:val="ListLabel 376"/>
    <w:qFormat/>
    <w:rPr>
      <w:rFonts w:cs="Wingdings"/>
    </w:rPr>
  </w:style>
  <w:style w:type="character" w:styleId="ListLabel377">
    <w:name w:val="ListLabel 377"/>
    <w:qFormat/>
    <w:rPr>
      <w:rFonts w:cs="Wingdings"/>
    </w:rPr>
  </w:style>
  <w:style w:type="character" w:styleId="ListLabel378">
    <w:name w:val="ListLabel 378"/>
    <w:qFormat/>
    <w:rPr>
      <w:rFonts w:cs="Wingdings"/>
    </w:rPr>
  </w:style>
  <w:style w:type="character" w:styleId="ListLabel379">
    <w:name w:val="ListLabel 379"/>
    <w:qFormat/>
    <w:rPr>
      <w:rFonts w:ascii="Arial" w:hAnsi="Arial" w:cs="OpenSymbol"/>
      <w:b w:val="false"/>
      <w:sz w:val="24"/>
    </w:rPr>
  </w:style>
  <w:style w:type="character" w:styleId="ListLabel380">
    <w:name w:val="ListLabel 380"/>
    <w:qFormat/>
    <w:rPr>
      <w:rFonts w:cs="OpenSymbol"/>
    </w:rPr>
  </w:style>
  <w:style w:type="character" w:styleId="ListLabel381">
    <w:name w:val="ListLabel 381"/>
    <w:qFormat/>
    <w:rPr>
      <w:rFonts w:cs="OpenSymbol"/>
    </w:rPr>
  </w:style>
  <w:style w:type="character" w:styleId="ListLabel382">
    <w:name w:val="ListLabel 382"/>
    <w:qFormat/>
    <w:rPr>
      <w:rFonts w:cs="OpenSymbol"/>
    </w:rPr>
  </w:style>
  <w:style w:type="character" w:styleId="ListLabel383">
    <w:name w:val="ListLabel 383"/>
    <w:qFormat/>
    <w:rPr>
      <w:rFonts w:cs="OpenSymbol"/>
    </w:rPr>
  </w:style>
  <w:style w:type="character" w:styleId="ListLabel384">
    <w:name w:val="ListLabel 384"/>
    <w:qFormat/>
    <w:rPr>
      <w:rFonts w:cs="OpenSymbol"/>
    </w:rPr>
  </w:style>
  <w:style w:type="character" w:styleId="ListLabel385">
    <w:name w:val="ListLabel 385"/>
    <w:qFormat/>
    <w:rPr>
      <w:rFonts w:cs="OpenSymbol"/>
    </w:rPr>
  </w:style>
  <w:style w:type="character" w:styleId="ListLabel386">
    <w:name w:val="ListLabel 386"/>
    <w:qFormat/>
    <w:rPr>
      <w:rFonts w:cs="OpenSymbol"/>
    </w:rPr>
  </w:style>
  <w:style w:type="character" w:styleId="ListLabel387">
    <w:name w:val="ListLabel 387"/>
    <w:qFormat/>
    <w:rPr>
      <w:rFonts w:cs="OpenSymbol"/>
    </w:rPr>
  </w:style>
  <w:style w:type="character" w:styleId="ListLabel388">
    <w:name w:val="ListLabel 388"/>
    <w:qFormat/>
    <w:rPr>
      <w:rFonts w:ascii="Arial" w:hAnsi="Arial" w:cs="OpenSymbol"/>
      <w:sz w:val="24"/>
    </w:rPr>
  </w:style>
  <w:style w:type="character" w:styleId="ListLabel389">
    <w:name w:val="ListLabel 389"/>
    <w:qFormat/>
    <w:rPr>
      <w:rFonts w:cs="OpenSymbol"/>
    </w:rPr>
  </w:style>
  <w:style w:type="character" w:styleId="ListLabel390">
    <w:name w:val="ListLabel 390"/>
    <w:qFormat/>
    <w:rPr>
      <w:rFonts w:cs="OpenSymbol"/>
    </w:rPr>
  </w:style>
  <w:style w:type="character" w:styleId="ListLabel391">
    <w:name w:val="ListLabel 391"/>
    <w:qFormat/>
    <w:rPr>
      <w:rFonts w:cs="OpenSymbol"/>
    </w:rPr>
  </w:style>
  <w:style w:type="character" w:styleId="ListLabel392">
    <w:name w:val="ListLabel 392"/>
    <w:qFormat/>
    <w:rPr>
      <w:rFonts w:cs="OpenSymbol"/>
    </w:rPr>
  </w:style>
  <w:style w:type="character" w:styleId="ListLabel393">
    <w:name w:val="ListLabel 393"/>
    <w:qFormat/>
    <w:rPr>
      <w:rFonts w:cs="OpenSymbol"/>
    </w:rPr>
  </w:style>
  <w:style w:type="character" w:styleId="ListLabel394">
    <w:name w:val="ListLabel 394"/>
    <w:qFormat/>
    <w:rPr>
      <w:rFonts w:cs="OpenSymbol"/>
    </w:rPr>
  </w:style>
  <w:style w:type="character" w:styleId="ListLabel395">
    <w:name w:val="ListLabel 395"/>
    <w:qFormat/>
    <w:rPr>
      <w:rFonts w:cs="OpenSymbol"/>
    </w:rPr>
  </w:style>
  <w:style w:type="character" w:styleId="ListLabel396">
    <w:name w:val="ListLabel 396"/>
    <w:qFormat/>
    <w:rPr>
      <w:rFonts w:cs="OpenSymbol"/>
    </w:rPr>
  </w:style>
  <w:style w:type="character" w:styleId="ListLabel397">
    <w:name w:val="ListLabel 397"/>
    <w:qFormat/>
    <w:rPr>
      <w:rFonts w:ascii="Arial" w:hAnsi="Arial" w:cs="OpenSymbol"/>
      <w:sz w:val="24"/>
    </w:rPr>
  </w:style>
  <w:style w:type="character" w:styleId="ListLabel398">
    <w:name w:val="ListLabel 398"/>
    <w:qFormat/>
    <w:rPr>
      <w:rFonts w:cs="OpenSymbol"/>
    </w:rPr>
  </w:style>
  <w:style w:type="character" w:styleId="ListLabel399">
    <w:name w:val="ListLabel 399"/>
    <w:qFormat/>
    <w:rPr>
      <w:rFonts w:cs="OpenSymbol"/>
    </w:rPr>
  </w:style>
  <w:style w:type="character" w:styleId="ListLabel400">
    <w:name w:val="ListLabel 400"/>
    <w:qFormat/>
    <w:rPr>
      <w:rFonts w:cs="OpenSymbol"/>
    </w:rPr>
  </w:style>
  <w:style w:type="character" w:styleId="ListLabel401">
    <w:name w:val="ListLabel 401"/>
    <w:qFormat/>
    <w:rPr>
      <w:rFonts w:cs="OpenSymbol"/>
    </w:rPr>
  </w:style>
  <w:style w:type="character" w:styleId="ListLabel402">
    <w:name w:val="ListLabel 402"/>
    <w:qFormat/>
    <w:rPr>
      <w:rFonts w:cs="OpenSymbol"/>
    </w:rPr>
  </w:style>
  <w:style w:type="character" w:styleId="ListLabel403">
    <w:name w:val="ListLabel 403"/>
    <w:qFormat/>
    <w:rPr>
      <w:rFonts w:cs="OpenSymbol"/>
    </w:rPr>
  </w:style>
  <w:style w:type="character" w:styleId="ListLabel404">
    <w:name w:val="ListLabel 404"/>
    <w:qFormat/>
    <w:rPr>
      <w:rFonts w:cs="OpenSymbol"/>
    </w:rPr>
  </w:style>
  <w:style w:type="character" w:styleId="ListLabel405">
    <w:name w:val="ListLabel 405"/>
    <w:qFormat/>
    <w:rPr>
      <w:rFonts w:cs="OpenSymbol"/>
    </w:rPr>
  </w:style>
  <w:style w:type="character" w:styleId="ListLabel406">
    <w:name w:val="ListLabel 406"/>
    <w:qFormat/>
    <w:rPr>
      <w:rFonts w:cs="Wingdings"/>
    </w:rPr>
  </w:style>
  <w:style w:type="character" w:styleId="ListLabel407">
    <w:name w:val="ListLabel 407"/>
    <w:qFormat/>
    <w:rPr>
      <w:rFonts w:cs="Wingdings"/>
    </w:rPr>
  </w:style>
  <w:style w:type="character" w:styleId="ListLabel408">
    <w:name w:val="ListLabel 408"/>
    <w:qFormat/>
    <w:rPr>
      <w:rFonts w:cs="Wingdings"/>
    </w:rPr>
  </w:style>
  <w:style w:type="character" w:styleId="ListLabel409">
    <w:name w:val="ListLabel 409"/>
    <w:qFormat/>
    <w:rPr>
      <w:rFonts w:cs="Wingdings"/>
    </w:rPr>
  </w:style>
  <w:style w:type="character" w:styleId="ListLabel410">
    <w:name w:val="ListLabel 410"/>
    <w:qFormat/>
    <w:rPr>
      <w:rFonts w:cs="Wingdings"/>
    </w:rPr>
  </w:style>
  <w:style w:type="character" w:styleId="ListLabel411">
    <w:name w:val="ListLabel 411"/>
    <w:qFormat/>
    <w:rPr>
      <w:rFonts w:cs="Wingdings"/>
    </w:rPr>
  </w:style>
  <w:style w:type="character" w:styleId="ListLabel412">
    <w:name w:val="ListLabel 412"/>
    <w:qFormat/>
    <w:rPr>
      <w:rFonts w:cs="Wingdings"/>
    </w:rPr>
  </w:style>
  <w:style w:type="character" w:styleId="ListLabel413">
    <w:name w:val="ListLabel 413"/>
    <w:qFormat/>
    <w:rPr>
      <w:rFonts w:cs="Wingdings"/>
    </w:rPr>
  </w:style>
  <w:style w:type="character" w:styleId="ListLabel414">
    <w:name w:val="ListLabel 414"/>
    <w:qFormat/>
    <w:rPr>
      <w:rFonts w:cs="Wingdings"/>
    </w:rPr>
  </w:style>
  <w:style w:type="character" w:styleId="ListLabel415">
    <w:name w:val="ListLabel 415"/>
    <w:qFormat/>
    <w:rPr>
      <w:rFonts w:ascii="Arial" w:hAnsi="Arial" w:cs="OpenSymbol"/>
      <w:b w:val="false"/>
      <w:sz w:val="24"/>
    </w:rPr>
  </w:style>
  <w:style w:type="character" w:styleId="ListLabel416">
    <w:name w:val="ListLabel 416"/>
    <w:qFormat/>
    <w:rPr>
      <w:rFonts w:cs="OpenSymbol"/>
    </w:rPr>
  </w:style>
  <w:style w:type="character" w:styleId="ListLabel417">
    <w:name w:val="ListLabel 417"/>
    <w:qFormat/>
    <w:rPr>
      <w:rFonts w:cs="OpenSymbol"/>
    </w:rPr>
  </w:style>
  <w:style w:type="character" w:styleId="ListLabel418">
    <w:name w:val="ListLabel 418"/>
    <w:qFormat/>
    <w:rPr>
      <w:rFonts w:cs="OpenSymbol"/>
    </w:rPr>
  </w:style>
  <w:style w:type="character" w:styleId="ListLabel419">
    <w:name w:val="ListLabel 419"/>
    <w:qFormat/>
    <w:rPr>
      <w:rFonts w:cs="OpenSymbol"/>
    </w:rPr>
  </w:style>
  <w:style w:type="character" w:styleId="ListLabel420">
    <w:name w:val="ListLabel 420"/>
    <w:qFormat/>
    <w:rPr>
      <w:rFonts w:cs="OpenSymbol"/>
    </w:rPr>
  </w:style>
  <w:style w:type="character" w:styleId="ListLabel421">
    <w:name w:val="ListLabel 421"/>
    <w:qFormat/>
    <w:rPr>
      <w:rFonts w:cs="OpenSymbol"/>
    </w:rPr>
  </w:style>
  <w:style w:type="character" w:styleId="ListLabel422">
    <w:name w:val="ListLabel 422"/>
    <w:qFormat/>
    <w:rPr>
      <w:rFonts w:cs="OpenSymbol"/>
    </w:rPr>
  </w:style>
  <w:style w:type="character" w:styleId="ListLabel423">
    <w:name w:val="ListLabel 423"/>
    <w:qFormat/>
    <w:rPr>
      <w:rFonts w:cs="OpenSymbol"/>
    </w:rPr>
  </w:style>
  <w:style w:type="character" w:styleId="ListLabel424">
    <w:name w:val="ListLabel 424"/>
    <w:qFormat/>
    <w:rPr>
      <w:rFonts w:ascii="Arial" w:hAnsi="Arial" w:cs="OpenSymbol"/>
      <w:sz w:val="24"/>
    </w:rPr>
  </w:style>
  <w:style w:type="character" w:styleId="ListLabel425">
    <w:name w:val="ListLabel 425"/>
    <w:qFormat/>
    <w:rPr>
      <w:rFonts w:cs="OpenSymbol"/>
    </w:rPr>
  </w:style>
  <w:style w:type="character" w:styleId="ListLabel426">
    <w:name w:val="ListLabel 426"/>
    <w:qFormat/>
    <w:rPr>
      <w:rFonts w:cs="OpenSymbol"/>
    </w:rPr>
  </w:style>
  <w:style w:type="character" w:styleId="ListLabel427">
    <w:name w:val="ListLabel 427"/>
    <w:qFormat/>
    <w:rPr>
      <w:rFonts w:cs="OpenSymbol"/>
    </w:rPr>
  </w:style>
  <w:style w:type="character" w:styleId="ListLabel428">
    <w:name w:val="ListLabel 428"/>
    <w:qFormat/>
    <w:rPr>
      <w:rFonts w:cs="OpenSymbol"/>
    </w:rPr>
  </w:style>
  <w:style w:type="character" w:styleId="ListLabel429">
    <w:name w:val="ListLabel 429"/>
    <w:qFormat/>
    <w:rPr>
      <w:rFonts w:cs="OpenSymbol"/>
    </w:rPr>
  </w:style>
  <w:style w:type="character" w:styleId="ListLabel430">
    <w:name w:val="ListLabel 430"/>
    <w:qFormat/>
    <w:rPr>
      <w:rFonts w:cs="OpenSymbol"/>
    </w:rPr>
  </w:style>
  <w:style w:type="character" w:styleId="ListLabel431">
    <w:name w:val="ListLabel 431"/>
    <w:qFormat/>
    <w:rPr>
      <w:rFonts w:cs="OpenSymbol"/>
    </w:rPr>
  </w:style>
  <w:style w:type="character" w:styleId="ListLabel432">
    <w:name w:val="ListLabel 432"/>
    <w:qFormat/>
    <w:rPr>
      <w:rFonts w:cs="OpenSymbol"/>
    </w:rPr>
  </w:style>
  <w:style w:type="character" w:styleId="ListLabel433">
    <w:name w:val="ListLabel 433"/>
    <w:qFormat/>
    <w:rPr>
      <w:rFonts w:ascii="Arial" w:hAnsi="Arial" w:cs="OpenSymbol"/>
      <w:sz w:val="24"/>
    </w:rPr>
  </w:style>
  <w:style w:type="character" w:styleId="ListLabel434">
    <w:name w:val="ListLabel 434"/>
    <w:qFormat/>
    <w:rPr>
      <w:rFonts w:cs="OpenSymbol"/>
    </w:rPr>
  </w:style>
  <w:style w:type="character" w:styleId="ListLabel435">
    <w:name w:val="ListLabel 435"/>
    <w:qFormat/>
    <w:rPr>
      <w:rFonts w:cs="OpenSymbol"/>
    </w:rPr>
  </w:style>
  <w:style w:type="character" w:styleId="ListLabel436">
    <w:name w:val="ListLabel 436"/>
    <w:qFormat/>
    <w:rPr>
      <w:rFonts w:cs="OpenSymbol"/>
    </w:rPr>
  </w:style>
  <w:style w:type="character" w:styleId="ListLabel437">
    <w:name w:val="ListLabel 437"/>
    <w:qFormat/>
    <w:rPr>
      <w:rFonts w:cs="OpenSymbol"/>
    </w:rPr>
  </w:style>
  <w:style w:type="character" w:styleId="ListLabel438">
    <w:name w:val="ListLabel 438"/>
    <w:qFormat/>
    <w:rPr>
      <w:rFonts w:cs="OpenSymbol"/>
    </w:rPr>
  </w:style>
  <w:style w:type="character" w:styleId="ListLabel439">
    <w:name w:val="ListLabel 439"/>
    <w:qFormat/>
    <w:rPr>
      <w:rFonts w:cs="OpenSymbol"/>
    </w:rPr>
  </w:style>
  <w:style w:type="character" w:styleId="ListLabel440">
    <w:name w:val="ListLabel 440"/>
    <w:qFormat/>
    <w:rPr>
      <w:rFonts w:cs="OpenSymbol"/>
    </w:rPr>
  </w:style>
  <w:style w:type="character" w:styleId="ListLabel441">
    <w:name w:val="ListLabel 441"/>
    <w:qFormat/>
    <w:rPr>
      <w:rFonts w:cs="OpenSymbol"/>
    </w:rPr>
  </w:style>
  <w:style w:type="character" w:styleId="WW8Num26z0">
    <w:name w:val="WW8Num26z0"/>
    <w:qFormat/>
    <w:rPr>
      <w:rFonts w:ascii="Symbol" w:hAnsi="Symbol" w:cs="Symbol"/>
    </w:rPr>
  </w:style>
  <w:style w:type="character" w:styleId="WW8Num26z1">
    <w:name w:val="WW8Num26z1"/>
    <w:qFormat/>
    <w:rPr>
      <w:rFonts w:ascii="Courier New" w:hAnsi="Courier New" w:cs="Courier New"/>
    </w:rPr>
  </w:style>
  <w:style w:type="character" w:styleId="WW8Num26z2">
    <w:name w:val="WW8Num26z2"/>
    <w:qFormat/>
    <w:rPr>
      <w:rFonts w:ascii="Wingdings" w:hAnsi="Wingdings" w:cs="Wingdings"/>
    </w:rPr>
  </w:style>
  <w:style w:type="character" w:styleId="ListLabel442">
    <w:name w:val="ListLabel 442"/>
    <w:qFormat/>
    <w:rPr>
      <w:rFonts w:cs="OpenSymbol"/>
      <w:b w:val="false"/>
      <w:sz w:val="24"/>
    </w:rPr>
  </w:style>
  <w:style w:type="character" w:styleId="ListLabel443">
    <w:name w:val="ListLabel 443"/>
    <w:qFormat/>
    <w:rPr>
      <w:rFonts w:cs="OpenSymbol"/>
    </w:rPr>
  </w:style>
  <w:style w:type="character" w:styleId="ListLabel444">
    <w:name w:val="ListLabel 444"/>
    <w:qFormat/>
    <w:rPr>
      <w:rFonts w:cs="OpenSymbol"/>
    </w:rPr>
  </w:style>
  <w:style w:type="character" w:styleId="ListLabel445">
    <w:name w:val="ListLabel 445"/>
    <w:qFormat/>
    <w:rPr>
      <w:rFonts w:cs="OpenSymbol"/>
    </w:rPr>
  </w:style>
  <w:style w:type="character" w:styleId="ListLabel446">
    <w:name w:val="ListLabel 446"/>
    <w:qFormat/>
    <w:rPr>
      <w:rFonts w:cs="OpenSymbol"/>
    </w:rPr>
  </w:style>
  <w:style w:type="character" w:styleId="ListLabel447">
    <w:name w:val="ListLabel 447"/>
    <w:qFormat/>
    <w:rPr>
      <w:rFonts w:cs="OpenSymbol"/>
    </w:rPr>
  </w:style>
  <w:style w:type="character" w:styleId="ListLabel448">
    <w:name w:val="ListLabel 448"/>
    <w:qFormat/>
    <w:rPr>
      <w:rFonts w:cs="OpenSymbol"/>
    </w:rPr>
  </w:style>
  <w:style w:type="character" w:styleId="ListLabel449">
    <w:name w:val="ListLabel 449"/>
    <w:qFormat/>
    <w:rPr>
      <w:rFonts w:cs="OpenSymbol"/>
    </w:rPr>
  </w:style>
  <w:style w:type="character" w:styleId="ListLabel450">
    <w:name w:val="ListLabel 450"/>
    <w:qFormat/>
    <w:rPr>
      <w:rFonts w:cs="OpenSymbol"/>
    </w:rPr>
  </w:style>
  <w:style w:type="character" w:styleId="ListLabel451">
    <w:name w:val="ListLabel 451"/>
    <w:qFormat/>
    <w:rPr>
      <w:rFonts w:cs="OpenSymbol"/>
      <w:b w:val="false"/>
      <w:sz w:val="24"/>
    </w:rPr>
  </w:style>
  <w:style w:type="character" w:styleId="ListLabel452">
    <w:name w:val="ListLabel 452"/>
    <w:qFormat/>
    <w:rPr>
      <w:rFonts w:cs="OpenSymbol"/>
    </w:rPr>
  </w:style>
  <w:style w:type="character" w:styleId="ListLabel453">
    <w:name w:val="ListLabel 453"/>
    <w:qFormat/>
    <w:rPr>
      <w:rFonts w:cs="OpenSymbol"/>
    </w:rPr>
  </w:style>
  <w:style w:type="character" w:styleId="ListLabel454">
    <w:name w:val="ListLabel 454"/>
    <w:qFormat/>
    <w:rPr>
      <w:rFonts w:cs="OpenSymbol"/>
    </w:rPr>
  </w:style>
  <w:style w:type="character" w:styleId="ListLabel455">
    <w:name w:val="ListLabel 455"/>
    <w:qFormat/>
    <w:rPr>
      <w:rFonts w:cs="OpenSymbol"/>
    </w:rPr>
  </w:style>
  <w:style w:type="character" w:styleId="ListLabel456">
    <w:name w:val="ListLabel 456"/>
    <w:qFormat/>
    <w:rPr>
      <w:rFonts w:cs="OpenSymbol"/>
    </w:rPr>
  </w:style>
  <w:style w:type="character" w:styleId="ListLabel457">
    <w:name w:val="ListLabel 457"/>
    <w:qFormat/>
    <w:rPr>
      <w:rFonts w:cs="OpenSymbol"/>
    </w:rPr>
  </w:style>
  <w:style w:type="character" w:styleId="ListLabel458">
    <w:name w:val="ListLabel 458"/>
    <w:qFormat/>
    <w:rPr>
      <w:rFonts w:cs="OpenSymbol"/>
    </w:rPr>
  </w:style>
  <w:style w:type="character" w:styleId="ListLabel459">
    <w:name w:val="ListLabel 459"/>
    <w:qFormat/>
    <w:rPr>
      <w:rFonts w:cs="OpenSymbol"/>
    </w:rPr>
  </w:style>
  <w:style w:type="character" w:styleId="ListLabel460">
    <w:name w:val="ListLabel 460"/>
    <w:qFormat/>
    <w:rPr>
      <w:rFonts w:cs="OpenSymbol"/>
      <w:b w:val="false"/>
      <w:sz w:val="24"/>
    </w:rPr>
  </w:style>
  <w:style w:type="character" w:styleId="ListLabel461">
    <w:name w:val="ListLabel 461"/>
    <w:qFormat/>
    <w:rPr>
      <w:rFonts w:cs="OpenSymbol"/>
    </w:rPr>
  </w:style>
  <w:style w:type="character" w:styleId="ListLabel462">
    <w:name w:val="ListLabel 462"/>
    <w:qFormat/>
    <w:rPr>
      <w:rFonts w:cs="OpenSymbol"/>
    </w:rPr>
  </w:style>
  <w:style w:type="character" w:styleId="ListLabel463">
    <w:name w:val="ListLabel 463"/>
    <w:qFormat/>
    <w:rPr>
      <w:rFonts w:cs="OpenSymbol"/>
    </w:rPr>
  </w:style>
  <w:style w:type="character" w:styleId="ListLabel464">
    <w:name w:val="ListLabel 464"/>
    <w:qFormat/>
    <w:rPr>
      <w:rFonts w:cs="OpenSymbol"/>
    </w:rPr>
  </w:style>
  <w:style w:type="character" w:styleId="ListLabel465">
    <w:name w:val="ListLabel 465"/>
    <w:qFormat/>
    <w:rPr>
      <w:rFonts w:cs="OpenSymbol"/>
    </w:rPr>
  </w:style>
  <w:style w:type="character" w:styleId="ListLabel466">
    <w:name w:val="ListLabel 466"/>
    <w:qFormat/>
    <w:rPr>
      <w:rFonts w:cs="OpenSymbol"/>
    </w:rPr>
  </w:style>
  <w:style w:type="character" w:styleId="ListLabel467">
    <w:name w:val="ListLabel 467"/>
    <w:qFormat/>
    <w:rPr>
      <w:rFonts w:cs="OpenSymbol"/>
    </w:rPr>
  </w:style>
  <w:style w:type="character" w:styleId="ListLabel468">
    <w:name w:val="ListLabel 468"/>
    <w:qFormat/>
    <w:rPr>
      <w:rFonts w:cs="OpenSymbol"/>
    </w:rPr>
  </w:style>
  <w:style w:type="character" w:styleId="ListLabel469">
    <w:name w:val="ListLabel 469"/>
    <w:qFormat/>
    <w:rPr>
      <w:rFonts w:cs="OpenSymbol"/>
      <w:b w:val="false"/>
      <w:sz w:val="24"/>
    </w:rPr>
  </w:style>
  <w:style w:type="character" w:styleId="ListLabel470">
    <w:name w:val="ListLabel 470"/>
    <w:qFormat/>
    <w:rPr>
      <w:rFonts w:cs="OpenSymbol"/>
    </w:rPr>
  </w:style>
  <w:style w:type="character" w:styleId="ListLabel471">
    <w:name w:val="ListLabel 471"/>
    <w:qFormat/>
    <w:rPr>
      <w:rFonts w:cs="OpenSymbol"/>
    </w:rPr>
  </w:style>
  <w:style w:type="character" w:styleId="ListLabel472">
    <w:name w:val="ListLabel 472"/>
    <w:qFormat/>
    <w:rPr>
      <w:rFonts w:cs="OpenSymbol"/>
    </w:rPr>
  </w:style>
  <w:style w:type="character" w:styleId="ListLabel473">
    <w:name w:val="ListLabel 473"/>
    <w:qFormat/>
    <w:rPr>
      <w:rFonts w:cs="OpenSymbol"/>
    </w:rPr>
  </w:style>
  <w:style w:type="character" w:styleId="ListLabel474">
    <w:name w:val="ListLabel 474"/>
    <w:qFormat/>
    <w:rPr>
      <w:rFonts w:cs="OpenSymbol"/>
    </w:rPr>
  </w:style>
  <w:style w:type="character" w:styleId="ListLabel475">
    <w:name w:val="ListLabel 475"/>
    <w:qFormat/>
    <w:rPr>
      <w:rFonts w:cs="OpenSymbol"/>
    </w:rPr>
  </w:style>
  <w:style w:type="character" w:styleId="ListLabel476">
    <w:name w:val="ListLabel 476"/>
    <w:qFormat/>
    <w:rPr>
      <w:rFonts w:cs="OpenSymbol"/>
    </w:rPr>
  </w:style>
  <w:style w:type="character" w:styleId="ListLabel477">
    <w:name w:val="ListLabel 477"/>
    <w:qFormat/>
    <w:rPr>
      <w:rFonts w:cs="OpenSymbol"/>
    </w:rPr>
  </w:style>
  <w:style w:type="character" w:styleId="ListLabel478">
    <w:name w:val="ListLabel 478"/>
    <w:qFormat/>
    <w:rPr>
      <w:rFonts w:cs="OpenSymbol"/>
    </w:rPr>
  </w:style>
  <w:style w:type="character" w:styleId="ListLabel479">
    <w:name w:val="ListLabel 479"/>
    <w:qFormat/>
    <w:rPr>
      <w:rFonts w:cs="OpenSymbol"/>
    </w:rPr>
  </w:style>
  <w:style w:type="character" w:styleId="ListLabel480">
    <w:name w:val="ListLabel 480"/>
    <w:qFormat/>
    <w:rPr>
      <w:rFonts w:cs="OpenSymbol"/>
    </w:rPr>
  </w:style>
  <w:style w:type="character" w:styleId="ListLabel481">
    <w:name w:val="ListLabel 481"/>
    <w:qFormat/>
    <w:rPr>
      <w:rFonts w:cs="OpenSymbol"/>
    </w:rPr>
  </w:style>
  <w:style w:type="character" w:styleId="ListLabel482">
    <w:name w:val="ListLabel 482"/>
    <w:qFormat/>
    <w:rPr>
      <w:rFonts w:cs="OpenSymbol"/>
    </w:rPr>
  </w:style>
  <w:style w:type="character" w:styleId="ListLabel483">
    <w:name w:val="ListLabel 483"/>
    <w:qFormat/>
    <w:rPr>
      <w:rFonts w:cs="OpenSymbol"/>
    </w:rPr>
  </w:style>
  <w:style w:type="character" w:styleId="ListLabel484">
    <w:name w:val="ListLabel 484"/>
    <w:qFormat/>
    <w:rPr>
      <w:rFonts w:cs="OpenSymbol"/>
    </w:rPr>
  </w:style>
  <w:style w:type="character" w:styleId="ListLabel485">
    <w:name w:val="ListLabel 485"/>
    <w:qFormat/>
    <w:rPr>
      <w:rFonts w:cs="OpenSymbol"/>
    </w:rPr>
  </w:style>
  <w:style w:type="character" w:styleId="ListLabel486">
    <w:name w:val="ListLabel 486"/>
    <w:qFormat/>
    <w:rPr>
      <w:rFonts w:cs="OpenSymbol"/>
    </w:rPr>
  </w:style>
  <w:style w:type="character" w:styleId="ListLabel487">
    <w:name w:val="ListLabel 487"/>
    <w:qFormat/>
    <w:rPr>
      <w:rFonts w:cs="OpenSymbol"/>
      <w:b w:val="false"/>
      <w:sz w:val="24"/>
    </w:rPr>
  </w:style>
  <w:style w:type="character" w:styleId="ListLabel488">
    <w:name w:val="ListLabel 488"/>
    <w:qFormat/>
    <w:rPr>
      <w:rFonts w:cs="OpenSymbol"/>
    </w:rPr>
  </w:style>
  <w:style w:type="character" w:styleId="ListLabel489">
    <w:name w:val="ListLabel 489"/>
    <w:qFormat/>
    <w:rPr>
      <w:rFonts w:cs="OpenSymbol"/>
    </w:rPr>
  </w:style>
  <w:style w:type="character" w:styleId="ListLabel490">
    <w:name w:val="ListLabel 490"/>
    <w:qFormat/>
    <w:rPr>
      <w:rFonts w:cs="OpenSymbol"/>
    </w:rPr>
  </w:style>
  <w:style w:type="character" w:styleId="ListLabel491">
    <w:name w:val="ListLabel 491"/>
    <w:qFormat/>
    <w:rPr>
      <w:rFonts w:cs="OpenSymbol"/>
    </w:rPr>
  </w:style>
  <w:style w:type="character" w:styleId="ListLabel492">
    <w:name w:val="ListLabel 492"/>
    <w:qFormat/>
    <w:rPr>
      <w:rFonts w:cs="OpenSymbol"/>
    </w:rPr>
  </w:style>
  <w:style w:type="character" w:styleId="ListLabel493">
    <w:name w:val="ListLabel 493"/>
    <w:qFormat/>
    <w:rPr>
      <w:rFonts w:cs="OpenSymbol"/>
    </w:rPr>
  </w:style>
  <w:style w:type="character" w:styleId="ListLabel494">
    <w:name w:val="ListLabel 494"/>
    <w:qFormat/>
    <w:rPr>
      <w:rFonts w:cs="OpenSymbol"/>
    </w:rPr>
  </w:style>
  <w:style w:type="character" w:styleId="ListLabel495">
    <w:name w:val="ListLabel 495"/>
    <w:qFormat/>
    <w:rPr>
      <w:rFonts w:cs="OpenSymbol"/>
    </w:rPr>
  </w:style>
  <w:style w:type="character" w:styleId="ListLabel496">
    <w:name w:val="ListLabel 496"/>
    <w:qFormat/>
    <w:rPr>
      <w:rFonts w:cs="OpenSymbol"/>
      <w:b w:val="false"/>
      <w:sz w:val="24"/>
    </w:rPr>
  </w:style>
  <w:style w:type="character" w:styleId="ListLabel497">
    <w:name w:val="ListLabel 497"/>
    <w:qFormat/>
    <w:rPr>
      <w:rFonts w:cs="OpenSymbol"/>
    </w:rPr>
  </w:style>
  <w:style w:type="character" w:styleId="ListLabel498">
    <w:name w:val="ListLabel 498"/>
    <w:qFormat/>
    <w:rPr>
      <w:rFonts w:cs="OpenSymbol"/>
    </w:rPr>
  </w:style>
  <w:style w:type="character" w:styleId="ListLabel499">
    <w:name w:val="ListLabel 499"/>
    <w:qFormat/>
    <w:rPr>
      <w:rFonts w:cs="OpenSymbol"/>
    </w:rPr>
  </w:style>
  <w:style w:type="character" w:styleId="ListLabel500">
    <w:name w:val="ListLabel 500"/>
    <w:qFormat/>
    <w:rPr>
      <w:rFonts w:cs="OpenSymbol"/>
    </w:rPr>
  </w:style>
  <w:style w:type="character" w:styleId="ListLabel501">
    <w:name w:val="ListLabel 501"/>
    <w:qFormat/>
    <w:rPr>
      <w:rFonts w:cs="OpenSymbol"/>
    </w:rPr>
  </w:style>
  <w:style w:type="character" w:styleId="ListLabel502">
    <w:name w:val="ListLabel 502"/>
    <w:qFormat/>
    <w:rPr>
      <w:rFonts w:cs="OpenSymbol"/>
    </w:rPr>
  </w:style>
  <w:style w:type="character" w:styleId="ListLabel503">
    <w:name w:val="ListLabel 503"/>
    <w:qFormat/>
    <w:rPr>
      <w:rFonts w:cs="OpenSymbol"/>
    </w:rPr>
  </w:style>
  <w:style w:type="character" w:styleId="ListLabel504">
    <w:name w:val="ListLabel 504"/>
    <w:qFormat/>
    <w:rPr>
      <w:rFonts w:cs="OpenSymbol"/>
    </w:rPr>
  </w:style>
  <w:style w:type="character" w:styleId="ListLabel505">
    <w:name w:val="ListLabel 505"/>
    <w:qFormat/>
    <w:rPr>
      <w:rFonts w:cs="OpenSymbol"/>
      <w:b w:val="false"/>
      <w:sz w:val="24"/>
    </w:rPr>
  </w:style>
  <w:style w:type="character" w:styleId="ListLabel506">
    <w:name w:val="ListLabel 506"/>
    <w:qFormat/>
    <w:rPr>
      <w:rFonts w:cs="OpenSymbol"/>
    </w:rPr>
  </w:style>
  <w:style w:type="character" w:styleId="ListLabel507">
    <w:name w:val="ListLabel 507"/>
    <w:qFormat/>
    <w:rPr>
      <w:rFonts w:cs="OpenSymbol"/>
    </w:rPr>
  </w:style>
  <w:style w:type="character" w:styleId="ListLabel508">
    <w:name w:val="ListLabel 508"/>
    <w:qFormat/>
    <w:rPr>
      <w:rFonts w:cs="OpenSymbol"/>
    </w:rPr>
  </w:style>
  <w:style w:type="character" w:styleId="ListLabel509">
    <w:name w:val="ListLabel 509"/>
    <w:qFormat/>
    <w:rPr>
      <w:rFonts w:cs="OpenSymbol"/>
    </w:rPr>
  </w:style>
  <w:style w:type="character" w:styleId="ListLabel510">
    <w:name w:val="ListLabel 510"/>
    <w:qFormat/>
    <w:rPr>
      <w:rFonts w:cs="OpenSymbol"/>
    </w:rPr>
  </w:style>
  <w:style w:type="character" w:styleId="ListLabel511">
    <w:name w:val="ListLabel 511"/>
    <w:qFormat/>
    <w:rPr>
      <w:rFonts w:cs="OpenSymbol"/>
    </w:rPr>
  </w:style>
  <w:style w:type="character" w:styleId="ListLabel512">
    <w:name w:val="ListLabel 512"/>
    <w:qFormat/>
    <w:rPr>
      <w:rFonts w:cs="OpenSymbol"/>
    </w:rPr>
  </w:style>
  <w:style w:type="character" w:styleId="ListLabel513">
    <w:name w:val="ListLabel 513"/>
    <w:qFormat/>
    <w:rPr>
      <w:rFonts w:cs="OpenSymbol"/>
    </w:rPr>
  </w:style>
  <w:style w:type="character" w:styleId="ListLabel514">
    <w:name w:val="ListLabel 514"/>
    <w:qFormat/>
    <w:rPr>
      <w:rFonts w:cs="OpenSymbol"/>
      <w:b w:val="false"/>
      <w:sz w:val="24"/>
    </w:rPr>
  </w:style>
  <w:style w:type="character" w:styleId="ListLabel515">
    <w:name w:val="ListLabel 515"/>
    <w:qFormat/>
    <w:rPr>
      <w:rFonts w:cs="OpenSymbol"/>
    </w:rPr>
  </w:style>
  <w:style w:type="character" w:styleId="ListLabel516">
    <w:name w:val="ListLabel 516"/>
    <w:qFormat/>
    <w:rPr>
      <w:rFonts w:cs="OpenSymbol"/>
    </w:rPr>
  </w:style>
  <w:style w:type="character" w:styleId="ListLabel517">
    <w:name w:val="ListLabel 517"/>
    <w:qFormat/>
    <w:rPr>
      <w:rFonts w:cs="OpenSymbol"/>
    </w:rPr>
  </w:style>
  <w:style w:type="character" w:styleId="ListLabel518">
    <w:name w:val="ListLabel 518"/>
    <w:qFormat/>
    <w:rPr>
      <w:rFonts w:cs="OpenSymbol"/>
    </w:rPr>
  </w:style>
  <w:style w:type="character" w:styleId="ListLabel519">
    <w:name w:val="ListLabel 519"/>
    <w:qFormat/>
    <w:rPr>
      <w:rFonts w:cs="OpenSymbol"/>
    </w:rPr>
  </w:style>
  <w:style w:type="character" w:styleId="ListLabel520">
    <w:name w:val="ListLabel 520"/>
    <w:qFormat/>
    <w:rPr>
      <w:rFonts w:cs="OpenSymbol"/>
    </w:rPr>
  </w:style>
  <w:style w:type="character" w:styleId="ListLabel521">
    <w:name w:val="ListLabel 521"/>
    <w:qFormat/>
    <w:rPr>
      <w:rFonts w:cs="OpenSymbol"/>
    </w:rPr>
  </w:style>
  <w:style w:type="character" w:styleId="ListLabel522">
    <w:name w:val="ListLabel 522"/>
    <w:qFormat/>
    <w:rPr>
      <w:rFonts w:cs="OpenSymbol"/>
    </w:rPr>
  </w:style>
  <w:style w:type="character" w:styleId="ListLabel523">
    <w:name w:val="ListLabel 523"/>
    <w:qFormat/>
    <w:rPr>
      <w:rFonts w:cs="OpenSymbol"/>
      <w:b/>
      <w:sz w:val="24"/>
    </w:rPr>
  </w:style>
  <w:style w:type="character" w:styleId="ListLabel524">
    <w:name w:val="ListLabel 524"/>
    <w:qFormat/>
    <w:rPr>
      <w:rFonts w:cs="OpenSymbol"/>
    </w:rPr>
  </w:style>
  <w:style w:type="character" w:styleId="ListLabel525">
    <w:name w:val="ListLabel 525"/>
    <w:qFormat/>
    <w:rPr>
      <w:rFonts w:cs="OpenSymbol"/>
    </w:rPr>
  </w:style>
  <w:style w:type="character" w:styleId="ListLabel526">
    <w:name w:val="ListLabel 526"/>
    <w:qFormat/>
    <w:rPr>
      <w:rFonts w:cs="OpenSymbol"/>
    </w:rPr>
  </w:style>
  <w:style w:type="character" w:styleId="ListLabel527">
    <w:name w:val="ListLabel 527"/>
    <w:qFormat/>
    <w:rPr>
      <w:rFonts w:cs="OpenSymbol"/>
    </w:rPr>
  </w:style>
  <w:style w:type="character" w:styleId="ListLabel528">
    <w:name w:val="ListLabel 528"/>
    <w:qFormat/>
    <w:rPr>
      <w:rFonts w:cs="OpenSymbol"/>
    </w:rPr>
  </w:style>
  <w:style w:type="character" w:styleId="ListLabel529">
    <w:name w:val="ListLabel 529"/>
    <w:qFormat/>
    <w:rPr>
      <w:rFonts w:cs="OpenSymbol"/>
    </w:rPr>
  </w:style>
  <w:style w:type="character" w:styleId="ListLabel530">
    <w:name w:val="ListLabel 530"/>
    <w:qFormat/>
    <w:rPr>
      <w:rFonts w:cs="OpenSymbol"/>
    </w:rPr>
  </w:style>
  <w:style w:type="character" w:styleId="ListLabel531">
    <w:name w:val="ListLabel 531"/>
    <w:qFormat/>
    <w:rPr>
      <w:rFonts w:cs="OpenSymbol"/>
    </w:rPr>
  </w:style>
  <w:style w:type="character" w:styleId="ListLabel532">
    <w:name w:val="ListLabel 532"/>
    <w:qFormat/>
    <w:rPr>
      <w:rFonts w:cs="OpenSymbol"/>
      <w:b/>
      <w:sz w:val="24"/>
    </w:rPr>
  </w:style>
  <w:style w:type="character" w:styleId="ListLabel533">
    <w:name w:val="ListLabel 533"/>
    <w:qFormat/>
    <w:rPr>
      <w:rFonts w:cs="OpenSymbol"/>
    </w:rPr>
  </w:style>
  <w:style w:type="character" w:styleId="ListLabel534">
    <w:name w:val="ListLabel 534"/>
    <w:qFormat/>
    <w:rPr>
      <w:rFonts w:cs="OpenSymbol"/>
    </w:rPr>
  </w:style>
  <w:style w:type="character" w:styleId="ListLabel535">
    <w:name w:val="ListLabel 535"/>
    <w:qFormat/>
    <w:rPr>
      <w:rFonts w:cs="OpenSymbol"/>
    </w:rPr>
  </w:style>
  <w:style w:type="character" w:styleId="ListLabel536">
    <w:name w:val="ListLabel 536"/>
    <w:qFormat/>
    <w:rPr>
      <w:rFonts w:cs="OpenSymbol"/>
    </w:rPr>
  </w:style>
  <w:style w:type="character" w:styleId="ListLabel537">
    <w:name w:val="ListLabel 537"/>
    <w:qFormat/>
    <w:rPr>
      <w:rFonts w:cs="OpenSymbol"/>
    </w:rPr>
  </w:style>
  <w:style w:type="character" w:styleId="ListLabel538">
    <w:name w:val="ListLabel 538"/>
    <w:qFormat/>
    <w:rPr>
      <w:rFonts w:cs="OpenSymbol"/>
    </w:rPr>
  </w:style>
  <w:style w:type="character" w:styleId="ListLabel539">
    <w:name w:val="ListLabel 539"/>
    <w:qFormat/>
    <w:rPr>
      <w:rFonts w:cs="OpenSymbol"/>
    </w:rPr>
  </w:style>
  <w:style w:type="character" w:styleId="ListLabel540">
    <w:name w:val="ListLabel 540"/>
    <w:qFormat/>
    <w:rPr>
      <w:rFonts w:cs="OpenSymbol"/>
    </w:rPr>
  </w:style>
  <w:style w:type="character" w:styleId="ListLabel541">
    <w:name w:val="ListLabel 541"/>
    <w:qFormat/>
    <w:rPr>
      <w:rFonts w:cs="OpenSymbol"/>
    </w:rPr>
  </w:style>
  <w:style w:type="character" w:styleId="ListLabel542">
    <w:name w:val="ListLabel 542"/>
    <w:qFormat/>
    <w:rPr>
      <w:rFonts w:cs="OpenSymbol"/>
    </w:rPr>
  </w:style>
  <w:style w:type="character" w:styleId="ListLabel543">
    <w:name w:val="ListLabel 543"/>
    <w:qFormat/>
    <w:rPr>
      <w:rFonts w:cs="OpenSymbol"/>
    </w:rPr>
  </w:style>
  <w:style w:type="character" w:styleId="ListLabel544">
    <w:name w:val="ListLabel 544"/>
    <w:qFormat/>
    <w:rPr>
      <w:rFonts w:cs="OpenSymbol"/>
    </w:rPr>
  </w:style>
  <w:style w:type="character" w:styleId="ListLabel545">
    <w:name w:val="ListLabel 545"/>
    <w:qFormat/>
    <w:rPr>
      <w:rFonts w:cs="OpenSymbol"/>
    </w:rPr>
  </w:style>
  <w:style w:type="character" w:styleId="ListLabel546">
    <w:name w:val="ListLabel 546"/>
    <w:qFormat/>
    <w:rPr>
      <w:rFonts w:cs="OpenSymbol"/>
    </w:rPr>
  </w:style>
  <w:style w:type="character" w:styleId="ListLabel547">
    <w:name w:val="ListLabel 547"/>
    <w:qFormat/>
    <w:rPr>
      <w:rFonts w:cs="OpenSymbol"/>
    </w:rPr>
  </w:style>
  <w:style w:type="character" w:styleId="ListLabel548">
    <w:name w:val="ListLabel 548"/>
    <w:qFormat/>
    <w:rPr>
      <w:rFonts w:cs="OpenSymbol"/>
    </w:rPr>
  </w:style>
  <w:style w:type="character" w:styleId="ListLabel549">
    <w:name w:val="ListLabel 549"/>
    <w:qFormat/>
    <w:rPr>
      <w:rFonts w:cs="OpenSymbol"/>
    </w:rPr>
  </w:style>
  <w:style w:type="character" w:styleId="ListLabel550">
    <w:name w:val="ListLabel 550"/>
    <w:qFormat/>
    <w:rPr>
      <w:rFonts w:cs="OpenSymbol"/>
    </w:rPr>
  </w:style>
  <w:style w:type="character" w:styleId="ListLabel551">
    <w:name w:val="ListLabel 551"/>
    <w:qFormat/>
    <w:rPr>
      <w:rFonts w:cs="OpenSymbol"/>
    </w:rPr>
  </w:style>
  <w:style w:type="character" w:styleId="ListLabel552">
    <w:name w:val="ListLabel 552"/>
    <w:qFormat/>
    <w:rPr>
      <w:rFonts w:cs="OpenSymbol"/>
    </w:rPr>
  </w:style>
  <w:style w:type="character" w:styleId="ListLabel553">
    <w:name w:val="ListLabel 553"/>
    <w:qFormat/>
    <w:rPr>
      <w:rFonts w:cs="OpenSymbol"/>
    </w:rPr>
  </w:style>
  <w:style w:type="character" w:styleId="ListLabel554">
    <w:name w:val="ListLabel 554"/>
    <w:qFormat/>
    <w:rPr>
      <w:rFonts w:cs="OpenSymbol"/>
    </w:rPr>
  </w:style>
  <w:style w:type="character" w:styleId="ListLabel555">
    <w:name w:val="ListLabel 555"/>
    <w:qFormat/>
    <w:rPr>
      <w:rFonts w:cs="OpenSymbol"/>
    </w:rPr>
  </w:style>
  <w:style w:type="character" w:styleId="ListLabel556">
    <w:name w:val="ListLabel 556"/>
    <w:qFormat/>
    <w:rPr>
      <w:rFonts w:cs="OpenSymbol"/>
    </w:rPr>
  </w:style>
  <w:style w:type="character" w:styleId="ListLabel557">
    <w:name w:val="ListLabel 557"/>
    <w:qFormat/>
    <w:rPr>
      <w:rFonts w:cs="OpenSymbol"/>
    </w:rPr>
  </w:style>
  <w:style w:type="character" w:styleId="ListLabel558">
    <w:name w:val="ListLabel 558"/>
    <w:qFormat/>
    <w:rPr>
      <w:rFonts w:cs="OpenSymbol"/>
    </w:rPr>
  </w:style>
  <w:style w:type="character" w:styleId="ListLabel559">
    <w:name w:val="ListLabel 559"/>
    <w:qFormat/>
    <w:rPr>
      <w:rFonts w:cs="OpenSymbol"/>
      <w:b w:val="false"/>
      <w:sz w:val="24"/>
    </w:rPr>
  </w:style>
  <w:style w:type="character" w:styleId="ListLabel560">
    <w:name w:val="ListLabel 560"/>
    <w:qFormat/>
    <w:rPr>
      <w:rFonts w:cs="OpenSymbol"/>
    </w:rPr>
  </w:style>
  <w:style w:type="character" w:styleId="ListLabel561">
    <w:name w:val="ListLabel 561"/>
    <w:qFormat/>
    <w:rPr>
      <w:rFonts w:cs="OpenSymbol"/>
    </w:rPr>
  </w:style>
  <w:style w:type="character" w:styleId="ListLabel562">
    <w:name w:val="ListLabel 562"/>
    <w:qFormat/>
    <w:rPr>
      <w:rFonts w:cs="OpenSymbol"/>
    </w:rPr>
  </w:style>
  <w:style w:type="character" w:styleId="ListLabel563">
    <w:name w:val="ListLabel 563"/>
    <w:qFormat/>
    <w:rPr>
      <w:rFonts w:cs="OpenSymbol"/>
    </w:rPr>
  </w:style>
  <w:style w:type="character" w:styleId="ListLabel564">
    <w:name w:val="ListLabel 564"/>
    <w:qFormat/>
    <w:rPr>
      <w:rFonts w:cs="OpenSymbol"/>
    </w:rPr>
  </w:style>
  <w:style w:type="character" w:styleId="ListLabel565">
    <w:name w:val="ListLabel 565"/>
    <w:qFormat/>
    <w:rPr>
      <w:rFonts w:cs="OpenSymbol"/>
    </w:rPr>
  </w:style>
  <w:style w:type="character" w:styleId="ListLabel566">
    <w:name w:val="ListLabel 566"/>
    <w:qFormat/>
    <w:rPr>
      <w:rFonts w:cs="OpenSymbol"/>
    </w:rPr>
  </w:style>
  <w:style w:type="character" w:styleId="ListLabel567">
    <w:name w:val="ListLabel 567"/>
    <w:qFormat/>
    <w:rPr>
      <w:rFonts w:cs="OpenSymbol"/>
    </w:rPr>
  </w:style>
  <w:style w:type="character" w:styleId="ListLabel568">
    <w:name w:val="ListLabel 568"/>
    <w:qFormat/>
    <w:rPr>
      <w:rFonts w:cs="OpenSymbol"/>
      <w:b w:val="false"/>
      <w:sz w:val="24"/>
    </w:rPr>
  </w:style>
  <w:style w:type="character" w:styleId="ListLabel569">
    <w:name w:val="ListLabel 569"/>
    <w:qFormat/>
    <w:rPr>
      <w:rFonts w:cs="OpenSymbol"/>
    </w:rPr>
  </w:style>
  <w:style w:type="character" w:styleId="ListLabel570">
    <w:name w:val="ListLabel 570"/>
    <w:qFormat/>
    <w:rPr>
      <w:rFonts w:cs="OpenSymbol"/>
    </w:rPr>
  </w:style>
  <w:style w:type="character" w:styleId="ListLabel571">
    <w:name w:val="ListLabel 571"/>
    <w:qFormat/>
    <w:rPr>
      <w:rFonts w:cs="OpenSymbol"/>
    </w:rPr>
  </w:style>
  <w:style w:type="character" w:styleId="ListLabel572">
    <w:name w:val="ListLabel 572"/>
    <w:qFormat/>
    <w:rPr>
      <w:rFonts w:cs="OpenSymbol"/>
    </w:rPr>
  </w:style>
  <w:style w:type="character" w:styleId="ListLabel573">
    <w:name w:val="ListLabel 573"/>
    <w:qFormat/>
    <w:rPr>
      <w:rFonts w:cs="OpenSymbol"/>
    </w:rPr>
  </w:style>
  <w:style w:type="character" w:styleId="ListLabel574">
    <w:name w:val="ListLabel 574"/>
    <w:qFormat/>
    <w:rPr>
      <w:rFonts w:cs="OpenSymbol"/>
    </w:rPr>
  </w:style>
  <w:style w:type="character" w:styleId="ListLabel575">
    <w:name w:val="ListLabel 575"/>
    <w:qFormat/>
    <w:rPr>
      <w:rFonts w:cs="OpenSymbol"/>
    </w:rPr>
  </w:style>
  <w:style w:type="character" w:styleId="ListLabel576">
    <w:name w:val="ListLabel 576"/>
    <w:qFormat/>
    <w:rPr>
      <w:rFonts w:cs="OpenSymbol"/>
    </w:rPr>
  </w:style>
  <w:style w:type="character" w:styleId="ListLabel577">
    <w:name w:val="ListLabel 577"/>
    <w:qFormat/>
    <w:rPr>
      <w:rFonts w:cs="OpenSymbol"/>
      <w:b w:val="false"/>
      <w:sz w:val="24"/>
    </w:rPr>
  </w:style>
  <w:style w:type="character" w:styleId="ListLabel578">
    <w:name w:val="ListLabel 578"/>
    <w:qFormat/>
    <w:rPr>
      <w:rFonts w:cs="OpenSymbol"/>
    </w:rPr>
  </w:style>
  <w:style w:type="character" w:styleId="ListLabel579">
    <w:name w:val="ListLabel 579"/>
    <w:qFormat/>
    <w:rPr>
      <w:rFonts w:cs="OpenSymbol"/>
    </w:rPr>
  </w:style>
  <w:style w:type="character" w:styleId="ListLabel580">
    <w:name w:val="ListLabel 580"/>
    <w:qFormat/>
    <w:rPr>
      <w:rFonts w:cs="OpenSymbol"/>
    </w:rPr>
  </w:style>
  <w:style w:type="character" w:styleId="ListLabel581">
    <w:name w:val="ListLabel 581"/>
    <w:qFormat/>
    <w:rPr>
      <w:rFonts w:cs="OpenSymbol"/>
    </w:rPr>
  </w:style>
  <w:style w:type="character" w:styleId="ListLabel582">
    <w:name w:val="ListLabel 582"/>
    <w:qFormat/>
    <w:rPr>
      <w:rFonts w:cs="OpenSymbol"/>
    </w:rPr>
  </w:style>
  <w:style w:type="character" w:styleId="ListLabel583">
    <w:name w:val="ListLabel 583"/>
    <w:qFormat/>
    <w:rPr>
      <w:rFonts w:cs="OpenSymbol"/>
    </w:rPr>
  </w:style>
  <w:style w:type="character" w:styleId="ListLabel584">
    <w:name w:val="ListLabel 584"/>
    <w:qFormat/>
    <w:rPr>
      <w:rFonts w:cs="OpenSymbol"/>
    </w:rPr>
  </w:style>
  <w:style w:type="character" w:styleId="ListLabel585">
    <w:name w:val="ListLabel 585"/>
    <w:qFormat/>
    <w:rPr>
      <w:rFonts w:cs="OpenSymbol"/>
    </w:rPr>
  </w:style>
  <w:style w:type="character" w:styleId="ListLabel586">
    <w:name w:val="ListLabel 586"/>
    <w:qFormat/>
    <w:rPr>
      <w:rFonts w:cs="OpenSymbol"/>
      <w:b w:val="false"/>
      <w:sz w:val="24"/>
    </w:rPr>
  </w:style>
  <w:style w:type="character" w:styleId="ListLabel587">
    <w:name w:val="ListLabel 587"/>
    <w:qFormat/>
    <w:rPr>
      <w:rFonts w:cs="OpenSymbol"/>
    </w:rPr>
  </w:style>
  <w:style w:type="character" w:styleId="ListLabel588">
    <w:name w:val="ListLabel 588"/>
    <w:qFormat/>
    <w:rPr>
      <w:rFonts w:cs="OpenSymbol"/>
    </w:rPr>
  </w:style>
  <w:style w:type="character" w:styleId="ListLabel589">
    <w:name w:val="ListLabel 589"/>
    <w:qFormat/>
    <w:rPr>
      <w:rFonts w:cs="OpenSymbol"/>
    </w:rPr>
  </w:style>
  <w:style w:type="character" w:styleId="ListLabel590">
    <w:name w:val="ListLabel 590"/>
    <w:qFormat/>
    <w:rPr>
      <w:rFonts w:cs="OpenSymbol"/>
    </w:rPr>
  </w:style>
  <w:style w:type="character" w:styleId="ListLabel591">
    <w:name w:val="ListLabel 591"/>
    <w:qFormat/>
    <w:rPr>
      <w:rFonts w:cs="OpenSymbol"/>
    </w:rPr>
  </w:style>
  <w:style w:type="character" w:styleId="ListLabel592">
    <w:name w:val="ListLabel 592"/>
    <w:qFormat/>
    <w:rPr>
      <w:rFonts w:cs="OpenSymbol"/>
    </w:rPr>
  </w:style>
  <w:style w:type="character" w:styleId="ListLabel593">
    <w:name w:val="ListLabel 593"/>
    <w:qFormat/>
    <w:rPr>
      <w:rFonts w:cs="OpenSymbol"/>
    </w:rPr>
  </w:style>
  <w:style w:type="character" w:styleId="ListLabel594">
    <w:name w:val="ListLabel 594"/>
    <w:qFormat/>
    <w:rPr>
      <w:rFonts w:cs="OpenSymbol"/>
    </w:rPr>
  </w:style>
  <w:style w:type="character" w:styleId="ListLabel595">
    <w:name w:val="ListLabel 595"/>
    <w:qFormat/>
    <w:rPr>
      <w:rFonts w:cs="OpenSymbol"/>
      <w:b/>
      <w:sz w:val="24"/>
    </w:rPr>
  </w:style>
  <w:style w:type="character" w:styleId="ListLabel596">
    <w:name w:val="ListLabel 596"/>
    <w:qFormat/>
    <w:rPr>
      <w:rFonts w:cs="OpenSymbol"/>
    </w:rPr>
  </w:style>
  <w:style w:type="character" w:styleId="ListLabel597">
    <w:name w:val="ListLabel 597"/>
    <w:qFormat/>
    <w:rPr>
      <w:rFonts w:cs="OpenSymbol"/>
    </w:rPr>
  </w:style>
  <w:style w:type="character" w:styleId="ListLabel598">
    <w:name w:val="ListLabel 598"/>
    <w:qFormat/>
    <w:rPr>
      <w:rFonts w:cs="OpenSymbol"/>
    </w:rPr>
  </w:style>
  <w:style w:type="character" w:styleId="ListLabel599">
    <w:name w:val="ListLabel 599"/>
    <w:qFormat/>
    <w:rPr>
      <w:rFonts w:cs="OpenSymbol"/>
    </w:rPr>
  </w:style>
  <w:style w:type="character" w:styleId="ListLabel600">
    <w:name w:val="ListLabel 600"/>
    <w:qFormat/>
    <w:rPr>
      <w:rFonts w:cs="OpenSymbol"/>
    </w:rPr>
  </w:style>
  <w:style w:type="character" w:styleId="ListLabel601">
    <w:name w:val="ListLabel 601"/>
    <w:qFormat/>
    <w:rPr>
      <w:rFonts w:cs="OpenSymbol"/>
    </w:rPr>
  </w:style>
  <w:style w:type="character" w:styleId="ListLabel602">
    <w:name w:val="ListLabel 602"/>
    <w:qFormat/>
    <w:rPr>
      <w:rFonts w:cs="OpenSymbol"/>
    </w:rPr>
  </w:style>
  <w:style w:type="character" w:styleId="ListLabel603">
    <w:name w:val="ListLabel 603"/>
    <w:qFormat/>
    <w:rPr>
      <w:rFonts w:cs="OpenSymbol"/>
    </w:rPr>
  </w:style>
  <w:style w:type="character" w:styleId="ListLabel604">
    <w:name w:val="ListLabel 604"/>
    <w:qFormat/>
    <w:rPr>
      <w:rFonts w:cs="OpenSymbol"/>
      <w:b/>
      <w:sz w:val="24"/>
    </w:rPr>
  </w:style>
  <w:style w:type="character" w:styleId="ListLabel605">
    <w:name w:val="ListLabel 605"/>
    <w:qFormat/>
    <w:rPr>
      <w:rFonts w:cs="OpenSymbol"/>
    </w:rPr>
  </w:style>
  <w:style w:type="character" w:styleId="ListLabel606">
    <w:name w:val="ListLabel 606"/>
    <w:qFormat/>
    <w:rPr>
      <w:rFonts w:cs="OpenSymbol"/>
    </w:rPr>
  </w:style>
  <w:style w:type="character" w:styleId="ListLabel607">
    <w:name w:val="ListLabel 607"/>
    <w:qFormat/>
    <w:rPr>
      <w:rFonts w:cs="OpenSymbol"/>
    </w:rPr>
  </w:style>
  <w:style w:type="character" w:styleId="ListLabel608">
    <w:name w:val="ListLabel 608"/>
    <w:qFormat/>
    <w:rPr>
      <w:rFonts w:cs="OpenSymbol"/>
    </w:rPr>
  </w:style>
  <w:style w:type="character" w:styleId="ListLabel609">
    <w:name w:val="ListLabel 609"/>
    <w:qFormat/>
    <w:rPr>
      <w:rFonts w:cs="OpenSymbol"/>
    </w:rPr>
  </w:style>
  <w:style w:type="character" w:styleId="ListLabel610">
    <w:name w:val="ListLabel 610"/>
    <w:qFormat/>
    <w:rPr>
      <w:rFonts w:cs="OpenSymbol"/>
    </w:rPr>
  </w:style>
  <w:style w:type="character" w:styleId="ListLabel611">
    <w:name w:val="ListLabel 611"/>
    <w:qFormat/>
    <w:rPr>
      <w:rFonts w:cs="OpenSymbol"/>
    </w:rPr>
  </w:style>
  <w:style w:type="character" w:styleId="ListLabel612">
    <w:name w:val="ListLabel 612"/>
    <w:qFormat/>
    <w:rPr>
      <w:rFonts w:cs="OpenSymbol"/>
    </w:rPr>
  </w:style>
  <w:style w:type="character" w:styleId="ListLabel613">
    <w:name w:val="ListLabel 613"/>
    <w:qFormat/>
    <w:rPr>
      <w:rFonts w:cs="OpenSymbol"/>
    </w:rPr>
  </w:style>
  <w:style w:type="character" w:styleId="ListLabel614">
    <w:name w:val="ListLabel 614"/>
    <w:qFormat/>
    <w:rPr>
      <w:rFonts w:cs="OpenSymbol"/>
    </w:rPr>
  </w:style>
  <w:style w:type="character" w:styleId="ListLabel615">
    <w:name w:val="ListLabel 615"/>
    <w:qFormat/>
    <w:rPr>
      <w:rFonts w:cs="OpenSymbol"/>
    </w:rPr>
  </w:style>
  <w:style w:type="character" w:styleId="ListLabel616">
    <w:name w:val="ListLabel 616"/>
    <w:qFormat/>
    <w:rPr>
      <w:rFonts w:cs="OpenSymbol"/>
    </w:rPr>
  </w:style>
  <w:style w:type="character" w:styleId="ListLabel617">
    <w:name w:val="ListLabel 617"/>
    <w:qFormat/>
    <w:rPr>
      <w:rFonts w:cs="OpenSymbol"/>
    </w:rPr>
  </w:style>
  <w:style w:type="character" w:styleId="ListLabel618">
    <w:name w:val="ListLabel 618"/>
    <w:qFormat/>
    <w:rPr>
      <w:rFonts w:cs="OpenSymbol"/>
    </w:rPr>
  </w:style>
  <w:style w:type="character" w:styleId="ListLabel619">
    <w:name w:val="ListLabel 619"/>
    <w:qFormat/>
    <w:rPr>
      <w:rFonts w:cs="OpenSymbol"/>
    </w:rPr>
  </w:style>
  <w:style w:type="character" w:styleId="ListLabel620">
    <w:name w:val="ListLabel 620"/>
    <w:qFormat/>
    <w:rPr>
      <w:rFonts w:cs="OpenSymbol"/>
    </w:rPr>
  </w:style>
  <w:style w:type="character" w:styleId="ListLabel621">
    <w:name w:val="ListLabel 621"/>
    <w:qFormat/>
    <w:rPr>
      <w:rFonts w:cs="OpenSymbol"/>
    </w:rPr>
  </w:style>
  <w:style w:type="character" w:styleId="ListLabel622">
    <w:name w:val="ListLabel 622"/>
    <w:qFormat/>
    <w:rPr>
      <w:rFonts w:cs="OpenSymbol"/>
    </w:rPr>
  </w:style>
  <w:style w:type="character" w:styleId="ListLabel623">
    <w:name w:val="ListLabel 623"/>
    <w:qFormat/>
    <w:rPr>
      <w:rFonts w:cs="OpenSymbol"/>
    </w:rPr>
  </w:style>
  <w:style w:type="character" w:styleId="ListLabel624">
    <w:name w:val="ListLabel 624"/>
    <w:qFormat/>
    <w:rPr>
      <w:rFonts w:cs="OpenSymbol"/>
    </w:rPr>
  </w:style>
  <w:style w:type="character" w:styleId="ListLabel625">
    <w:name w:val="ListLabel 625"/>
    <w:qFormat/>
    <w:rPr>
      <w:rFonts w:cs="OpenSymbol"/>
    </w:rPr>
  </w:style>
  <w:style w:type="character" w:styleId="ListLabel626">
    <w:name w:val="ListLabel 626"/>
    <w:qFormat/>
    <w:rPr>
      <w:rFonts w:cs="OpenSymbol"/>
    </w:rPr>
  </w:style>
  <w:style w:type="character" w:styleId="ListLabel627">
    <w:name w:val="ListLabel 627"/>
    <w:qFormat/>
    <w:rPr>
      <w:rFonts w:cs="OpenSymbol"/>
    </w:rPr>
  </w:style>
  <w:style w:type="character" w:styleId="ListLabel628">
    <w:name w:val="ListLabel 628"/>
    <w:qFormat/>
    <w:rPr>
      <w:rFonts w:cs="OpenSymbol"/>
    </w:rPr>
  </w:style>
  <w:style w:type="character" w:styleId="ListLabel629">
    <w:name w:val="ListLabel 629"/>
    <w:qFormat/>
    <w:rPr>
      <w:rFonts w:cs="OpenSymbol"/>
    </w:rPr>
  </w:style>
  <w:style w:type="character" w:styleId="ListLabel630">
    <w:name w:val="ListLabel 630"/>
    <w:qFormat/>
    <w:rPr>
      <w:rFonts w:cs="OpenSymbol"/>
    </w:rPr>
  </w:style>
  <w:style w:type="paragraph" w:styleId="Heading">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pPr>
      <w:spacing w:before="0" w:after="160"/>
      <w:ind w:left="720" w:right="0" w:hanging="0"/>
      <w:contextualSpacing/>
    </w:pPr>
    <w:rPr/>
  </w:style>
  <w:style w:type="paragraph" w:styleId="ListHeading">
    <w:name w:val="List Heading"/>
    <w:basedOn w:val="Normal"/>
    <w:qFormat/>
    <w:pPr/>
    <w:rPr/>
  </w:style>
  <w:style w:type="paragraph" w:styleId="ListContents">
    <w:name w:val="List Contents"/>
    <w:basedOn w:val="Normal"/>
    <w:qFormat/>
    <w:pPr/>
    <w:rPr/>
  </w:style>
  <w:style w:type="paragraph" w:styleId="TableContents">
    <w:name w:val="Table Contents"/>
    <w:basedOn w:val="Normal"/>
    <w:qFormat/>
    <w:pPr/>
    <w:rPr/>
  </w:style>
  <w:style w:type="paragraph" w:styleId="TableHeading">
    <w:name w:val="Table Heading"/>
    <w:basedOn w:val="TableContents"/>
    <w:qFormat/>
    <w:pPr/>
    <w:rPr/>
  </w:style>
  <w:style w:type="paragraph" w:styleId="FrameContents">
    <w:name w:val="Frame Contents"/>
    <w:basedOn w:val="Normal"/>
    <w:qFormat/>
    <w:pPr/>
    <w:rPr/>
  </w:style>
  <w:style w:type="paragraph" w:styleId="Quotations">
    <w:name w:val="Quotations"/>
    <w:basedOn w:val="Normal"/>
    <w:qFormat/>
    <w:pPr/>
    <w:rPr/>
  </w:style>
  <w:style w:type="paragraph" w:styleId="Footer">
    <w:name w:val="Footer"/>
    <w:basedOn w:val="Normal"/>
    <w:pPr/>
    <w:rPr/>
  </w:style>
  <w:style w:type="numbering" w:styleId="NoList">
    <w:name w:val="No List"/>
    <w:qFormat/>
  </w:style>
  <w:style w:type="numbering" w:styleId="WW8Num26">
    <w:name w:val="WW8Num26"/>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independent.co.uk/travel/news-and-advice/staycation-uk-holidays-brexit-travel-eu-a7668991.html" TargetMode="External"/><Relationship Id="rId3" Type="http://schemas.openxmlformats.org/officeDocument/2006/relationships/hyperlink" Target="http://gov.wales/docs/desh/publications/090223walkingactionplanen.pdf" TargetMode="External"/><Relationship Id="rId4" Type="http://schemas.openxmlformats.org/officeDocument/2006/relationships/hyperlink" Target="https://swansea.jdi-consult.net/documents/pdfs20160714/Gower_Landscape_Capacity_Study_for_Caravan_and_Camping_Sites_FINAL 2014.pdf" TargetMode="External"/><Relationship Id="rId5" Type="http://schemas.openxmlformats.org/officeDocument/2006/relationships/hyperlink" Target="http://tourismswanseabay.co.uk/" TargetMode="External"/><Relationship Id="rId6" Type="http://schemas.openxmlformats.org/officeDocument/2006/relationships/hyperlink" Target="http://www.workingword.co.uk/projects/visit-swansea-bay/" TargetMode="Externa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983</TotalTime>
  <Application>LibreOffice/5.3.3.2$Windows_x86 LibreOffice_project/3d9a8b4b4e538a85e0782bd6c2d430bafe583448</Application>
  <Pages>13</Pages>
  <Words>2853</Words>
  <Characters>15593</Characters>
  <CharactersWithSpaces>18425</CharactersWithSpaces>
  <Paragraphs>157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2017-10-30T23:56:00Z</dcterms:created>
  <dc:creator>Carl Flynn</dc:creator>
  <dc:description/>
  <dc:language>en-GB</dc:language>
  <cp:lastModifiedBy/>
  <dcterms:modified xsi:type="dcterms:W3CDTF">2018-03-26T08:43:17Z</dcterms:modified>
  <cp:revision>51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