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FE0A891" w14:textId="77777777" w:rsidR="00474534" w:rsidRDefault="00474534" w:rsidP="00474534">
      <w:bookmarkStart w:id="0" w:name="_gjdgxs" w:colFirst="0" w:colLast="0"/>
      <w:bookmarkEnd w:id="0"/>
      <w:r>
        <w:t xml:space="preserve">The Welsh National Curriculum is currently undergoing educational reform. This reform is primarily based on the work of Graham Donaldson and his pioneering report ‘Successful Futures’ (2015). In this, Donaldson outlines 12 pedagogical principles to categorise the qualities of good teaching and learning. In this report, I will focus on three of these principles and examine how I have implemented them during my first professional teaching placement; in a year 2 class of a two-form primary school in an affluent area Cardiff.  I will examine the literature surrounding these principles before carrying out a critical analysis of their implementation across my placement. </w:t>
      </w:r>
    </w:p>
    <w:p w14:paraId="68AFAE59" w14:textId="77777777" w:rsidR="00474534" w:rsidRDefault="00474534" w:rsidP="00474534">
      <w:pPr>
        <w:rPr>
          <w:b/>
        </w:rPr>
      </w:pPr>
    </w:p>
    <w:p w14:paraId="36C07276" w14:textId="77777777" w:rsidR="00474534" w:rsidRDefault="00474534" w:rsidP="00474534">
      <w:pPr>
        <w:rPr>
          <w:b/>
        </w:rPr>
      </w:pPr>
      <w:r>
        <w:rPr>
          <w:b/>
        </w:rPr>
        <w:t>Good teaching and learning regularly reinforces Cross-curriculum Responsibilities, including literacy, numeracy and digital competence, and provides opportunities to practise them.</w:t>
      </w:r>
    </w:p>
    <w:p w14:paraId="0FF3E273" w14:textId="77777777" w:rsidR="00474534" w:rsidRDefault="00474534" w:rsidP="00474534">
      <w:r>
        <w:t xml:space="preserve">In his review, Donaldson (2015) was clear about the importance of cross-curricular learning. He proposed that the Literacy and Numeracy Framework (LNF) and the Digital Competency Framework (DCF) should remain as the core cross-curricular responsibilities in the curriculum reform, as they were three of the most important skills underpinning all learning. He suggested that the most effective way of teaching these core skills was to include them across the curriculum in all areas of learning and experience. An important consideration when planning for a cross-curricular lesson is to make learning contextual. The literacy, numeracy or digital aspect of the lesson must not be used simply for ‘box-ticking’. The cross-curricular aspect must be fully integrated and contextualised to ensure the best learning potential (Hickman &amp; Kiss, 2010). </w:t>
      </w:r>
    </w:p>
    <w:p w14:paraId="1A43177E" w14:textId="77777777" w:rsidR="00474534" w:rsidRDefault="00474534" w:rsidP="00474534">
      <w:r>
        <w:t xml:space="preserve">If the cross-curricular responsibilities are fully embedded in the lesson context, a wide range of evidence exists to support a cross-curricular method as an effective technique for teaching key skills. Bloom’s Taxonomy shows progression steps for learners to progress from low-level cognitive processes to </w:t>
      </w:r>
      <w:proofErr w:type="gramStart"/>
      <w:r>
        <w:t>higher-order</w:t>
      </w:r>
      <w:proofErr w:type="gramEnd"/>
      <w:r>
        <w:t xml:space="preserve"> thinking with learners passing through all stages before reaching higher-level autonomy (Bloom, 1956). The third level of the taxonomy, ‘application’, involves a learner applying learned information to a new context (Anderson, 1994; Bloom, 1956). A new area of learning, which is fulfilled by cross-curricular teaching, best provides this new context. If Bloom’s Taxonomy is accurate, the use of cross-curricular teaching could promote the learner to higher-order thinking, thus creating a more independent learner (Adams, 2015). However, whilst Bloom’s taxonomy has been praised as a practical, often successful, method for teachers to encourage higher-order thinking (</w:t>
      </w:r>
      <w:proofErr w:type="spellStart"/>
      <w:r>
        <w:t>Soozandehfar</w:t>
      </w:r>
      <w:proofErr w:type="spellEnd"/>
      <w:r>
        <w:t xml:space="preserve"> and </w:t>
      </w:r>
      <w:proofErr w:type="spellStart"/>
      <w:r>
        <w:t>Adeli</w:t>
      </w:r>
      <w:proofErr w:type="spellEnd"/>
      <w:r>
        <w:t xml:space="preserve">, 2016), it has also been criticised heavily. A hierarchical taxonomy often reflects each level being created from cognitive skills in the level below. However, with Bloom’s taxonomy, there is no research suggesting that the cognitive skills on each level support the level above (Conklin 2005; Marzano 2001). </w:t>
      </w:r>
    </w:p>
    <w:p w14:paraId="1AE8FBB7" w14:textId="77777777" w:rsidR="00474534" w:rsidRDefault="00474534" w:rsidP="00474534">
      <w:r>
        <w:t xml:space="preserve">A cross-curricular approach to teaching has also been criticised for its practicality in classroom implementation. Critics suggest that learners need clearly defined subject boundaries in order to learn successfully (Barnes, 2015). Furthermore, offering pupils choice (common in thematic, cross-curricular lessons) could allow pupils to choose ‘easier’ subjects and ‘opt-out’ of subjects found more difficult (Hayes, 2010).  Cross-curricular lessons may also become repetitive; many schools have attempted LNF implementation by planning a range of writing tasks for different purposes (Welsh Government, 2013). Whilst this fulfils the cross-curricular responsibilities of the LNF, it often repeats work from literacy lessons instead of progressing learning or developing skills (Estyn, 2018). Other research has found cross-curricular teaching to be a best reflection of reality; outside the school environment, pupil learning takes place in a range of contexts, so this is best replicated with a cross-curricular process to allow preparation for future independent learning (Kerry, 2011; Alleman &amp; </w:t>
      </w:r>
      <w:r>
        <w:lastRenderedPageBreak/>
        <w:t xml:space="preserve">Brophy, 1991). Some studies also conclude that the best method of teaching incorporates both cross-curricular and subject-specific teaching with equal importance (Barnes, 2015). </w:t>
      </w:r>
    </w:p>
    <w:p w14:paraId="770D6522" w14:textId="77777777" w:rsidR="00474534" w:rsidRDefault="00474534" w:rsidP="00474534">
      <w:r>
        <w:t xml:space="preserve">I was aware of the importance of cross-curricular learning during my professional teaching experience 1 (PTE1). I knew the responsibilities included both LNF </w:t>
      </w:r>
      <w:proofErr w:type="gramStart"/>
      <w:r>
        <w:t>and  DCF</w:t>
      </w:r>
      <w:proofErr w:type="gramEnd"/>
      <w:r>
        <w:t xml:space="preserve"> and I incorporated at least one of these areas into each of my lessons. Initially, I found the DCF easy to include because the class had a set of 10 iPads with access to </w:t>
      </w:r>
      <w:proofErr w:type="spellStart"/>
      <w:r>
        <w:t>SeeSaw</w:t>
      </w:r>
      <w:proofErr w:type="spellEnd"/>
      <w:r>
        <w:t xml:space="preserve"> – software allowing both communications with parents and the setting up digital material for use in-lesson. This was useful when using online resources and gave pupils the opportunity to </w:t>
      </w:r>
      <w:proofErr w:type="gramStart"/>
      <w:r>
        <w:t>share  work</w:t>
      </w:r>
      <w:proofErr w:type="gramEnd"/>
      <w:r>
        <w:t xml:space="preserve"> with their parents. Research states that, for learning to occur,  it is important pupils actively engage with the technology, rather than simply watching the teacher use it (Herrington &amp; </w:t>
      </w:r>
      <w:proofErr w:type="spellStart"/>
      <w:r>
        <w:t>Kervin</w:t>
      </w:r>
      <w:proofErr w:type="spellEnd"/>
      <w:r>
        <w:t xml:space="preserve">, 2007), so I always allowed the pupils to engage in online work on the iPad instead of watching the interactive whiteboard. I am aware however, that future schools I work in might not have class </w:t>
      </w:r>
      <w:proofErr w:type="gramStart"/>
      <w:r>
        <w:t>iPads</w:t>
      </w:r>
      <w:proofErr w:type="gramEnd"/>
      <w:r>
        <w:t xml:space="preserve"> so it is important to utilise a variety of technology in my lessons. Having experienced occasional issues with </w:t>
      </w:r>
      <w:proofErr w:type="spellStart"/>
      <w:r>
        <w:t>SeeSaw</w:t>
      </w:r>
      <w:proofErr w:type="spellEnd"/>
      <w:r>
        <w:t xml:space="preserve">, I found that, when using the DCF, preparation for technological failures and additional contingency plans were essential. Furthermore, I learned that technology can be distracting (Lewis, 2013), so it is important to find ways to monitor pupils during activities, such </w:t>
      </w:r>
      <w:proofErr w:type="gramStart"/>
      <w:r>
        <w:t>as  mini</w:t>
      </w:r>
      <w:proofErr w:type="gramEnd"/>
      <w:r>
        <w:t xml:space="preserve"> plenaries where pupils share their findings. </w:t>
      </w:r>
    </w:p>
    <w:p w14:paraId="57EDB865" w14:textId="77777777" w:rsidR="00474534" w:rsidRDefault="00474534" w:rsidP="00474534">
      <w:r>
        <w:t xml:space="preserve">At the beginning of PTE1, I struggled to incorporate the LNF into my lessons. Often, my activities led to the creation of a piece of work and to promote literacy I asked pupils to simply write down what they had been doing. As outlined in </w:t>
      </w:r>
      <w:r>
        <w:rPr>
          <w:highlight w:val="yellow"/>
        </w:rPr>
        <w:t>example</w:t>
      </w:r>
      <w:r>
        <w:t xml:space="preserve"> </w:t>
      </w:r>
      <w:r>
        <w:rPr>
          <w:highlight w:val="yellow"/>
        </w:rPr>
        <w:t>3</w:t>
      </w:r>
      <w:r>
        <w:t xml:space="preserve">, an effective way of checking scientific understanding is through the use of literacy (Peterson et al., 2006) so I often used this in science lessons as </w:t>
      </w:r>
      <w:proofErr w:type="gramStart"/>
      <w:r>
        <w:t>it  gave</w:t>
      </w:r>
      <w:proofErr w:type="gramEnd"/>
      <w:r>
        <w:t xml:space="preserve"> me an understanding of pupil learning levels. When applying the LNF, I need to consider more ways to include </w:t>
      </w:r>
      <w:proofErr w:type="spellStart"/>
      <w:r>
        <w:t>oracy</w:t>
      </w:r>
      <w:proofErr w:type="spellEnd"/>
      <w:r>
        <w:t xml:space="preserve"> into my lessons instead of pure literacy. </w:t>
      </w:r>
      <w:proofErr w:type="spellStart"/>
      <w:r>
        <w:t>Oracy</w:t>
      </w:r>
      <w:proofErr w:type="spellEnd"/>
      <w:r>
        <w:t xml:space="preserve"> has been shown to be equally vital in pupil development (Alexander, 2012; </w:t>
      </w:r>
      <w:proofErr w:type="spellStart"/>
      <w:r>
        <w:rPr>
          <w:color w:val="222222"/>
          <w:highlight w:val="white"/>
        </w:rPr>
        <w:t>Simich</w:t>
      </w:r>
      <w:proofErr w:type="spellEnd"/>
      <w:r>
        <w:rPr>
          <w:color w:val="222222"/>
          <w:highlight w:val="white"/>
        </w:rPr>
        <w:t>-Dudgeon, 1998</w:t>
      </w:r>
      <w:r>
        <w:t xml:space="preserve">). Possibilities include the use of think, pair, share or similar </w:t>
      </w:r>
      <w:proofErr w:type="spellStart"/>
      <w:r>
        <w:t>AfL</w:t>
      </w:r>
      <w:proofErr w:type="spellEnd"/>
      <w:r>
        <w:t xml:space="preserve"> techniques to carried out after a task. </w:t>
      </w:r>
    </w:p>
    <w:p w14:paraId="55C7DC06" w14:textId="77777777" w:rsidR="00474534" w:rsidRDefault="00474534" w:rsidP="00474534">
      <w:r>
        <w:t>Throughout the placement I found it difficult to include maths in my lessons. Pupils should learn in authentic contexts (</w:t>
      </w:r>
      <w:proofErr w:type="spellStart"/>
      <w:r>
        <w:t>Steventon</w:t>
      </w:r>
      <w:proofErr w:type="spellEnd"/>
      <w:r>
        <w:t>, 2016; Wiggins and McTighe, 2011) and, whilst able to find authentic links to many other aspects of numeracy, I found finding authentic contexts for counting outside of numeracy lessons challenging. Successful integration did occur in my topic lessons when pupils created menorahs (</w:t>
      </w:r>
      <w:r>
        <w:rPr>
          <w:highlight w:val="yellow"/>
        </w:rPr>
        <w:t>example 2</w:t>
      </w:r>
      <w:r>
        <w:t xml:space="preserve">). Vygotsky notes that social aspects are vital in learning (Vygotsky, 1980) so my pupils worked together to count the candles. Despite this successful lesson, I need to learn additional integration methods in order to promote this cross-curricular responsibility.   </w:t>
      </w:r>
    </w:p>
    <w:p w14:paraId="6F50AA25" w14:textId="77777777" w:rsidR="00474534" w:rsidRDefault="00474534" w:rsidP="00474534">
      <w:pPr>
        <w:pBdr>
          <w:top w:val="nil"/>
          <w:left w:val="nil"/>
          <w:bottom w:val="nil"/>
          <w:right w:val="nil"/>
          <w:between w:val="nil"/>
        </w:pBdr>
        <w:spacing w:after="0"/>
        <w:ind w:left="720" w:hanging="720"/>
        <w:rPr>
          <w:b/>
          <w:color w:val="000000"/>
        </w:rPr>
      </w:pPr>
    </w:p>
    <w:p w14:paraId="049C30BA" w14:textId="77777777" w:rsidR="00474534" w:rsidRDefault="00474534" w:rsidP="00474534">
      <w:pPr>
        <w:pBdr>
          <w:top w:val="nil"/>
          <w:left w:val="nil"/>
          <w:bottom w:val="nil"/>
          <w:right w:val="nil"/>
          <w:between w:val="nil"/>
        </w:pBdr>
        <w:ind w:left="720" w:hanging="720"/>
        <w:rPr>
          <w:b/>
          <w:color w:val="000000"/>
        </w:rPr>
      </w:pPr>
    </w:p>
    <w:p w14:paraId="7705F69B" w14:textId="77777777" w:rsidR="00474534" w:rsidRDefault="00474534" w:rsidP="00474534">
      <w:pPr>
        <w:rPr>
          <w:b/>
        </w:rPr>
      </w:pPr>
      <w:r>
        <w:rPr>
          <w:b/>
        </w:rPr>
        <w:t>Good teaching and learning means employing assessment for learning principles.</w:t>
      </w:r>
    </w:p>
    <w:p w14:paraId="3AD28A80" w14:textId="77777777" w:rsidR="00474534" w:rsidRDefault="00474534" w:rsidP="00474534">
      <w:r>
        <w:t xml:space="preserve">Assessment is a key element in a primary classroom (Briggs et al., 2008). It enables pupils to grow and allows measurement of this growth. Donaldson is particularly clear not only on the importance of such assessment, but also on the type of classroom assessment being undertaken (Donaldson, 2015).  Previously, summative assessment was often seen as the most important form of classroom assessment. Summative assessment, or assessment of learning, is defined as an assessment where the focus is based around the overall outcome of a session or lesson (Moss and </w:t>
      </w:r>
      <w:proofErr w:type="spellStart"/>
      <w:r>
        <w:t>Brookheart</w:t>
      </w:r>
      <w:proofErr w:type="spellEnd"/>
      <w:r>
        <w:t xml:space="preserve">, 2019). More recently, there has been increasing focus on formative assessment – on-going assessment throughout lessons to check learning as it takes place (Moss and </w:t>
      </w:r>
      <w:proofErr w:type="spellStart"/>
      <w:r>
        <w:t>Brookheart</w:t>
      </w:r>
      <w:proofErr w:type="spellEnd"/>
      <w:r>
        <w:t xml:space="preserve">, 2019). Whilst both are deemed useful and have their own place in lessons, summative assessment has been criticised as it is based on one test on one given day and fails to account for the influence of external factors </w:t>
      </w:r>
      <w:r>
        <w:lastRenderedPageBreak/>
        <w:t xml:space="preserve">(Bennett, 2011; Biggs, 1998). In his review, Donaldson outlined a need for good pedagogy to include assessment for learning principles. This should ensure all pupils knowing the level they are working at, where they need to go next to further their learning and the tools required to get them there (Donaldson, 2015). This information can be gathered </w:t>
      </w:r>
      <w:proofErr w:type="gramStart"/>
      <w:r>
        <w:t>through the use of</w:t>
      </w:r>
      <w:proofErr w:type="gramEnd"/>
      <w:r>
        <w:t xml:space="preserve"> assessment for learning (Black &amp; </w:t>
      </w:r>
      <w:proofErr w:type="spellStart"/>
      <w:r>
        <w:t>Wiliam</w:t>
      </w:r>
      <w:proofErr w:type="spellEnd"/>
      <w:r>
        <w:t xml:space="preserve">, 1998). </w:t>
      </w:r>
    </w:p>
    <w:p w14:paraId="3A182372" w14:textId="77777777" w:rsidR="00474534" w:rsidRDefault="00474534" w:rsidP="00474534">
      <w:r>
        <w:t xml:space="preserve">Assessment for learning is a concept first published in 1998 (Black &amp; </w:t>
      </w:r>
      <w:proofErr w:type="spellStart"/>
      <w:r>
        <w:t>Wiliam</w:t>
      </w:r>
      <w:proofErr w:type="spellEnd"/>
      <w:r>
        <w:t>, 1998) which outlines the four main areas of formative assessment necessary to further learning: the sharing of criteria with pupils; a high quality of both talk and questioning; offering high quality feedback and the use of peer and self-assessment. This paper is referenced in Donaldson’s 2015 report; he proposes that an effective use of Assessment for Learning (</w:t>
      </w:r>
      <w:proofErr w:type="spellStart"/>
      <w:r>
        <w:t>AfL</w:t>
      </w:r>
      <w:proofErr w:type="spellEnd"/>
      <w:r>
        <w:t xml:space="preserve">) could increase pupil progress by up to 50%. Whilst initially sounding like a simple solution to increase pupil outcomes, the HMCI report in 2012/13 found that assessment was criticised in Welsh schools, with almost 40% of inspections citing assessment as an area for improvement (Estyn, 2013). </w:t>
      </w:r>
    </w:p>
    <w:p w14:paraId="4B14A92D" w14:textId="77777777" w:rsidR="00474534" w:rsidRDefault="00474534" w:rsidP="00474534">
      <w:r>
        <w:t xml:space="preserve">However, formative assessment and assessment for learning has also not avoided criticism. A key criticism is the resulting pressure placed on teachers. With teachers already subjected to the managerial and financial pressures from schools for high pupil performance in summative tests, assessment for learning is often considered of low priority in favour of rote learning for assessment (Ninomiya, 2016; Dann, 2014; Hargreaves, 2013). Despite this, research has shown that an increased use of ‘Assessment for Learning’ can increase scores gained in summative tests at the end of the year, as students have learned to take responsibility for their own learning (Das et al., 2017; </w:t>
      </w:r>
      <w:proofErr w:type="spellStart"/>
      <w:r>
        <w:t>Boaler</w:t>
      </w:r>
      <w:proofErr w:type="spellEnd"/>
      <w:r>
        <w:t>, 2002). Furthermore, quality of feedback has been shown to have negative effects if it is too specific. Even if this feedback is of high quality, it is not transferable to other tasks, consequently reducing performance in summative assessments (</w:t>
      </w:r>
      <w:proofErr w:type="spellStart"/>
      <w:r>
        <w:t>Pringer</w:t>
      </w:r>
      <w:proofErr w:type="spellEnd"/>
      <w:r>
        <w:t xml:space="preserve"> et al., 2018; H</w:t>
      </w:r>
      <w:r>
        <w:rPr>
          <w:color w:val="333333"/>
        </w:rPr>
        <w:t>attie &amp; Timperley, 2007</w:t>
      </w:r>
      <w:r>
        <w:t xml:space="preserve">). </w:t>
      </w:r>
    </w:p>
    <w:p w14:paraId="72AAF83D" w14:textId="77777777" w:rsidR="00474534" w:rsidRDefault="00474534" w:rsidP="00474534">
      <w:r>
        <w:t xml:space="preserve">When starting PTE1, I initially struggled to use </w:t>
      </w:r>
      <w:proofErr w:type="spellStart"/>
      <w:r>
        <w:t>AfL</w:t>
      </w:r>
      <w:proofErr w:type="spellEnd"/>
      <w:r>
        <w:t xml:space="preserve"> strategies in lessons. When teaching, I selected pupils to contribute who had volunteered an answer by raising their hands. Pupils who did not volunteer were not as engaged in the lesson as they had the option not to participate. Research suggests that disengaged learners do not take as much information from a lesson when compared with learners who are actively engaged (McKay et al., 2004) so I knew it was important for me to engage all pupils to achieve the best learning. My mentor recommended that I used the class lolly sticks to choose pupils at random in my questioning, ensuring that all pupils were ready to be called upon. She also advised that the lolly sticks would help me to assess the learning of all pupils and identify those needing extra support. After trying this technique, I found that pupils did indeed appear more engaged in the learning. It is, however, possible that pupils who do not understand the lesson will be embarrassed if they are asked a question that they cannot answer. To try and reduce this risk, I used learning partners to allow the pupils to share understanding with their peers. This encouraged lower-ability pupils to build their understanding before being questioned and promoted high-quality talk within the classroom, which is important for developing literacy skills (Smith 1998). </w:t>
      </w:r>
    </w:p>
    <w:p w14:paraId="240234A6" w14:textId="77777777" w:rsidR="00474534" w:rsidRDefault="00474534" w:rsidP="00474534">
      <w:r>
        <w:t xml:space="preserve">Throughout the placement, I also found that pupils were bringing their work to me as completed before it met the required standard and I had to repeatedly set them back to work. I decided to display success criteria on the board in my </w:t>
      </w:r>
      <w:proofErr w:type="gramStart"/>
      <w:r>
        <w:t>lessons</w:t>
      </w:r>
      <w:proofErr w:type="gramEnd"/>
      <w:r>
        <w:t xml:space="preserve"> so pupils understood exactly what they had to complete before bringing me their work. This meant that pupils had a better understanding of the level they were aiming for, but it also meant that often a large group of pupils finished their work at a similar time. I struggled to give quality feedback to all pupils with so many simultaneous </w:t>
      </w:r>
      <w:proofErr w:type="gramStart"/>
      <w:r>
        <w:t>completions</w:t>
      </w:r>
      <w:proofErr w:type="gramEnd"/>
      <w:r>
        <w:t xml:space="preserve"> so I began using peer feedback as an assessment tool. </w:t>
      </w:r>
      <w:proofErr w:type="spellStart"/>
      <w:r>
        <w:t>Wiliam</w:t>
      </w:r>
      <w:proofErr w:type="spellEnd"/>
      <w:r>
        <w:t xml:space="preserve"> (1998) suggested that pupils should become well-practiced at assessing their peers’ work before they can spot the flaws in their own. In introducing peer assessment to the class, I hoped to encourage pupils to become more </w:t>
      </w:r>
      <w:r>
        <w:lastRenderedPageBreak/>
        <w:t xml:space="preserve">independent learners by improving their own work before asking for help. However, I also need to think about techniques to check the comments left by learners to ensure that they all receive feedback of a similar quality. </w:t>
      </w:r>
    </w:p>
    <w:p w14:paraId="03AA7AC8" w14:textId="77777777" w:rsidR="00474534" w:rsidRDefault="00474534" w:rsidP="00474534">
      <w:r>
        <w:t xml:space="preserve">I feel that I improved my </w:t>
      </w:r>
      <w:proofErr w:type="spellStart"/>
      <w:r>
        <w:t>AfL</w:t>
      </w:r>
      <w:proofErr w:type="spellEnd"/>
      <w:r>
        <w:t xml:space="preserve"> skills greatly throughout </w:t>
      </w:r>
      <w:proofErr w:type="gramStart"/>
      <w:r>
        <w:t>PTE1</w:t>
      </w:r>
      <w:proofErr w:type="gramEnd"/>
      <w:r>
        <w:t xml:space="preserve"> but I still have areas for development. I struggled to develop my quality of feedback as my year 2 pupils very rarely read the comments in their book. I hope to develop this more when I move to a higher year </w:t>
      </w:r>
      <w:proofErr w:type="gramStart"/>
      <w:r>
        <w:t>group</w:t>
      </w:r>
      <w:proofErr w:type="gramEnd"/>
      <w:r>
        <w:t xml:space="preserve"> but I also need to think of techniques to improve younger learner feedback. My other consideration is my ways of offering success criteria. Whilst displaying it on the board was successful, I did not account for weaker readers who may struggle to read this. In my next PTE, I need to allow for </w:t>
      </w:r>
      <w:proofErr w:type="gramStart"/>
      <w:r>
        <w:t>this</w:t>
      </w:r>
      <w:proofErr w:type="gramEnd"/>
      <w:r>
        <w:t xml:space="preserve"> and some thoughts are given in the final paragraph. </w:t>
      </w:r>
    </w:p>
    <w:p w14:paraId="3E350028" w14:textId="77777777" w:rsidR="00474534" w:rsidRDefault="00474534" w:rsidP="00474534"/>
    <w:p w14:paraId="1253CC89" w14:textId="77777777" w:rsidR="00474534" w:rsidRDefault="00474534" w:rsidP="00474534">
      <w:pPr>
        <w:rPr>
          <w:b/>
        </w:rPr>
      </w:pPr>
      <w:r>
        <w:rPr>
          <w:b/>
        </w:rPr>
        <w:t xml:space="preserve">Good teaching and learning sets tasks and </w:t>
      </w:r>
      <w:proofErr w:type="gramStart"/>
      <w:r>
        <w:rPr>
          <w:b/>
        </w:rPr>
        <w:t>selects</w:t>
      </w:r>
      <w:proofErr w:type="gramEnd"/>
      <w:r>
        <w:rPr>
          <w:b/>
        </w:rPr>
        <w:t xml:space="preserve"> resources that build on previous knowledge and experience and engage interest.</w:t>
      </w:r>
    </w:p>
    <w:p w14:paraId="33DA5A9E" w14:textId="77777777" w:rsidR="00474534" w:rsidRDefault="00474534" w:rsidP="00474534">
      <w:r>
        <w:t xml:space="preserve">When setting tasks, Donaldson specified that, in order to display good pedagogy, tasks should be engaging and build upon previous knowledge and experiences (Donaldson, 2015). This links closely to the constructivist theory of learning which proposes that learning occurs when new information builds on existing information; like building blocks (Bruner, 1961). In a pedagogical sense, teachers can interpret this as a need to plan activities that build on the prior knowledge of the pupil to ensure learning, directly supporting Donaldson’s principle (2015). The constructivist theory has been praised as it allows pupils to interpret information in the best way for themselves, which, in turn, gives pupils ownership of their own learning (Bada and Olusegun, 2015). However, constructivism gives pupils freedom to complete tasks in a suitable way, which limits instruction. Some pupils learn best in a </w:t>
      </w:r>
      <w:proofErr w:type="gramStart"/>
      <w:r>
        <w:t>highly-structured</w:t>
      </w:r>
      <w:proofErr w:type="gramEnd"/>
      <w:r>
        <w:t xml:space="preserve"> and scaffolded environment, suggesting that a constructivist approach may not be effective for all learners (</w:t>
      </w:r>
      <w:proofErr w:type="spellStart"/>
      <w:r>
        <w:t>Alanazi</w:t>
      </w:r>
      <w:proofErr w:type="spellEnd"/>
      <w:r>
        <w:t xml:space="preserve">, 2016; Kirschner, </w:t>
      </w:r>
      <w:proofErr w:type="spellStart"/>
      <w:r>
        <w:t>Sweller</w:t>
      </w:r>
      <w:proofErr w:type="spellEnd"/>
      <w:r>
        <w:t xml:space="preserve"> &amp; Clark, 2006).    </w:t>
      </w:r>
    </w:p>
    <w:p w14:paraId="5AD337BD" w14:textId="77777777" w:rsidR="00474534" w:rsidRDefault="00474534" w:rsidP="00474534">
      <w:r>
        <w:t>Donaldson’s principle is also supported by biological factors. If an activity is engaging, pupils will enjoy what they are doing. Research shows that, when a person feels strong emotions (such as enjoyment), released hormones trigger activity in the amygdala. The amygdala lies next to the hippocampus, which is instrumental in memory. Therefore, this activation is likely to have a knock-on effect to the hippocampus, thus improving the encoding of the memory (</w:t>
      </w:r>
      <w:proofErr w:type="spellStart"/>
      <w:r>
        <w:rPr>
          <w:color w:val="222222"/>
          <w:highlight w:val="white"/>
        </w:rPr>
        <w:t>Roozendaal</w:t>
      </w:r>
      <w:proofErr w:type="spellEnd"/>
      <w:r>
        <w:rPr>
          <w:color w:val="222222"/>
          <w:highlight w:val="white"/>
        </w:rPr>
        <w:t xml:space="preserve">, </w:t>
      </w:r>
      <w:proofErr w:type="spellStart"/>
      <w:r>
        <w:rPr>
          <w:color w:val="222222"/>
          <w:highlight w:val="white"/>
        </w:rPr>
        <w:t>Barsegyan</w:t>
      </w:r>
      <w:proofErr w:type="spellEnd"/>
      <w:r>
        <w:rPr>
          <w:color w:val="222222"/>
          <w:highlight w:val="white"/>
        </w:rPr>
        <w:t xml:space="preserve"> &amp; Lee, 2007; Phelps, 2004</w:t>
      </w:r>
      <w:r>
        <w:t>). Psychological studies have confirmed that emotionally salient stimuli (encoded whilst the pupil experiences an emotion), were easier to recall than emotionally neutral stimuli (</w:t>
      </w:r>
      <w:r>
        <w:rPr>
          <w:color w:val="222222"/>
          <w:highlight w:val="white"/>
        </w:rPr>
        <w:t>Buchanan et al., 2006; Reisberg &amp; Hertel, 2003</w:t>
      </w:r>
      <w:r>
        <w:t>). However, most of the studies into this effect have been carried out using negative emotions (</w:t>
      </w:r>
      <w:proofErr w:type="spellStart"/>
      <w:r>
        <w:t>Kensinger</w:t>
      </w:r>
      <w:proofErr w:type="spellEnd"/>
      <w:r>
        <w:t xml:space="preserve">, 2007), so it is questionable whether these results could be generalised to positive emotions. </w:t>
      </w:r>
    </w:p>
    <w:p w14:paraId="740E2D6A" w14:textId="77777777" w:rsidR="00474534" w:rsidRDefault="00474534" w:rsidP="00474534">
      <w:r>
        <w:t xml:space="preserve">Learning theories hypothesised by Piaget (1936) suggest that children have innate schemas, which underpin their learning. These schemas are made up of knowledge that the child has encountered. If a child encounters a new situation, they draw upon their relevant schemas to solve any problem. If this theory is accepted, teachers should fulfil Donaldson’s principle by setting tasks that allow pupils to draw on their schemas and take control of their own learning. This will also instil vital investigative skills, helping them to become independent learners as is specified by one of Donaldson’s four purposes (Donaldson, 2015). Piaget has been criticised as his theories are based on subjective interview and observation methods (McLeod, 2018) and he may have taken supportive elements from his studies in order to find research-based support. Moreover, a behaviourist perspective would argue with the idea of a schema, as it is an internal process (Beard, 2013). The theory of </w:t>
      </w:r>
      <w:r>
        <w:lastRenderedPageBreak/>
        <w:t>behaviourism states that internal processes cannot be measured as they cannot be observed. According to a behaviourist, any conclusions drawn from internal processes are not valid (</w:t>
      </w:r>
      <w:proofErr w:type="spellStart"/>
      <w:r>
        <w:t>Tudge</w:t>
      </w:r>
      <w:proofErr w:type="spellEnd"/>
      <w:r>
        <w:t xml:space="preserve"> &amp; </w:t>
      </w:r>
      <w:proofErr w:type="spellStart"/>
      <w:r>
        <w:t>Winterhoff</w:t>
      </w:r>
      <w:proofErr w:type="spellEnd"/>
      <w:r>
        <w:t xml:space="preserve">, 1993).  </w:t>
      </w:r>
    </w:p>
    <w:p w14:paraId="5EF140F4" w14:textId="77777777" w:rsidR="00474534" w:rsidRDefault="00474534" w:rsidP="00474534">
      <w:r>
        <w:t>During PTE1, I enjoyed setting activities that engaged pupils. Initially, particularly when teaching literacy or numeracy, I delivered input before measuring pupil learning using worksheets. However, some pupils were reluctant to complete the worksheets independently and needed assistance to further their learning, as they were not fully engaged in the task. I struggled to give attention to all pupils who needed support at the same time, so recognised a need to develop the tasks I was setting. I decided that some of my tasks needed to be more creative and engage pupils to a larger extent to promote their learning. I used authentic contexts (</w:t>
      </w:r>
      <w:r>
        <w:rPr>
          <w:highlight w:val="yellow"/>
        </w:rPr>
        <w:t>example 4)</w:t>
      </w:r>
      <w:r>
        <w:t xml:space="preserve"> and found that pupils engaged in the activities more. Dewey (1986) outlined that pupils learn best through experiences so these authentic, engaging activities stimulated learning whilst fulfilling not only Donaldson’s principle of engaging activities, but also his principle of authentic contexts for learning (2015). </w:t>
      </w:r>
    </w:p>
    <w:p w14:paraId="6855BDCF" w14:textId="77777777" w:rsidR="00474534" w:rsidRDefault="00474534" w:rsidP="00474534">
      <w:r>
        <w:t>I also found issues when introducing new topics to the class. I had been using tasks that were solely based on the new learning. Pupils struggled to apply their learning if they hadn’t fully understood the new concept that I had introduced. I decided that tasks based on new topics were outside of the pupils’ zone of proximal development (Vygotsky, 1980). When I tried adapting tasks to link with prior pupil knowledge, pupils found tasks easier to complete as they could draw on their existing learning. This was clear with my teaching on World War 2 submarines, when I incorporated pupils’ prior learning on spies to create tasks around spies on the submarines (</w:t>
      </w:r>
      <w:r>
        <w:rPr>
          <w:highlight w:val="yellow"/>
        </w:rPr>
        <w:t>example 5</w:t>
      </w:r>
      <w:r>
        <w:t xml:space="preserve">). When applying this to my lessons, I found that, when pupils found tasks more accessible, they engaged more in the learning as they felt that they were able to achieve (Dweck, 2008). Moreover, as outlined in </w:t>
      </w:r>
      <w:r>
        <w:rPr>
          <w:highlight w:val="yellow"/>
        </w:rPr>
        <w:t>example 6,</w:t>
      </w:r>
      <w:r>
        <w:t xml:space="preserve"> pupils were visibly proud of the results they produced when they had been fully invested in a task. </w:t>
      </w:r>
    </w:p>
    <w:p w14:paraId="3C5FA0FD" w14:textId="77777777" w:rsidR="00474534" w:rsidRDefault="00474534" w:rsidP="00474534">
      <w:r>
        <w:t>As I progressed further through my PTE, I often included a play element to improve activity engagement, although some theorists suggest that learning must take place in a serious context to ensure that pupils are in the correct, goal-orientated mindset for learning (Cohen, 2006). Despite this, play has been shown to allow pupils to develop their problem-solving and complex language skills (Broadhead, 2009) and promotes positive learning attitudes (</w:t>
      </w:r>
      <w:proofErr w:type="spellStart"/>
      <w:r>
        <w:t>Coolahan</w:t>
      </w:r>
      <w:proofErr w:type="spellEnd"/>
      <w:r>
        <w:t xml:space="preserve">, 2000). As outlined in </w:t>
      </w:r>
      <w:r>
        <w:rPr>
          <w:highlight w:val="yellow"/>
        </w:rPr>
        <w:t>example 4</w:t>
      </w:r>
      <w:r>
        <w:t xml:space="preserve">, however, I need to establish methods of monitoring pupils when they are undertaking these activities through play to ensure that they </w:t>
      </w:r>
      <w:proofErr w:type="gramStart"/>
      <w:r>
        <w:t>are on task at all times</w:t>
      </w:r>
      <w:proofErr w:type="gramEnd"/>
      <w:r>
        <w:t>.</w:t>
      </w:r>
    </w:p>
    <w:p w14:paraId="3BAFEE3D" w14:textId="77777777" w:rsidR="00474534" w:rsidRDefault="00474534" w:rsidP="00474534">
      <w:r>
        <w:t xml:space="preserve">Although I have developed my ability to produce activities that are engaging and build on previous knowledge throughout my PTE1, I still need to establish how my tasks can be measurable and show evidence of learning in my pupils. I need to be able to gauge where pupils are with their understanding and need to be able to factor this into my task setting.   </w:t>
      </w:r>
    </w:p>
    <w:p w14:paraId="67537C50" w14:textId="77777777" w:rsidR="00474534" w:rsidRDefault="00474534" w:rsidP="00474534"/>
    <w:p w14:paraId="08D50752" w14:textId="77777777" w:rsidR="00474534" w:rsidRDefault="00474534" w:rsidP="00474534">
      <w:r>
        <w:t xml:space="preserve">As I move on to my second placement, I will aim to develop several areas. Firstly, I will aim to be more creative in how I communicate success criteria and how I give feedback. I need to account for weaker readers and may experiment with using WAGOLL’s as a visual representation of success criteria. I also need to develop my use of numeracy as a cross-curricular area, finding authentic activities which use applications of mathematical learning. This could be </w:t>
      </w:r>
      <w:proofErr w:type="gramStart"/>
      <w:r>
        <w:t>through the use of</w:t>
      </w:r>
      <w:proofErr w:type="gramEnd"/>
      <w:r>
        <w:t xml:space="preserve"> measurement and graphs to integrate successfully into other subject areas. Finally, I need to consider how the activities I set </w:t>
      </w:r>
      <w:proofErr w:type="gramStart"/>
      <w:r>
        <w:t>can produce measurable work to build my awareness of pupil learning at all times</w:t>
      </w:r>
      <w:proofErr w:type="gramEnd"/>
      <w:r>
        <w:t xml:space="preserve">. This will help me to tailor my learning to my class, ensuring that I </w:t>
      </w:r>
      <w:proofErr w:type="gramStart"/>
      <w:r>
        <w:t>am giving pupils the relevant support at all times</w:t>
      </w:r>
      <w:proofErr w:type="gramEnd"/>
      <w:r>
        <w:t xml:space="preserve"> to further their learning.  </w:t>
      </w:r>
    </w:p>
    <w:p w14:paraId="1160464C" w14:textId="77777777" w:rsidR="00C941A6" w:rsidRDefault="00474534">
      <w:bookmarkStart w:id="1" w:name="_GoBack"/>
      <w:bookmarkEnd w:id="1"/>
    </w:p>
    <w:sectPr w:rsidR="00C941A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74534"/>
    <w:rsid w:val="000319AA"/>
    <w:rsid w:val="00474534"/>
    <w:rsid w:val="00BD75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C134AB"/>
  <w15:chartTrackingRefBased/>
  <w15:docId w15:val="{E935206F-FFC7-4FF5-BA5D-ADAFE1E62C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74534"/>
    <w:rPr>
      <w:rFonts w:ascii="Calibri" w:eastAsia="Calibri" w:hAnsi="Calibri" w:cs="Calibri"/>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6</Pages>
  <Words>3079</Words>
  <Characters>17554</Characters>
  <Application>Microsoft Office Word</Application>
  <DocSecurity>0</DocSecurity>
  <Lines>146</Lines>
  <Paragraphs>41</Paragraphs>
  <ScaleCrop>false</ScaleCrop>
  <Company/>
  <LinksUpToDate>false</LinksUpToDate>
  <CharactersWithSpaces>20592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Eilidh Brailey</dc:creator>
  <cp:keywords/>
  <dc:description/>
  <cp:lastModifiedBy>Eilidh Brailey</cp:lastModifiedBy>
  <cp:revision>1</cp:revision>
  <dcterms:created xsi:type="dcterms:W3CDTF">2020-01-05T14:19:00Z</dcterms:created>
  <dcterms:modified xsi:type="dcterms:W3CDTF">2020-01-05T14:20:00Z</dcterms:modified>
</cp:coreProperties>
</file>