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DEA02" w14:textId="77777777" w:rsidR="00E83904" w:rsidRDefault="00000000">
      <w:pPr>
        <w:pStyle w:val="Heading1"/>
        <w:jc w:val="left"/>
      </w:pPr>
      <w:bookmarkStart w:id="0" w:name="_63zteedtechq" w:colFirst="0" w:colLast="0"/>
      <w:bookmarkEnd w:id="0"/>
      <w:r>
        <w:rPr>
          <w:noProof/>
        </w:rPr>
        <w:drawing>
          <wp:anchor distT="0" distB="0" distL="114300" distR="114300" simplePos="0" relativeHeight="251658240" behindDoc="0" locked="0" layoutInCell="1" hidden="0" allowOverlap="1" wp14:anchorId="0133A7F1" wp14:editId="35BE8180">
            <wp:simplePos x="0" y="0"/>
            <wp:positionH relativeFrom="column">
              <wp:posOffset>114300</wp:posOffset>
            </wp:positionH>
            <wp:positionV relativeFrom="paragraph">
              <wp:posOffset>254000</wp:posOffset>
            </wp:positionV>
            <wp:extent cx="1809750" cy="72390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4"/>
                    <a:srcRect/>
                    <a:stretch>
                      <a:fillRect/>
                    </a:stretch>
                  </pic:blipFill>
                  <pic:spPr>
                    <a:xfrm>
                      <a:off x="0" y="0"/>
                      <a:ext cx="1809750" cy="723900"/>
                    </a:xfrm>
                    <a:prstGeom prst="rect">
                      <a:avLst/>
                    </a:prstGeom>
                    <a:ln/>
                  </pic:spPr>
                </pic:pic>
              </a:graphicData>
            </a:graphic>
          </wp:anchor>
        </w:drawing>
      </w:r>
    </w:p>
    <w:p w14:paraId="52472C9C" w14:textId="77777777" w:rsidR="00E83904" w:rsidRDefault="00E83904">
      <w:pPr>
        <w:pStyle w:val="Heading1"/>
        <w:jc w:val="left"/>
      </w:pPr>
      <w:bookmarkStart w:id="1" w:name="_svl4n46bvhyu" w:colFirst="0" w:colLast="0"/>
      <w:bookmarkEnd w:id="1"/>
    </w:p>
    <w:p w14:paraId="0F874D5E" w14:textId="77777777" w:rsidR="00E83904" w:rsidRDefault="00000000">
      <w:pPr>
        <w:spacing w:line="360" w:lineRule="auto"/>
        <w:jc w:val="center"/>
        <w:rPr>
          <w:sz w:val="40"/>
          <w:szCs w:val="40"/>
        </w:rPr>
      </w:pPr>
      <w:r>
        <w:rPr>
          <w:sz w:val="40"/>
          <w:szCs w:val="40"/>
        </w:rPr>
        <w:t>University of Wales</w:t>
      </w:r>
      <w:r>
        <w:rPr>
          <w:sz w:val="40"/>
          <w:szCs w:val="40"/>
        </w:rPr>
        <w:br/>
        <w:t>Trinity Saint David</w:t>
      </w:r>
    </w:p>
    <w:p w14:paraId="54AFC9D1" w14:textId="77777777" w:rsidR="00E83904" w:rsidRDefault="00000000">
      <w:pPr>
        <w:spacing w:line="360" w:lineRule="auto"/>
        <w:jc w:val="center"/>
        <w:rPr>
          <w:sz w:val="40"/>
          <w:szCs w:val="40"/>
        </w:rPr>
      </w:pPr>
      <w:r>
        <w:rPr>
          <w:sz w:val="40"/>
          <w:szCs w:val="40"/>
        </w:rPr>
        <w:t>Module: Professional Career Development</w:t>
      </w:r>
    </w:p>
    <w:p w14:paraId="76DE3961" w14:textId="77777777" w:rsidR="00E83904" w:rsidRDefault="00000000">
      <w:pPr>
        <w:spacing w:line="360" w:lineRule="auto"/>
        <w:jc w:val="center"/>
        <w:rPr>
          <w:sz w:val="40"/>
          <w:szCs w:val="40"/>
        </w:rPr>
      </w:pPr>
      <w:r>
        <w:rPr>
          <w:sz w:val="40"/>
          <w:szCs w:val="40"/>
        </w:rPr>
        <w:t>Module Code: BMSW4012</w:t>
      </w:r>
      <w:r>
        <w:rPr>
          <w:sz w:val="40"/>
          <w:szCs w:val="40"/>
        </w:rPr>
        <w:br/>
        <w:t>Module Lecturer: James Squire-Wood</w:t>
      </w:r>
    </w:p>
    <w:p w14:paraId="464C3201" w14:textId="77777777" w:rsidR="00E83904" w:rsidRDefault="00000000">
      <w:pPr>
        <w:spacing w:line="360" w:lineRule="auto"/>
        <w:jc w:val="center"/>
        <w:rPr>
          <w:sz w:val="40"/>
          <w:szCs w:val="40"/>
        </w:rPr>
      </w:pPr>
      <w:r>
        <w:rPr>
          <w:sz w:val="40"/>
          <w:szCs w:val="40"/>
        </w:rPr>
        <w:t xml:space="preserve">Assignment Title: Professional Career Development Reflection </w:t>
      </w:r>
    </w:p>
    <w:p w14:paraId="4BF2FA6A" w14:textId="77777777" w:rsidR="005C753B" w:rsidRPr="002B2D3E" w:rsidRDefault="005C753B" w:rsidP="005C753B">
      <w:pPr>
        <w:spacing w:line="360" w:lineRule="auto"/>
        <w:jc w:val="center"/>
        <w:rPr>
          <w:sz w:val="40"/>
          <w:szCs w:val="40"/>
        </w:rPr>
      </w:pPr>
      <w:r>
        <w:rPr>
          <w:sz w:val="40"/>
          <w:szCs w:val="40"/>
        </w:rPr>
        <w:t xml:space="preserve">Student Name: </w:t>
      </w:r>
      <w:hyperlink r:id="rId5" w:history="1">
        <w:r w:rsidRPr="002B2D3E">
          <w:rPr>
            <w:sz w:val="40"/>
            <w:szCs w:val="40"/>
          </w:rPr>
          <w:t>Mohammed Ashraf Uddin</w:t>
        </w:r>
      </w:hyperlink>
    </w:p>
    <w:p w14:paraId="437D9876" w14:textId="77777777" w:rsidR="005C753B" w:rsidRDefault="005C753B" w:rsidP="005C753B">
      <w:pPr>
        <w:spacing w:line="360" w:lineRule="auto"/>
        <w:jc w:val="center"/>
        <w:rPr>
          <w:sz w:val="40"/>
          <w:szCs w:val="40"/>
        </w:rPr>
      </w:pPr>
    </w:p>
    <w:p w14:paraId="444ECC8C" w14:textId="77777777" w:rsidR="005C753B" w:rsidRPr="002B2D3E" w:rsidRDefault="005C753B" w:rsidP="005C753B">
      <w:pPr>
        <w:spacing w:line="360" w:lineRule="auto"/>
        <w:jc w:val="center"/>
        <w:rPr>
          <w:sz w:val="40"/>
          <w:szCs w:val="40"/>
        </w:rPr>
      </w:pPr>
      <w:r>
        <w:rPr>
          <w:sz w:val="40"/>
          <w:szCs w:val="40"/>
        </w:rPr>
        <w:t xml:space="preserve">Student ID: </w:t>
      </w:r>
      <w:hyperlink r:id="rId6" w:history="1">
        <w:r w:rsidRPr="002B2D3E">
          <w:rPr>
            <w:sz w:val="40"/>
            <w:szCs w:val="40"/>
          </w:rPr>
          <w:t>2242680</w:t>
        </w:r>
      </w:hyperlink>
    </w:p>
    <w:p w14:paraId="5460240A" w14:textId="4474B0BB" w:rsidR="00E83904" w:rsidRDefault="00000000">
      <w:pPr>
        <w:spacing w:line="360" w:lineRule="auto"/>
        <w:jc w:val="center"/>
        <w:rPr>
          <w:sz w:val="40"/>
          <w:szCs w:val="40"/>
        </w:rPr>
      </w:pPr>
      <w:r>
        <w:rPr>
          <w:sz w:val="40"/>
          <w:szCs w:val="40"/>
        </w:rPr>
        <w:t>Date:</w:t>
      </w:r>
      <w:r w:rsidR="005C753B">
        <w:rPr>
          <w:sz w:val="40"/>
          <w:szCs w:val="40"/>
        </w:rPr>
        <w:t xml:space="preserve"> 01/06/2023</w:t>
      </w:r>
    </w:p>
    <w:p w14:paraId="075368E8" w14:textId="77777777" w:rsidR="00E83904" w:rsidRDefault="00E83904">
      <w:pPr>
        <w:spacing w:line="360" w:lineRule="auto"/>
        <w:jc w:val="center"/>
        <w:rPr>
          <w:sz w:val="40"/>
          <w:szCs w:val="40"/>
        </w:rPr>
      </w:pPr>
    </w:p>
    <w:p w14:paraId="25EC3485" w14:textId="77777777" w:rsidR="00E83904" w:rsidRDefault="00E83904">
      <w:pPr>
        <w:spacing w:line="360" w:lineRule="auto"/>
        <w:jc w:val="center"/>
        <w:rPr>
          <w:sz w:val="40"/>
          <w:szCs w:val="40"/>
        </w:rPr>
      </w:pPr>
    </w:p>
    <w:p w14:paraId="71A79A8B" w14:textId="77777777" w:rsidR="00E83904" w:rsidRDefault="00E83904">
      <w:pPr>
        <w:spacing w:line="360" w:lineRule="auto"/>
        <w:jc w:val="center"/>
        <w:rPr>
          <w:sz w:val="40"/>
          <w:szCs w:val="40"/>
        </w:rPr>
      </w:pPr>
    </w:p>
    <w:p w14:paraId="45E0CA98" w14:textId="77777777" w:rsidR="00E83904" w:rsidRDefault="00E83904">
      <w:pPr>
        <w:spacing w:line="360" w:lineRule="auto"/>
        <w:jc w:val="center"/>
        <w:rPr>
          <w:sz w:val="40"/>
          <w:szCs w:val="40"/>
        </w:rPr>
      </w:pPr>
    </w:p>
    <w:p w14:paraId="4AE0189A" w14:textId="77777777" w:rsidR="00E83904" w:rsidRDefault="00000000" w:rsidP="005C753B">
      <w:pPr>
        <w:spacing w:line="360" w:lineRule="auto"/>
      </w:pPr>
      <w:r>
        <w:br w:type="page"/>
      </w:r>
    </w:p>
    <w:p w14:paraId="121CA989" w14:textId="77777777" w:rsidR="00E83904" w:rsidRDefault="00000000">
      <w:pPr>
        <w:pStyle w:val="Heading1"/>
      </w:pPr>
      <w:bookmarkStart w:id="2" w:name="_fehq9zwpi0o0" w:colFirst="0" w:colLast="0"/>
      <w:bookmarkEnd w:id="2"/>
      <w:r>
        <w:lastRenderedPageBreak/>
        <w:t>Terms of Reference</w:t>
      </w:r>
    </w:p>
    <w:p w14:paraId="70A09B39" w14:textId="077E0975" w:rsidR="00E83904" w:rsidRDefault="00000000">
      <w:r>
        <w:t>The report titled “Professional Career Development Reflection”, as requested by James Squire-Wood for the Module on Professional Career Development to be submitted by &lt;date of deadline&gt;.</w:t>
      </w:r>
      <w:r>
        <w:br w:type="page"/>
      </w:r>
    </w:p>
    <w:p w14:paraId="5C6FCB39" w14:textId="77777777" w:rsidR="00E83904" w:rsidRDefault="00000000">
      <w:pPr>
        <w:pStyle w:val="Heading1"/>
      </w:pPr>
      <w:bookmarkStart w:id="3" w:name="_sgnmel8waya5" w:colFirst="0" w:colLast="0"/>
      <w:bookmarkEnd w:id="3"/>
      <w:r>
        <w:lastRenderedPageBreak/>
        <w:t>Executive Summary</w:t>
      </w:r>
    </w:p>
    <w:p w14:paraId="47D42ABD" w14:textId="77777777" w:rsidR="00E83904" w:rsidRDefault="00000000">
      <w:r>
        <w:t xml:space="preserve">This essay, "Reflection on Professional Career Development," examines and contemplates the University of Wales Trinity Saint David's Professional Career Development presentations. Kolb's Experiential Learning Cycle Concrete Experience, Reflective Observation, Abstract Conceptualization, and Active Experimentation guide this approach. The paper analyses the Professional Career Development lectures and applies Kolb's Experiential Learning Cycle in a natural learning setting. This </w:t>
      </w:r>
      <w:proofErr w:type="spellStart"/>
      <w:r>
        <w:t>emphasises</w:t>
      </w:r>
      <w:proofErr w:type="spellEnd"/>
      <w:r>
        <w:t xml:space="preserve"> the importance of ongoing learning and introspection in professional development and success.</w:t>
      </w:r>
      <w:r>
        <w:br w:type="page"/>
      </w:r>
    </w:p>
    <w:p w14:paraId="3178771E" w14:textId="77777777" w:rsidR="00E83904" w:rsidRDefault="00000000">
      <w:pPr>
        <w:pStyle w:val="Heading1"/>
      </w:pPr>
      <w:bookmarkStart w:id="4" w:name="_53b1de50k9k7" w:colFirst="0" w:colLast="0"/>
      <w:bookmarkEnd w:id="4"/>
      <w:r>
        <w:lastRenderedPageBreak/>
        <w:t>Introduction</w:t>
      </w:r>
    </w:p>
    <w:p w14:paraId="757E874C" w14:textId="77777777" w:rsidR="00E83904" w:rsidRDefault="00000000">
      <w:r>
        <w:t>This reflection is based on Kolb's Experiential Learning Cycle, a well-known framework for learning. The cycle includes Concrete Experience, Reflective Observation, Abstract Conceptualization, and Active Experimentation. This statement describes how reflection turns experience into conceptual knowledge. Active experimentation and innovative experience selection are based on these notions. In the lecture series, each phase offers a different perspective on understanding and integrating the content. This report aims to recall lectures, consider observations, extract key concepts, and outline a plan to apply these learnings to professional career advancement. This technique documents an individual's learning process and shows how continual experiential learning affects career advancement.</w:t>
      </w:r>
    </w:p>
    <w:p w14:paraId="121960CE" w14:textId="77777777" w:rsidR="00E83904" w:rsidRDefault="00000000">
      <w:pPr>
        <w:pStyle w:val="Heading1"/>
      </w:pPr>
      <w:bookmarkStart w:id="5" w:name="_31y4j9z9shex" w:colFirst="0" w:colLast="0"/>
      <w:bookmarkEnd w:id="5"/>
      <w:r>
        <w:t>Reflection</w:t>
      </w:r>
    </w:p>
    <w:p w14:paraId="72A36B6A" w14:textId="77777777" w:rsidR="00E83904" w:rsidRDefault="00000000">
      <w:r>
        <w:t>Kolb's Experiential Learning Cycle consists of four stages: Concrete Experience, Reflective Observation, Abstract Conceptualization, and Active Experimentation. These stages will form the basis of my reflective piece on the Professional Career Development lectures attended at the University of Wales Trinity Saint David. (Sims, 1983)</w:t>
      </w:r>
    </w:p>
    <w:p w14:paraId="025CC4A3" w14:textId="77777777" w:rsidR="00E83904" w:rsidRDefault="00000000">
      <w:pPr>
        <w:pStyle w:val="Heading2"/>
      </w:pPr>
      <w:bookmarkStart w:id="6" w:name="_rtwvjeio6mhn" w:colFirst="0" w:colLast="0"/>
      <w:bookmarkEnd w:id="6"/>
      <w:r>
        <w:t>Concrete Experience</w:t>
      </w:r>
    </w:p>
    <w:p w14:paraId="3BF04FE5" w14:textId="03651DBB" w:rsidR="00E83904" w:rsidRDefault="00000000">
      <w:r>
        <w:t xml:space="preserve">The concept of Concrete Experience refers to the process of learning through direct, hands-on experience. It involves engaging in real-life situations and actively participating in the learning process. Focusing on sensory experiences and using practical skills often </w:t>
      </w:r>
      <w:r w:rsidR="005C753B">
        <w:t>characterizes</w:t>
      </w:r>
      <w:r>
        <w:t xml:space="preserve"> this type of learning. Concrete Experience is a critical component of many educational theories and is often used in experiential learning </w:t>
      </w:r>
      <w:r w:rsidR="005C753B">
        <w:t>programs</w:t>
      </w:r>
      <w:r>
        <w:t>. The lectures on Professional Career Development offered by the University of Wales Trinity Saint David have been an intriguing experience. These lectures presented many models and strategies to augment personal and career development. (Healey &amp; Jenkins, 2000)</w:t>
      </w:r>
    </w:p>
    <w:p w14:paraId="0D35E441" w14:textId="77777777" w:rsidR="00E83904" w:rsidRDefault="00E83904"/>
    <w:p w14:paraId="678256D8" w14:textId="3AA8ECFE" w:rsidR="00E83904" w:rsidRDefault="00000000">
      <w:r>
        <w:t xml:space="preserve">Each model above provided a distinct perspective to </w:t>
      </w:r>
      <w:r w:rsidR="005C753B">
        <w:t>scrutinize</w:t>
      </w:r>
      <w:r>
        <w:t xml:space="preserve"> oneself and professional path. However, the SWOT analysis had the most enduring impact on me. SWOT, which stands for Strengths, Weaknesses, Opportunities, and Threats, was primarily </w:t>
      </w:r>
      <w:r w:rsidR="005C753B">
        <w:t>utilized</w:t>
      </w:r>
      <w:r>
        <w:t xml:space="preserve"> as a business instrument to assess an entity's competitive stance and strategic decision-making. </w:t>
      </w:r>
      <w:r w:rsidR="005C753B">
        <w:t>Utilizing</w:t>
      </w:r>
      <w:r>
        <w:t xml:space="preserve"> it for personal growth at the individual level was a new and innovative idea. The lectures explored the application of SWOT analysis for self-evaluation, wherein strengths and weaknesses are considered internal and personal factors. At the same time, opportunities and threats are regarded as external and environmental factors. (GÜREL, 2017)</w:t>
      </w:r>
    </w:p>
    <w:p w14:paraId="0E4A9661" w14:textId="77777777" w:rsidR="00E83904" w:rsidRDefault="00000000">
      <w:pPr>
        <w:pStyle w:val="Heading2"/>
      </w:pPr>
      <w:bookmarkStart w:id="7" w:name="_ii0fk1jzwref" w:colFirst="0" w:colLast="0"/>
      <w:bookmarkEnd w:id="7"/>
      <w:r>
        <w:lastRenderedPageBreak/>
        <w:t>Reflective Observation</w:t>
      </w:r>
    </w:p>
    <w:p w14:paraId="5E77CF05" w14:textId="54DC2966" w:rsidR="00E83904" w:rsidRDefault="00000000">
      <w:r>
        <w:t xml:space="preserve">Upon reflection on my exposure to the SWOT model during the lectures, I </w:t>
      </w:r>
      <w:r w:rsidR="005C753B">
        <w:t>recognize</w:t>
      </w:r>
      <w:r>
        <w:t xml:space="preserve"> its potential as a valuable asset in my professional development toolkit. Applying it to my personal life, I could critically examine my strengths and weaknesses and identify potential opportunities and threats in my career path. The process of self-evaluation, specifically identifying personal strengths and weaknesses, presented both positive and negative aspects. The positive aspect was the sense of achievement derived from </w:t>
      </w:r>
      <w:r w:rsidR="005C753B">
        <w:t>recognizing</w:t>
      </w:r>
      <w:r>
        <w:t xml:space="preserve"> areas of strength. In contrast, the negative aspect was the difficulty of acknowledging weaknesses, which necessitated high self-awareness and humility. The exercise was noteworthy in that it necessitated the consideration of extrinsic variables, namely opportunities and threats, that could impact one's professional trajectory. (</w:t>
      </w:r>
      <w:proofErr w:type="spellStart"/>
      <w:r>
        <w:t>Nishadha</w:t>
      </w:r>
      <w:proofErr w:type="spellEnd"/>
      <w:r>
        <w:t>, 2023)</w:t>
      </w:r>
    </w:p>
    <w:p w14:paraId="354DCD1B" w14:textId="77777777" w:rsidR="00E83904" w:rsidRDefault="00E83904"/>
    <w:p w14:paraId="04C259EE" w14:textId="3458CAB0" w:rsidR="00E83904" w:rsidRDefault="00000000">
      <w:r>
        <w:t xml:space="preserve">I engaged in introspection regarding plausible challenges such as market rivalry, financial unpredictability, or swift technological advancements within my area of expertise. The stage of reflective observation prompted the </w:t>
      </w:r>
      <w:r w:rsidR="005C753B">
        <w:t>realization</w:t>
      </w:r>
      <w:r>
        <w:t xml:space="preserve"> that while enhancing one's competencies and proficiencies is imperative, it is equally vital to remain mindful of the external milieu. The attainment of a prosperous career trajectory necessitates a proficient equilibrium between leveraging individual aptitudes and </w:t>
      </w:r>
      <w:r w:rsidR="005C753B">
        <w:t>capitalizing</w:t>
      </w:r>
      <w:r>
        <w:t xml:space="preserve"> on external prospects while simultaneously addressing personal limitations and mitigating external hazards. This insight has significantly influenced my perspective on career development and personal growth. (Mcleod, 2023)</w:t>
      </w:r>
    </w:p>
    <w:p w14:paraId="2F00C020" w14:textId="16FFF511" w:rsidR="00E83904" w:rsidRDefault="00000000">
      <w:pPr>
        <w:pStyle w:val="Heading2"/>
      </w:pPr>
      <w:bookmarkStart w:id="8" w:name="_6ume46cbbzk6" w:colFirst="0" w:colLast="0"/>
      <w:bookmarkEnd w:id="8"/>
      <w:r>
        <w:t xml:space="preserve">Abstract </w:t>
      </w:r>
      <w:r w:rsidR="005C753B">
        <w:t>Conceptualization</w:t>
      </w:r>
    </w:p>
    <w:p w14:paraId="4AD75C19" w14:textId="05B6CEC6" w:rsidR="00E83904" w:rsidRDefault="00000000">
      <w:r>
        <w:t xml:space="preserve">The knowledge acquired through reflective observation served as the basis for the subsequent phase of abstract </w:t>
      </w:r>
      <w:r w:rsidR="005C753B">
        <w:t>conceptualization</w:t>
      </w:r>
      <w:r>
        <w:t>. During this phase, I converted the observations above and insights into theoretical constructs and strategic blueprints that could serve as a framework for future actions. In essence, I was required to devise a strategy for the practical and effective application of the SWOT model. About my aptitudes, I have acknowledged my proficient analytical abilities, which I deem to be a valuable asset in my selected area of expertise. Nonetheless, my proficiency in delivering speeches in front of an audience was lacking. Based on this comprehension, a plan was devised to mitigate my deficiency through participation in public speaking courses and workshops, thereby augmenting my presentation aptitude. (McMullan &amp; Cahoon, 1979)</w:t>
      </w:r>
    </w:p>
    <w:p w14:paraId="42F50811" w14:textId="77777777" w:rsidR="00E83904" w:rsidRDefault="00E83904"/>
    <w:p w14:paraId="4D435DF9" w14:textId="3B59F3CA" w:rsidR="00E83904" w:rsidRDefault="00000000">
      <w:r>
        <w:t xml:space="preserve">Regarding external factors, it was acknowledged that the swiftly changing technological environment presented promising prospects and potential hazards. The perpetual advancement of technology presents prospects for acquiring novel proficiencies and attaining a competitive edge. Conversely, the rapidity of these alterations may render specific proficiencies that need to be updated. In order to tackle this issue, I devised a plan for ongoing education and skill development. This entailed keeping abreast of the most recent advancements in my area of expertise and pursuing pertinent education or credentials. The </w:t>
      </w:r>
      <w:r w:rsidR="005C753B">
        <w:t>utilization</w:t>
      </w:r>
      <w:r>
        <w:t xml:space="preserve"> of abstract </w:t>
      </w:r>
      <w:r w:rsidR="005C753B">
        <w:t>conceptualization</w:t>
      </w:r>
      <w:r>
        <w:t xml:space="preserve"> facilitated the </w:t>
      </w:r>
      <w:r>
        <w:lastRenderedPageBreak/>
        <w:t>conversion of my observations and insights into actual tactics for personal and professional advancement. The plan of action presented was comprehensive, encompassing the present circumstances and the future trajectory of my professional pursuits. (</w:t>
      </w:r>
      <w:proofErr w:type="spellStart"/>
      <w:r>
        <w:t>Lizardo</w:t>
      </w:r>
      <w:proofErr w:type="spellEnd"/>
      <w:r>
        <w:t>, 2013)</w:t>
      </w:r>
    </w:p>
    <w:p w14:paraId="2C790594" w14:textId="77777777" w:rsidR="00E83904" w:rsidRDefault="00000000">
      <w:pPr>
        <w:pStyle w:val="Heading2"/>
      </w:pPr>
      <w:bookmarkStart w:id="9" w:name="_z7me5vi1elpg" w:colFirst="0" w:colLast="0"/>
      <w:bookmarkEnd w:id="9"/>
      <w:r>
        <w:t>Active Experimentation</w:t>
      </w:r>
    </w:p>
    <w:p w14:paraId="39D7DCBA" w14:textId="6D4405AD" w:rsidR="00E83904" w:rsidRDefault="00000000">
      <w:r>
        <w:t xml:space="preserve">After achieving a comprehensive conceptual comprehension of my SWOT analysis, the subsequent phase involved implementing these insights into practice, commonly called the active experimentation stage. This </w:t>
      </w:r>
      <w:r w:rsidR="005C753B">
        <w:t>endeavor</w:t>
      </w:r>
      <w:r>
        <w:t xml:space="preserve"> aimed to execute the devised strategies and </w:t>
      </w:r>
      <w:r w:rsidR="005C753B">
        <w:t>analyze</w:t>
      </w:r>
      <w:r>
        <w:t xml:space="preserve"> their outcomes, thus converting theoretical concepts into practical applications. To address my perceived deficiency in oratory skills, I enrolled in a nearby chapter of the Toastmasters </w:t>
      </w:r>
      <w:r w:rsidR="005C753B">
        <w:t>organization</w:t>
      </w:r>
      <w:r>
        <w:t>. This allowed me to enhance my presentation abilities and bolster my public speaking confidence. Over time, notable enhancements were observed, not only in my oratory abilities but also in my comprehensive communication proficiencies. As mentioned above, the encounter reaffirmed the SWOT analysis's significance in pinpointing areas of deficiency and furnishing a lucid course of action to surmount them. (Chiu, 2019)</w:t>
      </w:r>
    </w:p>
    <w:p w14:paraId="293B9CDF" w14:textId="77777777" w:rsidR="00E83904" w:rsidRDefault="00E83904"/>
    <w:p w14:paraId="6EFDCD8F" w14:textId="1FC7B7BB" w:rsidR="00E83904" w:rsidRDefault="00000000">
      <w:r>
        <w:t xml:space="preserve">The learning plan that I devised was also implemented. I have also undertaken a series of measures to stay abreast of the latest technological trends in their field. These measures include subscribing to industry journals, attending relevant webinars, and enrolling in online courses. This enabled me to keep pace with the swiftly evolving industry, guaranteeing the currency and pertinence of my competencies. Through the active implementation of the strategies derived from my SWOT analysis, tangible improvements in my personal and professional development were observed. I also experienced increased self-assurance, an expansion of my skill set, and a heightened sense of preparedness to confront forthcoming professional obstacles. The </w:t>
      </w:r>
      <w:r w:rsidR="005C753B">
        <w:t>utilization</w:t>
      </w:r>
      <w:r>
        <w:t xml:space="preserve"> of the SWOT model in the context of personal and career development has been demonstrated to possess significant value, as evidenced by my recent experience with the process above. The process enabled me to become more cognizant of their thoughts, feelings, and </w:t>
      </w:r>
      <w:r w:rsidR="005C753B">
        <w:t>behaviors</w:t>
      </w:r>
      <w:r>
        <w:t xml:space="preserve"> and gave them a systematic methodology for advancing and maturing. (</w:t>
      </w:r>
      <w:proofErr w:type="spellStart"/>
      <w:r>
        <w:t>Močinić</w:t>
      </w:r>
      <w:proofErr w:type="spellEnd"/>
      <w:r>
        <w:t xml:space="preserve"> et al., 2020)</w:t>
      </w:r>
    </w:p>
    <w:p w14:paraId="19C3C9C8" w14:textId="77777777" w:rsidR="00E83904" w:rsidRDefault="00000000">
      <w:pPr>
        <w:pStyle w:val="Heading1"/>
      </w:pPr>
      <w:bookmarkStart w:id="10" w:name="_mn6m41ohkvrv" w:colFirst="0" w:colLast="0"/>
      <w:bookmarkEnd w:id="10"/>
      <w:r>
        <w:t>Conclusion</w:t>
      </w:r>
    </w:p>
    <w:p w14:paraId="0720C79D" w14:textId="7C71AEFA" w:rsidR="00E83904" w:rsidRDefault="00000000">
      <w:r>
        <w:t xml:space="preserve">This perspective </w:t>
      </w:r>
      <w:r w:rsidR="005C753B">
        <w:t>emphasizes</w:t>
      </w:r>
      <w:r>
        <w:t xml:space="preserve"> the necessity of ongoing learning and personal improvement in professional career development. These lectures illuminated career planning, personal growth, networking, leadership, and employability. They also stressed the importance of these areas in career development. This reflection is most valuable when these insights are applied. Real-world professional circumstances must test, improve, and restructure the knowledge and understanding from these lectures. Active Experimentation follows Kolb's Cycle's conclusion. Applying knowledge to solve problems, make decisions, and improve professional </w:t>
      </w:r>
      <w:r w:rsidR="005C753B">
        <w:t>practices</w:t>
      </w:r>
      <w:r>
        <w:t xml:space="preserve">. This paper shows that professional career growth is an iterative process shaped by experiences, reflections, </w:t>
      </w:r>
      <w:r>
        <w:lastRenderedPageBreak/>
        <w:t>learnings, and applications. This approach turns us into career architects. The Professional Career Development lectures' main takeaway is Kolb's Experiential Learning Cycle.</w:t>
      </w:r>
    </w:p>
    <w:p w14:paraId="0F96903B" w14:textId="77777777" w:rsidR="00E83904" w:rsidRDefault="00000000">
      <w:pPr>
        <w:pStyle w:val="Heading1"/>
      </w:pPr>
      <w:bookmarkStart w:id="11" w:name="_dfephznss64l" w:colFirst="0" w:colLast="0"/>
      <w:bookmarkEnd w:id="11"/>
      <w:r>
        <w:t>Reference</w:t>
      </w:r>
    </w:p>
    <w:p w14:paraId="1E27D1C5" w14:textId="77777777" w:rsidR="00E83904" w:rsidRDefault="00000000">
      <w:pPr>
        <w:spacing w:before="240" w:after="240"/>
        <w:jc w:val="left"/>
      </w:pPr>
      <w:r>
        <w:t xml:space="preserve">Chiu, S.K. (2019) ‘Innovative experiential learning experience: Pedagogical adopting Kolb’s learning cycle at Higher Education in Hong Kong’, </w:t>
      </w:r>
      <w:r>
        <w:rPr>
          <w:i/>
        </w:rPr>
        <w:t>Cogent Education</w:t>
      </w:r>
      <w:r>
        <w:t xml:space="preserve">, 6(1), p. 1644720. doi:10.1080/2331186x.2019.1644720. </w:t>
      </w:r>
    </w:p>
    <w:p w14:paraId="78A73E17" w14:textId="77777777" w:rsidR="00E83904" w:rsidRDefault="00000000">
      <w:pPr>
        <w:spacing w:before="240" w:after="240"/>
        <w:jc w:val="left"/>
      </w:pPr>
      <w:r>
        <w:t xml:space="preserve">GÜREL, E. (2017) ‘SWOT analysis: A theoretical review’, </w:t>
      </w:r>
      <w:r>
        <w:rPr>
          <w:i/>
        </w:rPr>
        <w:t>Journal of International Social Research</w:t>
      </w:r>
      <w:r>
        <w:t xml:space="preserve">, 10(51), pp. 994–1006. doi:10.17719/jisr.2017.1832. </w:t>
      </w:r>
    </w:p>
    <w:p w14:paraId="4305FC28" w14:textId="77777777" w:rsidR="00E83904" w:rsidRDefault="00000000">
      <w:pPr>
        <w:spacing w:before="240" w:after="240"/>
        <w:jc w:val="left"/>
      </w:pPr>
      <w:proofErr w:type="spellStart"/>
      <w:r>
        <w:t>Lizardo</w:t>
      </w:r>
      <w:proofErr w:type="spellEnd"/>
      <w:r>
        <w:t xml:space="preserve">, O. (2013) </w:t>
      </w:r>
      <w:proofErr w:type="spellStart"/>
      <w:r>
        <w:t>‘Re</w:t>
      </w:r>
      <w:proofErr w:type="spellEnd"/>
      <w:r>
        <w:t xml:space="preserve">-conceptualizing abstract conceptualization in social theory: The case of the “structure” concept’, </w:t>
      </w:r>
      <w:r>
        <w:rPr>
          <w:i/>
        </w:rPr>
        <w:t xml:space="preserve">Journal for the Theory of Social </w:t>
      </w:r>
      <w:proofErr w:type="spellStart"/>
      <w:r>
        <w:rPr>
          <w:i/>
        </w:rPr>
        <w:t>Behaviour</w:t>
      </w:r>
      <w:proofErr w:type="spellEnd"/>
      <w:r>
        <w:t xml:space="preserve">, 43(2), pp. 155–180. doi:10.1111/jtsb.12011. </w:t>
      </w:r>
    </w:p>
    <w:p w14:paraId="57A7517D" w14:textId="77777777" w:rsidR="00E83904" w:rsidRDefault="00000000">
      <w:pPr>
        <w:spacing w:before="240" w:after="240"/>
        <w:jc w:val="left"/>
      </w:pPr>
      <w:r>
        <w:t>Mcleod, S. (2023) ‘</w:t>
      </w:r>
      <w:r>
        <w:rPr>
          <w:i/>
        </w:rPr>
        <w:t>Kolb’s learning styles and experiential learning cycle’</w:t>
      </w:r>
      <w:r>
        <w:t xml:space="preserve">, </w:t>
      </w:r>
      <w:r>
        <w:rPr>
          <w:i/>
        </w:rPr>
        <w:t>Simply Psychology</w:t>
      </w:r>
      <w:r>
        <w:t xml:space="preserve">. Available at: https://www.simplypsychology.org/learning-kolb.html#Kolb%E2%80%99s-Reflective-Cycle (Accessed: 26 May 2023). </w:t>
      </w:r>
    </w:p>
    <w:p w14:paraId="48EE02C6" w14:textId="77777777" w:rsidR="00E83904" w:rsidRDefault="00000000">
      <w:pPr>
        <w:spacing w:before="240" w:after="240"/>
      </w:pPr>
      <w:r>
        <w:t xml:space="preserve">McMullan, W.E. and Cahoon, A. (1979) ‘Integrating abstract conceptualizing with experiential learning’, </w:t>
      </w:r>
      <w:r>
        <w:rPr>
          <w:i/>
        </w:rPr>
        <w:t>The Academy of Management Review</w:t>
      </w:r>
      <w:r>
        <w:t xml:space="preserve">, 4(3), p. 453. doi:10.2307/257203. </w:t>
      </w:r>
    </w:p>
    <w:p w14:paraId="6DED4204" w14:textId="77777777" w:rsidR="00E83904" w:rsidRDefault="00000000">
      <w:pPr>
        <w:spacing w:before="240" w:after="240"/>
      </w:pPr>
      <w:proofErr w:type="spellStart"/>
      <w:r>
        <w:t>Močinić</w:t>
      </w:r>
      <w:proofErr w:type="spellEnd"/>
      <w:r>
        <w:t xml:space="preserve">, S., </w:t>
      </w:r>
      <w:proofErr w:type="spellStart"/>
      <w:r>
        <w:t>Tatković</w:t>
      </w:r>
      <w:proofErr w:type="spellEnd"/>
      <w:r>
        <w:t xml:space="preserve">, N. and </w:t>
      </w:r>
      <w:proofErr w:type="spellStart"/>
      <w:r>
        <w:t>Tatković</w:t>
      </w:r>
      <w:proofErr w:type="spellEnd"/>
      <w:r>
        <w:t xml:space="preserve">, S. (2020) ‘The use of Kolb’s model in science teaching methodology’, </w:t>
      </w:r>
      <w:proofErr w:type="spellStart"/>
      <w:r>
        <w:rPr>
          <w:i/>
        </w:rPr>
        <w:t>Propósitos</w:t>
      </w:r>
      <w:proofErr w:type="spellEnd"/>
      <w:r>
        <w:rPr>
          <w:i/>
        </w:rPr>
        <w:t xml:space="preserve"> y </w:t>
      </w:r>
      <w:proofErr w:type="spellStart"/>
      <w:r>
        <w:rPr>
          <w:i/>
        </w:rPr>
        <w:t>Representaciones</w:t>
      </w:r>
      <w:proofErr w:type="spellEnd"/>
      <w:r>
        <w:t xml:space="preserve">, 8(SPE2). doi:10.20511/pyr2020.v8nspe2.685. </w:t>
      </w:r>
    </w:p>
    <w:p w14:paraId="420A765C" w14:textId="77777777" w:rsidR="00E83904" w:rsidRDefault="00000000">
      <w:pPr>
        <w:spacing w:before="240" w:after="240"/>
      </w:pPr>
      <w:proofErr w:type="spellStart"/>
      <w:r>
        <w:t>Nishadha</w:t>
      </w:r>
      <w:proofErr w:type="spellEnd"/>
      <w:r>
        <w:t xml:space="preserve">, G. (2023) </w:t>
      </w:r>
      <w:r>
        <w:rPr>
          <w:i/>
        </w:rPr>
        <w:t>Personal swot analysis: Where talent meets opportunity</w:t>
      </w:r>
      <w:r>
        <w:t xml:space="preserve">, </w:t>
      </w:r>
      <w:proofErr w:type="spellStart"/>
      <w:r>
        <w:rPr>
          <w:i/>
        </w:rPr>
        <w:t>Creately</w:t>
      </w:r>
      <w:proofErr w:type="spellEnd"/>
      <w:r>
        <w:rPr>
          <w:i/>
        </w:rPr>
        <w:t xml:space="preserve"> Blog</w:t>
      </w:r>
      <w:r>
        <w:t xml:space="preserve">. Available at: https://creately.com/blog/hr-planning/personal-swot-analysis/ (Accessed: 26 May 2023). </w:t>
      </w:r>
    </w:p>
    <w:p w14:paraId="266B7845" w14:textId="77777777" w:rsidR="00E83904" w:rsidRDefault="00000000">
      <w:pPr>
        <w:spacing w:before="240" w:after="240"/>
      </w:pPr>
      <w:r>
        <w:t xml:space="preserve">Sims, R.R. (1983) ‘Kolb’s experiential learning theory: A framework for assessing person-job interaction’, </w:t>
      </w:r>
      <w:r>
        <w:rPr>
          <w:i/>
        </w:rPr>
        <w:t>The Academy of Management Review</w:t>
      </w:r>
      <w:r>
        <w:t xml:space="preserve">, 8(3), p. 501. doi:10.2307/257838. </w:t>
      </w:r>
    </w:p>
    <w:p w14:paraId="03F1C889" w14:textId="77777777" w:rsidR="00E83904" w:rsidRDefault="00E83904">
      <w:pPr>
        <w:spacing w:before="240" w:after="240"/>
      </w:pPr>
    </w:p>
    <w:p w14:paraId="6DA6DE99" w14:textId="77777777" w:rsidR="00E83904" w:rsidRDefault="00E83904">
      <w:pPr>
        <w:spacing w:before="240" w:after="240"/>
      </w:pPr>
    </w:p>
    <w:p w14:paraId="35B68194" w14:textId="77777777" w:rsidR="00E83904" w:rsidRDefault="00E83904">
      <w:pPr>
        <w:spacing w:before="240" w:after="240"/>
      </w:pPr>
    </w:p>
    <w:p w14:paraId="3595D71E" w14:textId="77777777" w:rsidR="00E83904" w:rsidRDefault="00E83904">
      <w:pPr>
        <w:spacing w:before="240" w:after="240"/>
      </w:pPr>
    </w:p>
    <w:p w14:paraId="506A7742" w14:textId="77777777" w:rsidR="00E83904" w:rsidRDefault="00E83904">
      <w:pPr>
        <w:spacing w:before="240" w:after="240"/>
      </w:pPr>
    </w:p>
    <w:p w14:paraId="1F6E0542" w14:textId="77777777" w:rsidR="00E83904" w:rsidRDefault="00E83904">
      <w:pPr>
        <w:spacing w:before="240" w:after="240"/>
      </w:pPr>
    </w:p>
    <w:p w14:paraId="5ACC6621" w14:textId="77777777" w:rsidR="00E83904" w:rsidRDefault="00E83904">
      <w:pPr>
        <w:spacing w:before="240" w:after="240"/>
      </w:pPr>
    </w:p>
    <w:p w14:paraId="6E76DFD2" w14:textId="77777777" w:rsidR="00E83904" w:rsidRDefault="00E83904"/>
    <w:p w14:paraId="61756157" w14:textId="77777777" w:rsidR="00E83904" w:rsidRDefault="00E83904"/>
    <w:p w14:paraId="6F242FBA" w14:textId="77777777" w:rsidR="00E83904" w:rsidRDefault="00E83904"/>
    <w:p w14:paraId="5A47ECB4" w14:textId="77777777" w:rsidR="00E83904" w:rsidRDefault="00E83904"/>
    <w:p w14:paraId="1450923B" w14:textId="77777777" w:rsidR="00E83904" w:rsidRDefault="00E83904"/>
    <w:p w14:paraId="720696EE" w14:textId="77777777" w:rsidR="00E83904" w:rsidRDefault="00E83904"/>
    <w:p w14:paraId="01D91CD4" w14:textId="77777777" w:rsidR="00E83904" w:rsidRDefault="00E83904"/>
    <w:sectPr w:rsidR="00E8390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904"/>
    <w:rsid w:val="005C753B"/>
    <w:rsid w:val="00E839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48A37"/>
  <w15:docId w15:val="{67FD506E-5F02-440D-9179-8624A24E1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jc w:val="center"/>
      <w:outlineLvl w:val="0"/>
    </w:pPr>
    <w:rPr>
      <w:b/>
      <w:sz w:val="40"/>
      <w:szCs w:val="40"/>
    </w:rPr>
  </w:style>
  <w:style w:type="paragraph" w:styleId="Heading2">
    <w:name w:val="heading 2"/>
    <w:basedOn w:val="Normal"/>
    <w:next w:val="Normal"/>
    <w:uiPriority w:val="9"/>
    <w:unhideWhenUsed/>
    <w:qFormat/>
    <w:pPr>
      <w:keepNext/>
      <w:keepLines/>
      <w:spacing w:before="360" w:after="120"/>
      <w:outlineLvl w:val="1"/>
    </w:pPr>
    <w:rPr>
      <w:b/>
      <w:sz w:val="36"/>
      <w:szCs w:val="36"/>
    </w:rPr>
  </w:style>
  <w:style w:type="paragraph" w:styleId="Heading3">
    <w:name w:val="heading 3"/>
    <w:basedOn w:val="Normal"/>
    <w:next w:val="Normal"/>
    <w:uiPriority w:val="9"/>
    <w:semiHidden/>
    <w:unhideWhenUsed/>
    <w:qFormat/>
    <w:pPr>
      <w:keepNext/>
      <w:keepLines/>
      <w:spacing w:before="320" w:after="80"/>
      <w:outlineLvl w:val="2"/>
    </w:pPr>
    <w:rPr>
      <w:b/>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32%32%34%32%36%38%30@%73%74%75%64en%74%2e%75%77%74%73d%2e%61%63%2eu%6b" TargetMode="External"/><Relationship Id="rId5" Type="http://schemas.openxmlformats.org/officeDocument/2006/relationships/hyperlink" Target="https://moodle.uwtsd.ac.uk/mod/turnitintooltwo/view.php?id=49916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1761</Words>
  <Characters>10042</Characters>
  <Application>Microsoft Office Word</Application>
  <DocSecurity>0</DocSecurity>
  <Lines>83</Lines>
  <Paragraphs>23</Paragraphs>
  <ScaleCrop>false</ScaleCrop>
  <Company/>
  <LinksUpToDate>false</LinksUpToDate>
  <CharactersWithSpaces>11780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Mamun M L (FCI)</cp:lastModifiedBy>
  <cp:revision>2</cp:revision>
  <dcterms:created xsi:type="dcterms:W3CDTF">2023-06-01T22:28:00Z</dcterms:created>
  <dcterms:modified xsi:type="dcterms:W3CDTF">2023-06-01T22:31:00Z</dcterms:modified>
</cp:coreProperties>
</file>