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28729694"/>
        <w:docPartObj>
          <w:docPartGallery w:val="Cover Pages"/>
          <w:docPartUnique/>
        </w:docPartObj>
      </w:sdtPr>
      <w:sdtEndPr>
        <w:rPr>
          <w:rFonts w:ascii="Arial" w:eastAsiaTheme="minorEastAsia" w:hAnsi="Arial" w:cs="Arial"/>
          <w:color w:val="auto"/>
          <w:lang w:val="en-US"/>
        </w:rPr>
      </w:sdtEndPr>
      <w:sdtContent>
        <w:p w14:paraId="3E72CEC1" w14:textId="212BD6CC" w:rsidR="00755A98" w:rsidRDefault="00755A98" w:rsidP="00755A98">
          <w:pPr>
            <w:pStyle w:val="NoSpacing"/>
            <w:spacing w:before="1540" w:after="240"/>
            <w:jc w:val="center"/>
            <w:rPr>
              <w:color w:val="4472C4" w:themeColor="accent1"/>
            </w:rPr>
          </w:pPr>
          <w:r>
            <w:rPr>
              <w:noProof/>
              <w:color w:val="4472C4" w:themeColor="accent1"/>
            </w:rPr>
            <w:drawing>
              <wp:inline distT="0" distB="0" distL="0" distR="0" wp14:anchorId="3CA2CA3E" wp14:editId="4C35805E">
                <wp:extent cx="1417320" cy="750898"/>
                <wp:effectExtent l="0" t="0" r="0" b="0"/>
                <wp:docPr id="14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36"/>
              <w:szCs w:val="36"/>
            </w:rPr>
            <w:alias w:val="Title"/>
            <w:tag w:val=""/>
            <w:id w:val="1735040861"/>
            <w:placeholder>
              <w:docPart w:val="5425F0293E2E4212BD0DA82E5286B0B7"/>
            </w:placeholder>
            <w:dataBinding w:prefixMappings="xmlns:ns0='http://purl.org/dc/elements/1.1/' xmlns:ns1='http://schemas.openxmlformats.org/package/2006/metadata/core-properties' " w:xpath="/ns1:coreProperties[1]/ns0:title[1]" w:storeItemID="{6C3C8BC8-F283-45AE-878A-BAB7291924A1}"/>
            <w:text/>
          </w:sdtPr>
          <w:sdtContent>
            <w:p w14:paraId="5572A8D7" w14:textId="64917D7C" w:rsidR="00755A98" w:rsidRPr="00AA52F3" w:rsidRDefault="00AE0EBA">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sz w:val="36"/>
                  <w:szCs w:val="36"/>
                </w:rPr>
              </w:pPr>
              <w:r w:rsidRPr="00AA52F3">
                <w:rPr>
                  <w:rFonts w:ascii="Arial" w:eastAsiaTheme="majorEastAsia" w:hAnsi="Arial" w:cs="Arial"/>
                  <w:caps/>
                  <w:sz w:val="36"/>
                  <w:szCs w:val="36"/>
                </w:rPr>
                <w:t>INTERNATIONAL BUSINESS MBA LCMB 7014</w:t>
              </w:r>
            </w:p>
          </w:sdtContent>
        </w:sdt>
        <w:sdt>
          <w:sdtPr>
            <w:rPr>
              <w:rFonts w:ascii="Arial" w:hAnsi="Arial" w:cs="Arial"/>
              <w:sz w:val="28"/>
              <w:szCs w:val="28"/>
            </w:rPr>
            <w:alias w:val="Subtitle"/>
            <w:tag w:val=""/>
            <w:id w:val="328029620"/>
            <w:placeholder>
              <w:docPart w:val="EAA9CFFC7266429EB92F1FB25E205093"/>
            </w:placeholder>
            <w:dataBinding w:prefixMappings="xmlns:ns0='http://purl.org/dc/elements/1.1/' xmlns:ns1='http://schemas.openxmlformats.org/package/2006/metadata/core-properties' " w:xpath="/ns1:coreProperties[1]/ns0:subject[1]" w:storeItemID="{6C3C8BC8-F283-45AE-878A-BAB7291924A1}"/>
            <w:text/>
          </w:sdtPr>
          <w:sdtContent>
            <w:p w14:paraId="2AC41B12" w14:textId="6526B80F" w:rsidR="00755A98" w:rsidRPr="00AA52F3" w:rsidRDefault="009E0AD5">
              <w:pPr>
                <w:pStyle w:val="NoSpacing"/>
                <w:jc w:val="center"/>
                <w:rPr>
                  <w:rFonts w:ascii="Arial" w:hAnsi="Arial" w:cs="Arial"/>
                  <w:sz w:val="28"/>
                  <w:szCs w:val="28"/>
                </w:rPr>
              </w:pPr>
              <w:r w:rsidRPr="00AA52F3">
                <w:rPr>
                  <w:rFonts w:ascii="Arial" w:hAnsi="Arial" w:cs="Arial"/>
                  <w:sz w:val="28"/>
                  <w:szCs w:val="28"/>
                </w:rPr>
                <w:t>UN</w:t>
              </w:r>
              <w:r w:rsidR="00447424" w:rsidRPr="00AA52F3">
                <w:rPr>
                  <w:rFonts w:ascii="Arial" w:hAnsi="Arial" w:cs="Arial"/>
                  <w:sz w:val="28"/>
                  <w:szCs w:val="28"/>
                </w:rPr>
                <w:t>IVERSITY OF WALES TRINITY SAINT DAVID</w:t>
              </w:r>
            </w:p>
          </w:sdtContent>
        </w:sdt>
        <w:p w14:paraId="7E7EEA31" w14:textId="470FEC8A" w:rsidR="00C50AE6" w:rsidRPr="00AA52F3" w:rsidRDefault="00000000" w:rsidP="00C50AE6">
          <w:pPr>
            <w:pStyle w:val="NoSpacing"/>
            <w:spacing w:before="480"/>
            <w:rPr>
              <w:rFonts w:ascii="Arial" w:hAnsi="Arial" w:cs="Arial"/>
            </w:rPr>
          </w:pPr>
        </w:p>
      </w:sdtContent>
    </w:sdt>
    <w:p w14:paraId="3BF91B3F" w14:textId="48F24240" w:rsidR="00C50AE6" w:rsidRDefault="00016007">
      <w:pPr>
        <w:rPr>
          <w:rFonts w:ascii="Arial" w:hAnsi="Arial" w:cs="Arial"/>
          <w:b/>
          <w:bCs/>
          <w:color w:val="FF00FF"/>
        </w:rPr>
      </w:pPr>
      <w:r w:rsidRPr="00AA52F3">
        <w:rPr>
          <w:rFonts w:ascii="Arial" w:hAnsi="Arial" w:cs="Arial"/>
          <w:noProof/>
        </w:rPr>
        <mc:AlternateContent>
          <mc:Choice Requires="wps">
            <w:drawing>
              <wp:anchor distT="0" distB="0" distL="114300" distR="114300" simplePos="0" relativeHeight="251659264" behindDoc="0" locked="0" layoutInCell="1" allowOverlap="1" wp14:anchorId="3B8A79CE" wp14:editId="36B5ABE8">
                <wp:simplePos x="0" y="0"/>
                <wp:positionH relativeFrom="margin">
                  <wp:posOffset>-264795</wp:posOffset>
                </wp:positionH>
                <wp:positionV relativeFrom="page">
                  <wp:posOffset>8678545</wp:posOffset>
                </wp:positionV>
                <wp:extent cx="6553200" cy="557530"/>
                <wp:effectExtent l="0" t="0" r="0" b="12700"/>
                <wp:wrapNone/>
                <wp:docPr id="142" name="Text Box 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28"/>
                                <w:szCs w:val="28"/>
                              </w:rPr>
                              <w:alias w:val="Date"/>
                              <w:tag w:val=""/>
                              <w:id w:val="197127006"/>
                              <w:dataBinding w:prefixMappings="xmlns:ns0='http://schemas.microsoft.com/office/2006/coverPageProps' " w:xpath="/ns0:CoverPageProperties[1]/ns0:PublishDate[1]" w:storeItemID="{55AF091B-3C7A-41E3-B477-F2FDAA23CFDA}"/>
                              <w:date w:fullDate="2023-11-09T00:00:00Z">
                                <w:dateFormat w:val="MMMM d, yyyy"/>
                                <w:lid w:val="en-US"/>
                                <w:storeMappedDataAs w:val="dateTime"/>
                                <w:calendar w:val="gregorian"/>
                              </w:date>
                            </w:sdtPr>
                            <w:sdtContent>
                              <w:p w14:paraId="47B9C0CA" w14:textId="5BCE4643" w:rsidR="00755A98" w:rsidRPr="00AA52F3" w:rsidRDefault="00755A98">
                                <w:pPr>
                                  <w:pStyle w:val="NoSpacing"/>
                                  <w:spacing w:after="40"/>
                                  <w:jc w:val="center"/>
                                  <w:rPr>
                                    <w:rFonts w:ascii="Arial" w:hAnsi="Arial" w:cs="Arial"/>
                                    <w:caps/>
                                    <w:sz w:val="28"/>
                                    <w:szCs w:val="28"/>
                                  </w:rPr>
                                </w:pPr>
                                <w:r w:rsidRPr="00AA52F3">
                                  <w:rPr>
                                    <w:rFonts w:ascii="Arial" w:hAnsi="Arial" w:cs="Arial"/>
                                    <w:caps/>
                                    <w:sz w:val="28"/>
                                    <w:szCs w:val="28"/>
                                  </w:rPr>
                                  <w:t>November 9, 2023</w:t>
                                </w:r>
                              </w:p>
                            </w:sdtContent>
                          </w:sdt>
                          <w:p w14:paraId="3C25F09B" w14:textId="412B22E3" w:rsidR="00755A98" w:rsidRPr="00AA52F3"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452118" w:rsidRPr="00AA52F3">
                                  <w:rPr>
                                    <w:rFonts w:ascii="Arial" w:hAnsi="Arial" w:cs="Arial"/>
                                    <w:caps/>
                                  </w:rPr>
                                  <w:t>STACEY WALLER 1911557</w:t>
                                </w:r>
                              </w:sdtContent>
                            </w:sdt>
                          </w:p>
                          <w:p w14:paraId="168C4161" w14:textId="443322C4" w:rsidR="00755A98" w:rsidRPr="00AA52F3" w:rsidRDefault="00000000">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00AF5755" w:rsidRPr="00AA52F3">
                                  <w:rPr>
                                    <w:rFonts w:ascii="Arial" w:hAnsi="Arial" w:cs="Arial"/>
                                  </w:rPr>
                                  <w:t xml:space="preserve">LECTURER LIYANAGE </w:t>
                                </w:r>
                                <w:r w:rsidR="00312E57" w:rsidRPr="00AA52F3">
                                  <w:rPr>
                                    <w:rFonts w:ascii="Arial" w:hAnsi="Arial" w:cs="Arial"/>
                                  </w:rPr>
                                  <w:t>RODRIGO</w:t>
                                </w:r>
                                <w:r w:rsidR="00AF5755" w:rsidRPr="00AA52F3">
                                  <w:rPr>
                                    <w:rFonts w:ascii="Arial" w:hAnsi="Arial" w:cs="Arial"/>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8A79CE" id="_x0000_t202" coordsize="21600,21600" o:spt="202" path="m,l,21600r21600,l21600,xe">
                <v:stroke joinstyle="miter"/>
                <v:path gradientshapeok="t" o:connecttype="rect"/>
              </v:shapetype>
              <v:shape id="Text Box 42" o:spid="_x0000_s1026" type="#_x0000_t202" style="position:absolute;margin-left:-20.85pt;margin-top:683.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" filled="f" stroked="f" strokeweight=".5pt">
                <v:textbox style="mso-fit-shape-to-text:t" inset="0,0,0,0">
                  <w:txbxContent>
                    <w:sdt>
                      <w:sdtPr>
                        <w:rPr>
                          <w:rFonts w:ascii="Arial" w:hAnsi="Arial" w:cs="Arial"/>
                          <w:caps/>
                          <w:sz w:val="28"/>
                          <w:szCs w:val="28"/>
                        </w:rPr>
                        <w:alias w:val="Date"/>
                        <w:tag w:val=""/>
                        <w:id w:val="197127006"/>
                        <w:dataBinding w:prefixMappings="xmlns:ns0='http://schemas.microsoft.com/office/2006/coverPageProps' " w:xpath="/ns0:CoverPageProperties[1]/ns0:PublishDate[1]" w:storeItemID="{55AF091B-3C7A-41E3-B477-F2FDAA23CFDA}"/>
                        <w:date w:fullDate="2023-11-09T00:00:00Z">
                          <w:dateFormat w:val="MMMM d, yyyy"/>
                          <w:lid w:val="en-US"/>
                          <w:storeMappedDataAs w:val="dateTime"/>
                          <w:calendar w:val="gregorian"/>
                        </w:date>
                      </w:sdtPr>
                      <w:sdtContent>
                        <w:p w14:paraId="47B9C0CA" w14:textId="5BCE4643" w:rsidR="00755A98" w:rsidRPr="00AA52F3" w:rsidRDefault="00755A98">
                          <w:pPr>
                            <w:pStyle w:val="NoSpacing"/>
                            <w:spacing w:after="40"/>
                            <w:jc w:val="center"/>
                            <w:rPr>
                              <w:rFonts w:ascii="Arial" w:hAnsi="Arial" w:cs="Arial"/>
                              <w:caps/>
                              <w:sz w:val="28"/>
                              <w:szCs w:val="28"/>
                            </w:rPr>
                          </w:pPr>
                          <w:r w:rsidRPr="00AA52F3">
                            <w:rPr>
                              <w:rFonts w:ascii="Arial" w:hAnsi="Arial" w:cs="Arial"/>
                              <w:caps/>
                              <w:sz w:val="28"/>
                              <w:szCs w:val="28"/>
                            </w:rPr>
                            <w:t>November 9, 2023</w:t>
                          </w:r>
                        </w:p>
                      </w:sdtContent>
                    </w:sdt>
                    <w:p w14:paraId="3C25F09B" w14:textId="412B22E3" w:rsidR="00755A98" w:rsidRPr="00AA52F3"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452118" w:rsidRPr="00AA52F3">
                            <w:rPr>
                              <w:rFonts w:ascii="Arial" w:hAnsi="Arial" w:cs="Arial"/>
                              <w:caps/>
                            </w:rPr>
                            <w:t>STACEY WALLER 1911557</w:t>
                          </w:r>
                        </w:sdtContent>
                      </w:sdt>
                    </w:p>
                    <w:p w14:paraId="168C4161" w14:textId="443322C4" w:rsidR="00755A98" w:rsidRPr="00AA52F3" w:rsidRDefault="00000000">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00AF5755" w:rsidRPr="00AA52F3">
                            <w:rPr>
                              <w:rFonts w:ascii="Arial" w:hAnsi="Arial" w:cs="Arial"/>
                            </w:rPr>
                            <w:t xml:space="preserve">LECTURER LIYANAGE </w:t>
                          </w:r>
                          <w:r w:rsidR="00312E57" w:rsidRPr="00AA52F3">
                            <w:rPr>
                              <w:rFonts w:ascii="Arial" w:hAnsi="Arial" w:cs="Arial"/>
                            </w:rPr>
                            <w:t>RODRIGO</w:t>
                          </w:r>
                          <w:r w:rsidR="00AF5755" w:rsidRPr="00AA52F3">
                            <w:rPr>
                              <w:rFonts w:ascii="Arial" w:hAnsi="Arial" w:cs="Arial"/>
                            </w:rPr>
                            <w:t xml:space="preserve"> </w:t>
                          </w:r>
                        </w:sdtContent>
                      </w:sdt>
                    </w:p>
                  </w:txbxContent>
                </v:textbox>
                <w10:wrap anchorx="margin" anchory="page"/>
              </v:shape>
            </w:pict>
          </mc:Fallback>
        </mc:AlternateContent>
      </w:r>
      <w:r w:rsidR="00C50AE6">
        <w:rPr>
          <w:rFonts w:ascii="Arial" w:hAnsi="Arial" w:cs="Arial"/>
          <w:b/>
          <w:bCs/>
          <w:color w:val="FF00FF"/>
        </w:rPr>
        <w:br w:type="page"/>
      </w:r>
    </w:p>
    <w:p w14:paraId="30F3EC24" w14:textId="77777777" w:rsidR="00340AD3" w:rsidRPr="00C50AE6" w:rsidRDefault="00340AD3">
      <w:pPr>
        <w:rPr>
          <w:rFonts w:ascii="Arial" w:hAnsi="Arial" w:cs="Arial"/>
          <w:b/>
          <w:bCs/>
          <w:color w:val="FF00FF"/>
        </w:rPr>
      </w:pPr>
    </w:p>
    <w:p w14:paraId="0ED7C1E9" w14:textId="77777777" w:rsidR="00340AD3" w:rsidRDefault="00340AD3"/>
    <w:p w14:paraId="7C568A33" w14:textId="77777777" w:rsidR="00340AD3" w:rsidRDefault="00340AD3"/>
    <w:p w14:paraId="7925C483" w14:textId="45D5E11E" w:rsidR="00C50AE6" w:rsidRDefault="00C50AE6"/>
    <w:p w14:paraId="392A15AA" w14:textId="77777777" w:rsidR="00C50AE6" w:rsidRDefault="00C50AE6">
      <w:r>
        <w:br w:type="page"/>
      </w:r>
    </w:p>
    <w:p w14:paraId="6062E47E" w14:textId="77777777" w:rsidR="00CD6378" w:rsidRPr="00AA52F3" w:rsidRDefault="00FB0E76" w:rsidP="007C1713">
      <w:pPr>
        <w:spacing w:line="360" w:lineRule="auto"/>
        <w:jc w:val="both"/>
        <w:rPr>
          <w:rFonts w:ascii="Arial" w:hAnsi="Arial" w:cs="Arial"/>
        </w:rPr>
      </w:pPr>
      <w:r w:rsidRPr="00AA52F3">
        <w:rPr>
          <w:rFonts w:ascii="Arial" w:hAnsi="Arial" w:cs="Arial"/>
        </w:rPr>
        <w:lastRenderedPageBreak/>
        <w:t>EXECUTIVE SUMMARY</w:t>
      </w:r>
      <w:r w:rsidR="00786B21" w:rsidRPr="00AA52F3">
        <w:rPr>
          <w:rFonts w:ascii="Arial" w:hAnsi="Arial" w:cs="Arial"/>
        </w:rPr>
        <w:t>:</w:t>
      </w:r>
    </w:p>
    <w:p w14:paraId="313AC498" w14:textId="37D779A8" w:rsidR="00CC032D" w:rsidRPr="00AA52F3" w:rsidRDefault="00A02C77" w:rsidP="007C1713">
      <w:pPr>
        <w:spacing w:line="360" w:lineRule="auto"/>
        <w:jc w:val="both"/>
        <w:rPr>
          <w:rFonts w:ascii="Arial" w:hAnsi="Arial" w:cs="Arial"/>
        </w:rPr>
      </w:pPr>
      <w:r w:rsidRPr="00AA52F3">
        <w:rPr>
          <w:rFonts w:ascii="Arial" w:hAnsi="Arial" w:cs="Arial"/>
        </w:rPr>
        <w:t>AstraZeneca's global operations in R&amp;D are the rising innovations that AstraZeneca achieves via its subsidiary organisation in developing the firm into a sustainable and competitive global enterprise. According to AstraZeneca</w:t>
      </w:r>
      <w:r w:rsidR="00D4615D" w:rsidRPr="00AA52F3">
        <w:rPr>
          <w:rFonts w:ascii="Arial" w:hAnsi="Arial" w:cs="Arial"/>
        </w:rPr>
        <w:t>,</w:t>
      </w:r>
      <w:r w:rsidR="00CD6378" w:rsidRPr="00AA52F3">
        <w:rPr>
          <w:rFonts w:ascii="Arial" w:hAnsi="Arial" w:cs="Arial"/>
        </w:rPr>
        <w:t xml:space="preserve"> </w:t>
      </w:r>
      <w:r w:rsidR="00D4615D" w:rsidRPr="00AA52F3">
        <w:rPr>
          <w:rFonts w:ascii="Arial" w:hAnsi="Arial" w:cs="Arial"/>
        </w:rPr>
        <w:t>(</w:t>
      </w:r>
      <w:r w:rsidR="00CD6378" w:rsidRPr="00AA52F3">
        <w:rPr>
          <w:rFonts w:ascii="Arial" w:hAnsi="Arial" w:cs="Arial"/>
        </w:rPr>
        <w:t xml:space="preserve">2023) </w:t>
      </w:r>
      <w:r w:rsidRPr="00AA52F3">
        <w:rPr>
          <w:rFonts w:ascii="Arial" w:hAnsi="Arial" w:cs="Arial"/>
        </w:rPr>
        <w:t xml:space="preserve">research and development Innovating at the intersection of science, data, and technology. Using our </w:t>
      </w:r>
      <w:proofErr w:type="gramStart"/>
      <w:r w:rsidRPr="00AA52F3">
        <w:rPr>
          <w:rFonts w:ascii="Arial" w:hAnsi="Arial" w:cs="Arial"/>
        </w:rPr>
        <w:t>cutting-edge</w:t>
      </w:r>
      <w:proofErr w:type="gramEnd"/>
      <w:r w:rsidRPr="00AA52F3">
        <w:rPr>
          <w:rFonts w:ascii="Arial" w:hAnsi="Arial" w:cs="Arial"/>
        </w:rPr>
        <w:t xml:space="preserve"> science to provide a more customised, precise, and accessible healthcare experience. Creating market-leading growth in all of our therapeutic areas and geographies. Continuing to </w:t>
      </w:r>
      <w:proofErr w:type="gramStart"/>
      <w:r w:rsidRPr="00AA52F3">
        <w:rPr>
          <w:rFonts w:ascii="Arial" w:hAnsi="Arial" w:cs="Arial"/>
        </w:rPr>
        <w:t>carry out</w:t>
      </w:r>
      <w:proofErr w:type="gramEnd"/>
      <w:r w:rsidRPr="00AA52F3">
        <w:rPr>
          <w:rFonts w:ascii="Arial" w:hAnsi="Arial" w:cs="Arial"/>
        </w:rPr>
        <w:t xml:space="preserve"> our operations 2025 strategy. Through our Future of Work programme, we are ensuring that we work in the most efficient manner possible, boosting the speed with which medications are delivered to patients. Our Sustainability plan is being implemented across three interconnected priority pillars: access to healthcare, environmental preservation, and ethics and </w:t>
      </w:r>
      <w:r w:rsidR="00CD6378" w:rsidRPr="00AA52F3">
        <w:rPr>
          <w:rFonts w:ascii="Arial" w:hAnsi="Arial" w:cs="Arial"/>
        </w:rPr>
        <w:t>transparency.</w:t>
      </w:r>
    </w:p>
    <w:p w14:paraId="3694DBF4" w14:textId="77777777" w:rsidR="00CC032D" w:rsidRPr="007C1713" w:rsidRDefault="00CC032D" w:rsidP="007C1713">
      <w:pPr>
        <w:spacing w:before="100" w:beforeAutospacing="1" w:after="100" w:afterAutospacing="1" w:line="360" w:lineRule="auto"/>
        <w:jc w:val="both"/>
        <w:rPr>
          <w:rFonts w:ascii="Helvetica" w:eastAsia="Times New Roman" w:hAnsi="Helvetica" w:cs="Helvetica"/>
          <w:spacing w:val="5"/>
          <w:sz w:val="24"/>
          <w:szCs w:val="24"/>
          <w:lang w:eastAsia="en-GB"/>
        </w:rPr>
      </w:pPr>
      <w:r w:rsidRPr="007C1713">
        <w:rPr>
          <w:rFonts w:ascii="Helvetica" w:eastAsia="Times New Roman" w:hAnsi="Helvetica" w:cs="Helvetica"/>
          <w:spacing w:val="5"/>
          <w:sz w:val="24"/>
          <w:szCs w:val="24"/>
          <w:lang w:eastAsia="en-GB"/>
        </w:rPr>
        <w:t> </w:t>
      </w:r>
    </w:p>
    <w:p w14:paraId="07C6E63A" w14:textId="77777777" w:rsidR="00CC032D" w:rsidRPr="007C1713" w:rsidRDefault="00CC032D" w:rsidP="007C1713">
      <w:pPr>
        <w:spacing w:before="100" w:beforeAutospacing="1" w:after="100" w:afterAutospacing="1" w:line="240" w:lineRule="auto"/>
        <w:jc w:val="both"/>
        <w:rPr>
          <w:rFonts w:ascii="Helvetica" w:eastAsia="Times New Roman" w:hAnsi="Helvetica" w:cs="Helvetica"/>
          <w:spacing w:val="5"/>
          <w:sz w:val="24"/>
          <w:szCs w:val="24"/>
          <w:lang w:eastAsia="en-GB"/>
        </w:rPr>
      </w:pPr>
      <w:r w:rsidRPr="007C1713">
        <w:rPr>
          <w:rFonts w:ascii="Helvetica" w:eastAsia="Times New Roman" w:hAnsi="Helvetica" w:cs="Helvetica"/>
          <w:spacing w:val="5"/>
          <w:sz w:val="24"/>
          <w:szCs w:val="24"/>
          <w:lang w:eastAsia="en-GB"/>
        </w:rPr>
        <w:t> </w:t>
      </w:r>
    </w:p>
    <w:p w14:paraId="088A8A6F" w14:textId="747AF697" w:rsidR="008B107B" w:rsidRPr="008B107B" w:rsidRDefault="008B107B" w:rsidP="007C1713">
      <w:pPr>
        <w:spacing w:before="100" w:beforeAutospacing="1" w:after="100" w:afterAutospacing="1" w:line="240" w:lineRule="auto"/>
        <w:jc w:val="both"/>
        <w:rPr>
          <w:rFonts w:ascii="Helvetica" w:eastAsia="Times New Roman" w:hAnsi="Helvetica" w:cs="Helvetica"/>
          <w:color w:val="3C4242"/>
          <w:spacing w:val="5"/>
          <w:sz w:val="24"/>
          <w:szCs w:val="24"/>
          <w:lang w:eastAsia="en-GB"/>
        </w:rPr>
      </w:pPr>
    </w:p>
    <w:p w14:paraId="7F672A4C" w14:textId="45ED6AC3" w:rsidR="008B107B" w:rsidRPr="008B107B" w:rsidRDefault="008B107B" w:rsidP="008B107B">
      <w:pPr>
        <w:spacing w:before="100" w:beforeAutospacing="1" w:after="100" w:afterAutospacing="1" w:line="240" w:lineRule="auto"/>
        <w:rPr>
          <w:rFonts w:ascii="Helvetica" w:eastAsia="Times New Roman" w:hAnsi="Helvetica" w:cs="Helvetica"/>
          <w:color w:val="3C4242"/>
          <w:spacing w:val="5"/>
          <w:sz w:val="24"/>
          <w:szCs w:val="24"/>
          <w:lang w:eastAsia="en-GB"/>
        </w:rPr>
      </w:pPr>
    </w:p>
    <w:p w14:paraId="482EBA91" w14:textId="33CEAE0E" w:rsidR="00982228" w:rsidRPr="00982228" w:rsidRDefault="00982228" w:rsidP="00982228">
      <w:pPr>
        <w:spacing w:line="360" w:lineRule="auto"/>
        <w:rPr>
          <w:rFonts w:ascii="Arial" w:hAnsi="Arial" w:cs="Arial"/>
          <w:b/>
          <w:bCs/>
          <w:color w:val="FF00FF"/>
        </w:rPr>
      </w:pPr>
    </w:p>
    <w:p w14:paraId="64A18CCB" w14:textId="43B81DC0" w:rsidR="00982228" w:rsidRDefault="00982228" w:rsidP="00982228">
      <w:pPr>
        <w:spacing w:line="360" w:lineRule="auto"/>
        <w:jc w:val="both"/>
        <w:rPr>
          <w:rFonts w:ascii="Arial" w:hAnsi="Arial" w:cs="Arial"/>
        </w:rPr>
      </w:pPr>
    </w:p>
    <w:p w14:paraId="762D3C76" w14:textId="77777777" w:rsidR="00982228" w:rsidRPr="00982228" w:rsidRDefault="00982228" w:rsidP="00982228">
      <w:pPr>
        <w:spacing w:line="360" w:lineRule="auto"/>
        <w:ind w:left="360"/>
        <w:jc w:val="both"/>
        <w:rPr>
          <w:rFonts w:ascii="Arial" w:hAnsi="Arial" w:cs="Arial"/>
        </w:rPr>
      </w:pPr>
    </w:p>
    <w:p w14:paraId="40AA7B4E" w14:textId="24A33CF0" w:rsidR="00E66108" w:rsidRPr="00E66108" w:rsidRDefault="00E66108" w:rsidP="00B171DF">
      <w:pPr>
        <w:spacing w:line="360" w:lineRule="auto"/>
        <w:jc w:val="both"/>
        <w:rPr>
          <w:rFonts w:ascii="Arial" w:hAnsi="Arial" w:cs="Arial"/>
        </w:rPr>
      </w:pPr>
    </w:p>
    <w:p w14:paraId="018EE7C0" w14:textId="674940AA" w:rsidR="0013667F" w:rsidRPr="0013667F" w:rsidRDefault="0013667F" w:rsidP="008D460E">
      <w:pPr>
        <w:spacing w:line="360" w:lineRule="auto"/>
        <w:jc w:val="both"/>
        <w:rPr>
          <w:rFonts w:ascii="Arial" w:hAnsi="Arial" w:cs="Arial"/>
        </w:rPr>
      </w:pPr>
    </w:p>
    <w:p w14:paraId="6C736DDC" w14:textId="77777777" w:rsidR="00340AD3" w:rsidRDefault="00340AD3"/>
    <w:p w14:paraId="7CBD00D1" w14:textId="77777777" w:rsidR="00340AD3" w:rsidRDefault="00340AD3"/>
    <w:p w14:paraId="075DB215" w14:textId="77777777" w:rsidR="00340AD3" w:rsidRDefault="00340AD3"/>
    <w:p w14:paraId="0C6DFB35" w14:textId="77777777" w:rsidR="00340AD3" w:rsidRDefault="00340AD3"/>
    <w:p w14:paraId="3EF69896" w14:textId="77777777" w:rsidR="00340AD3" w:rsidRDefault="00340AD3"/>
    <w:p w14:paraId="17D291DE" w14:textId="77777777" w:rsidR="00340AD3" w:rsidRDefault="00340AD3"/>
    <w:p w14:paraId="29AA239F" w14:textId="77777777" w:rsidR="00340AD3" w:rsidRDefault="00340AD3"/>
    <w:p w14:paraId="55EAD823" w14:textId="77777777" w:rsidR="00340AD3" w:rsidRDefault="00340AD3"/>
    <w:p w14:paraId="211A5280" w14:textId="77777777" w:rsidR="00340AD3" w:rsidRDefault="00340AD3"/>
    <w:p w14:paraId="7DFFF9CC" w14:textId="77777777" w:rsidR="00666F50" w:rsidRDefault="00666F50"/>
    <w:p w14:paraId="2200B2E2" w14:textId="77777777" w:rsidR="00666F50" w:rsidRDefault="00666F50"/>
    <w:p w14:paraId="6A3B7AE8" w14:textId="77777777" w:rsidR="00666F50" w:rsidRDefault="00666F50"/>
    <w:p w14:paraId="6900541B" w14:textId="77777777" w:rsidR="00666F50" w:rsidRDefault="00666F50"/>
    <w:p w14:paraId="51FC43E4" w14:textId="77777777" w:rsidR="00666F50" w:rsidRDefault="00666F50"/>
    <w:p w14:paraId="128DBBF0" w14:textId="77777777" w:rsidR="00666F50" w:rsidRDefault="00666F50"/>
    <w:p w14:paraId="708BE7BA" w14:textId="77777777" w:rsidR="00666F50" w:rsidRDefault="00666F50"/>
    <w:p w14:paraId="0775E2A7" w14:textId="77777777" w:rsidR="00666F50" w:rsidRDefault="00666F50"/>
    <w:p w14:paraId="135DFA85" w14:textId="77777777" w:rsidR="00666F50" w:rsidRDefault="00666F50"/>
    <w:p w14:paraId="6D3542A9" w14:textId="77777777" w:rsidR="00666F50" w:rsidRDefault="00666F50"/>
    <w:p w14:paraId="76A4DBA2" w14:textId="77777777" w:rsidR="00666F50" w:rsidRDefault="00666F50"/>
    <w:p w14:paraId="42794673" w14:textId="77777777" w:rsidR="00666F50" w:rsidRDefault="00666F50"/>
    <w:p w14:paraId="61DF2181" w14:textId="77777777" w:rsidR="00666F50" w:rsidRDefault="00666F50"/>
    <w:p w14:paraId="74730DEC" w14:textId="77777777" w:rsidR="00666F50" w:rsidRDefault="00666F50"/>
    <w:p w14:paraId="3BB5648D" w14:textId="77777777" w:rsidR="00666F50" w:rsidRDefault="00666F50"/>
    <w:p w14:paraId="44A8BD61" w14:textId="77777777" w:rsidR="00C50AE6" w:rsidRDefault="00C50AE6"/>
    <w:p w14:paraId="01EE41A2" w14:textId="77777777" w:rsidR="00C50AE6" w:rsidRDefault="00C50AE6"/>
    <w:p w14:paraId="40A47AC9" w14:textId="77777777" w:rsidR="00C50AE6" w:rsidRDefault="00C50AE6"/>
    <w:p w14:paraId="5D76A55E" w14:textId="77777777" w:rsidR="00CE54F1" w:rsidRDefault="00CE54F1"/>
    <w:p w14:paraId="0A87A367" w14:textId="77777777" w:rsidR="00CE54F1" w:rsidRDefault="00CE54F1"/>
    <w:p w14:paraId="25B6DE76" w14:textId="77777777" w:rsidR="00CE54F1" w:rsidRDefault="00CE54F1"/>
    <w:p w14:paraId="3AD8EABB" w14:textId="77777777" w:rsidR="00CE54F1" w:rsidRDefault="00CE54F1"/>
    <w:p w14:paraId="7B00E5A6" w14:textId="77777777" w:rsidR="00CE54F1" w:rsidRDefault="00CE54F1"/>
    <w:p w14:paraId="2C861564" w14:textId="77777777" w:rsidR="00CE54F1" w:rsidRDefault="00CE54F1"/>
    <w:p w14:paraId="336B01EA" w14:textId="77777777" w:rsidR="00CE54F1" w:rsidRDefault="00CE54F1"/>
    <w:p w14:paraId="360C61C3" w14:textId="77777777" w:rsidR="00CE54F1" w:rsidRDefault="00CE54F1"/>
    <w:p w14:paraId="2B9B8A6F" w14:textId="77777777" w:rsidR="00CE54F1" w:rsidRDefault="00CE54F1"/>
    <w:p w14:paraId="5C244F16" w14:textId="77777777" w:rsidR="00CE54F1" w:rsidRDefault="00CE54F1"/>
    <w:p w14:paraId="6DDBAF5C" w14:textId="77777777" w:rsidR="00CE54F1" w:rsidRDefault="00CE54F1"/>
    <w:p w14:paraId="6BB4D5CA" w14:textId="77777777" w:rsidR="00666F50" w:rsidRDefault="00666F50"/>
    <w:p w14:paraId="6230676E" w14:textId="14859F31" w:rsidR="00666F50" w:rsidRDefault="00666F50"/>
    <w:sdt>
      <w:sdtPr>
        <w:rPr>
          <w:rFonts w:asciiTheme="minorHAnsi" w:eastAsiaTheme="minorHAnsi" w:hAnsiTheme="minorHAnsi" w:cstheme="minorBidi"/>
          <w:color w:val="auto"/>
          <w:sz w:val="22"/>
          <w:szCs w:val="22"/>
          <w:lang w:val="en-GB"/>
        </w:rPr>
        <w:id w:val="-1987306054"/>
        <w:docPartObj>
          <w:docPartGallery w:val="Table of Contents"/>
          <w:docPartUnique/>
        </w:docPartObj>
      </w:sdtPr>
      <w:sdtEndPr>
        <w:rPr>
          <w:rFonts w:ascii="Arial" w:hAnsi="Arial" w:cs="Arial"/>
          <w:noProof/>
        </w:rPr>
      </w:sdtEndPr>
      <w:sdtContent>
        <w:p w14:paraId="07C596CB" w14:textId="70804EBC" w:rsidR="00427F5E" w:rsidRPr="00AA52F3" w:rsidRDefault="00CC0614" w:rsidP="00CC0614">
          <w:pPr>
            <w:pStyle w:val="TOCHeading"/>
            <w:spacing w:line="360" w:lineRule="auto"/>
            <w:jc w:val="center"/>
            <w:rPr>
              <w:rFonts w:ascii="Arial" w:hAnsi="Arial" w:cs="Arial"/>
              <w:color w:val="auto"/>
            </w:rPr>
          </w:pPr>
          <w:r w:rsidRPr="00AA52F3">
            <w:rPr>
              <w:rFonts w:ascii="Arial" w:hAnsi="Arial" w:cs="Arial"/>
              <w:color w:val="auto"/>
            </w:rPr>
            <w:t>CONTENTS</w:t>
          </w:r>
        </w:p>
        <w:p w14:paraId="68F938AB" w14:textId="5ACA520C" w:rsidR="00B610AE" w:rsidRDefault="00427F5E">
          <w:pPr>
            <w:pStyle w:val="TOC2"/>
            <w:tabs>
              <w:tab w:val="right" w:leader="dot" w:pos="9016"/>
            </w:tabs>
            <w:rPr>
              <w:rFonts w:eastAsiaTheme="minorEastAsia"/>
              <w:noProof/>
              <w:kern w:val="2"/>
              <w:lang w:eastAsia="en-GB"/>
              <w14:ligatures w14:val="standardContextual"/>
            </w:rPr>
          </w:pPr>
          <w:r w:rsidRPr="00B6084E">
            <w:rPr>
              <w:rFonts w:ascii="Arial" w:hAnsi="Arial" w:cs="Arial"/>
            </w:rPr>
            <w:fldChar w:fldCharType="begin"/>
          </w:r>
          <w:r w:rsidRPr="00B6084E">
            <w:rPr>
              <w:rFonts w:ascii="Arial" w:hAnsi="Arial" w:cs="Arial"/>
            </w:rPr>
            <w:instrText xml:space="preserve"> TOC \o "1-3" \h \z \u </w:instrText>
          </w:r>
          <w:r w:rsidRPr="00B6084E">
            <w:rPr>
              <w:rFonts w:ascii="Arial" w:hAnsi="Arial" w:cs="Arial"/>
            </w:rPr>
            <w:fldChar w:fldCharType="separate"/>
          </w:r>
          <w:hyperlink w:anchor="_Toc151055252" w:history="1">
            <w:r w:rsidR="00B610AE" w:rsidRPr="00FA1AC5">
              <w:rPr>
                <w:rStyle w:val="Hyperlink"/>
                <w:rFonts w:ascii="Arial" w:hAnsi="Arial" w:cs="Arial"/>
                <w:noProof/>
              </w:rPr>
              <w:t>1.0 Astra background history</w:t>
            </w:r>
            <w:r w:rsidR="00B610AE">
              <w:rPr>
                <w:noProof/>
                <w:webHidden/>
              </w:rPr>
              <w:tab/>
            </w:r>
            <w:r w:rsidR="00B610AE">
              <w:rPr>
                <w:noProof/>
                <w:webHidden/>
              </w:rPr>
              <w:fldChar w:fldCharType="begin"/>
            </w:r>
            <w:r w:rsidR="00B610AE">
              <w:rPr>
                <w:noProof/>
                <w:webHidden/>
              </w:rPr>
              <w:instrText xml:space="preserve"> PAGEREF _Toc151055252 \h </w:instrText>
            </w:r>
            <w:r w:rsidR="00B610AE">
              <w:rPr>
                <w:noProof/>
                <w:webHidden/>
              </w:rPr>
            </w:r>
            <w:r w:rsidR="00B610AE">
              <w:rPr>
                <w:noProof/>
                <w:webHidden/>
              </w:rPr>
              <w:fldChar w:fldCharType="separate"/>
            </w:r>
            <w:r w:rsidR="00C6133B">
              <w:rPr>
                <w:noProof/>
                <w:webHidden/>
              </w:rPr>
              <w:t>6</w:t>
            </w:r>
            <w:r w:rsidR="00B610AE">
              <w:rPr>
                <w:noProof/>
                <w:webHidden/>
              </w:rPr>
              <w:fldChar w:fldCharType="end"/>
            </w:r>
          </w:hyperlink>
        </w:p>
        <w:p w14:paraId="3BFFF46D" w14:textId="714CA7C0" w:rsidR="00B610AE" w:rsidRDefault="00B610AE">
          <w:pPr>
            <w:pStyle w:val="TOC2"/>
            <w:tabs>
              <w:tab w:val="right" w:leader="dot" w:pos="9016"/>
            </w:tabs>
            <w:rPr>
              <w:rFonts w:eastAsiaTheme="minorEastAsia"/>
              <w:noProof/>
              <w:kern w:val="2"/>
              <w:lang w:eastAsia="en-GB"/>
              <w14:ligatures w14:val="standardContextual"/>
            </w:rPr>
          </w:pPr>
          <w:hyperlink w:anchor="_Toc151055253" w:history="1">
            <w:r w:rsidRPr="00FA1AC5">
              <w:rPr>
                <w:rStyle w:val="Hyperlink"/>
                <w:rFonts w:ascii="Arial" w:hAnsi="Arial" w:cs="Arial"/>
                <w:noProof/>
              </w:rPr>
              <w:t>1.1 ZENECA background history</w:t>
            </w:r>
            <w:r>
              <w:rPr>
                <w:noProof/>
                <w:webHidden/>
              </w:rPr>
              <w:tab/>
            </w:r>
            <w:r>
              <w:rPr>
                <w:noProof/>
                <w:webHidden/>
              </w:rPr>
              <w:fldChar w:fldCharType="begin"/>
            </w:r>
            <w:r>
              <w:rPr>
                <w:noProof/>
                <w:webHidden/>
              </w:rPr>
              <w:instrText xml:space="preserve"> PAGEREF _Toc151055253 \h </w:instrText>
            </w:r>
            <w:r>
              <w:rPr>
                <w:noProof/>
                <w:webHidden/>
              </w:rPr>
            </w:r>
            <w:r>
              <w:rPr>
                <w:noProof/>
                <w:webHidden/>
              </w:rPr>
              <w:fldChar w:fldCharType="separate"/>
            </w:r>
            <w:r w:rsidR="00C6133B">
              <w:rPr>
                <w:noProof/>
                <w:webHidden/>
              </w:rPr>
              <w:t>6</w:t>
            </w:r>
            <w:r>
              <w:rPr>
                <w:noProof/>
                <w:webHidden/>
              </w:rPr>
              <w:fldChar w:fldCharType="end"/>
            </w:r>
          </w:hyperlink>
        </w:p>
        <w:p w14:paraId="6550E08C" w14:textId="4DEE823D" w:rsidR="00B610AE" w:rsidRDefault="00B610AE">
          <w:pPr>
            <w:pStyle w:val="TOC2"/>
            <w:tabs>
              <w:tab w:val="right" w:leader="dot" w:pos="9016"/>
            </w:tabs>
            <w:rPr>
              <w:rFonts w:eastAsiaTheme="minorEastAsia"/>
              <w:noProof/>
              <w:kern w:val="2"/>
              <w:lang w:eastAsia="en-GB"/>
              <w14:ligatures w14:val="standardContextual"/>
            </w:rPr>
          </w:pPr>
          <w:hyperlink w:anchor="_Toc151055254" w:history="1">
            <w:r w:rsidRPr="00FA1AC5">
              <w:rPr>
                <w:rStyle w:val="Hyperlink"/>
                <w:rFonts w:ascii="Arial" w:hAnsi="Arial" w:cs="Arial"/>
                <w:noProof/>
              </w:rPr>
              <w:t>1.2 AstraZeneca background history:</w:t>
            </w:r>
            <w:r>
              <w:rPr>
                <w:noProof/>
                <w:webHidden/>
              </w:rPr>
              <w:tab/>
            </w:r>
            <w:r>
              <w:rPr>
                <w:noProof/>
                <w:webHidden/>
              </w:rPr>
              <w:fldChar w:fldCharType="begin"/>
            </w:r>
            <w:r>
              <w:rPr>
                <w:noProof/>
                <w:webHidden/>
              </w:rPr>
              <w:instrText xml:space="preserve"> PAGEREF _Toc151055254 \h </w:instrText>
            </w:r>
            <w:r>
              <w:rPr>
                <w:noProof/>
                <w:webHidden/>
              </w:rPr>
            </w:r>
            <w:r>
              <w:rPr>
                <w:noProof/>
                <w:webHidden/>
              </w:rPr>
              <w:fldChar w:fldCharType="separate"/>
            </w:r>
            <w:r w:rsidR="00C6133B">
              <w:rPr>
                <w:noProof/>
                <w:webHidden/>
              </w:rPr>
              <w:t>7</w:t>
            </w:r>
            <w:r>
              <w:rPr>
                <w:noProof/>
                <w:webHidden/>
              </w:rPr>
              <w:fldChar w:fldCharType="end"/>
            </w:r>
          </w:hyperlink>
        </w:p>
        <w:p w14:paraId="6AC34ABA" w14:textId="79808F3B" w:rsidR="00B610AE" w:rsidRDefault="00B610AE">
          <w:pPr>
            <w:pStyle w:val="TOC2"/>
            <w:tabs>
              <w:tab w:val="right" w:leader="dot" w:pos="9016"/>
            </w:tabs>
            <w:rPr>
              <w:rFonts w:eastAsiaTheme="minorEastAsia"/>
              <w:noProof/>
              <w:kern w:val="2"/>
              <w:lang w:eastAsia="en-GB"/>
              <w14:ligatures w14:val="standardContextual"/>
            </w:rPr>
          </w:pPr>
          <w:hyperlink w:anchor="_Toc151055255" w:history="1">
            <w:r w:rsidRPr="00FA1AC5">
              <w:rPr>
                <w:rStyle w:val="Hyperlink"/>
                <w:rFonts w:ascii="Arial" w:hAnsi="Arial" w:cs="Arial"/>
                <w:noProof/>
              </w:rPr>
              <w:t>1.3 Internationalization journey:</w:t>
            </w:r>
            <w:r>
              <w:rPr>
                <w:noProof/>
                <w:webHidden/>
              </w:rPr>
              <w:tab/>
            </w:r>
            <w:r>
              <w:rPr>
                <w:noProof/>
                <w:webHidden/>
              </w:rPr>
              <w:fldChar w:fldCharType="begin"/>
            </w:r>
            <w:r>
              <w:rPr>
                <w:noProof/>
                <w:webHidden/>
              </w:rPr>
              <w:instrText xml:space="preserve"> PAGEREF _Toc151055255 \h </w:instrText>
            </w:r>
            <w:r>
              <w:rPr>
                <w:noProof/>
                <w:webHidden/>
              </w:rPr>
            </w:r>
            <w:r>
              <w:rPr>
                <w:noProof/>
                <w:webHidden/>
              </w:rPr>
              <w:fldChar w:fldCharType="separate"/>
            </w:r>
            <w:r w:rsidR="00C6133B">
              <w:rPr>
                <w:noProof/>
                <w:webHidden/>
              </w:rPr>
              <w:t>8</w:t>
            </w:r>
            <w:r>
              <w:rPr>
                <w:noProof/>
                <w:webHidden/>
              </w:rPr>
              <w:fldChar w:fldCharType="end"/>
            </w:r>
          </w:hyperlink>
        </w:p>
        <w:p w14:paraId="6116A2AD" w14:textId="2E3FDB08" w:rsidR="00B610AE" w:rsidRDefault="00B610AE">
          <w:pPr>
            <w:pStyle w:val="TOC2"/>
            <w:tabs>
              <w:tab w:val="right" w:leader="dot" w:pos="9016"/>
            </w:tabs>
            <w:rPr>
              <w:rFonts w:eastAsiaTheme="minorEastAsia"/>
              <w:noProof/>
              <w:kern w:val="2"/>
              <w:lang w:eastAsia="en-GB"/>
              <w14:ligatures w14:val="standardContextual"/>
            </w:rPr>
          </w:pPr>
          <w:hyperlink w:anchor="_Toc151055256" w:history="1">
            <w:r w:rsidRPr="00FA1AC5">
              <w:rPr>
                <w:rStyle w:val="Hyperlink"/>
                <w:rFonts w:ascii="Arial" w:hAnsi="Arial" w:cs="Arial"/>
                <w:noProof/>
              </w:rPr>
              <w:t>1.4 Home country operations:</w:t>
            </w:r>
            <w:r>
              <w:rPr>
                <w:noProof/>
                <w:webHidden/>
              </w:rPr>
              <w:tab/>
            </w:r>
            <w:r>
              <w:rPr>
                <w:noProof/>
                <w:webHidden/>
              </w:rPr>
              <w:fldChar w:fldCharType="begin"/>
            </w:r>
            <w:r>
              <w:rPr>
                <w:noProof/>
                <w:webHidden/>
              </w:rPr>
              <w:instrText xml:space="preserve"> PAGEREF _Toc151055256 \h </w:instrText>
            </w:r>
            <w:r>
              <w:rPr>
                <w:noProof/>
                <w:webHidden/>
              </w:rPr>
            </w:r>
            <w:r>
              <w:rPr>
                <w:noProof/>
                <w:webHidden/>
              </w:rPr>
              <w:fldChar w:fldCharType="separate"/>
            </w:r>
            <w:r w:rsidR="00C6133B">
              <w:rPr>
                <w:noProof/>
                <w:webHidden/>
              </w:rPr>
              <w:t>8</w:t>
            </w:r>
            <w:r>
              <w:rPr>
                <w:noProof/>
                <w:webHidden/>
              </w:rPr>
              <w:fldChar w:fldCharType="end"/>
            </w:r>
          </w:hyperlink>
        </w:p>
        <w:p w14:paraId="3C6BB046" w14:textId="5E8A63CF" w:rsidR="00B610AE" w:rsidRDefault="00B610AE">
          <w:pPr>
            <w:pStyle w:val="TOC3"/>
            <w:tabs>
              <w:tab w:val="right" w:leader="dot" w:pos="9016"/>
            </w:tabs>
            <w:rPr>
              <w:rFonts w:eastAsiaTheme="minorEastAsia"/>
              <w:noProof/>
              <w:kern w:val="2"/>
              <w:lang w:eastAsia="en-GB"/>
              <w14:ligatures w14:val="standardContextual"/>
            </w:rPr>
          </w:pPr>
          <w:hyperlink w:anchor="_Toc151055257" w:history="1">
            <w:r w:rsidRPr="00FA1AC5">
              <w:rPr>
                <w:rStyle w:val="Hyperlink"/>
                <w:rFonts w:ascii="Arial" w:hAnsi="Arial" w:cs="Arial"/>
                <w:noProof/>
              </w:rPr>
              <w:t>1.4 Host country operations:</w:t>
            </w:r>
            <w:r>
              <w:rPr>
                <w:noProof/>
                <w:webHidden/>
              </w:rPr>
              <w:tab/>
            </w:r>
            <w:r>
              <w:rPr>
                <w:noProof/>
                <w:webHidden/>
              </w:rPr>
              <w:fldChar w:fldCharType="begin"/>
            </w:r>
            <w:r>
              <w:rPr>
                <w:noProof/>
                <w:webHidden/>
              </w:rPr>
              <w:instrText xml:space="preserve"> PAGEREF _Toc151055257 \h </w:instrText>
            </w:r>
            <w:r>
              <w:rPr>
                <w:noProof/>
                <w:webHidden/>
              </w:rPr>
            </w:r>
            <w:r>
              <w:rPr>
                <w:noProof/>
                <w:webHidden/>
              </w:rPr>
              <w:fldChar w:fldCharType="separate"/>
            </w:r>
            <w:r w:rsidR="00C6133B">
              <w:rPr>
                <w:noProof/>
                <w:webHidden/>
              </w:rPr>
              <w:t>9</w:t>
            </w:r>
            <w:r>
              <w:rPr>
                <w:noProof/>
                <w:webHidden/>
              </w:rPr>
              <w:fldChar w:fldCharType="end"/>
            </w:r>
          </w:hyperlink>
        </w:p>
        <w:p w14:paraId="0A5636B7" w14:textId="406F6873" w:rsidR="00B610AE" w:rsidRDefault="00B610AE">
          <w:pPr>
            <w:pStyle w:val="TOC1"/>
            <w:tabs>
              <w:tab w:val="right" w:leader="dot" w:pos="9016"/>
            </w:tabs>
            <w:rPr>
              <w:rFonts w:eastAsiaTheme="minorEastAsia"/>
              <w:noProof/>
              <w:kern w:val="2"/>
              <w:lang w:eastAsia="en-GB"/>
              <w14:ligatures w14:val="standardContextual"/>
            </w:rPr>
          </w:pPr>
          <w:hyperlink w:anchor="_Toc151055258" w:history="1">
            <w:r w:rsidRPr="00FA1AC5">
              <w:rPr>
                <w:rStyle w:val="Hyperlink"/>
                <w:rFonts w:ascii="Arial" w:hAnsi="Arial" w:cs="Arial"/>
                <w:noProof/>
              </w:rPr>
              <w:t>2.0 Internationalization strategies</w:t>
            </w:r>
            <w:r>
              <w:rPr>
                <w:noProof/>
                <w:webHidden/>
              </w:rPr>
              <w:tab/>
            </w:r>
            <w:r>
              <w:rPr>
                <w:noProof/>
                <w:webHidden/>
              </w:rPr>
              <w:fldChar w:fldCharType="begin"/>
            </w:r>
            <w:r>
              <w:rPr>
                <w:noProof/>
                <w:webHidden/>
              </w:rPr>
              <w:instrText xml:space="preserve"> PAGEREF _Toc151055258 \h </w:instrText>
            </w:r>
            <w:r>
              <w:rPr>
                <w:noProof/>
                <w:webHidden/>
              </w:rPr>
            </w:r>
            <w:r>
              <w:rPr>
                <w:noProof/>
                <w:webHidden/>
              </w:rPr>
              <w:fldChar w:fldCharType="separate"/>
            </w:r>
            <w:r w:rsidR="00C6133B">
              <w:rPr>
                <w:noProof/>
                <w:webHidden/>
              </w:rPr>
              <w:t>9</w:t>
            </w:r>
            <w:r>
              <w:rPr>
                <w:noProof/>
                <w:webHidden/>
              </w:rPr>
              <w:fldChar w:fldCharType="end"/>
            </w:r>
          </w:hyperlink>
        </w:p>
        <w:p w14:paraId="287DB052" w14:textId="5D25B469" w:rsidR="00B610AE" w:rsidRDefault="00B610AE">
          <w:pPr>
            <w:pStyle w:val="TOC2"/>
            <w:tabs>
              <w:tab w:val="right" w:leader="dot" w:pos="9016"/>
            </w:tabs>
            <w:rPr>
              <w:rFonts w:eastAsiaTheme="minorEastAsia"/>
              <w:noProof/>
              <w:kern w:val="2"/>
              <w:lang w:eastAsia="en-GB"/>
              <w14:ligatures w14:val="standardContextual"/>
            </w:rPr>
          </w:pPr>
          <w:hyperlink w:anchor="_Toc151055259" w:history="1">
            <w:r w:rsidRPr="00FA1AC5">
              <w:rPr>
                <w:rStyle w:val="Hyperlink"/>
                <w:rFonts w:ascii="Arial" w:hAnsi="Arial" w:cs="Arial"/>
                <w:noProof/>
              </w:rPr>
              <w:t>2.1.1 Global:</w:t>
            </w:r>
            <w:r>
              <w:rPr>
                <w:noProof/>
                <w:webHidden/>
              </w:rPr>
              <w:tab/>
            </w:r>
            <w:r>
              <w:rPr>
                <w:noProof/>
                <w:webHidden/>
              </w:rPr>
              <w:fldChar w:fldCharType="begin"/>
            </w:r>
            <w:r>
              <w:rPr>
                <w:noProof/>
                <w:webHidden/>
              </w:rPr>
              <w:instrText xml:space="preserve"> PAGEREF _Toc151055259 \h </w:instrText>
            </w:r>
            <w:r>
              <w:rPr>
                <w:noProof/>
                <w:webHidden/>
              </w:rPr>
            </w:r>
            <w:r>
              <w:rPr>
                <w:noProof/>
                <w:webHidden/>
              </w:rPr>
              <w:fldChar w:fldCharType="separate"/>
            </w:r>
            <w:r w:rsidR="00C6133B">
              <w:rPr>
                <w:noProof/>
                <w:webHidden/>
              </w:rPr>
              <w:t>9</w:t>
            </w:r>
            <w:r>
              <w:rPr>
                <w:noProof/>
                <w:webHidden/>
              </w:rPr>
              <w:fldChar w:fldCharType="end"/>
            </w:r>
          </w:hyperlink>
        </w:p>
        <w:p w14:paraId="78E20936" w14:textId="7AFC9E81" w:rsidR="00B610AE" w:rsidRDefault="00B610AE">
          <w:pPr>
            <w:pStyle w:val="TOC3"/>
            <w:tabs>
              <w:tab w:val="right" w:leader="dot" w:pos="9016"/>
            </w:tabs>
            <w:rPr>
              <w:rFonts w:eastAsiaTheme="minorEastAsia"/>
              <w:noProof/>
              <w:kern w:val="2"/>
              <w:lang w:eastAsia="en-GB"/>
              <w14:ligatures w14:val="standardContextual"/>
            </w:rPr>
          </w:pPr>
          <w:hyperlink w:anchor="_Toc151055260" w:history="1">
            <w:r w:rsidRPr="00FA1AC5">
              <w:rPr>
                <w:rStyle w:val="Hyperlink"/>
                <w:rFonts w:ascii="Arial" w:hAnsi="Arial" w:cs="Arial"/>
                <w:noProof/>
              </w:rPr>
              <w:t>2.1.2 Transnational:</w:t>
            </w:r>
            <w:r>
              <w:rPr>
                <w:noProof/>
                <w:webHidden/>
              </w:rPr>
              <w:tab/>
            </w:r>
            <w:r>
              <w:rPr>
                <w:noProof/>
                <w:webHidden/>
              </w:rPr>
              <w:fldChar w:fldCharType="begin"/>
            </w:r>
            <w:r>
              <w:rPr>
                <w:noProof/>
                <w:webHidden/>
              </w:rPr>
              <w:instrText xml:space="preserve"> PAGEREF _Toc151055260 \h </w:instrText>
            </w:r>
            <w:r>
              <w:rPr>
                <w:noProof/>
                <w:webHidden/>
              </w:rPr>
            </w:r>
            <w:r>
              <w:rPr>
                <w:noProof/>
                <w:webHidden/>
              </w:rPr>
              <w:fldChar w:fldCharType="separate"/>
            </w:r>
            <w:r w:rsidR="00C6133B">
              <w:rPr>
                <w:noProof/>
                <w:webHidden/>
              </w:rPr>
              <w:t>10</w:t>
            </w:r>
            <w:r>
              <w:rPr>
                <w:noProof/>
                <w:webHidden/>
              </w:rPr>
              <w:fldChar w:fldCharType="end"/>
            </w:r>
          </w:hyperlink>
        </w:p>
        <w:p w14:paraId="12884B24" w14:textId="3392E222" w:rsidR="00B610AE" w:rsidRDefault="00B610AE">
          <w:pPr>
            <w:pStyle w:val="TOC1"/>
            <w:tabs>
              <w:tab w:val="right" w:leader="dot" w:pos="9016"/>
            </w:tabs>
            <w:rPr>
              <w:rFonts w:eastAsiaTheme="minorEastAsia"/>
              <w:noProof/>
              <w:kern w:val="2"/>
              <w:lang w:eastAsia="en-GB"/>
              <w14:ligatures w14:val="standardContextual"/>
            </w:rPr>
          </w:pPr>
          <w:hyperlink w:anchor="_Toc151055261" w:history="1">
            <w:r w:rsidRPr="00FA1AC5">
              <w:rPr>
                <w:rStyle w:val="Hyperlink"/>
                <w:rFonts w:ascii="Arial" w:hAnsi="Arial" w:cs="Arial"/>
                <w:noProof/>
              </w:rPr>
              <w:t>2.1.3 International:</w:t>
            </w:r>
            <w:r>
              <w:rPr>
                <w:noProof/>
                <w:webHidden/>
              </w:rPr>
              <w:tab/>
            </w:r>
            <w:r>
              <w:rPr>
                <w:noProof/>
                <w:webHidden/>
              </w:rPr>
              <w:fldChar w:fldCharType="begin"/>
            </w:r>
            <w:r>
              <w:rPr>
                <w:noProof/>
                <w:webHidden/>
              </w:rPr>
              <w:instrText xml:space="preserve"> PAGEREF _Toc151055261 \h </w:instrText>
            </w:r>
            <w:r>
              <w:rPr>
                <w:noProof/>
                <w:webHidden/>
              </w:rPr>
            </w:r>
            <w:r>
              <w:rPr>
                <w:noProof/>
                <w:webHidden/>
              </w:rPr>
              <w:fldChar w:fldCharType="separate"/>
            </w:r>
            <w:r w:rsidR="00C6133B">
              <w:rPr>
                <w:noProof/>
                <w:webHidden/>
              </w:rPr>
              <w:t>10</w:t>
            </w:r>
            <w:r>
              <w:rPr>
                <w:noProof/>
                <w:webHidden/>
              </w:rPr>
              <w:fldChar w:fldCharType="end"/>
            </w:r>
          </w:hyperlink>
        </w:p>
        <w:p w14:paraId="11B7548F" w14:textId="26793392" w:rsidR="00B610AE" w:rsidRDefault="00B610AE">
          <w:pPr>
            <w:pStyle w:val="TOC2"/>
            <w:tabs>
              <w:tab w:val="right" w:leader="dot" w:pos="9016"/>
            </w:tabs>
            <w:rPr>
              <w:rFonts w:eastAsiaTheme="minorEastAsia"/>
              <w:noProof/>
              <w:kern w:val="2"/>
              <w:lang w:eastAsia="en-GB"/>
              <w14:ligatures w14:val="standardContextual"/>
            </w:rPr>
          </w:pPr>
          <w:hyperlink w:anchor="_Toc151055262" w:history="1">
            <w:r w:rsidRPr="00FA1AC5">
              <w:rPr>
                <w:rStyle w:val="Hyperlink"/>
                <w:rFonts w:ascii="Arial" w:hAnsi="Arial" w:cs="Arial"/>
                <w:noProof/>
              </w:rPr>
              <w:t>2.1.4 Multidomestic:</w:t>
            </w:r>
            <w:r>
              <w:rPr>
                <w:noProof/>
                <w:webHidden/>
              </w:rPr>
              <w:tab/>
            </w:r>
            <w:r>
              <w:rPr>
                <w:noProof/>
                <w:webHidden/>
              </w:rPr>
              <w:fldChar w:fldCharType="begin"/>
            </w:r>
            <w:r>
              <w:rPr>
                <w:noProof/>
                <w:webHidden/>
              </w:rPr>
              <w:instrText xml:space="preserve"> PAGEREF _Toc151055262 \h </w:instrText>
            </w:r>
            <w:r>
              <w:rPr>
                <w:noProof/>
                <w:webHidden/>
              </w:rPr>
            </w:r>
            <w:r>
              <w:rPr>
                <w:noProof/>
                <w:webHidden/>
              </w:rPr>
              <w:fldChar w:fldCharType="separate"/>
            </w:r>
            <w:r w:rsidR="00C6133B">
              <w:rPr>
                <w:noProof/>
                <w:webHidden/>
              </w:rPr>
              <w:t>10</w:t>
            </w:r>
            <w:r>
              <w:rPr>
                <w:noProof/>
                <w:webHidden/>
              </w:rPr>
              <w:fldChar w:fldCharType="end"/>
            </w:r>
          </w:hyperlink>
        </w:p>
        <w:p w14:paraId="4133B96E" w14:textId="597A9A74" w:rsidR="00B610AE" w:rsidRDefault="00B610AE">
          <w:pPr>
            <w:pStyle w:val="TOC3"/>
            <w:tabs>
              <w:tab w:val="right" w:leader="dot" w:pos="9016"/>
            </w:tabs>
            <w:rPr>
              <w:rFonts w:eastAsiaTheme="minorEastAsia"/>
              <w:noProof/>
              <w:kern w:val="2"/>
              <w:lang w:eastAsia="en-GB"/>
              <w14:ligatures w14:val="standardContextual"/>
            </w:rPr>
          </w:pPr>
          <w:hyperlink w:anchor="_Toc151055263" w:history="1">
            <w:r w:rsidRPr="00FA1AC5">
              <w:rPr>
                <w:rStyle w:val="Hyperlink"/>
                <w:rFonts w:ascii="Arial" w:hAnsi="Arial" w:cs="Arial"/>
                <w:noProof/>
              </w:rPr>
              <w:t>3.0 Porter’s Value Chain:</w:t>
            </w:r>
            <w:r>
              <w:rPr>
                <w:noProof/>
                <w:webHidden/>
              </w:rPr>
              <w:tab/>
            </w:r>
            <w:r>
              <w:rPr>
                <w:noProof/>
                <w:webHidden/>
              </w:rPr>
              <w:fldChar w:fldCharType="begin"/>
            </w:r>
            <w:r>
              <w:rPr>
                <w:noProof/>
                <w:webHidden/>
              </w:rPr>
              <w:instrText xml:space="preserve"> PAGEREF _Toc151055263 \h </w:instrText>
            </w:r>
            <w:r>
              <w:rPr>
                <w:noProof/>
                <w:webHidden/>
              </w:rPr>
            </w:r>
            <w:r>
              <w:rPr>
                <w:noProof/>
                <w:webHidden/>
              </w:rPr>
              <w:fldChar w:fldCharType="separate"/>
            </w:r>
            <w:r w:rsidR="00C6133B">
              <w:rPr>
                <w:noProof/>
                <w:webHidden/>
              </w:rPr>
              <w:t>10</w:t>
            </w:r>
            <w:r>
              <w:rPr>
                <w:noProof/>
                <w:webHidden/>
              </w:rPr>
              <w:fldChar w:fldCharType="end"/>
            </w:r>
          </w:hyperlink>
        </w:p>
        <w:p w14:paraId="785D95BD" w14:textId="2090BD91" w:rsidR="00B610AE" w:rsidRDefault="00B610AE">
          <w:pPr>
            <w:pStyle w:val="TOC3"/>
            <w:tabs>
              <w:tab w:val="right" w:leader="dot" w:pos="9016"/>
            </w:tabs>
            <w:rPr>
              <w:rFonts w:eastAsiaTheme="minorEastAsia"/>
              <w:noProof/>
              <w:kern w:val="2"/>
              <w:lang w:eastAsia="en-GB"/>
              <w14:ligatures w14:val="standardContextual"/>
            </w:rPr>
          </w:pPr>
          <w:hyperlink w:anchor="_Toc151055264" w:history="1">
            <w:r w:rsidRPr="00FA1AC5">
              <w:rPr>
                <w:rStyle w:val="Hyperlink"/>
                <w:rFonts w:ascii="Arial" w:hAnsi="Arial" w:cs="Arial"/>
                <w:noProof/>
              </w:rPr>
              <w:t>3.1.1 Firm Infrastructure:</w:t>
            </w:r>
            <w:r>
              <w:rPr>
                <w:noProof/>
                <w:webHidden/>
              </w:rPr>
              <w:tab/>
            </w:r>
            <w:r>
              <w:rPr>
                <w:noProof/>
                <w:webHidden/>
              </w:rPr>
              <w:fldChar w:fldCharType="begin"/>
            </w:r>
            <w:r>
              <w:rPr>
                <w:noProof/>
                <w:webHidden/>
              </w:rPr>
              <w:instrText xml:space="preserve"> PAGEREF _Toc151055264 \h </w:instrText>
            </w:r>
            <w:r>
              <w:rPr>
                <w:noProof/>
                <w:webHidden/>
              </w:rPr>
            </w:r>
            <w:r>
              <w:rPr>
                <w:noProof/>
                <w:webHidden/>
              </w:rPr>
              <w:fldChar w:fldCharType="separate"/>
            </w:r>
            <w:r w:rsidR="00C6133B">
              <w:rPr>
                <w:noProof/>
                <w:webHidden/>
              </w:rPr>
              <w:t>10</w:t>
            </w:r>
            <w:r>
              <w:rPr>
                <w:noProof/>
                <w:webHidden/>
              </w:rPr>
              <w:fldChar w:fldCharType="end"/>
            </w:r>
          </w:hyperlink>
        </w:p>
        <w:p w14:paraId="39465943" w14:textId="0809ABD0" w:rsidR="00B610AE" w:rsidRDefault="00B610AE">
          <w:pPr>
            <w:pStyle w:val="TOC1"/>
            <w:tabs>
              <w:tab w:val="right" w:leader="dot" w:pos="9016"/>
            </w:tabs>
            <w:rPr>
              <w:rFonts w:eastAsiaTheme="minorEastAsia"/>
              <w:noProof/>
              <w:kern w:val="2"/>
              <w:lang w:eastAsia="en-GB"/>
              <w14:ligatures w14:val="standardContextual"/>
            </w:rPr>
          </w:pPr>
          <w:hyperlink w:anchor="_Toc151055265" w:history="1">
            <w:r w:rsidRPr="00FA1AC5">
              <w:rPr>
                <w:rStyle w:val="Hyperlink"/>
                <w:rFonts w:ascii="Arial" w:hAnsi="Arial" w:cs="Arial"/>
                <w:noProof/>
              </w:rPr>
              <w:t>3.1.2 Human Resource Management:</w:t>
            </w:r>
            <w:r>
              <w:rPr>
                <w:noProof/>
                <w:webHidden/>
              </w:rPr>
              <w:tab/>
            </w:r>
            <w:r>
              <w:rPr>
                <w:noProof/>
                <w:webHidden/>
              </w:rPr>
              <w:fldChar w:fldCharType="begin"/>
            </w:r>
            <w:r>
              <w:rPr>
                <w:noProof/>
                <w:webHidden/>
              </w:rPr>
              <w:instrText xml:space="preserve"> PAGEREF _Toc151055265 \h </w:instrText>
            </w:r>
            <w:r>
              <w:rPr>
                <w:noProof/>
                <w:webHidden/>
              </w:rPr>
            </w:r>
            <w:r>
              <w:rPr>
                <w:noProof/>
                <w:webHidden/>
              </w:rPr>
              <w:fldChar w:fldCharType="separate"/>
            </w:r>
            <w:r w:rsidR="00C6133B">
              <w:rPr>
                <w:noProof/>
                <w:webHidden/>
              </w:rPr>
              <w:t>11</w:t>
            </w:r>
            <w:r>
              <w:rPr>
                <w:noProof/>
                <w:webHidden/>
              </w:rPr>
              <w:fldChar w:fldCharType="end"/>
            </w:r>
          </w:hyperlink>
        </w:p>
        <w:p w14:paraId="5ADB44DE" w14:textId="02BB30A8" w:rsidR="00B610AE" w:rsidRDefault="00B610AE">
          <w:pPr>
            <w:pStyle w:val="TOC2"/>
            <w:tabs>
              <w:tab w:val="right" w:leader="dot" w:pos="9016"/>
            </w:tabs>
            <w:rPr>
              <w:rFonts w:eastAsiaTheme="minorEastAsia"/>
              <w:noProof/>
              <w:kern w:val="2"/>
              <w:lang w:eastAsia="en-GB"/>
              <w14:ligatures w14:val="standardContextual"/>
            </w:rPr>
          </w:pPr>
          <w:hyperlink w:anchor="_Toc151055266" w:history="1">
            <w:r w:rsidRPr="00FA1AC5">
              <w:rPr>
                <w:rStyle w:val="Hyperlink"/>
                <w:rFonts w:ascii="Arial" w:hAnsi="Arial" w:cs="Arial"/>
                <w:noProof/>
              </w:rPr>
              <w:t>3.1.3 Technology:</w:t>
            </w:r>
            <w:r>
              <w:rPr>
                <w:noProof/>
                <w:webHidden/>
              </w:rPr>
              <w:tab/>
            </w:r>
            <w:r>
              <w:rPr>
                <w:noProof/>
                <w:webHidden/>
              </w:rPr>
              <w:fldChar w:fldCharType="begin"/>
            </w:r>
            <w:r>
              <w:rPr>
                <w:noProof/>
                <w:webHidden/>
              </w:rPr>
              <w:instrText xml:space="preserve"> PAGEREF _Toc151055266 \h </w:instrText>
            </w:r>
            <w:r>
              <w:rPr>
                <w:noProof/>
                <w:webHidden/>
              </w:rPr>
            </w:r>
            <w:r>
              <w:rPr>
                <w:noProof/>
                <w:webHidden/>
              </w:rPr>
              <w:fldChar w:fldCharType="separate"/>
            </w:r>
            <w:r w:rsidR="00C6133B">
              <w:rPr>
                <w:noProof/>
                <w:webHidden/>
              </w:rPr>
              <w:t>11</w:t>
            </w:r>
            <w:r>
              <w:rPr>
                <w:noProof/>
                <w:webHidden/>
              </w:rPr>
              <w:fldChar w:fldCharType="end"/>
            </w:r>
          </w:hyperlink>
        </w:p>
        <w:p w14:paraId="28EDD736" w14:textId="3ED059CC" w:rsidR="00B610AE" w:rsidRDefault="00B610AE">
          <w:pPr>
            <w:pStyle w:val="TOC3"/>
            <w:tabs>
              <w:tab w:val="right" w:leader="dot" w:pos="9016"/>
            </w:tabs>
            <w:rPr>
              <w:rFonts w:eastAsiaTheme="minorEastAsia"/>
              <w:noProof/>
              <w:kern w:val="2"/>
              <w:lang w:eastAsia="en-GB"/>
              <w14:ligatures w14:val="standardContextual"/>
            </w:rPr>
          </w:pPr>
          <w:hyperlink w:anchor="_Toc151055267" w:history="1">
            <w:r w:rsidRPr="00FA1AC5">
              <w:rPr>
                <w:rStyle w:val="Hyperlink"/>
                <w:rFonts w:ascii="Arial" w:hAnsi="Arial" w:cs="Arial"/>
                <w:noProof/>
              </w:rPr>
              <w:t>3.1.4 Procurement:</w:t>
            </w:r>
            <w:r>
              <w:rPr>
                <w:noProof/>
                <w:webHidden/>
              </w:rPr>
              <w:tab/>
            </w:r>
            <w:r>
              <w:rPr>
                <w:noProof/>
                <w:webHidden/>
              </w:rPr>
              <w:fldChar w:fldCharType="begin"/>
            </w:r>
            <w:r>
              <w:rPr>
                <w:noProof/>
                <w:webHidden/>
              </w:rPr>
              <w:instrText xml:space="preserve"> PAGEREF _Toc151055267 \h </w:instrText>
            </w:r>
            <w:r>
              <w:rPr>
                <w:noProof/>
                <w:webHidden/>
              </w:rPr>
            </w:r>
            <w:r>
              <w:rPr>
                <w:noProof/>
                <w:webHidden/>
              </w:rPr>
              <w:fldChar w:fldCharType="separate"/>
            </w:r>
            <w:r w:rsidR="00C6133B">
              <w:rPr>
                <w:noProof/>
                <w:webHidden/>
              </w:rPr>
              <w:t>11</w:t>
            </w:r>
            <w:r>
              <w:rPr>
                <w:noProof/>
                <w:webHidden/>
              </w:rPr>
              <w:fldChar w:fldCharType="end"/>
            </w:r>
          </w:hyperlink>
        </w:p>
        <w:p w14:paraId="4765EEEF" w14:textId="76325B4D" w:rsidR="00B610AE" w:rsidRDefault="00B610AE">
          <w:pPr>
            <w:pStyle w:val="TOC1"/>
            <w:tabs>
              <w:tab w:val="right" w:leader="dot" w:pos="9016"/>
            </w:tabs>
            <w:rPr>
              <w:rFonts w:eastAsiaTheme="minorEastAsia"/>
              <w:noProof/>
              <w:kern w:val="2"/>
              <w:lang w:eastAsia="en-GB"/>
              <w14:ligatures w14:val="standardContextual"/>
            </w:rPr>
          </w:pPr>
          <w:hyperlink w:anchor="_Toc151055268" w:history="1">
            <w:r w:rsidRPr="00FA1AC5">
              <w:rPr>
                <w:rStyle w:val="Hyperlink"/>
                <w:rFonts w:ascii="Arial" w:hAnsi="Arial" w:cs="Arial"/>
                <w:noProof/>
              </w:rPr>
              <w:t>3.1.5 Inbound Logistics:</w:t>
            </w:r>
            <w:r>
              <w:rPr>
                <w:noProof/>
                <w:webHidden/>
              </w:rPr>
              <w:tab/>
            </w:r>
            <w:r>
              <w:rPr>
                <w:noProof/>
                <w:webHidden/>
              </w:rPr>
              <w:fldChar w:fldCharType="begin"/>
            </w:r>
            <w:r>
              <w:rPr>
                <w:noProof/>
                <w:webHidden/>
              </w:rPr>
              <w:instrText xml:space="preserve"> PAGEREF _Toc151055268 \h </w:instrText>
            </w:r>
            <w:r>
              <w:rPr>
                <w:noProof/>
                <w:webHidden/>
              </w:rPr>
            </w:r>
            <w:r>
              <w:rPr>
                <w:noProof/>
                <w:webHidden/>
              </w:rPr>
              <w:fldChar w:fldCharType="separate"/>
            </w:r>
            <w:r w:rsidR="00C6133B">
              <w:rPr>
                <w:noProof/>
                <w:webHidden/>
              </w:rPr>
              <w:t>11</w:t>
            </w:r>
            <w:r>
              <w:rPr>
                <w:noProof/>
                <w:webHidden/>
              </w:rPr>
              <w:fldChar w:fldCharType="end"/>
            </w:r>
          </w:hyperlink>
        </w:p>
        <w:p w14:paraId="2C8C2922" w14:textId="740A6982" w:rsidR="00B610AE" w:rsidRDefault="00B610AE">
          <w:pPr>
            <w:pStyle w:val="TOC1"/>
            <w:tabs>
              <w:tab w:val="right" w:leader="dot" w:pos="9016"/>
            </w:tabs>
            <w:rPr>
              <w:rFonts w:eastAsiaTheme="minorEastAsia"/>
              <w:noProof/>
              <w:kern w:val="2"/>
              <w:lang w:eastAsia="en-GB"/>
              <w14:ligatures w14:val="standardContextual"/>
            </w:rPr>
          </w:pPr>
          <w:hyperlink w:anchor="_Toc151055269" w:history="1">
            <w:r w:rsidRPr="00FA1AC5">
              <w:rPr>
                <w:rStyle w:val="Hyperlink"/>
                <w:rFonts w:ascii="Arial" w:hAnsi="Arial" w:cs="Arial"/>
                <w:noProof/>
              </w:rPr>
              <w:t>3.1.6 Production/Operations:</w:t>
            </w:r>
            <w:r>
              <w:rPr>
                <w:noProof/>
                <w:webHidden/>
              </w:rPr>
              <w:tab/>
            </w:r>
            <w:r>
              <w:rPr>
                <w:noProof/>
                <w:webHidden/>
              </w:rPr>
              <w:fldChar w:fldCharType="begin"/>
            </w:r>
            <w:r>
              <w:rPr>
                <w:noProof/>
                <w:webHidden/>
              </w:rPr>
              <w:instrText xml:space="preserve"> PAGEREF _Toc151055269 \h </w:instrText>
            </w:r>
            <w:r>
              <w:rPr>
                <w:noProof/>
                <w:webHidden/>
              </w:rPr>
            </w:r>
            <w:r>
              <w:rPr>
                <w:noProof/>
                <w:webHidden/>
              </w:rPr>
              <w:fldChar w:fldCharType="separate"/>
            </w:r>
            <w:r w:rsidR="00C6133B">
              <w:rPr>
                <w:noProof/>
                <w:webHidden/>
              </w:rPr>
              <w:t>12</w:t>
            </w:r>
            <w:r>
              <w:rPr>
                <w:noProof/>
                <w:webHidden/>
              </w:rPr>
              <w:fldChar w:fldCharType="end"/>
            </w:r>
          </w:hyperlink>
        </w:p>
        <w:p w14:paraId="1812BCD2" w14:textId="68342C6E" w:rsidR="00B610AE" w:rsidRDefault="00B610AE">
          <w:pPr>
            <w:pStyle w:val="TOC3"/>
            <w:tabs>
              <w:tab w:val="right" w:leader="dot" w:pos="9016"/>
            </w:tabs>
            <w:rPr>
              <w:rFonts w:eastAsiaTheme="minorEastAsia"/>
              <w:noProof/>
              <w:kern w:val="2"/>
              <w:lang w:eastAsia="en-GB"/>
              <w14:ligatures w14:val="standardContextual"/>
            </w:rPr>
          </w:pPr>
          <w:hyperlink w:anchor="_Toc151055270" w:history="1">
            <w:r w:rsidRPr="00FA1AC5">
              <w:rPr>
                <w:rStyle w:val="Hyperlink"/>
                <w:rFonts w:ascii="Arial" w:hAnsi="Arial" w:cs="Arial"/>
                <w:noProof/>
              </w:rPr>
              <w:t>3.1.7 Outbound Logistics:</w:t>
            </w:r>
            <w:r>
              <w:rPr>
                <w:noProof/>
                <w:webHidden/>
              </w:rPr>
              <w:tab/>
            </w:r>
            <w:r>
              <w:rPr>
                <w:noProof/>
                <w:webHidden/>
              </w:rPr>
              <w:fldChar w:fldCharType="begin"/>
            </w:r>
            <w:r>
              <w:rPr>
                <w:noProof/>
                <w:webHidden/>
              </w:rPr>
              <w:instrText xml:space="preserve"> PAGEREF _Toc151055270 \h </w:instrText>
            </w:r>
            <w:r>
              <w:rPr>
                <w:noProof/>
                <w:webHidden/>
              </w:rPr>
            </w:r>
            <w:r>
              <w:rPr>
                <w:noProof/>
                <w:webHidden/>
              </w:rPr>
              <w:fldChar w:fldCharType="separate"/>
            </w:r>
            <w:r w:rsidR="00C6133B">
              <w:rPr>
                <w:noProof/>
                <w:webHidden/>
              </w:rPr>
              <w:t>12</w:t>
            </w:r>
            <w:r>
              <w:rPr>
                <w:noProof/>
                <w:webHidden/>
              </w:rPr>
              <w:fldChar w:fldCharType="end"/>
            </w:r>
          </w:hyperlink>
        </w:p>
        <w:p w14:paraId="21E271FF" w14:textId="7D8CE179" w:rsidR="00B610AE" w:rsidRDefault="00B610AE">
          <w:pPr>
            <w:pStyle w:val="TOC1"/>
            <w:tabs>
              <w:tab w:val="right" w:leader="dot" w:pos="9016"/>
            </w:tabs>
            <w:rPr>
              <w:rFonts w:eastAsiaTheme="minorEastAsia"/>
              <w:noProof/>
              <w:kern w:val="2"/>
              <w:lang w:eastAsia="en-GB"/>
              <w14:ligatures w14:val="standardContextual"/>
            </w:rPr>
          </w:pPr>
          <w:hyperlink w:anchor="_Toc151055271" w:history="1">
            <w:r w:rsidRPr="00FA1AC5">
              <w:rPr>
                <w:rStyle w:val="Hyperlink"/>
                <w:rFonts w:ascii="Arial" w:hAnsi="Arial" w:cs="Arial"/>
                <w:noProof/>
                <w:lang w:val="en-US"/>
              </w:rPr>
              <w:t>3.1.8 Marketing And Sales</w:t>
            </w:r>
            <w:r>
              <w:rPr>
                <w:noProof/>
                <w:webHidden/>
              </w:rPr>
              <w:tab/>
            </w:r>
            <w:r>
              <w:rPr>
                <w:noProof/>
                <w:webHidden/>
              </w:rPr>
              <w:fldChar w:fldCharType="begin"/>
            </w:r>
            <w:r>
              <w:rPr>
                <w:noProof/>
                <w:webHidden/>
              </w:rPr>
              <w:instrText xml:space="preserve"> PAGEREF _Toc151055271 \h </w:instrText>
            </w:r>
            <w:r>
              <w:rPr>
                <w:noProof/>
                <w:webHidden/>
              </w:rPr>
            </w:r>
            <w:r>
              <w:rPr>
                <w:noProof/>
                <w:webHidden/>
              </w:rPr>
              <w:fldChar w:fldCharType="separate"/>
            </w:r>
            <w:r w:rsidR="00C6133B">
              <w:rPr>
                <w:noProof/>
                <w:webHidden/>
              </w:rPr>
              <w:t>12</w:t>
            </w:r>
            <w:r>
              <w:rPr>
                <w:noProof/>
                <w:webHidden/>
              </w:rPr>
              <w:fldChar w:fldCharType="end"/>
            </w:r>
          </w:hyperlink>
        </w:p>
        <w:p w14:paraId="073C15D6" w14:textId="05C100C2" w:rsidR="00B610AE" w:rsidRDefault="00B610AE">
          <w:pPr>
            <w:pStyle w:val="TOC2"/>
            <w:tabs>
              <w:tab w:val="right" w:leader="dot" w:pos="9016"/>
            </w:tabs>
            <w:rPr>
              <w:rFonts w:eastAsiaTheme="minorEastAsia"/>
              <w:noProof/>
              <w:kern w:val="2"/>
              <w:lang w:eastAsia="en-GB"/>
              <w14:ligatures w14:val="standardContextual"/>
            </w:rPr>
          </w:pPr>
          <w:hyperlink w:anchor="_Toc151055272" w:history="1">
            <w:r w:rsidRPr="00FA1AC5">
              <w:rPr>
                <w:rStyle w:val="Hyperlink"/>
                <w:rFonts w:ascii="Arial" w:hAnsi="Arial" w:cs="Arial"/>
                <w:noProof/>
                <w:lang w:val="en-US"/>
              </w:rPr>
              <w:t>3</w:t>
            </w:r>
            <w:r w:rsidRPr="00FA1AC5">
              <w:rPr>
                <w:rStyle w:val="Hyperlink"/>
                <w:rFonts w:ascii="Arial" w:hAnsi="Arial" w:cs="Arial"/>
                <w:noProof/>
              </w:rPr>
              <w:t>.1.9 Customer Service</w:t>
            </w:r>
            <w:r>
              <w:rPr>
                <w:noProof/>
                <w:webHidden/>
              </w:rPr>
              <w:tab/>
            </w:r>
            <w:r>
              <w:rPr>
                <w:noProof/>
                <w:webHidden/>
              </w:rPr>
              <w:fldChar w:fldCharType="begin"/>
            </w:r>
            <w:r>
              <w:rPr>
                <w:noProof/>
                <w:webHidden/>
              </w:rPr>
              <w:instrText xml:space="preserve"> PAGEREF _Toc151055272 \h </w:instrText>
            </w:r>
            <w:r>
              <w:rPr>
                <w:noProof/>
                <w:webHidden/>
              </w:rPr>
            </w:r>
            <w:r>
              <w:rPr>
                <w:noProof/>
                <w:webHidden/>
              </w:rPr>
              <w:fldChar w:fldCharType="separate"/>
            </w:r>
            <w:r w:rsidR="00C6133B">
              <w:rPr>
                <w:noProof/>
                <w:webHidden/>
              </w:rPr>
              <w:t>12</w:t>
            </w:r>
            <w:r>
              <w:rPr>
                <w:noProof/>
                <w:webHidden/>
              </w:rPr>
              <w:fldChar w:fldCharType="end"/>
            </w:r>
          </w:hyperlink>
        </w:p>
        <w:p w14:paraId="271E702F" w14:textId="2B7BB1F7" w:rsidR="00B610AE" w:rsidRDefault="00B610AE">
          <w:pPr>
            <w:pStyle w:val="TOC3"/>
            <w:tabs>
              <w:tab w:val="right" w:leader="dot" w:pos="9016"/>
            </w:tabs>
            <w:rPr>
              <w:rFonts w:eastAsiaTheme="minorEastAsia"/>
              <w:noProof/>
              <w:kern w:val="2"/>
              <w:lang w:eastAsia="en-GB"/>
              <w14:ligatures w14:val="standardContextual"/>
            </w:rPr>
          </w:pPr>
          <w:hyperlink w:anchor="_Toc151055273" w:history="1">
            <w:r w:rsidRPr="00FA1AC5">
              <w:rPr>
                <w:rStyle w:val="Hyperlink"/>
                <w:rFonts w:ascii="Arial" w:hAnsi="Arial" w:cs="Arial"/>
                <w:noProof/>
                <w:lang w:val="en-US"/>
              </w:rPr>
              <w:t>3.10.0 International strategy impacts on International HRM</w:t>
            </w:r>
            <w:r>
              <w:rPr>
                <w:noProof/>
                <w:webHidden/>
              </w:rPr>
              <w:tab/>
            </w:r>
            <w:r>
              <w:rPr>
                <w:noProof/>
                <w:webHidden/>
              </w:rPr>
              <w:fldChar w:fldCharType="begin"/>
            </w:r>
            <w:r>
              <w:rPr>
                <w:noProof/>
                <w:webHidden/>
              </w:rPr>
              <w:instrText xml:space="preserve"> PAGEREF _Toc151055273 \h </w:instrText>
            </w:r>
            <w:r>
              <w:rPr>
                <w:noProof/>
                <w:webHidden/>
              </w:rPr>
            </w:r>
            <w:r>
              <w:rPr>
                <w:noProof/>
                <w:webHidden/>
              </w:rPr>
              <w:fldChar w:fldCharType="separate"/>
            </w:r>
            <w:r w:rsidR="00C6133B">
              <w:rPr>
                <w:noProof/>
                <w:webHidden/>
              </w:rPr>
              <w:t>12</w:t>
            </w:r>
            <w:r>
              <w:rPr>
                <w:noProof/>
                <w:webHidden/>
              </w:rPr>
              <w:fldChar w:fldCharType="end"/>
            </w:r>
          </w:hyperlink>
        </w:p>
        <w:p w14:paraId="55C292D0" w14:textId="64AB794F" w:rsidR="00B610AE" w:rsidRDefault="00B610AE">
          <w:pPr>
            <w:pStyle w:val="TOC2"/>
            <w:tabs>
              <w:tab w:val="right" w:leader="dot" w:pos="9016"/>
            </w:tabs>
            <w:rPr>
              <w:rFonts w:eastAsiaTheme="minorEastAsia"/>
              <w:noProof/>
              <w:kern w:val="2"/>
              <w:lang w:eastAsia="en-GB"/>
              <w14:ligatures w14:val="standardContextual"/>
            </w:rPr>
          </w:pPr>
          <w:hyperlink w:anchor="_Toc151055274" w:history="1">
            <w:r w:rsidRPr="00FA1AC5">
              <w:rPr>
                <w:rStyle w:val="Hyperlink"/>
                <w:rFonts w:ascii="Arial" w:hAnsi="Arial" w:cs="Arial"/>
                <w:noProof/>
              </w:rPr>
              <w:t>4.0 Characteristics of Ethnocentric, Polycentric, And Geocentric:</w:t>
            </w:r>
            <w:r>
              <w:rPr>
                <w:noProof/>
                <w:webHidden/>
              </w:rPr>
              <w:tab/>
            </w:r>
            <w:r>
              <w:rPr>
                <w:noProof/>
                <w:webHidden/>
              </w:rPr>
              <w:fldChar w:fldCharType="begin"/>
            </w:r>
            <w:r>
              <w:rPr>
                <w:noProof/>
                <w:webHidden/>
              </w:rPr>
              <w:instrText xml:space="preserve"> PAGEREF _Toc151055274 \h </w:instrText>
            </w:r>
            <w:r>
              <w:rPr>
                <w:noProof/>
                <w:webHidden/>
              </w:rPr>
            </w:r>
            <w:r>
              <w:rPr>
                <w:noProof/>
                <w:webHidden/>
              </w:rPr>
              <w:fldChar w:fldCharType="separate"/>
            </w:r>
            <w:r w:rsidR="00C6133B">
              <w:rPr>
                <w:noProof/>
                <w:webHidden/>
              </w:rPr>
              <w:t>13</w:t>
            </w:r>
            <w:r>
              <w:rPr>
                <w:noProof/>
                <w:webHidden/>
              </w:rPr>
              <w:fldChar w:fldCharType="end"/>
            </w:r>
          </w:hyperlink>
        </w:p>
        <w:p w14:paraId="24872A4E" w14:textId="096C7713" w:rsidR="00B610AE" w:rsidRDefault="00B610AE">
          <w:pPr>
            <w:pStyle w:val="TOC3"/>
            <w:tabs>
              <w:tab w:val="right" w:leader="dot" w:pos="9016"/>
            </w:tabs>
            <w:rPr>
              <w:rFonts w:eastAsiaTheme="minorEastAsia"/>
              <w:noProof/>
              <w:kern w:val="2"/>
              <w:lang w:eastAsia="en-GB"/>
              <w14:ligatures w14:val="standardContextual"/>
            </w:rPr>
          </w:pPr>
          <w:hyperlink w:anchor="_Toc151055275" w:history="1">
            <w:r w:rsidRPr="00FA1AC5">
              <w:rPr>
                <w:rStyle w:val="Hyperlink"/>
                <w:rFonts w:ascii="Arial" w:hAnsi="Arial" w:cs="Arial"/>
                <w:noProof/>
              </w:rPr>
              <w:t>4.1.1ethnocentric:</w:t>
            </w:r>
            <w:r>
              <w:rPr>
                <w:noProof/>
                <w:webHidden/>
              </w:rPr>
              <w:tab/>
            </w:r>
            <w:r>
              <w:rPr>
                <w:noProof/>
                <w:webHidden/>
              </w:rPr>
              <w:fldChar w:fldCharType="begin"/>
            </w:r>
            <w:r>
              <w:rPr>
                <w:noProof/>
                <w:webHidden/>
              </w:rPr>
              <w:instrText xml:space="preserve"> PAGEREF _Toc151055275 \h </w:instrText>
            </w:r>
            <w:r>
              <w:rPr>
                <w:noProof/>
                <w:webHidden/>
              </w:rPr>
            </w:r>
            <w:r>
              <w:rPr>
                <w:noProof/>
                <w:webHidden/>
              </w:rPr>
              <w:fldChar w:fldCharType="separate"/>
            </w:r>
            <w:r w:rsidR="00C6133B">
              <w:rPr>
                <w:noProof/>
                <w:webHidden/>
              </w:rPr>
              <w:t>13</w:t>
            </w:r>
            <w:r>
              <w:rPr>
                <w:noProof/>
                <w:webHidden/>
              </w:rPr>
              <w:fldChar w:fldCharType="end"/>
            </w:r>
          </w:hyperlink>
        </w:p>
        <w:p w14:paraId="706EA5A9" w14:textId="7F519FA4" w:rsidR="00B610AE" w:rsidRDefault="00B610AE">
          <w:pPr>
            <w:pStyle w:val="TOC1"/>
            <w:tabs>
              <w:tab w:val="right" w:leader="dot" w:pos="9016"/>
            </w:tabs>
            <w:rPr>
              <w:rFonts w:eastAsiaTheme="minorEastAsia"/>
              <w:noProof/>
              <w:kern w:val="2"/>
              <w:lang w:eastAsia="en-GB"/>
              <w14:ligatures w14:val="standardContextual"/>
            </w:rPr>
          </w:pPr>
          <w:hyperlink w:anchor="_Toc151055276" w:history="1">
            <w:r w:rsidRPr="00FA1AC5">
              <w:rPr>
                <w:rStyle w:val="Hyperlink"/>
                <w:rFonts w:ascii="Arial" w:hAnsi="Arial" w:cs="Arial"/>
                <w:noProof/>
              </w:rPr>
              <w:t>4.1.2 The Ethnocentric Approach:</w:t>
            </w:r>
            <w:r>
              <w:rPr>
                <w:noProof/>
                <w:webHidden/>
              </w:rPr>
              <w:tab/>
            </w:r>
            <w:r>
              <w:rPr>
                <w:noProof/>
                <w:webHidden/>
              </w:rPr>
              <w:fldChar w:fldCharType="begin"/>
            </w:r>
            <w:r>
              <w:rPr>
                <w:noProof/>
                <w:webHidden/>
              </w:rPr>
              <w:instrText xml:space="preserve"> PAGEREF _Toc151055276 \h </w:instrText>
            </w:r>
            <w:r>
              <w:rPr>
                <w:noProof/>
                <w:webHidden/>
              </w:rPr>
            </w:r>
            <w:r>
              <w:rPr>
                <w:noProof/>
                <w:webHidden/>
              </w:rPr>
              <w:fldChar w:fldCharType="separate"/>
            </w:r>
            <w:r w:rsidR="00C6133B">
              <w:rPr>
                <w:noProof/>
                <w:webHidden/>
              </w:rPr>
              <w:t>14</w:t>
            </w:r>
            <w:r>
              <w:rPr>
                <w:noProof/>
                <w:webHidden/>
              </w:rPr>
              <w:fldChar w:fldCharType="end"/>
            </w:r>
          </w:hyperlink>
        </w:p>
        <w:p w14:paraId="5FD62E7E" w14:textId="6835904B" w:rsidR="00B610AE" w:rsidRDefault="00B610AE">
          <w:pPr>
            <w:pStyle w:val="TOC2"/>
            <w:tabs>
              <w:tab w:val="right" w:leader="dot" w:pos="9016"/>
            </w:tabs>
            <w:rPr>
              <w:rFonts w:eastAsiaTheme="minorEastAsia"/>
              <w:noProof/>
              <w:kern w:val="2"/>
              <w:lang w:eastAsia="en-GB"/>
              <w14:ligatures w14:val="standardContextual"/>
            </w:rPr>
          </w:pPr>
          <w:hyperlink w:anchor="_Toc151055277" w:history="1">
            <w:r w:rsidRPr="00FA1AC5">
              <w:rPr>
                <w:rStyle w:val="Hyperlink"/>
                <w:rFonts w:ascii="Arial" w:hAnsi="Arial" w:cs="Arial"/>
                <w:noProof/>
              </w:rPr>
              <w:t>4.1.3 The Polycentric Approach:</w:t>
            </w:r>
            <w:r>
              <w:rPr>
                <w:noProof/>
                <w:webHidden/>
              </w:rPr>
              <w:tab/>
            </w:r>
            <w:r>
              <w:rPr>
                <w:noProof/>
                <w:webHidden/>
              </w:rPr>
              <w:fldChar w:fldCharType="begin"/>
            </w:r>
            <w:r>
              <w:rPr>
                <w:noProof/>
                <w:webHidden/>
              </w:rPr>
              <w:instrText xml:space="preserve"> PAGEREF _Toc151055277 \h </w:instrText>
            </w:r>
            <w:r>
              <w:rPr>
                <w:noProof/>
                <w:webHidden/>
              </w:rPr>
            </w:r>
            <w:r>
              <w:rPr>
                <w:noProof/>
                <w:webHidden/>
              </w:rPr>
              <w:fldChar w:fldCharType="separate"/>
            </w:r>
            <w:r w:rsidR="00C6133B">
              <w:rPr>
                <w:noProof/>
                <w:webHidden/>
              </w:rPr>
              <w:t>15</w:t>
            </w:r>
            <w:r>
              <w:rPr>
                <w:noProof/>
                <w:webHidden/>
              </w:rPr>
              <w:fldChar w:fldCharType="end"/>
            </w:r>
          </w:hyperlink>
        </w:p>
        <w:p w14:paraId="36C27968" w14:textId="551F7713" w:rsidR="00B610AE" w:rsidRDefault="00B610AE">
          <w:pPr>
            <w:pStyle w:val="TOC3"/>
            <w:tabs>
              <w:tab w:val="right" w:leader="dot" w:pos="9016"/>
            </w:tabs>
            <w:rPr>
              <w:rFonts w:eastAsiaTheme="minorEastAsia"/>
              <w:noProof/>
              <w:kern w:val="2"/>
              <w:lang w:eastAsia="en-GB"/>
              <w14:ligatures w14:val="standardContextual"/>
            </w:rPr>
          </w:pPr>
          <w:hyperlink w:anchor="_Toc151055278" w:history="1">
            <w:r w:rsidRPr="00FA1AC5">
              <w:rPr>
                <w:rStyle w:val="Hyperlink"/>
                <w:rFonts w:ascii="Arial" w:hAnsi="Arial" w:cs="Arial"/>
                <w:noProof/>
              </w:rPr>
              <w:t>4.1.5 The Geocentric Approach:</w:t>
            </w:r>
            <w:r>
              <w:rPr>
                <w:noProof/>
                <w:webHidden/>
              </w:rPr>
              <w:tab/>
            </w:r>
            <w:r>
              <w:rPr>
                <w:noProof/>
                <w:webHidden/>
              </w:rPr>
              <w:fldChar w:fldCharType="begin"/>
            </w:r>
            <w:r>
              <w:rPr>
                <w:noProof/>
                <w:webHidden/>
              </w:rPr>
              <w:instrText xml:space="preserve"> PAGEREF _Toc151055278 \h </w:instrText>
            </w:r>
            <w:r>
              <w:rPr>
                <w:noProof/>
                <w:webHidden/>
              </w:rPr>
            </w:r>
            <w:r>
              <w:rPr>
                <w:noProof/>
                <w:webHidden/>
              </w:rPr>
              <w:fldChar w:fldCharType="separate"/>
            </w:r>
            <w:r w:rsidR="00C6133B">
              <w:rPr>
                <w:noProof/>
                <w:webHidden/>
              </w:rPr>
              <w:t>16</w:t>
            </w:r>
            <w:r>
              <w:rPr>
                <w:noProof/>
                <w:webHidden/>
              </w:rPr>
              <w:fldChar w:fldCharType="end"/>
            </w:r>
          </w:hyperlink>
        </w:p>
        <w:p w14:paraId="5DB85841" w14:textId="20060A9C" w:rsidR="00B610AE" w:rsidRDefault="00B610AE">
          <w:pPr>
            <w:pStyle w:val="TOC1"/>
            <w:tabs>
              <w:tab w:val="right" w:leader="dot" w:pos="9016"/>
            </w:tabs>
            <w:rPr>
              <w:rFonts w:eastAsiaTheme="minorEastAsia"/>
              <w:noProof/>
              <w:kern w:val="2"/>
              <w:lang w:eastAsia="en-GB"/>
              <w14:ligatures w14:val="standardContextual"/>
            </w:rPr>
          </w:pPr>
          <w:hyperlink w:anchor="_Toc151055279" w:history="1">
            <w:r w:rsidRPr="00FA1AC5">
              <w:rPr>
                <w:rStyle w:val="Hyperlink"/>
                <w:rFonts w:ascii="Arial" w:hAnsi="Arial" w:cs="Arial"/>
                <w:noProof/>
              </w:rPr>
              <w:t>5.0 AstraZeneca Internationalization Approach:</w:t>
            </w:r>
            <w:r>
              <w:rPr>
                <w:noProof/>
                <w:webHidden/>
              </w:rPr>
              <w:tab/>
            </w:r>
            <w:r>
              <w:rPr>
                <w:noProof/>
                <w:webHidden/>
              </w:rPr>
              <w:fldChar w:fldCharType="begin"/>
            </w:r>
            <w:r>
              <w:rPr>
                <w:noProof/>
                <w:webHidden/>
              </w:rPr>
              <w:instrText xml:space="preserve"> PAGEREF _Toc151055279 \h </w:instrText>
            </w:r>
            <w:r>
              <w:rPr>
                <w:noProof/>
                <w:webHidden/>
              </w:rPr>
            </w:r>
            <w:r>
              <w:rPr>
                <w:noProof/>
                <w:webHidden/>
              </w:rPr>
              <w:fldChar w:fldCharType="separate"/>
            </w:r>
            <w:r w:rsidR="00C6133B">
              <w:rPr>
                <w:noProof/>
                <w:webHidden/>
              </w:rPr>
              <w:t>17</w:t>
            </w:r>
            <w:r>
              <w:rPr>
                <w:noProof/>
                <w:webHidden/>
              </w:rPr>
              <w:fldChar w:fldCharType="end"/>
            </w:r>
          </w:hyperlink>
        </w:p>
        <w:p w14:paraId="041EAEC7" w14:textId="632017A5" w:rsidR="00B610AE" w:rsidRDefault="00B610AE">
          <w:pPr>
            <w:pStyle w:val="TOC2"/>
            <w:tabs>
              <w:tab w:val="right" w:leader="dot" w:pos="9016"/>
            </w:tabs>
            <w:rPr>
              <w:rFonts w:eastAsiaTheme="minorEastAsia"/>
              <w:noProof/>
              <w:kern w:val="2"/>
              <w:lang w:eastAsia="en-GB"/>
              <w14:ligatures w14:val="standardContextual"/>
            </w:rPr>
          </w:pPr>
          <w:hyperlink w:anchor="_Toc151055280" w:history="1">
            <w:r w:rsidRPr="00FA1AC5">
              <w:rPr>
                <w:rStyle w:val="Hyperlink"/>
                <w:rFonts w:ascii="Arial" w:hAnsi="Arial" w:cs="Arial"/>
                <w:noProof/>
              </w:rPr>
              <w:t>5.1 The Factors That Influence AstraZeneca Geocentric Strategic Decision-Making:</w:t>
            </w:r>
            <w:r>
              <w:rPr>
                <w:noProof/>
                <w:webHidden/>
              </w:rPr>
              <w:tab/>
            </w:r>
            <w:r>
              <w:rPr>
                <w:noProof/>
                <w:webHidden/>
              </w:rPr>
              <w:fldChar w:fldCharType="begin"/>
            </w:r>
            <w:r>
              <w:rPr>
                <w:noProof/>
                <w:webHidden/>
              </w:rPr>
              <w:instrText xml:space="preserve"> PAGEREF _Toc151055280 \h </w:instrText>
            </w:r>
            <w:r>
              <w:rPr>
                <w:noProof/>
                <w:webHidden/>
              </w:rPr>
            </w:r>
            <w:r>
              <w:rPr>
                <w:noProof/>
                <w:webHidden/>
              </w:rPr>
              <w:fldChar w:fldCharType="separate"/>
            </w:r>
            <w:r w:rsidR="00C6133B">
              <w:rPr>
                <w:noProof/>
                <w:webHidden/>
              </w:rPr>
              <w:t>17</w:t>
            </w:r>
            <w:r>
              <w:rPr>
                <w:noProof/>
                <w:webHidden/>
              </w:rPr>
              <w:fldChar w:fldCharType="end"/>
            </w:r>
          </w:hyperlink>
        </w:p>
        <w:p w14:paraId="2823B0C2" w14:textId="3E8D49C1" w:rsidR="00B610AE" w:rsidRDefault="00B610AE">
          <w:pPr>
            <w:pStyle w:val="TOC3"/>
            <w:tabs>
              <w:tab w:val="right" w:leader="dot" w:pos="9016"/>
            </w:tabs>
            <w:rPr>
              <w:rFonts w:eastAsiaTheme="minorEastAsia"/>
              <w:noProof/>
              <w:kern w:val="2"/>
              <w:lang w:eastAsia="en-GB"/>
              <w14:ligatures w14:val="standardContextual"/>
            </w:rPr>
          </w:pPr>
          <w:hyperlink w:anchor="_Toc151055281" w:history="1">
            <w:r w:rsidRPr="00FA1AC5">
              <w:rPr>
                <w:rStyle w:val="Hyperlink"/>
                <w:rFonts w:ascii="Arial" w:hAnsi="Arial" w:cs="Arial"/>
                <w:noProof/>
              </w:rPr>
              <w:t>6.1.3 Uncertainty:</w:t>
            </w:r>
            <w:r>
              <w:rPr>
                <w:noProof/>
                <w:webHidden/>
              </w:rPr>
              <w:tab/>
            </w:r>
            <w:r>
              <w:rPr>
                <w:noProof/>
                <w:webHidden/>
              </w:rPr>
              <w:fldChar w:fldCharType="begin"/>
            </w:r>
            <w:r>
              <w:rPr>
                <w:noProof/>
                <w:webHidden/>
              </w:rPr>
              <w:instrText xml:space="preserve"> PAGEREF _Toc151055281 \h </w:instrText>
            </w:r>
            <w:r>
              <w:rPr>
                <w:noProof/>
                <w:webHidden/>
              </w:rPr>
            </w:r>
            <w:r>
              <w:rPr>
                <w:noProof/>
                <w:webHidden/>
              </w:rPr>
              <w:fldChar w:fldCharType="separate"/>
            </w:r>
            <w:r w:rsidR="00C6133B">
              <w:rPr>
                <w:noProof/>
                <w:webHidden/>
              </w:rPr>
              <w:t>18</w:t>
            </w:r>
            <w:r>
              <w:rPr>
                <w:noProof/>
                <w:webHidden/>
              </w:rPr>
              <w:fldChar w:fldCharType="end"/>
            </w:r>
          </w:hyperlink>
        </w:p>
        <w:p w14:paraId="7C40B93F" w14:textId="0D755B14" w:rsidR="00B610AE" w:rsidRDefault="00B610AE">
          <w:pPr>
            <w:pStyle w:val="TOC1"/>
            <w:tabs>
              <w:tab w:val="right" w:leader="dot" w:pos="9016"/>
            </w:tabs>
            <w:rPr>
              <w:rFonts w:eastAsiaTheme="minorEastAsia"/>
              <w:noProof/>
              <w:kern w:val="2"/>
              <w:lang w:eastAsia="en-GB"/>
              <w14:ligatures w14:val="standardContextual"/>
            </w:rPr>
          </w:pPr>
          <w:hyperlink w:anchor="_Toc151055282" w:history="1">
            <w:r w:rsidRPr="00FA1AC5">
              <w:rPr>
                <w:rStyle w:val="Hyperlink"/>
                <w:rFonts w:ascii="Arial" w:hAnsi="Arial" w:cs="Arial"/>
                <w:noProof/>
              </w:rPr>
              <w:t>6.1.4 Complexity:</w:t>
            </w:r>
            <w:r>
              <w:rPr>
                <w:noProof/>
                <w:webHidden/>
              </w:rPr>
              <w:tab/>
            </w:r>
            <w:r>
              <w:rPr>
                <w:noProof/>
                <w:webHidden/>
              </w:rPr>
              <w:fldChar w:fldCharType="begin"/>
            </w:r>
            <w:r>
              <w:rPr>
                <w:noProof/>
                <w:webHidden/>
              </w:rPr>
              <w:instrText xml:space="preserve"> PAGEREF _Toc151055282 \h </w:instrText>
            </w:r>
            <w:r>
              <w:rPr>
                <w:noProof/>
                <w:webHidden/>
              </w:rPr>
            </w:r>
            <w:r>
              <w:rPr>
                <w:noProof/>
                <w:webHidden/>
              </w:rPr>
              <w:fldChar w:fldCharType="separate"/>
            </w:r>
            <w:r w:rsidR="00C6133B">
              <w:rPr>
                <w:noProof/>
                <w:webHidden/>
              </w:rPr>
              <w:t>18</w:t>
            </w:r>
            <w:r>
              <w:rPr>
                <w:noProof/>
                <w:webHidden/>
              </w:rPr>
              <w:fldChar w:fldCharType="end"/>
            </w:r>
          </w:hyperlink>
        </w:p>
        <w:p w14:paraId="5A0F9D9F" w14:textId="5E012EAD" w:rsidR="00B610AE" w:rsidRDefault="00B610AE">
          <w:pPr>
            <w:pStyle w:val="TOC2"/>
            <w:tabs>
              <w:tab w:val="right" w:leader="dot" w:pos="9016"/>
            </w:tabs>
            <w:rPr>
              <w:rFonts w:eastAsiaTheme="minorEastAsia"/>
              <w:noProof/>
              <w:kern w:val="2"/>
              <w:lang w:eastAsia="en-GB"/>
              <w14:ligatures w14:val="standardContextual"/>
            </w:rPr>
          </w:pPr>
          <w:hyperlink w:anchor="_Toc151055283" w:history="1">
            <w:r w:rsidRPr="00FA1AC5">
              <w:rPr>
                <w:rStyle w:val="Hyperlink"/>
                <w:rFonts w:ascii="Arial" w:hAnsi="Arial" w:cs="Arial"/>
                <w:noProof/>
              </w:rPr>
              <w:t>6.1.5 Ambiguity:</w:t>
            </w:r>
            <w:r>
              <w:rPr>
                <w:noProof/>
                <w:webHidden/>
              </w:rPr>
              <w:tab/>
            </w:r>
            <w:r>
              <w:rPr>
                <w:noProof/>
                <w:webHidden/>
              </w:rPr>
              <w:fldChar w:fldCharType="begin"/>
            </w:r>
            <w:r>
              <w:rPr>
                <w:noProof/>
                <w:webHidden/>
              </w:rPr>
              <w:instrText xml:space="preserve"> PAGEREF _Toc151055283 \h </w:instrText>
            </w:r>
            <w:r>
              <w:rPr>
                <w:noProof/>
                <w:webHidden/>
              </w:rPr>
            </w:r>
            <w:r>
              <w:rPr>
                <w:noProof/>
                <w:webHidden/>
              </w:rPr>
              <w:fldChar w:fldCharType="separate"/>
            </w:r>
            <w:r w:rsidR="00C6133B">
              <w:rPr>
                <w:noProof/>
                <w:webHidden/>
              </w:rPr>
              <w:t>19</w:t>
            </w:r>
            <w:r>
              <w:rPr>
                <w:noProof/>
                <w:webHidden/>
              </w:rPr>
              <w:fldChar w:fldCharType="end"/>
            </w:r>
          </w:hyperlink>
        </w:p>
        <w:p w14:paraId="241EC0CB" w14:textId="3E0D895D" w:rsidR="00B610AE" w:rsidRDefault="00B610AE">
          <w:pPr>
            <w:pStyle w:val="TOC3"/>
            <w:tabs>
              <w:tab w:val="right" w:leader="dot" w:pos="9016"/>
            </w:tabs>
            <w:rPr>
              <w:rFonts w:eastAsiaTheme="minorEastAsia"/>
              <w:noProof/>
              <w:kern w:val="2"/>
              <w:lang w:eastAsia="en-GB"/>
              <w14:ligatures w14:val="standardContextual"/>
            </w:rPr>
          </w:pPr>
          <w:hyperlink w:anchor="_Toc151055284" w:history="1">
            <w:r w:rsidRPr="00FA1AC5">
              <w:rPr>
                <w:rStyle w:val="Hyperlink"/>
                <w:rFonts w:ascii="Arial" w:hAnsi="Arial" w:cs="Arial"/>
                <w:noProof/>
              </w:rPr>
              <w:t>7.0 Integration of VUCA Findings with Geocentric Decision Making:</w:t>
            </w:r>
            <w:r>
              <w:rPr>
                <w:noProof/>
                <w:webHidden/>
              </w:rPr>
              <w:tab/>
            </w:r>
            <w:r>
              <w:rPr>
                <w:noProof/>
                <w:webHidden/>
              </w:rPr>
              <w:fldChar w:fldCharType="begin"/>
            </w:r>
            <w:r>
              <w:rPr>
                <w:noProof/>
                <w:webHidden/>
              </w:rPr>
              <w:instrText xml:space="preserve"> PAGEREF _Toc151055284 \h </w:instrText>
            </w:r>
            <w:r>
              <w:rPr>
                <w:noProof/>
                <w:webHidden/>
              </w:rPr>
            </w:r>
            <w:r>
              <w:rPr>
                <w:noProof/>
                <w:webHidden/>
              </w:rPr>
              <w:fldChar w:fldCharType="separate"/>
            </w:r>
            <w:r w:rsidR="00C6133B">
              <w:rPr>
                <w:noProof/>
                <w:webHidden/>
              </w:rPr>
              <w:t>20</w:t>
            </w:r>
            <w:r>
              <w:rPr>
                <w:noProof/>
                <w:webHidden/>
              </w:rPr>
              <w:fldChar w:fldCharType="end"/>
            </w:r>
          </w:hyperlink>
        </w:p>
        <w:p w14:paraId="4AD6F207" w14:textId="59257CB2" w:rsidR="00B610AE" w:rsidRDefault="00B610AE">
          <w:pPr>
            <w:pStyle w:val="TOC1"/>
            <w:tabs>
              <w:tab w:val="right" w:leader="dot" w:pos="9016"/>
            </w:tabs>
            <w:rPr>
              <w:rFonts w:eastAsiaTheme="minorEastAsia"/>
              <w:noProof/>
              <w:kern w:val="2"/>
              <w:lang w:eastAsia="en-GB"/>
              <w14:ligatures w14:val="standardContextual"/>
            </w:rPr>
          </w:pPr>
          <w:hyperlink w:anchor="_Toc151055285" w:history="1">
            <w:r w:rsidRPr="00FA1AC5">
              <w:rPr>
                <w:rStyle w:val="Hyperlink"/>
                <w:rFonts w:ascii="Arial" w:hAnsi="Arial" w:cs="Arial"/>
                <w:noProof/>
              </w:rPr>
              <w:t>7.1.1 AstraZeneca Recommendation for Future Internationalization Endeavours:</w:t>
            </w:r>
            <w:r>
              <w:rPr>
                <w:noProof/>
                <w:webHidden/>
              </w:rPr>
              <w:tab/>
            </w:r>
            <w:r>
              <w:rPr>
                <w:noProof/>
                <w:webHidden/>
              </w:rPr>
              <w:fldChar w:fldCharType="begin"/>
            </w:r>
            <w:r>
              <w:rPr>
                <w:noProof/>
                <w:webHidden/>
              </w:rPr>
              <w:instrText xml:space="preserve"> PAGEREF _Toc151055285 \h </w:instrText>
            </w:r>
            <w:r>
              <w:rPr>
                <w:noProof/>
                <w:webHidden/>
              </w:rPr>
            </w:r>
            <w:r>
              <w:rPr>
                <w:noProof/>
                <w:webHidden/>
              </w:rPr>
              <w:fldChar w:fldCharType="separate"/>
            </w:r>
            <w:r w:rsidR="00C6133B">
              <w:rPr>
                <w:noProof/>
                <w:webHidden/>
              </w:rPr>
              <w:t>21</w:t>
            </w:r>
            <w:r>
              <w:rPr>
                <w:noProof/>
                <w:webHidden/>
              </w:rPr>
              <w:fldChar w:fldCharType="end"/>
            </w:r>
          </w:hyperlink>
        </w:p>
        <w:p w14:paraId="330FDEEB" w14:textId="0742DA8E" w:rsidR="00B610AE" w:rsidRDefault="00B610AE">
          <w:pPr>
            <w:pStyle w:val="TOC2"/>
            <w:tabs>
              <w:tab w:val="right" w:leader="dot" w:pos="9016"/>
            </w:tabs>
            <w:rPr>
              <w:rFonts w:eastAsiaTheme="minorEastAsia"/>
              <w:noProof/>
              <w:kern w:val="2"/>
              <w:lang w:eastAsia="en-GB"/>
              <w14:ligatures w14:val="standardContextual"/>
            </w:rPr>
          </w:pPr>
          <w:hyperlink w:anchor="_Toc151055286" w:history="1">
            <w:r w:rsidRPr="00FA1AC5">
              <w:rPr>
                <w:rStyle w:val="Hyperlink"/>
                <w:rFonts w:ascii="Arial" w:hAnsi="Arial" w:cs="Arial"/>
                <w:noProof/>
              </w:rPr>
              <w:t>7.1.2 AstraZeneca Strategies to Enhance Global Expansion:</w:t>
            </w:r>
            <w:r>
              <w:rPr>
                <w:noProof/>
                <w:webHidden/>
              </w:rPr>
              <w:tab/>
            </w:r>
            <w:r>
              <w:rPr>
                <w:noProof/>
                <w:webHidden/>
              </w:rPr>
              <w:fldChar w:fldCharType="begin"/>
            </w:r>
            <w:r>
              <w:rPr>
                <w:noProof/>
                <w:webHidden/>
              </w:rPr>
              <w:instrText xml:space="preserve"> PAGEREF _Toc151055286 \h </w:instrText>
            </w:r>
            <w:r>
              <w:rPr>
                <w:noProof/>
                <w:webHidden/>
              </w:rPr>
            </w:r>
            <w:r>
              <w:rPr>
                <w:noProof/>
                <w:webHidden/>
              </w:rPr>
              <w:fldChar w:fldCharType="separate"/>
            </w:r>
            <w:r w:rsidR="00C6133B">
              <w:rPr>
                <w:noProof/>
                <w:webHidden/>
              </w:rPr>
              <w:t>21</w:t>
            </w:r>
            <w:r>
              <w:rPr>
                <w:noProof/>
                <w:webHidden/>
              </w:rPr>
              <w:fldChar w:fldCharType="end"/>
            </w:r>
          </w:hyperlink>
        </w:p>
        <w:p w14:paraId="02E7B830" w14:textId="34862297" w:rsidR="00B610AE" w:rsidRDefault="00B610AE">
          <w:pPr>
            <w:pStyle w:val="TOC3"/>
            <w:tabs>
              <w:tab w:val="right" w:leader="dot" w:pos="9016"/>
            </w:tabs>
            <w:rPr>
              <w:rFonts w:eastAsiaTheme="minorEastAsia"/>
              <w:noProof/>
              <w:kern w:val="2"/>
              <w:lang w:eastAsia="en-GB"/>
              <w14:ligatures w14:val="standardContextual"/>
            </w:rPr>
          </w:pPr>
          <w:hyperlink w:anchor="_Toc151055287" w:history="1">
            <w:r w:rsidRPr="00FA1AC5">
              <w:rPr>
                <w:rStyle w:val="Hyperlink"/>
                <w:rFonts w:ascii="Arial" w:hAnsi="Arial" w:cs="Arial"/>
                <w:noProof/>
              </w:rPr>
              <w:t>7.1.3 AstraZeneca Potential Challenges:</w:t>
            </w:r>
            <w:r>
              <w:rPr>
                <w:noProof/>
                <w:webHidden/>
              </w:rPr>
              <w:tab/>
            </w:r>
            <w:r>
              <w:rPr>
                <w:noProof/>
                <w:webHidden/>
              </w:rPr>
              <w:fldChar w:fldCharType="begin"/>
            </w:r>
            <w:r>
              <w:rPr>
                <w:noProof/>
                <w:webHidden/>
              </w:rPr>
              <w:instrText xml:space="preserve"> PAGEREF _Toc151055287 \h </w:instrText>
            </w:r>
            <w:r>
              <w:rPr>
                <w:noProof/>
                <w:webHidden/>
              </w:rPr>
            </w:r>
            <w:r>
              <w:rPr>
                <w:noProof/>
                <w:webHidden/>
              </w:rPr>
              <w:fldChar w:fldCharType="separate"/>
            </w:r>
            <w:r w:rsidR="00C6133B">
              <w:rPr>
                <w:noProof/>
                <w:webHidden/>
              </w:rPr>
              <w:t>21</w:t>
            </w:r>
            <w:r>
              <w:rPr>
                <w:noProof/>
                <w:webHidden/>
              </w:rPr>
              <w:fldChar w:fldCharType="end"/>
            </w:r>
          </w:hyperlink>
        </w:p>
        <w:p w14:paraId="0E91C29C" w14:textId="5DB9C086" w:rsidR="00B610AE" w:rsidRDefault="00B610AE">
          <w:pPr>
            <w:pStyle w:val="TOC1"/>
            <w:tabs>
              <w:tab w:val="right" w:leader="dot" w:pos="9016"/>
            </w:tabs>
            <w:rPr>
              <w:rFonts w:eastAsiaTheme="minorEastAsia"/>
              <w:noProof/>
              <w:kern w:val="2"/>
              <w:lang w:eastAsia="en-GB"/>
              <w14:ligatures w14:val="standardContextual"/>
            </w:rPr>
          </w:pPr>
          <w:hyperlink w:anchor="_Toc151055288" w:history="1">
            <w:r w:rsidRPr="00FA1AC5">
              <w:rPr>
                <w:rStyle w:val="Hyperlink"/>
                <w:rFonts w:ascii="Arial" w:hAnsi="Arial" w:cs="Arial"/>
                <w:noProof/>
              </w:rPr>
              <w:t>7.1.4  Competitiveness: (business as a condition)</w:t>
            </w:r>
            <w:r>
              <w:rPr>
                <w:noProof/>
                <w:webHidden/>
              </w:rPr>
              <w:tab/>
            </w:r>
            <w:r>
              <w:rPr>
                <w:noProof/>
                <w:webHidden/>
              </w:rPr>
              <w:fldChar w:fldCharType="begin"/>
            </w:r>
            <w:r>
              <w:rPr>
                <w:noProof/>
                <w:webHidden/>
              </w:rPr>
              <w:instrText xml:space="preserve"> PAGEREF _Toc151055288 \h </w:instrText>
            </w:r>
            <w:r>
              <w:rPr>
                <w:noProof/>
                <w:webHidden/>
              </w:rPr>
            </w:r>
            <w:r>
              <w:rPr>
                <w:noProof/>
                <w:webHidden/>
              </w:rPr>
              <w:fldChar w:fldCharType="separate"/>
            </w:r>
            <w:r w:rsidR="00C6133B">
              <w:rPr>
                <w:noProof/>
                <w:webHidden/>
              </w:rPr>
              <w:t>21</w:t>
            </w:r>
            <w:r>
              <w:rPr>
                <w:noProof/>
                <w:webHidden/>
              </w:rPr>
              <w:fldChar w:fldCharType="end"/>
            </w:r>
          </w:hyperlink>
        </w:p>
        <w:p w14:paraId="08E3A4DB" w14:textId="55CBD5EA" w:rsidR="00B610AE" w:rsidRDefault="00B610AE">
          <w:pPr>
            <w:pStyle w:val="TOC2"/>
            <w:tabs>
              <w:tab w:val="right" w:leader="dot" w:pos="9016"/>
            </w:tabs>
            <w:rPr>
              <w:rFonts w:eastAsiaTheme="minorEastAsia"/>
              <w:noProof/>
              <w:kern w:val="2"/>
              <w:lang w:eastAsia="en-GB"/>
              <w14:ligatures w14:val="standardContextual"/>
            </w:rPr>
          </w:pPr>
          <w:hyperlink w:anchor="_Toc151055289" w:history="1">
            <w:r w:rsidRPr="00FA1AC5">
              <w:rPr>
                <w:rStyle w:val="Hyperlink"/>
                <w:rFonts w:ascii="Arial" w:hAnsi="Arial" w:cs="Arial"/>
                <w:noProof/>
              </w:rPr>
              <w:t>7.1.5 Commonality: (business as a context)</w:t>
            </w:r>
            <w:r>
              <w:rPr>
                <w:noProof/>
                <w:webHidden/>
              </w:rPr>
              <w:tab/>
            </w:r>
            <w:r>
              <w:rPr>
                <w:noProof/>
                <w:webHidden/>
              </w:rPr>
              <w:fldChar w:fldCharType="begin"/>
            </w:r>
            <w:r>
              <w:rPr>
                <w:noProof/>
                <w:webHidden/>
              </w:rPr>
              <w:instrText xml:space="preserve"> PAGEREF _Toc151055289 \h </w:instrText>
            </w:r>
            <w:r>
              <w:rPr>
                <w:noProof/>
                <w:webHidden/>
              </w:rPr>
            </w:r>
            <w:r>
              <w:rPr>
                <w:noProof/>
                <w:webHidden/>
              </w:rPr>
              <w:fldChar w:fldCharType="separate"/>
            </w:r>
            <w:r w:rsidR="00C6133B">
              <w:rPr>
                <w:noProof/>
                <w:webHidden/>
              </w:rPr>
              <w:t>22</w:t>
            </w:r>
            <w:r>
              <w:rPr>
                <w:noProof/>
                <w:webHidden/>
              </w:rPr>
              <w:fldChar w:fldCharType="end"/>
            </w:r>
          </w:hyperlink>
        </w:p>
        <w:p w14:paraId="2038294C" w14:textId="5E9C3E7B" w:rsidR="00B610AE" w:rsidRDefault="00B610AE">
          <w:pPr>
            <w:pStyle w:val="TOC3"/>
            <w:tabs>
              <w:tab w:val="right" w:leader="dot" w:pos="9016"/>
            </w:tabs>
            <w:rPr>
              <w:rFonts w:eastAsiaTheme="minorEastAsia"/>
              <w:noProof/>
              <w:kern w:val="2"/>
              <w:lang w:eastAsia="en-GB"/>
              <w14:ligatures w14:val="standardContextual"/>
            </w:rPr>
          </w:pPr>
          <w:hyperlink w:anchor="_Toc151055290" w:history="1">
            <w:r w:rsidRPr="00FA1AC5">
              <w:rPr>
                <w:rStyle w:val="Hyperlink"/>
                <w:rFonts w:ascii="Arial" w:hAnsi="Arial" w:cs="Arial"/>
                <w:noProof/>
              </w:rPr>
              <w:t>7.1.6 Regulatory Challenges (problems with US FDA)</w:t>
            </w:r>
            <w:r>
              <w:rPr>
                <w:noProof/>
                <w:webHidden/>
              </w:rPr>
              <w:tab/>
            </w:r>
            <w:r>
              <w:rPr>
                <w:noProof/>
                <w:webHidden/>
              </w:rPr>
              <w:fldChar w:fldCharType="begin"/>
            </w:r>
            <w:r>
              <w:rPr>
                <w:noProof/>
                <w:webHidden/>
              </w:rPr>
              <w:instrText xml:space="preserve"> PAGEREF _Toc151055290 \h </w:instrText>
            </w:r>
            <w:r>
              <w:rPr>
                <w:noProof/>
                <w:webHidden/>
              </w:rPr>
            </w:r>
            <w:r>
              <w:rPr>
                <w:noProof/>
                <w:webHidden/>
              </w:rPr>
              <w:fldChar w:fldCharType="separate"/>
            </w:r>
            <w:r w:rsidR="00C6133B">
              <w:rPr>
                <w:noProof/>
                <w:webHidden/>
              </w:rPr>
              <w:t>22</w:t>
            </w:r>
            <w:r>
              <w:rPr>
                <w:noProof/>
                <w:webHidden/>
              </w:rPr>
              <w:fldChar w:fldCharType="end"/>
            </w:r>
          </w:hyperlink>
        </w:p>
        <w:p w14:paraId="259503E1" w14:textId="039D02EF" w:rsidR="00B610AE" w:rsidRDefault="00B610AE">
          <w:pPr>
            <w:pStyle w:val="TOC1"/>
            <w:tabs>
              <w:tab w:val="right" w:leader="dot" w:pos="9016"/>
            </w:tabs>
            <w:rPr>
              <w:rFonts w:eastAsiaTheme="minorEastAsia"/>
              <w:noProof/>
              <w:kern w:val="2"/>
              <w:lang w:eastAsia="en-GB"/>
              <w14:ligatures w14:val="standardContextual"/>
            </w:rPr>
          </w:pPr>
          <w:hyperlink w:anchor="_Toc151055291" w:history="1">
            <w:r w:rsidRPr="00FA1AC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_Toc151055291 \h </w:instrText>
            </w:r>
            <w:r>
              <w:rPr>
                <w:noProof/>
                <w:webHidden/>
              </w:rPr>
            </w:r>
            <w:r>
              <w:rPr>
                <w:noProof/>
                <w:webHidden/>
              </w:rPr>
              <w:fldChar w:fldCharType="separate"/>
            </w:r>
            <w:r w:rsidR="00C6133B">
              <w:rPr>
                <w:noProof/>
                <w:webHidden/>
              </w:rPr>
              <w:t>24</w:t>
            </w:r>
            <w:r>
              <w:rPr>
                <w:noProof/>
                <w:webHidden/>
              </w:rPr>
              <w:fldChar w:fldCharType="end"/>
            </w:r>
          </w:hyperlink>
        </w:p>
        <w:p w14:paraId="4236AB9C" w14:textId="60C29C36" w:rsidR="00427F5E" w:rsidRPr="00B6084E" w:rsidRDefault="00427F5E" w:rsidP="00CC0614">
          <w:pPr>
            <w:spacing w:line="360" w:lineRule="auto"/>
            <w:rPr>
              <w:rFonts w:ascii="Arial" w:hAnsi="Arial" w:cs="Arial"/>
            </w:rPr>
          </w:pPr>
          <w:r w:rsidRPr="00B6084E">
            <w:rPr>
              <w:rFonts w:ascii="Arial" w:hAnsi="Arial" w:cs="Arial"/>
              <w:noProof/>
            </w:rPr>
            <w:fldChar w:fldCharType="end"/>
          </w:r>
        </w:p>
      </w:sdtContent>
    </w:sdt>
    <w:p w14:paraId="7D3821BC" w14:textId="77777777" w:rsidR="00666F50" w:rsidRDefault="00666F50"/>
    <w:p w14:paraId="761764BA" w14:textId="77777777" w:rsidR="00666F50" w:rsidRDefault="00666F50"/>
    <w:p w14:paraId="21D395C0" w14:textId="77777777" w:rsidR="00666F50" w:rsidRDefault="00666F50"/>
    <w:p w14:paraId="1242DD77" w14:textId="77777777" w:rsidR="00666F50" w:rsidRDefault="00666F50"/>
    <w:p w14:paraId="17D7F33C" w14:textId="77777777" w:rsidR="00666F50" w:rsidRDefault="00666F50"/>
    <w:p w14:paraId="1ED45FDD" w14:textId="77777777" w:rsidR="00666F50" w:rsidRDefault="00666F50"/>
    <w:p w14:paraId="278E5053" w14:textId="77777777" w:rsidR="00666F50" w:rsidRDefault="00666F50"/>
    <w:p w14:paraId="0119D893" w14:textId="77777777" w:rsidR="00666F50" w:rsidRDefault="00666F50"/>
    <w:p w14:paraId="4BDA220F" w14:textId="77777777" w:rsidR="00340AD3" w:rsidRDefault="00340AD3"/>
    <w:p w14:paraId="27661000" w14:textId="77777777" w:rsidR="00340AD3" w:rsidRDefault="00340AD3"/>
    <w:p w14:paraId="0EB8BD86" w14:textId="77777777" w:rsidR="00340AD3" w:rsidRDefault="00340AD3"/>
    <w:p w14:paraId="4A99CDAF" w14:textId="77777777" w:rsidR="00340AD3" w:rsidRDefault="00340AD3"/>
    <w:p w14:paraId="57CB49B6" w14:textId="77777777" w:rsidR="00340AD3" w:rsidRDefault="00340AD3"/>
    <w:p w14:paraId="6B6C73CE" w14:textId="77777777" w:rsidR="00340AD3" w:rsidRDefault="00340AD3"/>
    <w:p w14:paraId="684DAE66" w14:textId="77777777" w:rsidR="00F26355" w:rsidRDefault="00F26355"/>
    <w:p w14:paraId="32B051D0" w14:textId="77777777" w:rsidR="00F26355" w:rsidRDefault="00F26355"/>
    <w:p w14:paraId="79A3516B" w14:textId="77777777" w:rsidR="00F26355" w:rsidRDefault="00F26355"/>
    <w:p w14:paraId="7D173F3A" w14:textId="77777777" w:rsidR="00F26355" w:rsidRDefault="00F26355"/>
    <w:p w14:paraId="55E8913A" w14:textId="77777777" w:rsidR="00EF4732" w:rsidRDefault="00EF4732" w:rsidP="00EF4732">
      <w:pPr>
        <w:pStyle w:val="Heading2"/>
        <w:spacing w:line="360" w:lineRule="auto"/>
        <w:jc w:val="both"/>
        <w:rPr>
          <w:rFonts w:ascii="Arial" w:hAnsi="Arial" w:cs="Arial"/>
          <w:color w:val="auto"/>
          <w:sz w:val="22"/>
          <w:szCs w:val="22"/>
        </w:rPr>
      </w:pPr>
    </w:p>
    <w:p w14:paraId="790D32C8" w14:textId="77777777" w:rsidR="00EF4732" w:rsidRDefault="00EF4732" w:rsidP="00EF4732"/>
    <w:p w14:paraId="468EFE26" w14:textId="77777777" w:rsidR="00F00B65" w:rsidRDefault="00F00B65" w:rsidP="00EF4732"/>
    <w:p w14:paraId="2DC7DC2A" w14:textId="77777777" w:rsidR="00F00B65" w:rsidRDefault="00F00B65" w:rsidP="00EF4732"/>
    <w:p w14:paraId="28056214" w14:textId="77777777" w:rsidR="00F00B65" w:rsidRDefault="00F00B65" w:rsidP="00EF4732"/>
    <w:p w14:paraId="59C6F3D6" w14:textId="77777777" w:rsidR="00F00B65" w:rsidRPr="00EF4732" w:rsidRDefault="00F00B65" w:rsidP="00EF4732"/>
    <w:p w14:paraId="00EF0AE3" w14:textId="64596E47" w:rsidR="00493CE3" w:rsidRPr="00846C4C" w:rsidRDefault="00273FF6" w:rsidP="00EF4732">
      <w:pPr>
        <w:pStyle w:val="Heading2"/>
        <w:spacing w:line="360" w:lineRule="auto"/>
        <w:jc w:val="both"/>
        <w:rPr>
          <w:rFonts w:ascii="Arial" w:hAnsi="Arial" w:cs="Arial"/>
          <w:color w:val="auto"/>
          <w:sz w:val="22"/>
          <w:szCs w:val="22"/>
        </w:rPr>
      </w:pPr>
      <w:bookmarkStart w:id="0" w:name="_Toc151055252"/>
      <w:r w:rsidRPr="007C1713">
        <w:rPr>
          <w:rFonts w:ascii="Arial" w:hAnsi="Arial" w:cs="Arial"/>
          <w:color w:val="auto"/>
          <w:sz w:val="22"/>
          <w:szCs w:val="22"/>
        </w:rPr>
        <w:lastRenderedPageBreak/>
        <w:t>1</w:t>
      </w:r>
      <w:r w:rsidRPr="00846C4C">
        <w:rPr>
          <w:rFonts w:ascii="Arial" w:hAnsi="Arial" w:cs="Arial"/>
          <w:color w:val="auto"/>
          <w:sz w:val="22"/>
          <w:szCs w:val="22"/>
        </w:rPr>
        <w:t xml:space="preserve">.0 </w:t>
      </w:r>
      <w:r w:rsidR="00F26355" w:rsidRPr="00846C4C">
        <w:rPr>
          <w:rStyle w:val="Heading1Char"/>
          <w:rFonts w:ascii="Arial" w:hAnsi="Arial" w:cs="Arial"/>
          <w:color w:val="auto"/>
          <w:sz w:val="22"/>
          <w:szCs w:val="22"/>
        </w:rPr>
        <w:t>A</w:t>
      </w:r>
      <w:r w:rsidR="00241B7B" w:rsidRPr="00846C4C">
        <w:rPr>
          <w:rStyle w:val="Heading1Char"/>
          <w:rFonts w:ascii="Arial" w:hAnsi="Arial" w:cs="Arial"/>
          <w:color w:val="auto"/>
          <w:sz w:val="22"/>
          <w:szCs w:val="22"/>
        </w:rPr>
        <w:t>stra background history</w:t>
      </w:r>
      <w:bookmarkEnd w:id="0"/>
      <w:r w:rsidR="00493CE3" w:rsidRPr="00846C4C">
        <w:rPr>
          <w:rFonts w:ascii="Arial" w:hAnsi="Arial" w:cs="Arial"/>
          <w:color w:val="auto"/>
          <w:sz w:val="22"/>
          <w:szCs w:val="22"/>
        </w:rPr>
        <w:t xml:space="preserve"> </w:t>
      </w:r>
    </w:p>
    <w:p w14:paraId="6D816314" w14:textId="77777777" w:rsidR="00493CE3" w:rsidRPr="00846C4C" w:rsidRDefault="00493CE3" w:rsidP="00EF4732">
      <w:pPr>
        <w:spacing w:line="360" w:lineRule="auto"/>
        <w:jc w:val="both"/>
        <w:rPr>
          <w:rFonts w:ascii="Arial" w:hAnsi="Arial" w:cs="Arial"/>
        </w:rPr>
      </w:pPr>
      <w:r w:rsidRPr="00846C4C">
        <w:rPr>
          <w:rFonts w:ascii="Arial" w:hAnsi="Arial" w:cs="Arial"/>
        </w:rPr>
        <w:t xml:space="preserve">The largest pharmaceutical organisation in Scandinavia is Astra. </w:t>
      </w:r>
    </w:p>
    <w:p w14:paraId="17C2F473" w14:textId="77777777" w:rsidR="00493CE3" w:rsidRPr="00846C4C" w:rsidRDefault="00493CE3" w:rsidP="00EF4732">
      <w:pPr>
        <w:spacing w:line="360" w:lineRule="auto"/>
        <w:jc w:val="both"/>
        <w:rPr>
          <w:rStyle w:val="Heading2Char"/>
          <w:rFonts w:ascii="Arial" w:hAnsi="Arial" w:cs="Arial"/>
          <w:color w:val="auto"/>
          <w:sz w:val="22"/>
          <w:szCs w:val="22"/>
        </w:rPr>
      </w:pPr>
      <w:r w:rsidRPr="00846C4C">
        <w:rPr>
          <w:rFonts w:ascii="Arial" w:hAnsi="Arial" w:cs="Arial"/>
        </w:rPr>
        <w:t>The organisation boasts a long history of being praised from the Swedish scientific elite due to its primary focus on scientific research and development, and it is actively expanding its global footprint through collaborative ventures and licencing contracts involving foreign organizations.</w:t>
      </w:r>
    </w:p>
    <w:p w14:paraId="2D289A4C" w14:textId="77777777" w:rsidR="00493CE3" w:rsidRPr="00846C4C" w:rsidRDefault="00493CE3" w:rsidP="00EF4732">
      <w:pPr>
        <w:spacing w:line="360" w:lineRule="auto"/>
        <w:jc w:val="both"/>
        <w:rPr>
          <w:rFonts w:ascii="Arial" w:hAnsi="Arial" w:cs="Arial"/>
        </w:rPr>
      </w:pPr>
      <w:r w:rsidRPr="00846C4C">
        <w:rPr>
          <w:rFonts w:ascii="Arial" w:hAnsi="Arial" w:cs="Arial"/>
        </w:rPr>
        <w:t xml:space="preserve">Swedish legislation prohibited anybody other than licenced apothecaries from manufacturing pharmaceuticals before 1913. </w:t>
      </w:r>
    </w:p>
    <w:p w14:paraId="09B42A22" w14:textId="77777777" w:rsidR="00493CE3" w:rsidRPr="00846C4C" w:rsidRDefault="00493CE3" w:rsidP="00EF4732">
      <w:pPr>
        <w:spacing w:line="360" w:lineRule="auto"/>
        <w:jc w:val="both"/>
        <w:rPr>
          <w:rFonts w:ascii="Arial" w:hAnsi="Arial" w:cs="Arial"/>
        </w:rPr>
      </w:pPr>
      <w:r w:rsidRPr="00846C4C">
        <w:rPr>
          <w:rFonts w:ascii="Arial" w:hAnsi="Arial" w:cs="Arial"/>
        </w:rPr>
        <w:t>The 1913 approval of a legislative modification made it permissible for manufacturing companies to produce medications. A group of over 400 physicians and apothecaries came united to form Astra and served as the company's founding members as well as its initial owners.</w:t>
      </w:r>
    </w:p>
    <w:p w14:paraId="0C874CE4" w14:textId="7A6D32EB" w:rsidR="00990937" w:rsidRPr="00846C4C" w:rsidRDefault="00273FF6" w:rsidP="00EF4732">
      <w:pPr>
        <w:pStyle w:val="Heading2"/>
        <w:spacing w:line="360" w:lineRule="auto"/>
        <w:jc w:val="both"/>
        <w:rPr>
          <w:rFonts w:ascii="Arial" w:hAnsi="Arial" w:cs="Arial"/>
          <w:color w:val="auto"/>
          <w:sz w:val="22"/>
          <w:szCs w:val="22"/>
        </w:rPr>
      </w:pPr>
      <w:bookmarkStart w:id="1" w:name="_Toc151055253"/>
      <w:r w:rsidRPr="00846C4C">
        <w:rPr>
          <w:rFonts w:ascii="Arial" w:hAnsi="Arial" w:cs="Arial"/>
          <w:color w:val="auto"/>
          <w:sz w:val="22"/>
          <w:szCs w:val="22"/>
        </w:rPr>
        <w:t xml:space="preserve">1.1 </w:t>
      </w:r>
      <w:r w:rsidR="00990937" w:rsidRPr="00846C4C">
        <w:rPr>
          <w:rFonts w:ascii="Arial" w:hAnsi="Arial" w:cs="Arial"/>
          <w:color w:val="auto"/>
          <w:sz w:val="22"/>
          <w:szCs w:val="22"/>
        </w:rPr>
        <w:t xml:space="preserve">ZENECA </w:t>
      </w:r>
      <w:r w:rsidR="00F26355" w:rsidRPr="00846C4C">
        <w:rPr>
          <w:rFonts w:ascii="Arial" w:hAnsi="Arial" w:cs="Arial"/>
          <w:color w:val="auto"/>
          <w:sz w:val="22"/>
          <w:szCs w:val="22"/>
        </w:rPr>
        <w:t>background history</w:t>
      </w:r>
      <w:bookmarkEnd w:id="1"/>
    </w:p>
    <w:p w14:paraId="3D9D7E20" w14:textId="77777777" w:rsidR="00990937" w:rsidRPr="00846C4C" w:rsidRDefault="00990937" w:rsidP="00EF4732">
      <w:pPr>
        <w:spacing w:line="360" w:lineRule="auto"/>
        <w:jc w:val="both"/>
        <w:rPr>
          <w:rFonts w:ascii="Arial" w:hAnsi="Arial" w:cs="Arial"/>
        </w:rPr>
      </w:pPr>
      <w:r w:rsidRPr="00846C4C">
        <w:rPr>
          <w:rFonts w:ascii="Arial" w:hAnsi="Arial" w:cs="Arial"/>
        </w:rPr>
        <w:t>Zeneca Group PLC was a public limited company in the pharmaceutical industry Zeneca Group PLC was founded in 1993 with its headquarters located in London, United Kingdom. The demerger of the pharmaceutical and agrochemicals businesses of imperial chemical industries into separate company listed on the London stock exchange.</w:t>
      </w:r>
    </w:p>
    <w:p w14:paraId="5DFC6D69" w14:textId="77777777" w:rsidR="00990937" w:rsidRPr="00846C4C" w:rsidRDefault="00990937" w:rsidP="00EF4732">
      <w:pPr>
        <w:spacing w:line="360" w:lineRule="auto"/>
        <w:jc w:val="both"/>
        <w:rPr>
          <w:rFonts w:ascii="Arial" w:hAnsi="Arial" w:cs="Arial"/>
        </w:rPr>
      </w:pPr>
      <w:r w:rsidRPr="00846C4C">
        <w:rPr>
          <w:rFonts w:ascii="Arial" w:hAnsi="Arial" w:cs="Arial"/>
        </w:rPr>
        <w:t>In 1997, Zeneca made the announcement that it would buy the remaining 50% of Salick. For US$500 million in December 1997, Zeneca purchased Ishihara Sangyo Kaisha's US fungicide business as well as the distribution rights to four recently developed fungicides, herbicides, and pest control chemicals.</w:t>
      </w:r>
    </w:p>
    <w:p w14:paraId="28A0AB48" w14:textId="77777777" w:rsidR="005F0B72" w:rsidRPr="00846C4C" w:rsidRDefault="00636AC6" w:rsidP="00EF4732">
      <w:pPr>
        <w:spacing w:line="360" w:lineRule="auto"/>
        <w:jc w:val="both"/>
        <w:rPr>
          <w:rFonts w:ascii="Arial" w:hAnsi="Arial" w:cs="Arial"/>
        </w:rPr>
      </w:pPr>
      <w:r w:rsidRPr="00846C4C">
        <w:rPr>
          <w:rFonts w:ascii="Arial" w:hAnsi="Arial" w:cs="Arial"/>
        </w:rPr>
        <w:t>Zeneca stated in May 1998 that Tom McKillop, who was in charge of the company's pharmaceuticals business at the time, would take over as CEO from Sir David Barnes, who would subsequently become Zeneca's non-executive chairman.</w:t>
      </w:r>
    </w:p>
    <w:p w14:paraId="49E4129B" w14:textId="77777777" w:rsidR="00754489" w:rsidRPr="00846C4C" w:rsidRDefault="00754489" w:rsidP="007C1713">
      <w:pPr>
        <w:spacing w:line="360" w:lineRule="auto"/>
        <w:jc w:val="both"/>
        <w:rPr>
          <w:rFonts w:ascii="Arial" w:hAnsi="Arial" w:cs="Arial"/>
        </w:rPr>
      </w:pPr>
    </w:p>
    <w:p w14:paraId="23A79ED1" w14:textId="77777777" w:rsidR="00754489" w:rsidRPr="00846C4C" w:rsidRDefault="00754489" w:rsidP="007C1713">
      <w:pPr>
        <w:spacing w:line="360" w:lineRule="auto"/>
        <w:jc w:val="both"/>
        <w:rPr>
          <w:rFonts w:ascii="Arial" w:hAnsi="Arial" w:cs="Arial"/>
        </w:rPr>
      </w:pPr>
    </w:p>
    <w:p w14:paraId="6D9FEA5C" w14:textId="77777777" w:rsidR="00754489" w:rsidRPr="00846C4C" w:rsidRDefault="00754489" w:rsidP="007C1713">
      <w:pPr>
        <w:spacing w:line="360" w:lineRule="auto"/>
        <w:jc w:val="both"/>
        <w:rPr>
          <w:rFonts w:ascii="Arial" w:hAnsi="Arial" w:cs="Arial"/>
        </w:rPr>
      </w:pPr>
    </w:p>
    <w:p w14:paraId="23BF050D" w14:textId="77777777" w:rsidR="00754489" w:rsidRPr="00846C4C" w:rsidRDefault="00754489" w:rsidP="007C1713">
      <w:pPr>
        <w:spacing w:line="360" w:lineRule="auto"/>
        <w:jc w:val="both"/>
        <w:rPr>
          <w:rFonts w:ascii="Arial" w:hAnsi="Arial" w:cs="Arial"/>
        </w:rPr>
      </w:pPr>
    </w:p>
    <w:p w14:paraId="73489C90" w14:textId="77777777" w:rsidR="00754489" w:rsidRPr="00846C4C" w:rsidRDefault="00754489" w:rsidP="007C1713">
      <w:pPr>
        <w:spacing w:line="360" w:lineRule="auto"/>
        <w:jc w:val="both"/>
        <w:rPr>
          <w:rFonts w:ascii="Arial" w:hAnsi="Arial" w:cs="Arial"/>
        </w:rPr>
      </w:pPr>
    </w:p>
    <w:p w14:paraId="17A3CA12" w14:textId="77777777" w:rsidR="00754489" w:rsidRPr="00846C4C" w:rsidRDefault="00754489" w:rsidP="007C1713">
      <w:pPr>
        <w:spacing w:line="360" w:lineRule="auto"/>
        <w:jc w:val="both"/>
        <w:rPr>
          <w:rFonts w:ascii="Arial" w:hAnsi="Arial" w:cs="Arial"/>
        </w:rPr>
      </w:pPr>
    </w:p>
    <w:p w14:paraId="6C81DC3B" w14:textId="77777777" w:rsidR="00754489" w:rsidRPr="00846C4C" w:rsidRDefault="00754489" w:rsidP="00043AAA">
      <w:pPr>
        <w:spacing w:line="360" w:lineRule="auto"/>
        <w:jc w:val="both"/>
        <w:rPr>
          <w:rFonts w:ascii="Arial" w:hAnsi="Arial" w:cs="Arial"/>
        </w:rPr>
      </w:pPr>
    </w:p>
    <w:p w14:paraId="03D29042" w14:textId="6E61DD25" w:rsidR="002D6CDF" w:rsidRPr="00846C4C" w:rsidRDefault="000B71D1" w:rsidP="00E13A52">
      <w:pPr>
        <w:pStyle w:val="Heading2"/>
        <w:spacing w:line="360" w:lineRule="auto"/>
        <w:rPr>
          <w:rFonts w:ascii="Arial" w:hAnsi="Arial" w:cs="Arial"/>
          <w:color w:val="auto"/>
          <w:sz w:val="22"/>
          <w:szCs w:val="22"/>
        </w:rPr>
      </w:pPr>
      <w:bookmarkStart w:id="2" w:name="_Toc151055254"/>
      <w:r w:rsidRPr="00846C4C">
        <w:rPr>
          <w:rFonts w:ascii="Arial" w:hAnsi="Arial" w:cs="Arial"/>
          <w:color w:val="auto"/>
          <w:sz w:val="22"/>
          <w:szCs w:val="22"/>
        </w:rPr>
        <w:lastRenderedPageBreak/>
        <w:t xml:space="preserve">1.2 </w:t>
      </w:r>
      <w:r w:rsidR="007C1713" w:rsidRPr="00846C4C">
        <w:rPr>
          <w:rFonts w:ascii="Arial" w:hAnsi="Arial" w:cs="Arial"/>
          <w:color w:val="auto"/>
          <w:sz w:val="22"/>
          <w:szCs w:val="22"/>
        </w:rPr>
        <w:t>AstraZeneca</w:t>
      </w:r>
      <w:r w:rsidR="00F26355" w:rsidRPr="00846C4C">
        <w:rPr>
          <w:rFonts w:ascii="Arial" w:hAnsi="Arial" w:cs="Arial"/>
          <w:color w:val="auto"/>
          <w:sz w:val="22"/>
          <w:szCs w:val="22"/>
        </w:rPr>
        <w:t xml:space="preserve"> background history</w:t>
      </w:r>
      <w:r w:rsidR="005F0B72" w:rsidRPr="00846C4C">
        <w:rPr>
          <w:rFonts w:ascii="Arial" w:hAnsi="Arial" w:cs="Arial"/>
          <w:color w:val="auto"/>
          <w:sz w:val="22"/>
          <w:szCs w:val="22"/>
        </w:rPr>
        <w:t>:</w:t>
      </w:r>
      <w:bookmarkEnd w:id="2"/>
    </w:p>
    <w:p w14:paraId="19AE94E3" w14:textId="378B51EB" w:rsidR="00917577" w:rsidRPr="00846C4C" w:rsidRDefault="00050D06" w:rsidP="00E13A52">
      <w:pPr>
        <w:spacing w:line="360" w:lineRule="auto"/>
        <w:jc w:val="both"/>
        <w:rPr>
          <w:rFonts w:ascii="Arial" w:hAnsi="Arial" w:cs="Arial"/>
          <w:i/>
          <w:iCs/>
        </w:rPr>
      </w:pPr>
      <w:r w:rsidRPr="00846C4C">
        <w:rPr>
          <w:rFonts w:ascii="Arial" w:hAnsi="Arial" w:cs="Arial"/>
          <w:i/>
          <w:iCs/>
        </w:rPr>
        <w:t>Figure 1 timeline of AstraZeneca</w:t>
      </w:r>
      <w:r w:rsidR="005F0B72" w:rsidRPr="00846C4C">
        <w:rPr>
          <w:rFonts w:ascii="Arial" w:hAnsi="Arial" w:cs="Arial"/>
          <w:i/>
          <w:iCs/>
        </w:rPr>
        <w:t>.</w:t>
      </w:r>
    </w:p>
    <w:p w14:paraId="3F97D59F" w14:textId="078E8B14" w:rsidR="00754489" w:rsidRPr="00E13A52" w:rsidRDefault="00D859FC" w:rsidP="00043AAA">
      <w:pPr>
        <w:spacing w:line="360" w:lineRule="auto"/>
        <w:jc w:val="both"/>
        <w:rPr>
          <w:rFonts w:ascii="Arial" w:hAnsi="Arial" w:cs="Arial"/>
        </w:rPr>
      </w:pPr>
      <w:r w:rsidRPr="00846C4C">
        <w:rPr>
          <w:rFonts w:ascii="Arial" w:hAnsi="Arial" w:cs="Arial"/>
          <w:noProof/>
        </w:rPr>
        <w:drawing>
          <wp:inline distT="0" distB="0" distL="0" distR="0" wp14:anchorId="4337B319" wp14:editId="7EC253C8">
            <wp:extent cx="5728970" cy="3151990"/>
            <wp:effectExtent l="0" t="0" r="5080" b="0"/>
            <wp:docPr id="19522628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6287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7467" cy="3156665"/>
                    </a:xfrm>
                    <a:prstGeom prst="rect">
                      <a:avLst/>
                    </a:prstGeom>
                  </pic:spPr>
                </pic:pic>
              </a:graphicData>
            </a:graphic>
          </wp:inline>
        </w:drawing>
      </w:r>
      <w:r w:rsidR="00754489" w:rsidRPr="00E13A52">
        <w:rPr>
          <w:rFonts w:ascii="Arial" w:hAnsi="Arial" w:cs="Arial"/>
          <w:i/>
          <w:iCs/>
          <w:sz w:val="16"/>
          <w:szCs w:val="16"/>
        </w:rPr>
        <w:t>Source AstraZeneca, (2023).</w:t>
      </w:r>
    </w:p>
    <w:p w14:paraId="33C18365" w14:textId="77777777" w:rsidR="002D6CDF" w:rsidRPr="00846C4C" w:rsidRDefault="002D6CDF" w:rsidP="00043AAA">
      <w:pPr>
        <w:spacing w:line="360" w:lineRule="auto"/>
        <w:jc w:val="both"/>
        <w:rPr>
          <w:rFonts w:ascii="Arial" w:hAnsi="Arial" w:cs="Arial"/>
        </w:rPr>
      </w:pPr>
      <w:r w:rsidRPr="00846C4C">
        <w:rPr>
          <w:rFonts w:ascii="Arial" w:hAnsi="Arial" w:cs="Arial"/>
        </w:rPr>
        <w:t xml:space="preserve">According to Lepech, Plambeck, and Sutherland, (2016) In 1999, Sweden's Astra AB and Britain's Zeneca Group amalgamated to establish AstraZeneca. </w:t>
      </w:r>
    </w:p>
    <w:p w14:paraId="21DA9BC6" w14:textId="77777777" w:rsidR="002D6CDF" w:rsidRPr="00846C4C" w:rsidRDefault="002D6CDF" w:rsidP="00043AAA">
      <w:pPr>
        <w:spacing w:line="360" w:lineRule="auto"/>
        <w:jc w:val="both"/>
        <w:rPr>
          <w:rFonts w:ascii="Arial" w:hAnsi="Arial" w:cs="Arial"/>
        </w:rPr>
      </w:pPr>
      <w:r w:rsidRPr="00846C4C">
        <w:rPr>
          <w:rFonts w:ascii="Arial" w:hAnsi="Arial" w:cs="Arial"/>
        </w:rPr>
        <w:t xml:space="preserve">The pharmaceutical company employed about 60,000 people globally in 2017, focusing on drugs to treat inflammatory conditions, diseases such as cancer, cardiovascular diseases and metabolic illness, disorders of the gastrointestinal, illnesses that are infectious, and neurological conditions. </w:t>
      </w:r>
    </w:p>
    <w:p w14:paraId="5A96CBDA" w14:textId="77777777" w:rsidR="002D6CDF" w:rsidRPr="00846C4C" w:rsidRDefault="002D6CDF" w:rsidP="00043AAA">
      <w:pPr>
        <w:spacing w:line="360" w:lineRule="auto"/>
        <w:jc w:val="both"/>
        <w:rPr>
          <w:rFonts w:ascii="Arial" w:hAnsi="Arial" w:cs="Arial"/>
        </w:rPr>
      </w:pPr>
      <w:r w:rsidRPr="00846C4C">
        <w:rPr>
          <w:rFonts w:ascii="Arial" w:hAnsi="Arial" w:cs="Arial"/>
        </w:rPr>
        <w:t xml:space="preserve">AstraZeneca, which has its head office in Cambridge, in the United Kingdom, possesses multiple significant research and development facilities: one in UK, Cambridge, one for familiar chemical research on drugs in </w:t>
      </w:r>
      <w:bookmarkStart w:id="3" w:name="_Int_pKVen9hi"/>
      <w:r w:rsidRPr="00846C4C">
        <w:rPr>
          <w:rFonts w:ascii="Arial" w:hAnsi="Arial" w:cs="Arial"/>
        </w:rPr>
        <w:t>Mölndal</w:t>
      </w:r>
      <w:bookmarkEnd w:id="3"/>
      <w:r w:rsidRPr="00846C4C">
        <w:rPr>
          <w:rFonts w:ascii="Arial" w:hAnsi="Arial" w:cs="Arial"/>
        </w:rPr>
        <w:t>, Sweden; and one for biopharmaceutical research in Gaithersburg, Maryland. In the year 2021, AstraZeneca employed 83,100 individuals in more than 100 nations. From 1999, the organisation continues to be conducting business in Switzerland along AstraZeneca AG in Baar, in the Zug canton.</w:t>
      </w:r>
    </w:p>
    <w:p w14:paraId="2D7B51DA" w14:textId="77777777" w:rsidR="003F36AE" w:rsidRPr="00846C4C" w:rsidRDefault="003F36AE" w:rsidP="00043AAA">
      <w:pPr>
        <w:spacing w:line="360" w:lineRule="auto"/>
        <w:jc w:val="both"/>
        <w:rPr>
          <w:rFonts w:ascii="Arial" w:hAnsi="Arial" w:cs="Arial"/>
        </w:rPr>
      </w:pPr>
    </w:p>
    <w:p w14:paraId="6A3A68DB" w14:textId="77777777" w:rsidR="003F36AE" w:rsidRPr="00846C4C" w:rsidRDefault="003F36AE" w:rsidP="00043AAA">
      <w:pPr>
        <w:spacing w:line="360" w:lineRule="auto"/>
        <w:jc w:val="both"/>
        <w:rPr>
          <w:rFonts w:ascii="Arial" w:hAnsi="Arial" w:cs="Arial"/>
        </w:rPr>
      </w:pPr>
    </w:p>
    <w:p w14:paraId="63C6BE8C" w14:textId="77777777" w:rsidR="003F36AE" w:rsidRPr="00846C4C" w:rsidRDefault="003F36AE" w:rsidP="00043AAA">
      <w:pPr>
        <w:spacing w:line="360" w:lineRule="auto"/>
        <w:jc w:val="both"/>
        <w:rPr>
          <w:rFonts w:ascii="Arial" w:hAnsi="Arial" w:cs="Arial"/>
        </w:rPr>
      </w:pPr>
    </w:p>
    <w:p w14:paraId="1FDE5DBA" w14:textId="77777777" w:rsidR="00754489" w:rsidRDefault="00754489" w:rsidP="00043AAA">
      <w:pPr>
        <w:spacing w:line="360" w:lineRule="auto"/>
        <w:jc w:val="both"/>
        <w:rPr>
          <w:rFonts w:ascii="Arial" w:hAnsi="Arial" w:cs="Arial"/>
        </w:rPr>
      </w:pPr>
    </w:p>
    <w:p w14:paraId="1F9D18F9" w14:textId="77777777" w:rsidR="00752E41" w:rsidRPr="00846C4C" w:rsidRDefault="00752E41" w:rsidP="00043AAA">
      <w:pPr>
        <w:spacing w:line="360" w:lineRule="auto"/>
        <w:jc w:val="both"/>
        <w:rPr>
          <w:rFonts w:ascii="Arial" w:hAnsi="Arial" w:cs="Arial"/>
        </w:rPr>
      </w:pPr>
    </w:p>
    <w:p w14:paraId="34B6D9DC" w14:textId="39E84CFD" w:rsidR="003F36AE" w:rsidRPr="00752E41" w:rsidRDefault="004905F4" w:rsidP="00043AAA">
      <w:pPr>
        <w:spacing w:line="360" w:lineRule="auto"/>
        <w:jc w:val="both"/>
        <w:rPr>
          <w:rFonts w:ascii="Arial" w:hAnsi="Arial" w:cs="Arial"/>
          <w:i/>
          <w:iCs/>
          <w:sz w:val="16"/>
          <w:szCs w:val="16"/>
        </w:rPr>
      </w:pPr>
      <w:r w:rsidRPr="00752E41">
        <w:rPr>
          <w:rFonts w:ascii="Arial" w:hAnsi="Arial" w:cs="Arial"/>
          <w:i/>
          <w:iCs/>
          <w:sz w:val="16"/>
          <w:szCs w:val="16"/>
        </w:rPr>
        <w:lastRenderedPageBreak/>
        <w:t>F</w:t>
      </w:r>
      <w:r w:rsidR="003F36AE" w:rsidRPr="00752E41">
        <w:rPr>
          <w:rFonts w:ascii="Arial" w:hAnsi="Arial" w:cs="Arial"/>
          <w:i/>
          <w:iCs/>
          <w:sz w:val="16"/>
          <w:szCs w:val="16"/>
        </w:rPr>
        <w:t>i</w:t>
      </w:r>
      <w:r w:rsidRPr="00752E41">
        <w:rPr>
          <w:rFonts w:ascii="Arial" w:hAnsi="Arial" w:cs="Arial"/>
          <w:i/>
          <w:iCs/>
          <w:sz w:val="16"/>
          <w:szCs w:val="16"/>
        </w:rPr>
        <w:t xml:space="preserve">gure 2 effectiveness of </w:t>
      </w:r>
      <w:r w:rsidR="004A1459" w:rsidRPr="00752E41">
        <w:rPr>
          <w:rFonts w:ascii="Arial" w:hAnsi="Arial" w:cs="Arial"/>
          <w:i/>
          <w:iCs/>
          <w:sz w:val="16"/>
          <w:szCs w:val="16"/>
        </w:rPr>
        <w:t xml:space="preserve">global business </w:t>
      </w:r>
    </w:p>
    <w:p w14:paraId="6DAE70C2" w14:textId="362748B2" w:rsidR="00A63916" w:rsidRPr="00846C4C" w:rsidRDefault="00FC149F" w:rsidP="00043AAA">
      <w:pPr>
        <w:spacing w:line="360" w:lineRule="auto"/>
        <w:jc w:val="both"/>
        <w:rPr>
          <w:rFonts w:ascii="Arial" w:hAnsi="Arial" w:cs="Arial"/>
        </w:rPr>
      </w:pPr>
      <w:r w:rsidRPr="00846C4C">
        <w:rPr>
          <w:rFonts w:ascii="Arial" w:hAnsi="Arial" w:cs="Arial"/>
          <w:noProof/>
        </w:rPr>
        <w:drawing>
          <wp:inline distT="0" distB="0" distL="0" distR="0" wp14:anchorId="1C1CA4EA" wp14:editId="2BFCF420">
            <wp:extent cx="5731510" cy="3223895"/>
            <wp:effectExtent l="0" t="0" r="2540" b="0"/>
            <wp:docPr id="10291511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5118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87B7223" w14:textId="7949EE43" w:rsidR="007B22DE" w:rsidRPr="00752E41" w:rsidRDefault="007B22DE" w:rsidP="00043AAA">
      <w:pPr>
        <w:spacing w:line="360" w:lineRule="auto"/>
        <w:jc w:val="both"/>
        <w:rPr>
          <w:rFonts w:ascii="Arial" w:hAnsi="Arial" w:cs="Arial"/>
          <w:i/>
          <w:iCs/>
          <w:sz w:val="16"/>
          <w:szCs w:val="16"/>
        </w:rPr>
      </w:pPr>
      <w:r w:rsidRPr="00752E41">
        <w:rPr>
          <w:rFonts w:ascii="Arial" w:hAnsi="Arial" w:cs="Arial"/>
          <w:i/>
          <w:iCs/>
          <w:sz w:val="16"/>
          <w:szCs w:val="16"/>
        </w:rPr>
        <w:t>Source</w:t>
      </w:r>
      <w:r w:rsidR="00FB5B6E" w:rsidRPr="00752E41">
        <w:rPr>
          <w:rFonts w:ascii="Arial" w:hAnsi="Arial" w:cs="Arial"/>
          <w:i/>
          <w:iCs/>
          <w:sz w:val="16"/>
          <w:szCs w:val="16"/>
        </w:rPr>
        <w:t xml:space="preserve">: </w:t>
      </w:r>
      <w:r w:rsidR="002D4684" w:rsidRPr="00752E41">
        <w:rPr>
          <w:rFonts w:ascii="Arial" w:hAnsi="Arial" w:cs="Arial"/>
          <w:i/>
          <w:iCs/>
          <w:sz w:val="16"/>
          <w:szCs w:val="16"/>
        </w:rPr>
        <w:t>(</w:t>
      </w:r>
      <w:r w:rsidR="00FB5B6E" w:rsidRPr="00752E41">
        <w:rPr>
          <w:rFonts w:ascii="Arial" w:hAnsi="Arial" w:cs="Arial"/>
          <w:i/>
          <w:iCs/>
          <w:sz w:val="16"/>
          <w:szCs w:val="16"/>
        </w:rPr>
        <w:t>Self Conceptualization, 2023</w:t>
      </w:r>
      <w:r w:rsidR="002D4684" w:rsidRPr="00752E41">
        <w:rPr>
          <w:rFonts w:ascii="Arial" w:hAnsi="Arial" w:cs="Arial"/>
          <w:i/>
          <w:iCs/>
          <w:sz w:val="16"/>
          <w:szCs w:val="16"/>
        </w:rPr>
        <w:t>)</w:t>
      </w:r>
      <w:r w:rsidR="00E652A6" w:rsidRPr="00752E41">
        <w:rPr>
          <w:rFonts w:ascii="Arial" w:hAnsi="Arial" w:cs="Arial"/>
          <w:i/>
          <w:iCs/>
          <w:sz w:val="16"/>
          <w:szCs w:val="16"/>
        </w:rPr>
        <w:t>.</w:t>
      </w:r>
    </w:p>
    <w:p w14:paraId="5828AB26" w14:textId="415C3C53" w:rsidR="00A63916" w:rsidRPr="00846C4C" w:rsidRDefault="006D6C7E" w:rsidP="00752E41">
      <w:pPr>
        <w:pStyle w:val="Heading2"/>
        <w:spacing w:line="360" w:lineRule="auto"/>
        <w:rPr>
          <w:rFonts w:ascii="Arial" w:hAnsi="Arial" w:cs="Arial"/>
          <w:color w:val="auto"/>
          <w:sz w:val="22"/>
          <w:szCs w:val="22"/>
        </w:rPr>
      </w:pPr>
      <w:bookmarkStart w:id="4" w:name="_Toc151055255"/>
      <w:r w:rsidRPr="00846C4C">
        <w:rPr>
          <w:rFonts w:ascii="Arial" w:hAnsi="Arial" w:cs="Arial"/>
          <w:color w:val="auto"/>
          <w:sz w:val="22"/>
          <w:szCs w:val="22"/>
        </w:rPr>
        <w:t xml:space="preserve">1.3 </w:t>
      </w:r>
      <w:r w:rsidR="00F26355" w:rsidRPr="00846C4C">
        <w:rPr>
          <w:rFonts w:ascii="Arial" w:hAnsi="Arial" w:cs="Arial"/>
          <w:color w:val="auto"/>
          <w:sz w:val="22"/>
          <w:szCs w:val="22"/>
        </w:rPr>
        <w:t>Internationalization journey</w:t>
      </w:r>
      <w:r w:rsidR="00E652A6" w:rsidRPr="00846C4C">
        <w:rPr>
          <w:rFonts w:ascii="Arial" w:hAnsi="Arial" w:cs="Arial"/>
          <w:color w:val="auto"/>
          <w:sz w:val="22"/>
          <w:szCs w:val="22"/>
        </w:rPr>
        <w:t>:</w:t>
      </w:r>
      <w:bookmarkEnd w:id="4"/>
    </w:p>
    <w:p w14:paraId="0906DBB2" w14:textId="344FF7A6" w:rsidR="00A63916" w:rsidRPr="00846C4C" w:rsidRDefault="00A63916" w:rsidP="00752E41">
      <w:pPr>
        <w:spacing w:line="360" w:lineRule="auto"/>
        <w:rPr>
          <w:rFonts w:ascii="Arial" w:hAnsi="Arial" w:cs="Arial"/>
        </w:rPr>
      </w:pPr>
      <w:r w:rsidRPr="00846C4C">
        <w:rPr>
          <w:rFonts w:ascii="Arial" w:hAnsi="Arial" w:cs="Arial"/>
        </w:rPr>
        <w:t>Six elements related to internationalization are required to be incorporated for AstraZeneca's strategies to be effective when executed internationally.</w:t>
      </w:r>
      <w:r w:rsidR="00853009" w:rsidRPr="00846C4C">
        <w:rPr>
          <w:rFonts w:ascii="Arial" w:hAnsi="Arial" w:cs="Arial"/>
        </w:rPr>
        <w:t xml:space="preserve"> </w:t>
      </w:r>
      <w:r w:rsidRPr="00846C4C">
        <w:rPr>
          <w:rFonts w:ascii="Arial" w:hAnsi="Arial" w:cs="Arial"/>
        </w:rPr>
        <w:t xml:space="preserve">With AstraZeneca’s internationalization initiatives, most of humanity </w:t>
      </w:r>
      <w:r w:rsidR="62587ADC" w:rsidRPr="00846C4C">
        <w:rPr>
          <w:rFonts w:ascii="Arial" w:hAnsi="Arial" w:cs="Arial"/>
        </w:rPr>
        <w:t>can</w:t>
      </w:r>
      <w:r w:rsidRPr="00846C4C">
        <w:rPr>
          <w:rFonts w:ascii="Arial" w:hAnsi="Arial" w:cs="Arial"/>
        </w:rPr>
        <w:t xml:space="preserve"> access the use of its products.</w:t>
      </w:r>
    </w:p>
    <w:p w14:paraId="67270338" w14:textId="728B619D" w:rsidR="00A63916" w:rsidRPr="00846C4C" w:rsidRDefault="006D6C7E" w:rsidP="00752E41">
      <w:pPr>
        <w:pStyle w:val="Heading2"/>
        <w:spacing w:line="360" w:lineRule="auto"/>
        <w:rPr>
          <w:rFonts w:ascii="Arial" w:hAnsi="Arial" w:cs="Arial"/>
          <w:color w:val="auto"/>
          <w:sz w:val="22"/>
          <w:szCs w:val="22"/>
        </w:rPr>
      </w:pPr>
      <w:bookmarkStart w:id="5" w:name="_Toc151055256"/>
      <w:r w:rsidRPr="00846C4C">
        <w:rPr>
          <w:rFonts w:ascii="Arial" w:hAnsi="Arial" w:cs="Arial"/>
          <w:color w:val="auto"/>
          <w:sz w:val="22"/>
          <w:szCs w:val="22"/>
        </w:rPr>
        <w:t xml:space="preserve">1.4 </w:t>
      </w:r>
      <w:r w:rsidR="00F26355" w:rsidRPr="00846C4C">
        <w:rPr>
          <w:rFonts w:ascii="Arial" w:hAnsi="Arial" w:cs="Arial"/>
          <w:color w:val="auto"/>
          <w:sz w:val="22"/>
          <w:szCs w:val="22"/>
        </w:rPr>
        <w:t>Home country operations</w:t>
      </w:r>
      <w:r w:rsidR="00A60B74" w:rsidRPr="00846C4C">
        <w:rPr>
          <w:rFonts w:ascii="Arial" w:hAnsi="Arial" w:cs="Arial"/>
          <w:color w:val="auto"/>
          <w:sz w:val="22"/>
          <w:szCs w:val="22"/>
        </w:rPr>
        <w:t>:</w:t>
      </w:r>
      <w:bookmarkEnd w:id="5"/>
    </w:p>
    <w:p w14:paraId="7EB4A06A" w14:textId="1B391E3E" w:rsidR="00720A7D" w:rsidRPr="00846C4C" w:rsidRDefault="00960473" w:rsidP="00752E41">
      <w:pPr>
        <w:spacing w:line="360" w:lineRule="auto"/>
        <w:jc w:val="both"/>
        <w:rPr>
          <w:rFonts w:ascii="Arial" w:hAnsi="Arial" w:cs="Arial"/>
        </w:rPr>
      </w:pPr>
      <w:r w:rsidRPr="00846C4C">
        <w:rPr>
          <w:rFonts w:ascii="Arial" w:hAnsi="Arial" w:cs="Arial"/>
        </w:rPr>
        <w:t>AstraZeneca</w:t>
      </w:r>
      <w:r w:rsidR="00491746" w:rsidRPr="00846C4C">
        <w:rPr>
          <w:rFonts w:ascii="Arial" w:hAnsi="Arial" w:cs="Arial"/>
        </w:rPr>
        <w:t xml:space="preserve"> state</w:t>
      </w:r>
      <w:r w:rsidRPr="00846C4C">
        <w:rPr>
          <w:rFonts w:ascii="Arial" w:hAnsi="Arial" w:cs="Arial"/>
        </w:rPr>
        <w:t xml:space="preserve"> (2023) </w:t>
      </w:r>
      <w:r w:rsidR="00E77568" w:rsidRPr="00846C4C">
        <w:rPr>
          <w:rFonts w:ascii="Arial" w:hAnsi="Arial" w:cs="Arial"/>
        </w:rPr>
        <w:t>a</w:t>
      </w:r>
      <w:r w:rsidRPr="00846C4C">
        <w:rPr>
          <w:rFonts w:ascii="Arial" w:hAnsi="Arial" w:cs="Arial"/>
        </w:rPr>
        <w:t xml:space="preserve">t AstraZeneca, science represents the framework for whatever scientists perform. (AZ) in the United Kingdom; in the month of May of 2019, AstraZeneca workforce in five </w:t>
      </w:r>
      <w:proofErr w:type="gramStart"/>
      <w:r w:rsidRPr="00846C4C">
        <w:rPr>
          <w:rFonts w:ascii="Arial" w:hAnsi="Arial" w:cs="Arial"/>
        </w:rPr>
        <w:t>different locations</w:t>
      </w:r>
      <w:proofErr w:type="gramEnd"/>
      <w:r w:rsidRPr="00846C4C">
        <w:rPr>
          <w:rFonts w:ascii="Arial" w:hAnsi="Arial" w:cs="Arial"/>
        </w:rPr>
        <w:t xml:space="preserve"> throughout the country are bringing research to patients and creating value for Britain. nine per cent of all employment in the pharmaceutical industry, with an additional 39,000 jobs supported in the UK in areas like as production, supply, marketplace, study and creation, and sales. AstraZeneca prioritises the needs of its patients </w:t>
      </w:r>
      <w:proofErr w:type="gramStart"/>
      <w:r w:rsidRPr="00846C4C">
        <w:rPr>
          <w:rFonts w:ascii="Arial" w:hAnsi="Arial" w:cs="Arial"/>
        </w:rPr>
        <w:t>above all else</w:t>
      </w:r>
      <w:proofErr w:type="gramEnd"/>
      <w:r w:rsidRPr="00846C4C">
        <w:rPr>
          <w:rFonts w:ascii="Arial" w:hAnsi="Arial" w:cs="Arial"/>
        </w:rPr>
        <w:t>. It pushes scientific frontiers to provide patients with life-changing medications. In areas including data, precision medicine, genomics, and patient route redesign, A</w:t>
      </w:r>
      <w:r w:rsidR="00542E3A" w:rsidRPr="00846C4C">
        <w:rPr>
          <w:rFonts w:ascii="Arial" w:hAnsi="Arial" w:cs="Arial"/>
        </w:rPr>
        <w:t>straZeneca</w:t>
      </w:r>
      <w:r w:rsidRPr="00846C4C">
        <w:rPr>
          <w:rFonts w:ascii="Arial" w:hAnsi="Arial" w:cs="Arial"/>
        </w:rPr>
        <w:t xml:space="preserve"> collaborates with the NHS. Patients will have access to state-of-the-art therapies when AstraZeneca and the NHS collaborate. </w:t>
      </w:r>
      <w:r w:rsidR="007C1D44" w:rsidRPr="00846C4C">
        <w:rPr>
          <w:rFonts w:ascii="Arial" w:hAnsi="Arial" w:cs="Arial"/>
        </w:rPr>
        <w:t>In Cambridge, England AZ has allocated more than five hundred million pounds to build a critical research and development hub and future international headquarter. At its Macclesfield site, A</w:t>
      </w:r>
      <w:r w:rsidR="00542E3A" w:rsidRPr="00846C4C">
        <w:rPr>
          <w:rFonts w:ascii="Arial" w:hAnsi="Arial" w:cs="Arial"/>
        </w:rPr>
        <w:t>stra</w:t>
      </w:r>
      <w:r w:rsidR="007C1D44" w:rsidRPr="00846C4C">
        <w:rPr>
          <w:rFonts w:ascii="Arial" w:hAnsi="Arial" w:cs="Arial"/>
        </w:rPr>
        <w:t>Z</w:t>
      </w:r>
      <w:r w:rsidR="00022E3C" w:rsidRPr="00846C4C">
        <w:rPr>
          <w:rFonts w:ascii="Arial" w:hAnsi="Arial" w:cs="Arial"/>
        </w:rPr>
        <w:t>eneca</w:t>
      </w:r>
      <w:r w:rsidR="007C1D44" w:rsidRPr="00846C4C">
        <w:rPr>
          <w:rFonts w:ascii="Arial" w:hAnsi="Arial" w:cs="Arial"/>
        </w:rPr>
        <w:t xml:space="preserve"> has already spent two hundred twenty million</w:t>
      </w:r>
      <w:r w:rsidR="00491746" w:rsidRPr="00846C4C">
        <w:rPr>
          <w:rFonts w:ascii="Arial" w:hAnsi="Arial" w:cs="Arial"/>
        </w:rPr>
        <w:t xml:space="preserve"> </w:t>
      </w:r>
      <w:r w:rsidR="007C1D44" w:rsidRPr="00846C4C">
        <w:rPr>
          <w:rFonts w:ascii="Arial" w:hAnsi="Arial" w:cs="Arial"/>
        </w:rPr>
        <w:t>on infrastructure upgrades, producing goods, and storage.</w:t>
      </w:r>
    </w:p>
    <w:p w14:paraId="16D05CBD" w14:textId="77777777" w:rsidR="00F26355" w:rsidRPr="00846C4C" w:rsidRDefault="00F26355" w:rsidP="00043AAA">
      <w:pPr>
        <w:spacing w:line="360" w:lineRule="auto"/>
        <w:jc w:val="both"/>
        <w:rPr>
          <w:rFonts w:ascii="Arial" w:hAnsi="Arial" w:cs="Arial"/>
        </w:rPr>
      </w:pPr>
    </w:p>
    <w:p w14:paraId="2386BED7" w14:textId="43BC75CF" w:rsidR="00A63916" w:rsidRPr="00846C4C" w:rsidRDefault="00427F5E" w:rsidP="00752E41">
      <w:pPr>
        <w:pStyle w:val="Heading3"/>
        <w:spacing w:line="360" w:lineRule="auto"/>
        <w:rPr>
          <w:rFonts w:ascii="Arial" w:hAnsi="Arial" w:cs="Arial"/>
          <w:color w:val="auto"/>
          <w:sz w:val="22"/>
          <w:szCs w:val="22"/>
        </w:rPr>
      </w:pPr>
      <w:bookmarkStart w:id="6" w:name="_Toc151055257"/>
      <w:r w:rsidRPr="00846C4C">
        <w:rPr>
          <w:rFonts w:ascii="Arial" w:hAnsi="Arial" w:cs="Arial"/>
          <w:color w:val="auto"/>
          <w:sz w:val="22"/>
          <w:szCs w:val="22"/>
        </w:rPr>
        <w:lastRenderedPageBreak/>
        <w:t>1.</w:t>
      </w:r>
      <w:r w:rsidR="00EA2F74" w:rsidRPr="00846C4C">
        <w:rPr>
          <w:rFonts w:ascii="Arial" w:hAnsi="Arial" w:cs="Arial"/>
          <w:color w:val="auto"/>
          <w:sz w:val="22"/>
          <w:szCs w:val="22"/>
        </w:rPr>
        <w:t>4</w:t>
      </w:r>
      <w:r w:rsidRPr="00846C4C">
        <w:rPr>
          <w:rFonts w:ascii="Arial" w:hAnsi="Arial" w:cs="Arial"/>
          <w:color w:val="auto"/>
          <w:sz w:val="22"/>
          <w:szCs w:val="22"/>
        </w:rPr>
        <w:t xml:space="preserve"> </w:t>
      </w:r>
      <w:r w:rsidR="00F26355" w:rsidRPr="00846C4C">
        <w:rPr>
          <w:rFonts w:ascii="Arial" w:hAnsi="Arial" w:cs="Arial"/>
          <w:color w:val="auto"/>
          <w:sz w:val="22"/>
          <w:szCs w:val="22"/>
        </w:rPr>
        <w:t>Host country operations</w:t>
      </w:r>
      <w:r w:rsidR="00F23560" w:rsidRPr="00846C4C">
        <w:rPr>
          <w:rFonts w:ascii="Arial" w:hAnsi="Arial" w:cs="Arial"/>
          <w:color w:val="auto"/>
          <w:sz w:val="22"/>
          <w:szCs w:val="22"/>
        </w:rPr>
        <w:t>:</w:t>
      </w:r>
      <w:bookmarkEnd w:id="6"/>
    </w:p>
    <w:p w14:paraId="6D81DA01" w14:textId="10412873" w:rsidR="00074EDE" w:rsidRPr="00846C4C" w:rsidRDefault="00A63916" w:rsidP="00752E41">
      <w:pPr>
        <w:spacing w:line="360" w:lineRule="auto"/>
        <w:jc w:val="both"/>
        <w:rPr>
          <w:rFonts w:ascii="Arial" w:hAnsi="Arial" w:cs="Arial"/>
          <w:spacing w:val="5"/>
        </w:rPr>
      </w:pPr>
      <w:r w:rsidRPr="00846C4C">
        <w:rPr>
          <w:rFonts w:ascii="Arial" w:hAnsi="Arial" w:cs="Arial"/>
        </w:rPr>
        <w:t xml:space="preserve">According to AstraZeneca, (2023) </w:t>
      </w:r>
      <w:r w:rsidR="00831A47" w:rsidRPr="00846C4C">
        <w:rPr>
          <w:rFonts w:ascii="Arial" w:hAnsi="Arial" w:cs="Arial"/>
        </w:rPr>
        <w:t xml:space="preserve">AstraZeneca Pharma India Limited (AZPIL) is the organisation that manages the organization's advertising, distribution, and production activities in India. AstraZeneca </w:t>
      </w:r>
      <w:r w:rsidR="002F071B" w:rsidRPr="00846C4C">
        <w:rPr>
          <w:rFonts w:ascii="Arial" w:hAnsi="Arial" w:cs="Arial"/>
        </w:rPr>
        <w:t>host country is</w:t>
      </w:r>
      <w:r w:rsidR="00831A47" w:rsidRPr="00846C4C">
        <w:rPr>
          <w:rFonts w:ascii="Arial" w:hAnsi="Arial" w:cs="Arial"/>
        </w:rPr>
        <w:t xml:space="preserve"> India, which offers two sites with excellent resources and amenities.</w:t>
      </w:r>
      <w:r w:rsidR="00E77568" w:rsidRPr="00846C4C">
        <w:rPr>
          <w:rFonts w:ascii="Arial" w:hAnsi="Arial" w:cs="Arial"/>
        </w:rPr>
        <w:t xml:space="preserve"> The Global Technology Centre (IT), Global Business Services (GBS) (Global Commercial Operations), and GMD (Global Medicines Development) are all housed at AstraZeneca India Private Limited (AZIPL). A committee of the Board of the directors oversees AZIPL's operations</w:t>
      </w:r>
      <w:r w:rsidR="00DC1E29" w:rsidRPr="00846C4C">
        <w:rPr>
          <w:rFonts w:ascii="Arial" w:hAnsi="Arial" w:cs="Arial"/>
        </w:rPr>
        <w:t xml:space="preserve">. </w:t>
      </w:r>
      <w:r w:rsidR="00FC13DC" w:rsidRPr="00846C4C">
        <w:rPr>
          <w:rFonts w:ascii="Arial" w:hAnsi="Arial" w:cs="Arial"/>
          <w:spacing w:val="5"/>
        </w:rPr>
        <w:t>(AZIPL) is regarded as being one of the best in Southeast Asia and is built in accordance with The World Health Organisation cGMP (current Good Manufacturing Practises) guidelines, the strictest worldwide requirements.</w:t>
      </w:r>
    </w:p>
    <w:p w14:paraId="3C154449" w14:textId="736FDE52" w:rsidR="00300C63" w:rsidRPr="00846C4C" w:rsidRDefault="00551E29" w:rsidP="00752E41">
      <w:pPr>
        <w:pStyle w:val="Heading1"/>
        <w:spacing w:line="360" w:lineRule="auto"/>
        <w:rPr>
          <w:rFonts w:ascii="Arial" w:hAnsi="Arial" w:cs="Arial"/>
          <w:color w:val="auto"/>
          <w:sz w:val="22"/>
          <w:szCs w:val="22"/>
        </w:rPr>
      </w:pPr>
      <w:bookmarkStart w:id="7" w:name="_Toc151055258"/>
      <w:r w:rsidRPr="00846C4C">
        <w:rPr>
          <w:rFonts w:ascii="Arial" w:hAnsi="Arial" w:cs="Arial"/>
          <w:color w:val="auto"/>
          <w:sz w:val="22"/>
          <w:szCs w:val="22"/>
        </w:rPr>
        <w:t xml:space="preserve">2.0 </w:t>
      </w:r>
      <w:r w:rsidR="00697DAD" w:rsidRPr="00846C4C">
        <w:rPr>
          <w:rFonts w:ascii="Arial" w:hAnsi="Arial" w:cs="Arial"/>
          <w:color w:val="auto"/>
          <w:sz w:val="22"/>
          <w:szCs w:val="22"/>
        </w:rPr>
        <w:t>I</w:t>
      </w:r>
      <w:r w:rsidR="009443FC" w:rsidRPr="00846C4C">
        <w:rPr>
          <w:rFonts w:ascii="Arial" w:hAnsi="Arial" w:cs="Arial"/>
          <w:color w:val="auto"/>
          <w:sz w:val="22"/>
          <w:szCs w:val="22"/>
        </w:rPr>
        <w:t>nternationalization strategies</w:t>
      </w:r>
      <w:bookmarkEnd w:id="7"/>
    </w:p>
    <w:p w14:paraId="0002E321" w14:textId="657FDC70" w:rsidR="00C14F2F" w:rsidRPr="00846C4C" w:rsidRDefault="005A2036" w:rsidP="00752E41">
      <w:pPr>
        <w:spacing w:line="360" w:lineRule="auto"/>
        <w:jc w:val="both"/>
        <w:rPr>
          <w:rFonts w:ascii="Arial" w:hAnsi="Arial" w:cs="Arial"/>
          <w:spacing w:val="5"/>
        </w:rPr>
      </w:pPr>
      <w:r w:rsidRPr="00846C4C">
        <w:rPr>
          <w:rFonts w:ascii="Arial" w:hAnsi="Arial" w:cs="Arial"/>
          <w:spacing w:val="5"/>
        </w:rPr>
        <w:t>Internationali</w:t>
      </w:r>
      <w:r w:rsidR="00E235CD" w:rsidRPr="00846C4C">
        <w:rPr>
          <w:rFonts w:ascii="Arial" w:hAnsi="Arial" w:cs="Arial"/>
          <w:spacing w:val="5"/>
        </w:rPr>
        <w:t>z</w:t>
      </w:r>
      <w:r w:rsidRPr="00846C4C">
        <w:rPr>
          <w:rFonts w:ascii="Arial" w:hAnsi="Arial" w:cs="Arial"/>
          <w:spacing w:val="5"/>
        </w:rPr>
        <w:t xml:space="preserve">ation tactics used by AstraZeneca while analysing </w:t>
      </w:r>
      <w:r w:rsidR="009D44A6" w:rsidRPr="00846C4C">
        <w:rPr>
          <w:rFonts w:ascii="Arial" w:hAnsi="Arial" w:cs="Arial"/>
          <w:spacing w:val="5"/>
        </w:rPr>
        <w:t>(</w:t>
      </w:r>
      <w:r w:rsidRPr="00846C4C">
        <w:rPr>
          <w:rFonts w:ascii="Arial" w:hAnsi="Arial" w:cs="Arial"/>
          <w:spacing w:val="5"/>
        </w:rPr>
        <w:t>A</w:t>
      </w:r>
      <w:r w:rsidR="009D44A6" w:rsidRPr="00846C4C">
        <w:rPr>
          <w:rFonts w:ascii="Arial" w:hAnsi="Arial" w:cs="Arial"/>
          <w:spacing w:val="5"/>
        </w:rPr>
        <w:t>Z)</w:t>
      </w:r>
      <w:r w:rsidRPr="00846C4C">
        <w:rPr>
          <w:rFonts w:ascii="Arial" w:hAnsi="Arial" w:cs="Arial"/>
          <w:spacing w:val="5"/>
        </w:rPr>
        <w:t xml:space="preserve"> based on strategy types.</w:t>
      </w:r>
      <w:r w:rsidR="009C18C0" w:rsidRPr="00846C4C">
        <w:rPr>
          <w:rFonts w:ascii="Arial" w:hAnsi="Arial" w:cs="Arial"/>
          <w:spacing w:val="5"/>
        </w:rPr>
        <w:t xml:space="preserve"> </w:t>
      </w:r>
      <w:r w:rsidR="006555E1" w:rsidRPr="00846C4C">
        <w:rPr>
          <w:rFonts w:ascii="Arial" w:hAnsi="Arial" w:cs="Arial"/>
          <w:spacing w:val="5"/>
        </w:rPr>
        <w:t>AstraZeneca</w:t>
      </w:r>
      <w:r w:rsidRPr="00846C4C">
        <w:rPr>
          <w:rFonts w:ascii="Arial" w:hAnsi="Arial" w:cs="Arial"/>
          <w:spacing w:val="5"/>
        </w:rPr>
        <w:t xml:space="preserve"> falls within every category</w:t>
      </w:r>
      <w:r w:rsidR="00BE2BC0" w:rsidRPr="00846C4C">
        <w:rPr>
          <w:rFonts w:ascii="Arial" w:hAnsi="Arial" w:cs="Arial"/>
          <w:spacing w:val="5"/>
        </w:rPr>
        <w:t>-</w:t>
      </w:r>
      <w:r w:rsidRPr="00846C4C">
        <w:rPr>
          <w:rFonts w:ascii="Arial" w:hAnsi="Arial" w:cs="Arial"/>
          <w:spacing w:val="5"/>
        </w:rPr>
        <w:t xml:space="preserve">global, transnational, international, and multidomestic. </w:t>
      </w:r>
    </w:p>
    <w:p w14:paraId="5AA24BEA" w14:textId="77777777" w:rsidR="00C239C3" w:rsidRPr="00846C4C" w:rsidRDefault="006C70AA" w:rsidP="00043AAA">
      <w:pPr>
        <w:spacing w:line="360" w:lineRule="auto"/>
        <w:jc w:val="both"/>
        <w:rPr>
          <w:rFonts w:ascii="Arial" w:hAnsi="Arial" w:cs="Arial"/>
        </w:rPr>
      </w:pPr>
      <w:r w:rsidRPr="00846C4C">
        <w:rPr>
          <w:rFonts w:ascii="Arial" w:hAnsi="Arial" w:cs="Arial"/>
          <w:noProof/>
        </w:rPr>
        <w:drawing>
          <wp:inline distT="0" distB="0" distL="0" distR="0" wp14:anchorId="14D50AFC" wp14:editId="5E2C6C7B">
            <wp:extent cx="5731510" cy="3223895"/>
            <wp:effectExtent l="0" t="0" r="2540" b="0"/>
            <wp:docPr id="279220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203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48B8F3E" w14:textId="1542ABB5" w:rsidR="004D787F" w:rsidRPr="00752E41" w:rsidRDefault="00431673" w:rsidP="00043AAA">
      <w:pPr>
        <w:spacing w:line="360" w:lineRule="auto"/>
        <w:jc w:val="both"/>
        <w:rPr>
          <w:rFonts w:ascii="Arial" w:hAnsi="Arial" w:cs="Arial"/>
          <w:i/>
          <w:iCs/>
          <w:sz w:val="16"/>
          <w:szCs w:val="16"/>
        </w:rPr>
      </w:pPr>
      <w:r w:rsidRPr="00752E41">
        <w:rPr>
          <w:rFonts w:ascii="Arial" w:hAnsi="Arial" w:cs="Arial"/>
          <w:i/>
          <w:iCs/>
          <w:sz w:val="16"/>
          <w:szCs w:val="16"/>
        </w:rPr>
        <w:t xml:space="preserve">University of </w:t>
      </w:r>
      <w:r w:rsidR="00297714" w:rsidRPr="00752E41">
        <w:rPr>
          <w:rFonts w:ascii="Arial" w:hAnsi="Arial" w:cs="Arial"/>
          <w:i/>
          <w:iCs/>
          <w:sz w:val="16"/>
          <w:szCs w:val="16"/>
        </w:rPr>
        <w:t>Wales</w:t>
      </w:r>
      <w:r w:rsidRPr="00752E41">
        <w:rPr>
          <w:rFonts w:ascii="Arial" w:hAnsi="Arial" w:cs="Arial"/>
          <w:i/>
          <w:iCs/>
          <w:sz w:val="16"/>
          <w:szCs w:val="16"/>
        </w:rPr>
        <w:t xml:space="preserve"> </w:t>
      </w:r>
      <w:r w:rsidR="00AC7EF7" w:rsidRPr="00752E41">
        <w:rPr>
          <w:rFonts w:ascii="Arial" w:hAnsi="Arial" w:cs="Arial"/>
          <w:i/>
          <w:iCs/>
          <w:sz w:val="16"/>
          <w:szCs w:val="16"/>
        </w:rPr>
        <w:t>T</w:t>
      </w:r>
      <w:r w:rsidRPr="00752E41">
        <w:rPr>
          <w:rFonts w:ascii="Arial" w:hAnsi="Arial" w:cs="Arial"/>
          <w:i/>
          <w:iCs/>
          <w:sz w:val="16"/>
          <w:szCs w:val="16"/>
        </w:rPr>
        <w:t xml:space="preserve">rinity </w:t>
      </w:r>
      <w:r w:rsidR="00AC7EF7" w:rsidRPr="00752E41">
        <w:rPr>
          <w:rFonts w:ascii="Arial" w:hAnsi="Arial" w:cs="Arial"/>
          <w:i/>
          <w:iCs/>
          <w:sz w:val="16"/>
          <w:szCs w:val="16"/>
        </w:rPr>
        <w:t>S</w:t>
      </w:r>
      <w:r w:rsidRPr="00752E41">
        <w:rPr>
          <w:rFonts w:ascii="Arial" w:hAnsi="Arial" w:cs="Arial"/>
          <w:i/>
          <w:iCs/>
          <w:sz w:val="16"/>
          <w:szCs w:val="16"/>
        </w:rPr>
        <w:t>aint David</w:t>
      </w:r>
      <w:r w:rsidR="00297714" w:rsidRPr="00752E41">
        <w:rPr>
          <w:rFonts w:ascii="Arial" w:hAnsi="Arial" w:cs="Arial"/>
          <w:i/>
          <w:iCs/>
          <w:sz w:val="16"/>
          <w:szCs w:val="16"/>
        </w:rPr>
        <w:t>, (2023).</w:t>
      </w:r>
    </w:p>
    <w:p w14:paraId="291B18B4" w14:textId="5ECD5AA4" w:rsidR="006C651C" w:rsidRPr="00846C4C" w:rsidRDefault="003D1E95" w:rsidP="00752E41">
      <w:pPr>
        <w:pStyle w:val="Heading2"/>
        <w:spacing w:line="360" w:lineRule="auto"/>
        <w:rPr>
          <w:rFonts w:ascii="Arial" w:hAnsi="Arial" w:cs="Arial"/>
          <w:color w:val="auto"/>
          <w:sz w:val="22"/>
          <w:szCs w:val="22"/>
        </w:rPr>
      </w:pPr>
      <w:bookmarkStart w:id="8" w:name="_Toc151055259"/>
      <w:r w:rsidRPr="00846C4C">
        <w:rPr>
          <w:rFonts w:ascii="Arial" w:hAnsi="Arial" w:cs="Arial"/>
          <w:color w:val="auto"/>
          <w:sz w:val="22"/>
          <w:szCs w:val="22"/>
        </w:rPr>
        <w:t>2.1</w:t>
      </w:r>
      <w:r w:rsidR="00885910" w:rsidRPr="00846C4C">
        <w:rPr>
          <w:rFonts w:ascii="Arial" w:hAnsi="Arial" w:cs="Arial"/>
          <w:color w:val="auto"/>
          <w:sz w:val="22"/>
          <w:szCs w:val="22"/>
        </w:rPr>
        <w:t xml:space="preserve">.1 </w:t>
      </w:r>
      <w:r w:rsidR="00752E41" w:rsidRPr="00846C4C">
        <w:rPr>
          <w:rFonts w:ascii="Arial" w:hAnsi="Arial" w:cs="Arial"/>
          <w:color w:val="auto"/>
          <w:sz w:val="22"/>
          <w:szCs w:val="22"/>
        </w:rPr>
        <w:t>Global</w:t>
      </w:r>
      <w:r w:rsidR="0078362D" w:rsidRPr="00846C4C">
        <w:rPr>
          <w:rFonts w:ascii="Arial" w:hAnsi="Arial" w:cs="Arial"/>
          <w:color w:val="auto"/>
          <w:sz w:val="22"/>
          <w:szCs w:val="22"/>
        </w:rPr>
        <w:t>:</w:t>
      </w:r>
      <w:bookmarkEnd w:id="8"/>
    </w:p>
    <w:p w14:paraId="7A19F97A" w14:textId="77777777" w:rsidR="002E5867" w:rsidRPr="00846C4C" w:rsidRDefault="00CE5737" w:rsidP="00752E41">
      <w:pPr>
        <w:spacing w:line="360" w:lineRule="auto"/>
        <w:jc w:val="both"/>
        <w:rPr>
          <w:rFonts w:ascii="Arial" w:hAnsi="Arial" w:cs="Arial"/>
          <w:spacing w:val="5"/>
        </w:rPr>
      </w:pPr>
      <w:r w:rsidRPr="00846C4C">
        <w:rPr>
          <w:rFonts w:ascii="Arial" w:hAnsi="Arial" w:cs="Arial"/>
          <w:spacing w:val="5"/>
        </w:rPr>
        <w:t xml:space="preserve">AstraZeneca's worldwide strategy is headquartered in the United Kingdom, where they can maintain the </w:t>
      </w:r>
      <w:proofErr w:type="gramStart"/>
      <w:r w:rsidRPr="00846C4C">
        <w:rPr>
          <w:rFonts w:ascii="Arial" w:hAnsi="Arial" w:cs="Arial"/>
          <w:spacing w:val="5"/>
        </w:rPr>
        <w:t>high standards</w:t>
      </w:r>
      <w:proofErr w:type="gramEnd"/>
      <w:r w:rsidRPr="00846C4C">
        <w:rPr>
          <w:rFonts w:ascii="Arial" w:hAnsi="Arial" w:cs="Arial"/>
          <w:spacing w:val="5"/>
        </w:rPr>
        <w:t xml:space="preserve"> of its global operations. AstraZeneca's worldwide sector of effectiveness is economic unity, national autonomy, and market penetration for new products. </w:t>
      </w:r>
    </w:p>
    <w:p w14:paraId="0B9720B6" w14:textId="36CA9AF5" w:rsidR="00402F78" w:rsidRPr="00846C4C" w:rsidRDefault="00885910" w:rsidP="00752E41">
      <w:pPr>
        <w:pStyle w:val="Heading3"/>
        <w:spacing w:line="360" w:lineRule="auto"/>
        <w:rPr>
          <w:rFonts w:ascii="Arial" w:hAnsi="Arial" w:cs="Arial"/>
          <w:color w:val="auto"/>
          <w:spacing w:val="5"/>
          <w:sz w:val="22"/>
          <w:szCs w:val="22"/>
        </w:rPr>
      </w:pPr>
      <w:bookmarkStart w:id="9" w:name="_Toc151055260"/>
      <w:r w:rsidRPr="00846C4C">
        <w:rPr>
          <w:rFonts w:ascii="Arial" w:hAnsi="Arial" w:cs="Arial"/>
          <w:color w:val="auto"/>
          <w:sz w:val="22"/>
          <w:szCs w:val="22"/>
        </w:rPr>
        <w:lastRenderedPageBreak/>
        <w:t xml:space="preserve">2.1.2 </w:t>
      </w:r>
      <w:r w:rsidR="00752E41" w:rsidRPr="00846C4C">
        <w:rPr>
          <w:rFonts w:ascii="Arial" w:hAnsi="Arial" w:cs="Arial"/>
          <w:color w:val="auto"/>
          <w:sz w:val="22"/>
          <w:szCs w:val="22"/>
        </w:rPr>
        <w:t>Transnational</w:t>
      </w:r>
      <w:r w:rsidR="0078362D" w:rsidRPr="00846C4C">
        <w:rPr>
          <w:rFonts w:ascii="Arial" w:hAnsi="Arial" w:cs="Arial"/>
          <w:color w:val="auto"/>
          <w:sz w:val="22"/>
          <w:szCs w:val="22"/>
        </w:rPr>
        <w:t>:</w:t>
      </w:r>
      <w:bookmarkEnd w:id="9"/>
    </w:p>
    <w:p w14:paraId="3D5A741E" w14:textId="1AF017FF" w:rsidR="002E15CE" w:rsidRPr="00846C4C" w:rsidRDefault="002E15CE" w:rsidP="00752E41">
      <w:pPr>
        <w:spacing w:line="360" w:lineRule="auto"/>
        <w:jc w:val="both"/>
        <w:rPr>
          <w:rFonts w:ascii="Arial" w:hAnsi="Arial" w:cs="Arial"/>
          <w:spacing w:val="5"/>
        </w:rPr>
      </w:pPr>
      <w:r w:rsidRPr="00846C4C">
        <w:rPr>
          <w:rFonts w:ascii="Arial" w:hAnsi="Arial" w:cs="Arial"/>
          <w:spacing w:val="5"/>
        </w:rPr>
        <w:t>AstraZeneca's operations and product development are primarily reliant on its several overseas subsidiaries. For worldwide trade activities such as exporting and importing, operating manufacturing plants, and global investment such as acquiring properties abroad. AstraZeneca is attempting to integrate the manufacturing and operations of its global locations</w:t>
      </w:r>
      <w:r w:rsidR="00DC1E29" w:rsidRPr="00846C4C">
        <w:rPr>
          <w:rFonts w:ascii="Arial" w:hAnsi="Arial" w:cs="Arial"/>
          <w:spacing w:val="5"/>
        </w:rPr>
        <w:t xml:space="preserve">. </w:t>
      </w:r>
    </w:p>
    <w:p w14:paraId="749F259C" w14:textId="0102A3E1" w:rsidR="00402F78" w:rsidRPr="00846C4C" w:rsidRDefault="00885910" w:rsidP="00752E41">
      <w:pPr>
        <w:pStyle w:val="Heading1"/>
        <w:spacing w:line="360" w:lineRule="auto"/>
        <w:rPr>
          <w:rFonts w:ascii="Arial" w:hAnsi="Arial" w:cs="Arial"/>
          <w:color w:val="auto"/>
          <w:sz w:val="22"/>
          <w:szCs w:val="22"/>
        </w:rPr>
      </w:pPr>
      <w:bookmarkStart w:id="10" w:name="_Toc151055261"/>
      <w:r w:rsidRPr="00846C4C">
        <w:rPr>
          <w:rFonts w:ascii="Arial" w:hAnsi="Arial" w:cs="Arial"/>
          <w:color w:val="auto"/>
          <w:sz w:val="22"/>
          <w:szCs w:val="22"/>
        </w:rPr>
        <w:t xml:space="preserve">2.1.3 </w:t>
      </w:r>
      <w:r w:rsidR="00752E41" w:rsidRPr="00846C4C">
        <w:rPr>
          <w:rFonts w:ascii="Arial" w:hAnsi="Arial" w:cs="Arial"/>
          <w:color w:val="auto"/>
          <w:sz w:val="22"/>
          <w:szCs w:val="22"/>
        </w:rPr>
        <w:t>International</w:t>
      </w:r>
      <w:r w:rsidR="0078362D" w:rsidRPr="00846C4C">
        <w:rPr>
          <w:rFonts w:ascii="Arial" w:hAnsi="Arial" w:cs="Arial"/>
          <w:color w:val="auto"/>
          <w:sz w:val="22"/>
          <w:szCs w:val="22"/>
        </w:rPr>
        <w:t>:</w:t>
      </w:r>
      <w:bookmarkEnd w:id="10"/>
    </w:p>
    <w:p w14:paraId="22B6C2CB" w14:textId="77777777" w:rsidR="000B74F9" w:rsidRPr="00846C4C" w:rsidRDefault="00CE19AA" w:rsidP="00752E41">
      <w:pPr>
        <w:spacing w:line="360" w:lineRule="auto"/>
        <w:jc w:val="both"/>
        <w:rPr>
          <w:rFonts w:ascii="Arial" w:hAnsi="Arial" w:cs="Arial"/>
          <w:spacing w:val="5"/>
        </w:rPr>
      </w:pPr>
      <w:r w:rsidRPr="00846C4C">
        <w:rPr>
          <w:rFonts w:ascii="Arial" w:hAnsi="Arial" w:cs="Arial"/>
          <w:spacing w:val="5"/>
        </w:rPr>
        <w:t xml:space="preserve">This is precisely what AstraZeneca does in the international sector; it seizes possibilities in overseas markets. With this </w:t>
      </w:r>
      <w:r w:rsidR="00AE5E9C" w:rsidRPr="00846C4C">
        <w:rPr>
          <w:rFonts w:ascii="Arial" w:hAnsi="Arial" w:cs="Arial"/>
          <w:spacing w:val="5"/>
        </w:rPr>
        <w:t>strategy</w:t>
      </w:r>
      <w:r w:rsidRPr="00846C4C">
        <w:rPr>
          <w:rFonts w:ascii="Arial" w:hAnsi="Arial" w:cs="Arial"/>
          <w:spacing w:val="5"/>
        </w:rPr>
        <w:t>, there is a danger of national threats, intercultural challenges, and currency risk due to government legislation and regulations.</w:t>
      </w:r>
      <w:r w:rsidR="000B74F9" w:rsidRPr="00846C4C">
        <w:rPr>
          <w:rFonts w:ascii="Arial" w:hAnsi="Arial" w:cs="Arial"/>
          <w:spacing w:val="5"/>
        </w:rPr>
        <w:t xml:space="preserve"> </w:t>
      </w:r>
    </w:p>
    <w:p w14:paraId="089108A0" w14:textId="77906C86" w:rsidR="00402F78" w:rsidRPr="00846C4C" w:rsidRDefault="00885910" w:rsidP="00752E41">
      <w:pPr>
        <w:pStyle w:val="Heading2"/>
        <w:spacing w:line="360" w:lineRule="auto"/>
        <w:rPr>
          <w:rFonts w:ascii="Arial" w:hAnsi="Arial" w:cs="Arial"/>
          <w:color w:val="auto"/>
          <w:spacing w:val="5"/>
          <w:sz w:val="22"/>
          <w:szCs w:val="22"/>
        </w:rPr>
      </w:pPr>
      <w:bookmarkStart w:id="11" w:name="_Toc151055262"/>
      <w:r w:rsidRPr="00846C4C">
        <w:rPr>
          <w:rFonts w:ascii="Arial" w:hAnsi="Arial" w:cs="Arial"/>
          <w:color w:val="auto"/>
          <w:sz w:val="22"/>
          <w:szCs w:val="22"/>
        </w:rPr>
        <w:t>2.1.</w:t>
      </w:r>
      <w:r w:rsidR="00752E41" w:rsidRPr="00846C4C">
        <w:rPr>
          <w:rFonts w:ascii="Arial" w:hAnsi="Arial" w:cs="Arial"/>
          <w:color w:val="auto"/>
          <w:sz w:val="22"/>
          <w:szCs w:val="22"/>
        </w:rPr>
        <w:t>4 Multidomestic</w:t>
      </w:r>
      <w:r w:rsidR="0078362D" w:rsidRPr="00846C4C">
        <w:rPr>
          <w:rFonts w:ascii="Arial" w:hAnsi="Arial" w:cs="Arial"/>
          <w:color w:val="auto"/>
          <w:sz w:val="22"/>
          <w:szCs w:val="22"/>
        </w:rPr>
        <w:t>:</w:t>
      </w:r>
      <w:bookmarkEnd w:id="11"/>
    </w:p>
    <w:p w14:paraId="7504C1C0" w14:textId="5878E80C" w:rsidR="00194729" w:rsidRPr="00846C4C" w:rsidRDefault="00194729" w:rsidP="00752E41">
      <w:pPr>
        <w:spacing w:line="360" w:lineRule="auto"/>
        <w:jc w:val="both"/>
        <w:rPr>
          <w:rFonts w:ascii="Arial" w:hAnsi="Arial" w:cs="Arial"/>
          <w:spacing w:val="5"/>
        </w:rPr>
      </w:pPr>
      <w:r w:rsidRPr="00846C4C">
        <w:rPr>
          <w:rFonts w:ascii="Arial" w:hAnsi="Arial" w:cs="Arial"/>
          <w:spacing w:val="5"/>
        </w:rPr>
        <w:t>AstraZeneca is a worldwide corporation that always attempts to adapt the value chain. While the pharma value chain is being disrupted by digitalization and evolving into a service-oriented rather than product-oriented organisation, its competitive advantage is based on its network-level strategy, which helps both incumbents and new entrants. Rothaermel</w:t>
      </w:r>
      <w:r w:rsidR="002B43A9" w:rsidRPr="00846C4C">
        <w:rPr>
          <w:rFonts w:ascii="Arial" w:hAnsi="Arial" w:cs="Arial"/>
          <w:spacing w:val="5"/>
        </w:rPr>
        <w:t>, (2001)</w:t>
      </w:r>
      <w:r w:rsidRPr="00846C4C">
        <w:rPr>
          <w:rFonts w:ascii="Arial" w:hAnsi="Arial" w:cs="Arial"/>
          <w:spacing w:val="5"/>
        </w:rPr>
        <w:t>. When it comes to the multidomestic approach, AstraZeneca stands apart. According to Kobrin (1994), Although it is plausible to assume a greater proclivity for polycentrism in the multidomestic business, there is no compelling reason to expect a significant link between mind-set and strategy in this scenario.</w:t>
      </w:r>
    </w:p>
    <w:p w14:paraId="5234CDE0" w14:textId="63DC60F6" w:rsidR="006A1B5B" w:rsidRPr="00846C4C" w:rsidRDefault="00140D31" w:rsidP="00752E41">
      <w:pPr>
        <w:pStyle w:val="Heading3"/>
        <w:spacing w:line="360" w:lineRule="auto"/>
        <w:rPr>
          <w:rFonts w:ascii="Arial" w:hAnsi="Arial" w:cs="Arial"/>
          <w:color w:val="auto"/>
          <w:sz w:val="22"/>
          <w:szCs w:val="22"/>
        </w:rPr>
      </w:pPr>
      <w:bookmarkStart w:id="12" w:name="_Toc151055263"/>
      <w:r w:rsidRPr="00846C4C">
        <w:rPr>
          <w:rFonts w:ascii="Arial" w:hAnsi="Arial" w:cs="Arial"/>
          <w:color w:val="auto"/>
          <w:sz w:val="22"/>
          <w:szCs w:val="22"/>
        </w:rPr>
        <w:t xml:space="preserve">3.0 </w:t>
      </w:r>
      <w:r w:rsidR="00752E41" w:rsidRPr="00846C4C">
        <w:rPr>
          <w:rFonts w:ascii="Arial" w:hAnsi="Arial" w:cs="Arial"/>
          <w:color w:val="auto"/>
          <w:sz w:val="22"/>
          <w:szCs w:val="22"/>
        </w:rPr>
        <w:t>Porter</w:t>
      </w:r>
      <w:r w:rsidR="00752E41">
        <w:rPr>
          <w:rFonts w:ascii="Arial" w:hAnsi="Arial" w:cs="Arial"/>
          <w:color w:val="auto"/>
          <w:sz w:val="22"/>
          <w:szCs w:val="22"/>
        </w:rPr>
        <w:t>’s</w:t>
      </w:r>
      <w:r w:rsidR="00752E41" w:rsidRPr="00846C4C">
        <w:rPr>
          <w:rFonts w:ascii="Arial" w:hAnsi="Arial" w:cs="Arial"/>
          <w:color w:val="auto"/>
          <w:sz w:val="22"/>
          <w:szCs w:val="22"/>
        </w:rPr>
        <w:t xml:space="preserve"> Value Chain</w:t>
      </w:r>
      <w:r w:rsidR="0040522F" w:rsidRPr="00846C4C">
        <w:rPr>
          <w:rFonts w:ascii="Arial" w:hAnsi="Arial" w:cs="Arial"/>
          <w:color w:val="auto"/>
          <w:sz w:val="22"/>
          <w:szCs w:val="22"/>
        </w:rPr>
        <w:t>:</w:t>
      </w:r>
      <w:bookmarkEnd w:id="12"/>
    </w:p>
    <w:p w14:paraId="066C70C1" w14:textId="07208CA8" w:rsidR="00A92C63" w:rsidRPr="00846C4C" w:rsidRDefault="00A92C63" w:rsidP="00752E41">
      <w:pPr>
        <w:spacing w:line="360" w:lineRule="auto"/>
        <w:jc w:val="both"/>
        <w:rPr>
          <w:rFonts w:ascii="Arial" w:hAnsi="Arial" w:cs="Arial"/>
        </w:rPr>
      </w:pPr>
      <w:r w:rsidRPr="00846C4C">
        <w:rPr>
          <w:rFonts w:ascii="Arial" w:hAnsi="Arial" w:cs="Arial"/>
        </w:rPr>
        <w:t>Michael E. Porter established the Value Chain, which was a key innovation in the business world for analysing a firm's comparative value and costs. The expression "Value Chain" was originally used in a Harvard Business Review article and Porter's book "Competitive Advantage" in the year 1985. Value Chain is also known as "Porter's Value Chain Framework" and has been frequently utilised to analyse key operations of a corporation in order to throw the spotlight on its foundations of their competitive edge.</w:t>
      </w:r>
      <w:r w:rsidR="00C15EFE" w:rsidRPr="00846C4C">
        <w:rPr>
          <w:rFonts w:ascii="Arial" w:hAnsi="Arial" w:cs="Arial"/>
        </w:rPr>
        <w:t xml:space="preserve"> E</w:t>
      </w:r>
      <w:r w:rsidR="00C636A9" w:rsidRPr="00846C4C">
        <w:rPr>
          <w:rFonts w:ascii="Arial" w:hAnsi="Arial" w:cs="Arial"/>
        </w:rPr>
        <w:t>mba Pro, (2022).</w:t>
      </w:r>
    </w:p>
    <w:p w14:paraId="007232E5" w14:textId="1C334212" w:rsidR="00DE48E7" w:rsidRPr="00846C4C" w:rsidRDefault="00140D31" w:rsidP="00752E41">
      <w:pPr>
        <w:pStyle w:val="Heading3"/>
        <w:spacing w:line="360" w:lineRule="auto"/>
        <w:rPr>
          <w:rFonts w:ascii="Arial" w:hAnsi="Arial" w:cs="Arial"/>
          <w:color w:val="auto"/>
          <w:sz w:val="22"/>
          <w:szCs w:val="22"/>
        </w:rPr>
      </w:pPr>
      <w:bookmarkStart w:id="13" w:name="_Toc151055264"/>
      <w:r w:rsidRPr="00846C4C">
        <w:rPr>
          <w:rFonts w:ascii="Arial" w:hAnsi="Arial" w:cs="Arial"/>
          <w:color w:val="auto"/>
          <w:sz w:val="22"/>
          <w:szCs w:val="22"/>
        </w:rPr>
        <w:t xml:space="preserve">3.1.1 </w:t>
      </w:r>
      <w:r w:rsidR="00752E41" w:rsidRPr="00846C4C">
        <w:rPr>
          <w:rFonts w:ascii="Arial" w:hAnsi="Arial" w:cs="Arial"/>
          <w:color w:val="auto"/>
          <w:sz w:val="22"/>
          <w:szCs w:val="22"/>
        </w:rPr>
        <w:t>Firm Infrastructure:</w:t>
      </w:r>
      <w:bookmarkEnd w:id="13"/>
    </w:p>
    <w:p w14:paraId="4C7F79AE" w14:textId="71D02592" w:rsidR="001D3D95" w:rsidRPr="00846C4C" w:rsidRDefault="007538A5" w:rsidP="00752E41">
      <w:pPr>
        <w:spacing w:line="360" w:lineRule="auto"/>
        <w:jc w:val="both"/>
        <w:rPr>
          <w:rFonts w:ascii="Arial" w:hAnsi="Arial" w:cs="Arial"/>
        </w:rPr>
      </w:pPr>
      <w:r w:rsidRPr="00846C4C">
        <w:rPr>
          <w:rFonts w:ascii="Arial" w:hAnsi="Arial" w:cs="Arial"/>
        </w:rPr>
        <w:t>According to</w:t>
      </w:r>
      <w:r w:rsidR="00E96D27" w:rsidRPr="00846C4C">
        <w:rPr>
          <w:rFonts w:ascii="Arial" w:hAnsi="Arial" w:cs="Arial"/>
        </w:rPr>
        <w:t xml:space="preserve"> </w:t>
      </w:r>
      <w:r w:rsidRPr="00846C4C">
        <w:rPr>
          <w:rFonts w:ascii="Arial" w:hAnsi="Arial" w:cs="Arial"/>
        </w:rPr>
        <w:t xml:space="preserve"> </w:t>
      </w:r>
      <w:r w:rsidR="00F274AC" w:rsidRPr="00846C4C">
        <w:rPr>
          <w:rFonts w:ascii="Arial" w:hAnsi="Arial" w:cs="Arial"/>
        </w:rPr>
        <w:t xml:space="preserve">Emba Pro, (2022). </w:t>
      </w:r>
      <w:r w:rsidR="001D3D95" w:rsidRPr="00846C4C">
        <w:rPr>
          <w:rFonts w:ascii="Arial" w:hAnsi="Arial" w:cs="Arial"/>
        </w:rPr>
        <w:t xml:space="preserve">AstraZeneca patients' firm infrastructure support operations include legal services, finance and accounting, general management, planning, and quality monitoring. The multinational pharmaceutical company AZ Patients' firm infrastructure operations support the whole value chain, albeit the scope varies because AstraZeneca Patients is a diverse organisation even within the industry. Revenue and preparation, for instances, are controlled at the corporate organisation at AstraZeneca Patients, quality management, accounting, and legal concerns are </w:t>
      </w:r>
      <w:proofErr w:type="gramStart"/>
      <w:r w:rsidR="001D3D95" w:rsidRPr="00846C4C">
        <w:rPr>
          <w:rFonts w:ascii="Arial" w:hAnsi="Arial" w:cs="Arial"/>
        </w:rPr>
        <w:t>handled</w:t>
      </w:r>
      <w:proofErr w:type="gramEnd"/>
      <w:r w:rsidR="001D3D95" w:rsidRPr="00846C4C">
        <w:rPr>
          <w:rFonts w:ascii="Arial" w:hAnsi="Arial" w:cs="Arial"/>
        </w:rPr>
        <w:t xml:space="preserve"> at the organization's division base.</w:t>
      </w:r>
    </w:p>
    <w:p w14:paraId="1CDC8D99" w14:textId="0ACFA74C" w:rsidR="00A2631D" w:rsidRPr="00846C4C" w:rsidRDefault="00140D31" w:rsidP="008D1D66">
      <w:pPr>
        <w:pStyle w:val="Heading1"/>
        <w:spacing w:line="360" w:lineRule="auto"/>
        <w:rPr>
          <w:rFonts w:ascii="Arial" w:hAnsi="Arial" w:cs="Arial"/>
          <w:color w:val="auto"/>
          <w:sz w:val="22"/>
          <w:szCs w:val="22"/>
        </w:rPr>
      </w:pPr>
      <w:bookmarkStart w:id="14" w:name="_Toc151055265"/>
      <w:r w:rsidRPr="00846C4C">
        <w:rPr>
          <w:rFonts w:ascii="Arial" w:hAnsi="Arial" w:cs="Arial"/>
          <w:color w:val="auto"/>
          <w:sz w:val="22"/>
          <w:szCs w:val="22"/>
        </w:rPr>
        <w:lastRenderedPageBreak/>
        <w:t xml:space="preserve">3.1.2 </w:t>
      </w:r>
      <w:r w:rsidR="00A22729" w:rsidRPr="00846C4C">
        <w:rPr>
          <w:rFonts w:ascii="Arial" w:hAnsi="Arial" w:cs="Arial"/>
          <w:color w:val="auto"/>
          <w:sz w:val="22"/>
          <w:szCs w:val="22"/>
        </w:rPr>
        <w:t>Human Resource Management</w:t>
      </w:r>
      <w:r w:rsidR="002B2569" w:rsidRPr="00846C4C">
        <w:rPr>
          <w:rFonts w:ascii="Arial" w:hAnsi="Arial" w:cs="Arial"/>
          <w:color w:val="auto"/>
          <w:sz w:val="22"/>
          <w:szCs w:val="22"/>
        </w:rPr>
        <w:t>:</w:t>
      </w:r>
      <w:bookmarkEnd w:id="14"/>
    </w:p>
    <w:p w14:paraId="4EAA3111" w14:textId="1D060510" w:rsidR="0080506C" w:rsidRPr="00846C4C" w:rsidRDefault="00F704D9" w:rsidP="008D1D66">
      <w:pPr>
        <w:spacing w:line="360" w:lineRule="auto"/>
        <w:jc w:val="both"/>
        <w:rPr>
          <w:rFonts w:ascii="Arial" w:hAnsi="Arial" w:cs="Arial"/>
        </w:rPr>
      </w:pPr>
      <w:r w:rsidRPr="00846C4C">
        <w:rPr>
          <w:rFonts w:ascii="Arial" w:hAnsi="Arial" w:cs="Arial"/>
        </w:rPr>
        <w:t>Emba Pro, (2022) state t</w:t>
      </w:r>
      <w:r w:rsidR="00075768" w:rsidRPr="00846C4C">
        <w:rPr>
          <w:rFonts w:ascii="Arial" w:hAnsi="Arial" w:cs="Arial"/>
        </w:rPr>
        <w:t>he management of human resources is crucial for the long-term achievement of all organisations in an atmosphere whereby every business strives towards becoming an institution of learning. Recruiting, selection, skill assessment, people planning, training and development, hiring, and compensation are all examples of HRM support operations at both the business unit and corporate levels.</w:t>
      </w:r>
      <w:r w:rsidRPr="00846C4C">
        <w:rPr>
          <w:rFonts w:ascii="Arial" w:hAnsi="Arial" w:cs="Arial"/>
        </w:rPr>
        <w:t xml:space="preserve"> </w:t>
      </w:r>
      <w:r w:rsidR="00075768" w:rsidRPr="00846C4C">
        <w:rPr>
          <w:rFonts w:ascii="Arial" w:hAnsi="Arial" w:cs="Arial"/>
        </w:rPr>
        <w:t>Human resource management influences competitive advantage in any organisation, but it is a defining feature in specific sectors. For example, in consulting firms, human resources are the main component of advantage over the competition.</w:t>
      </w:r>
    </w:p>
    <w:p w14:paraId="47DF381B" w14:textId="06905060" w:rsidR="00FA3A3A" w:rsidRPr="00846C4C" w:rsidRDefault="00140D31" w:rsidP="008D1D66">
      <w:pPr>
        <w:pStyle w:val="Heading2"/>
        <w:spacing w:line="360" w:lineRule="auto"/>
        <w:rPr>
          <w:rFonts w:ascii="Arial" w:hAnsi="Arial" w:cs="Arial"/>
          <w:color w:val="auto"/>
          <w:sz w:val="22"/>
          <w:szCs w:val="22"/>
        </w:rPr>
      </w:pPr>
      <w:bookmarkStart w:id="15" w:name="_Toc151055266"/>
      <w:r w:rsidRPr="00846C4C">
        <w:rPr>
          <w:rFonts w:ascii="Arial" w:hAnsi="Arial" w:cs="Arial"/>
          <w:color w:val="auto"/>
          <w:sz w:val="22"/>
          <w:szCs w:val="22"/>
        </w:rPr>
        <w:t xml:space="preserve">3.1.3 </w:t>
      </w:r>
      <w:r w:rsidR="00A22729" w:rsidRPr="00846C4C">
        <w:rPr>
          <w:rFonts w:ascii="Arial" w:hAnsi="Arial" w:cs="Arial"/>
          <w:color w:val="auto"/>
          <w:sz w:val="22"/>
          <w:szCs w:val="22"/>
        </w:rPr>
        <w:t>Technology:</w:t>
      </w:r>
      <w:bookmarkEnd w:id="15"/>
    </w:p>
    <w:p w14:paraId="0E1AAE52" w14:textId="7C847484" w:rsidR="00075768" w:rsidRPr="00846C4C" w:rsidRDefault="00757C7F" w:rsidP="008D1D66">
      <w:pPr>
        <w:spacing w:line="360" w:lineRule="auto"/>
        <w:jc w:val="both"/>
        <w:rPr>
          <w:rFonts w:ascii="Arial" w:hAnsi="Arial" w:cs="Arial"/>
        </w:rPr>
      </w:pPr>
      <w:r w:rsidRPr="00846C4C">
        <w:rPr>
          <w:rFonts w:ascii="Arial" w:hAnsi="Arial" w:cs="Arial"/>
        </w:rPr>
        <w:t>Every</w:t>
      </w:r>
      <w:r w:rsidR="00C77E69" w:rsidRPr="00846C4C">
        <w:rPr>
          <w:rFonts w:ascii="Arial" w:hAnsi="Arial" w:cs="Arial"/>
        </w:rPr>
        <w:t xml:space="preserve"> operation within today's organisation is supported by technologies. Technological advancement has evolved into an element of competitive edge throughout the technological company operations. AstraZeneca Users' development of technologies initiatives might involve features layout, procedure engineering, technological decision-making, field evaluation, and element creation</w:t>
      </w:r>
      <w:r w:rsidR="00F2225E" w:rsidRPr="00846C4C">
        <w:rPr>
          <w:rFonts w:ascii="Arial" w:hAnsi="Arial" w:cs="Arial"/>
        </w:rPr>
        <w:t xml:space="preserve"> Emba Pro, (2022).</w:t>
      </w:r>
    </w:p>
    <w:p w14:paraId="31DC158C" w14:textId="087DDD25" w:rsidR="001E64E8" w:rsidRPr="00846C4C" w:rsidRDefault="00B60AD5" w:rsidP="008D1D66">
      <w:pPr>
        <w:pStyle w:val="Heading3"/>
        <w:spacing w:line="360" w:lineRule="auto"/>
        <w:rPr>
          <w:rFonts w:ascii="Arial" w:hAnsi="Arial" w:cs="Arial"/>
          <w:color w:val="auto"/>
          <w:sz w:val="22"/>
          <w:szCs w:val="22"/>
        </w:rPr>
      </w:pPr>
      <w:bookmarkStart w:id="16" w:name="_Toc151055267"/>
      <w:r w:rsidRPr="00846C4C">
        <w:rPr>
          <w:rFonts w:ascii="Arial" w:hAnsi="Arial" w:cs="Arial"/>
          <w:color w:val="auto"/>
          <w:sz w:val="22"/>
          <w:szCs w:val="22"/>
        </w:rPr>
        <w:t xml:space="preserve">3.1.4 </w:t>
      </w:r>
      <w:r w:rsidR="00A22729" w:rsidRPr="00846C4C">
        <w:rPr>
          <w:rFonts w:ascii="Arial" w:hAnsi="Arial" w:cs="Arial"/>
          <w:color w:val="auto"/>
          <w:sz w:val="22"/>
          <w:szCs w:val="22"/>
        </w:rPr>
        <w:t>Procurement:</w:t>
      </w:r>
      <w:bookmarkEnd w:id="16"/>
    </w:p>
    <w:p w14:paraId="59A4219B" w14:textId="4B79F4E6" w:rsidR="00927FE0" w:rsidRPr="00846C4C" w:rsidRDefault="00503A9D" w:rsidP="008D1D66">
      <w:pPr>
        <w:spacing w:line="360" w:lineRule="auto"/>
        <w:jc w:val="both"/>
        <w:rPr>
          <w:rFonts w:ascii="Arial" w:hAnsi="Arial" w:cs="Arial"/>
        </w:rPr>
      </w:pPr>
      <w:r w:rsidRPr="00846C4C">
        <w:rPr>
          <w:rFonts w:ascii="Arial" w:hAnsi="Arial" w:cs="Arial"/>
          <w:lang w:val="en-US"/>
        </w:rPr>
        <w:t xml:space="preserve">AstraZeneca needs to recruit and hire suitable individuals who are proficient in procurement procedures for the acquisition of raw materials, components, equipment, and services, using the just-in-time, pull-based "Kandan" technique. What Toyota Manufacturing employs. To plan for demand, AstraZeneca purchases packaging material with a safety lead time. AstraZeneca obtains its products from labelling. AstraZeneca's warehouse employs waste inventory machines. </w:t>
      </w:r>
      <w:r w:rsidR="00F7268B" w:rsidRPr="00846C4C">
        <w:rPr>
          <w:rFonts w:ascii="Arial" w:hAnsi="Arial" w:cs="Arial"/>
          <w:lang w:val="en-US"/>
        </w:rPr>
        <w:t>Is</w:t>
      </w:r>
      <w:r w:rsidRPr="00846C4C">
        <w:rPr>
          <w:rFonts w:ascii="Arial" w:hAnsi="Arial" w:cs="Arial"/>
          <w:lang w:val="en-US"/>
        </w:rPr>
        <w:t xml:space="preserve"> the management competent </w:t>
      </w:r>
      <w:r w:rsidR="00897C9C" w:rsidRPr="00846C4C">
        <w:rPr>
          <w:rFonts w:ascii="Arial" w:hAnsi="Arial" w:cs="Arial"/>
          <w:lang w:val="en-US"/>
        </w:rPr>
        <w:t>in</w:t>
      </w:r>
      <w:r w:rsidRPr="00846C4C">
        <w:rPr>
          <w:rFonts w:ascii="Arial" w:hAnsi="Arial" w:cs="Arial"/>
          <w:lang w:val="en-US"/>
        </w:rPr>
        <w:t xml:space="preserve"> dealing with the procurement of AstraZeneca supply and demand circumstances on procurement, and how management is </w:t>
      </w:r>
      <w:r w:rsidR="00086B91" w:rsidRPr="00846C4C">
        <w:rPr>
          <w:rFonts w:ascii="Arial" w:hAnsi="Arial" w:cs="Arial"/>
          <w:lang w:val="en-US"/>
        </w:rPr>
        <w:t>managing</w:t>
      </w:r>
      <w:r w:rsidRPr="00846C4C">
        <w:rPr>
          <w:rFonts w:ascii="Arial" w:hAnsi="Arial" w:cs="Arial"/>
          <w:lang w:val="en-US"/>
        </w:rPr>
        <w:t xml:space="preserve"> the demand process without causing waste for AstraZeneca?</w:t>
      </w:r>
    </w:p>
    <w:p w14:paraId="0105921E" w14:textId="3BB0AE63" w:rsidR="00112BCA" w:rsidRPr="00846C4C" w:rsidRDefault="00B60AD5" w:rsidP="008D1D66">
      <w:pPr>
        <w:pStyle w:val="Heading1"/>
        <w:spacing w:line="360" w:lineRule="auto"/>
        <w:rPr>
          <w:rFonts w:ascii="Arial" w:hAnsi="Arial" w:cs="Arial"/>
          <w:color w:val="auto"/>
          <w:sz w:val="22"/>
          <w:szCs w:val="22"/>
        </w:rPr>
      </w:pPr>
      <w:bookmarkStart w:id="17" w:name="_Toc151055268"/>
      <w:r w:rsidRPr="00846C4C">
        <w:rPr>
          <w:rFonts w:ascii="Arial" w:hAnsi="Arial" w:cs="Arial"/>
          <w:color w:val="auto"/>
          <w:sz w:val="22"/>
          <w:szCs w:val="22"/>
        </w:rPr>
        <w:t xml:space="preserve">3.1.5 </w:t>
      </w:r>
      <w:r w:rsidR="008D1D66" w:rsidRPr="00846C4C">
        <w:rPr>
          <w:rFonts w:ascii="Arial" w:hAnsi="Arial" w:cs="Arial"/>
          <w:color w:val="auto"/>
          <w:sz w:val="22"/>
          <w:szCs w:val="22"/>
        </w:rPr>
        <w:t>Inbound Logistics:</w:t>
      </w:r>
      <w:bookmarkEnd w:id="17"/>
    </w:p>
    <w:p w14:paraId="66DB0E52" w14:textId="7F32766F" w:rsidR="00AA647A" w:rsidRPr="00846C4C" w:rsidRDefault="002A5B18" w:rsidP="008D1D66">
      <w:pPr>
        <w:spacing w:line="360" w:lineRule="auto"/>
        <w:jc w:val="both"/>
        <w:rPr>
          <w:rFonts w:ascii="Arial" w:hAnsi="Arial" w:cs="Arial"/>
        </w:rPr>
      </w:pPr>
      <w:r w:rsidRPr="00846C4C">
        <w:rPr>
          <w:rFonts w:ascii="Arial" w:hAnsi="Arial" w:cs="Arial"/>
          <w:lang w:val="en-US"/>
        </w:rPr>
        <w:t>AstraZeneca transferred 1/3 of its medicine inventory from aviation to maritime to address economic and environmental issues, as well as to increase finished goods inventories, time to the marketplace, and efficiency.</w:t>
      </w:r>
      <w:r w:rsidR="001A68EF" w:rsidRPr="00846C4C">
        <w:rPr>
          <w:rFonts w:ascii="Arial" w:hAnsi="Arial" w:cs="Arial"/>
          <w:lang w:val="en-US"/>
        </w:rPr>
        <w:t xml:space="preserve"> </w:t>
      </w:r>
      <w:r w:rsidR="006134D1" w:rsidRPr="00846C4C">
        <w:rPr>
          <w:rFonts w:ascii="Arial" w:hAnsi="Arial" w:cs="Arial"/>
        </w:rPr>
        <w:t xml:space="preserve">Many </w:t>
      </w:r>
      <w:r w:rsidR="00AA647A" w:rsidRPr="00846C4C">
        <w:rPr>
          <w:rFonts w:ascii="Arial" w:hAnsi="Arial" w:cs="Arial"/>
        </w:rPr>
        <w:t>AstraZeneca</w:t>
      </w:r>
      <w:r w:rsidR="006134D1" w:rsidRPr="00846C4C">
        <w:rPr>
          <w:rFonts w:ascii="Arial" w:hAnsi="Arial" w:cs="Arial"/>
        </w:rPr>
        <w:t xml:space="preserve"> Patients operations are connected with obtaining, storing, and transmitting product inputs. It might comprise physical product storage, material handling, and architecture to accept and store consumer information for a digital media organisation. </w:t>
      </w:r>
      <w:r w:rsidR="00AA647A" w:rsidRPr="00846C4C">
        <w:rPr>
          <w:rFonts w:ascii="Arial" w:hAnsi="Arial" w:cs="Arial"/>
        </w:rPr>
        <w:t>AstraZeneca</w:t>
      </w:r>
      <w:r w:rsidR="006134D1" w:rsidRPr="00846C4C">
        <w:rPr>
          <w:rFonts w:ascii="Arial" w:hAnsi="Arial" w:cs="Arial"/>
        </w:rPr>
        <w:t xml:space="preserve"> Patients now outsources the majority of its inbound logistical activities.</w:t>
      </w:r>
    </w:p>
    <w:p w14:paraId="791C36A1" w14:textId="00B5223C" w:rsidR="00B35E2F" w:rsidRPr="00846C4C" w:rsidRDefault="00B60AD5" w:rsidP="00BE7ED2">
      <w:pPr>
        <w:pStyle w:val="Heading1"/>
        <w:spacing w:line="360" w:lineRule="auto"/>
        <w:rPr>
          <w:rFonts w:ascii="Arial" w:hAnsi="Arial" w:cs="Arial"/>
          <w:color w:val="auto"/>
          <w:sz w:val="22"/>
          <w:szCs w:val="22"/>
        </w:rPr>
      </w:pPr>
      <w:bookmarkStart w:id="18" w:name="_Toc151055269"/>
      <w:r w:rsidRPr="00846C4C">
        <w:rPr>
          <w:rStyle w:val="Heading2Char"/>
          <w:rFonts w:ascii="Arial" w:hAnsi="Arial" w:cs="Arial"/>
          <w:color w:val="auto"/>
          <w:sz w:val="22"/>
          <w:szCs w:val="22"/>
        </w:rPr>
        <w:lastRenderedPageBreak/>
        <w:t xml:space="preserve">3.1.6 </w:t>
      </w:r>
      <w:r w:rsidR="008D1D66" w:rsidRPr="00846C4C">
        <w:rPr>
          <w:rStyle w:val="Heading2Char"/>
          <w:rFonts w:ascii="Arial" w:hAnsi="Arial" w:cs="Arial"/>
          <w:color w:val="auto"/>
          <w:sz w:val="22"/>
          <w:szCs w:val="22"/>
        </w:rPr>
        <w:t>Production/Operations</w:t>
      </w:r>
      <w:r w:rsidR="008D1D66" w:rsidRPr="00846C4C">
        <w:rPr>
          <w:rFonts w:ascii="Arial" w:hAnsi="Arial" w:cs="Arial"/>
          <w:color w:val="auto"/>
          <w:sz w:val="22"/>
          <w:szCs w:val="22"/>
        </w:rPr>
        <w:t>:</w:t>
      </w:r>
      <w:bookmarkEnd w:id="18"/>
    </w:p>
    <w:p w14:paraId="59C895BD" w14:textId="2E186660" w:rsidR="00F1038A" w:rsidRPr="00846C4C" w:rsidRDefault="00F1038A" w:rsidP="00BE7ED2">
      <w:pPr>
        <w:spacing w:line="360" w:lineRule="auto"/>
        <w:jc w:val="both"/>
        <w:rPr>
          <w:rFonts w:ascii="Arial" w:hAnsi="Arial" w:cs="Arial"/>
        </w:rPr>
      </w:pPr>
      <w:r w:rsidRPr="00846C4C">
        <w:rPr>
          <w:rFonts w:ascii="Arial" w:hAnsi="Arial" w:cs="Arial"/>
          <w:lang w:val="en-US"/>
        </w:rPr>
        <w:t>AstraZeneca business operations is a multinational science-led, patient-focused pharmaceutical corporation with a focus on sustainability in healthcare. Before putting a medication to market, AstraZeneca research and development must get FDA approval.</w:t>
      </w:r>
    </w:p>
    <w:p w14:paraId="2EBB6A20" w14:textId="1AFBED67" w:rsidR="00554815" w:rsidRPr="00846C4C" w:rsidRDefault="00B60AD5" w:rsidP="00BE7ED2">
      <w:pPr>
        <w:pStyle w:val="Heading3"/>
        <w:spacing w:line="360" w:lineRule="auto"/>
        <w:rPr>
          <w:rFonts w:ascii="Arial" w:hAnsi="Arial" w:cs="Arial"/>
          <w:color w:val="auto"/>
          <w:sz w:val="22"/>
          <w:szCs w:val="22"/>
        </w:rPr>
      </w:pPr>
      <w:bookmarkStart w:id="19" w:name="_Toc151055270"/>
      <w:r w:rsidRPr="00846C4C">
        <w:rPr>
          <w:rFonts w:ascii="Arial" w:hAnsi="Arial" w:cs="Arial"/>
          <w:color w:val="auto"/>
          <w:sz w:val="22"/>
          <w:szCs w:val="22"/>
        </w:rPr>
        <w:t xml:space="preserve">3.1.7 </w:t>
      </w:r>
      <w:r w:rsidR="008D1D66" w:rsidRPr="00846C4C">
        <w:rPr>
          <w:rFonts w:ascii="Arial" w:hAnsi="Arial" w:cs="Arial"/>
          <w:color w:val="auto"/>
          <w:sz w:val="22"/>
          <w:szCs w:val="22"/>
        </w:rPr>
        <w:t>Outbound Logistics:</w:t>
      </w:r>
      <w:bookmarkEnd w:id="19"/>
    </w:p>
    <w:p w14:paraId="17F68E10" w14:textId="688A9270" w:rsidR="00353E3E" w:rsidRPr="00846C4C" w:rsidRDefault="00353E3E" w:rsidP="00BE7ED2">
      <w:pPr>
        <w:spacing w:line="360" w:lineRule="auto"/>
        <w:jc w:val="both"/>
        <w:rPr>
          <w:rFonts w:ascii="Arial" w:hAnsi="Arial" w:cs="Arial"/>
          <w:lang w:val="en-US"/>
        </w:rPr>
      </w:pPr>
      <w:r w:rsidRPr="00846C4C">
        <w:rPr>
          <w:rFonts w:ascii="Arial" w:hAnsi="Arial" w:cs="Arial"/>
          <w:lang w:val="en-US"/>
        </w:rPr>
        <w:t xml:space="preserve">AstraZeneca has </w:t>
      </w:r>
      <w:r w:rsidR="00086B91" w:rsidRPr="00846C4C">
        <w:rPr>
          <w:rFonts w:ascii="Arial" w:hAnsi="Arial" w:cs="Arial"/>
          <w:lang w:val="en-US"/>
        </w:rPr>
        <w:t>an</w:t>
      </w:r>
      <w:r w:rsidRPr="00846C4C">
        <w:rPr>
          <w:rFonts w:ascii="Arial" w:hAnsi="Arial" w:cs="Arial"/>
          <w:lang w:val="en-US"/>
        </w:rPr>
        <w:t xml:space="preserve"> </w:t>
      </w:r>
      <w:r w:rsidR="00086B91" w:rsidRPr="00846C4C">
        <w:rPr>
          <w:rFonts w:ascii="Arial" w:hAnsi="Arial" w:cs="Arial"/>
          <w:lang w:val="en-US"/>
        </w:rPr>
        <w:t>innovative</w:t>
      </w:r>
      <w:r w:rsidRPr="00846C4C">
        <w:rPr>
          <w:rFonts w:ascii="Arial" w:hAnsi="Arial" w:cs="Arial"/>
          <w:lang w:val="en-US"/>
        </w:rPr>
        <w:t xml:space="preserve"> tablet manufacturing plant in India, as well as good facilities across the world. The United Kingdom also has outstanding facilities, while India offers one of the top worldwide sites. Manufacturing site assisting with clinical trial design and execution, as well as safety and effectiveness monitoring. Products from start to finish.</w:t>
      </w:r>
    </w:p>
    <w:p w14:paraId="157DCC25" w14:textId="1763FAAD" w:rsidR="001E7AB6" w:rsidRPr="00846C4C" w:rsidRDefault="00B60AD5" w:rsidP="00BE7ED2">
      <w:pPr>
        <w:pStyle w:val="Heading1"/>
        <w:spacing w:line="360" w:lineRule="auto"/>
        <w:rPr>
          <w:rFonts w:ascii="Arial" w:hAnsi="Arial" w:cs="Arial"/>
          <w:color w:val="auto"/>
          <w:sz w:val="22"/>
          <w:szCs w:val="22"/>
        </w:rPr>
      </w:pPr>
      <w:bookmarkStart w:id="20" w:name="_Toc151055271"/>
      <w:r w:rsidRPr="00846C4C">
        <w:rPr>
          <w:rFonts w:ascii="Arial" w:hAnsi="Arial" w:cs="Arial"/>
          <w:color w:val="auto"/>
          <w:sz w:val="22"/>
          <w:szCs w:val="22"/>
          <w:lang w:val="en-US"/>
        </w:rPr>
        <w:t xml:space="preserve">3.1.8 </w:t>
      </w:r>
      <w:r w:rsidR="008D1D66" w:rsidRPr="00846C4C">
        <w:rPr>
          <w:rFonts w:ascii="Arial" w:hAnsi="Arial" w:cs="Arial"/>
          <w:color w:val="auto"/>
          <w:sz w:val="22"/>
          <w:szCs w:val="22"/>
          <w:lang w:val="en-US"/>
        </w:rPr>
        <w:t>Marketing And Sales</w:t>
      </w:r>
      <w:bookmarkEnd w:id="20"/>
    </w:p>
    <w:p w14:paraId="160D53CD" w14:textId="77777777" w:rsidR="001E7AB6" w:rsidRPr="00846C4C" w:rsidRDefault="001E7AB6" w:rsidP="00BE7ED2">
      <w:pPr>
        <w:spacing w:line="360" w:lineRule="auto"/>
        <w:jc w:val="both"/>
        <w:rPr>
          <w:rFonts w:ascii="Arial" w:hAnsi="Arial" w:cs="Arial"/>
        </w:rPr>
      </w:pPr>
      <w:r w:rsidRPr="00846C4C">
        <w:rPr>
          <w:rFonts w:ascii="Arial" w:hAnsi="Arial" w:cs="Arial"/>
          <w:lang w:val="en-US"/>
        </w:rPr>
        <w:t xml:space="preserve">AstraZeneca marketing strategies by AstraZeneca Pharma India Limited (AZPIL) </w:t>
      </w:r>
      <w:r w:rsidRPr="00846C4C">
        <w:rPr>
          <w:rFonts w:ascii="Arial" w:hAnsi="Arial" w:cs="Arial"/>
        </w:rPr>
        <w:t xml:space="preserve">Advertising, Distribution, And Production Activities, Crowdsourcing, Billboard, Social Media Platforms, AstraZeneca Websites Television, AstraZeneca Magazine, </w:t>
      </w:r>
    </w:p>
    <w:p w14:paraId="3EF76BF4" w14:textId="50D5D4DD" w:rsidR="00451E3A" w:rsidRPr="00846C4C" w:rsidRDefault="00B60AD5" w:rsidP="00BE7ED2">
      <w:pPr>
        <w:pStyle w:val="Heading2"/>
        <w:spacing w:line="360" w:lineRule="auto"/>
        <w:rPr>
          <w:rStyle w:val="Heading2Char"/>
          <w:rFonts w:ascii="Arial" w:hAnsi="Arial" w:cs="Arial"/>
          <w:color w:val="auto"/>
          <w:sz w:val="22"/>
          <w:szCs w:val="22"/>
        </w:rPr>
      </w:pPr>
      <w:bookmarkStart w:id="21" w:name="_Toc151055272"/>
      <w:r w:rsidRPr="00846C4C">
        <w:rPr>
          <w:rFonts w:ascii="Arial" w:hAnsi="Arial" w:cs="Arial"/>
          <w:color w:val="auto"/>
          <w:sz w:val="22"/>
          <w:szCs w:val="22"/>
          <w:lang w:val="en-US"/>
        </w:rPr>
        <w:t>3</w:t>
      </w:r>
      <w:r w:rsidRPr="00846C4C">
        <w:rPr>
          <w:rStyle w:val="Heading2Char"/>
          <w:rFonts w:ascii="Arial" w:hAnsi="Arial" w:cs="Arial"/>
          <w:color w:val="auto"/>
          <w:sz w:val="22"/>
          <w:szCs w:val="22"/>
        </w:rPr>
        <w:t xml:space="preserve">.1.9 </w:t>
      </w:r>
      <w:r w:rsidR="008D1D66" w:rsidRPr="00846C4C">
        <w:rPr>
          <w:rStyle w:val="Heading2Char"/>
          <w:rFonts w:ascii="Arial" w:hAnsi="Arial" w:cs="Arial"/>
          <w:color w:val="auto"/>
          <w:sz w:val="22"/>
          <w:szCs w:val="22"/>
        </w:rPr>
        <w:t>Customer Service</w:t>
      </w:r>
      <w:bookmarkEnd w:id="21"/>
    </w:p>
    <w:p w14:paraId="0F34DE6B" w14:textId="7DCB2F94" w:rsidR="004A6E6D" w:rsidRPr="00846C4C" w:rsidRDefault="00451E3A" w:rsidP="00BE7ED2">
      <w:pPr>
        <w:spacing w:line="360" w:lineRule="auto"/>
        <w:jc w:val="both"/>
        <w:rPr>
          <w:rFonts w:ascii="Arial" w:hAnsi="Arial" w:cs="Arial"/>
          <w:lang w:val="en-US"/>
        </w:rPr>
      </w:pPr>
      <w:r w:rsidRPr="00846C4C">
        <w:rPr>
          <w:rFonts w:ascii="Arial" w:hAnsi="Arial" w:cs="Arial"/>
          <w:lang w:val="en-US"/>
        </w:rPr>
        <w:t xml:space="preserve">AstraZeneca prides itself on the excellent services it provides </w:t>
      </w:r>
      <w:r w:rsidR="00897C9C" w:rsidRPr="00846C4C">
        <w:rPr>
          <w:rFonts w:ascii="Arial" w:hAnsi="Arial" w:cs="Arial"/>
          <w:lang w:val="en-US"/>
        </w:rPr>
        <w:t>for</w:t>
      </w:r>
      <w:r w:rsidRPr="00846C4C">
        <w:rPr>
          <w:rFonts w:ascii="Arial" w:hAnsi="Arial" w:cs="Arial"/>
          <w:lang w:val="en-US"/>
        </w:rPr>
        <w:t xml:space="preserve"> its customers. In the form of its research and development in Oncology, Cardiovascular, Renal and Metabolism, Respiratory and Immunology, Vaccines and Immune Therapies, and Rare Disease AstraZeneca  providers high quality training and development for its world class talent providing opportunities for its employees around the world. </w:t>
      </w:r>
    </w:p>
    <w:p w14:paraId="4AF04B99" w14:textId="470856EC" w:rsidR="00421BE4" w:rsidRPr="00846C4C" w:rsidRDefault="002364AB" w:rsidP="00ED7C12">
      <w:pPr>
        <w:pStyle w:val="Heading3"/>
        <w:spacing w:line="360" w:lineRule="auto"/>
        <w:jc w:val="both"/>
        <w:rPr>
          <w:rFonts w:ascii="Arial" w:hAnsi="Arial" w:cs="Arial"/>
          <w:color w:val="auto"/>
          <w:sz w:val="22"/>
          <w:szCs w:val="22"/>
          <w:lang w:val="en-US"/>
        </w:rPr>
      </w:pPr>
      <w:bookmarkStart w:id="22" w:name="_Toc151055273"/>
      <w:r w:rsidRPr="00846C4C">
        <w:rPr>
          <w:rFonts w:ascii="Arial" w:hAnsi="Arial" w:cs="Arial"/>
          <w:color w:val="auto"/>
          <w:sz w:val="22"/>
          <w:szCs w:val="22"/>
          <w:lang w:val="en-US"/>
        </w:rPr>
        <w:t>3.</w:t>
      </w:r>
      <w:r w:rsidR="008E66F1" w:rsidRPr="00846C4C">
        <w:rPr>
          <w:rFonts w:ascii="Arial" w:hAnsi="Arial" w:cs="Arial"/>
          <w:color w:val="auto"/>
          <w:sz w:val="22"/>
          <w:szCs w:val="22"/>
          <w:lang w:val="en-US"/>
        </w:rPr>
        <w:t>1</w:t>
      </w:r>
      <w:r w:rsidR="006F28A7" w:rsidRPr="00846C4C">
        <w:rPr>
          <w:rFonts w:ascii="Arial" w:hAnsi="Arial" w:cs="Arial"/>
          <w:color w:val="auto"/>
          <w:sz w:val="22"/>
          <w:szCs w:val="22"/>
          <w:lang w:val="en-US"/>
        </w:rPr>
        <w:t>0.0</w:t>
      </w:r>
      <w:r w:rsidR="003E6B9C" w:rsidRPr="00846C4C">
        <w:rPr>
          <w:rFonts w:ascii="Arial" w:hAnsi="Arial" w:cs="Arial"/>
          <w:color w:val="auto"/>
          <w:sz w:val="22"/>
          <w:szCs w:val="22"/>
          <w:lang w:val="en-US"/>
        </w:rPr>
        <w:t xml:space="preserve"> </w:t>
      </w:r>
      <w:r w:rsidRPr="00846C4C">
        <w:rPr>
          <w:rFonts w:ascii="Arial" w:hAnsi="Arial" w:cs="Arial"/>
          <w:color w:val="auto"/>
          <w:sz w:val="22"/>
          <w:szCs w:val="22"/>
          <w:lang w:val="en-US"/>
        </w:rPr>
        <w:t>I</w:t>
      </w:r>
      <w:r w:rsidR="003E6B9C" w:rsidRPr="00846C4C">
        <w:rPr>
          <w:rFonts w:ascii="Arial" w:hAnsi="Arial" w:cs="Arial"/>
          <w:color w:val="auto"/>
          <w:sz w:val="22"/>
          <w:szCs w:val="22"/>
          <w:lang w:val="en-US"/>
        </w:rPr>
        <w:t>nternational strategy impacts on Int</w:t>
      </w:r>
      <w:r w:rsidRPr="00846C4C">
        <w:rPr>
          <w:rFonts w:ascii="Arial" w:hAnsi="Arial" w:cs="Arial"/>
          <w:color w:val="auto"/>
          <w:sz w:val="22"/>
          <w:szCs w:val="22"/>
          <w:lang w:val="en-US"/>
        </w:rPr>
        <w:t>ernational HRM</w:t>
      </w:r>
      <w:bookmarkEnd w:id="22"/>
    </w:p>
    <w:p w14:paraId="290B477B" w14:textId="5A61B057" w:rsidR="005C2CB1" w:rsidRDefault="00771846" w:rsidP="007D29E7">
      <w:pPr>
        <w:spacing w:line="360" w:lineRule="auto"/>
        <w:jc w:val="both"/>
        <w:rPr>
          <w:rFonts w:ascii="Arial" w:hAnsi="Arial" w:cs="Arial"/>
          <w:lang w:val="en-US"/>
        </w:rPr>
      </w:pPr>
      <w:r w:rsidRPr="00976778">
        <w:rPr>
          <w:rFonts w:ascii="Arial" w:hAnsi="Arial" w:cs="Arial"/>
          <w:lang w:val="en-US"/>
        </w:rPr>
        <w:t xml:space="preserve">According to </w:t>
      </w:r>
      <w:r w:rsidR="008F7628" w:rsidRPr="008F7628">
        <w:rPr>
          <w:rFonts w:ascii="Arial" w:hAnsi="Arial" w:cs="Arial"/>
        </w:rPr>
        <w:t>Brewster</w:t>
      </w:r>
      <w:r w:rsidR="00B01241">
        <w:rPr>
          <w:rFonts w:ascii="Arial" w:hAnsi="Arial" w:cs="Arial"/>
        </w:rPr>
        <w:t xml:space="preserve">, (2011) </w:t>
      </w:r>
      <w:r>
        <w:rPr>
          <w:rFonts w:ascii="Arial" w:hAnsi="Arial" w:cs="Arial"/>
          <w:lang w:val="en-US"/>
        </w:rPr>
        <w:t>h</w:t>
      </w:r>
      <w:r w:rsidR="00FD6C7B" w:rsidRPr="00FD6C7B">
        <w:rPr>
          <w:rFonts w:ascii="Arial" w:hAnsi="Arial" w:cs="Arial"/>
          <w:lang w:val="en-US"/>
        </w:rPr>
        <w:t xml:space="preserve">uman resources management remains critical to the continued prosperity of </w:t>
      </w:r>
      <w:r w:rsidR="00ED7C12" w:rsidRPr="00FD6C7B">
        <w:rPr>
          <w:rFonts w:ascii="Arial" w:hAnsi="Arial" w:cs="Arial"/>
          <w:lang w:val="en-US"/>
        </w:rPr>
        <w:t>all</w:t>
      </w:r>
      <w:r w:rsidR="00FD6C7B" w:rsidRPr="00FD6C7B">
        <w:rPr>
          <w:rFonts w:ascii="Arial" w:hAnsi="Arial" w:cs="Arial"/>
          <w:lang w:val="en-US"/>
        </w:rPr>
        <w:t xml:space="preserve"> these multinational corporations or multinational enterprises. The salaries and wages of the individuals who execute the duties </w:t>
      </w:r>
      <w:r w:rsidR="003E032C" w:rsidRPr="00FD6C7B">
        <w:rPr>
          <w:rFonts w:ascii="Arial" w:hAnsi="Arial" w:cs="Arial"/>
          <w:lang w:val="en-US"/>
        </w:rPr>
        <w:t>serve</w:t>
      </w:r>
      <w:r w:rsidR="00FD6C7B" w:rsidRPr="00FD6C7B">
        <w:rPr>
          <w:rFonts w:ascii="Arial" w:hAnsi="Arial" w:cs="Arial"/>
          <w:lang w:val="en-US"/>
        </w:rPr>
        <w:t xml:space="preserve"> as the solitary greatest factor of overhead</w:t>
      </w:r>
      <w:r w:rsidR="003512F4">
        <w:rPr>
          <w:rFonts w:ascii="Arial" w:hAnsi="Arial" w:cs="Arial"/>
          <w:lang w:val="en-US"/>
        </w:rPr>
        <w:t>s</w:t>
      </w:r>
      <w:r w:rsidR="00FD6C7B" w:rsidRPr="00FD6C7B">
        <w:rPr>
          <w:rFonts w:ascii="Arial" w:hAnsi="Arial" w:cs="Arial"/>
          <w:lang w:val="en-US"/>
        </w:rPr>
        <w:t xml:space="preserve"> for </w:t>
      </w:r>
      <w:r w:rsidR="001D7B1C" w:rsidRPr="00FD6C7B">
        <w:rPr>
          <w:rFonts w:ascii="Arial" w:hAnsi="Arial" w:cs="Arial"/>
          <w:lang w:val="en-US"/>
        </w:rPr>
        <w:t>many</w:t>
      </w:r>
      <w:r w:rsidR="00FD6C7B" w:rsidRPr="00FD6C7B">
        <w:rPr>
          <w:rFonts w:ascii="Arial" w:hAnsi="Arial" w:cs="Arial"/>
          <w:lang w:val="en-US"/>
        </w:rPr>
        <w:t xml:space="preserve"> companies.</w:t>
      </w:r>
      <w:r w:rsidR="00F146B1">
        <w:rPr>
          <w:rFonts w:ascii="Arial" w:hAnsi="Arial" w:cs="Arial"/>
          <w:lang w:val="en-US"/>
        </w:rPr>
        <w:t xml:space="preserve"> </w:t>
      </w:r>
      <w:r w:rsidR="00A62AA8" w:rsidRPr="00FD6C7B">
        <w:rPr>
          <w:rFonts w:ascii="Arial" w:hAnsi="Arial" w:cs="Arial"/>
          <w:lang w:val="en-US"/>
        </w:rPr>
        <w:t>Therefore,</w:t>
      </w:r>
      <w:r w:rsidR="00FD6C7B" w:rsidRPr="00FD6C7B">
        <w:rPr>
          <w:rFonts w:ascii="Arial" w:hAnsi="Arial" w:cs="Arial"/>
          <w:lang w:val="en-US"/>
        </w:rPr>
        <w:t xml:space="preserve"> </w:t>
      </w:r>
      <w:r w:rsidR="00A62AA8" w:rsidRPr="00FD6C7B">
        <w:rPr>
          <w:rFonts w:ascii="Arial" w:hAnsi="Arial" w:cs="Arial"/>
          <w:lang w:val="en-US"/>
        </w:rPr>
        <w:t>regarding</w:t>
      </w:r>
      <w:r w:rsidR="00FD6C7B" w:rsidRPr="00FD6C7B">
        <w:rPr>
          <w:rFonts w:ascii="Arial" w:hAnsi="Arial" w:cs="Arial"/>
          <w:lang w:val="en-US"/>
        </w:rPr>
        <w:t xml:space="preserve"> the expense and benefit fronts. </w:t>
      </w:r>
      <w:r w:rsidR="00F146B1" w:rsidRPr="00FD6C7B">
        <w:rPr>
          <w:rFonts w:ascii="Arial" w:hAnsi="Arial" w:cs="Arial"/>
          <w:lang w:val="en-US"/>
        </w:rPr>
        <w:t>H</w:t>
      </w:r>
      <w:r w:rsidR="00FD6C7B" w:rsidRPr="00FD6C7B">
        <w:rPr>
          <w:rFonts w:ascii="Arial" w:hAnsi="Arial" w:cs="Arial"/>
          <w:lang w:val="en-US"/>
        </w:rPr>
        <w:t xml:space="preserve">uman resources management is critical to the enterprise's existence, performance, and success. The requirement for human resource professionals to have an increasingly international perspective in their functional operations is </w:t>
      </w:r>
      <w:r w:rsidR="001D7B1C" w:rsidRPr="00FD6C7B">
        <w:rPr>
          <w:rFonts w:ascii="Arial" w:hAnsi="Arial" w:cs="Arial"/>
          <w:lang w:val="en-US"/>
        </w:rPr>
        <w:t>accepted</w:t>
      </w:r>
      <w:r w:rsidR="00FD6C7B" w:rsidRPr="00FD6C7B">
        <w:rPr>
          <w:rFonts w:ascii="Arial" w:hAnsi="Arial" w:cs="Arial"/>
          <w:lang w:val="en-US"/>
        </w:rPr>
        <w:t xml:space="preserve"> and becoming increasingly obvious. Politicians have personnel operating throughout the entire globe. Various global </w:t>
      </w:r>
      <w:r w:rsidR="00A62AA8" w:rsidRPr="00FD6C7B">
        <w:rPr>
          <w:rFonts w:ascii="Arial" w:hAnsi="Arial" w:cs="Arial"/>
          <w:lang w:val="en-US"/>
        </w:rPr>
        <w:t>organizations</w:t>
      </w:r>
      <w:r w:rsidR="00FD6C7B" w:rsidRPr="00FD6C7B">
        <w:rPr>
          <w:rFonts w:ascii="Arial" w:hAnsi="Arial" w:cs="Arial"/>
          <w:lang w:val="en-US"/>
        </w:rPr>
        <w:t xml:space="preserve">, such as those in the United Nations (UN) loved ones, OECD, regional trade agencies, possess staff who operate beyond national lines. Countless charity and faith-based </w:t>
      </w:r>
      <w:r w:rsidR="00A62AA8" w:rsidRPr="00FD6C7B">
        <w:rPr>
          <w:rFonts w:ascii="Arial" w:hAnsi="Arial" w:cs="Arial"/>
          <w:lang w:val="en-US"/>
        </w:rPr>
        <w:t>organizations</w:t>
      </w:r>
      <w:r w:rsidR="00FD6C7B" w:rsidRPr="00FD6C7B">
        <w:rPr>
          <w:rFonts w:ascii="Arial" w:hAnsi="Arial" w:cs="Arial"/>
          <w:lang w:val="en-US"/>
        </w:rPr>
        <w:t xml:space="preserve"> feel the same </w:t>
      </w:r>
      <w:r w:rsidR="00A62AA8" w:rsidRPr="00FD6C7B">
        <w:rPr>
          <w:rFonts w:ascii="Arial" w:hAnsi="Arial" w:cs="Arial"/>
          <w:lang w:val="en-US"/>
        </w:rPr>
        <w:t>way.</w:t>
      </w:r>
      <w:r w:rsidR="005227C4">
        <w:rPr>
          <w:rFonts w:ascii="Arial" w:hAnsi="Arial" w:cs="Arial"/>
          <w:lang w:val="en-US"/>
        </w:rPr>
        <w:t xml:space="preserve"> </w:t>
      </w:r>
    </w:p>
    <w:p w14:paraId="0F96ED23" w14:textId="61FB6157" w:rsidR="000E13A5" w:rsidRDefault="009D4ACD" w:rsidP="007D29E7">
      <w:pPr>
        <w:spacing w:line="360" w:lineRule="auto"/>
        <w:jc w:val="both"/>
        <w:rPr>
          <w:rFonts w:ascii="Arial" w:hAnsi="Arial" w:cs="Arial"/>
          <w:lang w:val="en-US"/>
        </w:rPr>
      </w:pPr>
      <w:r w:rsidRPr="009D4ACD">
        <w:rPr>
          <w:rFonts w:ascii="Arial" w:hAnsi="Arial" w:cs="Arial"/>
          <w:lang w:val="en-US"/>
        </w:rPr>
        <w:t xml:space="preserve">If an </w:t>
      </w:r>
      <w:r w:rsidR="00BA3ADA" w:rsidRPr="009D4ACD">
        <w:rPr>
          <w:rFonts w:ascii="Arial" w:hAnsi="Arial" w:cs="Arial"/>
          <w:lang w:val="en-US"/>
        </w:rPr>
        <w:t>organization</w:t>
      </w:r>
      <w:r w:rsidRPr="009D4ACD">
        <w:rPr>
          <w:rFonts w:ascii="Arial" w:hAnsi="Arial" w:cs="Arial"/>
          <w:lang w:val="en-US"/>
        </w:rPr>
        <w:t xml:space="preserve"> does not acquire the correct people, it will experience significant staff turnover, raising the organization's outgoing overheads even more. High turnover has a negative impact on production and increases the time required recruiting, training, and </w:t>
      </w:r>
      <w:r w:rsidRPr="009D4ACD">
        <w:rPr>
          <w:rFonts w:ascii="Arial" w:hAnsi="Arial" w:cs="Arial"/>
          <w:lang w:val="en-US"/>
        </w:rPr>
        <w:lastRenderedPageBreak/>
        <w:t xml:space="preserve">onboarding staff. AstraZeneca has </w:t>
      </w:r>
      <w:r w:rsidR="00623C26">
        <w:rPr>
          <w:rFonts w:ascii="Arial" w:hAnsi="Arial" w:cs="Arial"/>
          <w:lang w:val="en-US"/>
        </w:rPr>
        <w:t>highly skilled</w:t>
      </w:r>
      <w:r w:rsidRPr="009D4ACD">
        <w:rPr>
          <w:rFonts w:ascii="Arial" w:hAnsi="Arial" w:cs="Arial"/>
          <w:lang w:val="en-US"/>
        </w:rPr>
        <w:t xml:space="preserve"> persons for recruitment to employment, mostly scientists, with them being the best personal and fitting a criterion in the first place would have a positive and lower turnover than an individual working in a physically demanding job such as a warehouse.</w:t>
      </w:r>
    </w:p>
    <w:p w14:paraId="4AA2254B" w14:textId="34BA374D" w:rsidR="00421BE4" w:rsidRDefault="002364AB" w:rsidP="00043AAA">
      <w:pPr>
        <w:spacing w:line="360" w:lineRule="auto"/>
        <w:jc w:val="both"/>
        <w:rPr>
          <w:rStyle w:val="Heading1Char"/>
          <w:rFonts w:ascii="Arial" w:hAnsi="Arial" w:cs="Arial"/>
          <w:color w:val="auto"/>
          <w:sz w:val="22"/>
          <w:szCs w:val="22"/>
        </w:rPr>
      </w:pPr>
      <w:r w:rsidRPr="00846C4C">
        <w:rPr>
          <w:rFonts w:ascii="Arial" w:hAnsi="Arial" w:cs="Arial"/>
          <w:lang w:val="en-US"/>
        </w:rPr>
        <w:t>3.</w:t>
      </w:r>
      <w:r w:rsidR="00FE5D89" w:rsidRPr="00846C4C">
        <w:rPr>
          <w:rFonts w:ascii="Arial" w:hAnsi="Arial" w:cs="Arial"/>
          <w:lang w:val="en-US"/>
        </w:rPr>
        <w:t>11.0</w:t>
      </w:r>
      <w:r w:rsidRPr="00846C4C">
        <w:rPr>
          <w:rFonts w:ascii="Arial" w:hAnsi="Arial" w:cs="Arial"/>
          <w:lang w:val="en-US"/>
        </w:rPr>
        <w:t xml:space="preserve"> </w:t>
      </w:r>
      <w:r w:rsidRPr="00846C4C">
        <w:rPr>
          <w:rStyle w:val="Heading1Char"/>
          <w:rFonts w:ascii="Arial" w:hAnsi="Arial" w:cs="Arial"/>
          <w:color w:val="auto"/>
          <w:sz w:val="22"/>
          <w:szCs w:val="22"/>
        </w:rPr>
        <w:t xml:space="preserve">International Strategy </w:t>
      </w:r>
      <w:r w:rsidR="003474E2" w:rsidRPr="00846C4C">
        <w:rPr>
          <w:rStyle w:val="Heading1Char"/>
          <w:rFonts w:ascii="Arial" w:hAnsi="Arial" w:cs="Arial"/>
          <w:color w:val="auto"/>
          <w:sz w:val="22"/>
          <w:szCs w:val="22"/>
        </w:rPr>
        <w:t>impacts on International Marketing</w:t>
      </w:r>
      <w:r w:rsidR="0069007D">
        <w:rPr>
          <w:rStyle w:val="Heading1Char"/>
          <w:rFonts w:ascii="Arial" w:hAnsi="Arial" w:cs="Arial"/>
          <w:color w:val="auto"/>
          <w:sz w:val="22"/>
          <w:szCs w:val="22"/>
        </w:rPr>
        <w:t>:</w:t>
      </w:r>
    </w:p>
    <w:p w14:paraId="7879668A" w14:textId="4A5FE74F" w:rsidR="0069007D" w:rsidRPr="00D1242A" w:rsidRDefault="00ED67F1" w:rsidP="00043AAA">
      <w:pPr>
        <w:spacing w:line="360" w:lineRule="auto"/>
        <w:jc w:val="both"/>
        <w:rPr>
          <w:rFonts w:ascii="Arial" w:hAnsi="Arial" w:cs="Arial"/>
          <w:lang w:val="en-US"/>
        </w:rPr>
      </w:pPr>
      <w:r w:rsidRPr="00976778">
        <w:rPr>
          <w:rFonts w:ascii="Arial" w:hAnsi="Arial" w:cs="Arial"/>
        </w:rPr>
        <w:t>Behl</w:t>
      </w:r>
      <w:r>
        <w:rPr>
          <w:rFonts w:ascii="Arial" w:hAnsi="Arial" w:cs="Arial"/>
        </w:rPr>
        <w:t>,</w:t>
      </w:r>
      <w:r w:rsidR="009862DB">
        <w:rPr>
          <w:rFonts w:ascii="Arial" w:hAnsi="Arial" w:cs="Arial"/>
        </w:rPr>
        <w:t xml:space="preserve"> et al,</w:t>
      </w:r>
      <w:r w:rsidRPr="00976778">
        <w:rPr>
          <w:rFonts w:ascii="Arial" w:hAnsi="Arial" w:cs="Arial"/>
          <w:lang w:val="en-US"/>
        </w:rPr>
        <w:t xml:space="preserve"> (</w:t>
      </w:r>
      <w:r>
        <w:rPr>
          <w:rFonts w:ascii="Arial" w:hAnsi="Arial" w:cs="Arial"/>
        </w:rPr>
        <w:t>2023</w:t>
      </w:r>
      <w:r w:rsidRPr="00976778">
        <w:rPr>
          <w:rFonts w:ascii="Arial" w:hAnsi="Arial" w:cs="Arial"/>
          <w:lang w:val="en-US"/>
        </w:rPr>
        <w:t xml:space="preserve">) </w:t>
      </w:r>
      <w:r>
        <w:rPr>
          <w:rFonts w:ascii="Arial" w:hAnsi="Arial" w:cs="Arial"/>
          <w:lang w:val="en-US"/>
        </w:rPr>
        <w:t xml:space="preserve"> states t</w:t>
      </w:r>
      <w:r w:rsidR="00E82ED3" w:rsidRPr="001841F4">
        <w:rPr>
          <w:rFonts w:ascii="Arial" w:hAnsi="Arial" w:cs="Arial"/>
          <w:lang w:val="en-US"/>
        </w:rPr>
        <w:t>o</w:t>
      </w:r>
      <w:r w:rsidR="001841F4" w:rsidRPr="001841F4">
        <w:rPr>
          <w:rFonts w:ascii="Arial" w:hAnsi="Arial" w:cs="Arial"/>
          <w:lang w:val="en-US"/>
        </w:rPr>
        <w:t xml:space="preserve"> </w:t>
      </w:r>
      <w:r w:rsidR="001841F4" w:rsidRPr="001841F4">
        <w:rPr>
          <w:rFonts w:ascii="Arial" w:hAnsi="Arial" w:cs="Arial"/>
          <w:lang w:val="en-US"/>
        </w:rPr>
        <w:t>capitalize</w:t>
      </w:r>
      <w:r w:rsidR="001841F4" w:rsidRPr="001841F4">
        <w:rPr>
          <w:rFonts w:ascii="Arial" w:hAnsi="Arial" w:cs="Arial"/>
          <w:lang w:val="en-US"/>
        </w:rPr>
        <w:t xml:space="preserve"> on prospects and stay forward in the face of rivals, enterprises </w:t>
      </w:r>
      <w:r w:rsidR="00E57E18" w:rsidRPr="001841F4">
        <w:rPr>
          <w:rFonts w:ascii="Arial" w:hAnsi="Arial" w:cs="Arial"/>
          <w:lang w:val="en-US"/>
        </w:rPr>
        <w:t>must</w:t>
      </w:r>
      <w:r w:rsidR="001841F4" w:rsidRPr="001841F4">
        <w:rPr>
          <w:rFonts w:ascii="Arial" w:hAnsi="Arial" w:cs="Arial"/>
          <w:lang w:val="en-US"/>
        </w:rPr>
        <w:t xml:space="preserve"> establish novel competencies while search</w:t>
      </w:r>
      <w:r w:rsidR="00E11CB2">
        <w:rPr>
          <w:rFonts w:ascii="Arial" w:hAnsi="Arial" w:cs="Arial"/>
          <w:lang w:val="en-US"/>
        </w:rPr>
        <w:t>ing</w:t>
      </w:r>
      <w:r w:rsidR="001841F4" w:rsidRPr="001841F4">
        <w:rPr>
          <w:rFonts w:ascii="Arial" w:hAnsi="Arial" w:cs="Arial"/>
          <w:lang w:val="en-US"/>
        </w:rPr>
        <w:t xml:space="preserve"> through less saturated specific markets, </w:t>
      </w:r>
      <w:r w:rsidR="001841F4" w:rsidRPr="001841F4">
        <w:rPr>
          <w:rFonts w:ascii="Arial" w:hAnsi="Arial" w:cs="Arial"/>
          <w:lang w:val="en-US"/>
        </w:rPr>
        <w:t>which</w:t>
      </w:r>
      <w:r w:rsidR="001841F4" w:rsidRPr="001841F4">
        <w:rPr>
          <w:rFonts w:ascii="Arial" w:hAnsi="Arial" w:cs="Arial"/>
          <w:lang w:val="en-US"/>
        </w:rPr>
        <w:t xml:space="preserve"> demands the acquisition of novel assets Barrick et al., </w:t>
      </w:r>
      <w:r w:rsidR="008D7BE2">
        <w:rPr>
          <w:rFonts w:ascii="Arial" w:hAnsi="Arial" w:cs="Arial"/>
          <w:lang w:val="en-US"/>
        </w:rPr>
        <w:t>(</w:t>
      </w:r>
      <w:r w:rsidR="001841F4" w:rsidRPr="001841F4">
        <w:rPr>
          <w:rFonts w:ascii="Arial" w:hAnsi="Arial" w:cs="Arial"/>
          <w:lang w:val="en-US"/>
        </w:rPr>
        <w:t>2015</w:t>
      </w:r>
      <w:r w:rsidR="008D7BE2">
        <w:rPr>
          <w:rFonts w:ascii="Arial" w:hAnsi="Arial" w:cs="Arial"/>
          <w:lang w:val="en-US"/>
        </w:rPr>
        <w:t>)</w:t>
      </w:r>
      <w:r w:rsidR="001841F4" w:rsidRPr="001841F4">
        <w:rPr>
          <w:rFonts w:ascii="Arial" w:hAnsi="Arial" w:cs="Arial"/>
          <w:lang w:val="en-US"/>
        </w:rPr>
        <w:t xml:space="preserve"> According to Bob, </w:t>
      </w:r>
      <w:r w:rsidR="008D7BE2">
        <w:rPr>
          <w:rFonts w:ascii="Arial" w:hAnsi="Arial" w:cs="Arial"/>
          <w:lang w:val="en-US"/>
        </w:rPr>
        <w:t>(</w:t>
      </w:r>
      <w:r w:rsidR="00E57E18">
        <w:rPr>
          <w:rFonts w:ascii="Arial" w:hAnsi="Arial" w:cs="Arial"/>
          <w:lang w:val="en-US"/>
        </w:rPr>
        <w:t>2</w:t>
      </w:r>
      <w:r w:rsidR="001841F4" w:rsidRPr="001841F4">
        <w:rPr>
          <w:rFonts w:ascii="Arial" w:hAnsi="Arial" w:cs="Arial"/>
          <w:lang w:val="en-US"/>
        </w:rPr>
        <w:t xml:space="preserve">032). As a result, global firm leaders find it difficult to understand the vast spectrum of dangers throughout their </w:t>
      </w:r>
      <w:r w:rsidR="001841F4" w:rsidRPr="001841F4">
        <w:rPr>
          <w:rFonts w:ascii="Arial" w:hAnsi="Arial" w:cs="Arial"/>
          <w:lang w:val="en-US"/>
        </w:rPr>
        <w:t>organizations</w:t>
      </w:r>
      <w:r w:rsidR="001841F4" w:rsidRPr="001841F4">
        <w:rPr>
          <w:rFonts w:ascii="Arial" w:hAnsi="Arial" w:cs="Arial"/>
          <w:lang w:val="en-US"/>
        </w:rPr>
        <w:t xml:space="preserve"> and design effective ways to </w:t>
      </w:r>
      <w:r w:rsidR="001841F4" w:rsidRPr="001841F4">
        <w:rPr>
          <w:rFonts w:ascii="Arial" w:hAnsi="Arial" w:cs="Arial"/>
          <w:lang w:val="en-US"/>
        </w:rPr>
        <w:t>manage</w:t>
      </w:r>
      <w:r w:rsidR="001841F4" w:rsidRPr="001841F4">
        <w:rPr>
          <w:rFonts w:ascii="Arial" w:hAnsi="Arial" w:cs="Arial"/>
          <w:lang w:val="en-US"/>
        </w:rPr>
        <w:t xml:space="preserve"> them, especially in times like the current Covid-19 pandemic.</w:t>
      </w:r>
      <w:r w:rsidR="00B63778">
        <w:rPr>
          <w:rFonts w:ascii="Arial" w:hAnsi="Arial" w:cs="Arial"/>
          <w:lang w:val="en-US"/>
        </w:rPr>
        <w:t xml:space="preserve"> </w:t>
      </w:r>
      <w:r w:rsidR="00B63778" w:rsidRPr="00B63778">
        <w:rPr>
          <w:rFonts w:ascii="Arial" w:hAnsi="Arial" w:cs="Arial"/>
          <w:lang w:val="en-US"/>
        </w:rPr>
        <w:t xml:space="preserve">to </w:t>
      </w:r>
      <w:r w:rsidR="00E55475" w:rsidRPr="00B63778">
        <w:rPr>
          <w:rFonts w:ascii="Arial" w:hAnsi="Arial" w:cs="Arial"/>
          <w:lang w:val="en-US"/>
        </w:rPr>
        <w:t>meta analyze</w:t>
      </w:r>
      <w:r w:rsidR="00B63778" w:rsidRPr="00B63778">
        <w:rPr>
          <w:rFonts w:ascii="Arial" w:hAnsi="Arial" w:cs="Arial"/>
          <w:lang w:val="en-US"/>
        </w:rPr>
        <w:t xml:space="preserve"> both the advertising strategy-export efficiency connection or the marketing strategy-export performance relationship in the past To stay competitive in the face of COVID-19, commercial firms must rethink their present business strategies (Filimonau et al., 2020; He &amp; Harris, 2020; Ratten, 2020). Social distance measurements, for example, have had an influence on businesses by forcing digital platforms to remain linked. The use of digital technologies such as augmented reality, virtual reality, gamification, and artificial intelligence to communicate with customers has become inescapable </w:t>
      </w:r>
      <w:r w:rsidR="00B824FD" w:rsidRPr="00B63778">
        <w:rPr>
          <w:rFonts w:ascii="Arial" w:hAnsi="Arial" w:cs="Arial"/>
          <w:lang w:val="en-US"/>
        </w:rPr>
        <w:t>because of</w:t>
      </w:r>
      <w:r w:rsidR="00B63778" w:rsidRPr="00B63778">
        <w:rPr>
          <w:rFonts w:ascii="Arial" w:hAnsi="Arial" w:cs="Arial"/>
          <w:lang w:val="en-US"/>
        </w:rPr>
        <w:t xml:space="preserve"> social distancing measures. </w:t>
      </w:r>
      <w:r w:rsidR="00356B58" w:rsidRPr="00B63778">
        <w:rPr>
          <w:rFonts w:ascii="Arial" w:hAnsi="Arial" w:cs="Arial"/>
          <w:lang w:val="en-US"/>
        </w:rPr>
        <w:t>Even though</w:t>
      </w:r>
      <w:r w:rsidR="00B63778" w:rsidRPr="00B63778">
        <w:rPr>
          <w:rFonts w:ascii="Arial" w:hAnsi="Arial" w:cs="Arial"/>
          <w:lang w:val="en-US"/>
        </w:rPr>
        <w:t xml:space="preserve"> companies have begun to invest in digital technology, it is critical to </w:t>
      </w:r>
      <w:r w:rsidR="00356B58" w:rsidRPr="00B63778">
        <w:rPr>
          <w:rFonts w:ascii="Arial" w:hAnsi="Arial" w:cs="Arial"/>
          <w:lang w:val="en-US"/>
        </w:rPr>
        <w:t>analyze</w:t>
      </w:r>
      <w:r w:rsidR="00B63778" w:rsidRPr="00B63778">
        <w:rPr>
          <w:rFonts w:ascii="Arial" w:hAnsi="Arial" w:cs="Arial"/>
          <w:lang w:val="en-US"/>
        </w:rPr>
        <w:t xml:space="preserve"> how these investments have benefited productivity during COVID-19 (Pandey &amp; Pal, 2020; Strusani &amp; Houngbonon, 2020).</w:t>
      </w:r>
    </w:p>
    <w:p w14:paraId="705CBC1C" w14:textId="4F629C53" w:rsidR="00340AD3" w:rsidRPr="00846C4C" w:rsidRDefault="00754F37" w:rsidP="008D1D66">
      <w:pPr>
        <w:pStyle w:val="Heading2"/>
        <w:spacing w:line="360" w:lineRule="auto"/>
        <w:rPr>
          <w:rFonts w:ascii="Arial" w:hAnsi="Arial" w:cs="Arial"/>
          <w:color w:val="auto"/>
          <w:sz w:val="22"/>
          <w:szCs w:val="22"/>
        </w:rPr>
      </w:pPr>
      <w:bookmarkStart w:id="23" w:name="_Toc151055274"/>
      <w:r w:rsidRPr="00846C4C">
        <w:rPr>
          <w:rFonts w:ascii="Arial" w:hAnsi="Arial" w:cs="Arial"/>
          <w:color w:val="auto"/>
          <w:sz w:val="22"/>
          <w:szCs w:val="22"/>
        </w:rPr>
        <w:t xml:space="preserve">4.0 </w:t>
      </w:r>
      <w:r w:rsidR="008D1D66" w:rsidRPr="00846C4C">
        <w:rPr>
          <w:rFonts w:ascii="Arial" w:hAnsi="Arial" w:cs="Arial"/>
          <w:color w:val="auto"/>
          <w:sz w:val="22"/>
          <w:szCs w:val="22"/>
        </w:rPr>
        <w:t>Characteristics of Ethnocentric, Polycentric, And Geocentric:</w:t>
      </w:r>
      <w:bookmarkEnd w:id="23"/>
    </w:p>
    <w:p w14:paraId="064B7B03" w14:textId="587388A7" w:rsidR="00D3169B" w:rsidRPr="00846C4C" w:rsidRDefault="008D1D66" w:rsidP="008D1D66">
      <w:pPr>
        <w:pStyle w:val="Heading3"/>
        <w:spacing w:line="360" w:lineRule="auto"/>
        <w:rPr>
          <w:rFonts w:ascii="Arial" w:hAnsi="Arial" w:cs="Arial"/>
          <w:color w:val="auto"/>
          <w:sz w:val="22"/>
          <w:szCs w:val="22"/>
        </w:rPr>
      </w:pPr>
      <w:bookmarkStart w:id="24" w:name="_Toc151055275"/>
      <w:r w:rsidRPr="00846C4C">
        <w:rPr>
          <w:rFonts w:ascii="Arial" w:hAnsi="Arial" w:cs="Arial"/>
          <w:color w:val="auto"/>
          <w:sz w:val="22"/>
          <w:szCs w:val="22"/>
        </w:rPr>
        <w:t>4.1.1ethnocentric:</w:t>
      </w:r>
      <w:bookmarkEnd w:id="24"/>
    </w:p>
    <w:p w14:paraId="2F8633D2" w14:textId="5313DCFD" w:rsidR="004036E4" w:rsidRPr="00846C4C" w:rsidRDefault="005428C9" w:rsidP="008D1D66">
      <w:pPr>
        <w:spacing w:line="360" w:lineRule="auto"/>
        <w:jc w:val="both"/>
        <w:rPr>
          <w:rFonts w:ascii="Arial" w:hAnsi="Arial" w:cs="Arial"/>
        </w:rPr>
      </w:pPr>
      <w:r w:rsidRPr="00846C4C">
        <w:rPr>
          <w:rFonts w:ascii="Arial" w:hAnsi="Arial" w:cs="Arial"/>
        </w:rPr>
        <w:t xml:space="preserve">Qualities of an ethnocentric </w:t>
      </w:r>
      <w:r w:rsidR="00AE5402" w:rsidRPr="00846C4C">
        <w:rPr>
          <w:rFonts w:ascii="Arial" w:hAnsi="Arial" w:cs="Arial"/>
        </w:rPr>
        <w:t>d</w:t>
      </w:r>
      <w:r w:rsidRPr="00846C4C">
        <w:rPr>
          <w:rFonts w:ascii="Arial" w:hAnsi="Arial" w:cs="Arial"/>
        </w:rPr>
        <w:t>isregard national differences</w:t>
      </w:r>
      <w:r w:rsidR="00AE5402" w:rsidRPr="00846C4C">
        <w:rPr>
          <w:rFonts w:ascii="Arial" w:hAnsi="Arial" w:cs="Arial"/>
        </w:rPr>
        <w:t xml:space="preserve"> </w:t>
      </w:r>
      <w:r w:rsidRPr="00846C4C">
        <w:rPr>
          <w:rFonts w:ascii="Arial" w:hAnsi="Arial" w:cs="Arial"/>
        </w:rPr>
        <w:t xml:space="preserve">local culture is inferior </w:t>
      </w:r>
      <w:r w:rsidR="005615AE" w:rsidRPr="00846C4C">
        <w:rPr>
          <w:rFonts w:ascii="Arial" w:hAnsi="Arial" w:cs="Arial"/>
        </w:rPr>
        <w:t>to</w:t>
      </w:r>
      <w:r w:rsidRPr="00846C4C">
        <w:rPr>
          <w:rFonts w:ascii="Arial" w:hAnsi="Arial" w:cs="Arial"/>
        </w:rPr>
        <w:t xml:space="preserve"> home culture. Adopting this strategy by a firm might be detrimental to that entity. An organisation cannot simply dismiss the home culture of the host nation and believe that it is superior to the local population it </w:t>
      </w:r>
      <w:r w:rsidR="005615AE" w:rsidRPr="00846C4C">
        <w:rPr>
          <w:rFonts w:ascii="Arial" w:hAnsi="Arial" w:cs="Arial"/>
        </w:rPr>
        <w:t>serves</w:t>
      </w:r>
      <w:r w:rsidR="00987678" w:rsidRPr="00846C4C">
        <w:rPr>
          <w:rFonts w:ascii="Arial" w:hAnsi="Arial" w:cs="Arial"/>
        </w:rPr>
        <w:t>.</w:t>
      </w:r>
      <w:r w:rsidR="00A81283" w:rsidRPr="00846C4C">
        <w:rPr>
          <w:rFonts w:ascii="Arial" w:hAnsi="Arial" w:cs="Arial"/>
        </w:rPr>
        <w:t xml:space="preserve"> </w:t>
      </w:r>
      <w:r w:rsidR="001102AE" w:rsidRPr="00846C4C">
        <w:rPr>
          <w:rFonts w:ascii="Arial" w:hAnsi="Arial" w:cs="Arial"/>
        </w:rPr>
        <w:t xml:space="preserve">Rao, (2008) </w:t>
      </w:r>
      <w:r w:rsidR="00C12AE5" w:rsidRPr="00846C4C">
        <w:rPr>
          <w:rFonts w:ascii="Arial" w:hAnsi="Arial" w:cs="Arial"/>
        </w:rPr>
        <w:t>states e</w:t>
      </w:r>
      <w:r w:rsidR="007F0A49" w:rsidRPr="00846C4C">
        <w:rPr>
          <w:rFonts w:ascii="Arial" w:hAnsi="Arial" w:cs="Arial"/>
        </w:rPr>
        <w:t xml:space="preserve">thnocentric </w:t>
      </w:r>
      <w:r w:rsidR="0088019F" w:rsidRPr="00846C4C">
        <w:rPr>
          <w:rFonts w:ascii="Arial" w:hAnsi="Arial" w:cs="Arial"/>
        </w:rPr>
        <w:t xml:space="preserve">characteristics prefer </w:t>
      </w:r>
      <w:r w:rsidR="001102AE" w:rsidRPr="00846C4C">
        <w:rPr>
          <w:rFonts w:ascii="Arial" w:hAnsi="Arial" w:cs="Arial"/>
        </w:rPr>
        <w:t>their h</w:t>
      </w:r>
      <w:r w:rsidR="00A81283" w:rsidRPr="00846C4C">
        <w:rPr>
          <w:rFonts w:ascii="Arial" w:hAnsi="Arial" w:cs="Arial"/>
        </w:rPr>
        <w:t xml:space="preserve">ome nation citizens are chosen for every important managerial </w:t>
      </w:r>
      <w:r w:rsidR="00C12AE5" w:rsidRPr="00846C4C">
        <w:rPr>
          <w:rFonts w:ascii="Arial" w:hAnsi="Arial" w:cs="Arial"/>
        </w:rPr>
        <w:t>position</w:t>
      </w:r>
      <w:r w:rsidR="00A81283" w:rsidRPr="00846C4C">
        <w:rPr>
          <w:rFonts w:ascii="Arial" w:hAnsi="Arial" w:cs="Arial"/>
        </w:rPr>
        <w:t xml:space="preserve"> under this strategy.</w:t>
      </w:r>
      <w:r w:rsidR="00D61D8A" w:rsidRPr="00846C4C">
        <w:rPr>
          <w:rFonts w:ascii="Arial" w:hAnsi="Arial" w:cs="Arial"/>
        </w:rPr>
        <w:t xml:space="preserve"> </w:t>
      </w:r>
      <w:r w:rsidR="00652B3A" w:rsidRPr="00846C4C">
        <w:rPr>
          <w:rFonts w:ascii="Arial" w:hAnsi="Arial" w:cs="Arial"/>
        </w:rPr>
        <w:t>Per</w:t>
      </w:r>
      <w:r w:rsidR="00D61D8A" w:rsidRPr="00846C4C">
        <w:rPr>
          <w:rFonts w:ascii="Arial" w:hAnsi="Arial" w:cs="Arial"/>
        </w:rPr>
        <w:t xml:space="preserve">lmutter, (1969) states that </w:t>
      </w:r>
      <w:r w:rsidR="00C01317" w:rsidRPr="00846C4C">
        <w:rPr>
          <w:rFonts w:ascii="Arial" w:hAnsi="Arial" w:cs="Arial"/>
        </w:rPr>
        <w:t xml:space="preserve">as the native citizens of </w:t>
      </w:r>
      <w:r w:rsidR="00D1272A" w:rsidRPr="00846C4C">
        <w:rPr>
          <w:rFonts w:ascii="Arial" w:hAnsi="Arial" w:cs="Arial"/>
        </w:rPr>
        <w:t>the</w:t>
      </w:r>
      <w:r w:rsidR="00C01317" w:rsidRPr="00846C4C">
        <w:rPr>
          <w:rFonts w:ascii="Arial" w:hAnsi="Arial" w:cs="Arial"/>
        </w:rPr>
        <w:t xml:space="preserve"> organization, we are better, more dependable, and more trustworthy than any foreign employees at the headquarters or subsidiaries. If you accept our techniques and circumstances for executing the task and acknowledge our inherent superiority, we will be willing to develop facilities in your country.</w:t>
      </w:r>
    </w:p>
    <w:p w14:paraId="19DB6348" w14:textId="69FD261D" w:rsidR="0060694E" w:rsidRPr="00846C4C" w:rsidRDefault="00972287" w:rsidP="00043AAA">
      <w:pPr>
        <w:spacing w:line="360" w:lineRule="auto"/>
        <w:jc w:val="both"/>
        <w:rPr>
          <w:rFonts w:ascii="Arial" w:hAnsi="Arial" w:cs="Arial"/>
        </w:rPr>
      </w:pPr>
      <w:r w:rsidRPr="00846C4C">
        <w:rPr>
          <w:rFonts w:ascii="Arial" w:hAnsi="Arial" w:cs="Arial"/>
        </w:rPr>
        <w:t>Scenario-1</w:t>
      </w:r>
      <w:r w:rsidR="00DD0E7C" w:rsidRPr="00846C4C">
        <w:rPr>
          <w:rFonts w:ascii="Arial" w:hAnsi="Arial" w:cs="Arial"/>
        </w:rPr>
        <w:t xml:space="preserve"> </w:t>
      </w:r>
    </w:p>
    <w:p w14:paraId="6087E470" w14:textId="6B2BDFE8" w:rsidR="005322EA" w:rsidRPr="00846C4C" w:rsidRDefault="00FC2429" w:rsidP="00043AAA">
      <w:pPr>
        <w:spacing w:line="360" w:lineRule="auto"/>
        <w:jc w:val="both"/>
        <w:rPr>
          <w:rFonts w:ascii="Arial" w:hAnsi="Arial" w:cs="Arial"/>
        </w:rPr>
      </w:pPr>
      <w:r w:rsidRPr="00846C4C">
        <w:rPr>
          <w:rFonts w:ascii="Arial" w:hAnsi="Arial" w:cs="Arial"/>
        </w:rPr>
        <w:t>Domestic organization</w:t>
      </w:r>
      <w:r w:rsidR="005E2F8A" w:rsidRPr="00846C4C">
        <w:rPr>
          <w:rFonts w:ascii="Arial" w:hAnsi="Arial" w:cs="Arial"/>
        </w:rPr>
        <w:t xml:space="preserve"> </w:t>
      </w:r>
      <w:r w:rsidR="00C3753B" w:rsidRPr="00846C4C">
        <w:rPr>
          <w:rFonts w:ascii="Arial" w:hAnsi="Arial" w:cs="Arial"/>
        </w:rPr>
        <w:t>a</w:t>
      </w:r>
      <w:r w:rsidR="005E2F8A" w:rsidRPr="00846C4C">
        <w:rPr>
          <w:rFonts w:ascii="Arial" w:hAnsi="Arial" w:cs="Arial"/>
        </w:rPr>
        <w:t xml:space="preserve">ccording to </w:t>
      </w:r>
      <w:r w:rsidR="00737F25" w:rsidRPr="00846C4C">
        <w:rPr>
          <w:rFonts w:ascii="Arial" w:hAnsi="Arial" w:cs="Arial"/>
        </w:rPr>
        <w:t>Rao</w:t>
      </w:r>
      <w:r w:rsidR="003D46D3" w:rsidRPr="00846C4C">
        <w:rPr>
          <w:rFonts w:ascii="Arial" w:hAnsi="Arial" w:cs="Arial"/>
        </w:rPr>
        <w:t xml:space="preserve">, </w:t>
      </w:r>
      <w:r w:rsidR="002C6E7A" w:rsidRPr="00846C4C">
        <w:rPr>
          <w:rFonts w:ascii="Arial" w:hAnsi="Arial" w:cs="Arial"/>
        </w:rPr>
        <w:t>(</w:t>
      </w:r>
      <w:r w:rsidR="005E2F8A" w:rsidRPr="00846C4C">
        <w:rPr>
          <w:rFonts w:ascii="Arial" w:hAnsi="Arial" w:cs="Arial"/>
        </w:rPr>
        <w:t>2008</w:t>
      </w:r>
      <w:r w:rsidR="002C6E7A" w:rsidRPr="00846C4C">
        <w:rPr>
          <w:rFonts w:ascii="Arial" w:hAnsi="Arial" w:cs="Arial"/>
        </w:rPr>
        <w:t xml:space="preserve">) </w:t>
      </w:r>
      <w:r w:rsidR="005322EA" w:rsidRPr="00846C4C">
        <w:rPr>
          <w:rFonts w:ascii="Arial" w:hAnsi="Arial" w:cs="Arial"/>
        </w:rPr>
        <w:t xml:space="preserve">The domestic corporation operates inside the political confines of its country. Unconsciously, the credo of domestic firms is: "If it's not </w:t>
      </w:r>
      <w:r w:rsidR="005322EA" w:rsidRPr="00846C4C">
        <w:rPr>
          <w:rFonts w:ascii="Arial" w:hAnsi="Arial" w:cs="Arial"/>
        </w:rPr>
        <w:lastRenderedPageBreak/>
        <w:t xml:space="preserve">happening in the home country, it's not happening." The local business never considers expanding </w:t>
      </w:r>
      <w:r w:rsidR="00E967C4" w:rsidRPr="00846C4C">
        <w:rPr>
          <w:rFonts w:ascii="Arial" w:hAnsi="Arial" w:cs="Arial"/>
        </w:rPr>
        <w:t>internationally.</w:t>
      </w:r>
    </w:p>
    <w:p w14:paraId="0C5093FC" w14:textId="01434472" w:rsidR="003660E8" w:rsidRPr="00846C4C" w:rsidRDefault="00B34081" w:rsidP="00043AAA">
      <w:pPr>
        <w:spacing w:line="360" w:lineRule="auto"/>
        <w:jc w:val="both"/>
        <w:rPr>
          <w:rFonts w:ascii="Arial" w:hAnsi="Arial" w:cs="Arial"/>
        </w:rPr>
      </w:pPr>
      <w:r w:rsidRPr="00846C4C">
        <w:rPr>
          <w:rFonts w:ascii="Arial" w:hAnsi="Arial" w:cs="Arial"/>
        </w:rPr>
        <w:t>S</w:t>
      </w:r>
      <w:r w:rsidR="003660E8" w:rsidRPr="00846C4C">
        <w:rPr>
          <w:rFonts w:ascii="Arial" w:hAnsi="Arial" w:cs="Arial"/>
        </w:rPr>
        <w:t>cen</w:t>
      </w:r>
      <w:r w:rsidRPr="00846C4C">
        <w:rPr>
          <w:rFonts w:ascii="Arial" w:hAnsi="Arial" w:cs="Arial"/>
        </w:rPr>
        <w:t>ario-2</w:t>
      </w:r>
    </w:p>
    <w:p w14:paraId="60CE2410" w14:textId="133EA1D1" w:rsidR="002D614C" w:rsidRPr="00846C4C" w:rsidRDefault="0043631E" w:rsidP="00043AAA">
      <w:pPr>
        <w:spacing w:line="360" w:lineRule="auto"/>
        <w:jc w:val="both"/>
        <w:rPr>
          <w:rFonts w:ascii="Arial" w:hAnsi="Arial" w:cs="Arial"/>
        </w:rPr>
      </w:pPr>
      <w:r w:rsidRPr="00846C4C">
        <w:rPr>
          <w:rFonts w:ascii="Arial" w:hAnsi="Arial" w:cs="Arial"/>
        </w:rPr>
        <w:t>International</w:t>
      </w:r>
      <w:r w:rsidR="00A74F1E" w:rsidRPr="00846C4C">
        <w:rPr>
          <w:rFonts w:ascii="Arial" w:hAnsi="Arial" w:cs="Arial"/>
        </w:rPr>
        <w:t xml:space="preserve"> organization </w:t>
      </w:r>
      <w:r w:rsidR="00C90FC8" w:rsidRPr="00846C4C">
        <w:rPr>
          <w:rFonts w:ascii="Arial" w:hAnsi="Arial" w:cs="Arial"/>
        </w:rPr>
        <w:t>w</w:t>
      </w:r>
      <w:r w:rsidR="00D72757" w:rsidRPr="00846C4C">
        <w:rPr>
          <w:rFonts w:ascii="Arial" w:hAnsi="Arial" w:cs="Arial"/>
        </w:rPr>
        <w:t xml:space="preserve">hen their manufacturing and/or domestic marketing capacities are no longer sufficient, several domestic businesses consider expanding internationally. These businesses continue to be focused on </w:t>
      </w:r>
      <w:r w:rsidR="008222D1" w:rsidRPr="00846C4C">
        <w:rPr>
          <w:rFonts w:ascii="Arial" w:hAnsi="Arial" w:cs="Arial"/>
        </w:rPr>
        <w:t>ethnocentric</w:t>
      </w:r>
      <w:r w:rsidR="00091DF4" w:rsidRPr="00846C4C">
        <w:rPr>
          <w:rFonts w:ascii="Arial" w:hAnsi="Arial" w:cs="Arial"/>
        </w:rPr>
        <w:t>.</w:t>
      </w:r>
      <w:r w:rsidR="003E3738" w:rsidRPr="00846C4C">
        <w:rPr>
          <w:rFonts w:ascii="Arial" w:hAnsi="Arial" w:cs="Arial"/>
        </w:rPr>
        <w:t xml:space="preserve"> Some of these companies have a domestic concentration, but they also have international reach. Some of these companies decide to expand their local operations into international markets by opening a branch there. This stage two procedure is often where most multinational corporations begin their internationalisation process</w:t>
      </w:r>
      <w:r w:rsidR="00737F25" w:rsidRPr="00846C4C">
        <w:rPr>
          <w:rFonts w:ascii="Arial" w:hAnsi="Arial" w:cs="Arial"/>
        </w:rPr>
        <w:t xml:space="preserve"> </w:t>
      </w:r>
      <w:bookmarkStart w:id="25" w:name="_Hlk150768948"/>
      <w:r w:rsidR="00737F25" w:rsidRPr="00846C4C">
        <w:rPr>
          <w:rFonts w:ascii="Arial" w:hAnsi="Arial" w:cs="Arial"/>
        </w:rPr>
        <w:t xml:space="preserve">Rao, </w:t>
      </w:r>
      <w:r w:rsidR="000F7183" w:rsidRPr="00846C4C">
        <w:rPr>
          <w:rFonts w:ascii="Arial" w:hAnsi="Arial" w:cs="Arial"/>
        </w:rPr>
        <w:t>(2008)</w:t>
      </w:r>
      <w:r w:rsidR="00737F25" w:rsidRPr="00846C4C">
        <w:rPr>
          <w:rFonts w:ascii="Arial" w:hAnsi="Arial" w:cs="Arial"/>
        </w:rPr>
        <w:t>.</w:t>
      </w:r>
      <w:bookmarkEnd w:id="25"/>
    </w:p>
    <w:p w14:paraId="2DF7D1CE" w14:textId="2BD9E25F" w:rsidR="00B34081" w:rsidRPr="00846C4C" w:rsidRDefault="00B34081" w:rsidP="00043AAA">
      <w:pPr>
        <w:spacing w:line="360" w:lineRule="auto"/>
        <w:jc w:val="both"/>
        <w:rPr>
          <w:rFonts w:ascii="Arial" w:hAnsi="Arial" w:cs="Arial"/>
        </w:rPr>
      </w:pPr>
      <w:r w:rsidRPr="00846C4C">
        <w:rPr>
          <w:rFonts w:ascii="Arial" w:hAnsi="Arial" w:cs="Arial"/>
        </w:rPr>
        <w:t xml:space="preserve">Scenario-3 </w:t>
      </w:r>
    </w:p>
    <w:p w14:paraId="1A103D96" w14:textId="76E63E0F" w:rsidR="00596E1F" w:rsidRPr="00846C4C" w:rsidRDefault="00596E1F" w:rsidP="00043AAA">
      <w:pPr>
        <w:spacing w:line="360" w:lineRule="auto"/>
        <w:jc w:val="both"/>
        <w:rPr>
          <w:rFonts w:ascii="Arial" w:hAnsi="Arial" w:cs="Arial"/>
        </w:rPr>
      </w:pPr>
      <w:r w:rsidRPr="00846C4C">
        <w:rPr>
          <w:rFonts w:ascii="Arial" w:hAnsi="Arial" w:cs="Arial"/>
        </w:rPr>
        <w:t xml:space="preserve">Multinational </w:t>
      </w:r>
      <w:r w:rsidR="00D117F1" w:rsidRPr="00846C4C">
        <w:rPr>
          <w:rFonts w:ascii="Arial" w:hAnsi="Arial" w:cs="Arial"/>
        </w:rPr>
        <w:t xml:space="preserve">organization </w:t>
      </w:r>
      <w:r w:rsidR="00C13539" w:rsidRPr="00846C4C">
        <w:rPr>
          <w:rFonts w:ascii="Arial" w:hAnsi="Arial" w:cs="Arial"/>
        </w:rPr>
        <w:t>international</w:t>
      </w:r>
      <w:r w:rsidR="009B0E9E" w:rsidRPr="00846C4C">
        <w:rPr>
          <w:rFonts w:ascii="Arial" w:hAnsi="Arial" w:cs="Arial"/>
        </w:rPr>
        <w:t xml:space="preserve"> businesses eventually come to the realisation that their extension strategy</w:t>
      </w:r>
      <w:r w:rsidR="009B0FD4" w:rsidRPr="00846C4C">
        <w:rPr>
          <w:rFonts w:ascii="Arial" w:hAnsi="Arial" w:cs="Arial"/>
        </w:rPr>
        <w:t>-</w:t>
      </w:r>
      <w:r w:rsidR="009B0E9E" w:rsidRPr="00846C4C">
        <w:rPr>
          <w:rFonts w:ascii="Arial" w:hAnsi="Arial" w:cs="Arial"/>
        </w:rPr>
        <w:t>which involves taking their home product, price, and marketing to other markets</w:t>
      </w:r>
      <w:r w:rsidR="00DB0459" w:rsidRPr="00846C4C">
        <w:rPr>
          <w:rFonts w:ascii="Arial" w:hAnsi="Arial" w:cs="Arial"/>
        </w:rPr>
        <w:t>-</w:t>
      </w:r>
      <w:r w:rsidR="009B0E9E" w:rsidRPr="00846C4C">
        <w:rPr>
          <w:rFonts w:ascii="Arial" w:hAnsi="Arial" w:cs="Arial"/>
        </w:rPr>
        <w:t>w</w:t>
      </w:r>
      <w:r w:rsidR="00DB0459" w:rsidRPr="00846C4C">
        <w:rPr>
          <w:rFonts w:ascii="Arial" w:hAnsi="Arial" w:cs="Arial"/>
        </w:rPr>
        <w:t>ill not</w:t>
      </w:r>
      <w:r w:rsidR="009B0E9E" w:rsidRPr="00846C4C">
        <w:rPr>
          <w:rFonts w:ascii="Arial" w:hAnsi="Arial" w:cs="Arial"/>
        </w:rPr>
        <w:t xml:space="preserve"> succeed.</w:t>
      </w:r>
      <w:r w:rsidR="00666392" w:rsidRPr="00846C4C">
        <w:rPr>
          <w:rFonts w:ascii="Arial" w:hAnsi="Arial" w:cs="Arial"/>
        </w:rPr>
        <w:t xml:space="preserve"> When foreign businesses begin to tailor their offerings to the unique demands of several national markets in terms of advertising, pricing, and product, they transition into multinational corporations. Another name for this level of a multinational corporation is multidomestic. The orientation of a multidomestic corporation changes from ethnocentric to polycentric because of developing distinct strategies for several markets</w:t>
      </w:r>
      <w:r w:rsidR="009B0FD4" w:rsidRPr="00846C4C">
        <w:rPr>
          <w:rFonts w:ascii="Arial" w:hAnsi="Arial" w:cs="Arial"/>
        </w:rPr>
        <w:t xml:space="preserve"> Rao, (2008).</w:t>
      </w:r>
    </w:p>
    <w:p w14:paraId="324DE665" w14:textId="77777777" w:rsidR="006738E9" w:rsidRPr="00846C4C" w:rsidRDefault="002719C4" w:rsidP="00043AAA">
      <w:pPr>
        <w:spacing w:line="360" w:lineRule="auto"/>
        <w:jc w:val="both"/>
        <w:rPr>
          <w:rFonts w:ascii="Arial" w:hAnsi="Arial" w:cs="Arial"/>
        </w:rPr>
      </w:pPr>
      <w:r w:rsidRPr="00846C4C">
        <w:rPr>
          <w:rFonts w:ascii="Arial" w:hAnsi="Arial" w:cs="Arial"/>
        </w:rPr>
        <w:t>Exampl</w:t>
      </w:r>
      <w:r w:rsidR="006738E9" w:rsidRPr="00846C4C">
        <w:rPr>
          <w:rFonts w:ascii="Arial" w:hAnsi="Arial" w:cs="Arial"/>
        </w:rPr>
        <w:t xml:space="preserve">e: </w:t>
      </w:r>
    </w:p>
    <w:p w14:paraId="100CC887" w14:textId="5134B731" w:rsidR="00F15CB8" w:rsidRPr="00846C4C" w:rsidRDefault="00EF3D8C" w:rsidP="00043AAA">
      <w:pPr>
        <w:spacing w:line="360" w:lineRule="auto"/>
        <w:jc w:val="both"/>
        <w:rPr>
          <w:rFonts w:ascii="Arial" w:hAnsi="Arial" w:cs="Arial"/>
        </w:rPr>
      </w:pPr>
      <w:r w:rsidRPr="00846C4C">
        <w:rPr>
          <w:rFonts w:ascii="Arial" w:hAnsi="Arial" w:cs="Arial"/>
        </w:rPr>
        <w:t xml:space="preserve">According to </w:t>
      </w:r>
      <w:r w:rsidR="00F16BBC" w:rsidRPr="00846C4C">
        <w:rPr>
          <w:rFonts w:ascii="Arial" w:hAnsi="Arial" w:cs="Arial"/>
        </w:rPr>
        <w:t xml:space="preserve">Rao </w:t>
      </w:r>
      <w:r w:rsidRPr="00846C4C">
        <w:rPr>
          <w:rFonts w:ascii="Arial" w:hAnsi="Arial" w:cs="Arial"/>
        </w:rPr>
        <w:t xml:space="preserve">(2008) </w:t>
      </w:r>
      <w:r w:rsidR="00856FC2" w:rsidRPr="00846C4C">
        <w:rPr>
          <w:rFonts w:ascii="Arial" w:hAnsi="Arial" w:cs="Arial"/>
        </w:rPr>
        <w:t>In the year 1957, The company began shipping Toyopet vehicles made in Japan to the United States. In the United States of America, Toyopet did not achieve popularity. Due to the automobiles' excessive price, lack of power, and tank-like construction, Toyota was unable to sell them in the United States. As a result, those automobiles proved unfit for markets in the United States. Cars that were not sold were returned to Japan.</w:t>
      </w:r>
      <w:r w:rsidR="00F15CB8" w:rsidRPr="00846C4C">
        <w:rPr>
          <w:rFonts w:ascii="Arial" w:hAnsi="Arial" w:cs="Arial"/>
        </w:rPr>
        <w:t xml:space="preserve"> </w:t>
      </w:r>
      <w:r w:rsidR="00920C66" w:rsidRPr="00846C4C">
        <w:rPr>
          <w:rFonts w:ascii="Arial" w:hAnsi="Arial" w:cs="Arial"/>
        </w:rPr>
        <w:t xml:space="preserve">Toyota saw this setback as a valuable teaching opportunity. Toyota created new automobile designs appropriate for the United States marketplace </w:t>
      </w:r>
      <w:r w:rsidR="1B3F7A19" w:rsidRPr="00846C4C">
        <w:rPr>
          <w:rFonts w:ascii="Arial" w:hAnsi="Arial" w:cs="Arial"/>
        </w:rPr>
        <w:t>based on</w:t>
      </w:r>
      <w:r w:rsidR="00920C66" w:rsidRPr="00846C4C">
        <w:rPr>
          <w:rFonts w:ascii="Arial" w:hAnsi="Arial" w:cs="Arial"/>
        </w:rPr>
        <w:t xml:space="preserve"> this knowledge. </w:t>
      </w:r>
    </w:p>
    <w:p w14:paraId="621E65E6" w14:textId="5B494B33" w:rsidR="000D0405" w:rsidRPr="00846C4C" w:rsidRDefault="00754F37" w:rsidP="00454166">
      <w:pPr>
        <w:pStyle w:val="Heading1"/>
        <w:spacing w:line="360" w:lineRule="auto"/>
        <w:rPr>
          <w:rFonts w:ascii="Arial" w:hAnsi="Arial" w:cs="Arial"/>
          <w:color w:val="auto"/>
          <w:sz w:val="22"/>
          <w:szCs w:val="22"/>
        </w:rPr>
      </w:pPr>
      <w:bookmarkStart w:id="26" w:name="_Toc151055276"/>
      <w:r w:rsidRPr="00846C4C">
        <w:rPr>
          <w:rFonts w:ascii="Arial" w:hAnsi="Arial" w:cs="Arial"/>
          <w:color w:val="auto"/>
          <w:sz w:val="22"/>
          <w:szCs w:val="22"/>
        </w:rPr>
        <w:t xml:space="preserve">4.1.2 </w:t>
      </w:r>
      <w:r w:rsidR="007F3FBA" w:rsidRPr="00846C4C">
        <w:rPr>
          <w:rFonts w:ascii="Arial" w:hAnsi="Arial" w:cs="Arial"/>
          <w:color w:val="auto"/>
          <w:sz w:val="22"/>
          <w:szCs w:val="22"/>
        </w:rPr>
        <w:t>The Ethnocentric Approach:</w:t>
      </w:r>
      <w:bookmarkEnd w:id="26"/>
    </w:p>
    <w:p w14:paraId="505FF1CE" w14:textId="797B3115" w:rsidR="002C206D" w:rsidRPr="00846C4C" w:rsidRDefault="00E663B5" w:rsidP="00454166">
      <w:pPr>
        <w:spacing w:line="360" w:lineRule="auto"/>
        <w:jc w:val="both"/>
        <w:rPr>
          <w:rFonts w:ascii="Arial" w:hAnsi="Arial" w:cs="Arial"/>
        </w:rPr>
      </w:pPr>
      <w:r w:rsidRPr="00846C4C">
        <w:rPr>
          <w:rFonts w:ascii="Arial" w:hAnsi="Arial" w:cs="Arial"/>
        </w:rPr>
        <w:t xml:space="preserve">Under the </w:t>
      </w:r>
      <w:r w:rsidR="009A786E" w:rsidRPr="00846C4C">
        <w:rPr>
          <w:rFonts w:ascii="Arial" w:hAnsi="Arial" w:cs="Arial"/>
        </w:rPr>
        <w:t>ethnocentric approach</w:t>
      </w:r>
      <w:r w:rsidR="00E43629" w:rsidRPr="00846C4C">
        <w:rPr>
          <w:rFonts w:ascii="Arial" w:hAnsi="Arial" w:cs="Arial"/>
        </w:rPr>
        <w:t xml:space="preserve"> Rao states </w:t>
      </w:r>
      <w:r w:rsidR="003B1178" w:rsidRPr="00846C4C">
        <w:rPr>
          <w:rFonts w:ascii="Arial" w:hAnsi="Arial" w:cs="Arial"/>
        </w:rPr>
        <w:t>(2008)</w:t>
      </w:r>
      <w:r w:rsidR="009A786E" w:rsidRPr="00846C4C">
        <w:rPr>
          <w:rFonts w:ascii="Arial" w:hAnsi="Arial" w:cs="Arial"/>
        </w:rPr>
        <w:t xml:space="preserve"> </w:t>
      </w:r>
      <w:r w:rsidR="00E43629" w:rsidRPr="00846C4C">
        <w:rPr>
          <w:rFonts w:ascii="Arial" w:hAnsi="Arial" w:cs="Arial"/>
        </w:rPr>
        <w:t>many companies, including Procter &amp; Gamble, Philips, Matsushita, Toyota, adopted this strategy.</w:t>
      </w:r>
    </w:p>
    <w:p w14:paraId="5B6E2EAC" w14:textId="77777777" w:rsidR="00BB2358" w:rsidRPr="00846C4C" w:rsidRDefault="0057124D" w:rsidP="00454166">
      <w:pPr>
        <w:spacing w:line="360" w:lineRule="auto"/>
        <w:jc w:val="both"/>
        <w:rPr>
          <w:rFonts w:ascii="Arial" w:hAnsi="Arial" w:cs="Arial"/>
        </w:rPr>
      </w:pPr>
      <w:r w:rsidRPr="00846C4C">
        <w:rPr>
          <w:rFonts w:ascii="Arial" w:hAnsi="Arial" w:cs="Arial"/>
        </w:rPr>
        <w:t>Example</w:t>
      </w:r>
      <w:r w:rsidR="00D42203" w:rsidRPr="00846C4C">
        <w:rPr>
          <w:rFonts w:ascii="Arial" w:hAnsi="Arial" w:cs="Arial"/>
        </w:rPr>
        <w:t>:</w:t>
      </w:r>
    </w:p>
    <w:p w14:paraId="459927D1" w14:textId="25DC21B6" w:rsidR="00BB2358" w:rsidRPr="00846C4C" w:rsidRDefault="00D42203" w:rsidP="00454166">
      <w:pPr>
        <w:spacing w:line="360" w:lineRule="auto"/>
        <w:jc w:val="both"/>
        <w:rPr>
          <w:rFonts w:ascii="Arial" w:hAnsi="Arial" w:cs="Arial"/>
        </w:rPr>
      </w:pPr>
      <w:r w:rsidRPr="00846C4C">
        <w:rPr>
          <w:rFonts w:ascii="Arial" w:hAnsi="Arial" w:cs="Arial"/>
        </w:rPr>
        <w:t>O</w:t>
      </w:r>
      <w:r w:rsidR="007710F5" w:rsidRPr="00846C4C">
        <w:rPr>
          <w:rFonts w:ascii="Arial" w:hAnsi="Arial" w:cs="Arial"/>
        </w:rPr>
        <w:t>f the ethnocentric approach</w:t>
      </w:r>
      <w:r w:rsidR="001B0224" w:rsidRPr="00846C4C">
        <w:rPr>
          <w:rFonts w:ascii="Arial" w:hAnsi="Arial" w:cs="Arial"/>
        </w:rPr>
        <w:t xml:space="preserve"> which </w:t>
      </w:r>
      <w:r w:rsidR="003506F6" w:rsidRPr="00846C4C">
        <w:rPr>
          <w:rFonts w:ascii="Arial" w:hAnsi="Arial" w:cs="Arial"/>
        </w:rPr>
        <w:t>necessary</w:t>
      </w:r>
      <w:r w:rsidR="000B4DCF" w:rsidRPr="00846C4C">
        <w:rPr>
          <w:rFonts w:ascii="Arial" w:hAnsi="Arial" w:cs="Arial"/>
        </w:rPr>
        <w:t xml:space="preserve"> </w:t>
      </w:r>
      <w:r w:rsidR="003506F6" w:rsidRPr="00846C4C">
        <w:rPr>
          <w:rFonts w:ascii="Arial" w:hAnsi="Arial" w:cs="Arial"/>
        </w:rPr>
        <w:t>w</w:t>
      </w:r>
      <w:r w:rsidR="00F94666" w:rsidRPr="00846C4C">
        <w:rPr>
          <w:rFonts w:ascii="Arial" w:hAnsi="Arial" w:cs="Arial"/>
        </w:rPr>
        <w:t>ill not</w:t>
      </w:r>
      <w:r w:rsidR="000B4DCF" w:rsidRPr="00846C4C">
        <w:rPr>
          <w:rFonts w:ascii="Arial" w:hAnsi="Arial" w:cs="Arial"/>
        </w:rPr>
        <w:t xml:space="preserve"> work </w:t>
      </w:r>
      <w:r w:rsidR="00B94CDC" w:rsidRPr="00846C4C">
        <w:rPr>
          <w:rFonts w:ascii="Arial" w:hAnsi="Arial" w:cs="Arial"/>
        </w:rPr>
        <w:t xml:space="preserve">for the employees of </w:t>
      </w:r>
      <w:r w:rsidR="00BB2358" w:rsidRPr="00846C4C">
        <w:rPr>
          <w:rFonts w:ascii="Arial" w:hAnsi="Arial" w:cs="Arial"/>
        </w:rPr>
        <w:t>the</w:t>
      </w:r>
    </w:p>
    <w:p w14:paraId="5F11B86F" w14:textId="3DC7B6C3" w:rsidR="00503E5C" w:rsidRPr="00846C4C" w:rsidRDefault="002D614C" w:rsidP="00454166">
      <w:pPr>
        <w:spacing w:line="360" w:lineRule="auto"/>
        <w:jc w:val="both"/>
        <w:rPr>
          <w:rFonts w:ascii="Arial" w:hAnsi="Arial" w:cs="Arial"/>
        </w:rPr>
      </w:pPr>
      <w:r w:rsidRPr="00846C4C">
        <w:rPr>
          <w:rFonts w:ascii="Arial" w:hAnsi="Arial" w:cs="Arial"/>
        </w:rPr>
        <w:lastRenderedPageBreak/>
        <w:t>organization</w:t>
      </w:r>
      <w:r w:rsidR="00B94CDC" w:rsidRPr="00846C4C">
        <w:rPr>
          <w:rFonts w:ascii="Arial" w:hAnsi="Arial" w:cs="Arial"/>
        </w:rPr>
        <w:t xml:space="preserve"> as </w:t>
      </w:r>
      <w:r w:rsidRPr="00846C4C">
        <w:rPr>
          <w:rFonts w:ascii="Arial" w:hAnsi="Arial" w:cs="Arial"/>
        </w:rPr>
        <w:t>Phillips found out from his</w:t>
      </w:r>
      <w:r w:rsidR="007710F5" w:rsidRPr="00846C4C">
        <w:rPr>
          <w:rFonts w:ascii="Arial" w:hAnsi="Arial" w:cs="Arial"/>
        </w:rPr>
        <w:t xml:space="preserve"> </w:t>
      </w:r>
      <w:r w:rsidRPr="00846C4C">
        <w:rPr>
          <w:rFonts w:ascii="Arial" w:hAnsi="Arial" w:cs="Arial"/>
        </w:rPr>
        <w:t>non-Dutch</w:t>
      </w:r>
      <w:r w:rsidR="00293CB5" w:rsidRPr="00846C4C">
        <w:rPr>
          <w:rFonts w:ascii="Arial" w:hAnsi="Arial" w:cs="Arial"/>
        </w:rPr>
        <w:t xml:space="preserve"> staff referred to the Dutch nationals that Philips hired to occupy significant positions as the "Dutch Mafia."</w:t>
      </w:r>
      <w:r w:rsidR="0088208E" w:rsidRPr="00846C4C">
        <w:rPr>
          <w:rFonts w:ascii="Arial" w:hAnsi="Arial" w:cs="Arial"/>
        </w:rPr>
        <w:t xml:space="preserve"> </w:t>
      </w:r>
    </w:p>
    <w:p w14:paraId="50BF6B0A" w14:textId="1974331F" w:rsidR="0057124D" w:rsidRPr="00846C4C" w:rsidRDefault="00326048" w:rsidP="00454166">
      <w:pPr>
        <w:spacing w:line="360" w:lineRule="auto"/>
        <w:jc w:val="both"/>
        <w:rPr>
          <w:rFonts w:ascii="Arial" w:hAnsi="Arial" w:cs="Arial"/>
        </w:rPr>
      </w:pPr>
      <w:r w:rsidRPr="00846C4C">
        <w:rPr>
          <w:rFonts w:ascii="Arial" w:hAnsi="Arial" w:cs="Arial"/>
        </w:rPr>
        <w:t xml:space="preserve">The are organization what still follow this </w:t>
      </w:r>
      <w:r w:rsidR="00503E5C" w:rsidRPr="00846C4C">
        <w:rPr>
          <w:rFonts w:ascii="Arial" w:hAnsi="Arial" w:cs="Arial"/>
        </w:rPr>
        <w:t xml:space="preserve">approach </w:t>
      </w:r>
      <w:r w:rsidR="006E3B0B" w:rsidRPr="00846C4C">
        <w:rPr>
          <w:rFonts w:ascii="Arial" w:hAnsi="Arial" w:cs="Arial"/>
        </w:rPr>
        <w:t xml:space="preserve">of ethnocentric </w:t>
      </w:r>
      <w:r w:rsidR="008576C8" w:rsidRPr="00846C4C">
        <w:rPr>
          <w:rFonts w:ascii="Arial" w:hAnsi="Arial" w:cs="Arial"/>
        </w:rPr>
        <w:t xml:space="preserve">in international organizations </w:t>
      </w:r>
      <w:r w:rsidR="00154C79" w:rsidRPr="00846C4C">
        <w:rPr>
          <w:rFonts w:ascii="Arial" w:hAnsi="Arial" w:cs="Arial"/>
        </w:rPr>
        <w:t>some of those reason could because o</w:t>
      </w:r>
      <w:r w:rsidR="00883B00" w:rsidRPr="00846C4C">
        <w:rPr>
          <w:rFonts w:ascii="Arial" w:hAnsi="Arial" w:cs="Arial"/>
        </w:rPr>
        <w:t xml:space="preserve">f the </w:t>
      </w:r>
      <w:r w:rsidR="00717D7B" w:rsidRPr="00846C4C">
        <w:rPr>
          <w:rFonts w:ascii="Arial" w:hAnsi="Arial" w:cs="Arial"/>
        </w:rPr>
        <w:t>following.</w:t>
      </w:r>
      <w:r w:rsidR="00883B00" w:rsidRPr="00846C4C">
        <w:rPr>
          <w:rFonts w:ascii="Arial" w:hAnsi="Arial" w:cs="Arial"/>
        </w:rPr>
        <w:t xml:space="preserve"> </w:t>
      </w:r>
    </w:p>
    <w:p w14:paraId="219762D4" w14:textId="4068B0D4" w:rsidR="00470ED5" w:rsidRPr="00846C4C" w:rsidRDefault="00840F46" w:rsidP="00454166">
      <w:pPr>
        <w:pStyle w:val="ListParagraph"/>
        <w:numPr>
          <w:ilvl w:val="0"/>
          <w:numId w:val="7"/>
        </w:numPr>
        <w:spacing w:line="360" w:lineRule="auto"/>
        <w:jc w:val="both"/>
        <w:rPr>
          <w:rFonts w:ascii="Arial" w:hAnsi="Arial" w:cs="Arial"/>
          <w:sz w:val="22"/>
          <w:szCs w:val="22"/>
        </w:rPr>
      </w:pPr>
      <w:r w:rsidRPr="00846C4C">
        <w:rPr>
          <w:rFonts w:ascii="Arial" w:hAnsi="Arial" w:cs="Arial"/>
          <w:sz w:val="22"/>
          <w:szCs w:val="22"/>
        </w:rPr>
        <w:t>Lack of competent workers in host nations, especially in emerging nations.</w:t>
      </w:r>
    </w:p>
    <w:p w14:paraId="48EC1E5E" w14:textId="11AE5BFA" w:rsidR="007827C8" w:rsidRPr="00846C4C" w:rsidRDefault="007827C8" w:rsidP="00454166">
      <w:pPr>
        <w:pStyle w:val="ListParagraph"/>
        <w:numPr>
          <w:ilvl w:val="0"/>
          <w:numId w:val="7"/>
        </w:numPr>
        <w:spacing w:line="360" w:lineRule="auto"/>
        <w:jc w:val="both"/>
        <w:rPr>
          <w:rFonts w:ascii="Arial" w:hAnsi="Arial" w:cs="Arial"/>
          <w:sz w:val="22"/>
          <w:szCs w:val="22"/>
        </w:rPr>
      </w:pPr>
      <w:r w:rsidRPr="00846C4C">
        <w:rPr>
          <w:rFonts w:ascii="Arial" w:hAnsi="Arial" w:cs="Arial"/>
          <w:sz w:val="22"/>
          <w:szCs w:val="22"/>
        </w:rPr>
        <w:t>To keep the business culture cohesive. This is the key reason Japanese businesses follow. P&amp;G also favoured this explanation.</w:t>
      </w:r>
    </w:p>
    <w:p w14:paraId="4F648728" w14:textId="4B0CCF38" w:rsidR="00F2159E" w:rsidRPr="00846C4C" w:rsidRDefault="00151AFF" w:rsidP="00454166">
      <w:pPr>
        <w:spacing w:line="360" w:lineRule="auto"/>
        <w:jc w:val="both"/>
        <w:rPr>
          <w:rFonts w:ascii="Arial" w:hAnsi="Arial" w:cs="Arial"/>
        </w:rPr>
      </w:pPr>
      <w:r w:rsidRPr="00846C4C">
        <w:rPr>
          <w:rFonts w:ascii="Arial" w:hAnsi="Arial" w:cs="Arial"/>
        </w:rPr>
        <w:t xml:space="preserve">Ethnocentric </w:t>
      </w:r>
      <w:r w:rsidR="00152A79" w:rsidRPr="00846C4C">
        <w:rPr>
          <w:rFonts w:ascii="Arial" w:hAnsi="Arial" w:cs="Arial"/>
        </w:rPr>
        <w:t>disadvantage</w:t>
      </w:r>
      <w:r w:rsidR="0008297E" w:rsidRPr="00846C4C">
        <w:rPr>
          <w:rFonts w:ascii="Arial" w:hAnsi="Arial" w:cs="Arial"/>
        </w:rPr>
        <w:t>:</w:t>
      </w:r>
    </w:p>
    <w:p w14:paraId="5811016F" w14:textId="739D1AC7" w:rsidR="00C1416E" w:rsidRPr="00846C4C" w:rsidRDefault="00F2159E" w:rsidP="00454166">
      <w:pPr>
        <w:spacing w:line="360" w:lineRule="auto"/>
        <w:jc w:val="both"/>
        <w:rPr>
          <w:rFonts w:ascii="Arial" w:hAnsi="Arial" w:cs="Arial"/>
        </w:rPr>
      </w:pPr>
      <w:r w:rsidRPr="00846C4C">
        <w:rPr>
          <w:rFonts w:ascii="Arial" w:hAnsi="Arial" w:cs="Arial"/>
        </w:rPr>
        <w:t>D</w:t>
      </w:r>
      <w:r w:rsidR="007F4567" w:rsidRPr="00846C4C">
        <w:rPr>
          <w:rFonts w:ascii="Arial" w:hAnsi="Arial" w:cs="Arial"/>
        </w:rPr>
        <w:t>espite the fact that ethnocentric techniques may benefit organisations in the ways mentioned above, there are unquestionably drawbacks to ethnocentric approaches.</w:t>
      </w:r>
    </w:p>
    <w:p w14:paraId="7686DDA5" w14:textId="1D569343" w:rsidR="0096734C" w:rsidRPr="00846C4C" w:rsidRDefault="001E196A" w:rsidP="00454166">
      <w:pPr>
        <w:pStyle w:val="ListParagraph"/>
        <w:numPr>
          <w:ilvl w:val="0"/>
          <w:numId w:val="9"/>
        </w:numPr>
        <w:spacing w:line="360" w:lineRule="auto"/>
        <w:jc w:val="both"/>
        <w:rPr>
          <w:rFonts w:ascii="Arial" w:hAnsi="Arial" w:cs="Arial"/>
          <w:sz w:val="22"/>
          <w:szCs w:val="22"/>
        </w:rPr>
      </w:pPr>
      <w:r w:rsidRPr="00846C4C">
        <w:rPr>
          <w:rFonts w:ascii="Arial" w:hAnsi="Arial" w:cs="Arial"/>
          <w:sz w:val="22"/>
          <w:szCs w:val="22"/>
        </w:rPr>
        <w:t>Employee dissatisfaction in the host nation leads to low productivity when key positions in the subsidiaries are occupied by citizens of the parent nation.</w:t>
      </w:r>
    </w:p>
    <w:p w14:paraId="33BC914B" w14:textId="4DD59C00" w:rsidR="00562B8B" w:rsidRPr="00846C4C" w:rsidRDefault="001A44B1" w:rsidP="00454166">
      <w:pPr>
        <w:pStyle w:val="ListParagraph"/>
        <w:numPr>
          <w:ilvl w:val="0"/>
          <w:numId w:val="9"/>
        </w:numPr>
        <w:spacing w:line="360" w:lineRule="auto"/>
        <w:jc w:val="both"/>
        <w:rPr>
          <w:rFonts w:ascii="Arial" w:hAnsi="Arial" w:cs="Arial"/>
          <w:sz w:val="22"/>
          <w:szCs w:val="22"/>
        </w:rPr>
      </w:pPr>
      <w:r w:rsidRPr="00846C4C">
        <w:rPr>
          <w:rFonts w:ascii="Arial" w:hAnsi="Arial" w:cs="Arial"/>
          <w:sz w:val="22"/>
          <w:szCs w:val="22"/>
        </w:rPr>
        <w:t>Because of "cultural myopia," the subsidiary could be unable to comprehend and adapt to the culture of the host nation. After P&amp;G had many setbacks as a result of this issue, the company began to appoint citizens of the host nation to key management roles (a practise known as the polycentric strategy)</w:t>
      </w:r>
      <w:r w:rsidR="003508D4" w:rsidRPr="00846C4C">
        <w:rPr>
          <w:rFonts w:ascii="Arial" w:hAnsi="Arial" w:cs="Arial"/>
          <w:sz w:val="22"/>
          <w:szCs w:val="22"/>
        </w:rPr>
        <w:t xml:space="preserve"> Rao, (2008).</w:t>
      </w:r>
    </w:p>
    <w:p w14:paraId="1FB44DAA" w14:textId="6E75A43D" w:rsidR="00D3169B" w:rsidRPr="00846C4C" w:rsidRDefault="00E873C3" w:rsidP="00454166">
      <w:pPr>
        <w:pStyle w:val="Heading2"/>
        <w:spacing w:line="360" w:lineRule="auto"/>
        <w:rPr>
          <w:rFonts w:ascii="Arial" w:hAnsi="Arial" w:cs="Arial"/>
          <w:color w:val="auto"/>
          <w:sz w:val="22"/>
          <w:szCs w:val="22"/>
        </w:rPr>
      </w:pPr>
      <w:bookmarkStart w:id="27" w:name="_Toc151055277"/>
      <w:r w:rsidRPr="00846C4C">
        <w:rPr>
          <w:rFonts w:ascii="Arial" w:hAnsi="Arial" w:cs="Arial"/>
          <w:color w:val="auto"/>
          <w:sz w:val="22"/>
          <w:szCs w:val="22"/>
        </w:rPr>
        <w:t xml:space="preserve">4.1.3 </w:t>
      </w:r>
      <w:r w:rsidR="007F3FBA" w:rsidRPr="00846C4C">
        <w:rPr>
          <w:rFonts w:ascii="Arial" w:hAnsi="Arial" w:cs="Arial"/>
          <w:color w:val="auto"/>
          <w:sz w:val="22"/>
          <w:szCs w:val="22"/>
        </w:rPr>
        <w:t>The Polycentric Approach:</w:t>
      </w:r>
      <w:bookmarkEnd w:id="27"/>
    </w:p>
    <w:p w14:paraId="10049984" w14:textId="170147A6" w:rsidR="00CB546E" w:rsidRPr="00846C4C" w:rsidRDefault="00CB546E" w:rsidP="00454166">
      <w:pPr>
        <w:spacing w:line="360" w:lineRule="auto"/>
        <w:jc w:val="both"/>
        <w:rPr>
          <w:rFonts w:ascii="Arial" w:hAnsi="Arial" w:cs="Arial"/>
        </w:rPr>
      </w:pPr>
      <w:r w:rsidRPr="00846C4C">
        <w:rPr>
          <w:rFonts w:ascii="Arial" w:hAnsi="Arial" w:cs="Arial"/>
        </w:rPr>
        <w:t>International and local groups ought to act in tandem. enterprises operating more polycentrically</w:t>
      </w:r>
      <w:r w:rsidR="00831431" w:rsidRPr="00846C4C">
        <w:rPr>
          <w:rFonts w:ascii="Arial" w:hAnsi="Arial" w:cs="Arial"/>
        </w:rPr>
        <w:t>-</w:t>
      </w:r>
      <w:r w:rsidRPr="00846C4C">
        <w:rPr>
          <w:rFonts w:ascii="Arial" w:hAnsi="Arial" w:cs="Arial"/>
        </w:rPr>
        <w:t>that is, acting like those enterprises abroad</w:t>
      </w:r>
      <w:r w:rsidR="00831431" w:rsidRPr="00846C4C">
        <w:rPr>
          <w:rFonts w:ascii="Arial" w:hAnsi="Arial" w:cs="Arial"/>
        </w:rPr>
        <w:t>-</w:t>
      </w:r>
      <w:r w:rsidRPr="00846C4C">
        <w:rPr>
          <w:rFonts w:ascii="Arial" w:hAnsi="Arial" w:cs="Arial"/>
        </w:rPr>
        <w:t xml:space="preserve">would be advantageous to international organisations, especially if the host country </w:t>
      </w:r>
      <w:r w:rsidR="00DC1E29" w:rsidRPr="00846C4C">
        <w:rPr>
          <w:rFonts w:ascii="Arial" w:hAnsi="Arial" w:cs="Arial"/>
        </w:rPr>
        <w:t>were</w:t>
      </w:r>
      <w:r w:rsidRPr="00846C4C">
        <w:rPr>
          <w:rFonts w:ascii="Arial" w:hAnsi="Arial" w:cs="Arial"/>
        </w:rPr>
        <w:t xml:space="preserve"> poorer than the home country or vice versa. </w:t>
      </w:r>
      <w:r w:rsidR="006F6C8E" w:rsidRPr="00846C4C">
        <w:rPr>
          <w:rFonts w:ascii="Arial" w:hAnsi="Arial" w:cs="Arial"/>
        </w:rPr>
        <w:t>Rao, (200</w:t>
      </w:r>
      <w:r w:rsidR="00BF0C48" w:rsidRPr="00846C4C">
        <w:rPr>
          <w:rFonts w:ascii="Arial" w:hAnsi="Arial" w:cs="Arial"/>
        </w:rPr>
        <w:t>8)</w:t>
      </w:r>
      <w:r w:rsidR="007A4512" w:rsidRPr="00846C4C">
        <w:rPr>
          <w:rFonts w:ascii="Arial" w:hAnsi="Arial" w:cs="Arial"/>
        </w:rPr>
        <w:t xml:space="preserve"> </w:t>
      </w:r>
      <w:r w:rsidR="003359E0" w:rsidRPr="00846C4C">
        <w:rPr>
          <w:rFonts w:ascii="Arial" w:hAnsi="Arial" w:cs="Arial"/>
        </w:rPr>
        <w:t>states p</w:t>
      </w:r>
      <w:r w:rsidRPr="00846C4C">
        <w:rPr>
          <w:rFonts w:ascii="Arial" w:hAnsi="Arial" w:cs="Arial"/>
        </w:rPr>
        <w:t>eople that use this polycentric strategy for international business host locations are better accustomed to that nation's business culture.</w:t>
      </w:r>
      <w:r w:rsidR="005645B5" w:rsidRPr="00846C4C">
        <w:rPr>
          <w:rFonts w:ascii="Arial" w:hAnsi="Arial" w:cs="Arial"/>
        </w:rPr>
        <w:t xml:space="preserve"> </w:t>
      </w:r>
      <w:r w:rsidR="0018467B" w:rsidRPr="00846C4C">
        <w:rPr>
          <w:rFonts w:ascii="Arial" w:hAnsi="Arial" w:cs="Arial"/>
        </w:rPr>
        <w:t>A</w:t>
      </w:r>
      <w:r w:rsidR="007A4512" w:rsidRPr="00846C4C">
        <w:rPr>
          <w:rFonts w:ascii="Arial" w:hAnsi="Arial" w:cs="Arial"/>
        </w:rPr>
        <w:t>ccor</w:t>
      </w:r>
      <w:r w:rsidR="0018467B" w:rsidRPr="00846C4C">
        <w:rPr>
          <w:rFonts w:ascii="Arial" w:hAnsi="Arial" w:cs="Arial"/>
        </w:rPr>
        <w:t xml:space="preserve">ding to </w:t>
      </w:r>
      <w:r w:rsidR="00DC2CFE" w:rsidRPr="00846C4C">
        <w:rPr>
          <w:rFonts w:ascii="Arial" w:hAnsi="Arial" w:cs="Arial"/>
        </w:rPr>
        <w:t>Kiuna, (2013)</w:t>
      </w:r>
      <w:r w:rsidR="00A47A62" w:rsidRPr="00846C4C">
        <w:rPr>
          <w:rFonts w:ascii="Arial" w:hAnsi="Arial" w:cs="Arial"/>
        </w:rPr>
        <w:t xml:space="preserve"> Under the polycentric method, major strategic decisions may still be made by the head office, while the overseas subsidiary retains authority over the business functions.</w:t>
      </w:r>
    </w:p>
    <w:p w14:paraId="7D6D8B13" w14:textId="3239AA28" w:rsidR="00ED462B" w:rsidRPr="00846C4C" w:rsidRDefault="00ED462B" w:rsidP="00043AAA">
      <w:pPr>
        <w:pStyle w:val="ListParagraph"/>
        <w:numPr>
          <w:ilvl w:val="0"/>
          <w:numId w:val="10"/>
        </w:numPr>
        <w:spacing w:line="360" w:lineRule="auto"/>
        <w:jc w:val="both"/>
        <w:rPr>
          <w:rFonts w:ascii="Arial" w:hAnsi="Arial" w:cs="Arial"/>
          <w:sz w:val="22"/>
          <w:szCs w:val="22"/>
        </w:rPr>
      </w:pPr>
      <w:r w:rsidRPr="00846C4C">
        <w:rPr>
          <w:rFonts w:ascii="Arial" w:hAnsi="Arial" w:cs="Arial"/>
          <w:sz w:val="22"/>
          <w:szCs w:val="22"/>
        </w:rPr>
        <w:t>Fills all positions, including top management positions inside the subsidiaries, with citizens of the host nations.</w:t>
      </w:r>
    </w:p>
    <w:p w14:paraId="7BFCDE1A" w14:textId="77777777" w:rsidR="003436F4" w:rsidRPr="00846C4C" w:rsidRDefault="003436F4" w:rsidP="00043AAA">
      <w:pPr>
        <w:pStyle w:val="ListParagraph"/>
        <w:numPr>
          <w:ilvl w:val="0"/>
          <w:numId w:val="5"/>
        </w:numPr>
        <w:spacing w:line="360" w:lineRule="auto"/>
        <w:jc w:val="both"/>
        <w:rPr>
          <w:rFonts w:ascii="Arial" w:hAnsi="Arial" w:cs="Arial"/>
          <w:sz w:val="22"/>
          <w:szCs w:val="22"/>
        </w:rPr>
      </w:pPr>
      <w:r w:rsidRPr="00846C4C">
        <w:rPr>
          <w:rFonts w:ascii="Arial" w:hAnsi="Arial" w:cs="Arial"/>
          <w:sz w:val="22"/>
          <w:szCs w:val="22"/>
        </w:rPr>
        <w:t>Citizens of the host nation are acquainted with the national culture, which includes business culture.</w:t>
      </w:r>
    </w:p>
    <w:p w14:paraId="6CA81A9B" w14:textId="2EE18CFF" w:rsidR="00E84EF7" w:rsidRPr="00846C4C" w:rsidRDefault="003436F4" w:rsidP="00043AAA">
      <w:pPr>
        <w:pStyle w:val="ListParagraph"/>
        <w:numPr>
          <w:ilvl w:val="0"/>
          <w:numId w:val="5"/>
        </w:numPr>
        <w:spacing w:line="360" w:lineRule="auto"/>
        <w:jc w:val="both"/>
        <w:rPr>
          <w:rFonts w:ascii="Arial" w:hAnsi="Arial" w:cs="Arial"/>
          <w:sz w:val="22"/>
          <w:szCs w:val="22"/>
        </w:rPr>
      </w:pPr>
      <w:r w:rsidRPr="00846C4C">
        <w:rPr>
          <w:rFonts w:ascii="Arial" w:hAnsi="Arial" w:cs="Arial"/>
          <w:sz w:val="22"/>
          <w:szCs w:val="22"/>
        </w:rPr>
        <w:t>It is possible to raise the degree of job satisfaction among the subsidiaries' staff.</w:t>
      </w:r>
    </w:p>
    <w:p w14:paraId="3C1A9789" w14:textId="5AE90920" w:rsidR="00F2159E" w:rsidRPr="00846C4C" w:rsidRDefault="00F414EE" w:rsidP="00043AAA">
      <w:pPr>
        <w:spacing w:line="360" w:lineRule="auto"/>
        <w:jc w:val="both"/>
        <w:rPr>
          <w:rFonts w:ascii="Arial" w:hAnsi="Arial" w:cs="Arial"/>
        </w:rPr>
      </w:pPr>
      <w:r w:rsidRPr="00846C4C">
        <w:rPr>
          <w:rFonts w:ascii="Arial" w:hAnsi="Arial" w:cs="Arial"/>
        </w:rPr>
        <w:t>P</w:t>
      </w:r>
      <w:r w:rsidR="009368DB" w:rsidRPr="00846C4C">
        <w:rPr>
          <w:rFonts w:ascii="Arial" w:hAnsi="Arial" w:cs="Arial"/>
        </w:rPr>
        <w:t xml:space="preserve">olycentric </w:t>
      </w:r>
      <w:r w:rsidR="0008297E" w:rsidRPr="00846C4C">
        <w:rPr>
          <w:rFonts w:ascii="Arial" w:hAnsi="Arial" w:cs="Arial"/>
        </w:rPr>
        <w:t>disadvantage:</w:t>
      </w:r>
    </w:p>
    <w:p w14:paraId="12455B72" w14:textId="35D8D86B" w:rsidR="00960047" w:rsidRPr="00846C4C" w:rsidRDefault="00F2159E" w:rsidP="00043AAA">
      <w:pPr>
        <w:spacing w:line="360" w:lineRule="auto"/>
        <w:jc w:val="both"/>
        <w:rPr>
          <w:rFonts w:ascii="Arial" w:hAnsi="Arial" w:cs="Arial"/>
        </w:rPr>
      </w:pPr>
      <w:r w:rsidRPr="00846C4C">
        <w:rPr>
          <w:rFonts w:ascii="Arial" w:hAnsi="Arial" w:cs="Arial"/>
        </w:rPr>
        <w:t>A</w:t>
      </w:r>
      <w:r w:rsidR="00960047" w:rsidRPr="00846C4C">
        <w:rPr>
          <w:rFonts w:ascii="Arial" w:hAnsi="Arial" w:cs="Arial"/>
        </w:rPr>
        <w:t>lthough this strategy is advantageous from the perspective of the host nation, it has the following setbacks.</w:t>
      </w:r>
    </w:p>
    <w:p w14:paraId="12779981" w14:textId="2854D9E2" w:rsidR="00716936" w:rsidRPr="00846C4C" w:rsidRDefault="0062632F" w:rsidP="00043AAA">
      <w:pPr>
        <w:pStyle w:val="ListParagraph"/>
        <w:numPr>
          <w:ilvl w:val="0"/>
          <w:numId w:val="12"/>
        </w:numPr>
        <w:spacing w:line="360" w:lineRule="auto"/>
        <w:jc w:val="both"/>
        <w:rPr>
          <w:rFonts w:ascii="Arial" w:hAnsi="Arial" w:cs="Arial"/>
          <w:sz w:val="22"/>
          <w:szCs w:val="22"/>
        </w:rPr>
      </w:pPr>
      <w:r w:rsidRPr="00846C4C">
        <w:rPr>
          <w:rFonts w:ascii="Arial" w:hAnsi="Arial" w:cs="Arial"/>
          <w:sz w:val="22"/>
          <w:szCs w:val="22"/>
        </w:rPr>
        <w:lastRenderedPageBreak/>
        <w:t xml:space="preserve">Under the polycentric management style, the parent company solely uses </w:t>
      </w:r>
      <w:proofErr w:type="gramStart"/>
      <w:r w:rsidRPr="00846C4C">
        <w:rPr>
          <w:rFonts w:ascii="Arial" w:hAnsi="Arial" w:cs="Arial"/>
          <w:sz w:val="22"/>
          <w:szCs w:val="22"/>
        </w:rPr>
        <w:t>financial management</w:t>
      </w:r>
      <w:proofErr w:type="gramEnd"/>
      <w:r w:rsidRPr="00846C4C">
        <w:rPr>
          <w:rFonts w:ascii="Arial" w:hAnsi="Arial" w:cs="Arial"/>
          <w:sz w:val="22"/>
          <w:szCs w:val="22"/>
        </w:rPr>
        <w:t xml:space="preserve"> as a tool to manage its subsidiaries, which are operated as profit centres</w:t>
      </w:r>
      <w:r w:rsidR="000C7750" w:rsidRPr="00846C4C">
        <w:rPr>
          <w:rFonts w:ascii="Arial" w:hAnsi="Arial" w:cs="Arial"/>
          <w:sz w:val="22"/>
          <w:szCs w:val="22"/>
        </w:rPr>
        <w:t xml:space="preserve"> Nowak</w:t>
      </w:r>
      <w:r w:rsidR="00DE1BD0" w:rsidRPr="00846C4C">
        <w:rPr>
          <w:rFonts w:ascii="Arial" w:hAnsi="Arial" w:cs="Arial"/>
          <w:sz w:val="22"/>
          <w:szCs w:val="22"/>
        </w:rPr>
        <w:t>, (2008).</w:t>
      </w:r>
    </w:p>
    <w:p w14:paraId="449499D5" w14:textId="4302C825" w:rsidR="00C17EB5" w:rsidRPr="00846C4C" w:rsidRDefault="00A00DF8" w:rsidP="00043AAA">
      <w:pPr>
        <w:pStyle w:val="ListParagraph"/>
        <w:numPr>
          <w:ilvl w:val="0"/>
          <w:numId w:val="11"/>
        </w:numPr>
        <w:spacing w:line="360" w:lineRule="auto"/>
        <w:jc w:val="both"/>
        <w:rPr>
          <w:rFonts w:ascii="Arial" w:hAnsi="Arial" w:cs="Arial"/>
          <w:sz w:val="22"/>
          <w:szCs w:val="22"/>
        </w:rPr>
      </w:pPr>
      <w:r w:rsidRPr="00846C4C">
        <w:rPr>
          <w:rFonts w:ascii="Arial" w:hAnsi="Arial" w:cs="Arial"/>
          <w:sz w:val="22"/>
          <w:szCs w:val="22"/>
        </w:rPr>
        <w:t>However, polycentrism may additionally end up in an unsustainable spread of disorder and an absence of collaboration across the organization's subsidiaries</w:t>
      </w:r>
      <w:r w:rsidR="004D1BE3" w:rsidRPr="00846C4C">
        <w:rPr>
          <w:rFonts w:ascii="Arial" w:hAnsi="Arial" w:cs="Arial"/>
          <w:sz w:val="22"/>
          <w:szCs w:val="22"/>
        </w:rPr>
        <w:t xml:space="preserve"> Diab, (</w:t>
      </w:r>
      <w:r w:rsidR="005E6561" w:rsidRPr="00846C4C">
        <w:rPr>
          <w:rFonts w:ascii="Arial" w:hAnsi="Arial" w:cs="Arial"/>
          <w:sz w:val="22"/>
          <w:szCs w:val="22"/>
        </w:rPr>
        <w:t>2022).</w:t>
      </w:r>
    </w:p>
    <w:p w14:paraId="50254E7F" w14:textId="44B343DA" w:rsidR="005A2815" w:rsidRPr="00846C4C" w:rsidRDefault="005A2815" w:rsidP="000600CD">
      <w:pPr>
        <w:pStyle w:val="ListParagraph"/>
        <w:numPr>
          <w:ilvl w:val="0"/>
          <w:numId w:val="11"/>
        </w:numPr>
        <w:spacing w:line="360" w:lineRule="auto"/>
        <w:jc w:val="both"/>
        <w:rPr>
          <w:rFonts w:ascii="Arial" w:hAnsi="Arial" w:cs="Arial"/>
          <w:sz w:val="22"/>
          <w:szCs w:val="22"/>
        </w:rPr>
      </w:pPr>
      <w:r w:rsidRPr="00846C4C">
        <w:rPr>
          <w:rFonts w:ascii="Arial" w:hAnsi="Arial" w:cs="Arial"/>
          <w:sz w:val="22"/>
          <w:szCs w:val="22"/>
        </w:rPr>
        <w:t xml:space="preserve">Since it separates its corporate headquarters from the subsidiaries it owns, the cultures of the organisations and the </w:t>
      </w:r>
      <w:r w:rsidR="00C16E81" w:rsidRPr="00846C4C">
        <w:rPr>
          <w:rFonts w:ascii="Arial" w:hAnsi="Arial" w:cs="Arial"/>
          <w:sz w:val="22"/>
          <w:szCs w:val="22"/>
        </w:rPr>
        <w:t>HQ</w:t>
      </w:r>
      <w:r w:rsidRPr="00846C4C">
        <w:rPr>
          <w:rFonts w:ascii="Arial" w:hAnsi="Arial" w:cs="Arial"/>
          <w:sz w:val="22"/>
          <w:szCs w:val="22"/>
        </w:rPr>
        <w:t xml:space="preserve"> are unable to be swapped.</w:t>
      </w:r>
    </w:p>
    <w:p w14:paraId="01D333F7" w14:textId="397075E1" w:rsidR="00340AD3" w:rsidRPr="00846C4C" w:rsidRDefault="00E873C3" w:rsidP="000600CD">
      <w:pPr>
        <w:pStyle w:val="Heading3"/>
        <w:spacing w:line="360" w:lineRule="auto"/>
        <w:rPr>
          <w:rFonts w:ascii="Arial" w:hAnsi="Arial" w:cs="Arial"/>
          <w:color w:val="auto"/>
          <w:sz w:val="22"/>
          <w:szCs w:val="22"/>
        </w:rPr>
      </w:pPr>
      <w:bookmarkStart w:id="28" w:name="_Toc151055278"/>
      <w:r w:rsidRPr="00846C4C">
        <w:rPr>
          <w:rFonts w:ascii="Arial" w:hAnsi="Arial" w:cs="Arial"/>
          <w:color w:val="auto"/>
          <w:sz w:val="22"/>
          <w:szCs w:val="22"/>
        </w:rPr>
        <w:t xml:space="preserve">4.1.5 </w:t>
      </w:r>
      <w:r w:rsidR="003F16C1" w:rsidRPr="00846C4C">
        <w:rPr>
          <w:rFonts w:ascii="Arial" w:hAnsi="Arial" w:cs="Arial"/>
          <w:color w:val="auto"/>
          <w:sz w:val="22"/>
          <w:szCs w:val="22"/>
        </w:rPr>
        <w:t>The Geocentric Approach</w:t>
      </w:r>
      <w:r w:rsidR="00964364" w:rsidRPr="00846C4C">
        <w:rPr>
          <w:rFonts w:ascii="Arial" w:hAnsi="Arial" w:cs="Arial"/>
          <w:color w:val="auto"/>
          <w:sz w:val="22"/>
          <w:szCs w:val="22"/>
        </w:rPr>
        <w:t>:</w:t>
      </w:r>
      <w:bookmarkEnd w:id="28"/>
    </w:p>
    <w:p w14:paraId="6BA9BBF0" w14:textId="7F52EF7B" w:rsidR="005B2B53" w:rsidRPr="00846C4C" w:rsidRDefault="00807E5A" w:rsidP="000600CD">
      <w:pPr>
        <w:spacing w:line="360" w:lineRule="auto"/>
        <w:jc w:val="both"/>
        <w:rPr>
          <w:rFonts w:ascii="Arial" w:hAnsi="Arial" w:cs="Arial"/>
        </w:rPr>
      </w:pPr>
      <w:r w:rsidRPr="00846C4C">
        <w:rPr>
          <w:rFonts w:ascii="Arial" w:hAnsi="Arial" w:cs="Arial"/>
        </w:rPr>
        <w:t>Having both home country and host principles of respect will help the organisation grow. It would be considered best practise for organisations to combine host country and home processes in international seas</w:t>
      </w:r>
      <w:r w:rsidR="00003A89" w:rsidRPr="00846C4C">
        <w:rPr>
          <w:rFonts w:ascii="Arial" w:hAnsi="Arial" w:cs="Arial"/>
        </w:rPr>
        <w:t>.</w:t>
      </w:r>
      <w:r w:rsidR="008D757C" w:rsidRPr="00846C4C">
        <w:rPr>
          <w:rFonts w:ascii="Arial" w:hAnsi="Arial" w:cs="Arial"/>
        </w:rPr>
        <w:t xml:space="preserve"> </w:t>
      </w:r>
      <w:r w:rsidR="00842A7F" w:rsidRPr="00846C4C">
        <w:rPr>
          <w:rFonts w:ascii="Arial" w:hAnsi="Arial" w:cs="Arial"/>
        </w:rPr>
        <w:t xml:space="preserve">Rao, </w:t>
      </w:r>
      <w:r w:rsidR="008D757C" w:rsidRPr="00846C4C">
        <w:rPr>
          <w:rFonts w:ascii="Arial" w:hAnsi="Arial" w:cs="Arial"/>
        </w:rPr>
        <w:t>(</w:t>
      </w:r>
      <w:r w:rsidR="00842A7F" w:rsidRPr="00846C4C">
        <w:rPr>
          <w:rFonts w:ascii="Arial" w:hAnsi="Arial" w:cs="Arial"/>
        </w:rPr>
        <w:t>2008</w:t>
      </w:r>
      <w:r w:rsidR="008D757C" w:rsidRPr="00846C4C">
        <w:rPr>
          <w:rFonts w:ascii="Arial" w:hAnsi="Arial" w:cs="Arial"/>
        </w:rPr>
        <w:t xml:space="preserve">) </w:t>
      </w:r>
      <w:r w:rsidR="003059B7" w:rsidRPr="00846C4C">
        <w:rPr>
          <w:rFonts w:ascii="Arial" w:hAnsi="Arial" w:cs="Arial"/>
        </w:rPr>
        <w:t xml:space="preserve">suggest </w:t>
      </w:r>
      <w:r w:rsidR="008D757C" w:rsidRPr="00846C4C">
        <w:rPr>
          <w:rFonts w:ascii="Arial" w:hAnsi="Arial" w:cs="Arial"/>
        </w:rPr>
        <w:t>f</w:t>
      </w:r>
      <w:r w:rsidR="004E1D76" w:rsidRPr="00846C4C">
        <w:rPr>
          <w:rFonts w:ascii="Arial" w:hAnsi="Arial" w:cs="Arial"/>
        </w:rPr>
        <w:t>or each given position, the best applicants are chosen from all around the world</w:t>
      </w:r>
      <w:r w:rsidR="00B222C8" w:rsidRPr="00846C4C">
        <w:rPr>
          <w:rFonts w:ascii="Arial" w:hAnsi="Arial" w:cs="Arial"/>
        </w:rPr>
        <w:t xml:space="preserve"> </w:t>
      </w:r>
      <w:r w:rsidR="004E1D76" w:rsidRPr="00846C4C">
        <w:rPr>
          <w:rFonts w:ascii="Arial" w:hAnsi="Arial" w:cs="Arial"/>
        </w:rPr>
        <w:t>to</w:t>
      </w:r>
      <w:r w:rsidR="00B222C8" w:rsidRPr="00846C4C">
        <w:rPr>
          <w:rFonts w:ascii="Arial" w:hAnsi="Arial" w:cs="Arial"/>
        </w:rPr>
        <w:t>.</w:t>
      </w:r>
      <w:r w:rsidR="004E1D76" w:rsidRPr="00846C4C">
        <w:rPr>
          <w:rFonts w:ascii="Arial" w:hAnsi="Arial" w:cs="Arial"/>
        </w:rPr>
        <w:t xml:space="preserve"> </w:t>
      </w:r>
    </w:p>
    <w:p w14:paraId="1878AEFA" w14:textId="16A94D35" w:rsidR="005B2B53" w:rsidRPr="00846C4C" w:rsidRDefault="005C58C5" w:rsidP="000600CD">
      <w:pPr>
        <w:pStyle w:val="ListParagraph"/>
        <w:numPr>
          <w:ilvl w:val="0"/>
          <w:numId w:val="4"/>
        </w:numPr>
        <w:spacing w:line="360" w:lineRule="auto"/>
        <w:jc w:val="both"/>
        <w:rPr>
          <w:rFonts w:ascii="Arial" w:hAnsi="Arial" w:cs="Arial"/>
          <w:sz w:val="22"/>
          <w:szCs w:val="22"/>
        </w:rPr>
      </w:pPr>
      <w:bookmarkStart w:id="29" w:name="_Hlk150516166"/>
      <w:r w:rsidRPr="00846C4C">
        <w:rPr>
          <w:rFonts w:ascii="Arial" w:hAnsi="Arial" w:cs="Arial"/>
          <w:sz w:val="22"/>
          <w:szCs w:val="22"/>
        </w:rPr>
        <w:t>Possess</w:t>
      </w:r>
      <w:r w:rsidR="004E1D76" w:rsidRPr="00846C4C">
        <w:rPr>
          <w:rFonts w:ascii="Arial" w:hAnsi="Arial" w:cs="Arial"/>
          <w:sz w:val="22"/>
          <w:szCs w:val="22"/>
        </w:rPr>
        <w:t xml:space="preserve"> the best available human resources</w:t>
      </w:r>
      <w:bookmarkEnd w:id="29"/>
      <w:r w:rsidR="004E1D76" w:rsidRPr="00846C4C">
        <w:rPr>
          <w:rFonts w:ascii="Arial" w:hAnsi="Arial" w:cs="Arial"/>
          <w:sz w:val="22"/>
          <w:szCs w:val="22"/>
        </w:rPr>
        <w:t>.</w:t>
      </w:r>
      <w:r w:rsidR="005646CE" w:rsidRPr="00846C4C">
        <w:rPr>
          <w:rFonts w:ascii="Arial" w:hAnsi="Arial" w:cs="Arial"/>
          <w:sz w:val="22"/>
          <w:szCs w:val="22"/>
        </w:rPr>
        <w:t xml:space="preserve"> </w:t>
      </w:r>
    </w:p>
    <w:p w14:paraId="7D14BB3D" w14:textId="6EB85D9A" w:rsidR="00D3169B" w:rsidRPr="00846C4C" w:rsidRDefault="00F56885" w:rsidP="000600CD">
      <w:pPr>
        <w:pStyle w:val="ListParagraph"/>
        <w:numPr>
          <w:ilvl w:val="0"/>
          <w:numId w:val="4"/>
        </w:numPr>
        <w:spacing w:line="360" w:lineRule="auto"/>
        <w:jc w:val="both"/>
        <w:rPr>
          <w:rFonts w:ascii="Arial" w:hAnsi="Arial" w:cs="Arial"/>
          <w:sz w:val="22"/>
          <w:szCs w:val="22"/>
        </w:rPr>
      </w:pPr>
      <w:bookmarkStart w:id="30" w:name="_Hlk150516260"/>
      <w:r w:rsidRPr="00846C4C">
        <w:rPr>
          <w:rFonts w:ascii="Arial" w:hAnsi="Arial" w:cs="Arial"/>
          <w:sz w:val="22"/>
          <w:szCs w:val="22"/>
        </w:rPr>
        <w:t xml:space="preserve">It </w:t>
      </w:r>
      <w:r w:rsidR="004E1D76" w:rsidRPr="00846C4C">
        <w:rPr>
          <w:rFonts w:ascii="Arial" w:hAnsi="Arial" w:cs="Arial"/>
          <w:sz w:val="22"/>
          <w:szCs w:val="22"/>
        </w:rPr>
        <w:t xml:space="preserve">prevent misunderstandings of cultural issues and improve the host nation's local </w:t>
      </w:r>
      <w:r w:rsidR="009C2324" w:rsidRPr="00846C4C">
        <w:rPr>
          <w:rFonts w:ascii="Arial" w:hAnsi="Arial" w:cs="Arial"/>
          <w:sz w:val="22"/>
          <w:szCs w:val="22"/>
        </w:rPr>
        <w:t>responsiveness</w:t>
      </w:r>
      <w:r w:rsidR="00DC1E29" w:rsidRPr="00846C4C">
        <w:rPr>
          <w:rFonts w:ascii="Arial" w:hAnsi="Arial" w:cs="Arial"/>
          <w:sz w:val="22"/>
          <w:szCs w:val="22"/>
        </w:rPr>
        <w:t xml:space="preserve">. </w:t>
      </w:r>
    </w:p>
    <w:p w14:paraId="2815DAE6" w14:textId="1E65D9FC" w:rsidR="007A2190" w:rsidRPr="00846C4C" w:rsidRDefault="005B2B53" w:rsidP="000600CD">
      <w:pPr>
        <w:pStyle w:val="ListParagraph"/>
        <w:numPr>
          <w:ilvl w:val="0"/>
          <w:numId w:val="4"/>
        </w:numPr>
        <w:spacing w:line="360" w:lineRule="auto"/>
        <w:jc w:val="both"/>
        <w:rPr>
          <w:rFonts w:ascii="Arial" w:hAnsi="Arial" w:cs="Arial"/>
          <w:sz w:val="22"/>
          <w:szCs w:val="22"/>
        </w:rPr>
      </w:pPr>
      <w:r w:rsidRPr="00846C4C">
        <w:rPr>
          <w:rFonts w:ascii="Arial" w:hAnsi="Arial" w:cs="Arial"/>
          <w:sz w:val="22"/>
          <w:szCs w:val="22"/>
        </w:rPr>
        <w:t>T</w:t>
      </w:r>
      <w:r w:rsidR="007A2190" w:rsidRPr="00846C4C">
        <w:rPr>
          <w:rFonts w:ascii="Arial" w:hAnsi="Arial" w:cs="Arial"/>
          <w:sz w:val="22"/>
          <w:szCs w:val="22"/>
        </w:rPr>
        <w:t>o overcome the obstacles posed by cultural variety and cultivate multicultural individuals.</w:t>
      </w:r>
    </w:p>
    <w:p w14:paraId="64BB5E6C" w14:textId="105DE63F" w:rsidR="007A2190" w:rsidRPr="00846C4C" w:rsidRDefault="00AB1529" w:rsidP="000600CD">
      <w:pPr>
        <w:pStyle w:val="ListParagraph"/>
        <w:numPr>
          <w:ilvl w:val="0"/>
          <w:numId w:val="4"/>
        </w:numPr>
        <w:spacing w:line="360" w:lineRule="auto"/>
        <w:jc w:val="both"/>
        <w:rPr>
          <w:rFonts w:ascii="Arial" w:hAnsi="Arial" w:cs="Arial"/>
          <w:sz w:val="22"/>
          <w:szCs w:val="22"/>
        </w:rPr>
      </w:pPr>
      <w:r w:rsidRPr="00846C4C">
        <w:rPr>
          <w:rFonts w:ascii="Arial" w:hAnsi="Arial" w:cs="Arial"/>
          <w:sz w:val="22"/>
          <w:szCs w:val="22"/>
        </w:rPr>
        <w:t>E</w:t>
      </w:r>
      <w:r w:rsidR="007A2190" w:rsidRPr="00846C4C">
        <w:rPr>
          <w:rFonts w:ascii="Arial" w:hAnsi="Arial" w:cs="Arial"/>
          <w:sz w:val="22"/>
          <w:szCs w:val="22"/>
        </w:rPr>
        <w:t>stablishing multiskilling as a fundamental talent and implementing it across all divisions</w:t>
      </w:r>
    </w:p>
    <w:bookmarkEnd w:id="30"/>
    <w:p w14:paraId="056D04B0" w14:textId="33BD40B9" w:rsidR="00F05933" w:rsidRPr="00846C4C" w:rsidRDefault="00C42BA1" w:rsidP="000600CD">
      <w:pPr>
        <w:spacing w:line="360" w:lineRule="auto"/>
        <w:jc w:val="both"/>
        <w:rPr>
          <w:rFonts w:ascii="Arial" w:hAnsi="Arial" w:cs="Arial"/>
        </w:rPr>
      </w:pPr>
      <w:r w:rsidRPr="00846C4C">
        <w:rPr>
          <w:rFonts w:ascii="Arial" w:hAnsi="Arial" w:cs="Arial"/>
        </w:rPr>
        <w:t xml:space="preserve">Geocentric </w:t>
      </w:r>
      <w:r w:rsidR="00964364" w:rsidRPr="00846C4C">
        <w:rPr>
          <w:rFonts w:ascii="Arial" w:hAnsi="Arial" w:cs="Arial"/>
        </w:rPr>
        <w:t>disadvantage:</w:t>
      </w:r>
    </w:p>
    <w:p w14:paraId="416476F0" w14:textId="794915EC" w:rsidR="00D3169B" w:rsidRPr="00846C4C" w:rsidRDefault="00F05933" w:rsidP="000600CD">
      <w:pPr>
        <w:spacing w:line="360" w:lineRule="auto"/>
        <w:jc w:val="both"/>
        <w:rPr>
          <w:rFonts w:ascii="Arial" w:hAnsi="Arial" w:cs="Arial"/>
        </w:rPr>
      </w:pPr>
      <w:r w:rsidRPr="00846C4C">
        <w:rPr>
          <w:rFonts w:ascii="Arial" w:hAnsi="Arial" w:cs="Arial"/>
        </w:rPr>
        <w:t>O</w:t>
      </w:r>
      <w:r w:rsidR="00DF38D1" w:rsidRPr="00846C4C">
        <w:rPr>
          <w:rFonts w:ascii="Arial" w:hAnsi="Arial" w:cs="Arial"/>
        </w:rPr>
        <w:t>rganisations are embracing the geocentric strategy, which is superior to the polycentric and ethnocentric models that came before it in terms of facilitating successful international trade into multinational corporations. Rao, (2008) notes that although this strategy seems to outperform the other two, it has the following shortcomings.</w:t>
      </w:r>
    </w:p>
    <w:p w14:paraId="1B0D21B9" w14:textId="77777777" w:rsidR="008072BB" w:rsidRPr="00846C4C" w:rsidRDefault="008072BB" w:rsidP="000600CD">
      <w:pPr>
        <w:pStyle w:val="ListParagraph"/>
        <w:numPr>
          <w:ilvl w:val="0"/>
          <w:numId w:val="13"/>
        </w:numPr>
        <w:spacing w:line="360" w:lineRule="auto"/>
        <w:jc w:val="both"/>
        <w:rPr>
          <w:rFonts w:ascii="Arial" w:hAnsi="Arial" w:cs="Arial"/>
          <w:sz w:val="22"/>
          <w:szCs w:val="22"/>
        </w:rPr>
      </w:pPr>
      <w:r w:rsidRPr="00846C4C">
        <w:rPr>
          <w:rFonts w:ascii="Arial" w:hAnsi="Arial" w:cs="Arial"/>
          <w:sz w:val="22"/>
          <w:szCs w:val="22"/>
        </w:rPr>
        <w:t>The majority of nations demand that multinational corporations hire their nationals.</w:t>
      </w:r>
    </w:p>
    <w:p w14:paraId="2A78B083" w14:textId="61D36869" w:rsidR="00750D44" w:rsidRPr="00846C4C" w:rsidRDefault="008072BB" w:rsidP="000600CD">
      <w:pPr>
        <w:pStyle w:val="ListParagraph"/>
        <w:numPr>
          <w:ilvl w:val="0"/>
          <w:numId w:val="13"/>
        </w:numPr>
        <w:spacing w:line="360" w:lineRule="auto"/>
        <w:jc w:val="both"/>
        <w:rPr>
          <w:rFonts w:ascii="Arial" w:hAnsi="Arial" w:cs="Arial"/>
          <w:sz w:val="22"/>
          <w:szCs w:val="22"/>
        </w:rPr>
      </w:pPr>
      <w:r w:rsidRPr="00846C4C">
        <w:rPr>
          <w:rFonts w:ascii="Arial" w:hAnsi="Arial" w:cs="Arial"/>
          <w:sz w:val="22"/>
          <w:szCs w:val="22"/>
        </w:rPr>
        <w:t>MNCs are only permitted to hire foreign nationals under extreme circumstances.</w:t>
      </w:r>
    </w:p>
    <w:p w14:paraId="2168D630" w14:textId="1A229007" w:rsidR="00750D44" w:rsidRPr="00846C4C" w:rsidRDefault="005B1761" w:rsidP="000600CD">
      <w:pPr>
        <w:pStyle w:val="ListParagraph"/>
        <w:numPr>
          <w:ilvl w:val="0"/>
          <w:numId w:val="13"/>
        </w:numPr>
        <w:spacing w:line="360" w:lineRule="auto"/>
        <w:jc w:val="both"/>
        <w:rPr>
          <w:rFonts w:ascii="Arial" w:hAnsi="Arial" w:cs="Arial"/>
          <w:sz w:val="22"/>
          <w:szCs w:val="22"/>
        </w:rPr>
      </w:pPr>
      <w:r w:rsidRPr="00846C4C">
        <w:rPr>
          <w:rFonts w:ascii="Arial" w:hAnsi="Arial" w:cs="Arial"/>
          <w:sz w:val="22"/>
          <w:szCs w:val="22"/>
        </w:rPr>
        <w:t>It requires time and effort to implement this strategy since the multinational corporation has a responsibility to educate and train employees in multicultural environments.</w:t>
      </w:r>
    </w:p>
    <w:p w14:paraId="102164B6" w14:textId="54E753D4" w:rsidR="00750D44" w:rsidRPr="00846C4C" w:rsidRDefault="00667F1D" w:rsidP="000600CD">
      <w:pPr>
        <w:pStyle w:val="ListParagraph"/>
        <w:numPr>
          <w:ilvl w:val="0"/>
          <w:numId w:val="13"/>
        </w:numPr>
        <w:spacing w:line="360" w:lineRule="auto"/>
        <w:jc w:val="both"/>
        <w:rPr>
          <w:rFonts w:ascii="Arial" w:hAnsi="Arial" w:cs="Arial"/>
          <w:sz w:val="22"/>
          <w:szCs w:val="22"/>
        </w:rPr>
      </w:pPr>
      <w:r w:rsidRPr="00846C4C">
        <w:rPr>
          <w:rFonts w:ascii="Arial" w:hAnsi="Arial" w:cs="Arial"/>
          <w:sz w:val="22"/>
          <w:szCs w:val="22"/>
        </w:rPr>
        <w:t>The execution of this policy additionally requires an excessive amount of money.</w:t>
      </w:r>
    </w:p>
    <w:p w14:paraId="0DD22ABB" w14:textId="43EB164F" w:rsidR="00BC31DC" w:rsidRPr="00846C4C" w:rsidRDefault="00C511BF" w:rsidP="000600CD">
      <w:pPr>
        <w:pStyle w:val="ListParagraph"/>
        <w:spacing w:line="360" w:lineRule="auto"/>
        <w:ind w:left="0"/>
        <w:jc w:val="both"/>
        <w:rPr>
          <w:rFonts w:ascii="Arial" w:eastAsiaTheme="minorHAnsi" w:hAnsi="Arial" w:cs="Arial"/>
          <w:sz w:val="22"/>
          <w:szCs w:val="22"/>
          <w:lang w:eastAsia="en-US"/>
        </w:rPr>
      </w:pPr>
      <w:r w:rsidRPr="00846C4C">
        <w:rPr>
          <w:rFonts w:ascii="Arial" w:eastAsiaTheme="minorHAnsi" w:hAnsi="Arial" w:cs="Arial"/>
          <w:sz w:val="22"/>
          <w:szCs w:val="22"/>
          <w:lang w:eastAsia="en-US"/>
        </w:rPr>
        <w:t>As Rao</w:t>
      </w:r>
      <w:r w:rsidR="00BC31DC" w:rsidRPr="00846C4C">
        <w:rPr>
          <w:rFonts w:ascii="Arial" w:eastAsiaTheme="minorHAnsi" w:hAnsi="Arial" w:cs="Arial"/>
          <w:sz w:val="22"/>
          <w:szCs w:val="22"/>
          <w:lang w:eastAsia="en-US"/>
        </w:rPr>
        <w:t>,</w:t>
      </w:r>
      <w:r w:rsidRPr="00846C4C">
        <w:rPr>
          <w:rFonts w:ascii="Arial" w:eastAsiaTheme="minorHAnsi" w:hAnsi="Arial" w:cs="Arial"/>
          <w:sz w:val="22"/>
          <w:szCs w:val="22"/>
          <w:lang w:eastAsia="en-US"/>
        </w:rPr>
        <w:t xml:space="preserve"> (2008) observ</w:t>
      </w:r>
      <w:r w:rsidR="00442FC7" w:rsidRPr="00846C4C">
        <w:rPr>
          <w:rFonts w:ascii="Arial" w:eastAsiaTheme="minorHAnsi" w:hAnsi="Arial" w:cs="Arial"/>
          <w:sz w:val="22"/>
          <w:szCs w:val="22"/>
          <w:lang w:eastAsia="en-US"/>
        </w:rPr>
        <w:t>es</w:t>
      </w:r>
      <w:r w:rsidR="00A635D8" w:rsidRPr="00846C4C">
        <w:rPr>
          <w:rFonts w:ascii="Arial" w:eastAsiaTheme="minorHAnsi" w:hAnsi="Arial" w:cs="Arial"/>
          <w:sz w:val="22"/>
          <w:szCs w:val="22"/>
          <w:lang w:eastAsia="en-US"/>
        </w:rPr>
        <w:t xml:space="preserve"> multinational corporations with a restricted geographic focus in nations with similar cultures might use the ethnocentric method, whereas those with a broad geographic focus in nations with </w:t>
      </w:r>
      <w:proofErr w:type="gramStart"/>
      <w:r w:rsidR="00A635D8" w:rsidRPr="00846C4C">
        <w:rPr>
          <w:rFonts w:ascii="Arial" w:eastAsiaTheme="minorHAnsi" w:hAnsi="Arial" w:cs="Arial"/>
          <w:sz w:val="22"/>
          <w:szCs w:val="22"/>
          <w:lang w:eastAsia="en-US"/>
        </w:rPr>
        <w:t>different cultures</w:t>
      </w:r>
      <w:proofErr w:type="gramEnd"/>
      <w:r w:rsidR="00A635D8" w:rsidRPr="00846C4C">
        <w:rPr>
          <w:rFonts w:ascii="Arial" w:eastAsiaTheme="minorHAnsi" w:hAnsi="Arial" w:cs="Arial"/>
          <w:sz w:val="22"/>
          <w:szCs w:val="22"/>
          <w:lang w:eastAsia="en-US"/>
        </w:rPr>
        <w:t xml:space="preserve"> may use the polycentric approach. Nonetheless, multinational corporations with a broad geographic reach may choose to use a geocentric strategy.</w:t>
      </w:r>
    </w:p>
    <w:p w14:paraId="237839F6" w14:textId="28029FB7" w:rsidR="00C442B1" w:rsidRPr="00846C4C" w:rsidRDefault="00CF402A" w:rsidP="000600CD">
      <w:pPr>
        <w:pStyle w:val="Heading1"/>
        <w:spacing w:line="360" w:lineRule="auto"/>
        <w:rPr>
          <w:rFonts w:ascii="Arial" w:hAnsi="Arial" w:cs="Arial"/>
          <w:color w:val="auto"/>
          <w:sz w:val="22"/>
          <w:szCs w:val="22"/>
        </w:rPr>
      </w:pPr>
      <w:bookmarkStart w:id="31" w:name="_Toc151055279"/>
      <w:r w:rsidRPr="00846C4C">
        <w:rPr>
          <w:rFonts w:ascii="Arial" w:hAnsi="Arial" w:cs="Arial"/>
          <w:color w:val="auto"/>
          <w:sz w:val="22"/>
          <w:szCs w:val="22"/>
        </w:rPr>
        <w:lastRenderedPageBreak/>
        <w:t>5</w:t>
      </w:r>
      <w:r w:rsidR="0070272A" w:rsidRPr="00846C4C">
        <w:rPr>
          <w:rFonts w:ascii="Arial" w:hAnsi="Arial" w:cs="Arial"/>
          <w:color w:val="auto"/>
          <w:sz w:val="22"/>
          <w:szCs w:val="22"/>
        </w:rPr>
        <w:t xml:space="preserve">.0 </w:t>
      </w:r>
      <w:r w:rsidR="000600CD" w:rsidRPr="00846C4C">
        <w:rPr>
          <w:rFonts w:ascii="Arial" w:hAnsi="Arial" w:cs="Arial"/>
          <w:color w:val="auto"/>
          <w:sz w:val="22"/>
          <w:szCs w:val="22"/>
        </w:rPr>
        <w:t>AstraZeneca Internationalization Approach:</w:t>
      </w:r>
      <w:bookmarkEnd w:id="31"/>
    </w:p>
    <w:p w14:paraId="3CB619EB" w14:textId="55C65F04" w:rsidR="00714F93" w:rsidRPr="00846C4C" w:rsidRDefault="00514415" w:rsidP="000600CD">
      <w:pPr>
        <w:pStyle w:val="ListParagraph"/>
        <w:spacing w:line="360" w:lineRule="auto"/>
        <w:ind w:left="0"/>
        <w:jc w:val="both"/>
        <w:rPr>
          <w:rFonts w:ascii="Arial" w:hAnsi="Arial" w:cs="Arial"/>
          <w:sz w:val="22"/>
          <w:szCs w:val="22"/>
        </w:rPr>
      </w:pPr>
      <w:r w:rsidRPr="00846C4C">
        <w:rPr>
          <w:rFonts w:ascii="Arial" w:hAnsi="Arial" w:cs="Arial"/>
          <w:sz w:val="22"/>
          <w:szCs w:val="22"/>
        </w:rPr>
        <w:t>AstraZeneca's global strategy is shown by its world-class research and development centres, especially in India. India is the host country, with an emphasis on production, distribution, and advertising for AstraZeneca.</w:t>
      </w:r>
      <w:r w:rsidR="00A53680" w:rsidRPr="00846C4C">
        <w:rPr>
          <w:rFonts w:ascii="Arial" w:hAnsi="Arial" w:cs="Arial"/>
          <w:sz w:val="22"/>
          <w:szCs w:val="22"/>
        </w:rPr>
        <w:t xml:space="preserve"> </w:t>
      </w:r>
      <w:r w:rsidRPr="00846C4C">
        <w:rPr>
          <w:rFonts w:ascii="Arial" w:hAnsi="Arial" w:cs="Arial"/>
          <w:sz w:val="22"/>
          <w:szCs w:val="22"/>
        </w:rPr>
        <w:t>Regarding the EPG Model, A</w:t>
      </w:r>
      <w:r w:rsidR="00A53680" w:rsidRPr="00846C4C">
        <w:rPr>
          <w:rFonts w:ascii="Arial" w:hAnsi="Arial" w:cs="Arial"/>
          <w:sz w:val="22"/>
          <w:szCs w:val="22"/>
        </w:rPr>
        <w:t>stra</w:t>
      </w:r>
      <w:r w:rsidR="0014349B" w:rsidRPr="00846C4C">
        <w:rPr>
          <w:rFonts w:ascii="Arial" w:hAnsi="Arial" w:cs="Arial"/>
          <w:sz w:val="22"/>
          <w:szCs w:val="22"/>
        </w:rPr>
        <w:t>Z</w:t>
      </w:r>
      <w:r w:rsidR="00A53680" w:rsidRPr="00846C4C">
        <w:rPr>
          <w:rFonts w:ascii="Arial" w:hAnsi="Arial" w:cs="Arial"/>
          <w:sz w:val="22"/>
          <w:szCs w:val="22"/>
        </w:rPr>
        <w:t>eneca</w:t>
      </w:r>
      <w:r w:rsidRPr="00846C4C">
        <w:rPr>
          <w:rFonts w:ascii="Arial" w:hAnsi="Arial" w:cs="Arial"/>
          <w:sz w:val="22"/>
          <w:szCs w:val="22"/>
        </w:rPr>
        <w:t xml:space="preserve"> is perceived as employing the geocentric </w:t>
      </w:r>
      <w:r w:rsidR="00C90771" w:rsidRPr="00846C4C">
        <w:rPr>
          <w:rFonts w:ascii="Arial" w:hAnsi="Arial" w:cs="Arial"/>
          <w:sz w:val="22"/>
          <w:szCs w:val="22"/>
        </w:rPr>
        <w:t>approach</w:t>
      </w:r>
      <w:r w:rsidRPr="00846C4C">
        <w:rPr>
          <w:rFonts w:ascii="Arial" w:hAnsi="Arial" w:cs="Arial"/>
          <w:sz w:val="22"/>
          <w:szCs w:val="22"/>
        </w:rPr>
        <w:t>. Mangers at AstraZeneca have access to the greatest human resources available.</w:t>
      </w:r>
      <w:r w:rsidR="00B76006" w:rsidRPr="00846C4C">
        <w:rPr>
          <w:rFonts w:ascii="Arial" w:hAnsi="Arial" w:cs="Arial"/>
          <w:sz w:val="22"/>
          <w:szCs w:val="22"/>
        </w:rPr>
        <w:t xml:space="preserve"> </w:t>
      </w:r>
      <w:r w:rsidR="009775A3" w:rsidRPr="00846C4C">
        <w:rPr>
          <w:rFonts w:ascii="Arial" w:hAnsi="Arial" w:cs="Arial"/>
          <w:sz w:val="22"/>
          <w:szCs w:val="22"/>
        </w:rPr>
        <w:t>AZ adopting the geocentric approach</w:t>
      </w:r>
      <w:r w:rsidRPr="00846C4C">
        <w:rPr>
          <w:rFonts w:ascii="Arial" w:hAnsi="Arial" w:cs="Arial"/>
          <w:sz w:val="22"/>
          <w:szCs w:val="22"/>
        </w:rPr>
        <w:t xml:space="preserve"> avoids misinterpretations of cultural matters and enhances the response of the host country locally.</w:t>
      </w:r>
      <w:r w:rsidR="00D02AF8" w:rsidRPr="00846C4C">
        <w:rPr>
          <w:rFonts w:ascii="Arial" w:hAnsi="Arial" w:cs="Arial"/>
          <w:sz w:val="22"/>
          <w:szCs w:val="22"/>
        </w:rPr>
        <w:t xml:space="preserve"> </w:t>
      </w:r>
      <w:r w:rsidR="006B3E0B" w:rsidRPr="00846C4C">
        <w:rPr>
          <w:rFonts w:ascii="Arial" w:hAnsi="Arial" w:cs="Arial"/>
          <w:sz w:val="22"/>
          <w:szCs w:val="22"/>
        </w:rPr>
        <w:t>AstraZeneca</w:t>
      </w:r>
      <w:r w:rsidRPr="00846C4C">
        <w:rPr>
          <w:rFonts w:ascii="Arial" w:hAnsi="Arial" w:cs="Arial"/>
          <w:sz w:val="22"/>
          <w:szCs w:val="22"/>
        </w:rPr>
        <w:t xml:space="preserve"> develop</w:t>
      </w:r>
      <w:r w:rsidR="00D02AF8" w:rsidRPr="00846C4C">
        <w:rPr>
          <w:rFonts w:ascii="Arial" w:hAnsi="Arial" w:cs="Arial"/>
          <w:sz w:val="22"/>
          <w:szCs w:val="22"/>
        </w:rPr>
        <w:t>s its individuals</w:t>
      </w:r>
      <w:r w:rsidR="00EC6FFC" w:rsidRPr="00846C4C">
        <w:rPr>
          <w:rFonts w:ascii="Arial" w:hAnsi="Arial" w:cs="Arial"/>
          <w:sz w:val="22"/>
          <w:szCs w:val="22"/>
        </w:rPr>
        <w:t xml:space="preserve"> to</w:t>
      </w:r>
      <w:r w:rsidRPr="00846C4C">
        <w:rPr>
          <w:rFonts w:ascii="Arial" w:hAnsi="Arial" w:cs="Arial"/>
          <w:sz w:val="22"/>
          <w:szCs w:val="22"/>
        </w:rPr>
        <w:t xml:space="preserve"> multicultural people while overcoming the challenges presented by cultural diversity</w:t>
      </w:r>
      <w:r w:rsidR="006C3F8C" w:rsidRPr="00846C4C">
        <w:rPr>
          <w:rFonts w:ascii="Arial" w:hAnsi="Arial" w:cs="Arial"/>
          <w:sz w:val="22"/>
          <w:szCs w:val="22"/>
        </w:rPr>
        <w:t xml:space="preserve"> while operating in the host country</w:t>
      </w:r>
      <w:r w:rsidRPr="00846C4C">
        <w:rPr>
          <w:rFonts w:ascii="Arial" w:hAnsi="Arial" w:cs="Arial"/>
          <w:sz w:val="22"/>
          <w:szCs w:val="22"/>
        </w:rPr>
        <w:t>.</w:t>
      </w:r>
      <w:r w:rsidR="00EC6FFC" w:rsidRPr="00846C4C">
        <w:rPr>
          <w:rFonts w:ascii="Arial" w:hAnsi="Arial" w:cs="Arial"/>
          <w:sz w:val="22"/>
          <w:szCs w:val="22"/>
        </w:rPr>
        <w:t xml:space="preserve"> While AstraZeneca </w:t>
      </w:r>
      <w:r w:rsidR="00A06B58" w:rsidRPr="00846C4C">
        <w:rPr>
          <w:rFonts w:ascii="Arial" w:hAnsi="Arial" w:cs="Arial"/>
          <w:sz w:val="22"/>
          <w:szCs w:val="22"/>
        </w:rPr>
        <w:t xml:space="preserve">knows that this approach is right </w:t>
      </w:r>
      <w:r w:rsidR="003E0AC3" w:rsidRPr="00846C4C">
        <w:rPr>
          <w:rFonts w:ascii="Arial" w:hAnsi="Arial" w:cs="Arial"/>
          <w:sz w:val="22"/>
          <w:szCs w:val="22"/>
        </w:rPr>
        <w:t>it needs to</w:t>
      </w:r>
      <w:r w:rsidRPr="00846C4C">
        <w:rPr>
          <w:rFonts w:ascii="Arial" w:hAnsi="Arial" w:cs="Arial"/>
          <w:sz w:val="22"/>
          <w:szCs w:val="22"/>
        </w:rPr>
        <w:t xml:space="preserve"> develop multiskilling as a core competency and applying it to every department</w:t>
      </w:r>
      <w:r w:rsidR="00CC3780" w:rsidRPr="00846C4C">
        <w:rPr>
          <w:rFonts w:ascii="Arial" w:hAnsi="Arial" w:cs="Arial"/>
          <w:sz w:val="22"/>
          <w:szCs w:val="22"/>
        </w:rPr>
        <w:t xml:space="preserve"> worldwide</w:t>
      </w:r>
      <w:r w:rsidR="00EA2927" w:rsidRPr="00846C4C">
        <w:rPr>
          <w:rFonts w:ascii="Arial" w:hAnsi="Arial" w:cs="Arial"/>
          <w:sz w:val="22"/>
          <w:szCs w:val="22"/>
        </w:rPr>
        <w:t xml:space="preserve"> for the better approach of </w:t>
      </w:r>
      <w:r w:rsidR="00B9357B" w:rsidRPr="00846C4C">
        <w:rPr>
          <w:rFonts w:ascii="Arial" w:hAnsi="Arial" w:cs="Arial"/>
          <w:sz w:val="22"/>
          <w:szCs w:val="22"/>
        </w:rPr>
        <w:t>internationalization.</w:t>
      </w:r>
      <w:r w:rsidR="00EA2927" w:rsidRPr="00846C4C">
        <w:rPr>
          <w:rFonts w:ascii="Arial" w:hAnsi="Arial" w:cs="Arial"/>
          <w:sz w:val="22"/>
          <w:szCs w:val="22"/>
        </w:rPr>
        <w:t xml:space="preserve"> </w:t>
      </w:r>
    </w:p>
    <w:p w14:paraId="375EA4E9" w14:textId="0F59D079" w:rsidR="0070164D" w:rsidRPr="00846C4C" w:rsidRDefault="00F266DA" w:rsidP="000600CD">
      <w:pPr>
        <w:pStyle w:val="Heading2"/>
        <w:spacing w:line="360" w:lineRule="auto"/>
        <w:rPr>
          <w:rFonts w:ascii="Arial" w:hAnsi="Arial" w:cs="Arial"/>
          <w:color w:val="auto"/>
          <w:sz w:val="22"/>
          <w:szCs w:val="22"/>
        </w:rPr>
      </w:pPr>
      <w:bookmarkStart w:id="32" w:name="_Toc151055280"/>
      <w:r w:rsidRPr="00846C4C">
        <w:rPr>
          <w:rFonts w:ascii="Arial" w:hAnsi="Arial" w:cs="Arial"/>
          <w:color w:val="auto"/>
          <w:sz w:val="22"/>
          <w:szCs w:val="22"/>
        </w:rPr>
        <w:t>5</w:t>
      </w:r>
      <w:r w:rsidR="0070272A" w:rsidRPr="00846C4C">
        <w:rPr>
          <w:rFonts w:ascii="Arial" w:hAnsi="Arial" w:cs="Arial"/>
          <w:color w:val="auto"/>
          <w:sz w:val="22"/>
          <w:szCs w:val="22"/>
        </w:rPr>
        <w:t xml:space="preserve">.1 </w:t>
      </w:r>
      <w:r w:rsidR="00555CE7" w:rsidRPr="00846C4C">
        <w:rPr>
          <w:rFonts w:ascii="Arial" w:hAnsi="Arial" w:cs="Arial"/>
          <w:color w:val="auto"/>
          <w:sz w:val="22"/>
          <w:szCs w:val="22"/>
        </w:rPr>
        <w:t>The Factors That Influence AstraZeneca Geocentric Strategic Decision-Making:</w:t>
      </w:r>
      <w:bookmarkEnd w:id="32"/>
    </w:p>
    <w:p w14:paraId="719304A2" w14:textId="77777777" w:rsidR="00193594" w:rsidRDefault="00F95F7C"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As Eriksson (2008) puts it</w:t>
      </w:r>
      <w:r w:rsidR="004118B5" w:rsidRPr="00846C4C">
        <w:rPr>
          <w:rFonts w:ascii="Arial" w:hAnsi="Arial" w:cs="Arial"/>
          <w:sz w:val="22"/>
          <w:szCs w:val="22"/>
        </w:rPr>
        <w:t xml:space="preserve"> </w:t>
      </w:r>
      <w:r w:rsidRPr="00846C4C">
        <w:rPr>
          <w:rFonts w:ascii="Arial" w:hAnsi="Arial" w:cs="Arial"/>
          <w:sz w:val="22"/>
          <w:szCs w:val="22"/>
        </w:rPr>
        <w:t>a</w:t>
      </w:r>
      <w:r w:rsidR="009632C7" w:rsidRPr="00846C4C">
        <w:rPr>
          <w:rFonts w:ascii="Arial" w:hAnsi="Arial" w:cs="Arial"/>
          <w:sz w:val="22"/>
          <w:szCs w:val="22"/>
        </w:rPr>
        <w:t xml:space="preserve">fter </w:t>
      </w:r>
      <w:r w:rsidRPr="00846C4C">
        <w:rPr>
          <w:rFonts w:ascii="Arial" w:hAnsi="Arial" w:cs="Arial"/>
          <w:sz w:val="22"/>
          <w:szCs w:val="22"/>
        </w:rPr>
        <w:t xml:space="preserve">AZ </w:t>
      </w:r>
      <w:r w:rsidR="009632C7" w:rsidRPr="00846C4C">
        <w:rPr>
          <w:rFonts w:ascii="Arial" w:hAnsi="Arial" w:cs="Arial"/>
          <w:sz w:val="22"/>
          <w:szCs w:val="22"/>
        </w:rPr>
        <w:t>b</w:t>
      </w:r>
      <w:r w:rsidR="00D65ED3" w:rsidRPr="00846C4C">
        <w:rPr>
          <w:rFonts w:ascii="Arial" w:hAnsi="Arial" w:cs="Arial"/>
          <w:sz w:val="22"/>
          <w:szCs w:val="22"/>
        </w:rPr>
        <w:t xml:space="preserve">rought </w:t>
      </w:r>
      <w:r w:rsidR="009632C7" w:rsidRPr="00846C4C">
        <w:rPr>
          <w:rFonts w:ascii="Arial" w:hAnsi="Arial" w:cs="Arial"/>
          <w:sz w:val="22"/>
          <w:szCs w:val="22"/>
        </w:rPr>
        <w:t xml:space="preserve"> the company, AstraZeneca built a pharmaceutical production facility in Sweden. Although AZ is a professional customer that frequently buys construction projects, the frequency of this sort of intricate job is limited since it is uncommon.</w:t>
      </w:r>
      <w:r w:rsidR="0055473A" w:rsidRPr="00846C4C">
        <w:rPr>
          <w:rFonts w:ascii="Arial" w:hAnsi="Arial" w:cs="Arial"/>
          <w:sz w:val="22"/>
          <w:szCs w:val="22"/>
        </w:rPr>
        <w:t xml:space="preserve"> AZ intended to invite just those contractors who may be seen to be most appropriate for managing such a complicated project with a collaborative approach, thus </w:t>
      </w:r>
      <w:r w:rsidR="00425BB6" w:rsidRPr="00846C4C">
        <w:rPr>
          <w:rFonts w:ascii="Arial" w:hAnsi="Arial" w:cs="Arial"/>
          <w:sz w:val="22"/>
          <w:szCs w:val="22"/>
        </w:rPr>
        <w:t xml:space="preserve">AstraZeneca </w:t>
      </w:r>
      <w:r w:rsidR="0055473A" w:rsidRPr="00846C4C">
        <w:rPr>
          <w:rFonts w:ascii="Arial" w:hAnsi="Arial" w:cs="Arial"/>
          <w:sz w:val="22"/>
          <w:szCs w:val="22"/>
        </w:rPr>
        <w:t>decided against using an open bid</w:t>
      </w:r>
      <w:r w:rsidR="009A56A8" w:rsidRPr="00846C4C">
        <w:rPr>
          <w:rFonts w:ascii="Arial" w:hAnsi="Arial" w:cs="Arial"/>
          <w:sz w:val="22"/>
          <w:szCs w:val="22"/>
        </w:rPr>
        <w:t>.</w:t>
      </w:r>
      <w:r w:rsidR="00BD757F" w:rsidRPr="00846C4C">
        <w:rPr>
          <w:rFonts w:ascii="Arial" w:hAnsi="Arial" w:cs="Arial"/>
          <w:sz w:val="22"/>
          <w:szCs w:val="22"/>
        </w:rPr>
        <w:t xml:space="preserve"> The invitation to a restricted bid suggests that social control and collaboration are valued more highly than rivalry. However, AZ wanted to get some competition and also maintain the marketplace and interested in AZ as a significant construction customer, which is why AZ opted not to negotiate directly with the chosen MC, with whom AZ has a long-term relationship.</w:t>
      </w:r>
      <w:r w:rsidR="009A56A8" w:rsidRPr="00846C4C">
        <w:rPr>
          <w:rFonts w:ascii="Arial" w:hAnsi="Arial" w:cs="Arial"/>
          <w:sz w:val="22"/>
          <w:szCs w:val="22"/>
        </w:rPr>
        <w:t xml:space="preserve"> </w:t>
      </w:r>
      <w:r w:rsidR="00A6170E" w:rsidRPr="00846C4C">
        <w:rPr>
          <w:rFonts w:ascii="Arial" w:hAnsi="Arial" w:cs="Arial"/>
          <w:sz w:val="22"/>
          <w:szCs w:val="22"/>
        </w:rPr>
        <w:t>As pointed out by Morgan </w:t>
      </w:r>
      <w:r w:rsidR="006C7790" w:rsidRPr="00846C4C">
        <w:rPr>
          <w:rFonts w:ascii="Arial" w:hAnsi="Arial" w:cs="Arial"/>
          <w:sz w:val="22"/>
          <w:szCs w:val="22"/>
        </w:rPr>
        <w:t>et</w:t>
      </w:r>
      <w:r w:rsidR="008D39EF" w:rsidRPr="00846C4C">
        <w:rPr>
          <w:rFonts w:ascii="Arial" w:hAnsi="Arial" w:cs="Arial"/>
          <w:sz w:val="22"/>
          <w:szCs w:val="22"/>
        </w:rPr>
        <w:t xml:space="preserve"> al</w:t>
      </w:r>
      <w:r w:rsidR="006C7790" w:rsidRPr="00846C4C">
        <w:rPr>
          <w:rFonts w:ascii="Arial" w:hAnsi="Arial" w:cs="Arial"/>
          <w:sz w:val="22"/>
          <w:szCs w:val="22"/>
        </w:rPr>
        <w:t xml:space="preserve">, </w:t>
      </w:r>
      <w:r w:rsidR="00A6170E" w:rsidRPr="00846C4C">
        <w:rPr>
          <w:rFonts w:ascii="Arial" w:hAnsi="Arial" w:cs="Arial"/>
          <w:sz w:val="22"/>
          <w:szCs w:val="22"/>
        </w:rPr>
        <w:t xml:space="preserve">(2018) </w:t>
      </w:r>
      <w:r w:rsidR="0004279F" w:rsidRPr="00846C4C">
        <w:rPr>
          <w:rFonts w:ascii="Arial" w:hAnsi="Arial" w:cs="Arial"/>
          <w:sz w:val="22"/>
          <w:szCs w:val="22"/>
        </w:rPr>
        <w:t xml:space="preserve">AstraZeneca redesigned the company's research and development (R&amp;D) tactics in the year 2011, in an attempt to increase efficiency, that lagged behind standards set by the industry. </w:t>
      </w:r>
      <w:r w:rsidR="0057444E" w:rsidRPr="00846C4C">
        <w:rPr>
          <w:rFonts w:ascii="Arial" w:hAnsi="Arial" w:cs="Arial"/>
          <w:sz w:val="22"/>
          <w:szCs w:val="22"/>
        </w:rPr>
        <w:t>F</w:t>
      </w:r>
      <w:r w:rsidR="0004279F" w:rsidRPr="00846C4C">
        <w:rPr>
          <w:rFonts w:ascii="Arial" w:hAnsi="Arial" w:cs="Arial"/>
          <w:sz w:val="22"/>
          <w:szCs w:val="22"/>
        </w:rPr>
        <w:t xml:space="preserve">rom the year 2005 until the year 2010. </w:t>
      </w:r>
    </w:p>
    <w:p w14:paraId="2AF8BD09" w14:textId="6523E809" w:rsidR="00193594" w:rsidRDefault="00193594"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6.0 V</w:t>
      </w:r>
      <w:r>
        <w:rPr>
          <w:rFonts w:ascii="Arial" w:hAnsi="Arial" w:cs="Arial"/>
          <w:sz w:val="22"/>
          <w:szCs w:val="22"/>
        </w:rPr>
        <w:t>UCA</w:t>
      </w:r>
      <w:r w:rsidRPr="00846C4C">
        <w:rPr>
          <w:rFonts w:ascii="Arial" w:hAnsi="Arial" w:cs="Arial"/>
          <w:sz w:val="22"/>
          <w:szCs w:val="22"/>
        </w:rPr>
        <w:t xml:space="preserve"> Analysis: </w:t>
      </w:r>
    </w:p>
    <w:p w14:paraId="04A9A4D1" w14:textId="136FE27D" w:rsidR="00193594" w:rsidRDefault="00193594"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 xml:space="preserve">6.1.1 AstraZeneca Decision-Making Process </w:t>
      </w:r>
      <w:r>
        <w:rPr>
          <w:rFonts w:ascii="Arial" w:hAnsi="Arial" w:cs="Arial"/>
          <w:sz w:val="22"/>
          <w:szCs w:val="22"/>
        </w:rPr>
        <w:t>a</w:t>
      </w:r>
      <w:r w:rsidRPr="00846C4C">
        <w:rPr>
          <w:rFonts w:ascii="Arial" w:hAnsi="Arial" w:cs="Arial"/>
          <w:sz w:val="22"/>
          <w:szCs w:val="22"/>
        </w:rPr>
        <w:t>nd Its Foreign Subsidiaries:</w:t>
      </w:r>
    </w:p>
    <w:p w14:paraId="043B95C1" w14:textId="38F5E072" w:rsidR="00DA7B59" w:rsidRPr="00846C4C" w:rsidRDefault="00193594"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6.1.2 Volatility:</w:t>
      </w:r>
    </w:p>
    <w:p w14:paraId="54D50925" w14:textId="29E26715" w:rsidR="008C2711" w:rsidRPr="00846C4C" w:rsidRDefault="00806772"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Since COVID-19, the unexpected and the uncertainty surrounding the length of any pandemic's lifespan. Similar to earlier times, when information and medications were readily available, understanding COVID-19 was difficult due to a lack of expertise, which had an effect on AstraZeneca.</w:t>
      </w:r>
      <w:r w:rsidR="00DB41D1" w:rsidRPr="00846C4C">
        <w:rPr>
          <w:rFonts w:ascii="Arial" w:hAnsi="Arial" w:cs="Arial"/>
          <w:sz w:val="22"/>
          <w:szCs w:val="22"/>
        </w:rPr>
        <w:t xml:space="preserve"> </w:t>
      </w:r>
    </w:p>
    <w:p w14:paraId="54F7F67B" w14:textId="7BF72F0D" w:rsidR="00806772" w:rsidRPr="00846C4C" w:rsidRDefault="00AF1145"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With its emphasis on co-evolution, dynamics, and interconnections, such a business ecosystem can offer a framework for new supply chain transformation. If the bounds of innovation are further expanded, the ecosystems perspective may be extended to open innovation.</w:t>
      </w:r>
    </w:p>
    <w:p w14:paraId="6D6C44C5" w14:textId="77777777" w:rsidR="00F05933" w:rsidRPr="00846C4C" w:rsidRDefault="00A5494B"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Example</w:t>
      </w:r>
      <w:r w:rsidR="00F05933" w:rsidRPr="00846C4C">
        <w:rPr>
          <w:rFonts w:ascii="Arial" w:hAnsi="Arial" w:cs="Arial"/>
          <w:sz w:val="22"/>
          <w:szCs w:val="22"/>
        </w:rPr>
        <w:t>:</w:t>
      </w:r>
    </w:p>
    <w:p w14:paraId="5D9D98E3" w14:textId="04EC0444" w:rsidR="002D6C99" w:rsidRPr="00846C4C" w:rsidRDefault="002D6C99"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lastRenderedPageBreak/>
        <w:t>According to Liu, Shi, and Yang</w:t>
      </w:r>
      <w:r w:rsidR="00873C5E" w:rsidRPr="00846C4C">
        <w:rPr>
          <w:rFonts w:ascii="Arial" w:hAnsi="Arial" w:cs="Arial"/>
          <w:sz w:val="22"/>
          <w:szCs w:val="22"/>
        </w:rPr>
        <w:t>,</w:t>
      </w:r>
      <w:r w:rsidRPr="00846C4C">
        <w:rPr>
          <w:rFonts w:ascii="Arial" w:hAnsi="Arial" w:cs="Arial"/>
          <w:sz w:val="22"/>
          <w:szCs w:val="22"/>
        </w:rPr>
        <w:t xml:space="preserve"> (2022), some medical research studies look at innovation across broader industries, while others emphasise reverse innovation, quick and inexpensive creation, and crowdsourcing using empirical data. </w:t>
      </w:r>
      <w:r w:rsidR="0044669F" w:rsidRPr="00846C4C">
        <w:rPr>
          <w:rFonts w:ascii="Arial" w:hAnsi="Arial" w:cs="Arial"/>
          <w:sz w:val="22"/>
          <w:szCs w:val="22"/>
        </w:rPr>
        <w:t xml:space="preserve">This quick innovation </w:t>
      </w:r>
      <w:r w:rsidR="0032450E" w:rsidRPr="00846C4C">
        <w:rPr>
          <w:rFonts w:ascii="Arial" w:hAnsi="Arial" w:cs="Arial"/>
          <w:sz w:val="22"/>
          <w:szCs w:val="22"/>
        </w:rPr>
        <w:t>made it possible for A</w:t>
      </w:r>
      <w:r w:rsidR="009D0AA1" w:rsidRPr="00846C4C">
        <w:rPr>
          <w:rFonts w:ascii="Arial" w:hAnsi="Arial" w:cs="Arial"/>
          <w:sz w:val="22"/>
          <w:szCs w:val="22"/>
        </w:rPr>
        <w:t>stra</w:t>
      </w:r>
      <w:r w:rsidR="0032450E" w:rsidRPr="00846C4C">
        <w:rPr>
          <w:rFonts w:ascii="Arial" w:hAnsi="Arial" w:cs="Arial"/>
          <w:sz w:val="22"/>
          <w:szCs w:val="22"/>
        </w:rPr>
        <w:t>Z</w:t>
      </w:r>
      <w:r w:rsidR="009D0AA1" w:rsidRPr="00846C4C">
        <w:rPr>
          <w:rFonts w:ascii="Arial" w:hAnsi="Arial" w:cs="Arial"/>
          <w:sz w:val="22"/>
          <w:szCs w:val="22"/>
        </w:rPr>
        <w:t>eneca</w:t>
      </w:r>
      <w:r w:rsidR="009B14F8" w:rsidRPr="00846C4C">
        <w:rPr>
          <w:rFonts w:ascii="Arial" w:hAnsi="Arial" w:cs="Arial"/>
          <w:sz w:val="22"/>
          <w:szCs w:val="22"/>
        </w:rPr>
        <w:t xml:space="preserve"> </w:t>
      </w:r>
      <w:r w:rsidR="0032450E" w:rsidRPr="00846C4C">
        <w:rPr>
          <w:rFonts w:ascii="Arial" w:hAnsi="Arial" w:cs="Arial"/>
          <w:sz w:val="22"/>
          <w:szCs w:val="22"/>
        </w:rPr>
        <w:t xml:space="preserve">to </w:t>
      </w:r>
      <w:r w:rsidR="0095651E" w:rsidRPr="00846C4C">
        <w:rPr>
          <w:rFonts w:ascii="Arial" w:hAnsi="Arial" w:cs="Arial"/>
          <w:sz w:val="22"/>
          <w:szCs w:val="22"/>
        </w:rPr>
        <w:t xml:space="preserve">develop </w:t>
      </w:r>
      <w:r w:rsidR="006A367D" w:rsidRPr="00846C4C">
        <w:rPr>
          <w:rFonts w:ascii="Arial" w:hAnsi="Arial" w:cs="Arial"/>
          <w:sz w:val="22"/>
          <w:szCs w:val="22"/>
        </w:rPr>
        <w:t>groundbreaking</w:t>
      </w:r>
      <w:r w:rsidR="0095651E" w:rsidRPr="00846C4C">
        <w:rPr>
          <w:rFonts w:ascii="Arial" w:hAnsi="Arial" w:cs="Arial"/>
          <w:sz w:val="22"/>
          <w:szCs w:val="22"/>
        </w:rPr>
        <w:t xml:space="preserve"> </w:t>
      </w:r>
      <w:r w:rsidR="0070263E" w:rsidRPr="00846C4C">
        <w:rPr>
          <w:rFonts w:ascii="Arial" w:hAnsi="Arial" w:cs="Arial"/>
          <w:sz w:val="22"/>
          <w:szCs w:val="22"/>
        </w:rPr>
        <w:t>vaccines</w:t>
      </w:r>
      <w:r w:rsidR="00C9554E" w:rsidRPr="00846C4C">
        <w:rPr>
          <w:rFonts w:ascii="Arial" w:hAnsi="Arial" w:cs="Arial"/>
          <w:sz w:val="22"/>
          <w:szCs w:val="22"/>
        </w:rPr>
        <w:t xml:space="preserve"> in a quick</w:t>
      </w:r>
      <w:r w:rsidR="00642F46" w:rsidRPr="00846C4C">
        <w:rPr>
          <w:rFonts w:ascii="Arial" w:hAnsi="Arial" w:cs="Arial"/>
          <w:sz w:val="22"/>
          <w:szCs w:val="22"/>
        </w:rPr>
        <w:t xml:space="preserve">, inexpensive </w:t>
      </w:r>
      <w:r w:rsidR="0050306D" w:rsidRPr="00846C4C">
        <w:rPr>
          <w:rFonts w:ascii="Arial" w:hAnsi="Arial" w:cs="Arial"/>
          <w:sz w:val="22"/>
          <w:szCs w:val="22"/>
        </w:rPr>
        <w:t>way</w:t>
      </w:r>
      <w:r w:rsidR="0070263E" w:rsidRPr="00846C4C">
        <w:rPr>
          <w:rFonts w:ascii="Arial" w:hAnsi="Arial" w:cs="Arial"/>
          <w:sz w:val="22"/>
          <w:szCs w:val="22"/>
        </w:rPr>
        <w:t xml:space="preserve"> </w:t>
      </w:r>
      <w:r w:rsidR="00D62BCB" w:rsidRPr="00846C4C">
        <w:rPr>
          <w:rFonts w:ascii="Arial" w:hAnsi="Arial" w:cs="Arial"/>
          <w:sz w:val="22"/>
          <w:szCs w:val="22"/>
        </w:rPr>
        <w:t>for g</w:t>
      </w:r>
      <w:r w:rsidRPr="00846C4C">
        <w:rPr>
          <w:rFonts w:ascii="Arial" w:hAnsi="Arial" w:cs="Arial"/>
          <w:sz w:val="22"/>
          <w:szCs w:val="22"/>
        </w:rPr>
        <w:t>lobal demand for AstraZeneca's COVID-19 medication existed both during and after the epidemic.</w:t>
      </w:r>
    </w:p>
    <w:p w14:paraId="64D3FFFD" w14:textId="7BB28346" w:rsidR="00CC32B9" w:rsidRPr="00846C4C" w:rsidRDefault="0057454C"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Approach:</w:t>
      </w:r>
    </w:p>
    <w:p w14:paraId="2CEAF53E" w14:textId="08E0236C" w:rsidR="0038544A" w:rsidRPr="00846C4C" w:rsidRDefault="00173EB5"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AstraZeneca</w:t>
      </w:r>
      <w:r w:rsidR="007F0A6F" w:rsidRPr="00846C4C">
        <w:rPr>
          <w:rFonts w:ascii="Arial" w:hAnsi="Arial" w:cs="Arial"/>
          <w:sz w:val="22"/>
          <w:szCs w:val="22"/>
        </w:rPr>
        <w:t xml:space="preserve"> </w:t>
      </w:r>
      <w:r w:rsidRPr="00846C4C">
        <w:rPr>
          <w:rFonts w:ascii="Arial" w:hAnsi="Arial" w:cs="Arial"/>
          <w:sz w:val="22"/>
          <w:szCs w:val="22"/>
        </w:rPr>
        <w:t>f</w:t>
      </w:r>
      <w:r w:rsidR="007F0A6F" w:rsidRPr="00846C4C">
        <w:rPr>
          <w:rFonts w:ascii="Arial" w:hAnsi="Arial" w:cs="Arial"/>
          <w:sz w:val="22"/>
          <w:szCs w:val="22"/>
        </w:rPr>
        <w:t>ormal cooperation and integrated techniques can take the shape of partnership agreements, consortia, and cross-industry partnerships, whereas unofficial approaches to open innovation include crowdsourcing.</w:t>
      </w:r>
      <w:r w:rsidR="00C34300" w:rsidRPr="00846C4C">
        <w:rPr>
          <w:rFonts w:ascii="Arial" w:hAnsi="Arial" w:cs="Arial"/>
          <w:sz w:val="22"/>
          <w:szCs w:val="22"/>
        </w:rPr>
        <w:t xml:space="preserve"> </w:t>
      </w:r>
      <w:r w:rsidR="00307641" w:rsidRPr="00846C4C">
        <w:rPr>
          <w:rFonts w:ascii="Arial" w:hAnsi="Arial" w:cs="Arial"/>
          <w:sz w:val="22"/>
          <w:szCs w:val="22"/>
        </w:rPr>
        <w:t>W</w:t>
      </w:r>
      <w:r w:rsidRPr="00846C4C">
        <w:rPr>
          <w:rFonts w:ascii="Arial" w:hAnsi="Arial" w:cs="Arial"/>
          <w:sz w:val="22"/>
          <w:szCs w:val="22"/>
        </w:rPr>
        <w:t>ith</w:t>
      </w:r>
      <w:r w:rsidR="00307641" w:rsidRPr="00846C4C">
        <w:rPr>
          <w:rFonts w:ascii="Arial" w:hAnsi="Arial" w:cs="Arial"/>
          <w:sz w:val="22"/>
          <w:szCs w:val="22"/>
        </w:rPr>
        <w:t xml:space="preserve"> this approach </w:t>
      </w:r>
      <w:r w:rsidR="00515A80" w:rsidRPr="00846C4C">
        <w:rPr>
          <w:rFonts w:ascii="Arial" w:hAnsi="Arial" w:cs="Arial"/>
          <w:sz w:val="22"/>
          <w:szCs w:val="22"/>
        </w:rPr>
        <w:t xml:space="preserve">AstraZeneca </w:t>
      </w:r>
      <w:r w:rsidR="00307641" w:rsidRPr="00846C4C">
        <w:rPr>
          <w:rFonts w:ascii="Arial" w:hAnsi="Arial" w:cs="Arial"/>
          <w:sz w:val="22"/>
          <w:szCs w:val="22"/>
        </w:rPr>
        <w:t xml:space="preserve">was </w:t>
      </w:r>
      <w:r w:rsidR="00022FA1" w:rsidRPr="00846C4C">
        <w:rPr>
          <w:rFonts w:ascii="Arial" w:hAnsi="Arial" w:cs="Arial"/>
          <w:sz w:val="22"/>
          <w:szCs w:val="22"/>
        </w:rPr>
        <w:t xml:space="preserve">able </w:t>
      </w:r>
      <w:r w:rsidR="00515A80" w:rsidRPr="00846C4C">
        <w:rPr>
          <w:rFonts w:ascii="Arial" w:hAnsi="Arial" w:cs="Arial"/>
          <w:sz w:val="22"/>
          <w:szCs w:val="22"/>
        </w:rPr>
        <w:t>to research</w:t>
      </w:r>
      <w:r w:rsidR="00022FA1" w:rsidRPr="00846C4C">
        <w:rPr>
          <w:rFonts w:ascii="Arial" w:hAnsi="Arial" w:cs="Arial"/>
          <w:sz w:val="22"/>
          <w:szCs w:val="22"/>
        </w:rPr>
        <w:t xml:space="preserve"> and </w:t>
      </w:r>
      <w:r w:rsidR="0051437A" w:rsidRPr="00846C4C">
        <w:rPr>
          <w:rFonts w:ascii="Arial" w:hAnsi="Arial" w:cs="Arial"/>
          <w:sz w:val="22"/>
          <w:szCs w:val="22"/>
        </w:rPr>
        <w:t>to develop a</w:t>
      </w:r>
      <w:r w:rsidR="004358E8" w:rsidRPr="00846C4C">
        <w:rPr>
          <w:rFonts w:ascii="Arial" w:hAnsi="Arial" w:cs="Arial"/>
          <w:sz w:val="22"/>
          <w:szCs w:val="22"/>
        </w:rPr>
        <w:t xml:space="preserve"> </w:t>
      </w:r>
      <w:r w:rsidR="0051437A" w:rsidRPr="00846C4C">
        <w:rPr>
          <w:rFonts w:ascii="Arial" w:hAnsi="Arial" w:cs="Arial"/>
          <w:sz w:val="22"/>
          <w:szCs w:val="22"/>
        </w:rPr>
        <w:t xml:space="preserve">medicine </w:t>
      </w:r>
      <w:r w:rsidR="00B16717" w:rsidRPr="00846C4C">
        <w:rPr>
          <w:rFonts w:ascii="Arial" w:hAnsi="Arial" w:cs="Arial"/>
          <w:sz w:val="22"/>
          <w:szCs w:val="22"/>
        </w:rPr>
        <w:t>to treat t</w:t>
      </w:r>
      <w:r w:rsidR="00022FA1" w:rsidRPr="00846C4C">
        <w:rPr>
          <w:rFonts w:ascii="Arial" w:hAnsi="Arial" w:cs="Arial"/>
          <w:sz w:val="22"/>
          <w:szCs w:val="22"/>
        </w:rPr>
        <w:t xml:space="preserve">he </w:t>
      </w:r>
      <w:r w:rsidR="00CB226F" w:rsidRPr="00846C4C">
        <w:rPr>
          <w:rFonts w:ascii="Arial" w:hAnsi="Arial" w:cs="Arial"/>
          <w:sz w:val="22"/>
          <w:szCs w:val="22"/>
        </w:rPr>
        <w:t>world</w:t>
      </w:r>
      <w:r w:rsidR="00214F6E" w:rsidRPr="00846C4C">
        <w:rPr>
          <w:rFonts w:ascii="Arial" w:hAnsi="Arial" w:cs="Arial"/>
          <w:sz w:val="22"/>
          <w:szCs w:val="22"/>
        </w:rPr>
        <w:t xml:space="preserve"> for COVID-19</w:t>
      </w:r>
      <w:r w:rsidR="00DA6F49" w:rsidRPr="00846C4C">
        <w:rPr>
          <w:rFonts w:ascii="Arial" w:hAnsi="Arial" w:cs="Arial"/>
          <w:sz w:val="22"/>
          <w:szCs w:val="22"/>
        </w:rPr>
        <w:t xml:space="preserve"> Liu, Shi, and Yang</w:t>
      </w:r>
      <w:r w:rsidR="00873C5E" w:rsidRPr="00846C4C">
        <w:rPr>
          <w:rFonts w:ascii="Arial" w:hAnsi="Arial" w:cs="Arial"/>
          <w:sz w:val="22"/>
          <w:szCs w:val="22"/>
        </w:rPr>
        <w:t>,</w:t>
      </w:r>
      <w:r w:rsidR="00DA6F49" w:rsidRPr="00846C4C">
        <w:rPr>
          <w:rFonts w:ascii="Arial" w:hAnsi="Arial" w:cs="Arial"/>
          <w:sz w:val="22"/>
          <w:szCs w:val="22"/>
        </w:rPr>
        <w:t xml:space="preserve"> (2022</w:t>
      </w:r>
      <w:r w:rsidR="00873C5E" w:rsidRPr="00846C4C">
        <w:rPr>
          <w:rFonts w:ascii="Arial" w:hAnsi="Arial" w:cs="Arial"/>
          <w:sz w:val="22"/>
          <w:szCs w:val="22"/>
        </w:rPr>
        <w:t>).</w:t>
      </w:r>
    </w:p>
    <w:p w14:paraId="14D008FF" w14:textId="1AA4160D" w:rsidR="00DA7B59" w:rsidRPr="00846C4C" w:rsidRDefault="00FF1E84" w:rsidP="00193594">
      <w:pPr>
        <w:pStyle w:val="Heading3"/>
        <w:spacing w:line="360" w:lineRule="auto"/>
        <w:rPr>
          <w:rFonts w:ascii="Arial" w:hAnsi="Arial" w:cs="Arial"/>
          <w:color w:val="auto"/>
          <w:sz w:val="22"/>
          <w:szCs w:val="22"/>
        </w:rPr>
      </w:pPr>
      <w:bookmarkStart w:id="33" w:name="_Toc151055281"/>
      <w:r w:rsidRPr="00846C4C">
        <w:rPr>
          <w:rFonts w:ascii="Arial" w:hAnsi="Arial" w:cs="Arial"/>
          <w:color w:val="auto"/>
          <w:sz w:val="22"/>
          <w:szCs w:val="22"/>
        </w:rPr>
        <w:t>6</w:t>
      </w:r>
      <w:r w:rsidR="00DA7B59" w:rsidRPr="00846C4C">
        <w:rPr>
          <w:rFonts w:ascii="Arial" w:hAnsi="Arial" w:cs="Arial"/>
          <w:color w:val="auto"/>
          <w:sz w:val="22"/>
          <w:szCs w:val="22"/>
        </w:rPr>
        <w:t>.1.</w:t>
      </w:r>
      <w:r w:rsidR="0057454C" w:rsidRPr="00846C4C">
        <w:rPr>
          <w:rFonts w:ascii="Arial" w:hAnsi="Arial" w:cs="Arial"/>
          <w:color w:val="auto"/>
          <w:sz w:val="22"/>
          <w:szCs w:val="22"/>
        </w:rPr>
        <w:t>3 Uncertainty:</w:t>
      </w:r>
      <w:bookmarkEnd w:id="33"/>
    </w:p>
    <w:p w14:paraId="450954ED" w14:textId="63C37E76" w:rsidR="00F379D5" w:rsidRPr="00846C4C" w:rsidRDefault="00DA6F49"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Liu, Shi, and Yang</w:t>
      </w:r>
      <w:r w:rsidR="00873C5E" w:rsidRPr="00846C4C">
        <w:rPr>
          <w:rFonts w:ascii="Arial" w:hAnsi="Arial" w:cs="Arial"/>
          <w:sz w:val="22"/>
          <w:szCs w:val="22"/>
        </w:rPr>
        <w:t>,</w:t>
      </w:r>
      <w:r w:rsidRPr="00846C4C">
        <w:rPr>
          <w:rFonts w:ascii="Arial" w:hAnsi="Arial" w:cs="Arial"/>
          <w:sz w:val="22"/>
          <w:szCs w:val="22"/>
        </w:rPr>
        <w:t xml:space="preserve"> (2022), </w:t>
      </w:r>
      <w:r w:rsidR="00873C5E" w:rsidRPr="00846C4C">
        <w:rPr>
          <w:rFonts w:ascii="Arial" w:hAnsi="Arial" w:cs="Arial"/>
          <w:sz w:val="22"/>
          <w:szCs w:val="22"/>
        </w:rPr>
        <w:t>state i</w:t>
      </w:r>
      <w:r w:rsidR="00D26AA4" w:rsidRPr="00846C4C">
        <w:rPr>
          <w:rFonts w:ascii="Arial" w:hAnsi="Arial" w:cs="Arial"/>
          <w:sz w:val="22"/>
          <w:szCs w:val="22"/>
        </w:rPr>
        <w:t>n the VUCA paradigm, evolution and changes confronted with significant external uncertainty, as the COVID-19 epidemic, may be better understood via the lens of ecosystem theory.</w:t>
      </w:r>
      <w:r w:rsidR="00854D10" w:rsidRPr="00846C4C">
        <w:rPr>
          <w:rFonts w:ascii="Arial" w:hAnsi="Arial" w:cs="Arial"/>
          <w:sz w:val="22"/>
          <w:szCs w:val="22"/>
        </w:rPr>
        <w:t xml:space="preserve"> </w:t>
      </w:r>
      <w:r w:rsidR="00EC0C83" w:rsidRPr="00846C4C">
        <w:rPr>
          <w:rFonts w:ascii="Arial" w:hAnsi="Arial" w:cs="Arial"/>
          <w:sz w:val="22"/>
          <w:szCs w:val="22"/>
        </w:rPr>
        <w:t xml:space="preserve">This emphasises even more how early adopters of </w:t>
      </w:r>
      <w:proofErr w:type="gramStart"/>
      <w:r w:rsidR="00EC0C83" w:rsidRPr="00846C4C">
        <w:rPr>
          <w:rFonts w:ascii="Arial" w:hAnsi="Arial" w:cs="Arial"/>
          <w:sz w:val="22"/>
          <w:szCs w:val="22"/>
        </w:rPr>
        <w:t>new technologies</w:t>
      </w:r>
      <w:proofErr w:type="gramEnd"/>
      <w:r w:rsidR="00EC0C83" w:rsidRPr="00846C4C">
        <w:rPr>
          <w:rFonts w:ascii="Arial" w:hAnsi="Arial" w:cs="Arial"/>
          <w:sz w:val="22"/>
          <w:szCs w:val="22"/>
        </w:rPr>
        <w:t xml:space="preserve"> should evaluate their potential in the face of ambiguity and inadequate knowledge. In order to produce vaccines, a worldwide coalition of public and commercial sector players have to come together and mobilise in a way never seen before.</w:t>
      </w:r>
    </w:p>
    <w:p w14:paraId="584A0596" w14:textId="77777777" w:rsidR="00CC32B9" w:rsidRPr="00846C4C" w:rsidRDefault="002F72CA"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Example</w:t>
      </w:r>
      <w:r w:rsidR="00CC32B9" w:rsidRPr="00846C4C">
        <w:rPr>
          <w:rFonts w:ascii="Arial" w:hAnsi="Arial" w:cs="Arial"/>
          <w:sz w:val="22"/>
          <w:szCs w:val="22"/>
        </w:rPr>
        <w:t>:</w:t>
      </w:r>
    </w:p>
    <w:p w14:paraId="10A09984" w14:textId="2AC52B8D" w:rsidR="002F72CA" w:rsidRPr="00846C4C" w:rsidRDefault="00547F29"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 xml:space="preserve">Liu, Shi, and Yang (2022), mention </w:t>
      </w:r>
      <w:r w:rsidR="00EA5C4E" w:rsidRPr="00846C4C">
        <w:rPr>
          <w:rFonts w:ascii="Arial" w:hAnsi="Arial" w:cs="Arial"/>
          <w:sz w:val="22"/>
          <w:szCs w:val="22"/>
        </w:rPr>
        <w:t>The University of</w:t>
      </w:r>
      <w:r w:rsidR="00F30B58" w:rsidRPr="00846C4C">
        <w:rPr>
          <w:rFonts w:ascii="Arial" w:hAnsi="Arial" w:cs="Arial"/>
          <w:sz w:val="22"/>
          <w:szCs w:val="22"/>
        </w:rPr>
        <w:t xml:space="preserve"> </w:t>
      </w:r>
      <w:r w:rsidR="00EA5C4E" w:rsidRPr="00846C4C">
        <w:rPr>
          <w:rFonts w:ascii="Arial" w:hAnsi="Arial" w:cs="Arial"/>
          <w:sz w:val="22"/>
          <w:szCs w:val="22"/>
        </w:rPr>
        <w:t>Oxford in the U</w:t>
      </w:r>
      <w:r w:rsidR="00F30B58" w:rsidRPr="00846C4C">
        <w:rPr>
          <w:rFonts w:ascii="Arial" w:hAnsi="Arial" w:cs="Arial"/>
          <w:sz w:val="22"/>
          <w:szCs w:val="22"/>
        </w:rPr>
        <w:t xml:space="preserve">nited </w:t>
      </w:r>
      <w:r w:rsidR="00EA5C4E" w:rsidRPr="00846C4C">
        <w:rPr>
          <w:rFonts w:ascii="Arial" w:hAnsi="Arial" w:cs="Arial"/>
          <w:sz w:val="22"/>
          <w:szCs w:val="22"/>
        </w:rPr>
        <w:t>K</w:t>
      </w:r>
      <w:r w:rsidR="00F30B58" w:rsidRPr="00846C4C">
        <w:rPr>
          <w:rFonts w:ascii="Arial" w:hAnsi="Arial" w:cs="Arial"/>
          <w:sz w:val="22"/>
          <w:szCs w:val="22"/>
        </w:rPr>
        <w:t>ingdom</w:t>
      </w:r>
      <w:r w:rsidR="00EA5C4E" w:rsidRPr="00846C4C">
        <w:rPr>
          <w:rFonts w:ascii="Arial" w:hAnsi="Arial" w:cs="Arial"/>
          <w:sz w:val="22"/>
          <w:szCs w:val="22"/>
        </w:rPr>
        <w:t> and the U</w:t>
      </w:r>
      <w:r w:rsidR="00DE6EA0" w:rsidRPr="00846C4C">
        <w:rPr>
          <w:rFonts w:ascii="Arial" w:hAnsi="Arial" w:cs="Arial"/>
          <w:sz w:val="22"/>
          <w:szCs w:val="22"/>
        </w:rPr>
        <w:t xml:space="preserve">nited </w:t>
      </w:r>
      <w:r w:rsidR="00EA5C4E" w:rsidRPr="00846C4C">
        <w:rPr>
          <w:rFonts w:ascii="Arial" w:hAnsi="Arial" w:cs="Arial"/>
          <w:sz w:val="22"/>
          <w:szCs w:val="22"/>
        </w:rPr>
        <w:t>K</w:t>
      </w:r>
      <w:r w:rsidR="00DE6EA0" w:rsidRPr="00846C4C">
        <w:rPr>
          <w:rFonts w:ascii="Arial" w:hAnsi="Arial" w:cs="Arial"/>
          <w:sz w:val="22"/>
          <w:szCs w:val="22"/>
        </w:rPr>
        <w:t>ingdom</w:t>
      </w:r>
      <w:r w:rsidR="00EA5C4E" w:rsidRPr="00846C4C">
        <w:rPr>
          <w:rFonts w:ascii="Arial" w:hAnsi="Arial" w:cs="Arial"/>
          <w:sz w:val="22"/>
          <w:szCs w:val="22"/>
        </w:rPr>
        <w:t>-based multinational biopharmaceutical firm AstraZeneca partnered in the month of April 2020 to advance the development and mass production of the COVID-19 vaccine, which the University then trailed.</w:t>
      </w:r>
    </w:p>
    <w:p w14:paraId="03FE5F18" w14:textId="32D853EB" w:rsidR="00CC32B9" w:rsidRPr="00846C4C" w:rsidRDefault="0057454C"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Approach:</w:t>
      </w:r>
    </w:p>
    <w:p w14:paraId="0C9A0C2D" w14:textId="5092CFB8" w:rsidR="002F72CA" w:rsidRPr="00846C4C" w:rsidRDefault="004F73E3" w:rsidP="00193594">
      <w:pPr>
        <w:pStyle w:val="ListParagraph"/>
        <w:spacing w:line="360" w:lineRule="auto"/>
        <w:ind w:left="0"/>
        <w:jc w:val="both"/>
        <w:rPr>
          <w:rFonts w:ascii="Arial" w:hAnsi="Arial" w:cs="Arial"/>
          <w:sz w:val="22"/>
          <w:szCs w:val="22"/>
        </w:rPr>
      </w:pPr>
      <w:r w:rsidRPr="00846C4C">
        <w:rPr>
          <w:rFonts w:ascii="Arial" w:hAnsi="Arial" w:cs="Arial"/>
          <w:sz w:val="22"/>
          <w:szCs w:val="22"/>
        </w:rPr>
        <w:t xml:space="preserve">In the month of April 2020, The University of </w:t>
      </w:r>
      <w:r w:rsidR="00867B87" w:rsidRPr="00846C4C">
        <w:rPr>
          <w:rFonts w:ascii="Arial" w:hAnsi="Arial" w:cs="Arial"/>
          <w:sz w:val="22"/>
          <w:szCs w:val="22"/>
        </w:rPr>
        <w:t>Oxford,</w:t>
      </w:r>
      <w:r w:rsidRPr="00846C4C">
        <w:rPr>
          <w:rFonts w:ascii="Arial" w:hAnsi="Arial" w:cs="Arial"/>
          <w:sz w:val="22"/>
          <w:szCs w:val="22"/>
        </w:rPr>
        <w:t xml:space="preserve"> and the multinational biopharmaceutical company AstraZeneca, based in the United Kingdom, partnered to advance the development and mass production of the COVID-19 vaccine, which the University then trailed. This was done because the world was experiencing uncertain times due to the COVID-19 pandemic</w:t>
      </w:r>
      <w:r w:rsidR="005B6AC9" w:rsidRPr="00846C4C">
        <w:rPr>
          <w:rFonts w:ascii="Arial" w:hAnsi="Arial" w:cs="Arial"/>
          <w:sz w:val="22"/>
          <w:szCs w:val="22"/>
        </w:rPr>
        <w:t>.</w:t>
      </w:r>
      <w:r w:rsidR="001419C2" w:rsidRPr="00846C4C">
        <w:rPr>
          <w:rFonts w:ascii="Arial" w:hAnsi="Arial" w:cs="Arial"/>
          <w:sz w:val="22"/>
          <w:szCs w:val="22"/>
        </w:rPr>
        <w:t xml:space="preserve"> </w:t>
      </w:r>
      <w:r w:rsidR="00271D87" w:rsidRPr="00846C4C">
        <w:rPr>
          <w:rFonts w:ascii="Arial" w:hAnsi="Arial" w:cs="Arial"/>
          <w:sz w:val="22"/>
          <w:szCs w:val="22"/>
        </w:rPr>
        <w:t>Liu, Shi, and Yang, (2022),</w:t>
      </w:r>
    </w:p>
    <w:p w14:paraId="3C39D7E6" w14:textId="4A6B83DC" w:rsidR="001C7584" w:rsidRPr="00846C4C" w:rsidRDefault="00FF1E84" w:rsidP="0057454C">
      <w:pPr>
        <w:pStyle w:val="Heading1"/>
        <w:spacing w:line="360" w:lineRule="auto"/>
        <w:rPr>
          <w:rFonts w:ascii="Arial" w:hAnsi="Arial" w:cs="Arial"/>
          <w:color w:val="auto"/>
          <w:sz w:val="22"/>
          <w:szCs w:val="22"/>
        </w:rPr>
      </w:pPr>
      <w:bookmarkStart w:id="34" w:name="_Toc151055282"/>
      <w:r w:rsidRPr="00846C4C">
        <w:rPr>
          <w:rFonts w:ascii="Arial" w:hAnsi="Arial" w:cs="Arial"/>
          <w:color w:val="auto"/>
          <w:sz w:val="22"/>
          <w:szCs w:val="22"/>
        </w:rPr>
        <w:t>6</w:t>
      </w:r>
      <w:r w:rsidR="00215C26" w:rsidRPr="00846C4C">
        <w:rPr>
          <w:rFonts w:ascii="Arial" w:hAnsi="Arial" w:cs="Arial"/>
          <w:color w:val="auto"/>
          <w:sz w:val="22"/>
          <w:szCs w:val="22"/>
        </w:rPr>
        <w:t>.1.</w:t>
      </w:r>
      <w:r w:rsidRPr="00846C4C">
        <w:rPr>
          <w:rFonts w:ascii="Arial" w:hAnsi="Arial" w:cs="Arial"/>
          <w:color w:val="auto"/>
          <w:sz w:val="22"/>
          <w:szCs w:val="22"/>
        </w:rPr>
        <w:t>4</w:t>
      </w:r>
      <w:r w:rsidR="00215C26" w:rsidRPr="00846C4C">
        <w:rPr>
          <w:rFonts w:ascii="Arial" w:hAnsi="Arial" w:cs="Arial"/>
          <w:color w:val="auto"/>
          <w:sz w:val="22"/>
          <w:szCs w:val="22"/>
        </w:rPr>
        <w:t xml:space="preserve"> </w:t>
      </w:r>
      <w:r w:rsidR="0057454C" w:rsidRPr="00846C4C">
        <w:rPr>
          <w:rFonts w:ascii="Arial" w:hAnsi="Arial" w:cs="Arial"/>
          <w:color w:val="auto"/>
          <w:sz w:val="22"/>
          <w:szCs w:val="22"/>
        </w:rPr>
        <w:t>Complexity:</w:t>
      </w:r>
      <w:bookmarkEnd w:id="34"/>
      <w:r w:rsidR="00F379D5" w:rsidRPr="00846C4C">
        <w:rPr>
          <w:rFonts w:ascii="Arial" w:hAnsi="Arial" w:cs="Arial"/>
          <w:color w:val="auto"/>
          <w:sz w:val="22"/>
          <w:szCs w:val="22"/>
        </w:rPr>
        <w:t xml:space="preserve"> </w:t>
      </w:r>
    </w:p>
    <w:p w14:paraId="6E155847" w14:textId="1131BD5A" w:rsidR="00F379D5" w:rsidRPr="00846C4C" w:rsidRDefault="008B2C87" w:rsidP="0057454C">
      <w:pPr>
        <w:pStyle w:val="ListParagraph"/>
        <w:spacing w:line="360" w:lineRule="auto"/>
        <w:ind w:left="0"/>
        <w:jc w:val="both"/>
        <w:rPr>
          <w:rFonts w:ascii="Arial" w:hAnsi="Arial" w:cs="Arial"/>
          <w:sz w:val="22"/>
          <w:szCs w:val="22"/>
        </w:rPr>
      </w:pPr>
      <w:r w:rsidRPr="00846C4C">
        <w:rPr>
          <w:rFonts w:ascii="Arial" w:hAnsi="Arial" w:cs="Arial"/>
          <w:sz w:val="22"/>
          <w:szCs w:val="22"/>
        </w:rPr>
        <w:t>Liu, Shi, and Yang, (2022), state in</w:t>
      </w:r>
      <w:r w:rsidR="00B35D5F" w:rsidRPr="00846C4C">
        <w:rPr>
          <w:rFonts w:ascii="Arial" w:hAnsi="Arial" w:cs="Arial"/>
          <w:sz w:val="22"/>
          <w:szCs w:val="22"/>
        </w:rPr>
        <w:t xml:space="preserve"> actuality, because of the intricate nature of the goods and the interaction between complex exaptation and the ecosystem, the ecosystem influences the quickening pace of creative thinking throughout the time of crisis and offers the possibility for lengthy, sustainability-oriented innovation.</w:t>
      </w:r>
      <w:r w:rsidR="003424EC" w:rsidRPr="00846C4C">
        <w:rPr>
          <w:rFonts w:ascii="Arial" w:hAnsi="Arial" w:cs="Arial"/>
          <w:sz w:val="22"/>
          <w:szCs w:val="22"/>
        </w:rPr>
        <w:t xml:space="preserve"> </w:t>
      </w:r>
      <w:r w:rsidR="0050214B" w:rsidRPr="00846C4C">
        <w:rPr>
          <w:rFonts w:ascii="Arial" w:hAnsi="Arial" w:cs="Arial"/>
          <w:sz w:val="22"/>
          <w:szCs w:val="22"/>
        </w:rPr>
        <w:t xml:space="preserve">Costa-Font, Asaria, and Mossialos, (2021) </w:t>
      </w:r>
      <w:r w:rsidR="00C266E9" w:rsidRPr="00846C4C">
        <w:rPr>
          <w:rFonts w:ascii="Arial" w:hAnsi="Arial" w:cs="Arial"/>
          <w:sz w:val="22"/>
          <w:szCs w:val="22"/>
        </w:rPr>
        <w:t>state r</w:t>
      </w:r>
      <w:r w:rsidR="003424EC" w:rsidRPr="00846C4C">
        <w:rPr>
          <w:rFonts w:ascii="Arial" w:hAnsi="Arial" w:cs="Arial"/>
          <w:sz w:val="22"/>
          <w:szCs w:val="22"/>
        </w:rPr>
        <w:t xml:space="preserve">esearchers contend whether the phenomenon of "erring on the fringes of uncommon events" might account for the mismatch between regulations and vaccines. Which is to say, authorities often support a conservative stance when uncommon incidents receive significant media </w:t>
      </w:r>
      <w:r w:rsidR="003424EC" w:rsidRPr="00846C4C">
        <w:rPr>
          <w:rFonts w:ascii="Arial" w:hAnsi="Arial" w:cs="Arial"/>
          <w:sz w:val="22"/>
          <w:szCs w:val="22"/>
        </w:rPr>
        <w:lastRenderedPageBreak/>
        <w:t>attention, even when the risks associated with COVID-19 infection are 10% more likely to result in fatalities from vaccination adverse effects.</w:t>
      </w:r>
    </w:p>
    <w:p w14:paraId="7CC10258" w14:textId="77777777" w:rsidR="001C7584" w:rsidRPr="00846C4C" w:rsidRDefault="002F72CA" w:rsidP="0057454C">
      <w:pPr>
        <w:pStyle w:val="ListParagraph"/>
        <w:spacing w:line="360" w:lineRule="auto"/>
        <w:ind w:left="0"/>
        <w:jc w:val="both"/>
        <w:rPr>
          <w:rFonts w:ascii="Arial" w:hAnsi="Arial" w:cs="Arial"/>
          <w:sz w:val="22"/>
          <w:szCs w:val="22"/>
        </w:rPr>
      </w:pPr>
      <w:r w:rsidRPr="00846C4C">
        <w:rPr>
          <w:rFonts w:ascii="Arial" w:hAnsi="Arial" w:cs="Arial"/>
          <w:sz w:val="22"/>
          <w:szCs w:val="22"/>
        </w:rPr>
        <w:t>Example</w:t>
      </w:r>
      <w:r w:rsidR="001C7584" w:rsidRPr="00846C4C">
        <w:rPr>
          <w:rFonts w:ascii="Arial" w:hAnsi="Arial" w:cs="Arial"/>
          <w:sz w:val="22"/>
          <w:szCs w:val="22"/>
        </w:rPr>
        <w:t>:</w:t>
      </w:r>
    </w:p>
    <w:p w14:paraId="205C8A2F" w14:textId="6DFB0484" w:rsidR="002F72CA" w:rsidRPr="00846C4C" w:rsidRDefault="001C7584" w:rsidP="00043AAA">
      <w:pPr>
        <w:pStyle w:val="ListParagraph"/>
        <w:spacing w:line="360" w:lineRule="auto"/>
        <w:ind w:left="0"/>
        <w:jc w:val="both"/>
        <w:rPr>
          <w:rFonts w:ascii="Arial" w:hAnsi="Arial" w:cs="Arial"/>
          <w:sz w:val="22"/>
          <w:szCs w:val="22"/>
        </w:rPr>
      </w:pPr>
      <w:r w:rsidRPr="00846C4C">
        <w:rPr>
          <w:rFonts w:ascii="Arial" w:hAnsi="Arial" w:cs="Arial"/>
          <w:sz w:val="22"/>
          <w:szCs w:val="22"/>
        </w:rPr>
        <w:t>A</w:t>
      </w:r>
      <w:r w:rsidR="00155EC2" w:rsidRPr="00846C4C">
        <w:rPr>
          <w:rFonts w:ascii="Arial" w:hAnsi="Arial" w:cs="Arial"/>
          <w:sz w:val="22"/>
          <w:szCs w:val="22"/>
        </w:rPr>
        <w:t xml:space="preserve">s indicated by Costa-Font, Asaria, and Mossialos (2021), </w:t>
      </w:r>
      <w:r w:rsidR="00AA5272" w:rsidRPr="00846C4C">
        <w:rPr>
          <w:rFonts w:ascii="Arial" w:hAnsi="Arial" w:cs="Arial"/>
          <w:sz w:val="22"/>
          <w:szCs w:val="22"/>
        </w:rPr>
        <w:t>Over twenty million of the initial vaccinations of the A</w:t>
      </w:r>
      <w:r w:rsidR="009C36EC" w:rsidRPr="00846C4C">
        <w:rPr>
          <w:rFonts w:ascii="Arial" w:hAnsi="Arial" w:cs="Arial"/>
          <w:sz w:val="22"/>
          <w:szCs w:val="22"/>
        </w:rPr>
        <w:t>straZeneca</w:t>
      </w:r>
      <w:r w:rsidR="00AA5272" w:rsidRPr="00846C4C">
        <w:rPr>
          <w:rFonts w:ascii="Arial" w:hAnsi="Arial" w:cs="Arial"/>
          <w:sz w:val="22"/>
          <w:szCs w:val="22"/>
        </w:rPr>
        <w:t xml:space="preserve"> was given </w:t>
      </w:r>
      <w:r w:rsidR="001E698D" w:rsidRPr="00846C4C">
        <w:rPr>
          <w:rFonts w:ascii="Arial" w:hAnsi="Arial" w:cs="Arial"/>
          <w:sz w:val="22"/>
          <w:szCs w:val="22"/>
        </w:rPr>
        <w:t>in</w:t>
      </w:r>
      <w:r w:rsidR="00AA5272" w:rsidRPr="00846C4C">
        <w:rPr>
          <w:rFonts w:ascii="Arial" w:hAnsi="Arial" w:cs="Arial"/>
          <w:sz w:val="22"/>
          <w:szCs w:val="22"/>
        </w:rPr>
        <w:t xml:space="preserve"> the United Kingdom by the final day of the month of March 2021, as part of its advocacy efforts. The Medicines and Healthcare Products Regulatory Agency (MHRA), a UK regulator, has discovered 168 instances and 32 fatalities of A</w:t>
      </w:r>
      <w:r w:rsidR="002C5936" w:rsidRPr="00846C4C">
        <w:rPr>
          <w:rFonts w:ascii="Arial" w:hAnsi="Arial" w:cs="Arial"/>
          <w:sz w:val="22"/>
          <w:szCs w:val="22"/>
        </w:rPr>
        <w:t>stra</w:t>
      </w:r>
      <w:r w:rsidR="00AA5272" w:rsidRPr="00846C4C">
        <w:rPr>
          <w:rFonts w:ascii="Arial" w:hAnsi="Arial" w:cs="Arial"/>
          <w:sz w:val="22"/>
          <w:szCs w:val="22"/>
        </w:rPr>
        <w:t>Z</w:t>
      </w:r>
      <w:r w:rsidR="002C5936" w:rsidRPr="00846C4C">
        <w:rPr>
          <w:rFonts w:ascii="Arial" w:hAnsi="Arial" w:cs="Arial"/>
          <w:sz w:val="22"/>
          <w:szCs w:val="22"/>
        </w:rPr>
        <w:t>eneca</w:t>
      </w:r>
      <w:r w:rsidR="00AA5272" w:rsidRPr="00846C4C">
        <w:rPr>
          <w:rFonts w:ascii="Arial" w:hAnsi="Arial" w:cs="Arial"/>
          <w:sz w:val="22"/>
          <w:szCs w:val="22"/>
        </w:rPr>
        <w:t xml:space="preserve"> vaccination recipients developing uncommon blood clots. Every unusual clot case report</w:t>
      </w:r>
      <w:r w:rsidR="00A4350E" w:rsidRPr="00846C4C">
        <w:rPr>
          <w:rFonts w:ascii="Arial" w:hAnsi="Arial" w:cs="Arial"/>
          <w:sz w:val="22"/>
          <w:szCs w:val="22"/>
        </w:rPr>
        <w:t>-</w:t>
      </w:r>
      <w:r w:rsidR="00AA5272" w:rsidRPr="00846C4C">
        <w:rPr>
          <w:rFonts w:ascii="Arial" w:hAnsi="Arial" w:cs="Arial"/>
          <w:sz w:val="22"/>
          <w:szCs w:val="22"/>
        </w:rPr>
        <w:t>all except one</w:t>
      </w:r>
      <w:r w:rsidR="00A4350E" w:rsidRPr="00846C4C">
        <w:rPr>
          <w:rFonts w:ascii="Arial" w:hAnsi="Arial" w:cs="Arial"/>
          <w:sz w:val="22"/>
          <w:szCs w:val="22"/>
        </w:rPr>
        <w:t>-</w:t>
      </w:r>
      <w:r w:rsidR="00AA5272" w:rsidRPr="00846C4C">
        <w:rPr>
          <w:rFonts w:ascii="Arial" w:hAnsi="Arial" w:cs="Arial"/>
          <w:sz w:val="22"/>
          <w:szCs w:val="22"/>
        </w:rPr>
        <w:t xml:space="preserve">occurred following a first dosage. </w:t>
      </w:r>
      <w:r w:rsidR="00A4350E" w:rsidRPr="00846C4C">
        <w:rPr>
          <w:rFonts w:ascii="Arial" w:hAnsi="Arial" w:cs="Arial"/>
          <w:sz w:val="22"/>
          <w:szCs w:val="22"/>
        </w:rPr>
        <w:t>A</w:t>
      </w:r>
      <w:r w:rsidR="00AA5272" w:rsidRPr="00846C4C">
        <w:rPr>
          <w:rFonts w:ascii="Arial" w:hAnsi="Arial" w:cs="Arial"/>
          <w:sz w:val="22"/>
          <w:szCs w:val="22"/>
        </w:rPr>
        <w:t xml:space="preserve"> danger that is </w:t>
      </w:r>
      <w:r w:rsidR="00757C7F" w:rsidRPr="00846C4C">
        <w:rPr>
          <w:rFonts w:ascii="Arial" w:hAnsi="Arial" w:cs="Arial"/>
          <w:sz w:val="22"/>
          <w:szCs w:val="22"/>
        </w:rPr>
        <w:t>exceeded</w:t>
      </w:r>
      <w:r w:rsidR="00AA5272" w:rsidRPr="00846C4C">
        <w:rPr>
          <w:rFonts w:ascii="Arial" w:hAnsi="Arial" w:cs="Arial"/>
          <w:sz w:val="22"/>
          <w:szCs w:val="22"/>
        </w:rPr>
        <w:t xml:space="preserve"> by the advantages of vaccination Nonetheless, access to A</w:t>
      </w:r>
      <w:r w:rsidR="00A366B0" w:rsidRPr="00846C4C">
        <w:rPr>
          <w:rFonts w:ascii="Arial" w:hAnsi="Arial" w:cs="Arial"/>
          <w:sz w:val="22"/>
          <w:szCs w:val="22"/>
        </w:rPr>
        <w:t>stra</w:t>
      </w:r>
      <w:r w:rsidR="00AA5272" w:rsidRPr="00846C4C">
        <w:rPr>
          <w:rFonts w:ascii="Arial" w:hAnsi="Arial" w:cs="Arial"/>
          <w:sz w:val="22"/>
          <w:szCs w:val="22"/>
        </w:rPr>
        <w:t>Z</w:t>
      </w:r>
      <w:r w:rsidR="00A366B0" w:rsidRPr="00846C4C">
        <w:rPr>
          <w:rFonts w:ascii="Arial" w:hAnsi="Arial" w:cs="Arial"/>
          <w:sz w:val="22"/>
          <w:szCs w:val="22"/>
        </w:rPr>
        <w:t>eneca</w:t>
      </w:r>
      <w:r w:rsidR="00AA5272" w:rsidRPr="00846C4C">
        <w:rPr>
          <w:rFonts w:ascii="Arial" w:hAnsi="Arial" w:cs="Arial"/>
          <w:sz w:val="22"/>
          <w:szCs w:val="22"/>
        </w:rPr>
        <w:t xml:space="preserve"> vaccinations is restricted in a number of nations, especially for youth demographic groups.</w:t>
      </w:r>
      <w:r w:rsidR="004B2CCE" w:rsidRPr="00846C4C">
        <w:rPr>
          <w:rFonts w:ascii="Arial" w:hAnsi="Arial" w:cs="Arial"/>
          <w:sz w:val="22"/>
          <w:szCs w:val="22"/>
        </w:rPr>
        <w:t xml:space="preserve"> Notwithstanding the EMA's instructions to keep vaccinating the</w:t>
      </w:r>
      <w:r w:rsidR="00201A79" w:rsidRPr="00846C4C">
        <w:rPr>
          <w:rFonts w:ascii="Arial" w:hAnsi="Arial" w:cs="Arial"/>
          <w:sz w:val="22"/>
          <w:szCs w:val="22"/>
        </w:rPr>
        <w:t xml:space="preserve"> </w:t>
      </w:r>
      <w:r w:rsidR="004B2CCE" w:rsidRPr="00846C4C">
        <w:rPr>
          <w:rFonts w:ascii="Arial" w:hAnsi="Arial" w:cs="Arial"/>
          <w:sz w:val="22"/>
          <w:szCs w:val="22"/>
        </w:rPr>
        <w:t>of-65 demographic, ten European nations have limited the administration of the AstraZeneca vaccine in this population because Oxford's Phase III study had produced insufficient evidence.</w:t>
      </w:r>
    </w:p>
    <w:p w14:paraId="633840AF" w14:textId="5F0F08B4" w:rsidR="00E21E83" w:rsidRPr="00846C4C" w:rsidRDefault="008812F0" w:rsidP="008812F0">
      <w:pPr>
        <w:pStyle w:val="ListParagraph"/>
        <w:spacing w:line="360" w:lineRule="auto"/>
        <w:ind w:left="0"/>
        <w:jc w:val="both"/>
        <w:rPr>
          <w:rFonts w:ascii="Arial" w:hAnsi="Arial" w:cs="Arial"/>
          <w:sz w:val="22"/>
          <w:szCs w:val="22"/>
        </w:rPr>
      </w:pPr>
      <w:r w:rsidRPr="00846C4C">
        <w:rPr>
          <w:rFonts w:ascii="Arial" w:hAnsi="Arial" w:cs="Arial"/>
          <w:sz w:val="22"/>
          <w:szCs w:val="22"/>
        </w:rPr>
        <w:t>Approach:</w:t>
      </w:r>
      <w:r w:rsidR="001F67C5" w:rsidRPr="00846C4C">
        <w:rPr>
          <w:rFonts w:ascii="Arial" w:hAnsi="Arial" w:cs="Arial"/>
          <w:sz w:val="22"/>
          <w:szCs w:val="22"/>
        </w:rPr>
        <w:t xml:space="preserve"> </w:t>
      </w:r>
    </w:p>
    <w:p w14:paraId="2A6F26F8" w14:textId="42160E88" w:rsidR="00632CE5" w:rsidRPr="00846C4C" w:rsidRDefault="00631940" w:rsidP="008812F0">
      <w:pPr>
        <w:pStyle w:val="ListParagraph"/>
        <w:spacing w:line="360" w:lineRule="auto"/>
        <w:ind w:left="0"/>
        <w:jc w:val="both"/>
        <w:rPr>
          <w:rFonts w:ascii="Arial" w:hAnsi="Arial" w:cs="Arial"/>
          <w:sz w:val="22"/>
          <w:szCs w:val="22"/>
          <w:shd w:val="clear" w:color="auto" w:fill="FFFFFF"/>
        </w:rPr>
      </w:pPr>
      <w:r w:rsidRPr="00846C4C">
        <w:rPr>
          <w:rFonts w:ascii="Arial" w:hAnsi="Arial" w:cs="Arial"/>
          <w:sz w:val="22"/>
          <w:szCs w:val="22"/>
          <w:shd w:val="clear" w:color="auto" w:fill="FFFFFF"/>
        </w:rPr>
        <w:t>Organisations are turning more often</w:t>
      </w:r>
      <w:r w:rsidR="00632CE5" w:rsidRPr="00846C4C">
        <w:rPr>
          <w:rFonts w:ascii="Arial" w:hAnsi="Arial" w:cs="Arial"/>
          <w:sz w:val="22"/>
          <w:szCs w:val="22"/>
          <w:shd w:val="clear" w:color="auto" w:fill="FFFFFF"/>
        </w:rPr>
        <w:t xml:space="preserve"> </w:t>
      </w:r>
      <w:r w:rsidRPr="00846C4C">
        <w:rPr>
          <w:rFonts w:ascii="Arial" w:hAnsi="Arial" w:cs="Arial"/>
          <w:sz w:val="22"/>
          <w:szCs w:val="22"/>
          <w:shd w:val="clear" w:color="auto" w:fill="FFFFFF"/>
        </w:rPr>
        <w:t xml:space="preserve">to contracted factories throughout </w:t>
      </w:r>
      <w:r w:rsidR="005F58DF" w:rsidRPr="00846C4C">
        <w:rPr>
          <w:rFonts w:ascii="Arial" w:hAnsi="Arial" w:cs="Arial"/>
          <w:sz w:val="22"/>
          <w:szCs w:val="22"/>
          <w:shd w:val="clear" w:color="auto" w:fill="FFFFFF"/>
        </w:rPr>
        <w:t xml:space="preserve">the </w:t>
      </w:r>
      <w:r w:rsidRPr="00846C4C">
        <w:rPr>
          <w:rFonts w:ascii="Arial" w:hAnsi="Arial" w:cs="Arial"/>
          <w:sz w:val="22"/>
          <w:szCs w:val="22"/>
          <w:shd w:val="clear" w:color="auto" w:fill="FFFFFF"/>
        </w:rPr>
        <w:t>world</w:t>
      </w:r>
      <w:r w:rsidR="005F58DF" w:rsidRPr="00846C4C">
        <w:rPr>
          <w:rFonts w:ascii="Arial" w:hAnsi="Arial" w:cs="Arial"/>
          <w:sz w:val="22"/>
          <w:szCs w:val="22"/>
          <w:shd w:val="clear" w:color="auto" w:fill="FFFFFF"/>
        </w:rPr>
        <w:t xml:space="preserve"> </w:t>
      </w:r>
      <w:r w:rsidRPr="00846C4C">
        <w:rPr>
          <w:rFonts w:ascii="Arial" w:hAnsi="Arial" w:cs="Arial"/>
          <w:sz w:val="22"/>
          <w:szCs w:val="22"/>
          <w:shd w:val="clear" w:color="auto" w:fill="FFFFFF"/>
        </w:rPr>
        <w:t>in order to satisfy consumer demands in a timely and cost-effective manner—but globalisation creates complication.</w:t>
      </w:r>
    </w:p>
    <w:p w14:paraId="57CBCD05" w14:textId="4D4AA0B2" w:rsidR="00E21E83" w:rsidRPr="00846C4C" w:rsidRDefault="00FF1E84" w:rsidP="008812F0">
      <w:pPr>
        <w:pStyle w:val="Heading2"/>
        <w:spacing w:line="360" w:lineRule="auto"/>
        <w:rPr>
          <w:rFonts w:ascii="Arial" w:hAnsi="Arial" w:cs="Arial"/>
          <w:color w:val="auto"/>
          <w:sz w:val="22"/>
          <w:szCs w:val="22"/>
        </w:rPr>
      </w:pPr>
      <w:bookmarkStart w:id="35" w:name="_Toc151055283"/>
      <w:r w:rsidRPr="00846C4C">
        <w:rPr>
          <w:rFonts w:ascii="Arial" w:hAnsi="Arial" w:cs="Arial"/>
          <w:color w:val="auto"/>
          <w:sz w:val="22"/>
          <w:szCs w:val="22"/>
        </w:rPr>
        <w:t>6</w:t>
      </w:r>
      <w:r w:rsidR="00215C26" w:rsidRPr="00846C4C">
        <w:rPr>
          <w:rFonts w:ascii="Arial" w:hAnsi="Arial" w:cs="Arial"/>
          <w:color w:val="auto"/>
          <w:sz w:val="22"/>
          <w:szCs w:val="22"/>
        </w:rPr>
        <w:t>.1.</w:t>
      </w:r>
      <w:r w:rsidRPr="00846C4C">
        <w:rPr>
          <w:rFonts w:ascii="Arial" w:hAnsi="Arial" w:cs="Arial"/>
          <w:color w:val="auto"/>
          <w:sz w:val="22"/>
          <w:szCs w:val="22"/>
        </w:rPr>
        <w:t>5</w:t>
      </w:r>
      <w:r w:rsidR="00215C26" w:rsidRPr="00846C4C">
        <w:rPr>
          <w:rFonts w:ascii="Arial" w:hAnsi="Arial" w:cs="Arial"/>
          <w:color w:val="auto"/>
          <w:sz w:val="22"/>
          <w:szCs w:val="22"/>
        </w:rPr>
        <w:t xml:space="preserve"> </w:t>
      </w:r>
      <w:r w:rsidR="008812F0" w:rsidRPr="00846C4C">
        <w:rPr>
          <w:rFonts w:ascii="Arial" w:hAnsi="Arial" w:cs="Arial"/>
          <w:color w:val="auto"/>
          <w:sz w:val="22"/>
          <w:szCs w:val="22"/>
        </w:rPr>
        <w:t>Ambiguity:</w:t>
      </w:r>
      <w:bookmarkEnd w:id="35"/>
      <w:r w:rsidR="008812F0" w:rsidRPr="00846C4C">
        <w:rPr>
          <w:rFonts w:ascii="Arial" w:hAnsi="Arial" w:cs="Arial"/>
          <w:color w:val="auto"/>
          <w:sz w:val="22"/>
          <w:szCs w:val="22"/>
        </w:rPr>
        <w:t xml:space="preserve"> </w:t>
      </w:r>
    </w:p>
    <w:p w14:paraId="7A132095" w14:textId="4DC1B657" w:rsidR="00A12DB5" w:rsidRPr="00846C4C" w:rsidRDefault="00E21E83" w:rsidP="008812F0">
      <w:pPr>
        <w:pStyle w:val="ListParagraph"/>
        <w:spacing w:line="360" w:lineRule="auto"/>
        <w:ind w:left="0"/>
        <w:jc w:val="both"/>
        <w:rPr>
          <w:rFonts w:ascii="Arial" w:hAnsi="Arial" w:cs="Arial"/>
          <w:sz w:val="22"/>
          <w:szCs w:val="22"/>
        </w:rPr>
      </w:pPr>
      <w:r w:rsidRPr="00846C4C">
        <w:rPr>
          <w:rFonts w:ascii="Arial" w:hAnsi="Arial" w:cs="Arial"/>
          <w:sz w:val="22"/>
          <w:szCs w:val="22"/>
        </w:rPr>
        <w:t>A</w:t>
      </w:r>
      <w:r w:rsidR="00ED567A" w:rsidRPr="00846C4C">
        <w:rPr>
          <w:rFonts w:ascii="Arial" w:hAnsi="Arial" w:cs="Arial"/>
          <w:sz w:val="22"/>
          <w:szCs w:val="22"/>
        </w:rPr>
        <w:t xml:space="preserve">ccording to </w:t>
      </w:r>
      <w:r w:rsidR="009B43E9" w:rsidRPr="00846C4C">
        <w:rPr>
          <w:rFonts w:ascii="Arial" w:hAnsi="Arial" w:cs="Arial"/>
          <w:sz w:val="22"/>
          <w:szCs w:val="22"/>
        </w:rPr>
        <w:t>AstraZeneca, (2023)  a</w:t>
      </w:r>
      <w:r w:rsidR="00AA0CC5" w:rsidRPr="00846C4C">
        <w:rPr>
          <w:rFonts w:ascii="Arial" w:hAnsi="Arial" w:cs="Arial"/>
          <w:sz w:val="22"/>
          <w:szCs w:val="22"/>
        </w:rPr>
        <w:t>s disciplined thinkers and doers, we perform best in a demanding and occasionally unclear setting. We look for fresh problems to solve every day and strive towards innovative solutions.</w:t>
      </w:r>
      <w:r w:rsidR="00A36FA6" w:rsidRPr="00846C4C">
        <w:rPr>
          <w:rFonts w:ascii="Arial" w:hAnsi="Arial" w:cs="Arial"/>
          <w:sz w:val="22"/>
          <w:szCs w:val="22"/>
        </w:rPr>
        <w:t xml:space="preserve"> </w:t>
      </w:r>
      <w:r w:rsidR="00A12DB5" w:rsidRPr="00846C4C">
        <w:rPr>
          <w:rFonts w:ascii="Arial" w:hAnsi="Arial" w:cs="Arial"/>
          <w:sz w:val="22"/>
          <w:szCs w:val="22"/>
        </w:rPr>
        <w:t xml:space="preserve">It is entirely unknown what the features of a causal connection are. There are no antecedents for AZ's unknown unknowns. Due to the pandemic, AstraZeneca had to revisit and redevelop unknowns in the face of ambiguity, forcing the company to confront its unknowns in a way it had never done before. </w:t>
      </w:r>
      <w:r w:rsidR="00A331B3" w:rsidRPr="00846C4C">
        <w:rPr>
          <w:rFonts w:ascii="Arial" w:hAnsi="Arial" w:cs="Arial"/>
          <w:sz w:val="22"/>
          <w:szCs w:val="22"/>
        </w:rPr>
        <w:t xml:space="preserve">AstraZeneca </w:t>
      </w:r>
      <w:r w:rsidR="00EE7638" w:rsidRPr="00846C4C">
        <w:rPr>
          <w:rFonts w:ascii="Arial" w:hAnsi="Arial" w:cs="Arial"/>
          <w:sz w:val="22"/>
          <w:szCs w:val="22"/>
        </w:rPr>
        <w:t>thrive sometimes in the ambiguity world of VUCA framework.</w:t>
      </w:r>
    </w:p>
    <w:p w14:paraId="512AB740" w14:textId="77777777" w:rsidR="00E21E83" w:rsidRPr="00846C4C" w:rsidRDefault="002F72CA" w:rsidP="008812F0">
      <w:pPr>
        <w:pStyle w:val="ListParagraph"/>
        <w:spacing w:line="360" w:lineRule="auto"/>
        <w:ind w:left="0"/>
        <w:jc w:val="both"/>
        <w:rPr>
          <w:rFonts w:ascii="Arial" w:hAnsi="Arial" w:cs="Arial"/>
          <w:sz w:val="22"/>
          <w:szCs w:val="22"/>
        </w:rPr>
      </w:pPr>
      <w:r w:rsidRPr="00846C4C">
        <w:rPr>
          <w:rFonts w:ascii="Arial" w:hAnsi="Arial" w:cs="Arial"/>
          <w:sz w:val="22"/>
          <w:szCs w:val="22"/>
        </w:rPr>
        <w:t>Example</w:t>
      </w:r>
      <w:r w:rsidR="00E21E83" w:rsidRPr="00846C4C">
        <w:rPr>
          <w:rFonts w:ascii="Arial" w:hAnsi="Arial" w:cs="Arial"/>
          <w:sz w:val="22"/>
          <w:szCs w:val="22"/>
        </w:rPr>
        <w:t>:</w:t>
      </w:r>
    </w:p>
    <w:p w14:paraId="5B5EDAED" w14:textId="49555BF5" w:rsidR="002F72CA" w:rsidRPr="00846C4C" w:rsidRDefault="00E21E83" w:rsidP="008812F0">
      <w:pPr>
        <w:pStyle w:val="ListParagraph"/>
        <w:spacing w:line="360" w:lineRule="auto"/>
        <w:ind w:left="0"/>
        <w:jc w:val="both"/>
        <w:rPr>
          <w:rFonts w:ascii="Arial" w:hAnsi="Arial" w:cs="Arial"/>
          <w:sz w:val="22"/>
          <w:szCs w:val="22"/>
        </w:rPr>
      </w:pPr>
      <w:r w:rsidRPr="00846C4C">
        <w:rPr>
          <w:rFonts w:ascii="Arial" w:hAnsi="Arial" w:cs="Arial"/>
          <w:sz w:val="22"/>
          <w:szCs w:val="22"/>
        </w:rPr>
        <w:t>A</w:t>
      </w:r>
      <w:r w:rsidR="006203E4" w:rsidRPr="00846C4C">
        <w:rPr>
          <w:rFonts w:ascii="Arial" w:hAnsi="Arial" w:cs="Arial"/>
          <w:sz w:val="22"/>
          <w:szCs w:val="22"/>
        </w:rPr>
        <w:t>ccording to Costa-Font</w:t>
      </w:r>
      <w:r w:rsidR="00F65B45" w:rsidRPr="00846C4C">
        <w:rPr>
          <w:rFonts w:ascii="Arial" w:hAnsi="Arial" w:cs="Arial"/>
          <w:sz w:val="22"/>
          <w:szCs w:val="22"/>
        </w:rPr>
        <w:t xml:space="preserve">, Asaria, and Mossialos, (2021) </w:t>
      </w:r>
      <w:r w:rsidR="000D750D" w:rsidRPr="00846C4C">
        <w:rPr>
          <w:rFonts w:ascii="Arial" w:hAnsi="Arial" w:cs="Arial"/>
          <w:sz w:val="22"/>
          <w:szCs w:val="22"/>
        </w:rPr>
        <w:t>The discovery of novel COVID-19 vaccines has sparked discussion regarding which immunisations ought to be selected and, in some cases, which ones should be authorised. Vaccines created in China, Russia, and India have not received much attention in Western nations thus far. Access to the AstraZeneca (AZ) and Johnson &amp; Johnson (JJ) vaccines has been limited along with, certain circumstances, halted between the vaccine candidates currently in use in several western nations because they are thought to be the least safe, even though that they have been approved by the European Medicines Agency (EMA) and recommended by the World Health Organisation (WHO).</w:t>
      </w:r>
      <w:r w:rsidR="00905CFA" w:rsidRPr="00846C4C">
        <w:rPr>
          <w:rFonts w:ascii="Arial" w:hAnsi="Arial" w:cs="Arial"/>
          <w:sz w:val="22"/>
          <w:szCs w:val="22"/>
        </w:rPr>
        <w:t xml:space="preserve"> The cumulative impact of certain widely recognised occurrences, such as the overestimation of minor and infrequent occurrences, ambiguity aversion brought on by </w:t>
      </w:r>
      <w:r w:rsidR="00905CFA" w:rsidRPr="00846C4C">
        <w:rPr>
          <w:rFonts w:ascii="Arial" w:hAnsi="Arial" w:cs="Arial"/>
          <w:sz w:val="22"/>
          <w:szCs w:val="22"/>
        </w:rPr>
        <w:lastRenderedPageBreak/>
        <w:t>contradictory regulatory signals from various nations, and a narrow view of benefits, can account for the decline in public trust that results from regulatory misalignment.</w:t>
      </w:r>
    </w:p>
    <w:p w14:paraId="37B5CB11" w14:textId="0E894FA9" w:rsidR="000A69E8" w:rsidRPr="00846C4C" w:rsidRDefault="008812F0" w:rsidP="008812F0">
      <w:pPr>
        <w:pStyle w:val="ListParagraph"/>
        <w:spacing w:line="360" w:lineRule="auto"/>
        <w:ind w:left="0"/>
        <w:jc w:val="both"/>
        <w:rPr>
          <w:rFonts w:ascii="Arial" w:hAnsi="Arial" w:cs="Arial"/>
          <w:sz w:val="22"/>
          <w:szCs w:val="22"/>
        </w:rPr>
      </w:pPr>
      <w:r w:rsidRPr="00846C4C">
        <w:rPr>
          <w:rFonts w:ascii="Arial" w:hAnsi="Arial" w:cs="Arial"/>
          <w:sz w:val="22"/>
          <w:szCs w:val="22"/>
        </w:rPr>
        <w:t>Approach:</w:t>
      </w:r>
    </w:p>
    <w:p w14:paraId="281F768E" w14:textId="7A2059F9" w:rsidR="0000402D" w:rsidRPr="00846C4C" w:rsidRDefault="000A69E8" w:rsidP="008812F0">
      <w:pPr>
        <w:pStyle w:val="ListParagraph"/>
        <w:spacing w:line="360" w:lineRule="auto"/>
        <w:ind w:left="0"/>
        <w:jc w:val="both"/>
        <w:rPr>
          <w:rFonts w:ascii="Arial" w:hAnsi="Arial" w:cs="Arial"/>
          <w:sz w:val="22"/>
          <w:szCs w:val="22"/>
          <w:shd w:val="clear" w:color="auto" w:fill="FCFCFC"/>
        </w:rPr>
      </w:pPr>
      <w:r w:rsidRPr="00846C4C">
        <w:rPr>
          <w:rFonts w:ascii="Arial" w:hAnsi="Arial" w:cs="Arial"/>
          <w:sz w:val="22"/>
          <w:szCs w:val="22"/>
        </w:rPr>
        <w:t>T</w:t>
      </w:r>
      <w:r w:rsidR="00996FB9" w:rsidRPr="00846C4C">
        <w:rPr>
          <w:rFonts w:ascii="Arial" w:hAnsi="Arial" w:cs="Arial"/>
          <w:sz w:val="22"/>
          <w:szCs w:val="22"/>
        </w:rPr>
        <w:t>he ambig</w:t>
      </w:r>
      <w:r w:rsidR="00DC03EA" w:rsidRPr="00846C4C">
        <w:rPr>
          <w:rFonts w:ascii="Arial" w:hAnsi="Arial" w:cs="Arial"/>
          <w:sz w:val="22"/>
          <w:szCs w:val="22"/>
        </w:rPr>
        <w:t xml:space="preserve">uity for AstraZeneca was the </w:t>
      </w:r>
      <w:r w:rsidR="00976A80" w:rsidRPr="00846C4C">
        <w:rPr>
          <w:rFonts w:ascii="Arial" w:hAnsi="Arial" w:cs="Arial"/>
          <w:sz w:val="22"/>
          <w:szCs w:val="22"/>
        </w:rPr>
        <w:t>trial</w:t>
      </w:r>
      <w:r w:rsidR="00DC03EA" w:rsidRPr="00846C4C">
        <w:rPr>
          <w:rFonts w:ascii="Arial" w:hAnsi="Arial" w:cs="Arial"/>
          <w:sz w:val="22"/>
          <w:szCs w:val="22"/>
        </w:rPr>
        <w:t xml:space="preserve"> and e</w:t>
      </w:r>
      <w:r w:rsidR="00286DD5" w:rsidRPr="00846C4C">
        <w:rPr>
          <w:rFonts w:ascii="Arial" w:hAnsi="Arial" w:cs="Arial"/>
          <w:sz w:val="22"/>
          <w:szCs w:val="22"/>
        </w:rPr>
        <w:t>rror that Oxford, AZ had to perform o</w:t>
      </w:r>
      <w:r w:rsidR="00C05DCB" w:rsidRPr="00846C4C">
        <w:rPr>
          <w:rFonts w:ascii="Arial" w:hAnsi="Arial" w:cs="Arial"/>
          <w:sz w:val="22"/>
          <w:szCs w:val="22"/>
        </w:rPr>
        <w:t xml:space="preserve">n the COVID-19 vaccines. </w:t>
      </w:r>
      <w:r w:rsidR="00345074" w:rsidRPr="00846C4C">
        <w:rPr>
          <w:rFonts w:ascii="Arial" w:hAnsi="Arial" w:cs="Arial"/>
          <w:sz w:val="22"/>
          <w:szCs w:val="22"/>
        </w:rPr>
        <w:t xml:space="preserve">Not knowing the unknown </w:t>
      </w:r>
      <w:r w:rsidR="00CA4912" w:rsidRPr="00846C4C">
        <w:rPr>
          <w:rFonts w:ascii="Arial" w:hAnsi="Arial" w:cs="Arial"/>
          <w:sz w:val="22"/>
          <w:szCs w:val="22"/>
        </w:rPr>
        <w:t>effects,</w:t>
      </w:r>
      <w:r w:rsidR="00345074" w:rsidRPr="00846C4C">
        <w:rPr>
          <w:rFonts w:ascii="Arial" w:hAnsi="Arial" w:cs="Arial"/>
          <w:sz w:val="22"/>
          <w:szCs w:val="22"/>
        </w:rPr>
        <w:t xml:space="preserve"> </w:t>
      </w:r>
      <w:r w:rsidR="003028F4" w:rsidRPr="00846C4C">
        <w:rPr>
          <w:rFonts w:ascii="Arial" w:hAnsi="Arial" w:cs="Arial"/>
          <w:sz w:val="22"/>
          <w:szCs w:val="22"/>
        </w:rPr>
        <w:t xml:space="preserve">it would have on the population </w:t>
      </w:r>
      <w:r w:rsidR="000843C7" w:rsidRPr="00846C4C">
        <w:rPr>
          <w:rFonts w:ascii="Arial" w:hAnsi="Arial" w:cs="Arial"/>
          <w:sz w:val="22"/>
          <w:szCs w:val="22"/>
        </w:rPr>
        <w:t>a</w:t>
      </w:r>
      <w:r w:rsidR="008C15D0" w:rsidRPr="00846C4C">
        <w:rPr>
          <w:rFonts w:ascii="Arial" w:hAnsi="Arial" w:cs="Arial"/>
          <w:sz w:val="22"/>
          <w:szCs w:val="22"/>
        </w:rPr>
        <w:t xml:space="preserve">nd </w:t>
      </w:r>
      <w:r w:rsidR="00054AF1" w:rsidRPr="00846C4C">
        <w:rPr>
          <w:rFonts w:ascii="Arial" w:hAnsi="Arial" w:cs="Arial"/>
          <w:sz w:val="22"/>
          <w:szCs w:val="22"/>
        </w:rPr>
        <w:t>AZ</w:t>
      </w:r>
      <w:r w:rsidR="008C15D0" w:rsidRPr="00846C4C">
        <w:rPr>
          <w:rFonts w:ascii="Arial" w:hAnsi="Arial" w:cs="Arial"/>
          <w:sz w:val="22"/>
          <w:szCs w:val="22"/>
        </w:rPr>
        <w:t xml:space="preserve"> subsidiaries </w:t>
      </w:r>
      <w:r w:rsidR="00054AF1" w:rsidRPr="00846C4C">
        <w:rPr>
          <w:rFonts w:ascii="Arial" w:hAnsi="Arial" w:cs="Arial"/>
          <w:sz w:val="22"/>
          <w:szCs w:val="22"/>
        </w:rPr>
        <w:t xml:space="preserve">in </w:t>
      </w:r>
      <w:r w:rsidR="008C15D0" w:rsidRPr="00846C4C">
        <w:rPr>
          <w:rFonts w:ascii="Arial" w:hAnsi="Arial" w:cs="Arial"/>
          <w:sz w:val="22"/>
          <w:szCs w:val="22"/>
        </w:rPr>
        <w:t>India</w:t>
      </w:r>
      <w:r w:rsidR="00054AF1" w:rsidRPr="00846C4C">
        <w:rPr>
          <w:rFonts w:ascii="Arial" w:hAnsi="Arial" w:cs="Arial"/>
          <w:sz w:val="22"/>
          <w:szCs w:val="22"/>
        </w:rPr>
        <w:t xml:space="preserve"> </w:t>
      </w:r>
      <w:r w:rsidR="000843C7" w:rsidRPr="00846C4C">
        <w:rPr>
          <w:rFonts w:ascii="Arial" w:hAnsi="Arial" w:cs="Arial"/>
          <w:sz w:val="22"/>
          <w:szCs w:val="22"/>
        </w:rPr>
        <w:t xml:space="preserve">how the development was implemented </w:t>
      </w:r>
      <w:r w:rsidR="00045E08" w:rsidRPr="00846C4C">
        <w:rPr>
          <w:rFonts w:ascii="Arial" w:hAnsi="Arial" w:cs="Arial"/>
          <w:sz w:val="22"/>
          <w:szCs w:val="22"/>
        </w:rPr>
        <w:t xml:space="preserve">for the vaccines to be stopped because </w:t>
      </w:r>
      <w:r w:rsidR="00905CFA" w:rsidRPr="00846C4C">
        <w:rPr>
          <w:rFonts w:ascii="Arial" w:hAnsi="Arial" w:cs="Arial"/>
          <w:sz w:val="22"/>
          <w:szCs w:val="22"/>
        </w:rPr>
        <w:t xml:space="preserve">they </w:t>
      </w:r>
      <w:r w:rsidR="00035B95" w:rsidRPr="00846C4C">
        <w:rPr>
          <w:rFonts w:ascii="Arial" w:hAnsi="Arial" w:cs="Arial"/>
          <w:sz w:val="22"/>
          <w:szCs w:val="22"/>
        </w:rPr>
        <w:t>were</w:t>
      </w:r>
      <w:r w:rsidR="00485B3E" w:rsidRPr="00846C4C">
        <w:rPr>
          <w:rFonts w:ascii="Arial" w:hAnsi="Arial" w:cs="Arial"/>
          <w:sz w:val="22"/>
          <w:szCs w:val="22"/>
        </w:rPr>
        <w:t>/are</w:t>
      </w:r>
      <w:r w:rsidR="00045E08" w:rsidRPr="00846C4C">
        <w:rPr>
          <w:rFonts w:ascii="Arial" w:hAnsi="Arial" w:cs="Arial"/>
          <w:sz w:val="22"/>
          <w:szCs w:val="22"/>
        </w:rPr>
        <w:t xml:space="preserve"> </w:t>
      </w:r>
      <w:r w:rsidR="00757C7F" w:rsidRPr="00846C4C">
        <w:rPr>
          <w:rFonts w:ascii="Arial" w:hAnsi="Arial" w:cs="Arial"/>
          <w:sz w:val="22"/>
          <w:szCs w:val="22"/>
        </w:rPr>
        <w:t>not</w:t>
      </w:r>
      <w:r w:rsidR="00BB2A46" w:rsidRPr="00846C4C">
        <w:rPr>
          <w:rFonts w:ascii="Arial" w:hAnsi="Arial" w:cs="Arial"/>
          <w:sz w:val="22"/>
          <w:szCs w:val="22"/>
        </w:rPr>
        <w:t xml:space="preserve"> safe</w:t>
      </w:r>
      <w:r w:rsidR="00C67A64" w:rsidRPr="00846C4C">
        <w:rPr>
          <w:rFonts w:ascii="Arial" w:hAnsi="Arial" w:cs="Arial"/>
          <w:sz w:val="22"/>
          <w:szCs w:val="22"/>
        </w:rPr>
        <w:t>.</w:t>
      </w:r>
      <w:r w:rsidR="009669C5" w:rsidRPr="00846C4C">
        <w:rPr>
          <w:rFonts w:ascii="Arial" w:hAnsi="Arial" w:cs="Arial"/>
          <w:sz w:val="22"/>
          <w:szCs w:val="22"/>
          <w:shd w:val="clear" w:color="auto" w:fill="FCFCFC"/>
        </w:rPr>
        <w:t> </w:t>
      </w:r>
    </w:p>
    <w:p w14:paraId="3BC6ED7F" w14:textId="37DECC66" w:rsidR="0000402D" w:rsidRPr="00846C4C" w:rsidRDefault="00963F5E" w:rsidP="008812F0">
      <w:pPr>
        <w:pStyle w:val="Heading3"/>
        <w:spacing w:line="360" w:lineRule="auto"/>
        <w:rPr>
          <w:rFonts w:ascii="Arial" w:hAnsi="Arial" w:cs="Arial"/>
          <w:color w:val="auto"/>
          <w:sz w:val="22"/>
          <w:szCs w:val="22"/>
        </w:rPr>
      </w:pPr>
      <w:bookmarkStart w:id="36" w:name="_Toc151055284"/>
      <w:r w:rsidRPr="00846C4C">
        <w:rPr>
          <w:rFonts w:ascii="Arial" w:hAnsi="Arial" w:cs="Arial"/>
          <w:color w:val="auto"/>
          <w:sz w:val="22"/>
          <w:szCs w:val="22"/>
        </w:rPr>
        <w:t>7</w:t>
      </w:r>
      <w:r w:rsidR="00BE5D77" w:rsidRPr="00846C4C">
        <w:rPr>
          <w:rFonts w:ascii="Arial" w:hAnsi="Arial" w:cs="Arial"/>
          <w:color w:val="auto"/>
          <w:sz w:val="22"/>
          <w:szCs w:val="22"/>
        </w:rPr>
        <w:t xml:space="preserve">.0 </w:t>
      </w:r>
      <w:r w:rsidR="008812F0" w:rsidRPr="00846C4C">
        <w:rPr>
          <w:rFonts w:ascii="Arial" w:hAnsi="Arial" w:cs="Arial"/>
          <w:color w:val="auto"/>
          <w:sz w:val="22"/>
          <w:szCs w:val="22"/>
        </w:rPr>
        <w:t>Integration of V</w:t>
      </w:r>
      <w:r w:rsidR="008812F0">
        <w:rPr>
          <w:rFonts w:ascii="Arial" w:hAnsi="Arial" w:cs="Arial"/>
          <w:color w:val="auto"/>
          <w:sz w:val="22"/>
          <w:szCs w:val="22"/>
        </w:rPr>
        <w:t>UCA</w:t>
      </w:r>
      <w:r w:rsidR="008812F0" w:rsidRPr="00846C4C">
        <w:rPr>
          <w:rFonts w:ascii="Arial" w:hAnsi="Arial" w:cs="Arial"/>
          <w:color w:val="auto"/>
          <w:sz w:val="22"/>
          <w:szCs w:val="22"/>
        </w:rPr>
        <w:t xml:space="preserve"> Findings with Geocentric Decision Making:</w:t>
      </w:r>
      <w:bookmarkEnd w:id="36"/>
    </w:p>
    <w:p w14:paraId="0B31FF5F" w14:textId="5441E069" w:rsidR="006247F4" w:rsidRPr="00846C4C" w:rsidRDefault="00E37820" w:rsidP="008812F0">
      <w:pPr>
        <w:spacing w:line="360" w:lineRule="auto"/>
        <w:rPr>
          <w:rFonts w:ascii="Arial" w:hAnsi="Arial" w:cs="Arial"/>
          <w:i/>
          <w:iCs/>
        </w:rPr>
      </w:pPr>
      <w:r w:rsidRPr="00846C4C">
        <w:rPr>
          <w:rFonts w:ascii="Arial" w:hAnsi="Arial" w:cs="Arial"/>
          <w:i/>
          <w:iCs/>
        </w:rPr>
        <w:t>Mindfulness.</w:t>
      </w:r>
    </w:p>
    <w:p w14:paraId="10DA0624" w14:textId="330A154D" w:rsidR="000F419E" w:rsidRPr="00846C4C" w:rsidRDefault="00CA36A0" w:rsidP="008812F0">
      <w:pPr>
        <w:spacing w:line="360" w:lineRule="auto"/>
        <w:jc w:val="both"/>
        <w:rPr>
          <w:rFonts w:ascii="Arial" w:hAnsi="Arial" w:cs="Arial"/>
        </w:rPr>
      </w:pPr>
      <w:r w:rsidRPr="00846C4C">
        <w:rPr>
          <w:rFonts w:ascii="Arial" w:hAnsi="Arial" w:cs="Arial"/>
        </w:rPr>
        <w:t>As defined by Black,</w:t>
      </w:r>
      <w:r w:rsidR="00EE3F6C" w:rsidRPr="00846C4C">
        <w:rPr>
          <w:rFonts w:ascii="Arial" w:hAnsi="Arial" w:cs="Arial"/>
        </w:rPr>
        <w:t xml:space="preserve"> (2009)</w:t>
      </w:r>
      <w:r w:rsidRPr="00846C4C">
        <w:rPr>
          <w:rFonts w:ascii="Arial" w:hAnsi="Arial" w:cs="Arial"/>
        </w:rPr>
        <w:t xml:space="preserve"> these descriptions involve (</w:t>
      </w:r>
      <w:r w:rsidR="00F638B7" w:rsidRPr="00846C4C">
        <w:rPr>
          <w:rFonts w:ascii="Arial" w:hAnsi="Arial" w:cs="Arial"/>
        </w:rPr>
        <w:t>A</w:t>
      </w:r>
      <w:r w:rsidRPr="00846C4C">
        <w:rPr>
          <w:rFonts w:ascii="Arial" w:hAnsi="Arial" w:cs="Arial"/>
        </w:rPr>
        <w:t>) open and receptive attention to awareness of what is occurring in the present moment (</w:t>
      </w:r>
      <w:r w:rsidR="00F638B7" w:rsidRPr="00846C4C">
        <w:rPr>
          <w:rFonts w:ascii="Arial" w:hAnsi="Arial" w:cs="Arial"/>
        </w:rPr>
        <w:t>B</w:t>
      </w:r>
      <w:r w:rsidRPr="00846C4C">
        <w:rPr>
          <w:rFonts w:ascii="Arial" w:hAnsi="Arial" w:cs="Arial"/>
        </w:rPr>
        <w:t xml:space="preserve">) consciousness that develops from consciously focusing </w:t>
      </w:r>
      <w:r w:rsidR="00F638B7" w:rsidRPr="00846C4C">
        <w:rPr>
          <w:rFonts w:ascii="Arial" w:hAnsi="Arial" w:cs="Arial"/>
        </w:rPr>
        <w:t>on</w:t>
      </w:r>
      <w:r w:rsidRPr="00846C4C">
        <w:rPr>
          <w:rFonts w:ascii="Arial" w:hAnsi="Arial" w:cs="Arial"/>
        </w:rPr>
        <w:t xml:space="preserve"> everything is emerging in the immediate time in an open, welcoming, and discriminating manner. (</w:t>
      </w:r>
      <w:r w:rsidR="00F638B7" w:rsidRPr="00846C4C">
        <w:rPr>
          <w:rFonts w:ascii="Arial" w:hAnsi="Arial" w:cs="Arial"/>
        </w:rPr>
        <w:t>C</w:t>
      </w:r>
      <w:r w:rsidRPr="00846C4C">
        <w:rPr>
          <w:rFonts w:ascii="Arial" w:hAnsi="Arial" w:cs="Arial"/>
        </w:rPr>
        <w:t>) an open attention that is responsive to the entire field of awareness and may be targeted to now experienced sensations, ideas, emotions, and memories;</w:t>
      </w:r>
      <w:r w:rsidR="00A75BE3" w:rsidRPr="00846C4C">
        <w:rPr>
          <w:rFonts w:ascii="Arial" w:hAnsi="Arial" w:cs="Arial"/>
        </w:rPr>
        <w:t xml:space="preserve"> </w:t>
      </w:r>
      <w:r w:rsidRPr="00846C4C">
        <w:rPr>
          <w:rFonts w:ascii="Arial" w:hAnsi="Arial" w:cs="Arial"/>
        </w:rPr>
        <w:t>(</w:t>
      </w:r>
      <w:r w:rsidR="000047CD" w:rsidRPr="00846C4C">
        <w:rPr>
          <w:rFonts w:ascii="Arial" w:hAnsi="Arial" w:cs="Arial"/>
        </w:rPr>
        <w:t>D</w:t>
      </w:r>
      <w:r w:rsidRPr="00846C4C">
        <w:rPr>
          <w:rFonts w:ascii="Arial" w:hAnsi="Arial" w:cs="Arial"/>
        </w:rPr>
        <w:t>) awakening from an existence spent on autopilot and dependent on habitual reacting.</w:t>
      </w:r>
      <w:r w:rsidR="00607309" w:rsidRPr="00846C4C">
        <w:rPr>
          <w:rFonts w:ascii="Arial" w:hAnsi="Arial" w:cs="Arial"/>
        </w:rPr>
        <w:t xml:space="preserve"> </w:t>
      </w:r>
    </w:p>
    <w:p w14:paraId="0FDA32C8" w14:textId="21062F1B" w:rsidR="00EF6F49" w:rsidRPr="00846C4C" w:rsidRDefault="0037782E" w:rsidP="00043AAA">
      <w:pPr>
        <w:spacing w:line="360" w:lineRule="auto"/>
        <w:jc w:val="both"/>
        <w:rPr>
          <w:rFonts w:ascii="Arial" w:hAnsi="Arial" w:cs="Arial"/>
        </w:rPr>
      </w:pPr>
      <w:r w:rsidRPr="00846C4C">
        <w:rPr>
          <w:rFonts w:ascii="Arial" w:hAnsi="Arial" w:cs="Arial"/>
        </w:rPr>
        <w:t>Robinson</w:t>
      </w:r>
      <w:r w:rsidR="00921167" w:rsidRPr="00846C4C">
        <w:rPr>
          <w:rFonts w:ascii="Arial" w:hAnsi="Arial" w:cs="Arial"/>
        </w:rPr>
        <w:t xml:space="preserve">, </w:t>
      </w:r>
      <w:r w:rsidR="00E36F3C" w:rsidRPr="00846C4C">
        <w:rPr>
          <w:rFonts w:ascii="Arial" w:hAnsi="Arial" w:cs="Arial"/>
        </w:rPr>
        <w:t>E</w:t>
      </w:r>
      <w:r w:rsidR="00732B76" w:rsidRPr="00846C4C">
        <w:rPr>
          <w:rFonts w:ascii="Arial" w:hAnsi="Arial" w:cs="Arial"/>
        </w:rPr>
        <w:t>t al</w:t>
      </w:r>
      <w:r w:rsidR="00FA75CD" w:rsidRPr="00846C4C">
        <w:rPr>
          <w:rFonts w:ascii="Arial" w:hAnsi="Arial" w:cs="Arial"/>
        </w:rPr>
        <w:t xml:space="preserve">, </w:t>
      </w:r>
      <w:r w:rsidR="00921167" w:rsidRPr="00846C4C">
        <w:rPr>
          <w:rFonts w:ascii="Arial" w:hAnsi="Arial" w:cs="Arial"/>
        </w:rPr>
        <w:t xml:space="preserve">(2017) states that </w:t>
      </w:r>
      <w:r w:rsidR="00E9592B" w:rsidRPr="00846C4C">
        <w:rPr>
          <w:rFonts w:ascii="Arial" w:hAnsi="Arial" w:cs="Arial"/>
        </w:rPr>
        <w:t>the</w:t>
      </w:r>
      <w:r w:rsidR="00BD7162" w:rsidRPr="00846C4C">
        <w:rPr>
          <w:rFonts w:ascii="Arial" w:hAnsi="Arial" w:cs="Arial"/>
        </w:rPr>
        <w:t xml:space="preserve"> key component of mindfulness investigation addresses with the causes and effects of actively directing focus on the current moment, hence raising the awareness of the various viewpoints and interpretations that occur inside every current time situation.</w:t>
      </w:r>
      <w:r w:rsidR="00485FF5" w:rsidRPr="00846C4C">
        <w:rPr>
          <w:rFonts w:ascii="Arial" w:hAnsi="Arial" w:cs="Arial"/>
        </w:rPr>
        <w:t xml:space="preserve"> </w:t>
      </w:r>
      <w:r w:rsidR="00CC1010" w:rsidRPr="00846C4C">
        <w:rPr>
          <w:rFonts w:ascii="Arial" w:hAnsi="Arial" w:cs="Arial"/>
        </w:rPr>
        <w:t>Robinson</w:t>
      </w:r>
      <w:r w:rsidR="00FA75CD" w:rsidRPr="00846C4C">
        <w:rPr>
          <w:rFonts w:ascii="Arial" w:hAnsi="Arial" w:cs="Arial"/>
        </w:rPr>
        <w:t xml:space="preserve">, </w:t>
      </w:r>
      <w:r w:rsidR="00E36F3C" w:rsidRPr="00846C4C">
        <w:rPr>
          <w:rFonts w:ascii="Arial" w:hAnsi="Arial" w:cs="Arial"/>
        </w:rPr>
        <w:t>Et al</w:t>
      </w:r>
      <w:r w:rsidR="00FA75CD" w:rsidRPr="00846C4C">
        <w:rPr>
          <w:rFonts w:ascii="Arial" w:hAnsi="Arial" w:cs="Arial"/>
        </w:rPr>
        <w:t>, (2017)</w:t>
      </w:r>
      <w:r w:rsidR="00CC1010" w:rsidRPr="00846C4C">
        <w:rPr>
          <w:rFonts w:ascii="Arial" w:hAnsi="Arial" w:cs="Arial"/>
        </w:rPr>
        <w:t xml:space="preserve"> contends </w:t>
      </w:r>
      <w:r w:rsidR="00897C9C" w:rsidRPr="00846C4C">
        <w:rPr>
          <w:rFonts w:ascii="Arial" w:hAnsi="Arial" w:cs="Arial"/>
        </w:rPr>
        <w:t>in</w:t>
      </w:r>
      <w:r w:rsidR="00CC1010" w:rsidRPr="00846C4C">
        <w:rPr>
          <w:rFonts w:ascii="Arial" w:hAnsi="Arial" w:cs="Arial"/>
        </w:rPr>
        <w:t xml:space="preserve"> an environment of VUCA, researching mindful handling of information enables </w:t>
      </w:r>
      <w:r w:rsidR="00327798" w:rsidRPr="00846C4C">
        <w:rPr>
          <w:rFonts w:ascii="Arial" w:hAnsi="Arial" w:cs="Arial"/>
        </w:rPr>
        <w:t>senior</w:t>
      </w:r>
      <w:r w:rsidR="00726772" w:rsidRPr="00846C4C">
        <w:rPr>
          <w:rFonts w:ascii="Arial" w:hAnsi="Arial" w:cs="Arial"/>
        </w:rPr>
        <w:t xml:space="preserve"> managers</w:t>
      </w:r>
      <w:r w:rsidR="00CC1010" w:rsidRPr="00846C4C">
        <w:rPr>
          <w:rFonts w:ascii="Arial" w:hAnsi="Arial" w:cs="Arial"/>
        </w:rPr>
        <w:t xml:space="preserve"> to investigate why those from the bottom up, non- or pre-judgment associated procedures may lead those who make decisions to break habitual, </w:t>
      </w:r>
      <w:r w:rsidR="00757C7F" w:rsidRPr="00846C4C">
        <w:rPr>
          <w:rFonts w:ascii="Arial" w:hAnsi="Arial" w:cs="Arial"/>
        </w:rPr>
        <w:t>less</w:t>
      </w:r>
      <w:r w:rsidR="00CC1010" w:rsidRPr="00846C4C">
        <w:rPr>
          <w:rFonts w:ascii="Arial" w:hAnsi="Arial" w:cs="Arial"/>
        </w:rPr>
        <w:t xml:space="preserve"> effective choice-making routines.</w:t>
      </w:r>
    </w:p>
    <w:p w14:paraId="2F7B7FCD" w14:textId="3E902392" w:rsidR="00EB42C1" w:rsidRPr="00846C4C" w:rsidRDefault="00EF6F49" w:rsidP="00043AAA">
      <w:pPr>
        <w:spacing w:line="360" w:lineRule="auto"/>
        <w:jc w:val="both"/>
        <w:rPr>
          <w:rFonts w:ascii="Arial" w:hAnsi="Arial" w:cs="Arial"/>
        </w:rPr>
      </w:pPr>
      <w:r w:rsidRPr="00846C4C">
        <w:rPr>
          <w:rFonts w:ascii="Arial" w:hAnsi="Arial" w:cs="Arial"/>
        </w:rPr>
        <w:t>According to Leslie, Li, and Zhao (2015), in a VUCA workplace, there are continual conflicts that can be overpowering and difficult to grasp, much alone address. These tensions manifest themselves in every aspect of organisational life, including leadership (control vs. empowerment), teamwork (task vs. connection), and strategy (competition vs. collaboration). When these competing needs are pursued concurrently, they are referred to be paradoxes</w:t>
      </w:r>
      <w:r w:rsidR="00DC1E29" w:rsidRPr="00846C4C">
        <w:rPr>
          <w:rFonts w:ascii="Arial" w:hAnsi="Arial" w:cs="Arial"/>
        </w:rPr>
        <w:t xml:space="preserve">. </w:t>
      </w:r>
    </w:p>
    <w:p w14:paraId="799B596F" w14:textId="00E9C552" w:rsidR="007C3995" w:rsidRPr="00846C4C" w:rsidRDefault="000C0803" w:rsidP="00043AAA">
      <w:pPr>
        <w:spacing w:line="360" w:lineRule="auto"/>
        <w:jc w:val="both"/>
        <w:rPr>
          <w:rFonts w:ascii="Arial" w:hAnsi="Arial" w:cs="Arial"/>
        </w:rPr>
      </w:pPr>
      <w:r w:rsidRPr="00846C4C">
        <w:rPr>
          <w:rFonts w:ascii="Arial" w:hAnsi="Arial" w:cs="Arial"/>
        </w:rPr>
        <w:t>Ko</w:t>
      </w:r>
      <w:r w:rsidR="00C94733" w:rsidRPr="00846C4C">
        <w:rPr>
          <w:rFonts w:ascii="Arial" w:hAnsi="Arial" w:cs="Arial"/>
        </w:rPr>
        <w:t>brin</w:t>
      </w:r>
      <w:r w:rsidR="00A861A4" w:rsidRPr="00846C4C">
        <w:rPr>
          <w:rFonts w:ascii="Arial" w:hAnsi="Arial" w:cs="Arial"/>
        </w:rPr>
        <w:t>,</w:t>
      </w:r>
      <w:r w:rsidR="00C94733" w:rsidRPr="00846C4C">
        <w:rPr>
          <w:rFonts w:ascii="Arial" w:hAnsi="Arial" w:cs="Arial"/>
        </w:rPr>
        <w:t xml:space="preserve"> (1994)</w:t>
      </w:r>
      <w:r w:rsidR="00336B95" w:rsidRPr="00846C4C">
        <w:rPr>
          <w:rFonts w:ascii="Arial" w:hAnsi="Arial" w:cs="Arial"/>
        </w:rPr>
        <w:t xml:space="preserve"> states</w:t>
      </w:r>
      <w:r w:rsidR="00C94733" w:rsidRPr="00846C4C">
        <w:rPr>
          <w:rFonts w:ascii="Arial" w:hAnsi="Arial" w:cs="Arial"/>
        </w:rPr>
        <w:t xml:space="preserve"> a</w:t>
      </w:r>
      <w:r w:rsidR="009C07A5" w:rsidRPr="00846C4C">
        <w:rPr>
          <w:rFonts w:ascii="Arial" w:hAnsi="Arial" w:cs="Arial"/>
        </w:rPr>
        <w:t xml:space="preserve"> geocentric management mindset, its geographical scope &amp; the fundamental, strategy features of enterprises and sectors. The geocentric mind-set is found to connect with geographic scope and several components of IHRM policy and practises; nevertheless, there is no correlation with measurements of multinational strategies or corporate framework.</w:t>
      </w:r>
      <w:r w:rsidR="0071380B" w:rsidRPr="00846C4C">
        <w:rPr>
          <w:rFonts w:ascii="Arial" w:hAnsi="Arial" w:cs="Arial"/>
        </w:rPr>
        <w:t xml:space="preserve"> </w:t>
      </w:r>
      <w:r w:rsidR="00E27C02" w:rsidRPr="00846C4C">
        <w:rPr>
          <w:rFonts w:ascii="Arial" w:hAnsi="Arial" w:cs="Arial"/>
        </w:rPr>
        <w:t xml:space="preserve">Southern economies such as China Bruche, </w:t>
      </w:r>
      <w:r w:rsidR="00B33E34" w:rsidRPr="00846C4C">
        <w:rPr>
          <w:rFonts w:ascii="Arial" w:hAnsi="Arial" w:cs="Arial"/>
        </w:rPr>
        <w:t>(</w:t>
      </w:r>
      <w:r w:rsidR="00E27C02" w:rsidRPr="00846C4C">
        <w:rPr>
          <w:rFonts w:ascii="Arial" w:hAnsi="Arial" w:cs="Arial"/>
        </w:rPr>
        <w:t>2009</w:t>
      </w:r>
      <w:r w:rsidR="00B33E34" w:rsidRPr="00846C4C">
        <w:rPr>
          <w:rFonts w:ascii="Arial" w:hAnsi="Arial" w:cs="Arial"/>
        </w:rPr>
        <w:t>)</w:t>
      </w:r>
      <w:r w:rsidR="004B2E0F" w:rsidRPr="00846C4C">
        <w:rPr>
          <w:rFonts w:ascii="Arial" w:hAnsi="Arial" w:cs="Arial"/>
        </w:rPr>
        <w:t>,</w:t>
      </w:r>
      <w:r w:rsidR="00E27C02" w:rsidRPr="00846C4C">
        <w:rPr>
          <w:rFonts w:ascii="Arial" w:hAnsi="Arial" w:cs="Arial"/>
        </w:rPr>
        <w:t xml:space="preserve"> Liu &amp; Chen, </w:t>
      </w:r>
      <w:r w:rsidR="004B2E0F" w:rsidRPr="00846C4C">
        <w:rPr>
          <w:rFonts w:ascii="Arial" w:hAnsi="Arial" w:cs="Arial"/>
        </w:rPr>
        <w:t>(</w:t>
      </w:r>
      <w:r w:rsidR="00E27C02" w:rsidRPr="00846C4C">
        <w:rPr>
          <w:rFonts w:ascii="Arial" w:hAnsi="Arial" w:cs="Arial"/>
        </w:rPr>
        <w:t xml:space="preserve">2012) and India Awate </w:t>
      </w:r>
      <w:r w:rsidR="004B2E0F" w:rsidRPr="00846C4C">
        <w:rPr>
          <w:rFonts w:ascii="Arial" w:hAnsi="Arial" w:cs="Arial"/>
        </w:rPr>
        <w:t>E</w:t>
      </w:r>
      <w:r w:rsidR="00E27C02" w:rsidRPr="00846C4C">
        <w:rPr>
          <w:rFonts w:ascii="Arial" w:hAnsi="Arial" w:cs="Arial"/>
        </w:rPr>
        <w:t xml:space="preserve">t al, </w:t>
      </w:r>
      <w:r w:rsidR="00AA06BC" w:rsidRPr="00846C4C">
        <w:rPr>
          <w:rFonts w:ascii="Arial" w:hAnsi="Arial" w:cs="Arial"/>
        </w:rPr>
        <w:t>(</w:t>
      </w:r>
      <w:r w:rsidR="00E27C02" w:rsidRPr="00846C4C">
        <w:rPr>
          <w:rFonts w:ascii="Arial" w:hAnsi="Arial" w:cs="Arial"/>
        </w:rPr>
        <w:t>2015</w:t>
      </w:r>
      <w:r w:rsidR="00AA06BC" w:rsidRPr="00846C4C">
        <w:rPr>
          <w:rFonts w:ascii="Arial" w:hAnsi="Arial" w:cs="Arial"/>
        </w:rPr>
        <w:t>)</w:t>
      </w:r>
      <w:r w:rsidR="00E27C02" w:rsidRPr="00846C4C">
        <w:rPr>
          <w:rFonts w:ascii="Arial" w:hAnsi="Arial" w:cs="Arial"/>
        </w:rPr>
        <w:t xml:space="preserve"> Jha et al, </w:t>
      </w:r>
      <w:r w:rsidR="00AA06BC" w:rsidRPr="00846C4C">
        <w:rPr>
          <w:rFonts w:ascii="Arial" w:hAnsi="Arial" w:cs="Arial"/>
        </w:rPr>
        <w:t>(</w:t>
      </w:r>
      <w:r w:rsidR="00E27C02" w:rsidRPr="00846C4C">
        <w:rPr>
          <w:rFonts w:ascii="Arial" w:hAnsi="Arial" w:cs="Arial"/>
        </w:rPr>
        <w:t>2015</w:t>
      </w:r>
      <w:r w:rsidR="00AA06BC" w:rsidRPr="00846C4C">
        <w:rPr>
          <w:rFonts w:ascii="Arial" w:hAnsi="Arial" w:cs="Arial"/>
        </w:rPr>
        <w:t>)</w:t>
      </w:r>
      <w:r w:rsidR="00E27C02" w:rsidRPr="00846C4C">
        <w:rPr>
          <w:rFonts w:ascii="Arial" w:hAnsi="Arial" w:cs="Arial"/>
        </w:rPr>
        <w:t>; Kumaraswamy, Mudambi, Saranga, &amp; Tripathy, 2012) have emerged as high-profile destinations in attracting inward innovation FDI</w:t>
      </w:r>
      <w:r w:rsidR="00E52D99" w:rsidRPr="00846C4C">
        <w:rPr>
          <w:rFonts w:ascii="Arial" w:hAnsi="Arial" w:cs="Arial"/>
        </w:rPr>
        <w:t>.</w:t>
      </w:r>
      <w:r w:rsidR="00AA4C47" w:rsidRPr="00846C4C">
        <w:rPr>
          <w:rFonts w:ascii="Arial" w:hAnsi="Arial" w:cs="Arial"/>
        </w:rPr>
        <w:t xml:space="preserve"> </w:t>
      </w:r>
      <w:r w:rsidR="003B371F" w:rsidRPr="00846C4C">
        <w:rPr>
          <w:rFonts w:ascii="Arial" w:hAnsi="Arial" w:cs="Arial"/>
        </w:rPr>
        <w:t>K</w:t>
      </w:r>
      <w:r w:rsidR="001B580F" w:rsidRPr="00846C4C">
        <w:rPr>
          <w:rFonts w:ascii="Arial" w:hAnsi="Arial" w:cs="Arial"/>
        </w:rPr>
        <w:t>obrin</w:t>
      </w:r>
      <w:r w:rsidR="00E147FD" w:rsidRPr="00846C4C">
        <w:rPr>
          <w:rFonts w:ascii="Arial" w:hAnsi="Arial" w:cs="Arial"/>
        </w:rPr>
        <w:t xml:space="preserve">, </w:t>
      </w:r>
      <w:r w:rsidR="00E147FD" w:rsidRPr="00846C4C">
        <w:rPr>
          <w:rFonts w:ascii="Arial" w:hAnsi="Arial" w:cs="Arial"/>
        </w:rPr>
        <w:lastRenderedPageBreak/>
        <w:t>(1994)</w:t>
      </w:r>
      <w:r w:rsidR="003B371F" w:rsidRPr="00846C4C">
        <w:rPr>
          <w:rFonts w:ascii="Arial" w:hAnsi="Arial" w:cs="Arial"/>
        </w:rPr>
        <w:t xml:space="preserve"> </w:t>
      </w:r>
      <w:r w:rsidR="00A82049" w:rsidRPr="00846C4C">
        <w:rPr>
          <w:rFonts w:ascii="Arial" w:hAnsi="Arial" w:cs="Arial"/>
        </w:rPr>
        <w:t>states</w:t>
      </w:r>
      <w:r w:rsidR="001B580F" w:rsidRPr="00846C4C">
        <w:rPr>
          <w:rFonts w:ascii="Arial" w:hAnsi="Arial" w:cs="Arial"/>
        </w:rPr>
        <w:t xml:space="preserve"> </w:t>
      </w:r>
      <w:r w:rsidR="008D0498" w:rsidRPr="00846C4C">
        <w:rPr>
          <w:rFonts w:ascii="Arial" w:hAnsi="Arial" w:cs="Arial"/>
        </w:rPr>
        <w:t>h</w:t>
      </w:r>
      <w:r w:rsidR="00886A52" w:rsidRPr="00846C4C">
        <w:rPr>
          <w:rFonts w:ascii="Arial" w:hAnsi="Arial" w:cs="Arial"/>
        </w:rPr>
        <w:t xml:space="preserve">uman resources management, promotional activities, and manufacturing departments, as well as geocentric policy </w:t>
      </w:r>
      <w:r w:rsidR="00566C08" w:rsidRPr="00846C4C">
        <w:rPr>
          <w:rFonts w:ascii="Arial" w:hAnsi="Arial" w:cs="Arial"/>
        </w:rPr>
        <w:t>s</w:t>
      </w:r>
      <w:r w:rsidR="00886A52" w:rsidRPr="00846C4C">
        <w:rPr>
          <w:rFonts w:ascii="Arial" w:hAnsi="Arial" w:cs="Arial"/>
        </w:rPr>
        <w:t>trive to strike an equilibrium between worldwide and local procedures.</w:t>
      </w:r>
      <w:r w:rsidR="00E42615" w:rsidRPr="00846C4C">
        <w:rPr>
          <w:rFonts w:ascii="Arial" w:hAnsi="Arial" w:cs="Arial"/>
        </w:rPr>
        <w:t xml:space="preserve"> Nation of origin creates no impact in any of AstraZeneca important subsidiary positions," according to a geocentric International Human Resource Management policy. Competence is more important than a passport Heenan and Perlmutter, (1979).</w:t>
      </w:r>
      <w:r w:rsidR="00C148DE" w:rsidRPr="00846C4C">
        <w:rPr>
          <w:rFonts w:ascii="Arial" w:hAnsi="Arial" w:cs="Arial"/>
        </w:rPr>
        <w:t xml:space="preserve"> </w:t>
      </w:r>
    </w:p>
    <w:p w14:paraId="4EE7C29E" w14:textId="0DCEE2D8" w:rsidR="004A70B2" w:rsidRPr="00846C4C" w:rsidRDefault="00C43389" w:rsidP="008812F0">
      <w:pPr>
        <w:pStyle w:val="Heading1"/>
        <w:spacing w:line="360" w:lineRule="auto"/>
        <w:rPr>
          <w:rFonts w:ascii="Arial" w:hAnsi="Arial" w:cs="Arial"/>
          <w:color w:val="auto"/>
          <w:sz w:val="22"/>
          <w:szCs w:val="22"/>
        </w:rPr>
      </w:pPr>
      <w:bookmarkStart w:id="37" w:name="_Toc151055285"/>
      <w:r w:rsidRPr="00846C4C">
        <w:rPr>
          <w:rFonts w:ascii="Arial" w:hAnsi="Arial" w:cs="Arial"/>
          <w:color w:val="auto"/>
          <w:sz w:val="22"/>
          <w:szCs w:val="22"/>
        </w:rPr>
        <w:t>7</w:t>
      </w:r>
      <w:r w:rsidR="00BE5D77" w:rsidRPr="00846C4C">
        <w:rPr>
          <w:rFonts w:ascii="Arial" w:hAnsi="Arial" w:cs="Arial"/>
          <w:color w:val="auto"/>
          <w:sz w:val="22"/>
          <w:szCs w:val="22"/>
        </w:rPr>
        <w:t>.1</w:t>
      </w:r>
      <w:r w:rsidRPr="00846C4C">
        <w:rPr>
          <w:rFonts w:ascii="Arial" w:hAnsi="Arial" w:cs="Arial"/>
          <w:color w:val="auto"/>
          <w:sz w:val="22"/>
          <w:szCs w:val="22"/>
        </w:rPr>
        <w:t>.1</w:t>
      </w:r>
      <w:r w:rsidR="00BE5D77" w:rsidRPr="00846C4C">
        <w:rPr>
          <w:rFonts w:ascii="Arial" w:hAnsi="Arial" w:cs="Arial"/>
          <w:color w:val="auto"/>
          <w:sz w:val="22"/>
          <w:szCs w:val="22"/>
        </w:rPr>
        <w:t xml:space="preserve"> </w:t>
      </w:r>
      <w:r w:rsidR="008812F0" w:rsidRPr="00846C4C">
        <w:rPr>
          <w:rFonts w:ascii="Arial" w:hAnsi="Arial" w:cs="Arial"/>
          <w:color w:val="auto"/>
          <w:sz w:val="22"/>
          <w:szCs w:val="22"/>
        </w:rPr>
        <w:t>AstraZeneca Recommendation for Future Internationalization Endeavours:</w:t>
      </w:r>
      <w:bookmarkEnd w:id="37"/>
      <w:r w:rsidR="008812F0" w:rsidRPr="00846C4C">
        <w:rPr>
          <w:rFonts w:ascii="Arial" w:hAnsi="Arial" w:cs="Arial"/>
          <w:color w:val="auto"/>
          <w:sz w:val="22"/>
          <w:szCs w:val="22"/>
        </w:rPr>
        <w:t xml:space="preserve"> </w:t>
      </w:r>
    </w:p>
    <w:p w14:paraId="0D9E2877" w14:textId="1D4FA74D" w:rsidR="004F13AB" w:rsidRPr="00846C4C" w:rsidRDefault="00746950" w:rsidP="008812F0">
      <w:pPr>
        <w:pStyle w:val="ListParagraph"/>
        <w:numPr>
          <w:ilvl w:val="0"/>
          <w:numId w:val="15"/>
        </w:numPr>
        <w:spacing w:line="360" w:lineRule="auto"/>
        <w:jc w:val="both"/>
        <w:rPr>
          <w:rFonts w:ascii="Arial" w:hAnsi="Arial" w:cs="Arial"/>
          <w:sz w:val="22"/>
          <w:szCs w:val="22"/>
        </w:rPr>
      </w:pPr>
      <w:r w:rsidRPr="00846C4C">
        <w:rPr>
          <w:rFonts w:ascii="Arial" w:hAnsi="Arial" w:cs="Arial"/>
          <w:sz w:val="22"/>
          <w:szCs w:val="22"/>
        </w:rPr>
        <w:t>Investigate the corporate resources, institutional variables, social and business network links that drive or hinder growth for AstraZeneca</w:t>
      </w:r>
      <w:r w:rsidR="003231DC" w:rsidRPr="00846C4C">
        <w:rPr>
          <w:rFonts w:ascii="Arial" w:hAnsi="Arial" w:cs="Arial"/>
          <w:sz w:val="22"/>
          <w:szCs w:val="22"/>
        </w:rPr>
        <w:t xml:space="preserve"> </w:t>
      </w:r>
      <w:r w:rsidR="001223E6" w:rsidRPr="00846C4C">
        <w:rPr>
          <w:rFonts w:ascii="Arial" w:hAnsi="Arial" w:cs="Arial"/>
          <w:sz w:val="22"/>
          <w:szCs w:val="22"/>
        </w:rPr>
        <w:t>Deng, (2012).</w:t>
      </w:r>
    </w:p>
    <w:p w14:paraId="5BE4C59F" w14:textId="55EDD659" w:rsidR="00F0257A" w:rsidRPr="00846C4C" w:rsidRDefault="00D123A3" w:rsidP="008812F0">
      <w:pPr>
        <w:pStyle w:val="Heading2"/>
        <w:spacing w:line="360" w:lineRule="auto"/>
        <w:rPr>
          <w:rFonts w:ascii="Arial" w:hAnsi="Arial" w:cs="Arial"/>
          <w:color w:val="auto"/>
          <w:sz w:val="22"/>
          <w:szCs w:val="22"/>
        </w:rPr>
      </w:pPr>
      <w:bookmarkStart w:id="38" w:name="_Toc151055286"/>
      <w:r w:rsidRPr="00846C4C">
        <w:rPr>
          <w:rFonts w:ascii="Arial" w:hAnsi="Arial" w:cs="Arial"/>
          <w:color w:val="auto"/>
          <w:sz w:val="22"/>
          <w:szCs w:val="22"/>
        </w:rPr>
        <w:t>7</w:t>
      </w:r>
      <w:r w:rsidR="0058203C" w:rsidRPr="00846C4C">
        <w:rPr>
          <w:rFonts w:ascii="Arial" w:hAnsi="Arial" w:cs="Arial"/>
          <w:color w:val="auto"/>
          <w:sz w:val="22"/>
          <w:szCs w:val="22"/>
        </w:rPr>
        <w:t>.1.</w:t>
      </w:r>
      <w:r w:rsidRPr="00846C4C">
        <w:rPr>
          <w:rFonts w:ascii="Arial" w:hAnsi="Arial" w:cs="Arial"/>
          <w:color w:val="auto"/>
          <w:sz w:val="22"/>
          <w:szCs w:val="22"/>
        </w:rPr>
        <w:t>2</w:t>
      </w:r>
      <w:r w:rsidR="0058203C" w:rsidRPr="00846C4C">
        <w:rPr>
          <w:rFonts w:ascii="Arial" w:hAnsi="Arial" w:cs="Arial"/>
          <w:color w:val="auto"/>
          <w:sz w:val="22"/>
          <w:szCs w:val="22"/>
        </w:rPr>
        <w:t xml:space="preserve"> </w:t>
      </w:r>
      <w:r w:rsidR="008812F0" w:rsidRPr="00846C4C">
        <w:rPr>
          <w:rFonts w:ascii="Arial" w:hAnsi="Arial" w:cs="Arial"/>
          <w:color w:val="auto"/>
          <w:sz w:val="22"/>
          <w:szCs w:val="22"/>
        </w:rPr>
        <w:t xml:space="preserve">AstraZeneca Strategies </w:t>
      </w:r>
      <w:r w:rsidR="008812F0">
        <w:rPr>
          <w:rFonts w:ascii="Arial" w:hAnsi="Arial" w:cs="Arial"/>
          <w:color w:val="auto"/>
          <w:sz w:val="22"/>
          <w:szCs w:val="22"/>
        </w:rPr>
        <w:t>t</w:t>
      </w:r>
      <w:r w:rsidR="008812F0" w:rsidRPr="00846C4C">
        <w:rPr>
          <w:rFonts w:ascii="Arial" w:hAnsi="Arial" w:cs="Arial"/>
          <w:color w:val="auto"/>
          <w:sz w:val="22"/>
          <w:szCs w:val="22"/>
        </w:rPr>
        <w:t>o Enhance Global Expansion</w:t>
      </w:r>
      <w:r w:rsidR="008D2270" w:rsidRPr="00846C4C">
        <w:rPr>
          <w:rFonts w:ascii="Arial" w:hAnsi="Arial" w:cs="Arial"/>
          <w:color w:val="auto"/>
          <w:sz w:val="22"/>
          <w:szCs w:val="22"/>
        </w:rPr>
        <w:t>:</w:t>
      </w:r>
      <w:bookmarkEnd w:id="38"/>
    </w:p>
    <w:p w14:paraId="437B658A" w14:textId="0E42EF45" w:rsidR="00012818" w:rsidRPr="00846C4C" w:rsidRDefault="005C3363" w:rsidP="008812F0">
      <w:pPr>
        <w:spacing w:line="360" w:lineRule="auto"/>
        <w:jc w:val="both"/>
        <w:rPr>
          <w:rFonts w:ascii="Arial" w:hAnsi="Arial" w:cs="Arial"/>
        </w:rPr>
      </w:pPr>
      <w:r w:rsidRPr="00846C4C">
        <w:rPr>
          <w:rFonts w:ascii="Arial" w:hAnsi="Arial" w:cs="Arial"/>
        </w:rPr>
        <w:t>According to AstraZeneca, (2023) Az is dedicated to executing a targeted, innovation-driven global biopharmaceuticals strategy that leverages our distinct capabilities in big and small compounds, immunotherapies, and protein engineering technologies. Our efforts in research and development will be more concentrated.</w:t>
      </w:r>
      <w:r w:rsidR="00D66280" w:rsidRPr="00846C4C">
        <w:rPr>
          <w:rFonts w:ascii="Arial" w:hAnsi="Arial" w:cs="Arial"/>
        </w:rPr>
        <w:t xml:space="preserve"> </w:t>
      </w:r>
      <w:r w:rsidR="00EE0839" w:rsidRPr="00846C4C">
        <w:rPr>
          <w:rFonts w:ascii="Arial" w:hAnsi="Arial" w:cs="Arial"/>
        </w:rPr>
        <w:t xml:space="preserve">According to </w:t>
      </w:r>
      <w:r w:rsidR="00AC3E2C" w:rsidRPr="00846C4C">
        <w:rPr>
          <w:rFonts w:ascii="Arial" w:hAnsi="Arial" w:cs="Arial"/>
        </w:rPr>
        <w:t>Gartner, (</w:t>
      </w:r>
      <w:r w:rsidR="009B3E5F" w:rsidRPr="00846C4C">
        <w:rPr>
          <w:rFonts w:ascii="Arial" w:hAnsi="Arial" w:cs="Arial"/>
        </w:rPr>
        <w:t xml:space="preserve">2021) </w:t>
      </w:r>
      <w:r w:rsidR="00D61854" w:rsidRPr="00846C4C">
        <w:rPr>
          <w:rFonts w:ascii="Arial" w:hAnsi="Arial" w:cs="Arial"/>
        </w:rPr>
        <w:t xml:space="preserve">AZ </w:t>
      </w:r>
      <w:r w:rsidR="00D66280" w:rsidRPr="00846C4C">
        <w:rPr>
          <w:rFonts w:ascii="Arial" w:hAnsi="Arial" w:cs="Arial"/>
        </w:rPr>
        <w:t>moved its attention to increased innovation and sustainable growth while on a data transformation path, as it delivers life-changing medicines to patients' needs and societal ideals. Gartner Consulting assisted AstraZeneca in integrating data science, digital, and artificial intelligence (AI) throughout its R&amp;D function and numerous therapeutic areas, allowing its scientists to unearth important insights and accelerate the discovery, development, and delivery of possible new medications to patients.</w:t>
      </w:r>
      <w:r w:rsidR="00C83C2D" w:rsidRPr="00846C4C">
        <w:rPr>
          <w:rFonts w:ascii="Arial" w:hAnsi="Arial" w:cs="Arial"/>
        </w:rPr>
        <w:t xml:space="preserve"> Gartner</w:t>
      </w:r>
      <w:r w:rsidR="00122CBF" w:rsidRPr="00846C4C">
        <w:rPr>
          <w:rFonts w:ascii="Arial" w:hAnsi="Arial" w:cs="Arial"/>
        </w:rPr>
        <w:t xml:space="preserve">, (2021) </w:t>
      </w:r>
      <w:r w:rsidR="00C83C2D" w:rsidRPr="00846C4C">
        <w:rPr>
          <w:rFonts w:ascii="Arial" w:hAnsi="Arial" w:cs="Arial"/>
        </w:rPr>
        <w:t>state</w:t>
      </w:r>
      <w:r w:rsidR="00174AAD" w:rsidRPr="00846C4C">
        <w:rPr>
          <w:rFonts w:ascii="Arial" w:hAnsi="Arial" w:cs="Arial"/>
        </w:rPr>
        <w:t>s</w:t>
      </w:r>
      <w:r w:rsidR="00C83C2D" w:rsidRPr="00846C4C">
        <w:rPr>
          <w:rFonts w:ascii="Arial" w:hAnsi="Arial" w:cs="Arial"/>
        </w:rPr>
        <w:t xml:space="preserve"> that</w:t>
      </w:r>
      <w:r w:rsidR="00174AAD" w:rsidRPr="00846C4C">
        <w:rPr>
          <w:rFonts w:ascii="Arial" w:hAnsi="Arial" w:cs="Arial"/>
        </w:rPr>
        <w:t xml:space="preserve"> </w:t>
      </w:r>
      <w:r w:rsidR="00B271B1" w:rsidRPr="00846C4C">
        <w:rPr>
          <w:rFonts w:ascii="Arial" w:hAnsi="Arial" w:cs="Arial"/>
        </w:rPr>
        <w:t>Data strategies, visions, and roadmaps for AstraZeneca's capabilities maturation. Gartner also assisted AstraZeneca in investing in skills and collaborating throughout the organisation to ensure that every choice is based on facts.</w:t>
      </w:r>
    </w:p>
    <w:p w14:paraId="389E42C9" w14:textId="10C3B0CA" w:rsidR="00FA2563" w:rsidRPr="00846C4C" w:rsidRDefault="00D123A3" w:rsidP="008812F0">
      <w:pPr>
        <w:pStyle w:val="Heading3"/>
        <w:spacing w:line="360" w:lineRule="auto"/>
        <w:rPr>
          <w:rFonts w:ascii="Arial" w:hAnsi="Arial" w:cs="Arial"/>
          <w:color w:val="auto"/>
          <w:sz w:val="22"/>
          <w:szCs w:val="22"/>
        </w:rPr>
      </w:pPr>
      <w:bookmarkStart w:id="39" w:name="_Toc151055287"/>
      <w:r w:rsidRPr="00846C4C">
        <w:rPr>
          <w:rFonts w:ascii="Arial" w:hAnsi="Arial" w:cs="Arial"/>
          <w:color w:val="auto"/>
          <w:sz w:val="22"/>
          <w:szCs w:val="22"/>
        </w:rPr>
        <w:t xml:space="preserve">7.1.3 </w:t>
      </w:r>
      <w:r w:rsidR="0071658C" w:rsidRPr="00846C4C">
        <w:rPr>
          <w:rFonts w:ascii="Arial" w:hAnsi="Arial" w:cs="Arial"/>
          <w:color w:val="auto"/>
          <w:sz w:val="22"/>
          <w:szCs w:val="22"/>
        </w:rPr>
        <w:t>AstraZeneca Potential Challenges</w:t>
      </w:r>
      <w:r w:rsidR="008D2270" w:rsidRPr="00846C4C">
        <w:rPr>
          <w:rFonts w:ascii="Arial" w:hAnsi="Arial" w:cs="Arial"/>
          <w:color w:val="auto"/>
          <w:sz w:val="22"/>
          <w:szCs w:val="22"/>
        </w:rPr>
        <w:t>:</w:t>
      </w:r>
      <w:bookmarkEnd w:id="39"/>
    </w:p>
    <w:p w14:paraId="4E6C464A" w14:textId="4F47DBAC" w:rsidR="00336914" w:rsidRPr="00846C4C" w:rsidRDefault="00336914" w:rsidP="008812F0">
      <w:pPr>
        <w:spacing w:line="360" w:lineRule="auto"/>
        <w:jc w:val="both"/>
        <w:rPr>
          <w:rFonts w:ascii="Arial" w:hAnsi="Arial" w:cs="Arial"/>
        </w:rPr>
      </w:pPr>
      <w:r w:rsidRPr="00846C4C">
        <w:rPr>
          <w:rFonts w:ascii="Arial" w:hAnsi="Arial" w:cs="Arial"/>
        </w:rPr>
        <w:t>In response to market challenges and imperatives, a new corporate structure for internationalisation is being built. The framework's scope is broad, with an emphasis on innovative ways of thinking about and conducting business today. The Five Cs Model of Business Internationalisation emphasises on the 5 Cs for AstraZeneca, which are commonality, compatibility, credibility, and connectedness of or amongst foreign business partners. Regulatory hurdles may pose difficulties for AstraZeneca. AstraZeneca's challenges will revolve around competitiveness, commonality, and regulatory issues</w:t>
      </w:r>
      <w:r w:rsidR="00DF11F1" w:rsidRPr="00846C4C">
        <w:rPr>
          <w:rFonts w:ascii="Arial" w:hAnsi="Arial" w:cs="Arial"/>
        </w:rPr>
        <w:t xml:space="preserve"> Vătămănescu, Alexandru, Gorgos, (2014).</w:t>
      </w:r>
    </w:p>
    <w:p w14:paraId="0861C2AA" w14:textId="506DCC38" w:rsidR="00FA4A3C" w:rsidRPr="00846C4C" w:rsidRDefault="00D123A3" w:rsidP="0071658C">
      <w:pPr>
        <w:pStyle w:val="Heading1"/>
        <w:spacing w:line="360" w:lineRule="auto"/>
        <w:rPr>
          <w:rFonts w:ascii="Arial" w:hAnsi="Arial" w:cs="Arial"/>
          <w:color w:val="auto"/>
          <w:sz w:val="22"/>
          <w:szCs w:val="22"/>
        </w:rPr>
      </w:pPr>
      <w:bookmarkStart w:id="40" w:name="_Toc151055288"/>
      <w:r w:rsidRPr="00846C4C">
        <w:rPr>
          <w:rFonts w:ascii="Arial" w:hAnsi="Arial" w:cs="Arial"/>
          <w:color w:val="auto"/>
          <w:sz w:val="22"/>
          <w:szCs w:val="22"/>
        </w:rPr>
        <w:t xml:space="preserve">7.1.4 </w:t>
      </w:r>
      <w:r w:rsidR="0075409C" w:rsidRPr="00846C4C">
        <w:rPr>
          <w:rFonts w:ascii="Arial" w:hAnsi="Arial" w:cs="Arial"/>
          <w:color w:val="auto"/>
          <w:sz w:val="22"/>
          <w:szCs w:val="22"/>
        </w:rPr>
        <w:t xml:space="preserve"> </w:t>
      </w:r>
      <w:r w:rsidR="0071658C" w:rsidRPr="00846C4C">
        <w:rPr>
          <w:rFonts w:ascii="Arial" w:hAnsi="Arial" w:cs="Arial"/>
          <w:color w:val="auto"/>
          <w:sz w:val="22"/>
          <w:szCs w:val="22"/>
        </w:rPr>
        <w:t>Competitiveness</w:t>
      </w:r>
      <w:r w:rsidR="003F264A" w:rsidRPr="00846C4C">
        <w:rPr>
          <w:rFonts w:ascii="Arial" w:hAnsi="Arial" w:cs="Arial"/>
          <w:color w:val="auto"/>
          <w:sz w:val="22"/>
          <w:szCs w:val="22"/>
        </w:rPr>
        <w:t>:</w:t>
      </w:r>
      <w:r w:rsidR="00EA4927" w:rsidRPr="00846C4C">
        <w:rPr>
          <w:rFonts w:ascii="Arial" w:hAnsi="Arial" w:cs="Arial"/>
          <w:color w:val="auto"/>
          <w:sz w:val="22"/>
          <w:szCs w:val="22"/>
        </w:rPr>
        <w:t xml:space="preserve"> (business as a condition)</w:t>
      </w:r>
      <w:bookmarkEnd w:id="40"/>
    </w:p>
    <w:p w14:paraId="53A597E1" w14:textId="73E6287A" w:rsidR="008B4D8B" w:rsidRPr="00846C4C" w:rsidRDefault="005A37F9" w:rsidP="0071658C">
      <w:pPr>
        <w:spacing w:line="360" w:lineRule="auto"/>
        <w:jc w:val="both"/>
        <w:rPr>
          <w:rFonts w:ascii="Arial" w:hAnsi="Arial" w:cs="Arial"/>
        </w:rPr>
      </w:pPr>
      <w:r w:rsidRPr="00846C4C">
        <w:rPr>
          <w:rFonts w:ascii="Arial" w:hAnsi="Arial" w:cs="Arial"/>
        </w:rPr>
        <w:t>Vătămănescu</w:t>
      </w:r>
      <w:r w:rsidR="000E610C" w:rsidRPr="00846C4C">
        <w:rPr>
          <w:rFonts w:ascii="Arial" w:hAnsi="Arial" w:cs="Arial"/>
        </w:rPr>
        <w:t xml:space="preserve">, Alexandru, Gorgos, (2014) </w:t>
      </w:r>
      <w:r w:rsidRPr="00846C4C">
        <w:rPr>
          <w:rFonts w:ascii="Arial" w:hAnsi="Arial" w:cs="Arial"/>
        </w:rPr>
        <w:t xml:space="preserve">state </w:t>
      </w:r>
      <w:r w:rsidR="005C5146" w:rsidRPr="00846C4C">
        <w:rPr>
          <w:rFonts w:ascii="Arial" w:hAnsi="Arial" w:cs="Arial"/>
        </w:rPr>
        <w:t xml:space="preserve">Organisation internationalisation constitutes one of main primary endeavours that determine the company's growth and development. The worldwide market continues to promote the internationalisation of financial relationships via </w:t>
      </w:r>
      <w:r w:rsidR="005C5146" w:rsidRPr="00846C4C">
        <w:rPr>
          <w:rFonts w:ascii="Arial" w:hAnsi="Arial" w:cs="Arial"/>
        </w:rPr>
        <w:lastRenderedPageBreak/>
        <w:t xml:space="preserve">collaboration across borders - lower customs charges, increased operational and revenue streams, lower transportation costs, multiple and swift means of interaction, worldwide citizens' international vocation, </w:t>
      </w:r>
      <w:proofErr w:type="gramStart"/>
      <w:r w:rsidR="005C5146" w:rsidRPr="00846C4C">
        <w:rPr>
          <w:rFonts w:ascii="Arial" w:hAnsi="Arial" w:cs="Arial"/>
        </w:rPr>
        <w:t>and so on</w:t>
      </w:r>
      <w:proofErr w:type="gramEnd"/>
      <w:r w:rsidR="005C5146" w:rsidRPr="00846C4C">
        <w:rPr>
          <w:rFonts w:ascii="Arial" w:hAnsi="Arial" w:cs="Arial"/>
        </w:rPr>
        <w:t>. Because business internationalisation is an organisational effort, management is given a critical role in dealing with the influences of foreign markets, cross-cultural relationships, and cross-border issues.</w:t>
      </w:r>
    </w:p>
    <w:p w14:paraId="04CD4FC0" w14:textId="3E78AC5F" w:rsidR="00231F6D" w:rsidRPr="00846C4C" w:rsidRDefault="008D5FE0" w:rsidP="0071658C">
      <w:pPr>
        <w:pStyle w:val="Heading2"/>
        <w:spacing w:line="360" w:lineRule="auto"/>
        <w:rPr>
          <w:rFonts w:ascii="Arial" w:hAnsi="Arial" w:cs="Arial"/>
          <w:color w:val="auto"/>
          <w:sz w:val="22"/>
          <w:szCs w:val="22"/>
        </w:rPr>
      </w:pPr>
      <w:bookmarkStart w:id="41" w:name="_Toc151055289"/>
      <w:r w:rsidRPr="00846C4C">
        <w:rPr>
          <w:rFonts w:ascii="Arial" w:hAnsi="Arial" w:cs="Arial"/>
          <w:color w:val="auto"/>
          <w:sz w:val="22"/>
          <w:szCs w:val="22"/>
        </w:rPr>
        <w:t>7.1.5</w:t>
      </w:r>
      <w:r w:rsidR="00C63266" w:rsidRPr="00846C4C">
        <w:rPr>
          <w:rFonts w:ascii="Arial" w:hAnsi="Arial" w:cs="Arial"/>
          <w:color w:val="auto"/>
          <w:sz w:val="22"/>
          <w:szCs w:val="22"/>
        </w:rPr>
        <w:t xml:space="preserve"> </w:t>
      </w:r>
      <w:r w:rsidR="004B08AF" w:rsidRPr="00846C4C">
        <w:rPr>
          <w:rFonts w:ascii="Arial" w:hAnsi="Arial" w:cs="Arial"/>
          <w:color w:val="auto"/>
          <w:sz w:val="22"/>
          <w:szCs w:val="22"/>
        </w:rPr>
        <w:t>Commonality</w:t>
      </w:r>
      <w:r w:rsidR="0015371A" w:rsidRPr="00846C4C">
        <w:rPr>
          <w:rFonts w:ascii="Arial" w:hAnsi="Arial" w:cs="Arial"/>
          <w:color w:val="auto"/>
          <w:sz w:val="22"/>
          <w:szCs w:val="22"/>
        </w:rPr>
        <w:t>:</w:t>
      </w:r>
      <w:r w:rsidR="00995140" w:rsidRPr="00846C4C">
        <w:rPr>
          <w:rFonts w:ascii="Arial" w:hAnsi="Arial" w:cs="Arial"/>
          <w:color w:val="auto"/>
          <w:sz w:val="22"/>
          <w:szCs w:val="22"/>
        </w:rPr>
        <w:t xml:space="preserve"> (business as a context)</w:t>
      </w:r>
      <w:bookmarkEnd w:id="41"/>
    </w:p>
    <w:p w14:paraId="6A678A7A" w14:textId="4163CE83" w:rsidR="00C90943" w:rsidRPr="00846C4C" w:rsidRDefault="00167162" w:rsidP="0071658C">
      <w:pPr>
        <w:spacing w:line="360" w:lineRule="auto"/>
        <w:jc w:val="both"/>
        <w:rPr>
          <w:rFonts w:ascii="Arial" w:hAnsi="Arial" w:cs="Arial"/>
        </w:rPr>
      </w:pPr>
      <w:r w:rsidRPr="00846C4C">
        <w:rPr>
          <w:rFonts w:ascii="Arial" w:hAnsi="Arial" w:cs="Arial"/>
        </w:rPr>
        <w:t>Vătămănescu, Alexandru, Gorgos, (2014) mention the</w:t>
      </w:r>
      <w:r w:rsidR="00240EF3" w:rsidRPr="00846C4C">
        <w:rPr>
          <w:rFonts w:ascii="Arial" w:hAnsi="Arial" w:cs="Arial"/>
        </w:rPr>
        <w:t xml:space="preserve"> 2nd aspect, a commonality, alludes to the reality that worldwide commercial connections may only occur inside a clearly established environment, which is characterised by various sets of accessible choices. The main problem that global organisations, especially collaborations, face is discovering supplies which foster compatibility which involves matching ideas, conduct, and mindsets with monetary goals. The international businessman studies the setting, learning about its features and potential consequences by attending around the world topic engagements such as conferences, trade shows, exhibits, lectures, and tutorials. Managers may now examine the prospects for new interactions to form valuable relationships in their field of interest. As a result, commonality serves as a critical environment for comparable or subsidiary entities to interact and pursue shared goals. </w:t>
      </w:r>
    </w:p>
    <w:p w14:paraId="766FB010" w14:textId="5B3A15A6" w:rsidR="00A924B0" w:rsidRPr="00846C4C" w:rsidRDefault="008D5FE0" w:rsidP="0071658C">
      <w:pPr>
        <w:pStyle w:val="Heading3"/>
        <w:spacing w:line="360" w:lineRule="auto"/>
        <w:rPr>
          <w:rFonts w:ascii="Arial" w:hAnsi="Arial" w:cs="Arial"/>
          <w:color w:val="auto"/>
          <w:sz w:val="22"/>
          <w:szCs w:val="22"/>
        </w:rPr>
      </w:pPr>
      <w:bookmarkStart w:id="42" w:name="_Toc151055290"/>
      <w:r w:rsidRPr="00846C4C">
        <w:rPr>
          <w:rFonts w:ascii="Arial" w:hAnsi="Arial" w:cs="Arial"/>
          <w:color w:val="auto"/>
          <w:sz w:val="22"/>
          <w:szCs w:val="22"/>
        </w:rPr>
        <w:t>7.1.6</w:t>
      </w:r>
      <w:r w:rsidR="00C63266" w:rsidRPr="00846C4C">
        <w:rPr>
          <w:rFonts w:ascii="Arial" w:hAnsi="Arial" w:cs="Arial"/>
          <w:color w:val="auto"/>
          <w:sz w:val="22"/>
          <w:szCs w:val="22"/>
        </w:rPr>
        <w:t xml:space="preserve"> </w:t>
      </w:r>
      <w:r w:rsidR="004B08AF" w:rsidRPr="00846C4C">
        <w:rPr>
          <w:rFonts w:ascii="Arial" w:hAnsi="Arial" w:cs="Arial"/>
          <w:color w:val="auto"/>
          <w:sz w:val="22"/>
          <w:szCs w:val="22"/>
        </w:rPr>
        <w:t xml:space="preserve">Regulatory Challenges </w:t>
      </w:r>
      <w:r w:rsidR="00623DC0" w:rsidRPr="00846C4C">
        <w:rPr>
          <w:rFonts w:ascii="Arial" w:hAnsi="Arial" w:cs="Arial"/>
          <w:color w:val="auto"/>
          <w:sz w:val="22"/>
          <w:szCs w:val="22"/>
        </w:rPr>
        <w:t>(problems with US FDA)</w:t>
      </w:r>
      <w:bookmarkEnd w:id="42"/>
    </w:p>
    <w:p w14:paraId="7B0F84A4" w14:textId="4616E324" w:rsidR="00623DC0" w:rsidRPr="00846C4C" w:rsidRDefault="00C90943" w:rsidP="0071658C">
      <w:pPr>
        <w:spacing w:line="360" w:lineRule="auto"/>
        <w:jc w:val="both"/>
        <w:rPr>
          <w:rFonts w:ascii="Arial" w:hAnsi="Arial" w:cs="Arial"/>
        </w:rPr>
      </w:pPr>
      <w:r w:rsidRPr="00846C4C">
        <w:rPr>
          <w:rFonts w:ascii="Arial" w:hAnsi="Arial" w:cs="Arial"/>
        </w:rPr>
        <w:t xml:space="preserve">According to </w:t>
      </w:r>
      <w:r w:rsidR="00EF17B6" w:rsidRPr="00846C4C">
        <w:rPr>
          <w:rFonts w:ascii="Arial" w:hAnsi="Arial" w:cs="Arial"/>
        </w:rPr>
        <w:t>Kale, (</w:t>
      </w:r>
      <w:r w:rsidRPr="00846C4C">
        <w:rPr>
          <w:rFonts w:ascii="Arial" w:hAnsi="Arial" w:cs="Arial"/>
        </w:rPr>
        <w:t>2019</w:t>
      </w:r>
      <w:r w:rsidR="00EF17B6" w:rsidRPr="00846C4C">
        <w:rPr>
          <w:rFonts w:ascii="Arial" w:hAnsi="Arial" w:cs="Arial"/>
        </w:rPr>
        <w:t>)</w:t>
      </w:r>
      <w:r w:rsidR="003504B6" w:rsidRPr="00846C4C">
        <w:rPr>
          <w:rFonts w:ascii="Arial" w:hAnsi="Arial" w:cs="Arial"/>
          <w:i/>
          <w:iCs/>
        </w:rPr>
        <w:t xml:space="preserve"> </w:t>
      </w:r>
      <w:r w:rsidR="00AB50A1" w:rsidRPr="00846C4C">
        <w:rPr>
          <w:rFonts w:ascii="Arial" w:hAnsi="Arial" w:cs="Arial"/>
        </w:rPr>
        <w:t>The Indian medical companies has the most USFDA (Food and medicine Administration) licenced production units outside of the US, accounting for 39% of all generic medicine approvals in 2013 (Balakrishnan, 2014). Because of Indian enterprises' considerable position in the US market, there has been increased monitoring, resulting in over thirty importation notifications received by Indian corporations since 2009. The FDA has identified many Indian pharmaceutical firms that have experienced issues with data integrity and Good Manufacturing Practises (GMP) at their plants</w:t>
      </w:r>
      <w:r w:rsidR="00DC1E29" w:rsidRPr="00846C4C">
        <w:rPr>
          <w:rFonts w:ascii="Arial" w:hAnsi="Arial" w:cs="Arial"/>
        </w:rPr>
        <w:t xml:space="preserve">. </w:t>
      </w:r>
      <w:r w:rsidR="00AB50A1" w:rsidRPr="00846C4C">
        <w:rPr>
          <w:rFonts w:ascii="Arial" w:hAnsi="Arial" w:cs="Arial"/>
        </w:rPr>
        <w:t>The FDA issued import advisories against several plants in 2014, including Sun Pharmaceuticals and Cadila Pharmaceuticals businesses.</w:t>
      </w:r>
    </w:p>
    <w:p w14:paraId="4F1A16CA" w14:textId="77777777" w:rsidR="00BE25F3" w:rsidRPr="00846C4C" w:rsidRDefault="00BE25F3" w:rsidP="00043AAA">
      <w:pPr>
        <w:spacing w:line="360" w:lineRule="auto"/>
        <w:jc w:val="both"/>
        <w:rPr>
          <w:rFonts w:ascii="Arial" w:hAnsi="Arial" w:cs="Arial"/>
        </w:rPr>
      </w:pPr>
    </w:p>
    <w:p w14:paraId="2632DAFA" w14:textId="77777777" w:rsidR="00BE25F3" w:rsidRPr="00846C4C" w:rsidRDefault="00BE25F3" w:rsidP="00043AAA">
      <w:pPr>
        <w:spacing w:line="360" w:lineRule="auto"/>
        <w:jc w:val="both"/>
        <w:rPr>
          <w:rFonts w:ascii="Arial" w:hAnsi="Arial" w:cs="Arial"/>
        </w:rPr>
      </w:pPr>
    </w:p>
    <w:p w14:paraId="22C203DB" w14:textId="77777777" w:rsidR="00BE25F3" w:rsidRPr="00846C4C" w:rsidRDefault="00BE25F3" w:rsidP="00043AAA">
      <w:pPr>
        <w:spacing w:line="360" w:lineRule="auto"/>
        <w:jc w:val="both"/>
        <w:rPr>
          <w:rFonts w:ascii="Arial" w:hAnsi="Arial" w:cs="Arial"/>
        </w:rPr>
      </w:pPr>
    </w:p>
    <w:p w14:paraId="7FAA3965" w14:textId="77777777" w:rsidR="00BE25F3" w:rsidRPr="00846C4C" w:rsidRDefault="00BE25F3" w:rsidP="00043AAA">
      <w:pPr>
        <w:spacing w:line="360" w:lineRule="auto"/>
        <w:jc w:val="both"/>
        <w:rPr>
          <w:rFonts w:ascii="Arial" w:hAnsi="Arial" w:cs="Arial"/>
        </w:rPr>
      </w:pPr>
    </w:p>
    <w:p w14:paraId="115A5C14" w14:textId="77777777" w:rsidR="00BE25F3" w:rsidRPr="00846C4C" w:rsidRDefault="00BE25F3" w:rsidP="00043AAA">
      <w:pPr>
        <w:spacing w:line="360" w:lineRule="auto"/>
        <w:jc w:val="both"/>
        <w:rPr>
          <w:rFonts w:ascii="Arial" w:hAnsi="Arial" w:cs="Arial"/>
        </w:rPr>
      </w:pPr>
    </w:p>
    <w:p w14:paraId="53FDA4A4" w14:textId="77777777" w:rsidR="00043AAA" w:rsidRPr="00846C4C" w:rsidRDefault="00043AAA" w:rsidP="00043AAA">
      <w:pPr>
        <w:spacing w:line="360" w:lineRule="auto"/>
        <w:jc w:val="both"/>
        <w:rPr>
          <w:rFonts w:ascii="Arial" w:hAnsi="Arial" w:cs="Arial"/>
        </w:rPr>
      </w:pPr>
    </w:p>
    <w:p w14:paraId="182B3FE1" w14:textId="77777777" w:rsidR="00043AAA" w:rsidRPr="00846C4C" w:rsidRDefault="00043AAA" w:rsidP="00043AAA">
      <w:pPr>
        <w:spacing w:line="360" w:lineRule="auto"/>
        <w:jc w:val="both"/>
        <w:rPr>
          <w:rFonts w:ascii="Arial" w:hAnsi="Arial" w:cs="Arial"/>
        </w:rPr>
      </w:pPr>
    </w:p>
    <w:p w14:paraId="49312FCC" w14:textId="77777777" w:rsidR="00043AAA" w:rsidRPr="00846C4C" w:rsidRDefault="00043AAA" w:rsidP="00043AAA">
      <w:pPr>
        <w:spacing w:line="360" w:lineRule="auto"/>
        <w:jc w:val="both"/>
        <w:rPr>
          <w:rFonts w:ascii="Arial" w:hAnsi="Arial" w:cs="Arial"/>
        </w:rPr>
      </w:pPr>
    </w:p>
    <w:p w14:paraId="4335ACF1" w14:textId="77777777" w:rsidR="00043AAA" w:rsidRPr="00846C4C" w:rsidRDefault="00043AAA" w:rsidP="00043AAA">
      <w:pPr>
        <w:spacing w:line="360" w:lineRule="auto"/>
        <w:jc w:val="both"/>
        <w:rPr>
          <w:rFonts w:ascii="Arial" w:hAnsi="Arial" w:cs="Arial"/>
        </w:rPr>
      </w:pPr>
    </w:p>
    <w:p w14:paraId="7A61CCFB" w14:textId="77777777" w:rsidR="00043AAA" w:rsidRPr="00846C4C" w:rsidRDefault="00043AAA" w:rsidP="00043AAA">
      <w:pPr>
        <w:spacing w:line="360" w:lineRule="auto"/>
        <w:jc w:val="both"/>
        <w:rPr>
          <w:rFonts w:ascii="Arial" w:hAnsi="Arial" w:cs="Arial"/>
        </w:rPr>
      </w:pPr>
    </w:p>
    <w:p w14:paraId="632F5C0D" w14:textId="77777777" w:rsidR="005A78CA" w:rsidRPr="00846C4C" w:rsidRDefault="005A78CA" w:rsidP="00043AAA">
      <w:pPr>
        <w:pStyle w:val="NormalWeb"/>
        <w:shd w:val="clear" w:color="auto" w:fill="FFFFFF"/>
        <w:spacing w:before="0" w:beforeAutospacing="0" w:after="173" w:afterAutospacing="0" w:line="360" w:lineRule="auto"/>
        <w:rPr>
          <w:rFonts w:ascii="Arial" w:hAnsi="Arial" w:cs="Arial"/>
          <w:sz w:val="28"/>
          <w:szCs w:val="28"/>
        </w:rPr>
      </w:pPr>
    </w:p>
    <w:p w14:paraId="7A550932" w14:textId="77777777" w:rsidR="00043AAA" w:rsidRPr="00846C4C" w:rsidRDefault="00043AAA" w:rsidP="00043AAA">
      <w:pPr>
        <w:pStyle w:val="Heading1"/>
        <w:spacing w:line="360" w:lineRule="auto"/>
        <w:rPr>
          <w:color w:val="auto"/>
        </w:rPr>
      </w:pPr>
    </w:p>
    <w:p w14:paraId="085ED6D4" w14:textId="77777777" w:rsidR="00043AAA" w:rsidRPr="00846C4C" w:rsidRDefault="00043AAA" w:rsidP="00043AAA">
      <w:pPr>
        <w:pStyle w:val="Heading1"/>
        <w:spacing w:line="360" w:lineRule="auto"/>
        <w:rPr>
          <w:color w:val="auto"/>
        </w:rPr>
      </w:pPr>
    </w:p>
    <w:p w14:paraId="52270CFE" w14:textId="77777777" w:rsidR="00043AAA" w:rsidRPr="00846C4C" w:rsidRDefault="00043AAA" w:rsidP="00043AAA">
      <w:pPr>
        <w:pStyle w:val="Heading1"/>
        <w:spacing w:line="360" w:lineRule="auto"/>
        <w:rPr>
          <w:color w:val="auto"/>
        </w:rPr>
      </w:pPr>
    </w:p>
    <w:p w14:paraId="531000DF" w14:textId="77777777" w:rsidR="00043AAA" w:rsidRPr="00846C4C" w:rsidRDefault="00043AAA" w:rsidP="00043AAA">
      <w:pPr>
        <w:pStyle w:val="Heading1"/>
        <w:spacing w:line="360" w:lineRule="auto"/>
        <w:rPr>
          <w:color w:val="auto"/>
        </w:rPr>
      </w:pPr>
    </w:p>
    <w:p w14:paraId="578A5E71" w14:textId="77777777" w:rsidR="00043AAA" w:rsidRPr="00846C4C" w:rsidRDefault="00043AAA" w:rsidP="00043AAA"/>
    <w:p w14:paraId="291772B3" w14:textId="77777777" w:rsidR="00043AAA" w:rsidRPr="00846C4C" w:rsidRDefault="00043AAA" w:rsidP="00043AAA"/>
    <w:p w14:paraId="61B54494" w14:textId="77777777" w:rsidR="00043AAA" w:rsidRPr="00846C4C" w:rsidRDefault="00043AAA" w:rsidP="00043AAA">
      <w:pPr>
        <w:pStyle w:val="Heading1"/>
        <w:spacing w:line="360" w:lineRule="auto"/>
        <w:rPr>
          <w:color w:val="auto"/>
        </w:rPr>
      </w:pPr>
    </w:p>
    <w:p w14:paraId="36FE3B4D" w14:textId="77777777" w:rsidR="00B151F4" w:rsidRPr="00846C4C" w:rsidRDefault="00B151F4" w:rsidP="00B151F4"/>
    <w:p w14:paraId="7492167E" w14:textId="77777777" w:rsidR="00B151F4" w:rsidRPr="00846C4C" w:rsidRDefault="00B151F4" w:rsidP="00B151F4"/>
    <w:p w14:paraId="7A2FE1CF" w14:textId="77777777" w:rsidR="00B151F4" w:rsidRDefault="00B151F4" w:rsidP="00B151F4"/>
    <w:p w14:paraId="570BF9FC" w14:textId="77777777" w:rsidR="00652511" w:rsidRDefault="00652511" w:rsidP="00B151F4"/>
    <w:p w14:paraId="7713859B" w14:textId="77777777" w:rsidR="00652511" w:rsidRDefault="00652511" w:rsidP="00B151F4"/>
    <w:p w14:paraId="7A671DED" w14:textId="77777777" w:rsidR="00652511" w:rsidRDefault="00652511" w:rsidP="00B151F4"/>
    <w:p w14:paraId="0E13B045" w14:textId="77777777" w:rsidR="00652511" w:rsidRDefault="00652511" w:rsidP="00B151F4"/>
    <w:p w14:paraId="47C870FB" w14:textId="77777777" w:rsidR="00652511" w:rsidRDefault="00652511" w:rsidP="00B151F4"/>
    <w:p w14:paraId="63A3A5C0" w14:textId="77777777" w:rsidR="00652511" w:rsidRDefault="00652511" w:rsidP="00B151F4"/>
    <w:p w14:paraId="52E10C36" w14:textId="77777777" w:rsidR="00652511" w:rsidRDefault="00652511" w:rsidP="00B151F4"/>
    <w:p w14:paraId="39509BB6" w14:textId="77777777" w:rsidR="00652511" w:rsidRPr="00846C4C" w:rsidRDefault="00652511" w:rsidP="00B151F4"/>
    <w:p w14:paraId="288472A6" w14:textId="77777777" w:rsidR="00B151F4" w:rsidRPr="00846C4C" w:rsidRDefault="00B151F4" w:rsidP="00B151F4"/>
    <w:p w14:paraId="082F3745" w14:textId="77777777" w:rsidR="00043AAA" w:rsidRPr="00846C4C" w:rsidRDefault="00043AAA" w:rsidP="00043AAA"/>
    <w:p w14:paraId="188CA9F0" w14:textId="721B4AEA" w:rsidR="00BE25F3" w:rsidRPr="004B08AF" w:rsidRDefault="004B08AF" w:rsidP="004B08AF">
      <w:pPr>
        <w:pStyle w:val="Heading1"/>
        <w:spacing w:line="360" w:lineRule="auto"/>
        <w:jc w:val="center"/>
        <w:rPr>
          <w:rFonts w:ascii="Arial" w:hAnsi="Arial" w:cs="Arial"/>
          <w:color w:val="auto"/>
        </w:rPr>
      </w:pPr>
      <w:bookmarkStart w:id="43" w:name="_Toc151055291"/>
      <w:r w:rsidRPr="004B08AF">
        <w:rPr>
          <w:rFonts w:ascii="Arial" w:hAnsi="Arial" w:cs="Arial"/>
          <w:color w:val="auto"/>
        </w:rPr>
        <w:lastRenderedPageBreak/>
        <w:t>Reference List</w:t>
      </w:r>
      <w:bookmarkEnd w:id="43"/>
    </w:p>
    <w:p w14:paraId="03E9BA72" w14:textId="63AA5506"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i/>
          <w:iCs/>
          <w:sz w:val="22"/>
          <w:szCs w:val="22"/>
        </w:rPr>
        <w:t>About Us. </w:t>
      </w:r>
      <w:r w:rsidRPr="00846C4C">
        <w:rPr>
          <w:rFonts w:ascii="Arial" w:hAnsi="Arial" w:cs="Arial"/>
          <w:sz w:val="22"/>
          <w:szCs w:val="22"/>
        </w:rPr>
        <w:t>(2023) Available at: </w:t>
      </w:r>
      <w:hyperlink r:id="rId16" w:tgtFrame="_blank" w:history="1">
        <w:r w:rsidRPr="00846C4C">
          <w:rPr>
            <w:rStyle w:val="Hyperlink"/>
            <w:rFonts w:ascii="Arial" w:hAnsi="Arial" w:cs="Arial"/>
            <w:color w:val="auto"/>
            <w:sz w:val="22"/>
            <w:szCs w:val="22"/>
          </w:rPr>
          <w:t>https://www.astrazeneca.in/about-us.html</w:t>
        </w:r>
      </w:hyperlink>
      <w:r w:rsidRPr="00846C4C">
        <w:rPr>
          <w:rFonts w:ascii="Arial" w:hAnsi="Arial" w:cs="Arial"/>
          <w:sz w:val="22"/>
          <w:szCs w:val="22"/>
        </w:rPr>
        <w:t> (Accessed: Nov 9, 2023).</w:t>
      </w:r>
    </w:p>
    <w:p w14:paraId="38A26036" w14:textId="77777777"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i/>
          <w:iCs/>
          <w:sz w:val="22"/>
          <w:szCs w:val="22"/>
        </w:rPr>
        <w:t>Site Expansion Lead at AstraZeneca. </w:t>
      </w:r>
      <w:r w:rsidRPr="00846C4C">
        <w:rPr>
          <w:rFonts w:ascii="Arial" w:hAnsi="Arial" w:cs="Arial"/>
          <w:sz w:val="22"/>
          <w:szCs w:val="22"/>
        </w:rPr>
        <w:t>(2023) Available at: </w:t>
      </w:r>
      <w:hyperlink r:id="rId17" w:tgtFrame="_blank" w:history="1">
        <w:r w:rsidRPr="00846C4C">
          <w:rPr>
            <w:rStyle w:val="Hyperlink"/>
            <w:rFonts w:ascii="Arial" w:hAnsi="Arial" w:cs="Arial"/>
            <w:color w:val="auto"/>
            <w:sz w:val="22"/>
            <w:szCs w:val="22"/>
          </w:rPr>
          <w:t>https://careers.astrazeneca.com/job/lisbon/site-expansion-lead/7684/57027147264</w:t>
        </w:r>
      </w:hyperlink>
      <w:r w:rsidRPr="00846C4C">
        <w:rPr>
          <w:rFonts w:ascii="Arial" w:hAnsi="Arial" w:cs="Arial"/>
          <w:sz w:val="22"/>
          <w:szCs w:val="22"/>
        </w:rPr>
        <w:t> (Accessed: Nov 10, 2023).</w:t>
      </w:r>
    </w:p>
    <w:p w14:paraId="4851C551" w14:textId="77777777"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i/>
          <w:iCs/>
          <w:sz w:val="22"/>
          <w:szCs w:val="22"/>
        </w:rPr>
        <w:t>Snapshot: Pharma Logistics: Prognosis Positive. </w:t>
      </w:r>
      <w:r w:rsidRPr="00846C4C">
        <w:rPr>
          <w:rFonts w:ascii="Arial" w:hAnsi="Arial" w:cs="Arial"/>
          <w:sz w:val="22"/>
          <w:szCs w:val="22"/>
        </w:rPr>
        <w:t>Available at: </w:t>
      </w:r>
      <w:hyperlink r:id="rId18" w:tgtFrame="_blank" w:history="1">
        <w:r w:rsidRPr="00846C4C">
          <w:rPr>
            <w:rStyle w:val="Hyperlink"/>
            <w:rFonts w:ascii="Arial" w:hAnsi="Arial" w:cs="Arial"/>
            <w:color w:val="auto"/>
            <w:sz w:val="22"/>
            <w:szCs w:val="22"/>
          </w:rPr>
          <w:t>https://www.inboundlogistics.com/articles/snapshot-pharma-logistics-prognosis-positive/</w:t>
        </w:r>
      </w:hyperlink>
      <w:r w:rsidRPr="00846C4C">
        <w:rPr>
          <w:rFonts w:ascii="Arial" w:hAnsi="Arial" w:cs="Arial"/>
          <w:sz w:val="22"/>
          <w:szCs w:val="22"/>
        </w:rPr>
        <w:t> (Accessed: Nov 11, 2023).</w:t>
      </w:r>
    </w:p>
    <w:p w14:paraId="040B9C21" w14:textId="77777777"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Abrantes, B.F. (2023) </w:t>
      </w:r>
      <w:r w:rsidRPr="00846C4C">
        <w:rPr>
          <w:rFonts w:ascii="Arial" w:hAnsi="Arial" w:cs="Arial"/>
          <w:i/>
          <w:iCs/>
          <w:sz w:val="22"/>
          <w:szCs w:val="22"/>
        </w:rPr>
        <w:t>Principles of external business environment analyzability in an organizational context</w:t>
      </w:r>
      <w:r w:rsidRPr="00846C4C">
        <w:rPr>
          <w:rFonts w:ascii="Arial" w:hAnsi="Arial" w:cs="Arial"/>
          <w:sz w:val="22"/>
          <w:szCs w:val="22"/>
        </w:rPr>
        <w:t> Hershey, PA: IGI Global.</w:t>
      </w:r>
    </w:p>
    <w:p w14:paraId="4C716073" w14:textId="77777777"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Alexandre Bohas, Michael J. Morley &amp; Aseem Kinra (2021) 'Perlmutter revisited: Revealing the anomic mindset', </w:t>
      </w:r>
      <w:r w:rsidRPr="00846C4C">
        <w:rPr>
          <w:rFonts w:ascii="Arial" w:hAnsi="Arial" w:cs="Arial"/>
          <w:i/>
          <w:iCs/>
          <w:sz w:val="22"/>
          <w:szCs w:val="22"/>
        </w:rPr>
        <w:t>Journal of International Business Studies, </w:t>
      </w:r>
      <w:r w:rsidRPr="00846C4C">
        <w:rPr>
          <w:rFonts w:ascii="Arial" w:hAnsi="Arial" w:cs="Arial"/>
          <w:sz w:val="22"/>
          <w:szCs w:val="22"/>
        </w:rPr>
        <w:t>52, pp. 1695-1723 Available at: </w:t>
      </w:r>
      <w:hyperlink r:id="rId19" w:tgtFrame="_blank" w:history="1">
        <w:r w:rsidRPr="00846C4C">
          <w:rPr>
            <w:rStyle w:val="Hyperlink"/>
            <w:rFonts w:ascii="Arial" w:hAnsi="Arial" w:cs="Arial"/>
            <w:color w:val="auto"/>
            <w:sz w:val="22"/>
            <w:szCs w:val="22"/>
          </w:rPr>
          <w:t>https://link.springer.com/article/10.1057/s41267-021-00419-0.</w:t>
        </w:r>
      </w:hyperlink>
    </w:p>
    <w:p w14:paraId="348DFA0A" w14:textId="5BAF8BE7"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Benjathikul, B. (2021) 'Leadership of Thai Organization in VUCA Age among Epidemic Management', </w:t>
      </w:r>
      <w:r w:rsidRPr="00846C4C">
        <w:rPr>
          <w:rFonts w:ascii="Arial" w:hAnsi="Arial" w:cs="Arial"/>
          <w:i/>
          <w:iCs/>
          <w:sz w:val="22"/>
          <w:szCs w:val="22"/>
        </w:rPr>
        <w:t>Journal of Legal, Ethical and Regulatory Issues, </w:t>
      </w:r>
      <w:r w:rsidRPr="00846C4C">
        <w:rPr>
          <w:rFonts w:ascii="Arial" w:hAnsi="Arial" w:cs="Arial"/>
          <w:sz w:val="22"/>
          <w:szCs w:val="22"/>
        </w:rPr>
        <w:t>24, pp. 1 Available at: </w:t>
      </w:r>
      <w:hyperlink r:id="rId20" w:tgtFrame="_blank" w:history="1">
        <w:r w:rsidRPr="00846C4C">
          <w:rPr>
            <w:rStyle w:val="Hyperlink"/>
            <w:rFonts w:ascii="Arial" w:hAnsi="Arial" w:cs="Arial"/>
            <w:color w:val="auto"/>
            <w:sz w:val="22"/>
            <w:szCs w:val="22"/>
          </w:rPr>
          <w:t>https://heinonline.org/HOL/Page?handle=hein.journals/jnlolletl24&amp;id=3055&amp;div=&amp;collection=.</w:t>
        </w:r>
      </w:hyperlink>
    </w:p>
    <w:p w14:paraId="45BE1871" w14:textId="53C173EC"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Cavusgil, S.T., Riesenberger, J. and Knight, G. (2016) </w:t>
      </w:r>
      <w:r w:rsidRPr="00846C4C">
        <w:rPr>
          <w:rFonts w:ascii="Arial" w:hAnsi="Arial" w:cs="Arial"/>
          <w:i/>
          <w:iCs/>
          <w:sz w:val="22"/>
          <w:szCs w:val="22"/>
        </w:rPr>
        <w:t>International Business: The New Realities, EBook, Global Edition</w:t>
      </w:r>
      <w:r w:rsidRPr="00846C4C">
        <w:rPr>
          <w:rFonts w:ascii="Arial" w:hAnsi="Arial" w:cs="Arial"/>
          <w:sz w:val="22"/>
          <w:szCs w:val="22"/>
        </w:rPr>
        <w:t> Harlow, UNITED KINGDOM: Pearson Education, Limited.</w:t>
      </w:r>
    </w:p>
    <w:p w14:paraId="28BC737B" w14:textId="069813B3"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Costa-Font, J., Asaria, M. and Mossialos, E. (2021) '‘Erring on the side of rare events? A behavioural explanation for COVID-19 vaccine regulatory misalignment', </w:t>
      </w:r>
      <w:r w:rsidRPr="00846C4C">
        <w:rPr>
          <w:rFonts w:ascii="Arial" w:hAnsi="Arial" w:cs="Arial"/>
          <w:i/>
          <w:iCs/>
          <w:sz w:val="22"/>
          <w:szCs w:val="22"/>
        </w:rPr>
        <w:t>Journal of Global Health, </w:t>
      </w:r>
      <w:r w:rsidRPr="00846C4C">
        <w:rPr>
          <w:rFonts w:ascii="Arial" w:hAnsi="Arial" w:cs="Arial"/>
          <w:sz w:val="22"/>
          <w:szCs w:val="22"/>
        </w:rPr>
        <w:t>11, pp. 03080 Available at: </w:t>
      </w:r>
      <w:hyperlink r:id="rId21" w:tgtFrame="_blank" w:history="1">
        <w:r w:rsidRPr="00846C4C">
          <w:rPr>
            <w:rStyle w:val="Hyperlink"/>
            <w:rFonts w:ascii="Arial" w:hAnsi="Arial" w:cs="Arial"/>
            <w:color w:val="auto"/>
            <w:sz w:val="22"/>
            <w:szCs w:val="22"/>
          </w:rPr>
          <w:t>https://doi.org/10.7189/jogh.11.03080.</w:t>
        </w:r>
      </w:hyperlink>
    </w:p>
    <w:p w14:paraId="60A6F3A6" w14:textId="77777777" w:rsidR="00BE25F3" w:rsidRPr="00846C4C" w:rsidRDefault="00BE25F3" w:rsidP="00043AAA">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David S Black (2009) 'A Brief Definition of Mindfulness', </w:t>
      </w:r>
      <w:r w:rsidRPr="00846C4C">
        <w:rPr>
          <w:rFonts w:ascii="Arial" w:hAnsi="Arial" w:cs="Arial"/>
          <w:i/>
          <w:iCs/>
          <w:sz w:val="22"/>
          <w:szCs w:val="22"/>
        </w:rPr>
        <w:t>Definition of Mindfulness, </w:t>
      </w:r>
      <w:r w:rsidRPr="00846C4C">
        <w:rPr>
          <w:rFonts w:ascii="Arial" w:hAnsi="Arial" w:cs="Arial"/>
          <w:sz w:val="22"/>
          <w:szCs w:val="22"/>
        </w:rPr>
        <w:t>, pp. 1-2 Available at: </w:t>
      </w:r>
      <w:hyperlink r:id="rId22" w:tgtFrame="_blank" w:history="1">
        <w:r w:rsidRPr="00846C4C">
          <w:rPr>
            <w:rStyle w:val="Hyperlink"/>
            <w:rFonts w:ascii="Arial" w:hAnsi="Arial" w:cs="Arial"/>
            <w:color w:val="auto"/>
            <w:sz w:val="22"/>
            <w:szCs w:val="22"/>
          </w:rPr>
          <w:t>https://citeseerx.ist.psu.edu/document?repid=rep1&amp;type=pdf&amp;doi=0fc600e719983013f69b352fdd94d3acd7b17c69.</w:t>
        </w:r>
      </w:hyperlink>
    </w:p>
    <w:p w14:paraId="7FDE0975"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Dinar Kale (2019) 'From small molecule generics to biosimilars: Technological upgrading and patterns of distinctive learning processes in the Indian pharmaceutical industry - ScienceDirect', </w:t>
      </w:r>
      <w:r w:rsidRPr="00846C4C">
        <w:rPr>
          <w:rFonts w:ascii="Arial" w:hAnsi="Arial" w:cs="Arial"/>
          <w:i/>
          <w:iCs/>
          <w:sz w:val="22"/>
          <w:szCs w:val="22"/>
        </w:rPr>
        <w:t>Technological Forecasting and Social Change, </w:t>
      </w:r>
      <w:r w:rsidRPr="00846C4C">
        <w:rPr>
          <w:rFonts w:ascii="Arial" w:hAnsi="Arial" w:cs="Arial"/>
          <w:sz w:val="22"/>
          <w:szCs w:val="22"/>
        </w:rPr>
        <w:t>, pp. 370-383 Available at: </w:t>
      </w:r>
      <w:hyperlink r:id="rId23" w:tgtFrame="_blank" w:history="1">
        <w:r w:rsidRPr="00846C4C">
          <w:rPr>
            <w:rStyle w:val="Hyperlink"/>
            <w:rFonts w:ascii="Arial" w:hAnsi="Arial" w:cs="Arial"/>
            <w:color w:val="auto"/>
            <w:sz w:val="22"/>
            <w:szCs w:val="22"/>
          </w:rPr>
          <w:t>https://doi.org/10.1016/j.techfore.2018.09.020.</w:t>
        </w:r>
      </w:hyperlink>
    </w:p>
    <w:p w14:paraId="041DCBC3"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lastRenderedPageBreak/>
        <w:t>Elena – Mădălina VĂTĂMĂNESCU, Vlad – Andrei ALEXANDRU and Elena – Alexandra GORGOS 'The Five Cs Model of Business Internationalization</w:t>
      </w:r>
      <w:r w:rsidRPr="00846C4C">
        <w:rPr>
          <w:rFonts w:ascii="Arial" w:hAnsi="Arial" w:cs="Arial"/>
          <w:sz w:val="22"/>
          <w:szCs w:val="22"/>
        </w:rPr>
        <w:br/>
        <w:t>(CMBI) – a preliminary theoretical insight into today’s business internationalization challenges', Available at: </w:t>
      </w:r>
      <w:hyperlink r:id="rId24" w:tgtFrame="_blank" w:history="1">
        <w:r w:rsidRPr="00846C4C">
          <w:rPr>
            <w:rStyle w:val="Hyperlink"/>
            <w:rFonts w:ascii="Arial" w:hAnsi="Arial" w:cs="Arial"/>
            <w:color w:val="auto"/>
            <w:sz w:val="22"/>
            <w:szCs w:val="22"/>
          </w:rPr>
          <w:t>https://strategica-conference.ro/wp-content/uploads/2022/05/Art.-28.pdf.</w:t>
        </w:r>
      </w:hyperlink>
    </w:p>
    <w:p w14:paraId="061EADDE"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Eriksson, P.E. (2008) 'Achieving Suitable Coopetition in Buyer–Supplier Relationships: The Case of AstraZeneca', </w:t>
      </w:r>
      <w:r w:rsidRPr="00846C4C">
        <w:rPr>
          <w:rFonts w:ascii="Arial" w:hAnsi="Arial" w:cs="Arial"/>
          <w:i/>
          <w:iCs/>
          <w:sz w:val="22"/>
          <w:szCs w:val="22"/>
        </w:rPr>
        <w:t>Journal of Business-to-Business Marketing, </w:t>
      </w:r>
      <w:r w:rsidRPr="00846C4C">
        <w:rPr>
          <w:rFonts w:ascii="Arial" w:hAnsi="Arial" w:cs="Arial"/>
          <w:sz w:val="22"/>
          <w:szCs w:val="22"/>
        </w:rPr>
        <w:t>15(4), pp. 425-454 Available at: </w:t>
      </w:r>
      <w:hyperlink r:id="rId25" w:tgtFrame="_blank" w:history="1">
        <w:r w:rsidRPr="00846C4C">
          <w:rPr>
            <w:rStyle w:val="Hyperlink"/>
            <w:rFonts w:ascii="Arial" w:hAnsi="Arial" w:cs="Arial"/>
            <w:color w:val="auto"/>
            <w:sz w:val="22"/>
            <w:szCs w:val="22"/>
          </w:rPr>
          <w:t>https://doi.org/10.1080/15470620802325674.</w:t>
        </w:r>
      </w:hyperlink>
    </w:p>
    <w:p w14:paraId="6200CFB3"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Gartner for, I.T. (2021) </w:t>
      </w:r>
      <w:r w:rsidRPr="00846C4C">
        <w:rPr>
          <w:rFonts w:ascii="Arial" w:hAnsi="Arial" w:cs="Arial"/>
          <w:i/>
          <w:iCs/>
          <w:sz w:val="22"/>
          <w:szCs w:val="22"/>
        </w:rPr>
        <w:t>AstraZeneca Drives Sustainable Growth Through Innovation. </w:t>
      </w:r>
      <w:r w:rsidRPr="00846C4C">
        <w:rPr>
          <w:rFonts w:ascii="Arial" w:hAnsi="Arial" w:cs="Arial"/>
          <w:sz w:val="22"/>
          <w:szCs w:val="22"/>
        </w:rPr>
        <w:t>Available at: </w:t>
      </w:r>
      <w:hyperlink r:id="rId26" w:tgtFrame="_blank" w:history="1">
        <w:r w:rsidRPr="00846C4C">
          <w:rPr>
            <w:rStyle w:val="Hyperlink"/>
            <w:rFonts w:ascii="Arial" w:hAnsi="Arial" w:cs="Arial"/>
            <w:color w:val="auto"/>
            <w:sz w:val="22"/>
            <w:szCs w:val="22"/>
          </w:rPr>
          <w:t>https://www.gartner.com/en/information-technology/customer-success-stories/driving-growth-through-innovation</w:t>
        </w:r>
      </w:hyperlink>
      <w:r w:rsidRPr="00846C4C">
        <w:rPr>
          <w:rFonts w:ascii="Arial" w:hAnsi="Arial" w:cs="Arial"/>
          <w:sz w:val="22"/>
          <w:szCs w:val="22"/>
        </w:rPr>
        <w:t> (Accessed: Nov 15, 2023).</w:t>
      </w:r>
    </w:p>
    <w:p w14:paraId="542CECC1"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Hoxha, O. (2023) </w:t>
      </w:r>
      <w:r w:rsidRPr="00846C4C">
        <w:rPr>
          <w:rFonts w:ascii="Arial" w:hAnsi="Arial" w:cs="Arial"/>
          <w:i/>
          <w:iCs/>
          <w:sz w:val="22"/>
          <w:szCs w:val="22"/>
        </w:rPr>
        <w:t>External Network Manufacturing Capacity Design and Procurement in the Pharmaceutical Industry. </w:t>
      </w:r>
      <w:r w:rsidRPr="00846C4C">
        <w:rPr>
          <w:rFonts w:ascii="Arial" w:hAnsi="Arial" w:cs="Arial"/>
          <w:sz w:val="22"/>
          <w:szCs w:val="22"/>
        </w:rPr>
        <w:t>. Massachusetts Institute of Technology. Available at: </w:t>
      </w:r>
      <w:hyperlink r:id="rId27" w:tgtFrame="_blank" w:history="1">
        <w:r w:rsidRPr="00846C4C">
          <w:rPr>
            <w:rStyle w:val="Hyperlink"/>
            <w:rFonts w:ascii="Arial" w:hAnsi="Arial" w:cs="Arial"/>
            <w:color w:val="auto"/>
            <w:sz w:val="22"/>
            <w:szCs w:val="22"/>
          </w:rPr>
          <w:t>https://dspace.mit.edu/handle/1721.1/151688</w:t>
        </w:r>
      </w:hyperlink>
      <w:r w:rsidRPr="00846C4C">
        <w:rPr>
          <w:rFonts w:ascii="Arial" w:hAnsi="Arial" w:cs="Arial"/>
          <w:sz w:val="22"/>
          <w:szCs w:val="22"/>
        </w:rPr>
        <w:t> (Accessed: Nov 12, 2023).</w:t>
      </w:r>
    </w:p>
    <w:p w14:paraId="5A838313" w14:textId="74219E50"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Jean Brittain Leslie, Peter Ping Li, and Sophia Zhao (2015) 'Managing Paradox Blending East and West Philosophies to Unlock Its Advantages and Opportunities', </w:t>
      </w:r>
      <w:r w:rsidRPr="00846C4C">
        <w:rPr>
          <w:rFonts w:ascii="Arial" w:hAnsi="Arial" w:cs="Arial"/>
          <w:i/>
          <w:iCs/>
          <w:sz w:val="22"/>
          <w:szCs w:val="22"/>
        </w:rPr>
        <w:t>Centre for Creative Leadership, </w:t>
      </w:r>
      <w:r w:rsidRPr="00846C4C">
        <w:rPr>
          <w:rFonts w:ascii="Arial" w:hAnsi="Arial" w:cs="Arial"/>
          <w:sz w:val="22"/>
          <w:szCs w:val="22"/>
        </w:rPr>
        <w:t>, pp. 1-21 Available at: </w:t>
      </w:r>
      <w:hyperlink r:id="rId28" w:tgtFrame="_blank" w:history="1">
        <w:r w:rsidRPr="00846C4C">
          <w:rPr>
            <w:rStyle w:val="Hyperlink"/>
            <w:rFonts w:ascii="Arial" w:hAnsi="Arial" w:cs="Arial"/>
            <w:color w:val="auto"/>
            <w:sz w:val="22"/>
            <w:szCs w:val="22"/>
          </w:rPr>
          <w:t>https://cclinnovation.org/wp-content/uploads/2020/04/managing-paradox.pdf.</w:t>
        </w:r>
      </w:hyperlink>
    </w:p>
    <w:p w14:paraId="02485D60"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Jingjing Du, Z.C. (2018) 'Applying Organizational Ambidexterity in strategic management under a “VUCA” environment: Evidence from high tech companies in China', </w:t>
      </w:r>
      <w:r w:rsidRPr="00846C4C">
        <w:rPr>
          <w:rFonts w:ascii="Arial" w:hAnsi="Arial" w:cs="Arial"/>
          <w:i/>
          <w:iCs/>
          <w:sz w:val="22"/>
          <w:szCs w:val="22"/>
        </w:rPr>
        <w:t>International Journal of Innovation Studies, </w:t>
      </w:r>
      <w:r w:rsidRPr="00846C4C">
        <w:rPr>
          <w:rFonts w:ascii="Arial" w:hAnsi="Arial" w:cs="Arial"/>
          <w:sz w:val="22"/>
          <w:szCs w:val="22"/>
        </w:rPr>
        <w:t>2(1), pp. 42-52 Available at: </w:t>
      </w:r>
      <w:hyperlink r:id="rId29" w:tgtFrame="_blank" w:history="1">
        <w:r w:rsidRPr="00846C4C">
          <w:rPr>
            <w:rStyle w:val="Hyperlink"/>
            <w:rFonts w:ascii="Arial" w:hAnsi="Arial" w:cs="Arial"/>
            <w:color w:val="auto"/>
            <w:sz w:val="22"/>
            <w:szCs w:val="22"/>
          </w:rPr>
          <w:t>https://doi.org/rg/10.1016/j.ijis.2018.03.003.</w:t>
        </w:r>
      </w:hyperlink>
    </w:p>
    <w:p w14:paraId="2D32EDD0"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John Child, J.K., Oded Shenkar (2022) 'The role of context in SME internationalization – A review', </w:t>
      </w:r>
      <w:r w:rsidRPr="00846C4C">
        <w:rPr>
          <w:rFonts w:ascii="Arial" w:hAnsi="Arial" w:cs="Arial"/>
          <w:i/>
          <w:iCs/>
          <w:sz w:val="22"/>
          <w:szCs w:val="22"/>
        </w:rPr>
        <w:t>Journal of World Business, </w:t>
      </w:r>
      <w:r w:rsidRPr="00846C4C">
        <w:rPr>
          <w:rFonts w:ascii="Arial" w:hAnsi="Arial" w:cs="Arial"/>
          <w:sz w:val="22"/>
          <w:szCs w:val="22"/>
        </w:rPr>
        <w:t>51(1) Available at: </w:t>
      </w:r>
      <w:hyperlink r:id="rId30" w:tgtFrame="_blank" w:history="1">
        <w:r w:rsidRPr="00846C4C">
          <w:rPr>
            <w:rStyle w:val="Hyperlink"/>
            <w:rFonts w:ascii="Arial" w:hAnsi="Arial" w:cs="Arial"/>
            <w:color w:val="auto"/>
            <w:sz w:val="22"/>
            <w:szCs w:val="22"/>
          </w:rPr>
          <w:t>https://doi.org/10.1016/j.jwb.2021.101267.</w:t>
        </w:r>
      </w:hyperlink>
    </w:p>
    <w:p w14:paraId="15DA186A"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Kanstos, E. and Poulios, I. (2016) 'Coordinating the distribution networks in clinical supply chains A case of AstraZeneca’s pharmaceutical and lab kits networks', Available at: </w:t>
      </w:r>
      <w:hyperlink r:id="rId31" w:tgtFrame="_blank" w:history="1">
        <w:r w:rsidRPr="00846C4C">
          <w:rPr>
            <w:rStyle w:val="Hyperlink"/>
            <w:rFonts w:ascii="Arial" w:hAnsi="Arial" w:cs="Arial"/>
            <w:color w:val="auto"/>
            <w:sz w:val="22"/>
            <w:szCs w:val="22"/>
          </w:rPr>
          <w:t>https://hdl.handle.net/20.500.12380/238383.</w:t>
        </w:r>
      </w:hyperlink>
    </w:p>
    <w:p w14:paraId="6AE74870"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Karssing, A. (2022) </w:t>
      </w:r>
      <w:r w:rsidRPr="00846C4C">
        <w:rPr>
          <w:rFonts w:ascii="Arial" w:hAnsi="Arial" w:cs="Arial"/>
          <w:i/>
          <w:iCs/>
          <w:sz w:val="22"/>
          <w:szCs w:val="22"/>
        </w:rPr>
        <w:t>The COVID-19 crisis and European integration : a single case-study on individual member state behaviour towards vaccine procurement. </w:t>
      </w:r>
      <w:r w:rsidRPr="00846C4C">
        <w:rPr>
          <w:rFonts w:ascii="Arial" w:hAnsi="Arial" w:cs="Arial"/>
          <w:sz w:val="22"/>
          <w:szCs w:val="22"/>
        </w:rPr>
        <w:t>Available at: </w:t>
      </w:r>
      <w:hyperlink r:id="rId32" w:tgtFrame="_blank" w:history="1">
        <w:r w:rsidRPr="00846C4C">
          <w:rPr>
            <w:rStyle w:val="Hyperlink"/>
            <w:rFonts w:ascii="Arial" w:hAnsi="Arial" w:cs="Arial"/>
            <w:color w:val="auto"/>
            <w:sz w:val="22"/>
            <w:szCs w:val="22"/>
          </w:rPr>
          <w:t>http://essay.utwente.nl/93152/</w:t>
        </w:r>
      </w:hyperlink>
      <w:r w:rsidRPr="00846C4C">
        <w:rPr>
          <w:rFonts w:ascii="Arial" w:hAnsi="Arial" w:cs="Arial"/>
          <w:sz w:val="22"/>
          <w:szCs w:val="22"/>
        </w:rPr>
        <w:t> (Accessed: Nov 12, 2023).</w:t>
      </w:r>
    </w:p>
    <w:p w14:paraId="45D2D7CA" w14:textId="083496F1"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lastRenderedPageBreak/>
        <w:t>Kiuna, N.W. (2013) </w:t>
      </w:r>
      <w:r w:rsidRPr="00846C4C">
        <w:rPr>
          <w:rFonts w:ascii="Arial" w:hAnsi="Arial" w:cs="Arial"/>
          <w:i/>
          <w:iCs/>
          <w:sz w:val="22"/>
          <w:szCs w:val="22"/>
        </w:rPr>
        <w:t>The EPRG (ethnocentric Polycentric Regiocentric Geocentric) model applied to KCB Bank Group as a multinational corporation. </w:t>
      </w:r>
      <w:r w:rsidRPr="00846C4C">
        <w:rPr>
          <w:rFonts w:ascii="Arial" w:hAnsi="Arial" w:cs="Arial"/>
          <w:sz w:val="22"/>
          <w:szCs w:val="22"/>
        </w:rPr>
        <w:t>. University of Nairobi. Available at: </w:t>
      </w:r>
      <w:hyperlink r:id="rId33" w:tgtFrame="_blank" w:history="1">
        <w:r w:rsidRPr="00846C4C">
          <w:rPr>
            <w:rStyle w:val="Hyperlink"/>
            <w:rFonts w:ascii="Arial" w:hAnsi="Arial" w:cs="Arial"/>
            <w:color w:val="auto"/>
            <w:sz w:val="22"/>
            <w:szCs w:val="22"/>
          </w:rPr>
          <w:t>http://erepository.uonbi.ac.ke/handle/11295/63990</w:t>
        </w:r>
      </w:hyperlink>
      <w:r w:rsidRPr="00846C4C">
        <w:rPr>
          <w:rFonts w:ascii="Arial" w:hAnsi="Arial" w:cs="Arial"/>
          <w:sz w:val="22"/>
          <w:szCs w:val="22"/>
        </w:rPr>
        <w:t> (Accessed: Nov 10, 2023).</w:t>
      </w:r>
    </w:p>
    <w:p w14:paraId="44AD37D3"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Lindenmeyer Asadi, A. and Stenbom, M. (2020) 'Development of KPIs for an Innovation Initiative between Big Pharma and SMEs. A case study of AstraZeneca’s BioVentureHub', Available at: </w:t>
      </w:r>
      <w:hyperlink r:id="rId34" w:tgtFrame="_blank" w:history="1">
        <w:r w:rsidRPr="00846C4C">
          <w:rPr>
            <w:rStyle w:val="Hyperlink"/>
            <w:rFonts w:ascii="Arial" w:hAnsi="Arial" w:cs="Arial"/>
            <w:color w:val="auto"/>
            <w:sz w:val="22"/>
            <w:szCs w:val="22"/>
          </w:rPr>
          <w:t>https://hdl.handle.net/20.500.12380/300964.</w:t>
        </w:r>
      </w:hyperlink>
    </w:p>
    <w:p w14:paraId="44437284" w14:textId="31AF014D"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Marc-Phillip Mast, Harshvardhan Modh and Carole Champanhac, Jiong-Wei WanG, Gerrit Storm, Johannes Krämer, Volker Mailänder, Giorgia Pastorin, Matthias G. Wacker (2021) 'Nanomedicine at the crossroads – A quick guide for IVIVC', </w:t>
      </w:r>
      <w:r w:rsidRPr="00846C4C">
        <w:rPr>
          <w:rFonts w:ascii="Arial" w:hAnsi="Arial" w:cs="Arial"/>
          <w:i/>
          <w:iCs/>
          <w:sz w:val="22"/>
          <w:szCs w:val="22"/>
        </w:rPr>
        <w:t>Advanced Drug Delivery Reviews, </w:t>
      </w:r>
      <w:r w:rsidRPr="00846C4C">
        <w:rPr>
          <w:rFonts w:ascii="Arial" w:hAnsi="Arial" w:cs="Arial"/>
          <w:sz w:val="22"/>
          <w:szCs w:val="22"/>
        </w:rPr>
        <w:t>179, pp. 2-25 Available at: </w:t>
      </w:r>
      <w:hyperlink r:id="rId35" w:history="1">
        <w:r w:rsidR="00EB278D" w:rsidRPr="00846C4C">
          <w:rPr>
            <w:rStyle w:val="Hyperlink"/>
            <w:rFonts w:ascii="Arial" w:hAnsi="Arial" w:cs="Arial"/>
            <w:color w:val="auto"/>
            <w:sz w:val="22"/>
            <w:szCs w:val="22"/>
          </w:rPr>
          <w:t>https://pdf.sciencedirectassets.com/271323/1-s2.0- Signature=3.</w:t>
        </w:r>
      </w:hyperlink>
    </w:p>
    <w:p w14:paraId="6A8D1C20"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Morgan, P., Brown, D.G., Lennard, S., Anderton, M.J., Barrett, J.C., Eriksson, U., Fidock, M., Hamrén, B., Johnson, A., March, R.E., Matcham, J., Mettetal, J., Nicholls, D.J., Platz, S., Rees, S., Snowden, M.A. and Pangalos, M.N. (2018) 'Impact of a five-dimensional framework on R&amp;D productivity at AstraZeneca', </w:t>
      </w:r>
      <w:r w:rsidRPr="00846C4C">
        <w:rPr>
          <w:rFonts w:ascii="Arial" w:hAnsi="Arial" w:cs="Arial"/>
          <w:i/>
          <w:iCs/>
          <w:sz w:val="22"/>
          <w:szCs w:val="22"/>
        </w:rPr>
        <w:t>Nature Reviews Drug Discovery, </w:t>
      </w:r>
      <w:r w:rsidRPr="00846C4C">
        <w:rPr>
          <w:rFonts w:ascii="Arial" w:hAnsi="Arial" w:cs="Arial"/>
          <w:sz w:val="22"/>
          <w:szCs w:val="22"/>
        </w:rPr>
        <w:t>17(3), pp. 167-181 Available at: </w:t>
      </w:r>
      <w:hyperlink r:id="rId36" w:tgtFrame="_blank" w:history="1">
        <w:r w:rsidRPr="00846C4C">
          <w:rPr>
            <w:rStyle w:val="Hyperlink"/>
            <w:rFonts w:ascii="Arial" w:hAnsi="Arial" w:cs="Arial"/>
            <w:color w:val="auto"/>
            <w:sz w:val="22"/>
            <w:szCs w:val="22"/>
          </w:rPr>
          <w:t>https://doi.org/10.1038/nrd.2017.244.</w:t>
        </w:r>
      </w:hyperlink>
    </w:p>
    <w:p w14:paraId="427CE03A"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Muhammad Shahbaza, Syed Jawad Hussain Shahzad, Shaista Alam and Nicholas Apergis (2018) 'Globalisation, economic growth and energy consumption in the BRICS region: The importance of asymmetries', </w:t>
      </w:r>
      <w:r w:rsidRPr="00846C4C">
        <w:rPr>
          <w:rFonts w:ascii="Arial" w:hAnsi="Arial" w:cs="Arial"/>
          <w:i/>
          <w:iCs/>
          <w:sz w:val="22"/>
          <w:szCs w:val="22"/>
        </w:rPr>
        <w:t>THE JOURNAL OF INTERNATIONAL TRADE &amp; ECONOMIC DEVELOPMENT, </w:t>
      </w:r>
      <w:r w:rsidRPr="00846C4C">
        <w:rPr>
          <w:rFonts w:ascii="Arial" w:hAnsi="Arial" w:cs="Arial"/>
          <w:sz w:val="22"/>
          <w:szCs w:val="22"/>
        </w:rPr>
        <w:t>27(8), pp. 985-1009 Available at: </w:t>
      </w:r>
      <w:hyperlink r:id="rId37" w:tgtFrame="_blank" w:history="1">
        <w:r w:rsidRPr="00846C4C">
          <w:rPr>
            <w:rStyle w:val="Hyperlink"/>
            <w:rFonts w:ascii="Arial" w:hAnsi="Arial" w:cs="Arial"/>
            <w:color w:val="auto"/>
            <w:sz w:val="22"/>
            <w:szCs w:val="22"/>
          </w:rPr>
          <w:t>https://doi.org/10.1080/09638199.2018.1481991.</w:t>
        </w:r>
      </w:hyperlink>
    </w:p>
    <w:p w14:paraId="4BB2DA6D"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Nikola Denk, L.K., Jan-Frederik Roesch (2012) 'Liabilities of Foreignness Revisited: A Review of Contemporary Studies and Recommendations for Future Research', </w:t>
      </w:r>
      <w:r w:rsidRPr="00846C4C">
        <w:rPr>
          <w:rFonts w:ascii="Arial" w:hAnsi="Arial" w:cs="Arial"/>
          <w:i/>
          <w:iCs/>
          <w:sz w:val="22"/>
          <w:szCs w:val="22"/>
        </w:rPr>
        <w:t>Journal of International Management, </w:t>
      </w:r>
      <w:r w:rsidRPr="00846C4C">
        <w:rPr>
          <w:rFonts w:ascii="Arial" w:hAnsi="Arial" w:cs="Arial"/>
          <w:sz w:val="22"/>
          <w:szCs w:val="22"/>
        </w:rPr>
        <w:t>, pp. 322-334 Available at: </w:t>
      </w:r>
      <w:hyperlink r:id="rId38" w:tgtFrame="_blank" w:history="1">
        <w:r w:rsidRPr="00846C4C">
          <w:rPr>
            <w:rStyle w:val="Hyperlink"/>
            <w:rFonts w:ascii="Arial" w:hAnsi="Arial" w:cs="Arial"/>
            <w:color w:val="auto"/>
            <w:sz w:val="22"/>
            <w:szCs w:val="22"/>
          </w:rPr>
          <w:t>https://doi.org/10.1016/j.intman.2012.07.001.</w:t>
        </w:r>
      </w:hyperlink>
    </w:p>
    <w:p w14:paraId="27725AC5"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Oliver Gassmann, Alexander Schuhmacher, Max von Zedtwitz &amp; Gerrit Reepmeyer (2018) 'The Internationalization Challenge: Where to Access Innovation', </w:t>
      </w:r>
      <w:r w:rsidRPr="00846C4C">
        <w:rPr>
          <w:rFonts w:ascii="Arial" w:hAnsi="Arial" w:cs="Arial"/>
          <w:i/>
          <w:iCs/>
          <w:sz w:val="22"/>
          <w:szCs w:val="22"/>
        </w:rPr>
        <w:t>In: Leading Pharmaceutical Innovation., </w:t>
      </w:r>
      <w:r w:rsidRPr="00846C4C">
        <w:rPr>
          <w:rFonts w:ascii="Arial" w:hAnsi="Arial" w:cs="Arial"/>
          <w:sz w:val="22"/>
          <w:szCs w:val="22"/>
        </w:rPr>
        <w:t>, pp. 135-153 Available at: </w:t>
      </w:r>
      <w:hyperlink r:id="rId39" w:tgtFrame="_blank" w:history="1">
        <w:r w:rsidRPr="00846C4C">
          <w:rPr>
            <w:rStyle w:val="Hyperlink"/>
            <w:rFonts w:ascii="Arial" w:hAnsi="Arial" w:cs="Arial"/>
            <w:color w:val="auto"/>
            <w:sz w:val="22"/>
            <w:szCs w:val="22"/>
          </w:rPr>
          <w:t>https://doi.org/10.1007/978-3-319-66833-8_7.</w:t>
        </w:r>
      </w:hyperlink>
    </w:p>
    <w:p w14:paraId="691102DE"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Osarenkhoe, A. and Fjellström, D. (2022) 'A cluster's internationalization as a catalyst for its innovation system's access to global markets', </w:t>
      </w:r>
      <w:r w:rsidRPr="00846C4C">
        <w:rPr>
          <w:rFonts w:ascii="Arial" w:hAnsi="Arial" w:cs="Arial"/>
          <w:i/>
          <w:iCs/>
          <w:sz w:val="22"/>
          <w:szCs w:val="22"/>
        </w:rPr>
        <w:t>EuroMed Journal of Business, </w:t>
      </w:r>
      <w:r w:rsidRPr="00846C4C">
        <w:rPr>
          <w:rFonts w:ascii="Arial" w:hAnsi="Arial" w:cs="Arial"/>
          <w:sz w:val="22"/>
          <w:szCs w:val="22"/>
        </w:rPr>
        <w:t>ahead-of-print(ahead-of-print) Available at: </w:t>
      </w:r>
      <w:hyperlink r:id="rId40" w:tgtFrame="_blank" w:history="1">
        <w:r w:rsidRPr="00846C4C">
          <w:rPr>
            <w:rStyle w:val="Hyperlink"/>
            <w:rFonts w:ascii="Arial" w:hAnsi="Arial" w:cs="Arial"/>
            <w:color w:val="auto"/>
            <w:sz w:val="22"/>
            <w:szCs w:val="22"/>
          </w:rPr>
          <w:t>https://doi.org/10.1108/EMJB-11-2020-0127.</w:t>
        </w:r>
      </w:hyperlink>
    </w:p>
    <w:p w14:paraId="4CA7ED8B"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 xml:space="preserve">Peter Ping Li (2014) 'Toward the Geocentric Framework of Intuition: The Yin-Yang Balancing between the Eastern and Western Perspectives on Intuition', in Marta Sinclair </w:t>
      </w:r>
      <w:r w:rsidRPr="00846C4C">
        <w:rPr>
          <w:rFonts w:ascii="Arial" w:hAnsi="Arial" w:cs="Arial"/>
          <w:sz w:val="22"/>
          <w:szCs w:val="22"/>
        </w:rPr>
        <w:lastRenderedPageBreak/>
        <w:t>(ed.) </w:t>
      </w:r>
      <w:r w:rsidRPr="00846C4C">
        <w:rPr>
          <w:rFonts w:ascii="Arial" w:hAnsi="Arial" w:cs="Arial"/>
          <w:i/>
          <w:iCs/>
          <w:sz w:val="22"/>
          <w:szCs w:val="22"/>
        </w:rPr>
        <w:t>Handbooks of Research Methods in Management series</w:t>
      </w:r>
      <w:r w:rsidRPr="00846C4C">
        <w:rPr>
          <w:rFonts w:ascii="Arial" w:hAnsi="Arial" w:cs="Arial"/>
          <w:sz w:val="22"/>
          <w:szCs w:val="22"/>
        </w:rPr>
        <w:t> Cheltenham: Edward Elgar Publishing, pp. 28-41.</w:t>
      </w:r>
    </w:p>
    <w:p w14:paraId="6150C0BD"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Ping Deng (2012) 'The Internationalization of Chinese Firms: A Critical Review and Future Research* - Deng - 2012 - International Journal of Management', </w:t>
      </w:r>
      <w:r w:rsidRPr="00846C4C">
        <w:rPr>
          <w:rFonts w:ascii="Arial" w:hAnsi="Arial" w:cs="Arial"/>
          <w:i/>
          <w:iCs/>
          <w:sz w:val="22"/>
          <w:szCs w:val="22"/>
        </w:rPr>
        <w:t>International Journal of Management, </w:t>
      </w:r>
      <w:r w:rsidRPr="00846C4C">
        <w:rPr>
          <w:rFonts w:ascii="Arial" w:hAnsi="Arial" w:cs="Arial"/>
          <w:sz w:val="22"/>
          <w:szCs w:val="22"/>
        </w:rPr>
        <w:t>14, pp. 408-427 Available at: </w:t>
      </w:r>
      <w:hyperlink r:id="rId41" w:tgtFrame="_blank" w:history="1">
        <w:r w:rsidRPr="00846C4C">
          <w:rPr>
            <w:rStyle w:val="Hyperlink"/>
            <w:rFonts w:ascii="Arial" w:hAnsi="Arial" w:cs="Arial"/>
            <w:color w:val="auto"/>
            <w:sz w:val="22"/>
            <w:szCs w:val="22"/>
          </w:rPr>
          <w:t>https://doi.org/10.1111/j.1468-2370.2011.00323.x.</w:t>
        </w:r>
      </w:hyperlink>
    </w:p>
    <w:p w14:paraId="71FF0B4B"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Pro, E. (2022) </w:t>
      </w:r>
      <w:r w:rsidRPr="00846C4C">
        <w:rPr>
          <w:rFonts w:ascii="Arial" w:hAnsi="Arial" w:cs="Arial"/>
          <w:i/>
          <w:iCs/>
          <w:sz w:val="22"/>
          <w:szCs w:val="22"/>
        </w:rPr>
        <w:t>Solved Porter Value Chain : AstraZeneca: Transforming How New Medicines Flow to Patients Analysis. </w:t>
      </w:r>
      <w:r w:rsidRPr="00846C4C">
        <w:rPr>
          <w:rFonts w:ascii="Arial" w:hAnsi="Arial" w:cs="Arial"/>
          <w:sz w:val="22"/>
          <w:szCs w:val="22"/>
        </w:rPr>
        <w:t>Available at: </w:t>
      </w:r>
      <w:hyperlink r:id="rId42" w:tgtFrame="_blank" w:history="1">
        <w:r w:rsidRPr="00846C4C">
          <w:rPr>
            <w:rStyle w:val="Hyperlink"/>
            <w:rFonts w:ascii="Arial" w:hAnsi="Arial" w:cs="Arial"/>
            <w:color w:val="auto"/>
            <w:sz w:val="22"/>
            <w:szCs w:val="22"/>
          </w:rPr>
          <w:t>https://embapro.com/frontpage/portervaluechainanalysis/6070-astrazeneca-patients</w:t>
        </w:r>
      </w:hyperlink>
      <w:r w:rsidRPr="00846C4C">
        <w:rPr>
          <w:rFonts w:ascii="Arial" w:hAnsi="Arial" w:cs="Arial"/>
          <w:sz w:val="22"/>
          <w:szCs w:val="22"/>
        </w:rPr>
        <w:t> (Accessed: Nov 16, 2023).</w:t>
      </w:r>
    </w:p>
    <w:p w14:paraId="60612704"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Rao, S.P. (2008) </w:t>
      </w:r>
      <w:r w:rsidRPr="00846C4C">
        <w:rPr>
          <w:rFonts w:ascii="Arial" w:hAnsi="Arial" w:cs="Arial"/>
          <w:i/>
          <w:iCs/>
          <w:sz w:val="22"/>
          <w:szCs w:val="22"/>
        </w:rPr>
        <w:t>International Business Environment</w:t>
      </w:r>
      <w:r w:rsidRPr="00846C4C">
        <w:rPr>
          <w:rFonts w:ascii="Arial" w:hAnsi="Arial" w:cs="Arial"/>
          <w:sz w:val="22"/>
          <w:szCs w:val="22"/>
        </w:rPr>
        <w:t>. Second edn. Mumbai: Himalaya Publishing House, pp. 2-293.</w:t>
      </w:r>
    </w:p>
    <w:p w14:paraId="0A22BE84"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Robinson, J., Sinclair, M., Tobias Mortlock, J.M. and Choi, E. (2017) 'More Dynamic Than You Think: Hidden Aspects of Decision-Making. Administrative Sciences,', 7(3), pp. 23 Available at: </w:t>
      </w:r>
      <w:hyperlink r:id="rId43" w:tgtFrame="_blank" w:history="1">
        <w:r w:rsidRPr="00846C4C">
          <w:rPr>
            <w:rStyle w:val="Hyperlink"/>
            <w:rFonts w:ascii="Arial" w:hAnsi="Arial" w:cs="Arial"/>
            <w:color w:val="auto"/>
            <w:sz w:val="22"/>
            <w:szCs w:val="22"/>
          </w:rPr>
          <w:t>https://doi.org/10.3390/admsci7030023.</w:t>
        </w:r>
      </w:hyperlink>
    </w:p>
    <w:p w14:paraId="71F37D4E"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Rupert Gethin (2011) 'ON SOME DEFINITIONS OF</w:t>
      </w:r>
      <w:r w:rsidRPr="00846C4C">
        <w:rPr>
          <w:rFonts w:ascii="Arial" w:hAnsi="Arial" w:cs="Arial"/>
          <w:sz w:val="22"/>
          <w:szCs w:val="22"/>
        </w:rPr>
        <w:br/>
        <w:t>MINDFULNESS', </w:t>
      </w:r>
      <w:r w:rsidRPr="00846C4C">
        <w:rPr>
          <w:rFonts w:ascii="Arial" w:hAnsi="Arial" w:cs="Arial"/>
          <w:i/>
          <w:iCs/>
          <w:sz w:val="22"/>
          <w:szCs w:val="22"/>
        </w:rPr>
        <w:t>Contemporary Buddhism, </w:t>
      </w:r>
      <w:r w:rsidRPr="00846C4C">
        <w:rPr>
          <w:rFonts w:ascii="Arial" w:hAnsi="Arial" w:cs="Arial"/>
          <w:sz w:val="22"/>
          <w:szCs w:val="22"/>
        </w:rPr>
        <w:t>12(1) Available at: </w:t>
      </w:r>
      <w:hyperlink r:id="rId44" w:tgtFrame="_blank" w:history="1">
        <w:r w:rsidRPr="00846C4C">
          <w:rPr>
            <w:rStyle w:val="Hyperlink"/>
            <w:rFonts w:ascii="Arial" w:hAnsi="Arial" w:cs="Arial"/>
            <w:color w:val="auto"/>
            <w:sz w:val="22"/>
            <w:szCs w:val="22"/>
          </w:rPr>
          <w:t>https://doi.org/10.1080/14639947.2011.564843.</w:t>
        </w:r>
      </w:hyperlink>
    </w:p>
    <w:p w14:paraId="251B11BF"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Shasha Zhao, Hui Tan, Marina Papanastassiou and Anne-Wil Harzing (2019) 'The internationalization of innovation towards the South: A historical case study of a global pharmaceutical corporation in China (1993–2017)', </w:t>
      </w:r>
      <w:r w:rsidRPr="00846C4C">
        <w:rPr>
          <w:rFonts w:ascii="Arial" w:hAnsi="Arial" w:cs="Arial"/>
          <w:i/>
          <w:iCs/>
          <w:sz w:val="22"/>
          <w:szCs w:val="22"/>
        </w:rPr>
        <w:t>Asia Pacific Journal of Management (2020), </w:t>
      </w:r>
      <w:r w:rsidRPr="00846C4C">
        <w:rPr>
          <w:rFonts w:ascii="Arial" w:hAnsi="Arial" w:cs="Arial"/>
          <w:sz w:val="22"/>
          <w:szCs w:val="22"/>
        </w:rPr>
        <w:t>37, pp. 553-585 Available at: </w:t>
      </w:r>
      <w:hyperlink r:id="rId45" w:tgtFrame="_blank" w:history="1">
        <w:r w:rsidRPr="00846C4C">
          <w:rPr>
            <w:rStyle w:val="Hyperlink"/>
            <w:rFonts w:ascii="Arial" w:hAnsi="Arial" w:cs="Arial"/>
            <w:color w:val="auto"/>
            <w:sz w:val="22"/>
            <w:szCs w:val="22"/>
          </w:rPr>
          <w:t>https://doi.org/https://doi.org/10.1007/s10490-018-9620-x.</w:t>
        </w:r>
      </w:hyperlink>
    </w:p>
    <w:p w14:paraId="1A84A255"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Shin-Horng Chen (2004) 'Taiwanese IT firms’ offshore R&amp;D in China and the connection with the global innovation network - ScienceDirect', </w:t>
      </w:r>
      <w:r w:rsidRPr="00846C4C">
        <w:rPr>
          <w:rFonts w:ascii="Arial" w:hAnsi="Arial" w:cs="Arial"/>
          <w:i/>
          <w:iCs/>
          <w:sz w:val="22"/>
          <w:szCs w:val="22"/>
        </w:rPr>
        <w:t>Research Policy, </w:t>
      </w:r>
      <w:r w:rsidRPr="00846C4C">
        <w:rPr>
          <w:rFonts w:ascii="Arial" w:hAnsi="Arial" w:cs="Arial"/>
          <w:sz w:val="22"/>
          <w:szCs w:val="22"/>
        </w:rPr>
        <w:t>33(2), pp. 337-349 Available at: </w:t>
      </w:r>
      <w:hyperlink r:id="rId46" w:tgtFrame="_blank" w:history="1">
        <w:r w:rsidRPr="00846C4C">
          <w:rPr>
            <w:rStyle w:val="Hyperlink"/>
            <w:rFonts w:ascii="Arial" w:hAnsi="Arial" w:cs="Arial"/>
            <w:color w:val="auto"/>
            <w:sz w:val="22"/>
            <w:szCs w:val="22"/>
          </w:rPr>
          <w:t>https://doi.org/https://doi.org/10.1016/j.respol.2003.09.003.</w:t>
        </w:r>
      </w:hyperlink>
    </w:p>
    <w:p w14:paraId="6D545777"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Soares, P.F., Medeiros, M.Z., Abreu, J.L., Gonçalez, F.H.F.d.S. and Piran, F.S. (2023) 'Management and governance structure of technology transfer megaprojects in emergency contexts: a case study of the megaproject Oxford/AstraZeneca/Fiocruz Covid-19 vaccine', </w:t>
      </w:r>
      <w:r w:rsidRPr="00846C4C">
        <w:rPr>
          <w:rFonts w:ascii="Arial" w:hAnsi="Arial" w:cs="Arial"/>
          <w:i/>
          <w:iCs/>
          <w:sz w:val="22"/>
          <w:szCs w:val="22"/>
        </w:rPr>
        <w:t>Production, </w:t>
      </w:r>
      <w:r w:rsidRPr="00846C4C">
        <w:rPr>
          <w:rFonts w:ascii="Arial" w:hAnsi="Arial" w:cs="Arial"/>
          <w:sz w:val="22"/>
          <w:szCs w:val="22"/>
        </w:rPr>
        <w:t>33, pp. e20220111 Available at: </w:t>
      </w:r>
      <w:hyperlink r:id="rId47" w:tgtFrame="_blank" w:history="1">
        <w:r w:rsidRPr="00846C4C">
          <w:rPr>
            <w:rStyle w:val="Hyperlink"/>
            <w:rFonts w:ascii="Arial" w:hAnsi="Arial" w:cs="Arial"/>
            <w:color w:val="auto"/>
            <w:sz w:val="22"/>
            <w:szCs w:val="22"/>
          </w:rPr>
          <w:t>https://doi.org/10.1590/0103-6513.20220111.</w:t>
        </w:r>
      </w:hyperlink>
    </w:p>
    <w:p w14:paraId="57AC6019"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Stanford Graduate School of Business 'History of AstraZeneca', Available at: </w:t>
      </w:r>
      <w:hyperlink r:id="rId48" w:tgtFrame="_blank" w:history="1">
        <w:r w:rsidRPr="00846C4C">
          <w:rPr>
            <w:rStyle w:val="Hyperlink"/>
            <w:rFonts w:ascii="Arial" w:hAnsi="Arial" w:cs="Arial"/>
            <w:color w:val="auto"/>
            <w:sz w:val="22"/>
            <w:szCs w:val="22"/>
          </w:rPr>
          <w:t>https://stanford.edu/dept/gsb-</w:t>
        </w:r>
        <w:r w:rsidRPr="00846C4C">
          <w:rPr>
            <w:rStyle w:val="Hyperlink"/>
            <w:rFonts w:ascii="Arial" w:hAnsi="Arial" w:cs="Arial"/>
            <w:color w:val="auto"/>
            <w:sz w:val="22"/>
            <w:szCs w:val="22"/>
          </w:rPr>
          <w:lastRenderedPageBreak/>
          <w:t>ds/Inkling/AstraZeneca_Scaling_Simplification/ops/s9ml/chapter01/standard_page_copy.xhtml.</w:t>
        </w:r>
      </w:hyperlink>
    </w:p>
    <w:p w14:paraId="0AEF8045"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Stephen J. Kobrin (1994) 'Is There a Relationship between a Geocentric Mind-Set and Multinational Strategy? ', </w:t>
      </w:r>
      <w:r w:rsidRPr="00846C4C">
        <w:rPr>
          <w:rFonts w:ascii="Arial" w:hAnsi="Arial" w:cs="Arial"/>
          <w:i/>
          <w:iCs/>
          <w:sz w:val="22"/>
          <w:szCs w:val="22"/>
        </w:rPr>
        <w:t>Journal of International Business Studies, </w:t>
      </w:r>
      <w:r w:rsidRPr="00846C4C">
        <w:rPr>
          <w:rFonts w:ascii="Arial" w:hAnsi="Arial" w:cs="Arial"/>
          <w:sz w:val="22"/>
          <w:szCs w:val="22"/>
        </w:rPr>
        <w:t>25(3).</w:t>
      </w:r>
    </w:p>
    <w:p w14:paraId="21187ABC" w14:textId="77777777"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Zhao, S., Tan, H., Papanastassiou, M. et al. (2019) 'The internationalization of innovation towards the South: A historical case study of a global pharmaceutical corporation in China (1993–2017).', </w:t>
      </w:r>
      <w:r w:rsidRPr="00846C4C">
        <w:rPr>
          <w:rFonts w:ascii="Arial" w:hAnsi="Arial" w:cs="Arial"/>
          <w:i/>
          <w:iCs/>
          <w:sz w:val="22"/>
          <w:szCs w:val="22"/>
        </w:rPr>
        <w:t>Asia Pacific Journal of Management, </w:t>
      </w:r>
      <w:r w:rsidRPr="00846C4C">
        <w:rPr>
          <w:rFonts w:ascii="Arial" w:hAnsi="Arial" w:cs="Arial"/>
          <w:sz w:val="22"/>
          <w:szCs w:val="22"/>
        </w:rPr>
        <w:t>37, pp. 553–585 Available at: </w:t>
      </w:r>
      <w:hyperlink r:id="rId49" w:tgtFrame="_blank" w:history="1">
        <w:r w:rsidRPr="00846C4C">
          <w:rPr>
            <w:rStyle w:val="Hyperlink"/>
            <w:rFonts w:ascii="Arial" w:hAnsi="Arial" w:cs="Arial"/>
            <w:color w:val="auto"/>
            <w:sz w:val="22"/>
            <w:szCs w:val="22"/>
          </w:rPr>
          <w:t>https://doi.org/https://doi.org/10.1007/s10490-018-9620-x.</w:t>
        </w:r>
      </w:hyperlink>
    </w:p>
    <w:p w14:paraId="43294375" w14:textId="44B80BD2" w:rsidR="00BE25F3" w:rsidRPr="00846C4C" w:rsidRDefault="00BE25F3" w:rsidP="00BE25F3">
      <w:pPr>
        <w:pStyle w:val="NormalWeb"/>
        <w:shd w:val="clear" w:color="auto" w:fill="FFFFFF"/>
        <w:spacing w:before="0" w:beforeAutospacing="0" w:after="173" w:afterAutospacing="0" w:line="360" w:lineRule="auto"/>
        <w:jc w:val="both"/>
        <w:rPr>
          <w:rFonts w:ascii="Arial" w:hAnsi="Arial" w:cs="Arial"/>
          <w:sz w:val="22"/>
          <w:szCs w:val="22"/>
        </w:rPr>
      </w:pPr>
      <w:r w:rsidRPr="00846C4C">
        <w:rPr>
          <w:rFonts w:ascii="Arial" w:hAnsi="Arial" w:cs="Arial"/>
          <w:sz w:val="22"/>
          <w:szCs w:val="22"/>
        </w:rPr>
        <w:t>Zheng, Liu, Yongjiang, Shi, Bo, Yang, (2022) 'Open Innovation in Times of Crisis: An Overview of the Healthcare Sector in Response to the COVID-19 Pandemic - ScienceDirect', </w:t>
      </w:r>
      <w:r w:rsidRPr="00846C4C">
        <w:rPr>
          <w:rFonts w:ascii="Arial" w:hAnsi="Arial" w:cs="Arial"/>
          <w:i/>
          <w:iCs/>
          <w:sz w:val="22"/>
          <w:szCs w:val="22"/>
        </w:rPr>
        <w:t>Journal of Open Innovation in Times of Crisis: An Overview of the Healthcare Sector in Response to the COVID-19 Pandemic, </w:t>
      </w:r>
      <w:r w:rsidRPr="00846C4C">
        <w:rPr>
          <w:rFonts w:ascii="Arial" w:hAnsi="Arial" w:cs="Arial"/>
          <w:sz w:val="22"/>
          <w:szCs w:val="22"/>
        </w:rPr>
        <w:t>8(1) Available at: </w:t>
      </w:r>
      <w:hyperlink r:id="rId50" w:tgtFrame="_blank" w:history="1">
        <w:r w:rsidRPr="00846C4C">
          <w:rPr>
            <w:rStyle w:val="Hyperlink"/>
            <w:rFonts w:ascii="Arial" w:hAnsi="Arial" w:cs="Arial"/>
            <w:color w:val="auto"/>
            <w:sz w:val="22"/>
            <w:szCs w:val="22"/>
          </w:rPr>
          <w:t>https://doi.org/10.3390/joitmc8010021.</w:t>
        </w:r>
      </w:hyperlink>
    </w:p>
    <w:p w14:paraId="14D5790C" w14:textId="77777777" w:rsidR="00BE25F3" w:rsidRPr="00846C4C" w:rsidRDefault="00BE25F3" w:rsidP="00BE25F3">
      <w:pPr>
        <w:spacing w:line="360" w:lineRule="auto"/>
        <w:jc w:val="both"/>
        <w:rPr>
          <w:rFonts w:ascii="Arial" w:hAnsi="Arial" w:cs="Arial"/>
        </w:rPr>
      </w:pPr>
    </w:p>
    <w:p w14:paraId="522AF3B3" w14:textId="77777777" w:rsidR="00BE25F3" w:rsidRPr="00846C4C" w:rsidRDefault="00BE25F3" w:rsidP="005C5146">
      <w:pPr>
        <w:spacing w:line="360" w:lineRule="auto"/>
        <w:jc w:val="both"/>
        <w:rPr>
          <w:rFonts w:ascii="Arial" w:hAnsi="Arial" w:cs="Arial"/>
        </w:rPr>
      </w:pPr>
    </w:p>
    <w:p w14:paraId="635BF084" w14:textId="77777777" w:rsidR="00BE25F3" w:rsidRPr="00846C4C" w:rsidRDefault="00BE25F3" w:rsidP="005C5146">
      <w:pPr>
        <w:spacing w:line="360" w:lineRule="auto"/>
        <w:jc w:val="both"/>
        <w:rPr>
          <w:rFonts w:ascii="Arial" w:hAnsi="Arial" w:cs="Arial"/>
        </w:rPr>
      </w:pPr>
    </w:p>
    <w:p w14:paraId="43537303" w14:textId="77777777" w:rsidR="00BE25F3" w:rsidRPr="00846C4C" w:rsidRDefault="00BE25F3" w:rsidP="005C5146">
      <w:pPr>
        <w:spacing w:line="360" w:lineRule="auto"/>
        <w:jc w:val="both"/>
        <w:rPr>
          <w:rFonts w:ascii="Arial" w:hAnsi="Arial" w:cs="Arial"/>
        </w:rPr>
      </w:pPr>
    </w:p>
    <w:p w14:paraId="2B1BA144" w14:textId="77777777" w:rsidR="00BE25F3" w:rsidRPr="00846C4C" w:rsidRDefault="00BE25F3" w:rsidP="005C5146">
      <w:pPr>
        <w:spacing w:line="360" w:lineRule="auto"/>
        <w:jc w:val="both"/>
        <w:rPr>
          <w:rFonts w:ascii="Arial" w:hAnsi="Arial" w:cs="Arial"/>
        </w:rPr>
      </w:pPr>
    </w:p>
    <w:sectPr w:rsidR="00BE25F3" w:rsidRPr="00846C4C" w:rsidSect="00755A98">
      <w:headerReference w:type="default" r:id="rId51"/>
      <w:footerReference w:type="default" r:id="rId52"/>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DD291" w14:textId="77777777" w:rsidR="0038656A" w:rsidRDefault="0038656A" w:rsidP="00755A98">
      <w:pPr>
        <w:spacing w:after="0" w:line="240" w:lineRule="auto"/>
      </w:pPr>
      <w:r>
        <w:separator/>
      </w:r>
    </w:p>
  </w:endnote>
  <w:endnote w:type="continuationSeparator" w:id="0">
    <w:p w14:paraId="107E374B" w14:textId="77777777" w:rsidR="0038656A" w:rsidRDefault="0038656A" w:rsidP="00755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CCD71" w14:textId="77777777" w:rsidR="0080650B" w:rsidRDefault="0080650B">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3C1ACDF7" w14:textId="77777777" w:rsidR="00755A98" w:rsidRDefault="00755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67ECF" w14:textId="77777777" w:rsidR="0038656A" w:rsidRDefault="0038656A" w:rsidP="00755A98">
      <w:pPr>
        <w:spacing w:after="0" w:line="240" w:lineRule="auto"/>
      </w:pPr>
      <w:r>
        <w:separator/>
      </w:r>
    </w:p>
  </w:footnote>
  <w:footnote w:type="continuationSeparator" w:id="0">
    <w:p w14:paraId="3E67A3BA" w14:textId="77777777" w:rsidR="0038656A" w:rsidRDefault="0038656A" w:rsidP="00755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5676C" w14:textId="47CD1373" w:rsidR="00755A98" w:rsidRDefault="00000000">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F72DFDDFB7C6417B9106D84D67268E0B"/>
        </w:placeholder>
        <w:dataBinding w:prefixMappings="xmlns:ns0='http://schemas.openxmlformats.org/package/2006/metadata/core-properties' xmlns:ns1='http://purl.org/dc/elements/1.1/'" w:xpath="/ns0:coreProperties[1]/ns1:title[1]" w:storeItemID="{6C3C8BC8-F283-45AE-878A-BAB7291924A1}"/>
        <w:text/>
      </w:sdtPr>
      <w:sdtContent>
        <w:r w:rsidR="00AE0EBA">
          <w:rPr>
            <w:rFonts w:asciiTheme="majorHAnsi" w:eastAsiaTheme="majorEastAsia" w:hAnsiTheme="majorHAnsi" w:cstheme="majorBidi"/>
            <w:color w:val="4472C4" w:themeColor="accent1"/>
            <w:sz w:val="24"/>
            <w:szCs w:val="24"/>
          </w:rPr>
          <w:t>INTERNATIONAL BUSINESS MBA LCMB 7014</w:t>
        </w:r>
      </w:sdtContent>
    </w:sdt>
    <w:r w:rsidR="00755A98">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9CF336C7C97C4FFEB614B42704B3C862"/>
        </w:placeholder>
        <w:dataBinding w:prefixMappings="xmlns:ns0='http://schemas.microsoft.com/office/2006/coverPageProps'" w:xpath="/ns0:CoverPageProperties[1]/ns0:PublishDate[1]" w:storeItemID="{55AF091B-3C7A-41E3-B477-F2FDAA23CFDA}"/>
        <w:date w:fullDate="2023-11-09T00:00:00Z">
          <w:dateFormat w:val="MMMM d, yyyy"/>
          <w:lid w:val="en-US"/>
          <w:storeMappedDataAs w:val="dateTime"/>
          <w:calendar w:val="gregorian"/>
        </w:date>
      </w:sdtPr>
      <w:sdtContent>
        <w:r w:rsidR="00755A98">
          <w:rPr>
            <w:rFonts w:asciiTheme="majorHAnsi" w:eastAsiaTheme="majorEastAsia" w:hAnsiTheme="majorHAnsi" w:cstheme="majorBidi"/>
            <w:color w:val="4472C4" w:themeColor="accent1"/>
            <w:sz w:val="24"/>
            <w:szCs w:val="24"/>
            <w:lang w:val="en-US"/>
          </w:rPr>
          <w:t>November 9, 2023</w:t>
        </w:r>
      </w:sdtContent>
    </w:sdt>
  </w:p>
  <w:p w14:paraId="4E191BB8" w14:textId="77777777" w:rsidR="00755A98" w:rsidRDefault="00755A9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KVen9hi" int2:invalidationBookmarkName="" int2:hashCode="h2R+BgcR7j9IDj" int2:id="6mdnwPV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1101"/>
    <w:multiLevelType w:val="hybridMultilevel"/>
    <w:tmpl w:val="5FBAFCA8"/>
    <w:lvl w:ilvl="0" w:tplc="8A16DA90">
      <w:start w:val="1"/>
      <w:numFmt w:val="bullet"/>
      <w:lvlText w:val=""/>
      <w:lvlJc w:val="left"/>
      <w:pPr>
        <w:ind w:left="720" w:hanging="360"/>
      </w:pPr>
      <w:rPr>
        <w:rFonts w:ascii="Wingdings" w:hAnsi="Wingdings" w:hint="default"/>
        <w:color w:val="FF00F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6762F"/>
    <w:multiLevelType w:val="hybridMultilevel"/>
    <w:tmpl w:val="6F7E9C94"/>
    <w:lvl w:ilvl="0" w:tplc="8004971C">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658B8"/>
    <w:multiLevelType w:val="hybridMultilevel"/>
    <w:tmpl w:val="21C04D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44853"/>
    <w:multiLevelType w:val="multilevel"/>
    <w:tmpl w:val="9DD8D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AC29B5"/>
    <w:multiLevelType w:val="multilevel"/>
    <w:tmpl w:val="755CE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10064E"/>
    <w:multiLevelType w:val="multilevel"/>
    <w:tmpl w:val="0908F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412C2D"/>
    <w:multiLevelType w:val="hybridMultilevel"/>
    <w:tmpl w:val="ADC00FEA"/>
    <w:lvl w:ilvl="0" w:tplc="C582A87E">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E658EE"/>
    <w:multiLevelType w:val="hybridMultilevel"/>
    <w:tmpl w:val="523066F2"/>
    <w:lvl w:ilvl="0" w:tplc="E76A8EAC">
      <w:start w:val="1"/>
      <w:numFmt w:val="bullet"/>
      <w:lvlText w:val=""/>
      <w:lvlJc w:val="left"/>
      <w:pPr>
        <w:ind w:left="644" w:hanging="360"/>
      </w:pPr>
      <w:rPr>
        <w:rFonts w:ascii="Wingdings" w:hAnsi="Wingdings"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8" w15:restartNumberingAfterBreak="0">
    <w:nsid w:val="289A4FF4"/>
    <w:multiLevelType w:val="hybridMultilevel"/>
    <w:tmpl w:val="06BA8C12"/>
    <w:lvl w:ilvl="0" w:tplc="F48EB07A">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DB598F"/>
    <w:multiLevelType w:val="hybridMultilevel"/>
    <w:tmpl w:val="F356EE1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0" w15:restartNumberingAfterBreak="0">
    <w:nsid w:val="40F64D38"/>
    <w:multiLevelType w:val="hybridMultilevel"/>
    <w:tmpl w:val="21A050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F5387"/>
    <w:multiLevelType w:val="hybridMultilevel"/>
    <w:tmpl w:val="AF9CA1D4"/>
    <w:lvl w:ilvl="0" w:tplc="C260786A">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C659C3"/>
    <w:multiLevelType w:val="hybridMultilevel"/>
    <w:tmpl w:val="0FA47974"/>
    <w:lvl w:ilvl="0" w:tplc="F80C9C4E">
      <w:start w:val="1"/>
      <w:numFmt w:val="decimal"/>
      <w:lvlText w:val="%1."/>
      <w:lvlJc w:val="left"/>
      <w:pPr>
        <w:ind w:left="1146" w:hanging="360"/>
      </w:pPr>
      <w:rPr>
        <w:rFonts w:ascii="Arial" w:hAnsi="Arial" w:cs="Arial" w:hint="default"/>
      </w:r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13" w15:restartNumberingAfterBreak="0">
    <w:nsid w:val="50673AE0"/>
    <w:multiLevelType w:val="hybridMultilevel"/>
    <w:tmpl w:val="7BE68B2A"/>
    <w:lvl w:ilvl="0" w:tplc="3714592A">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621C50"/>
    <w:multiLevelType w:val="multilevel"/>
    <w:tmpl w:val="BF1C1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2535D0"/>
    <w:multiLevelType w:val="hybridMultilevel"/>
    <w:tmpl w:val="7CC4F380"/>
    <w:lvl w:ilvl="0" w:tplc="2406402C">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1B6E6F"/>
    <w:multiLevelType w:val="hybridMultilevel"/>
    <w:tmpl w:val="89643B0E"/>
    <w:lvl w:ilvl="0" w:tplc="FD82F82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5C0708"/>
    <w:multiLevelType w:val="multilevel"/>
    <w:tmpl w:val="FD985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756AFF"/>
    <w:multiLevelType w:val="multilevel"/>
    <w:tmpl w:val="22347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3C7FE1"/>
    <w:multiLevelType w:val="hybridMultilevel"/>
    <w:tmpl w:val="03622C10"/>
    <w:lvl w:ilvl="0" w:tplc="BE681608">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998995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294961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8435297">
    <w:abstractNumId w:val="9"/>
  </w:num>
  <w:num w:numId="4" w16cid:durableId="234245802">
    <w:abstractNumId w:val="7"/>
  </w:num>
  <w:num w:numId="5" w16cid:durableId="454756060">
    <w:abstractNumId w:val="11"/>
  </w:num>
  <w:num w:numId="6" w16cid:durableId="1364280384">
    <w:abstractNumId w:val="2"/>
  </w:num>
  <w:num w:numId="7" w16cid:durableId="736368421">
    <w:abstractNumId w:val="6"/>
  </w:num>
  <w:num w:numId="8" w16cid:durableId="823281226">
    <w:abstractNumId w:val="10"/>
  </w:num>
  <w:num w:numId="9" w16cid:durableId="1967272903">
    <w:abstractNumId w:val="8"/>
  </w:num>
  <w:num w:numId="10" w16cid:durableId="2121028822">
    <w:abstractNumId w:val="15"/>
  </w:num>
  <w:num w:numId="11" w16cid:durableId="1019502958">
    <w:abstractNumId w:val="1"/>
  </w:num>
  <w:num w:numId="12" w16cid:durableId="1459180231">
    <w:abstractNumId w:val="13"/>
  </w:num>
  <w:num w:numId="13" w16cid:durableId="222764647">
    <w:abstractNumId w:val="19"/>
  </w:num>
  <w:num w:numId="14" w16cid:durableId="1546722615">
    <w:abstractNumId w:val="0"/>
  </w:num>
  <w:num w:numId="15" w16cid:durableId="1379086388">
    <w:abstractNumId w:val="16"/>
  </w:num>
  <w:num w:numId="16" w16cid:durableId="1126585580">
    <w:abstractNumId w:val="3"/>
  </w:num>
  <w:num w:numId="17" w16cid:durableId="1184319142">
    <w:abstractNumId w:val="4"/>
  </w:num>
  <w:num w:numId="18" w16cid:durableId="66154857">
    <w:abstractNumId w:val="17"/>
  </w:num>
  <w:num w:numId="19" w16cid:durableId="1724981097">
    <w:abstractNumId w:val="18"/>
  </w:num>
  <w:num w:numId="20" w16cid:durableId="1745058203">
    <w:abstractNumId w:val="14"/>
  </w:num>
  <w:num w:numId="21" w16cid:durableId="3797918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A98"/>
    <w:rsid w:val="00000193"/>
    <w:rsid w:val="00003A89"/>
    <w:rsid w:val="0000402D"/>
    <w:rsid w:val="000047CD"/>
    <w:rsid w:val="0000505C"/>
    <w:rsid w:val="0000784C"/>
    <w:rsid w:val="0001017E"/>
    <w:rsid w:val="00012818"/>
    <w:rsid w:val="00013A18"/>
    <w:rsid w:val="00016007"/>
    <w:rsid w:val="000161D6"/>
    <w:rsid w:val="00017F33"/>
    <w:rsid w:val="00021711"/>
    <w:rsid w:val="00022E3C"/>
    <w:rsid w:val="00022FA1"/>
    <w:rsid w:val="00023443"/>
    <w:rsid w:val="00032AF7"/>
    <w:rsid w:val="00035B95"/>
    <w:rsid w:val="00040654"/>
    <w:rsid w:val="0004279F"/>
    <w:rsid w:val="00042BCE"/>
    <w:rsid w:val="00043200"/>
    <w:rsid w:val="00043AAA"/>
    <w:rsid w:val="00045E08"/>
    <w:rsid w:val="00050D06"/>
    <w:rsid w:val="000510D9"/>
    <w:rsid w:val="00051562"/>
    <w:rsid w:val="0005381F"/>
    <w:rsid w:val="00054AF1"/>
    <w:rsid w:val="00056928"/>
    <w:rsid w:val="00056AF3"/>
    <w:rsid w:val="000600CD"/>
    <w:rsid w:val="0006210B"/>
    <w:rsid w:val="00062480"/>
    <w:rsid w:val="000632B0"/>
    <w:rsid w:val="00065232"/>
    <w:rsid w:val="00070E41"/>
    <w:rsid w:val="00074EDE"/>
    <w:rsid w:val="000751A8"/>
    <w:rsid w:val="00075768"/>
    <w:rsid w:val="00077583"/>
    <w:rsid w:val="0008297E"/>
    <w:rsid w:val="000843C7"/>
    <w:rsid w:val="00084953"/>
    <w:rsid w:val="00085881"/>
    <w:rsid w:val="00085902"/>
    <w:rsid w:val="00086B91"/>
    <w:rsid w:val="00086FAD"/>
    <w:rsid w:val="00091DF4"/>
    <w:rsid w:val="00092661"/>
    <w:rsid w:val="000936CD"/>
    <w:rsid w:val="000946C2"/>
    <w:rsid w:val="0009559A"/>
    <w:rsid w:val="000A0A6D"/>
    <w:rsid w:val="000A1ECD"/>
    <w:rsid w:val="000A3318"/>
    <w:rsid w:val="000A69E8"/>
    <w:rsid w:val="000B00AC"/>
    <w:rsid w:val="000B4DCF"/>
    <w:rsid w:val="000B625D"/>
    <w:rsid w:val="000B71D1"/>
    <w:rsid w:val="000B74F9"/>
    <w:rsid w:val="000C0803"/>
    <w:rsid w:val="000C6126"/>
    <w:rsid w:val="000C73EA"/>
    <w:rsid w:val="000C7750"/>
    <w:rsid w:val="000D0405"/>
    <w:rsid w:val="000D1D36"/>
    <w:rsid w:val="000D2061"/>
    <w:rsid w:val="000D2B98"/>
    <w:rsid w:val="000D685B"/>
    <w:rsid w:val="000D71D8"/>
    <w:rsid w:val="000D750D"/>
    <w:rsid w:val="000E13A5"/>
    <w:rsid w:val="000E610C"/>
    <w:rsid w:val="000E7F08"/>
    <w:rsid w:val="000F163D"/>
    <w:rsid w:val="000F3784"/>
    <w:rsid w:val="000F3834"/>
    <w:rsid w:val="000F419E"/>
    <w:rsid w:val="000F7183"/>
    <w:rsid w:val="0010026B"/>
    <w:rsid w:val="0010122A"/>
    <w:rsid w:val="00102C4C"/>
    <w:rsid w:val="001102AE"/>
    <w:rsid w:val="00111B2D"/>
    <w:rsid w:val="00112BCA"/>
    <w:rsid w:val="00113565"/>
    <w:rsid w:val="00121E3C"/>
    <w:rsid w:val="001223E6"/>
    <w:rsid w:val="00122CBF"/>
    <w:rsid w:val="001270A1"/>
    <w:rsid w:val="00127A16"/>
    <w:rsid w:val="001304F2"/>
    <w:rsid w:val="00132666"/>
    <w:rsid w:val="00133079"/>
    <w:rsid w:val="001330D2"/>
    <w:rsid w:val="0013667F"/>
    <w:rsid w:val="00136FB2"/>
    <w:rsid w:val="00140CD1"/>
    <w:rsid w:val="00140D31"/>
    <w:rsid w:val="001419C2"/>
    <w:rsid w:val="0014349B"/>
    <w:rsid w:val="00151AFF"/>
    <w:rsid w:val="00152A79"/>
    <w:rsid w:val="00153631"/>
    <w:rsid w:val="0015371A"/>
    <w:rsid w:val="00153C9A"/>
    <w:rsid w:val="00154C79"/>
    <w:rsid w:val="00155EC2"/>
    <w:rsid w:val="00162646"/>
    <w:rsid w:val="00162B9B"/>
    <w:rsid w:val="00163913"/>
    <w:rsid w:val="0016523F"/>
    <w:rsid w:val="00165C31"/>
    <w:rsid w:val="00167162"/>
    <w:rsid w:val="00172C85"/>
    <w:rsid w:val="00172D65"/>
    <w:rsid w:val="00173EB5"/>
    <w:rsid w:val="00174AAD"/>
    <w:rsid w:val="00177B75"/>
    <w:rsid w:val="00183254"/>
    <w:rsid w:val="001841F4"/>
    <w:rsid w:val="0018467B"/>
    <w:rsid w:val="00190330"/>
    <w:rsid w:val="00193594"/>
    <w:rsid w:val="00194729"/>
    <w:rsid w:val="00195DE6"/>
    <w:rsid w:val="00195F1E"/>
    <w:rsid w:val="00197FF1"/>
    <w:rsid w:val="001A39BF"/>
    <w:rsid w:val="001A44B1"/>
    <w:rsid w:val="001A49C8"/>
    <w:rsid w:val="001A62C3"/>
    <w:rsid w:val="001A658D"/>
    <w:rsid w:val="001A68EF"/>
    <w:rsid w:val="001A71D8"/>
    <w:rsid w:val="001B0224"/>
    <w:rsid w:val="001B07A9"/>
    <w:rsid w:val="001B383C"/>
    <w:rsid w:val="001B580F"/>
    <w:rsid w:val="001C33DA"/>
    <w:rsid w:val="001C4E8B"/>
    <w:rsid w:val="001C6481"/>
    <w:rsid w:val="001C7584"/>
    <w:rsid w:val="001C7AFA"/>
    <w:rsid w:val="001D0B8A"/>
    <w:rsid w:val="001D3D43"/>
    <w:rsid w:val="001D3D95"/>
    <w:rsid w:val="001D7B1C"/>
    <w:rsid w:val="001E0221"/>
    <w:rsid w:val="001E1158"/>
    <w:rsid w:val="001E196A"/>
    <w:rsid w:val="001E1F4C"/>
    <w:rsid w:val="001E3DBA"/>
    <w:rsid w:val="001E64E8"/>
    <w:rsid w:val="001E698D"/>
    <w:rsid w:val="001E7AB6"/>
    <w:rsid w:val="001F10D8"/>
    <w:rsid w:val="001F16D5"/>
    <w:rsid w:val="001F404A"/>
    <w:rsid w:val="001F67C5"/>
    <w:rsid w:val="00201A79"/>
    <w:rsid w:val="00210922"/>
    <w:rsid w:val="002119F6"/>
    <w:rsid w:val="00212E6C"/>
    <w:rsid w:val="002139D3"/>
    <w:rsid w:val="00214040"/>
    <w:rsid w:val="00214F6E"/>
    <w:rsid w:val="00215C26"/>
    <w:rsid w:val="00215F3D"/>
    <w:rsid w:val="00216380"/>
    <w:rsid w:val="00220AB1"/>
    <w:rsid w:val="00220B6D"/>
    <w:rsid w:val="0022118F"/>
    <w:rsid w:val="002226AC"/>
    <w:rsid w:val="00231F6D"/>
    <w:rsid w:val="002364AB"/>
    <w:rsid w:val="002379C6"/>
    <w:rsid w:val="00240EF3"/>
    <w:rsid w:val="00241B7B"/>
    <w:rsid w:val="002511A5"/>
    <w:rsid w:val="002518EC"/>
    <w:rsid w:val="00254129"/>
    <w:rsid w:val="00256A31"/>
    <w:rsid w:val="00260259"/>
    <w:rsid w:val="002615FA"/>
    <w:rsid w:val="002620A2"/>
    <w:rsid w:val="00262590"/>
    <w:rsid w:val="002641C5"/>
    <w:rsid w:val="00265B8E"/>
    <w:rsid w:val="0027152E"/>
    <w:rsid w:val="002719C4"/>
    <w:rsid w:val="00271D87"/>
    <w:rsid w:val="00273FF6"/>
    <w:rsid w:val="0027462F"/>
    <w:rsid w:val="00275B5A"/>
    <w:rsid w:val="00276771"/>
    <w:rsid w:val="0027727A"/>
    <w:rsid w:val="0027783B"/>
    <w:rsid w:val="00280EB6"/>
    <w:rsid w:val="00281AD6"/>
    <w:rsid w:val="00286DD5"/>
    <w:rsid w:val="002873DB"/>
    <w:rsid w:val="00293CB5"/>
    <w:rsid w:val="002966BD"/>
    <w:rsid w:val="00297714"/>
    <w:rsid w:val="002A3C72"/>
    <w:rsid w:val="002A4DE2"/>
    <w:rsid w:val="002A5B18"/>
    <w:rsid w:val="002B02CB"/>
    <w:rsid w:val="002B2569"/>
    <w:rsid w:val="002B43A9"/>
    <w:rsid w:val="002B4487"/>
    <w:rsid w:val="002B56A2"/>
    <w:rsid w:val="002C1CDF"/>
    <w:rsid w:val="002C206D"/>
    <w:rsid w:val="002C3BFE"/>
    <w:rsid w:val="002C5936"/>
    <w:rsid w:val="002C6411"/>
    <w:rsid w:val="002C6E7A"/>
    <w:rsid w:val="002D162D"/>
    <w:rsid w:val="002D4684"/>
    <w:rsid w:val="002D614C"/>
    <w:rsid w:val="002D6C99"/>
    <w:rsid w:val="002D6CDF"/>
    <w:rsid w:val="002E040E"/>
    <w:rsid w:val="002E15CE"/>
    <w:rsid w:val="002E17E7"/>
    <w:rsid w:val="002E1892"/>
    <w:rsid w:val="002E5867"/>
    <w:rsid w:val="002F071B"/>
    <w:rsid w:val="002F0854"/>
    <w:rsid w:val="002F2E2D"/>
    <w:rsid w:val="002F72CA"/>
    <w:rsid w:val="003004F9"/>
    <w:rsid w:val="003006A9"/>
    <w:rsid w:val="00300C63"/>
    <w:rsid w:val="003028F4"/>
    <w:rsid w:val="00302C3C"/>
    <w:rsid w:val="00304C75"/>
    <w:rsid w:val="003059B7"/>
    <w:rsid w:val="00307641"/>
    <w:rsid w:val="0030778F"/>
    <w:rsid w:val="00307B5B"/>
    <w:rsid w:val="0031031D"/>
    <w:rsid w:val="00312E57"/>
    <w:rsid w:val="00322BFF"/>
    <w:rsid w:val="003231DC"/>
    <w:rsid w:val="0032450E"/>
    <w:rsid w:val="00326048"/>
    <w:rsid w:val="00327484"/>
    <w:rsid w:val="00327798"/>
    <w:rsid w:val="00327F4D"/>
    <w:rsid w:val="00330D77"/>
    <w:rsid w:val="00334A85"/>
    <w:rsid w:val="003359E0"/>
    <w:rsid w:val="00336914"/>
    <w:rsid w:val="00336B95"/>
    <w:rsid w:val="003405A0"/>
    <w:rsid w:val="00340AD3"/>
    <w:rsid w:val="00341256"/>
    <w:rsid w:val="003424EC"/>
    <w:rsid w:val="003436F4"/>
    <w:rsid w:val="003437E5"/>
    <w:rsid w:val="00343944"/>
    <w:rsid w:val="00345074"/>
    <w:rsid w:val="00345A1E"/>
    <w:rsid w:val="00346459"/>
    <w:rsid w:val="003467D8"/>
    <w:rsid w:val="00346E00"/>
    <w:rsid w:val="003474E2"/>
    <w:rsid w:val="003504B6"/>
    <w:rsid w:val="003506F6"/>
    <w:rsid w:val="003508D4"/>
    <w:rsid w:val="003512F4"/>
    <w:rsid w:val="00353E3E"/>
    <w:rsid w:val="00355B22"/>
    <w:rsid w:val="00356B58"/>
    <w:rsid w:val="00364468"/>
    <w:rsid w:val="003660E8"/>
    <w:rsid w:val="00370FE9"/>
    <w:rsid w:val="00374C1B"/>
    <w:rsid w:val="003755D3"/>
    <w:rsid w:val="0037782E"/>
    <w:rsid w:val="00380314"/>
    <w:rsid w:val="003807D7"/>
    <w:rsid w:val="003851B5"/>
    <w:rsid w:val="0038544A"/>
    <w:rsid w:val="0038656A"/>
    <w:rsid w:val="00391CCB"/>
    <w:rsid w:val="00391DCC"/>
    <w:rsid w:val="00396458"/>
    <w:rsid w:val="003973AE"/>
    <w:rsid w:val="003A07C9"/>
    <w:rsid w:val="003A22E2"/>
    <w:rsid w:val="003A2856"/>
    <w:rsid w:val="003A5962"/>
    <w:rsid w:val="003A7F5B"/>
    <w:rsid w:val="003B07B8"/>
    <w:rsid w:val="003B1178"/>
    <w:rsid w:val="003B177F"/>
    <w:rsid w:val="003B371F"/>
    <w:rsid w:val="003B3C40"/>
    <w:rsid w:val="003B5382"/>
    <w:rsid w:val="003B6D9C"/>
    <w:rsid w:val="003C0B43"/>
    <w:rsid w:val="003C0E22"/>
    <w:rsid w:val="003C31EA"/>
    <w:rsid w:val="003C391D"/>
    <w:rsid w:val="003C454A"/>
    <w:rsid w:val="003C52CA"/>
    <w:rsid w:val="003C5A33"/>
    <w:rsid w:val="003D08ED"/>
    <w:rsid w:val="003D1E95"/>
    <w:rsid w:val="003D365F"/>
    <w:rsid w:val="003D3C5B"/>
    <w:rsid w:val="003D46D3"/>
    <w:rsid w:val="003D5156"/>
    <w:rsid w:val="003D6631"/>
    <w:rsid w:val="003E032C"/>
    <w:rsid w:val="003E0AC3"/>
    <w:rsid w:val="003E3738"/>
    <w:rsid w:val="003E3BF3"/>
    <w:rsid w:val="003E45F6"/>
    <w:rsid w:val="003E6B9C"/>
    <w:rsid w:val="003F16C1"/>
    <w:rsid w:val="003F23B2"/>
    <w:rsid w:val="003F264A"/>
    <w:rsid w:val="003F30D1"/>
    <w:rsid w:val="003F36AE"/>
    <w:rsid w:val="003F3DA4"/>
    <w:rsid w:val="003F55FC"/>
    <w:rsid w:val="003F5E7C"/>
    <w:rsid w:val="003F7836"/>
    <w:rsid w:val="00400C23"/>
    <w:rsid w:val="00402F78"/>
    <w:rsid w:val="004036E4"/>
    <w:rsid w:val="00403F37"/>
    <w:rsid w:val="0040522F"/>
    <w:rsid w:val="0040695D"/>
    <w:rsid w:val="00410B6C"/>
    <w:rsid w:val="004113CE"/>
    <w:rsid w:val="004118B5"/>
    <w:rsid w:val="00416E9F"/>
    <w:rsid w:val="004211D1"/>
    <w:rsid w:val="00421BE4"/>
    <w:rsid w:val="00423678"/>
    <w:rsid w:val="00423E47"/>
    <w:rsid w:val="004253A8"/>
    <w:rsid w:val="00425BB6"/>
    <w:rsid w:val="00427F5E"/>
    <w:rsid w:val="0043033B"/>
    <w:rsid w:val="00430587"/>
    <w:rsid w:val="00431673"/>
    <w:rsid w:val="00432908"/>
    <w:rsid w:val="004358E8"/>
    <w:rsid w:val="0043631E"/>
    <w:rsid w:val="00436BA3"/>
    <w:rsid w:val="00436BE8"/>
    <w:rsid w:val="0043764F"/>
    <w:rsid w:val="00442FC7"/>
    <w:rsid w:val="00443028"/>
    <w:rsid w:val="00444589"/>
    <w:rsid w:val="00445BC4"/>
    <w:rsid w:val="0044669F"/>
    <w:rsid w:val="00447424"/>
    <w:rsid w:val="00451E3A"/>
    <w:rsid w:val="00452118"/>
    <w:rsid w:val="00454166"/>
    <w:rsid w:val="0045754A"/>
    <w:rsid w:val="00460281"/>
    <w:rsid w:val="004627E3"/>
    <w:rsid w:val="00462D84"/>
    <w:rsid w:val="004630CB"/>
    <w:rsid w:val="00463F3D"/>
    <w:rsid w:val="004675EC"/>
    <w:rsid w:val="00470ED5"/>
    <w:rsid w:val="00471B0F"/>
    <w:rsid w:val="004774B1"/>
    <w:rsid w:val="0048076E"/>
    <w:rsid w:val="004825B3"/>
    <w:rsid w:val="00483C5C"/>
    <w:rsid w:val="00485B3E"/>
    <w:rsid w:val="00485FF5"/>
    <w:rsid w:val="00486FDD"/>
    <w:rsid w:val="004905F4"/>
    <w:rsid w:val="00491746"/>
    <w:rsid w:val="00493CE3"/>
    <w:rsid w:val="0049699F"/>
    <w:rsid w:val="00496C41"/>
    <w:rsid w:val="004978A1"/>
    <w:rsid w:val="004A1459"/>
    <w:rsid w:val="004A16C8"/>
    <w:rsid w:val="004A6E6D"/>
    <w:rsid w:val="004A70B2"/>
    <w:rsid w:val="004A7D39"/>
    <w:rsid w:val="004B08AF"/>
    <w:rsid w:val="004B2CCE"/>
    <w:rsid w:val="004B2E0F"/>
    <w:rsid w:val="004B30C2"/>
    <w:rsid w:val="004B441E"/>
    <w:rsid w:val="004B4968"/>
    <w:rsid w:val="004B6363"/>
    <w:rsid w:val="004C21CE"/>
    <w:rsid w:val="004C2AF5"/>
    <w:rsid w:val="004C4D33"/>
    <w:rsid w:val="004C6E30"/>
    <w:rsid w:val="004C7444"/>
    <w:rsid w:val="004C7472"/>
    <w:rsid w:val="004C7704"/>
    <w:rsid w:val="004D06EE"/>
    <w:rsid w:val="004D10A4"/>
    <w:rsid w:val="004D1BE3"/>
    <w:rsid w:val="004D2559"/>
    <w:rsid w:val="004D4610"/>
    <w:rsid w:val="004D66B5"/>
    <w:rsid w:val="004D6AED"/>
    <w:rsid w:val="004D787F"/>
    <w:rsid w:val="004E0B94"/>
    <w:rsid w:val="004E1D76"/>
    <w:rsid w:val="004F1225"/>
    <w:rsid w:val="004F13AB"/>
    <w:rsid w:val="004F4145"/>
    <w:rsid w:val="004F6142"/>
    <w:rsid w:val="004F73E3"/>
    <w:rsid w:val="004F76DF"/>
    <w:rsid w:val="004F79B2"/>
    <w:rsid w:val="00500A90"/>
    <w:rsid w:val="0050214B"/>
    <w:rsid w:val="0050306D"/>
    <w:rsid w:val="00503A9D"/>
    <w:rsid w:val="00503E5C"/>
    <w:rsid w:val="0050508C"/>
    <w:rsid w:val="00506569"/>
    <w:rsid w:val="0051437A"/>
    <w:rsid w:val="00514415"/>
    <w:rsid w:val="005148B5"/>
    <w:rsid w:val="00514C23"/>
    <w:rsid w:val="00515A80"/>
    <w:rsid w:val="005165D1"/>
    <w:rsid w:val="00520371"/>
    <w:rsid w:val="005227C4"/>
    <w:rsid w:val="00527987"/>
    <w:rsid w:val="005305FE"/>
    <w:rsid w:val="0053165F"/>
    <w:rsid w:val="005322EA"/>
    <w:rsid w:val="00535208"/>
    <w:rsid w:val="00536578"/>
    <w:rsid w:val="005428C9"/>
    <w:rsid w:val="00542E3A"/>
    <w:rsid w:val="0054381A"/>
    <w:rsid w:val="00544FF4"/>
    <w:rsid w:val="00547F29"/>
    <w:rsid w:val="0055125B"/>
    <w:rsid w:val="00551E29"/>
    <w:rsid w:val="0055473A"/>
    <w:rsid w:val="00554815"/>
    <w:rsid w:val="00555CE7"/>
    <w:rsid w:val="00556017"/>
    <w:rsid w:val="0055753D"/>
    <w:rsid w:val="00560412"/>
    <w:rsid w:val="005615AE"/>
    <w:rsid w:val="00562AB4"/>
    <w:rsid w:val="00562B8B"/>
    <w:rsid w:val="005645B5"/>
    <w:rsid w:val="005646CE"/>
    <w:rsid w:val="0056501E"/>
    <w:rsid w:val="00565D7C"/>
    <w:rsid w:val="00566C08"/>
    <w:rsid w:val="005672B5"/>
    <w:rsid w:val="00567C09"/>
    <w:rsid w:val="00567C16"/>
    <w:rsid w:val="0057124D"/>
    <w:rsid w:val="00573C2A"/>
    <w:rsid w:val="0057444E"/>
    <w:rsid w:val="0057454C"/>
    <w:rsid w:val="00575F9A"/>
    <w:rsid w:val="0058109F"/>
    <w:rsid w:val="00581BAC"/>
    <w:rsid w:val="0058203C"/>
    <w:rsid w:val="005844A6"/>
    <w:rsid w:val="00591321"/>
    <w:rsid w:val="0059305A"/>
    <w:rsid w:val="005933BD"/>
    <w:rsid w:val="00593D3E"/>
    <w:rsid w:val="00593FB0"/>
    <w:rsid w:val="00595B02"/>
    <w:rsid w:val="00596E1F"/>
    <w:rsid w:val="005A2036"/>
    <w:rsid w:val="005A2815"/>
    <w:rsid w:val="005A36B1"/>
    <w:rsid w:val="005A37F9"/>
    <w:rsid w:val="005A78CA"/>
    <w:rsid w:val="005B0FA6"/>
    <w:rsid w:val="005B166A"/>
    <w:rsid w:val="005B1761"/>
    <w:rsid w:val="005B1F69"/>
    <w:rsid w:val="005B2B53"/>
    <w:rsid w:val="005B30C8"/>
    <w:rsid w:val="005B462B"/>
    <w:rsid w:val="005B6A90"/>
    <w:rsid w:val="005B6AC9"/>
    <w:rsid w:val="005B6CC8"/>
    <w:rsid w:val="005C2CB1"/>
    <w:rsid w:val="005C3363"/>
    <w:rsid w:val="005C5146"/>
    <w:rsid w:val="005C53CA"/>
    <w:rsid w:val="005C58C5"/>
    <w:rsid w:val="005D149B"/>
    <w:rsid w:val="005D25C0"/>
    <w:rsid w:val="005D263F"/>
    <w:rsid w:val="005D33BA"/>
    <w:rsid w:val="005D3D2D"/>
    <w:rsid w:val="005D4129"/>
    <w:rsid w:val="005D51F1"/>
    <w:rsid w:val="005D7A0D"/>
    <w:rsid w:val="005D7A40"/>
    <w:rsid w:val="005D7CD6"/>
    <w:rsid w:val="005D7F79"/>
    <w:rsid w:val="005E057B"/>
    <w:rsid w:val="005E1013"/>
    <w:rsid w:val="005E1742"/>
    <w:rsid w:val="005E1C2F"/>
    <w:rsid w:val="005E2F8A"/>
    <w:rsid w:val="005E3414"/>
    <w:rsid w:val="005E3CC2"/>
    <w:rsid w:val="005E49D4"/>
    <w:rsid w:val="005E4A07"/>
    <w:rsid w:val="005E5BDC"/>
    <w:rsid w:val="005E5FD2"/>
    <w:rsid w:val="005E6561"/>
    <w:rsid w:val="005E697A"/>
    <w:rsid w:val="005F0B72"/>
    <w:rsid w:val="005F2A1D"/>
    <w:rsid w:val="005F58DF"/>
    <w:rsid w:val="005F67E7"/>
    <w:rsid w:val="00603D72"/>
    <w:rsid w:val="0060694E"/>
    <w:rsid w:val="00607309"/>
    <w:rsid w:val="006134D1"/>
    <w:rsid w:val="0061478C"/>
    <w:rsid w:val="006203E4"/>
    <w:rsid w:val="00621669"/>
    <w:rsid w:val="00621F07"/>
    <w:rsid w:val="00623211"/>
    <w:rsid w:val="006237AF"/>
    <w:rsid w:val="00623C26"/>
    <w:rsid w:val="00623DC0"/>
    <w:rsid w:val="006247F4"/>
    <w:rsid w:val="0062632F"/>
    <w:rsid w:val="00627DC8"/>
    <w:rsid w:val="00630347"/>
    <w:rsid w:val="00631940"/>
    <w:rsid w:val="0063197B"/>
    <w:rsid w:val="00632CE5"/>
    <w:rsid w:val="00633A39"/>
    <w:rsid w:val="00636AC6"/>
    <w:rsid w:val="00640E2D"/>
    <w:rsid w:val="00640F41"/>
    <w:rsid w:val="00641DDB"/>
    <w:rsid w:val="00642F46"/>
    <w:rsid w:val="00652511"/>
    <w:rsid w:val="00652B3A"/>
    <w:rsid w:val="006555E1"/>
    <w:rsid w:val="00664496"/>
    <w:rsid w:val="00665163"/>
    <w:rsid w:val="00665C96"/>
    <w:rsid w:val="00666392"/>
    <w:rsid w:val="006667D5"/>
    <w:rsid w:val="00666F50"/>
    <w:rsid w:val="00667F1D"/>
    <w:rsid w:val="00670A56"/>
    <w:rsid w:val="00670EAA"/>
    <w:rsid w:val="006738C2"/>
    <w:rsid w:val="006738E9"/>
    <w:rsid w:val="006746FA"/>
    <w:rsid w:val="00674B3B"/>
    <w:rsid w:val="00676531"/>
    <w:rsid w:val="006841BE"/>
    <w:rsid w:val="0068677B"/>
    <w:rsid w:val="0069007D"/>
    <w:rsid w:val="00690212"/>
    <w:rsid w:val="00692A80"/>
    <w:rsid w:val="00695DC0"/>
    <w:rsid w:val="00697DAD"/>
    <w:rsid w:val="006A0124"/>
    <w:rsid w:val="006A1B5B"/>
    <w:rsid w:val="006A1F6A"/>
    <w:rsid w:val="006A315D"/>
    <w:rsid w:val="006A367D"/>
    <w:rsid w:val="006A5167"/>
    <w:rsid w:val="006A5DE2"/>
    <w:rsid w:val="006B0CE4"/>
    <w:rsid w:val="006B1754"/>
    <w:rsid w:val="006B396F"/>
    <w:rsid w:val="006B3E0B"/>
    <w:rsid w:val="006B47D4"/>
    <w:rsid w:val="006C3082"/>
    <w:rsid w:val="006C349F"/>
    <w:rsid w:val="006C3D0D"/>
    <w:rsid w:val="006C3F8C"/>
    <w:rsid w:val="006C40BB"/>
    <w:rsid w:val="006C43C6"/>
    <w:rsid w:val="006C4AE0"/>
    <w:rsid w:val="006C564A"/>
    <w:rsid w:val="006C651C"/>
    <w:rsid w:val="006C6AD5"/>
    <w:rsid w:val="006C70AA"/>
    <w:rsid w:val="006C7790"/>
    <w:rsid w:val="006C77F0"/>
    <w:rsid w:val="006D3E41"/>
    <w:rsid w:val="006D5CB0"/>
    <w:rsid w:val="006D6C7E"/>
    <w:rsid w:val="006E0DEF"/>
    <w:rsid w:val="006E21BF"/>
    <w:rsid w:val="006E2C3B"/>
    <w:rsid w:val="006E3B0B"/>
    <w:rsid w:val="006E536B"/>
    <w:rsid w:val="006E6A37"/>
    <w:rsid w:val="006F11BB"/>
    <w:rsid w:val="006F11C7"/>
    <w:rsid w:val="006F28A7"/>
    <w:rsid w:val="006F3EED"/>
    <w:rsid w:val="006F45EB"/>
    <w:rsid w:val="006F46E2"/>
    <w:rsid w:val="006F6C8E"/>
    <w:rsid w:val="006F796E"/>
    <w:rsid w:val="00700DAA"/>
    <w:rsid w:val="00700E01"/>
    <w:rsid w:val="0070164D"/>
    <w:rsid w:val="0070263E"/>
    <w:rsid w:val="0070272A"/>
    <w:rsid w:val="00704908"/>
    <w:rsid w:val="00704ED7"/>
    <w:rsid w:val="0070666C"/>
    <w:rsid w:val="00711C43"/>
    <w:rsid w:val="007137A2"/>
    <w:rsid w:val="0071380B"/>
    <w:rsid w:val="00714F93"/>
    <w:rsid w:val="0071658C"/>
    <w:rsid w:val="00716936"/>
    <w:rsid w:val="00717D7B"/>
    <w:rsid w:val="00717F6D"/>
    <w:rsid w:val="00720A7D"/>
    <w:rsid w:val="007230C1"/>
    <w:rsid w:val="00726772"/>
    <w:rsid w:val="00727139"/>
    <w:rsid w:val="00732B76"/>
    <w:rsid w:val="00732C4A"/>
    <w:rsid w:val="007348CA"/>
    <w:rsid w:val="00736662"/>
    <w:rsid w:val="00736943"/>
    <w:rsid w:val="00737654"/>
    <w:rsid w:val="00737F25"/>
    <w:rsid w:val="00741D43"/>
    <w:rsid w:val="007430F4"/>
    <w:rsid w:val="00743A94"/>
    <w:rsid w:val="00746950"/>
    <w:rsid w:val="00750D44"/>
    <w:rsid w:val="00752E41"/>
    <w:rsid w:val="007538A5"/>
    <w:rsid w:val="0075409C"/>
    <w:rsid w:val="00754489"/>
    <w:rsid w:val="00754F37"/>
    <w:rsid w:val="00754FB8"/>
    <w:rsid w:val="007553A1"/>
    <w:rsid w:val="00755578"/>
    <w:rsid w:val="00755A98"/>
    <w:rsid w:val="00757C7F"/>
    <w:rsid w:val="00760369"/>
    <w:rsid w:val="00762307"/>
    <w:rsid w:val="00766C00"/>
    <w:rsid w:val="0077044A"/>
    <w:rsid w:val="007710F5"/>
    <w:rsid w:val="00771846"/>
    <w:rsid w:val="00772B71"/>
    <w:rsid w:val="00774D55"/>
    <w:rsid w:val="00780DD6"/>
    <w:rsid w:val="00781AA5"/>
    <w:rsid w:val="007827C8"/>
    <w:rsid w:val="0078362D"/>
    <w:rsid w:val="007850F2"/>
    <w:rsid w:val="00786B21"/>
    <w:rsid w:val="00787313"/>
    <w:rsid w:val="007912B9"/>
    <w:rsid w:val="007A0340"/>
    <w:rsid w:val="007A2190"/>
    <w:rsid w:val="007A26B3"/>
    <w:rsid w:val="007A4512"/>
    <w:rsid w:val="007B0B23"/>
    <w:rsid w:val="007B13EC"/>
    <w:rsid w:val="007B163B"/>
    <w:rsid w:val="007B22DE"/>
    <w:rsid w:val="007B6ACC"/>
    <w:rsid w:val="007C1713"/>
    <w:rsid w:val="007C1D44"/>
    <w:rsid w:val="007C3317"/>
    <w:rsid w:val="007C3995"/>
    <w:rsid w:val="007C4D74"/>
    <w:rsid w:val="007D0422"/>
    <w:rsid w:val="007D12E5"/>
    <w:rsid w:val="007D256D"/>
    <w:rsid w:val="007D29E7"/>
    <w:rsid w:val="007D3290"/>
    <w:rsid w:val="007D55F9"/>
    <w:rsid w:val="007D606F"/>
    <w:rsid w:val="007D75AE"/>
    <w:rsid w:val="007E01F9"/>
    <w:rsid w:val="007E18D9"/>
    <w:rsid w:val="007E2338"/>
    <w:rsid w:val="007E3B2A"/>
    <w:rsid w:val="007F081F"/>
    <w:rsid w:val="007F0A49"/>
    <w:rsid w:val="007F0A6F"/>
    <w:rsid w:val="007F0F23"/>
    <w:rsid w:val="007F187A"/>
    <w:rsid w:val="007F3FBA"/>
    <w:rsid w:val="007F4567"/>
    <w:rsid w:val="00802B06"/>
    <w:rsid w:val="008030E1"/>
    <w:rsid w:val="0080350A"/>
    <w:rsid w:val="00804169"/>
    <w:rsid w:val="00804A70"/>
    <w:rsid w:val="00804ABD"/>
    <w:rsid w:val="0080506C"/>
    <w:rsid w:val="0080650B"/>
    <w:rsid w:val="00806772"/>
    <w:rsid w:val="008072BB"/>
    <w:rsid w:val="00807E5A"/>
    <w:rsid w:val="00811441"/>
    <w:rsid w:val="00813291"/>
    <w:rsid w:val="008164CA"/>
    <w:rsid w:val="00822188"/>
    <w:rsid w:val="008222D1"/>
    <w:rsid w:val="00822F09"/>
    <w:rsid w:val="0082315A"/>
    <w:rsid w:val="00831431"/>
    <w:rsid w:val="00831A47"/>
    <w:rsid w:val="00834B5E"/>
    <w:rsid w:val="00837192"/>
    <w:rsid w:val="008376AB"/>
    <w:rsid w:val="00840F46"/>
    <w:rsid w:val="00842A7F"/>
    <w:rsid w:val="00843FCA"/>
    <w:rsid w:val="00844A37"/>
    <w:rsid w:val="00844B42"/>
    <w:rsid w:val="00845545"/>
    <w:rsid w:val="00846C4C"/>
    <w:rsid w:val="0084781D"/>
    <w:rsid w:val="00852B11"/>
    <w:rsid w:val="00852FDB"/>
    <w:rsid w:val="00853009"/>
    <w:rsid w:val="008540AA"/>
    <w:rsid w:val="00854D10"/>
    <w:rsid w:val="00856FC2"/>
    <w:rsid w:val="008576C8"/>
    <w:rsid w:val="0086124D"/>
    <w:rsid w:val="008616CA"/>
    <w:rsid w:val="00861C41"/>
    <w:rsid w:val="008624DA"/>
    <w:rsid w:val="00863F14"/>
    <w:rsid w:val="00864772"/>
    <w:rsid w:val="00864EE6"/>
    <w:rsid w:val="00867B87"/>
    <w:rsid w:val="0087033F"/>
    <w:rsid w:val="008707CC"/>
    <w:rsid w:val="00870806"/>
    <w:rsid w:val="00872EEA"/>
    <w:rsid w:val="00873C5E"/>
    <w:rsid w:val="00874ECE"/>
    <w:rsid w:val="0088019F"/>
    <w:rsid w:val="008812F0"/>
    <w:rsid w:val="0088208E"/>
    <w:rsid w:val="00883025"/>
    <w:rsid w:val="00883037"/>
    <w:rsid w:val="00883B00"/>
    <w:rsid w:val="00883FBB"/>
    <w:rsid w:val="00885910"/>
    <w:rsid w:val="00886778"/>
    <w:rsid w:val="00886A52"/>
    <w:rsid w:val="00887A23"/>
    <w:rsid w:val="008903D7"/>
    <w:rsid w:val="008916B8"/>
    <w:rsid w:val="00891BA5"/>
    <w:rsid w:val="00894D6E"/>
    <w:rsid w:val="0089585D"/>
    <w:rsid w:val="00897C9C"/>
    <w:rsid w:val="008A3812"/>
    <w:rsid w:val="008A44C8"/>
    <w:rsid w:val="008B107B"/>
    <w:rsid w:val="008B2C87"/>
    <w:rsid w:val="008B4778"/>
    <w:rsid w:val="008B4D8B"/>
    <w:rsid w:val="008B76F2"/>
    <w:rsid w:val="008C15D0"/>
    <w:rsid w:val="008C2711"/>
    <w:rsid w:val="008C4C7E"/>
    <w:rsid w:val="008C5682"/>
    <w:rsid w:val="008D0498"/>
    <w:rsid w:val="008D1D66"/>
    <w:rsid w:val="008D2270"/>
    <w:rsid w:val="008D39EF"/>
    <w:rsid w:val="008D460E"/>
    <w:rsid w:val="008D5293"/>
    <w:rsid w:val="008D5FE0"/>
    <w:rsid w:val="008D757C"/>
    <w:rsid w:val="008D7BE2"/>
    <w:rsid w:val="008E42A7"/>
    <w:rsid w:val="008E48BB"/>
    <w:rsid w:val="008E66F1"/>
    <w:rsid w:val="008E7DF8"/>
    <w:rsid w:val="008F45CD"/>
    <w:rsid w:val="008F5536"/>
    <w:rsid w:val="008F61D1"/>
    <w:rsid w:val="008F7628"/>
    <w:rsid w:val="008F7B67"/>
    <w:rsid w:val="00900ACD"/>
    <w:rsid w:val="009011BE"/>
    <w:rsid w:val="00905CFA"/>
    <w:rsid w:val="009072C1"/>
    <w:rsid w:val="009073D9"/>
    <w:rsid w:val="009131B6"/>
    <w:rsid w:val="0091572B"/>
    <w:rsid w:val="00915B7E"/>
    <w:rsid w:val="00917577"/>
    <w:rsid w:val="00917FF5"/>
    <w:rsid w:val="00920C66"/>
    <w:rsid w:val="00921167"/>
    <w:rsid w:val="0092198F"/>
    <w:rsid w:val="00925A92"/>
    <w:rsid w:val="00927FE0"/>
    <w:rsid w:val="00930A3C"/>
    <w:rsid w:val="00930F4C"/>
    <w:rsid w:val="0093137F"/>
    <w:rsid w:val="00933755"/>
    <w:rsid w:val="0093686A"/>
    <w:rsid w:val="009368DB"/>
    <w:rsid w:val="00936E91"/>
    <w:rsid w:val="00940FE9"/>
    <w:rsid w:val="009423EA"/>
    <w:rsid w:val="00942E04"/>
    <w:rsid w:val="009443FC"/>
    <w:rsid w:val="00944804"/>
    <w:rsid w:val="00946EEA"/>
    <w:rsid w:val="00947F90"/>
    <w:rsid w:val="0095651E"/>
    <w:rsid w:val="00960047"/>
    <w:rsid w:val="00960473"/>
    <w:rsid w:val="00960BA0"/>
    <w:rsid w:val="00963188"/>
    <w:rsid w:val="009632C7"/>
    <w:rsid w:val="00963F5E"/>
    <w:rsid w:val="00963F76"/>
    <w:rsid w:val="00964364"/>
    <w:rsid w:val="00964442"/>
    <w:rsid w:val="009669C5"/>
    <w:rsid w:val="00966F74"/>
    <w:rsid w:val="00967247"/>
    <w:rsid w:val="0096734C"/>
    <w:rsid w:val="009676BB"/>
    <w:rsid w:val="00970D6F"/>
    <w:rsid w:val="00971457"/>
    <w:rsid w:val="00972287"/>
    <w:rsid w:val="009725C9"/>
    <w:rsid w:val="00973D2F"/>
    <w:rsid w:val="00975894"/>
    <w:rsid w:val="00976778"/>
    <w:rsid w:val="00976A80"/>
    <w:rsid w:val="009775A3"/>
    <w:rsid w:val="009818D6"/>
    <w:rsid w:val="00982228"/>
    <w:rsid w:val="00983463"/>
    <w:rsid w:val="009862DB"/>
    <w:rsid w:val="00987678"/>
    <w:rsid w:val="00990937"/>
    <w:rsid w:val="00995140"/>
    <w:rsid w:val="00996D5C"/>
    <w:rsid w:val="00996FB9"/>
    <w:rsid w:val="009A0589"/>
    <w:rsid w:val="009A0A91"/>
    <w:rsid w:val="009A315C"/>
    <w:rsid w:val="009A3243"/>
    <w:rsid w:val="009A5311"/>
    <w:rsid w:val="009A56A8"/>
    <w:rsid w:val="009A71FE"/>
    <w:rsid w:val="009A786E"/>
    <w:rsid w:val="009A7C23"/>
    <w:rsid w:val="009B0E9E"/>
    <w:rsid w:val="009B0FD4"/>
    <w:rsid w:val="009B14F8"/>
    <w:rsid w:val="009B3E5F"/>
    <w:rsid w:val="009B43E9"/>
    <w:rsid w:val="009B4A16"/>
    <w:rsid w:val="009B5459"/>
    <w:rsid w:val="009B62EE"/>
    <w:rsid w:val="009B6FB4"/>
    <w:rsid w:val="009B76BF"/>
    <w:rsid w:val="009C07A5"/>
    <w:rsid w:val="009C18C0"/>
    <w:rsid w:val="009C2324"/>
    <w:rsid w:val="009C262C"/>
    <w:rsid w:val="009C36EC"/>
    <w:rsid w:val="009D0AA1"/>
    <w:rsid w:val="009D236D"/>
    <w:rsid w:val="009D44A6"/>
    <w:rsid w:val="009D4ACD"/>
    <w:rsid w:val="009D6120"/>
    <w:rsid w:val="009D6FFF"/>
    <w:rsid w:val="009D7518"/>
    <w:rsid w:val="009E0AD5"/>
    <w:rsid w:val="009E1466"/>
    <w:rsid w:val="009E4FE5"/>
    <w:rsid w:val="009E5021"/>
    <w:rsid w:val="009E754D"/>
    <w:rsid w:val="009E7BEB"/>
    <w:rsid w:val="009E7C8A"/>
    <w:rsid w:val="009F292C"/>
    <w:rsid w:val="009F2EEB"/>
    <w:rsid w:val="009F511C"/>
    <w:rsid w:val="009F59F4"/>
    <w:rsid w:val="00A00DF8"/>
    <w:rsid w:val="00A01282"/>
    <w:rsid w:val="00A02302"/>
    <w:rsid w:val="00A02768"/>
    <w:rsid w:val="00A02C77"/>
    <w:rsid w:val="00A0334B"/>
    <w:rsid w:val="00A058ED"/>
    <w:rsid w:val="00A06B58"/>
    <w:rsid w:val="00A10A3B"/>
    <w:rsid w:val="00A11E4C"/>
    <w:rsid w:val="00A12443"/>
    <w:rsid w:val="00A12DB5"/>
    <w:rsid w:val="00A1396F"/>
    <w:rsid w:val="00A16A80"/>
    <w:rsid w:val="00A17FE4"/>
    <w:rsid w:val="00A214C2"/>
    <w:rsid w:val="00A22729"/>
    <w:rsid w:val="00A227F9"/>
    <w:rsid w:val="00A22893"/>
    <w:rsid w:val="00A25A6E"/>
    <w:rsid w:val="00A2631D"/>
    <w:rsid w:val="00A26887"/>
    <w:rsid w:val="00A275EE"/>
    <w:rsid w:val="00A276D5"/>
    <w:rsid w:val="00A27715"/>
    <w:rsid w:val="00A3064A"/>
    <w:rsid w:val="00A309FA"/>
    <w:rsid w:val="00A31480"/>
    <w:rsid w:val="00A331B3"/>
    <w:rsid w:val="00A34CF0"/>
    <w:rsid w:val="00A366B0"/>
    <w:rsid w:val="00A369D6"/>
    <w:rsid w:val="00A36FA6"/>
    <w:rsid w:val="00A42225"/>
    <w:rsid w:val="00A42296"/>
    <w:rsid w:val="00A4350E"/>
    <w:rsid w:val="00A47A62"/>
    <w:rsid w:val="00A53680"/>
    <w:rsid w:val="00A5494B"/>
    <w:rsid w:val="00A54DD4"/>
    <w:rsid w:val="00A5707B"/>
    <w:rsid w:val="00A60255"/>
    <w:rsid w:val="00A60B74"/>
    <w:rsid w:val="00A6170E"/>
    <w:rsid w:val="00A62AA8"/>
    <w:rsid w:val="00A635D8"/>
    <w:rsid w:val="00A63916"/>
    <w:rsid w:val="00A66AB2"/>
    <w:rsid w:val="00A71E6B"/>
    <w:rsid w:val="00A721E9"/>
    <w:rsid w:val="00A74F1E"/>
    <w:rsid w:val="00A75BE3"/>
    <w:rsid w:val="00A76937"/>
    <w:rsid w:val="00A7732F"/>
    <w:rsid w:val="00A81283"/>
    <w:rsid w:val="00A81C8D"/>
    <w:rsid w:val="00A82049"/>
    <w:rsid w:val="00A825E0"/>
    <w:rsid w:val="00A861A4"/>
    <w:rsid w:val="00A90A97"/>
    <w:rsid w:val="00A924B0"/>
    <w:rsid w:val="00A9275D"/>
    <w:rsid w:val="00A92C63"/>
    <w:rsid w:val="00A9317A"/>
    <w:rsid w:val="00A93253"/>
    <w:rsid w:val="00AA06BC"/>
    <w:rsid w:val="00AA0CC5"/>
    <w:rsid w:val="00AA1255"/>
    <w:rsid w:val="00AA4C47"/>
    <w:rsid w:val="00AA5272"/>
    <w:rsid w:val="00AA52F3"/>
    <w:rsid w:val="00AA647A"/>
    <w:rsid w:val="00AB1529"/>
    <w:rsid w:val="00AB50A1"/>
    <w:rsid w:val="00AC26D6"/>
    <w:rsid w:val="00AC391B"/>
    <w:rsid w:val="00AC3E2C"/>
    <w:rsid w:val="00AC6135"/>
    <w:rsid w:val="00AC7EF7"/>
    <w:rsid w:val="00AD121E"/>
    <w:rsid w:val="00AD1518"/>
    <w:rsid w:val="00AD1535"/>
    <w:rsid w:val="00AD3B63"/>
    <w:rsid w:val="00AD44B0"/>
    <w:rsid w:val="00AD4FCD"/>
    <w:rsid w:val="00AD59D8"/>
    <w:rsid w:val="00AD6E8D"/>
    <w:rsid w:val="00AD6FAD"/>
    <w:rsid w:val="00AE02EA"/>
    <w:rsid w:val="00AE04DC"/>
    <w:rsid w:val="00AE0EBA"/>
    <w:rsid w:val="00AE4E01"/>
    <w:rsid w:val="00AE5402"/>
    <w:rsid w:val="00AE5E9C"/>
    <w:rsid w:val="00AF1145"/>
    <w:rsid w:val="00AF5755"/>
    <w:rsid w:val="00AF726A"/>
    <w:rsid w:val="00AF75AA"/>
    <w:rsid w:val="00AF794E"/>
    <w:rsid w:val="00B01241"/>
    <w:rsid w:val="00B02D78"/>
    <w:rsid w:val="00B0488C"/>
    <w:rsid w:val="00B054C0"/>
    <w:rsid w:val="00B064E7"/>
    <w:rsid w:val="00B07339"/>
    <w:rsid w:val="00B10063"/>
    <w:rsid w:val="00B12AAF"/>
    <w:rsid w:val="00B130AD"/>
    <w:rsid w:val="00B151F4"/>
    <w:rsid w:val="00B15E13"/>
    <w:rsid w:val="00B16717"/>
    <w:rsid w:val="00B171DF"/>
    <w:rsid w:val="00B1726A"/>
    <w:rsid w:val="00B17F5E"/>
    <w:rsid w:val="00B21D7B"/>
    <w:rsid w:val="00B222C8"/>
    <w:rsid w:val="00B24974"/>
    <w:rsid w:val="00B271B1"/>
    <w:rsid w:val="00B302F7"/>
    <w:rsid w:val="00B30FD6"/>
    <w:rsid w:val="00B32AEB"/>
    <w:rsid w:val="00B33E34"/>
    <w:rsid w:val="00B34081"/>
    <w:rsid w:val="00B34AD5"/>
    <w:rsid w:val="00B35D5F"/>
    <w:rsid w:val="00B35E2F"/>
    <w:rsid w:val="00B37D96"/>
    <w:rsid w:val="00B4049F"/>
    <w:rsid w:val="00B409CF"/>
    <w:rsid w:val="00B4338F"/>
    <w:rsid w:val="00B458B3"/>
    <w:rsid w:val="00B502B8"/>
    <w:rsid w:val="00B50737"/>
    <w:rsid w:val="00B51A49"/>
    <w:rsid w:val="00B54FBD"/>
    <w:rsid w:val="00B6084E"/>
    <w:rsid w:val="00B60AD5"/>
    <w:rsid w:val="00B610AE"/>
    <w:rsid w:val="00B618F9"/>
    <w:rsid w:val="00B62672"/>
    <w:rsid w:val="00B63778"/>
    <w:rsid w:val="00B6391D"/>
    <w:rsid w:val="00B64B03"/>
    <w:rsid w:val="00B72AB2"/>
    <w:rsid w:val="00B76006"/>
    <w:rsid w:val="00B824FD"/>
    <w:rsid w:val="00B8703F"/>
    <w:rsid w:val="00B91130"/>
    <w:rsid w:val="00B915CC"/>
    <w:rsid w:val="00B9357B"/>
    <w:rsid w:val="00B936C6"/>
    <w:rsid w:val="00B94CDC"/>
    <w:rsid w:val="00B94D3B"/>
    <w:rsid w:val="00B9764B"/>
    <w:rsid w:val="00BA2EBB"/>
    <w:rsid w:val="00BA3ADA"/>
    <w:rsid w:val="00BA4586"/>
    <w:rsid w:val="00BA550F"/>
    <w:rsid w:val="00BB2358"/>
    <w:rsid w:val="00BB2A46"/>
    <w:rsid w:val="00BB36CF"/>
    <w:rsid w:val="00BB4531"/>
    <w:rsid w:val="00BC31DC"/>
    <w:rsid w:val="00BC39EE"/>
    <w:rsid w:val="00BC4914"/>
    <w:rsid w:val="00BC70CB"/>
    <w:rsid w:val="00BD0F7B"/>
    <w:rsid w:val="00BD4265"/>
    <w:rsid w:val="00BD5AA7"/>
    <w:rsid w:val="00BD7162"/>
    <w:rsid w:val="00BD757F"/>
    <w:rsid w:val="00BE12C1"/>
    <w:rsid w:val="00BE25F3"/>
    <w:rsid w:val="00BE2BC0"/>
    <w:rsid w:val="00BE5D77"/>
    <w:rsid w:val="00BE746E"/>
    <w:rsid w:val="00BE7ED2"/>
    <w:rsid w:val="00BF0B24"/>
    <w:rsid w:val="00BF0C48"/>
    <w:rsid w:val="00BF2D15"/>
    <w:rsid w:val="00BF387E"/>
    <w:rsid w:val="00BF64AF"/>
    <w:rsid w:val="00BF6FDE"/>
    <w:rsid w:val="00C01317"/>
    <w:rsid w:val="00C05DCB"/>
    <w:rsid w:val="00C12AE5"/>
    <w:rsid w:val="00C13539"/>
    <w:rsid w:val="00C1416E"/>
    <w:rsid w:val="00C148DE"/>
    <w:rsid w:val="00C14D15"/>
    <w:rsid w:val="00C14F2F"/>
    <w:rsid w:val="00C15EFE"/>
    <w:rsid w:val="00C1699E"/>
    <w:rsid w:val="00C16E81"/>
    <w:rsid w:val="00C17EB5"/>
    <w:rsid w:val="00C200E2"/>
    <w:rsid w:val="00C2289D"/>
    <w:rsid w:val="00C239C3"/>
    <w:rsid w:val="00C24C12"/>
    <w:rsid w:val="00C266E9"/>
    <w:rsid w:val="00C26D74"/>
    <w:rsid w:val="00C27F57"/>
    <w:rsid w:val="00C3024C"/>
    <w:rsid w:val="00C34300"/>
    <w:rsid w:val="00C3753B"/>
    <w:rsid w:val="00C41E30"/>
    <w:rsid w:val="00C429E6"/>
    <w:rsid w:val="00C42BA1"/>
    <w:rsid w:val="00C43389"/>
    <w:rsid w:val="00C442B1"/>
    <w:rsid w:val="00C44EBC"/>
    <w:rsid w:val="00C466C9"/>
    <w:rsid w:val="00C46EA0"/>
    <w:rsid w:val="00C47B1C"/>
    <w:rsid w:val="00C50AE6"/>
    <w:rsid w:val="00C511BF"/>
    <w:rsid w:val="00C52419"/>
    <w:rsid w:val="00C6133B"/>
    <w:rsid w:val="00C61926"/>
    <w:rsid w:val="00C625E2"/>
    <w:rsid w:val="00C63266"/>
    <w:rsid w:val="00C636A9"/>
    <w:rsid w:val="00C64684"/>
    <w:rsid w:val="00C67098"/>
    <w:rsid w:val="00C677B0"/>
    <w:rsid w:val="00C67A64"/>
    <w:rsid w:val="00C771BD"/>
    <w:rsid w:val="00C77E69"/>
    <w:rsid w:val="00C80329"/>
    <w:rsid w:val="00C81745"/>
    <w:rsid w:val="00C82362"/>
    <w:rsid w:val="00C82CE2"/>
    <w:rsid w:val="00C83C2D"/>
    <w:rsid w:val="00C850D2"/>
    <w:rsid w:val="00C90771"/>
    <w:rsid w:val="00C90943"/>
    <w:rsid w:val="00C90FC8"/>
    <w:rsid w:val="00C917FA"/>
    <w:rsid w:val="00C937CC"/>
    <w:rsid w:val="00C94733"/>
    <w:rsid w:val="00C9554E"/>
    <w:rsid w:val="00CA2095"/>
    <w:rsid w:val="00CA36A0"/>
    <w:rsid w:val="00CA380D"/>
    <w:rsid w:val="00CA4912"/>
    <w:rsid w:val="00CB226F"/>
    <w:rsid w:val="00CB546E"/>
    <w:rsid w:val="00CB5700"/>
    <w:rsid w:val="00CB5752"/>
    <w:rsid w:val="00CB79C6"/>
    <w:rsid w:val="00CC032D"/>
    <w:rsid w:val="00CC0614"/>
    <w:rsid w:val="00CC1010"/>
    <w:rsid w:val="00CC1D31"/>
    <w:rsid w:val="00CC25AA"/>
    <w:rsid w:val="00CC2DA1"/>
    <w:rsid w:val="00CC32B9"/>
    <w:rsid w:val="00CC3780"/>
    <w:rsid w:val="00CC667D"/>
    <w:rsid w:val="00CD255A"/>
    <w:rsid w:val="00CD6378"/>
    <w:rsid w:val="00CE1503"/>
    <w:rsid w:val="00CE19AA"/>
    <w:rsid w:val="00CE2081"/>
    <w:rsid w:val="00CE46A5"/>
    <w:rsid w:val="00CE4F78"/>
    <w:rsid w:val="00CE547A"/>
    <w:rsid w:val="00CE54F1"/>
    <w:rsid w:val="00CE5737"/>
    <w:rsid w:val="00CF07E9"/>
    <w:rsid w:val="00CF184D"/>
    <w:rsid w:val="00CF21D2"/>
    <w:rsid w:val="00CF3619"/>
    <w:rsid w:val="00CF402A"/>
    <w:rsid w:val="00CF5E95"/>
    <w:rsid w:val="00CF6E88"/>
    <w:rsid w:val="00CF7EA7"/>
    <w:rsid w:val="00D02AF8"/>
    <w:rsid w:val="00D03BBD"/>
    <w:rsid w:val="00D04595"/>
    <w:rsid w:val="00D0497C"/>
    <w:rsid w:val="00D05B0A"/>
    <w:rsid w:val="00D06AFD"/>
    <w:rsid w:val="00D079F9"/>
    <w:rsid w:val="00D117F1"/>
    <w:rsid w:val="00D123A3"/>
    <w:rsid w:val="00D1242A"/>
    <w:rsid w:val="00D1272A"/>
    <w:rsid w:val="00D130C8"/>
    <w:rsid w:val="00D17445"/>
    <w:rsid w:val="00D24816"/>
    <w:rsid w:val="00D2547B"/>
    <w:rsid w:val="00D26AA4"/>
    <w:rsid w:val="00D277CB"/>
    <w:rsid w:val="00D3169B"/>
    <w:rsid w:val="00D31DEF"/>
    <w:rsid w:val="00D3370F"/>
    <w:rsid w:val="00D33B9D"/>
    <w:rsid w:val="00D340BC"/>
    <w:rsid w:val="00D34976"/>
    <w:rsid w:val="00D401EC"/>
    <w:rsid w:val="00D42203"/>
    <w:rsid w:val="00D4301B"/>
    <w:rsid w:val="00D4615D"/>
    <w:rsid w:val="00D61328"/>
    <w:rsid w:val="00D61854"/>
    <w:rsid w:val="00D61D8A"/>
    <w:rsid w:val="00D62BCB"/>
    <w:rsid w:val="00D6335C"/>
    <w:rsid w:val="00D65ED3"/>
    <w:rsid w:val="00D66280"/>
    <w:rsid w:val="00D67376"/>
    <w:rsid w:val="00D67897"/>
    <w:rsid w:val="00D72757"/>
    <w:rsid w:val="00D72EC0"/>
    <w:rsid w:val="00D80758"/>
    <w:rsid w:val="00D81202"/>
    <w:rsid w:val="00D81685"/>
    <w:rsid w:val="00D835DC"/>
    <w:rsid w:val="00D859FC"/>
    <w:rsid w:val="00D87CC6"/>
    <w:rsid w:val="00D919D3"/>
    <w:rsid w:val="00D91F0D"/>
    <w:rsid w:val="00D96894"/>
    <w:rsid w:val="00D96F5B"/>
    <w:rsid w:val="00DA3E32"/>
    <w:rsid w:val="00DA5F3D"/>
    <w:rsid w:val="00DA6F49"/>
    <w:rsid w:val="00DA7B59"/>
    <w:rsid w:val="00DB0459"/>
    <w:rsid w:val="00DB2E6C"/>
    <w:rsid w:val="00DB41D1"/>
    <w:rsid w:val="00DB6414"/>
    <w:rsid w:val="00DC03DA"/>
    <w:rsid w:val="00DC03EA"/>
    <w:rsid w:val="00DC1E29"/>
    <w:rsid w:val="00DC2CFE"/>
    <w:rsid w:val="00DC3628"/>
    <w:rsid w:val="00DC58B1"/>
    <w:rsid w:val="00DC6E27"/>
    <w:rsid w:val="00DD0E7C"/>
    <w:rsid w:val="00DD1927"/>
    <w:rsid w:val="00DD309A"/>
    <w:rsid w:val="00DD485C"/>
    <w:rsid w:val="00DD5CFA"/>
    <w:rsid w:val="00DD61DE"/>
    <w:rsid w:val="00DD7436"/>
    <w:rsid w:val="00DE0901"/>
    <w:rsid w:val="00DE1BD0"/>
    <w:rsid w:val="00DE3EE0"/>
    <w:rsid w:val="00DE48E7"/>
    <w:rsid w:val="00DE4EE1"/>
    <w:rsid w:val="00DE6EA0"/>
    <w:rsid w:val="00DF0CB5"/>
    <w:rsid w:val="00DF11F1"/>
    <w:rsid w:val="00DF13AD"/>
    <w:rsid w:val="00DF264D"/>
    <w:rsid w:val="00DF32B7"/>
    <w:rsid w:val="00DF38D1"/>
    <w:rsid w:val="00DF736D"/>
    <w:rsid w:val="00E006CA"/>
    <w:rsid w:val="00E02702"/>
    <w:rsid w:val="00E10218"/>
    <w:rsid w:val="00E11CB2"/>
    <w:rsid w:val="00E13A52"/>
    <w:rsid w:val="00E14584"/>
    <w:rsid w:val="00E147FD"/>
    <w:rsid w:val="00E15BAB"/>
    <w:rsid w:val="00E17463"/>
    <w:rsid w:val="00E17F6E"/>
    <w:rsid w:val="00E17FC9"/>
    <w:rsid w:val="00E2122B"/>
    <w:rsid w:val="00E21E83"/>
    <w:rsid w:val="00E2326F"/>
    <w:rsid w:val="00E235CD"/>
    <w:rsid w:val="00E25120"/>
    <w:rsid w:val="00E25DB3"/>
    <w:rsid w:val="00E2608E"/>
    <w:rsid w:val="00E27C02"/>
    <w:rsid w:val="00E31475"/>
    <w:rsid w:val="00E355A2"/>
    <w:rsid w:val="00E36F3C"/>
    <w:rsid w:val="00E376A5"/>
    <w:rsid w:val="00E37820"/>
    <w:rsid w:val="00E42615"/>
    <w:rsid w:val="00E43629"/>
    <w:rsid w:val="00E44CED"/>
    <w:rsid w:val="00E45B7B"/>
    <w:rsid w:val="00E50F50"/>
    <w:rsid w:val="00E5267F"/>
    <w:rsid w:val="00E52D99"/>
    <w:rsid w:val="00E5373C"/>
    <w:rsid w:val="00E53CA8"/>
    <w:rsid w:val="00E55475"/>
    <w:rsid w:val="00E56805"/>
    <w:rsid w:val="00E57E18"/>
    <w:rsid w:val="00E60FC6"/>
    <w:rsid w:val="00E62AC9"/>
    <w:rsid w:val="00E652A6"/>
    <w:rsid w:val="00E66108"/>
    <w:rsid w:val="00E663B5"/>
    <w:rsid w:val="00E717CF"/>
    <w:rsid w:val="00E72AFB"/>
    <w:rsid w:val="00E761BB"/>
    <w:rsid w:val="00E774D6"/>
    <w:rsid w:val="00E77568"/>
    <w:rsid w:val="00E81E18"/>
    <w:rsid w:val="00E82049"/>
    <w:rsid w:val="00E821B8"/>
    <w:rsid w:val="00E82ED3"/>
    <w:rsid w:val="00E84EF7"/>
    <w:rsid w:val="00E87391"/>
    <w:rsid w:val="00E873C3"/>
    <w:rsid w:val="00E90F14"/>
    <w:rsid w:val="00E93E48"/>
    <w:rsid w:val="00E94436"/>
    <w:rsid w:val="00E944B4"/>
    <w:rsid w:val="00E9592B"/>
    <w:rsid w:val="00E967C4"/>
    <w:rsid w:val="00E96D27"/>
    <w:rsid w:val="00EA06A6"/>
    <w:rsid w:val="00EA23B2"/>
    <w:rsid w:val="00EA2927"/>
    <w:rsid w:val="00EA2F74"/>
    <w:rsid w:val="00EA4927"/>
    <w:rsid w:val="00EA5C4E"/>
    <w:rsid w:val="00EA60F1"/>
    <w:rsid w:val="00EA6BA7"/>
    <w:rsid w:val="00EB0308"/>
    <w:rsid w:val="00EB09AC"/>
    <w:rsid w:val="00EB278D"/>
    <w:rsid w:val="00EB2E3B"/>
    <w:rsid w:val="00EB42C1"/>
    <w:rsid w:val="00EB7387"/>
    <w:rsid w:val="00EB738A"/>
    <w:rsid w:val="00EC0C83"/>
    <w:rsid w:val="00EC1C43"/>
    <w:rsid w:val="00EC22C0"/>
    <w:rsid w:val="00EC6FFC"/>
    <w:rsid w:val="00ED356D"/>
    <w:rsid w:val="00ED3FDC"/>
    <w:rsid w:val="00ED462B"/>
    <w:rsid w:val="00ED567A"/>
    <w:rsid w:val="00ED5E77"/>
    <w:rsid w:val="00ED67F1"/>
    <w:rsid w:val="00ED7C12"/>
    <w:rsid w:val="00ED7E58"/>
    <w:rsid w:val="00EE0839"/>
    <w:rsid w:val="00EE3F5B"/>
    <w:rsid w:val="00EE3F6C"/>
    <w:rsid w:val="00EE5D94"/>
    <w:rsid w:val="00EE75BC"/>
    <w:rsid w:val="00EE7638"/>
    <w:rsid w:val="00EF17B6"/>
    <w:rsid w:val="00EF211E"/>
    <w:rsid w:val="00EF2EA9"/>
    <w:rsid w:val="00EF3893"/>
    <w:rsid w:val="00EF3D8C"/>
    <w:rsid w:val="00EF4053"/>
    <w:rsid w:val="00EF4732"/>
    <w:rsid w:val="00EF6F49"/>
    <w:rsid w:val="00EF7249"/>
    <w:rsid w:val="00F00B65"/>
    <w:rsid w:val="00F01C1D"/>
    <w:rsid w:val="00F0257A"/>
    <w:rsid w:val="00F0380B"/>
    <w:rsid w:val="00F04717"/>
    <w:rsid w:val="00F05933"/>
    <w:rsid w:val="00F1038A"/>
    <w:rsid w:val="00F11A3B"/>
    <w:rsid w:val="00F1252F"/>
    <w:rsid w:val="00F146B1"/>
    <w:rsid w:val="00F15CB8"/>
    <w:rsid w:val="00F16AA3"/>
    <w:rsid w:val="00F16BBC"/>
    <w:rsid w:val="00F2159E"/>
    <w:rsid w:val="00F21E4C"/>
    <w:rsid w:val="00F2225E"/>
    <w:rsid w:val="00F222AA"/>
    <w:rsid w:val="00F23560"/>
    <w:rsid w:val="00F2614D"/>
    <w:rsid w:val="00F26355"/>
    <w:rsid w:val="00F266DA"/>
    <w:rsid w:val="00F274AC"/>
    <w:rsid w:val="00F2784D"/>
    <w:rsid w:val="00F30B58"/>
    <w:rsid w:val="00F31A28"/>
    <w:rsid w:val="00F31A78"/>
    <w:rsid w:val="00F3228E"/>
    <w:rsid w:val="00F327CD"/>
    <w:rsid w:val="00F32C74"/>
    <w:rsid w:val="00F33FFF"/>
    <w:rsid w:val="00F36264"/>
    <w:rsid w:val="00F379D5"/>
    <w:rsid w:val="00F414EE"/>
    <w:rsid w:val="00F52CE5"/>
    <w:rsid w:val="00F53D6B"/>
    <w:rsid w:val="00F56885"/>
    <w:rsid w:val="00F62E88"/>
    <w:rsid w:val="00F62F8A"/>
    <w:rsid w:val="00F6302E"/>
    <w:rsid w:val="00F638B7"/>
    <w:rsid w:val="00F63E76"/>
    <w:rsid w:val="00F64456"/>
    <w:rsid w:val="00F65B45"/>
    <w:rsid w:val="00F704D9"/>
    <w:rsid w:val="00F71E0C"/>
    <w:rsid w:val="00F7268B"/>
    <w:rsid w:val="00F73296"/>
    <w:rsid w:val="00F75FAB"/>
    <w:rsid w:val="00F77BCB"/>
    <w:rsid w:val="00F81A5C"/>
    <w:rsid w:val="00F83EA8"/>
    <w:rsid w:val="00F847E0"/>
    <w:rsid w:val="00F933D3"/>
    <w:rsid w:val="00F944A3"/>
    <w:rsid w:val="00F94666"/>
    <w:rsid w:val="00F95B2E"/>
    <w:rsid w:val="00F95F7C"/>
    <w:rsid w:val="00FA2563"/>
    <w:rsid w:val="00FA2C6F"/>
    <w:rsid w:val="00FA3A3A"/>
    <w:rsid w:val="00FA4A3C"/>
    <w:rsid w:val="00FA75CD"/>
    <w:rsid w:val="00FA7DDD"/>
    <w:rsid w:val="00FB0E76"/>
    <w:rsid w:val="00FB460B"/>
    <w:rsid w:val="00FB5B6E"/>
    <w:rsid w:val="00FC0EE5"/>
    <w:rsid w:val="00FC13DC"/>
    <w:rsid w:val="00FC149F"/>
    <w:rsid w:val="00FC2429"/>
    <w:rsid w:val="00FC5229"/>
    <w:rsid w:val="00FC53EC"/>
    <w:rsid w:val="00FC5D03"/>
    <w:rsid w:val="00FD2DD8"/>
    <w:rsid w:val="00FD6C7B"/>
    <w:rsid w:val="00FD7017"/>
    <w:rsid w:val="00FD719B"/>
    <w:rsid w:val="00FE0D4C"/>
    <w:rsid w:val="00FE5D89"/>
    <w:rsid w:val="00FE6AAB"/>
    <w:rsid w:val="00FF0C05"/>
    <w:rsid w:val="00FF1734"/>
    <w:rsid w:val="00FF1E84"/>
    <w:rsid w:val="00FF53F5"/>
    <w:rsid w:val="00FF7ACD"/>
    <w:rsid w:val="1B3F7A19"/>
    <w:rsid w:val="40B67BC8"/>
    <w:rsid w:val="471E890D"/>
    <w:rsid w:val="51637229"/>
    <w:rsid w:val="62587ADC"/>
    <w:rsid w:val="76E22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40093"/>
  <w15:chartTrackingRefBased/>
  <w15:docId w15:val="{37E44AE7-5446-4E5A-A7D8-780C693E2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1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F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1F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F40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5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A98"/>
  </w:style>
  <w:style w:type="paragraph" w:styleId="Footer">
    <w:name w:val="footer"/>
    <w:basedOn w:val="Normal"/>
    <w:link w:val="FooterChar"/>
    <w:uiPriority w:val="99"/>
    <w:unhideWhenUsed/>
    <w:rsid w:val="00755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A98"/>
  </w:style>
  <w:style w:type="paragraph" w:styleId="NoSpacing">
    <w:name w:val="No Spacing"/>
    <w:link w:val="NoSpacingChar"/>
    <w:uiPriority w:val="1"/>
    <w:qFormat/>
    <w:rsid w:val="00755A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5A98"/>
    <w:rPr>
      <w:rFonts w:eastAsiaTheme="minorEastAsia"/>
      <w:lang w:val="en-US"/>
    </w:rPr>
  </w:style>
  <w:style w:type="paragraph" w:styleId="ListParagraph">
    <w:name w:val="List Paragraph"/>
    <w:basedOn w:val="Normal"/>
    <w:uiPriority w:val="1"/>
    <w:qFormat/>
    <w:rsid w:val="00F53D6B"/>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118B5"/>
    <w:rPr>
      <w:color w:val="0563C1" w:themeColor="hyperlink"/>
      <w:u w:val="single"/>
    </w:rPr>
  </w:style>
  <w:style w:type="character" w:styleId="UnresolvedMention">
    <w:name w:val="Unresolved Mention"/>
    <w:basedOn w:val="DefaultParagraphFont"/>
    <w:uiPriority w:val="99"/>
    <w:semiHidden/>
    <w:unhideWhenUsed/>
    <w:rsid w:val="004118B5"/>
    <w:rPr>
      <w:color w:val="605E5C"/>
      <w:shd w:val="clear" w:color="auto" w:fill="E1DFDD"/>
    </w:rPr>
  </w:style>
  <w:style w:type="table" w:styleId="TableGrid">
    <w:name w:val="Table Grid"/>
    <w:basedOn w:val="TableNormal"/>
    <w:uiPriority w:val="39"/>
    <w:rsid w:val="00300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01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3F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27F5E"/>
    <w:pPr>
      <w:outlineLvl w:val="9"/>
    </w:pPr>
    <w:rPr>
      <w:lang w:val="en-US"/>
    </w:rPr>
  </w:style>
  <w:style w:type="paragraph" w:styleId="TOC1">
    <w:name w:val="toc 1"/>
    <w:basedOn w:val="Normal"/>
    <w:next w:val="Normal"/>
    <w:autoRedefine/>
    <w:uiPriority w:val="39"/>
    <w:unhideWhenUsed/>
    <w:rsid w:val="00427F5E"/>
    <w:pPr>
      <w:spacing w:after="100"/>
    </w:pPr>
  </w:style>
  <w:style w:type="paragraph" w:styleId="TOC2">
    <w:name w:val="toc 2"/>
    <w:basedOn w:val="Normal"/>
    <w:next w:val="Normal"/>
    <w:autoRedefine/>
    <w:uiPriority w:val="39"/>
    <w:unhideWhenUsed/>
    <w:rsid w:val="00427F5E"/>
    <w:pPr>
      <w:spacing w:after="100"/>
      <w:ind w:left="220"/>
    </w:pPr>
  </w:style>
  <w:style w:type="character" w:customStyle="1" w:styleId="Heading3Char">
    <w:name w:val="Heading 3 Char"/>
    <w:basedOn w:val="DefaultParagraphFont"/>
    <w:link w:val="Heading3"/>
    <w:uiPriority w:val="9"/>
    <w:rsid w:val="00621F0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930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6667D5"/>
    <w:pPr>
      <w:spacing w:after="100"/>
      <w:ind w:left="440"/>
    </w:pPr>
  </w:style>
  <w:style w:type="character" w:customStyle="1" w:styleId="Heading4Char">
    <w:name w:val="Heading 4 Char"/>
    <w:basedOn w:val="DefaultParagraphFont"/>
    <w:link w:val="Heading4"/>
    <w:uiPriority w:val="9"/>
    <w:rsid w:val="00CF402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4732">
      <w:bodyDiv w:val="1"/>
      <w:marLeft w:val="0"/>
      <w:marRight w:val="0"/>
      <w:marTop w:val="0"/>
      <w:marBottom w:val="0"/>
      <w:divBdr>
        <w:top w:val="none" w:sz="0" w:space="0" w:color="auto"/>
        <w:left w:val="none" w:sz="0" w:space="0" w:color="auto"/>
        <w:bottom w:val="none" w:sz="0" w:space="0" w:color="auto"/>
        <w:right w:val="none" w:sz="0" w:space="0" w:color="auto"/>
      </w:divBdr>
    </w:div>
    <w:div w:id="126162963">
      <w:bodyDiv w:val="1"/>
      <w:marLeft w:val="0"/>
      <w:marRight w:val="0"/>
      <w:marTop w:val="0"/>
      <w:marBottom w:val="0"/>
      <w:divBdr>
        <w:top w:val="none" w:sz="0" w:space="0" w:color="auto"/>
        <w:left w:val="none" w:sz="0" w:space="0" w:color="auto"/>
        <w:bottom w:val="none" w:sz="0" w:space="0" w:color="auto"/>
        <w:right w:val="none" w:sz="0" w:space="0" w:color="auto"/>
      </w:divBdr>
    </w:div>
    <w:div w:id="133841925">
      <w:bodyDiv w:val="1"/>
      <w:marLeft w:val="0"/>
      <w:marRight w:val="0"/>
      <w:marTop w:val="0"/>
      <w:marBottom w:val="0"/>
      <w:divBdr>
        <w:top w:val="none" w:sz="0" w:space="0" w:color="auto"/>
        <w:left w:val="none" w:sz="0" w:space="0" w:color="auto"/>
        <w:bottom w:val="none" w:sz="0" w:space="0" w:color="auto"/>
        <w:right w:val="none" w:sz="0" w:space="0" w:color="auto"/>
      </w:divBdr>
    </w:div>
    <w:div w:id="194120794">
      <w:bodyDiv w:val="1"/>
      <w:marLeft w:val="0"/>
      <w:marRight w:val="0"/>
      <w:marTop w:val="0"/>
      <w:marBottom w:val="0"/>
      <w:divBdr>
        <w:top w:val="none" w:sz="0" w:space="0" w:color="auto"/>
        <w:left w:val="none" w:sz="0" w:space="0" w:color="auto"/>
        <w:bottom w:val="none" w:sz="0" w:space="0" w:color="auto"/>
        <w:right w:val="none" w:sz="0" w:space="0" w:color="auto"/>
      </w:divBdr>
    </w:div>
    <w:div w:id="335574521">
      <w:bodyDiv w:val="1"/>
      <w:marLeft w:val="0"/>
      <w:marRight w:val="0"/>
      <w:marTop w:val="0"/>
      <w:marBottom w:val="0"/>
      <w:divBdr>
        <w:top w:val="none" w:sz="0" w:space="0" w:color="auto"/>
        <w:left w:val="none" w:sz="0" w:space="0" w:color="auto"/>
        <w:bottom w:val="none" w:sz="0" w:space="0" w:color="auto"/>
        <w:right w:val="none" w:sz="0" w:space="0" w:color="auto"/>
      </w:divBdr>
    </w:div>
    <w:div w:id="387843650">
      <w:bodyDiv w:val="1"/>
      <w:marLeft w:val="0"/>
      <w:marRight w:val="0"/>
      <w:marTop w:val="0"/>
      <w:marBottom w:val="0"/>
      <w:divBdr>
        <w:top w:val="none" w:sz="0" w:space="0" w:color="auto"/>
        <w:left w:val="none" w:sz="0" w:space="0" w:color="auto"/>
        <w:bottom w:val="none" w:sz="0" w:space="0" w:color="auto"/>
        <w:right w:val="none" w:sz="0" w:space="0" w:color="auto"/>
      </w:divBdr>
    </w:div>
    <w:div w:id="391856633">
      <w:bodyDiv w:val="1"/>
      <w:marLeft w:val="0"/>
      <w:marRight w:val="0"/>
      <w:marTop w:val="0"/>
      <w:marBottom w:val="0"/>
      <w:divBdr>
        <w:top w:val="none" w:sz="0" w:space="0" w:color="auto"/>
        <w:left w:val="none" w:sz="0" w:space="0" w:color="auto"/>
        <w:bottom w:val="none" w:sz="0" w:space="0" w:color="auto"/>
        <w:right w:val="none" w:sz="0" w:space="0" w:color="auto"/>
      </w:divBdr>
    </w:div>
    <w:div w:id="506680406">
      <w:bodyDiv w:val="1"/>
      <w:marLeft w:val="0"/>
      <w:marRight w:val="0"/>
      <w:marTop w:val="0"/>
      <w:marBottom w:val="0"/>
      <w:divBdr>
        <w:top w:val="none" w:sz="0" w:space="0" w:color="auto"/>
        <w:left w:val="none" w:sz="0" w:space="0" w:color="auto"/>
        <w:bottom w:val="none" w:sz="0" w:space="0" w:color="auto"/>
        <w:right w:val="none" w:sz="0" w:space="0" w:color="auto"/>
      </w:divBdr>
    </w:div>
    <w:div w:id="513351069">
      <w:bodyDiv w:val="1"/>
      <w:marLeft w:val="0"/>
      <w:marRight w:val="0"/>
      <w:marTop w:val="0"/>
      <w:marBottom w:val="0"/>
      <w:divBdr>
        <w:top w:val="none" w:sz="0" w:space="0" w:color="auto"/>
        <w:left w:val="none" w:sz="0" w:space="0" w:color="auto"/>
        <w:bottom w:val="none" w:sz="0" w:space="0" w:color="auto"/>
        <w:right w:val="none" w:sz="0" w:space="0" w:color="auto"/>
      </w:divBdr>
    </w:div>
    <w:div w:id="561717951">
      <w:bodyDiv w:val="1"/>
      <w:marLeft w:val="0"/>
      <w:marRight w:val="0"/>
      <w:marTop w:val="0"/>
      <w:marBottom w:val="0"/>
      <w:divBdr>
        <w:top w:val="none" w:sz="0" w:space="0" w:color="auto"/>
        <w:left w:val="none" w:sz="0" w:space="0" w:color="auto"/>
        <w:bottom w:val="none" w:sz="0" w:space="0" w:color="auto"/>
        <w:right w:val="none" w:sz="0" w:space="0" w:color="auto"/>
      </w:divBdr>
    </w:div>
    <w:div w:id="654188281">
      <w:bodyDiv w:val="1"/>
      <w:marLeft w:val="0"/>
      <w:marRight w:val="0"/>
      <w:marTop w:val="0"/>
      <w:marBottom w:val="0"/>
      <w:divBdr>
        <w:top w:val="none" w:sz="0" w:space="0" w:color="auto"/>
        <w:left w:val="none" w:sz="0" w:space="0" w:color="auto"/>
        <w:bottom w:val="none" w:sz="0" w:space="0" w:color="auto"/>
        <w:right w:val="none" w:sz="0" w:space="0" w:color="auto"/>
      </w:divBdr>
    </w:div>
    <w:div w:id="734401681">
      <w:bodyDiv w:val="1"/>
      <w:marLeft w:val="0"/>
      <w:marRight w:val="0"/>
      <w:marTop w:val="0"/>
      <w:marBottom w:val="0"/>
      <w:divBdr>
        <w:top w:val="none" w:sz="0" w:space="0" w:color="auto"/>
        <w:left w:val="none" w:sz="0" w:space="0" w:color="auto"/>
        <w:bottom w:val="none" w:sz="0" w:space="0" w:color="auto"/>
        <w:right w:val="none" w:sz="0" w:space="0" w:color="auto"/>
      </w:divBdr>
    </w:div>
    <w:div w:id="808519796">
      <w:bodyDiv w:val="1"/>
      <w:marLeft w:val="0"/>
      <w:marRight w:val="0"/>
      <w:marTop w:val="0"/>
      <w:marBottom w:val="0"/>
      <w:divBdr>
        <w:top w:val="none" w:sz="0" w:space="0" w:color="auto"/>
        <w:left w:val="none" w:sz="0" w:space="0" w:color="auto"/>
        <w:bottom w:val="none" w:sz="0" w:space="0" w:color="auto"/>
        <w:right w:val="none" w:sz="0" w:space="0" w:color="auto"/>
      </w:divBdr>
    </w:div>
    <w:div w:id="933629304">
      <w:bodyDiv w:val="1"/>
      <w:marLeft w:val="0"/>
      <w:marRight w:val="0"/>
      <w:marTop w:val="0"/>
      <w:marBottom w:val="0"/>
      <w:divBdr>
        <w:top w:val="none" w:sz="0" w:space="0" w:color="auto"/>
        <w:left w:val="none" w:sz="0" w:space="0" w:color="auto"/>
        <w:bottom w:val="none" w:sz="0" w:space="0" w:color="auto"/>
        <w:right w:val="none" w:sz="0" w:space="0" w:color="auto"/>
      </w:divBdr>
    </w:div>
    <w:div w:id="948586357">
      <w:bodyDiv w:val="1"/>
      <w:marLeft w:val="0"/>
      <w:marRight w:val="0"/>
      <w:marTop w:val="0"/>
      <w:marBottom w:val="0"/>
      <w:divBdr>
        <w:top w:val="none" w:sz="0" w:space="0" w:color="auto"/>
        <w:left w:val="none" w:sz="0" w:space="0" w:color="auto"/>
        <w:bottom w:val="none" w:sz="0" w:space="0" w:color="auto"/>
        <w:right w:val="none" w:sz="0" w:space="0" w:color="auto"/>
      </w:divBdr>
    </w:div>
    <w:div w:id="953559508">
      <w:bodyDiv w:val="1"/>
      <w:marLeft w:val="0"/>
      <w:marRight w:val="0"/>
      <w:marTop w:val="0"/>
      <w:marBottom w:val="0"/>
      <w:divBdr>
        <w:top w:val="none" w:sz="0" w:space="0" w:color="auto"/>
        <w:left w:val="none" w:sz="0" w:space="0" w:color="auto"/>
        <w:bottom w:val="none" w:sz="0" w:space="0" w:color="auto"/>
        <w:right w:val="none" w:sz="0" w:space="0" w:color="auto"/>
      </w:divBdr>
    </w:div>
    <w:div w:id="979463207">
      <w:bodyDiv w:val="1"/>
      <w:marLeft w:val="0"/>
      <w:marRight w:val="0"/>
      <w:marTop w:val="0"/>
      <w:marBottom w:val="0"/>
      <w:divBdr>
        <w:top w:val="none" w:sz="0" w:space="0" w:color="auto"/>
        <w:left w:val="none" w:sz="0" w:space="0" w:color="auto"/>
        <w:bottom w:val="none" w:sz="0" w:space="0" w:color="auto"/>
        <w:right w:val="none" w:sz="0" w:space="0" w:color="auto"/>
      </w:divBdr>
    </w:div>
    <w:div w:id="1022131226">
      <w:bodyDiv w:val="1"/>
      <w:marLeft w:val="0"/>
      <w:marRight w:val="0"/>
      <w:marTop w:val="0"/>
      <w:marBottom w:val="0"/>
      <w:divBdr>
        <w:top w:val="none" w:sz="0" w:space="0" w:color="auto"/>
        <w:left w:val="none" w:sz="0" w:space="0" w:color="auto"/>
        <w:bottom w:val="none" w:sz="0" w:space="0" w:color="auto"/>
        <w:right w:val="none" w:sz="0" w:space="0" w:color="auto"/>
      </w:divBdr>
    </w:div>
    <w:div w:id="1022824913">
      <w:bodyDiv w:val="1"/>
      <w:marLeft w:val="0"/>
      <w:marRight w:val="0"/>
      <w:marTop w:val="0"/>
      <w:marBottom w:val="0"/>
      <w:divBdr>
        <w:top w:val="none" w:sz="0" w:space="0" w:color="auto"/>
        <w:left w:val="none" w:sz="0" w:space="0" w:color="auto"/>
        <w:bottom w:val="none" w:sz="0" w:space="0" w:color="auto"/>
        <w:right w:val="none" w:sz="0" w:space="0" w:color="auto"/>
      </w:divBdr>
    </w:div>
    <w:div w:id="1120535826">
      <w:bodyDiv w:val="1"/>
      <w:marLeft w:val="0"/>
      <w:marRight w:val="0"/>
      <w:marTop w:val="0"/>
      <w:marBottom w:val="0"/>
      <w:divBdr>
        <w:top w:val="none" w:sz="0" w:space="0" w:color="auto"/>
        <w:left w:val="none" w:sz="0" w:space="0" w:color="auto"/>
        <w:bottom w:val="none" w:sz="0" w:space="0" w:color="auto"/>
        <w:right w:val="none" w:sz="0" w:space="0" w:color="auto"/>
      </w:divBdr>
    </w:div>
    <w:div w:id="1169054715">
      <w:bodyDiv w:val="1"/>
      <w:marLeft w:val="0"/>
      <w:marRight w:val="0"/>
      <w:marTop w:val="0"/>
      <w:marBottom w:val="0"/>
      <w:divBdr>
        <w:top w:val="none" w:sz="0" w:space="0" w:color="auto"/>
        <w:left w:val="none" w:sz="0" w:space="0" w:color="auto"/>
        <w:bottom w:val="none" w:sz="0" w:space="0" w:color="auto"/>
        <w:right w:val="none" w:sz="0" w:space="0" w:color="auto"/>
      </w:divBdr>
    </w:div>
    <w:div w:id="1252927972">
      <w:bodyDiv w:val="1"/>
      <w:marLeft w:val="0"/>
      <w:marRight w:val="0"/>
      <w:marTop w:val="0"/>
      <w:marBottom w:val="0"/>
      <w:divBdr>
        <w:top w:val="none" w:sz="0" w:space="0" w:color="auto"/>
        <w:left w:val="none" w:sz="0" w:space="0" w:color="auto"/>
        <w:bottom w:val="none" w:sz="0" w:space="0" w:color="auto"/>
        <w:right w:val="none" w:sz="0" w:space="0" w:color="auto"/>
      </w:divBdr>
    </w:div>
    <w:div w:id="1299871986">
      <w:bodyDiv w:val="1"/>
      <w:marLeft w:val="0"/>
      <w:marRight w:val="0"/>
      <w:marTop w:val="0"/>
      <w:marBottom w:val="0"/>
      <w:divBdr>
        <w:top w:val="none" w:sz="0" w:space="0" w:color="auto"/>
        <w:left w:val="none" w:sz="0" w:space="0" w:color="auto"/>
        <w:bottom w:val="none" w:sz="0" w:space="0" w:color="auto"/>
        <w:right w:val="none" w:sz="0" w:space="0" w:color="auto"/>
      </w:divBdr>
    </w:div>
    <w:div w:id="1387602083">
      <w:bodyDiv w:val="1"/>
      <w:marLeft w:val="0"/>
      <w:marRight w:val="0"/>
      <w:marTop w:val="0"/>
      <w:marBottom w:val="0"/>
      <w:divBdr>
        <w:top w:val="none" w:sz="0" w:space="0" w:color="auto"/>
        <w:left w:val="none" w:sz="0" w:space="0" w:color="auto"/>
        <w:bottom w:val="none" w:sz="0" w:space="0" w:color="auto"/>
        <w:right w:val="none" w:sz="0" w:space="0" w:color="auto"/>
      </w:divBdr>
    </w:div>
    <w:div w:id="1504515900">
      <w:bodyDiv w:val="1"/>
      <w:marLeft w:val="0"/>
      <w:marRight w:val="0"/>
      <w:marTop w:val="0"/>
      <w:marBottom w:val="0"/>
      <w:divBdr>
        <w:top w:val="none" w:sz="0" w:space="0" w:color="auto"/>
        <w:left w:val="none" w:sz="0" w:space="0" w:color="auto"/>
        <w:bottom w:val="none" w:sz="0" w:space="0" w:color="auto"/>
        <w:right w:val="none" w:sz="0" w:space="0" w:color="auto"/>
      </w:divBdr>
    </w:div>
    <w:div w:id="1532961262">
      <w:bodyDiv w:val="1"/>
      <w:marLeft w:val="0"/>
      <w:marRight w:val="0"/>
      <w:marTop w:val="0"/>
      <w:marBottom w:val="0"/>
      <w:divBdr>
        <w:top w:val="none" w:sz="0" w:space="0" w:color="auto"/>
        <w:left w:val="none" w:sz="0" w:space="0" w:color="auto"/>
        <w:bottom w:val="none" w:sz="0" w:space="0" w:color="auto"/>
        <w:right w:val="none" w:sz="0" w:space="0" w:color="auto"/>
      </w:divBdr>
    </w:div>
    <w:div w:id="1606421949">
      <w:bodyDiv w:val="1"/>
      <w:marLeft w:val="0"/>
      <w:marRight w:val="0"/>
      <w:marTop w:val="0"/>
      <w:marBottom w:val="0"/>
      <w:divBdr>
        <w:top w:val="none" w:sz="0" w:space="0" w:color="auto"/>
        <w:left w:val="none" w:sz="0" w:space="0" w:color="auto"/>
        <w:bottom w:val="none" w:sz="0" w:space="0" w:color="auto"/>
        <w:right w:val="none" w:sz="0" w:space="0" w:color="auto"/>
      </w:divBdr>
    </w:div>
    <w:div w:id="1683119510">
      <w:bodyDiv w:val="1"/>
      <w:marLeft w:val="0"/>
      <w:marRight w:val="0"/>
      <w:marTop w:val="0"/>
      <w:marBottom w:val="0"/>
      <w:divBdr>
        <w:top w:val="none" w:sz="0" w:space="0" w:color="auto"/>
        <w:left w:val="none" w:sz="0" w:space="0" w:color="auto"/>
        <w:bottom w:val="none" w:sz="0" w:space="0" w:color="auto"/>
        <w:right w:val="none" w:sz="0" w:space="0" w:color="auto"/>
      </w:divBdr>
    </w:div>
    <w:div w:id="1836802571">
      <w:bodyDiv w:val="1"/>
      <w:marLeft w:val="0"/>
      <w:marRight w:val="0"/>
      <w:marTop w:val="0"/>
      <w:marBottom w:val="0"/>
      <w:divBdr>
        <w:top w:val="none" w:sz="0" w:space="0" w:color="auto"/>
        <w:left w:val="none" w:sz="0" w:space="0" w:color="auto"/>
        <w:bottom w:val="none" w:sz="0" w:space="0" w:color="auto"/>
        <w:right w:val="none" w:sz="0" w:space="0" w:color="auto"/>
      </w:divBdr>
    </w:div>
    <w:div w:id="1847091297">
      <w:bodyDiv w:val="1"/>
      <w:marLeft w:val="0"/>
      <w:marRight w:val="0"/>
      <w:marTop w:val="0"/>
      <w:marBottom w:val="0"/>
      <w:divBdr>
        <w:top w:val="none" w:sz="0" w:space="0" w:color="auto"/>
        <w:left w:val="none" w:sz="0" w:space="0" w:color="auto"/>
        <w:bottom w:val="none" w:sz="0" w:space="0" w:color="auto"/>
        <w:right w:val="none" w:sz="0" w:space="0" w:color="auto"/>
      </w:divBdr>
    </w:div>
    <w:div w:id="1882211332">
      <w:bodyDiv w:val="1"/>
      <w:marLeft w:val="0"/>
      <w:marRight w:val="0"/>
      <w:marTop w:val="0"/>
      <w:marBottom w:val="0"/>
      <w:divBdr>
        <w:top w:val="none" w:sz="0" w:space="0" w:color="auto"/>
        <w:left w:val="none" w:sz="0" w:space="0" w:color="auto"/>
        <w:bottom w:val="none" w:sz="0" w:space="0" w:color="auto"/>
        <w:right w:val="none" w:sz="0" w:space="0" w:color="auto"/>
      </w:divBdr>
    </w:div>
    <w:div w:id="1888637639">
      <w:bodyDiv w:val="1"/>
      <w:marLeft w:val="0"/>
      <w:marRight w:val="0"/>
      <w:marTop w:val="0"/>
      <w:marBottom w:val="0"/>
      <w:divBdr>
        <w:top w:val="none" w:sz="0" w:space="0" w:color="auto"/>
        <w:left w:val="none" w:sz="0" w:space="0" w:color="auto"/>
        <w:bottom w:val="none" w:sz="0" w:space="0" w:color="auto"/>
        <w:right w:val="none" w:sz="0" w:space="0" w:color="auto"/>
      </w:divBdr>
    </w:div>
    <w:div w:id="1932932736">
      <w:bodyDiv w:val="1"/>
      <w:marLeft w:val="0"/>
      <w:marRight w:val="0"/>
      <w:marTop w:val="0"/>
      <w:marBottom w:val="0"/>
      <w:divBdr>
        <w:top w:val="none" w:sz="0" w:space="0" w:color="auto"/>
        <w:left w:val="none" w:sz="0" w:space="0" w:color="auto"/>
        <w:bottom w:val="none" w:sz="0" w:space="0" w:color="auto"/>
        <w:right w:val="none" w:sz="0" w:space="0" w:color="auto"/>
      </w:divBdr>
    </w:div>
    <w:div w:id="1956206793">
      <w:bodyDiv w:val="1"/>
      <w:marLeft w:val="0"/>
      <w:marRight w:val="0"/>
      <w:marTop w:val="0"/>
      <w:marBottom w:val="0"/>
      <w:divBdr>
        <w:top w:val="none" w:sz="0" w:space="0" w:color="auto"/>
        <w:left w:val="none" w:sz="0" w:space="0" w:color="auto"/>
        <w:bottom w:val="none" w:sz="0" w:space="0" w:color="auto"/>
        <w:right w:val="none" w:sz="0" w:space="0" w:color="auto"/>
      </w:divBdr>
    </w:div>
    <w:div w:id="2013490730">
      <w:bodyDiv w:val="1"/>
      <w:marLeft w:val="0"/>
      <w:marRight w:val="0"/>
      <w:marTop w:val="0"/>
      <w:marBottom w:val="0"/>
      <w:divBdr>
        <w:top w:val="none" w:sz="0" w:space="0" w:color="auto"/>
        <w:left w:val="none" w:sz="0" w:space="0" w:color="auto"/>
        <w:bottom w:val="none" w:sz="0" w:space="0" w:color="auto"/>
        <w:right w:val="none" w:sz="0" w:space="0" w:color="auto"/>
      </w:divBdr>
    </w:div>
    <w:div w:id="214172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hyperlink" Target="https://www.inboundlogistics.com/articles/snapshot-pharma-logistics-prognosis-positive/" TargetMode="External"/><Relationship Id="rId26" Type="http://schemas.openxmlformats.org/officeDocument/2006/relationships/hyperlink" Target="https://www.gartner.com/en/information-technology/customer-success-stories/driving-growth-through-innovation" TargetMode="External"/><Relationship Id="rId39" Type="http://schemas.openxmlformats.org/officeDocument/2006/relationships/hyperlink" Target="https://doi.org/10.1007/978-3-319-66833-8_7." TargetMode="External"/><Relationship Id="rId21" Type="http://schemas.openxmlformats.org/officeDocument/2006/relationships/hyperlink" Target="https://doi.org/10.7189/jogh.11.03080." TargetMode="External"/><Relationship Id="rId34" Type="http://schemas.openxmlformats.org/officeDocument/2006/relationships/hyperlink" Target="https://hdl.handle.net/20.500.12380/300964." TargetMode="External"/><Relationship Id="rId42" Type="http://schemas.openxmlformats.org/officeDocument/2006/relationships/hyperlink" Target="https://embapro.com/frontpage/portervaluechainanalysis/6070-astrazeneca-patients" TargetMode="External"/><Relationship Id="rId47" Type="http://schemas.openxmlformats.org/officeDocument/2006/relationships/hyperlink" Target="https://doi.org/10.1590/0103-6513.20220111." TargetMode="External"/><Relationship Id="rId50" Type="http://schemas.openxmlformats.org/officeDocument/2006/relationships/hyperlink" Target="https://doi.org/10.3390/joitmc8010021."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astrazeneca.in/about-us.html" TargetMode="External"/><Relationship Id="rId29" Type="http://schemas.openxmlformats.org/officeDocument/2006/relationships/hyperlink" Target="https://doi.org/rg/10.1016/j.ijis.2018.03.003." TargetMode="External"/><Relationship Id="rId11" Type="http://schemas.openxmlformats.org/officeDocument/2006/relationships/image" Target="media/image3.svg"/><Relationship Id="rId24" Type="http://schemas.openxmlformats.org/officeDocument/2006/relationships/hyperlink" Target="https://strategica-conference.ro/wp-content/uploads/2022/05/Art.-28.pdf." TargetMode="External"/><Relationship Id="rId32" Type="http://schemas.openxmlformats.org/officeDocument/2006/relationships/hyperlink" Target="http://essay.utwente.nl/93152/" TargetMode="External"/><Relationship Id="rId37" Type="http://schemas.openxmlformats.org/officeDocument/2006/relationships/hyperlink" Target="https://doi.org/10.1080/09638199.2018.1481991." TargetMode="External"/><Relationship Id="rId40" Type="http://schemas.openxmlformats.org/officeDocument/2006/relationships/hyperlink" Target="https://doi.org/10.1108/EMJB-11-2020-0127." TargetMode="External"/><Relationship Id="rId45" Type="http://schemas.openxmlformats.org/officeDocument/2006/relationships/hyperlink" Target="https://doi.org/https:/doi.org/10.1007/s10490-018-9620-x." TargetMode="External"/><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link.springer.com/article/10.1057/s41267-021-00419-0." TargetMode="External"/><Relationship Id="rId31" Type="http://schemas.openxmlformats.org/officeDocument/2006/relationships/hyperlink" Target="https://hdl.handle.net/20.500.12380/238383." TargetMode="External"/><Relationship Id="rId44" Type="http://schemas.openxmlformats.org/officeDocument/2006/relationships/hyperlink" Target="https://doi.org/10.1080/14639947.2011.564843."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citeseerx.ist.psu.edu/document?repid=rep1&amp;type=pdf&amp;doi=0fc600e719983013f69b352fdd94d3acd7b17c69." TargetMode="External"/><Relationship Id="rId27" Type="http://schemas.openxmlformats.org/officeDocument/2006/relationships/hyperlink" Target="https://dspace.mit.edu/handle/1721.1/151688" TargetMode="External"/><Relationship Id="rId30" Type="http://schemas.openxmlformats.org/officeDocument/2006/relationships/hyperlink" Target="https://doi.org/10.1016/j.jwb.2021.101267." TargetMode="External"/><Relationship Id="rId35" Type="http://schemas.openxmlformats.org/officeDocument/2006/relationships/hyperlink" Target="https://pdf.sciencedirectassets.com/271323/1-s2.0-%20Signature=3." TargetMode="External"/><Relationship Id="rId43" Type="http://schemas.openxmlformats.org/officeDocument/2006/relationships/hyperlink" Target="https://doi.org/10.3390/admsci7030023." TargetMode="External"/><Relationship Id="rId48" Type="http://schemas.openxmlformats.org/officeDocument/2006/relationships/hyperlink" Target="https://stanford.edu/dept/gsb-ds/Inkling/AstraZeneca_Scaling_Simplification/ops/s9ml/chapter01/standard_page_copy.xhtml." TargetMode="External"/><Relationship Id="rId56" Type="http://schemas.microsoft.com/office/2020/10/relationships/intelligence" Target="intelligence2.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careers.astrazeneca.com/job/lisbon/site-expansion-lead/7684/57027147264" TargetMode="External"/><Relationship Id="rId25" Type="http://schemas.openxmlformats.org/officeDocument/2006/relationships/hyperlink" Target="https://doi.org/10.1080/15470620802325674." TargetMode="External"/><Relationship Id="rId33" Type="http://schemas.openxmlformats.org/officeDocument/2006/relationships/hyperlink" Target="http://erepository.uonbi.ac.ke/handle/11295/63990" TargetMode="External"/><Relationship Id="rId38" Type="http://schemas.openxmlformats.org/officeDocument/2006/relationships/hyperlink" Target="https://doi.org/10.1016/j.intman.2012.07.001." TargetMode="External"/><Relationship Id="rId46" Type="http://schemas.openxmlformats.org/officeDocument/2006/relationships/hyperlink" Target="https://doi.org/https:/doi.org/10.1016/j.respol.2003.09.003." TargetMode="External"/><Relationship Id="rId20" Type="http://schemas.openxmlformats.org/officeDocument/2006/relationships/hyperlink" Target="https://heinonline.org/HOL/Page?handle=hein.journals/jnlolletl24&amp;id=3055&amp;div=&amp;collection=." TargetMode="External"/><Relationship Id="rId41" Type="http://schemas.openxmlformats.org/officeDocument/2006/relationships/hyperlink" Target="https://doi.org/10.1111/j.1468-2370.2011.00323.x."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hyperlink" Target="https://doi.org/10.1016/j.techfore.2018.09.020." TargetMode="External"/><Relationship Id="rId28" Type="http://schemas.openxmlformats.org/officeDocument/2006/relationships/hyperlink" Target="https://cclinnovation.org/wp-content/uploads/2020/04/managing-paradox.pdf." TargetMode="External"/><Relationship Id="rId36" Type="http://schemas.openxmlformats.org/officeDocument/2006/relationships/hyperlink" Target="https://doi.org/10.1038/nrd.2017.244." TargetMode="External"/><Relationship Id="rId49" Type="http://schemas.openxmlformats.org/officeDocument/2006/relationships/hyperlink" Target="https://doi.org/https:/doi.org/10.1007/s10490-018-9620-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2DFDDFB7C6417B9106D84D67268E0B"/>
        <w:category>
          <w:name w:val="General"/>
          <w:gallery w:val="placeholder"/>
        </w:category>
        <w:types>
          <w:type w:val="bbPlcHdr"/>
        </w:types>
        <w:behaviors>
          <w:behavior w:val="content"/>
        </w:behaviors>
        <w:guid w:val="{A756D4A4-9A61-4A31-9D42-D803534F82EC}"/>
      </w:docPartPr>
      <w:docPartBody>
        <w:p w:rsidR="006F552D" w:rsidRDefault="00A45A28" w:rsidP="00A45A28">
          <w:pPr>
            <w:pStyle w:val="F72DFDDFB7C6417B9106D84D67268E0B"/>
          </w:pPr>
          <w:r>
            <w:rPr>
              <w:rFonts w:asciiTheme="majorHAnsi" w:eastAsiaTheme="majorEastAsia" w:hAnsiTheme="majorHAnsi" w:cstheme="majorBidi"/>
              <w:color w:val="4472C4" w:themeColor="accent1"/>
              <w:sz w:val="27"/>
              <w:szCs w:val="27"/>
            </w:rPr>
            <w:t>[Document title]</w:t>
          </w:r>
        </w:p>
      </w:docPartBody>
    </w:docPart>
    <w:docPart>
      <w:docPartPr>
        <w:name w:val="9CF336C7C97C4FFEB614B42704B3C862"/>
        <w:category>
          <w:name w:val="General"/>
          <w:gallery w:val="placeholder"/>
        </w:category>
        <w:types>
          <w:type w:val="bbPlcHdr"/>
        </w:types>
        <w:behaviors>
          <w:behavior w:val="content"/>
        </w:behaviors>
        <w:guid w:val="{33FB6C35-5720-48F2-B246-5E192CAF628B}"/>
      </w:docPartPr>
      <w:docPartBody>
        <w:p w:rsidR="006F552D" w:rsidRDefault="00A45A28" w:rsidP="00A45A28">
          <w:pPr>
            <w:pStyle w:val="9CF336C7C97C4FFEB614B42704B3C862"/>
          </w:pPr>
          <w:r>
            <w:rPr>
              <w:rFonts w:asciiTheme="majorHAnsi" w:eastAsiaTheme="majorEastAsia" w:hAnsiTheme="majorHAnsi" w:cstheme="majorBidi"/>
              <w:color w:val="4472C4" w:themeColor="accent1"/>
              <w:sz w:val="27"/>
              <w:szCs w:val="27"/>
            </w:rPr>
            <w:t>[Date]</w:t>
          </w:r>
        </w:p>
      </w:docPartBody>
    </w:docPart>
    <w:docPart>
      <w:docPartPr>
        <w:name w:val="5425F0293E2E4212BD0DA82E5286B0B7"/>
        <w:category>
          <w:name w:val="General"/>
          <w:gallery w:val="placeholder"/>
        </w:category>
        <w:types>
          <w:type w:val="bbPlcHdr"/>
        </w:types>
        <w:behaviors>
          <w:behavior w:val="content"/>
        </w:behaviors>
        <w:guid w:val="{81267EDF-B449-4A59-9973-8BD330F53D75}"/>
      </w:docPartPr>
      <w:docPartBody>
        <w:p w:rsidR="006F552D" w:rsidRDefault="00A45A28" w:rsidP="00A45A28">
          <w:pPr>
            <w:pStyle w:val="5425F0293E2E4212BD0DA82E5286B0B7"/>
          </w:pPr>
          <w:r>
            <w:rPr>
              <w:rFonts w:asciiTheme="majorHAnsi" w:eastAsiaTheme="majorEastAsia" w:hAnsiTheme="majorHAnsi" w:cstheme="majorBidi"/>
              <w:caps/>
              <w:color w:val="4472C4" w:themeColor="accent1"/>
              <w:sz w:val="80"/>
              <w:szCs w:val="80"/>
            </w:rPr>
            <w:t>[Document title]</w:t>
          </w:r>
        </w:p>
      </w:docPartBody>
    </w:docPart>
    <w:docPart>
      <w:docPartPr>
        <w:name w:val="EAA9CFFC7266429EB92F1FB25E205093"/>
        <w:category>
          <w:name w:val="General"/>
          <w:gallery w:val="placeholder"/>
        </w:category>
        <w:types>
          <w:type w:val="bbPlcHdr"/>
        </w:types>
        <w:behaviors>
          <w:behavior w:val="content"/>
        </w:behaviors>
        <w:guid w:val="{79E6CF51-FD54-45EE-993A-E672ACA2DA2B}"/>
      </w:docPartPr>
      <w:docPartBody>
        <w:p w:rsidR="006F552D" w:rsidRDefault="00A45A28" w:rsidP="00A45A28">
          <w:pPr>
            <w:pStyle w:val="EAA9CFFC7266429EB92F1FB25E20509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28"/>
    <w:rsid w:val="00196F44"/>
    <w:rsid w:val="00247BBE"/>
    <w:rsid w:val="002E3C5E"/>
    <w:rsid w:val="004A392F"/>
    <w:rsid w:val="00585AA6"/>
    <w:rsid w:val="006F552D"/>
    <w:rsid w:val="0072159D"/>
    <w:rsid w:val="0096141E"/>
    <w:rsid w:val="009B7EC5"/>
    <w:rsid w:val="00A45A28"/>
    <w:rsid w:val="00B05DE8"/>
    <w:rsid w:val="00D90907"/>
    <w:rsid w:val="00DF3B8B"/>
    <w:rsid w:val="00E4009A"/>
    <w:rsid w:val="00EC6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2DFDDFB7C6417B9106D84D67268E0B">
    <w:name w:val="F72DFDDFB7C6417B9106D84D67268E0B"/>
    <w:rsid w:val="00A45A28"/>
  </w:style>
  <w:style w:type="paragraph" w:customStyle="1" w:styleId="9CF336C7C97C4FFEB614B42704B3C862">
    <w:name w:val="9CF336C7C97C4FFEB614B42704B3C862"/>
    <w:rsid w:val="00A45A28"/>
  </w:style>
  <w:style w:type="paragraph" w:customStyle="1" w:styleId="5425F0293E2E4212BD0DA82E5286B0B7">
    <w:name w:val="5425F0293E2E4212BD0DA82E5286B0B7"/>
    <w:rsid w:val="00A45A28"/>
  </w:style>
  <w:style w:type="paragraph" w:customStyle="1" w:styleId="EAA9CFFC7266429EB92F1FB25E205093">
    <w:name w:val="EAA9CFFC7266429EB92F1FB25E205093"/>
    <w:rsid w:val="00A45A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2023-11-09T00:00:00</PublishDate>
  <Abstract/>
  <CompanyAddress>LECTURER LIYANAGE RODRIGO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3C87E0-8A4D-4C98-BEEF-32322A067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29</Pages>
  <Words>8548</Words>
  <Characters>48726</Characters>
  <Application>Microsoft Office Word</Application>
  <DocSecurity>0</DocSecurity>
  <Lines>406</Lines>
  <Paragraphs>114</Paragraphs>
  <ScaleCrop>false</ScaleCrop>
  <Company>STACEY WALLER 1911557</Company>
  <LinksUpToDate>false</LinksUpToDate>
  <CharactersWithSpaces>57160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MBA LCMB 7014</dc:title>
  <dc:subject>UNIVERSITY OF WALES TRINITY SAINT DAVID</dc:subject>
  <dc:creator>Stacey Waller (1911557)</dc:creator>
  <cp:keywords/>
  <dc:description/>
  <cp:lastModifiedBy>Stacey Waller (1911557)</cp:lastModifiedBy>
  <cp:revision>107</cp:revision>
  <dcterms:created xsi:type="dcterms:W3CDTF">2023-11-16T14:24:00Z</dcterms:created>
  <dcterms:modified xsi:type="dcterms:W3CDTF">2023-11-16T19:28:00Z</dcterms:modified>
</cp:coreProperties>
</file>