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FFB46" w14:textId="02CA890D" w:rsidR="00A16F46" w:rsidRDefault="00F277ED">
      <w:r>
        <w:rPr>
          <w:noProof/>
        </w:rPr>
        <w:drawing>
          <wp:inline distT="0" distB="0" distL="0" distR="0" wp14:anchorId="2EF85758" wp14:editId="083B977A">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p>
    <w:p w14:paraId="35873381" w14:textId="77777777" w:rsidR="00F277ED" w:rsidRDefault="00F277ED"/>
    <w:p w14:paraId="47E691A6" w14:textId="1ECF9CE7" w:rsidR="00F277ED" w:rsidRDefault="00F277ED" w:rsidP="00F277ED">
      <w:pPr>
        <w:jc w:val="center"/>
        <w:rPr>
          <w:rFonts w:ascii="Arial" w:hAnsi="Arial" w:cs="Arial"/>
          <w:sz w:val="28"/>
          <w:szCs w:val="28"/>
        </w:rPr>
      </w:pPr>
      <w:r>
        <w:rPr>
          <w:rFonts w:ascii="Arial" w:hAnsi="Arial" w:cs="Arial"/>
          <w:sz w:val="28"/>
          <w:szCs w:val="28"/>
        </w:rPr>
        <w:t xml:space="preserve">BMHP6029-Psychopathological Classifications and Provisions </w:t>
      </w:r>
    </w:p>
    <w:p w14:paraId="60513164" w14:textId="49000A49" w:rsidR="00F277ED" w:rsidRDefault="00F277ED" w:rsidP="00F277ED">
      <w:pPr>
        <w:rPr>
          <w:rFonts w:ascii="Arial" w:hAnsi="Arial" w:cs="Arial"/>
          <w:sz w:val="28"/>
          <w:szCs w:val="28"/>
        </w:rPr>
      </w:pPr>
      <w:r>
        <w:rPr>
          <w:rFonts w:ascii="Arial" w:hAnsi="Arial" w:cs="Arial"/>
          <w:sz w:val="28"/>
          <w:szCs w:val="28"/>
        </w:rPr>
        <w:t xml:space="preserve">Component 2: Written Assignment (Report) </w:t>
      </w:r>
    </w:p>
    <w:p w14:paraId="498C5270" w14:textId="49B29BB5" w:rsidR="00F277ED" w:rsidRDefault="00F277ED" w:rsidP="00F277ED">
      <w:pPr>
        <w:rPr>
          <w:rFonts w:ascii="Arial" w:hAnsi="Arial" w:cs="Arial"/>
          <w:sz w:val="28"/>
          <w:szCs w:val="28"/>
        </w:rPr>
      </w:pPr>
      <w:r>
        <w:rPr>
          <w:rFonts w:ascii="Arial" w:hAnsi="Arial" w:cs="Arial"/>
          <w:sz w:val="28"/>
          <w:szCs w:val="28"/>
        </w:rPr>
        <w:t xml:space="preserve">Lecture: Bianca Sanfilippo </w:t>
      </w:r>
    </w:p>
    <w:p w14:paraId="45BFC719" w14:textId="56EC2983" w:rsidR="00F277ED" w:rsidRDefault="00333A3F" w:rsidP="00F277ED">
      <w:pPr>
        <w:rPr>
          <w:rFonts w:ascii="Arial" w:hAnsi="Arial" w:cs="Arial"/>
          <w:sz w:val="28"/>
          <w:szCs w:val="28"/>
        </w:rPr>
      </w:pPr>
      <w:r>
        <w:rPr>
          <w:rFonts w:ascii="Arial" w:hAnsi="Arial" w:cs="Arial"/>
          <w:sz w:val="28"/>
          <w:szCs w:val="28"/>
        </w:rPr>
        <w:t xml:space="preserve">Student name: Rahima Sheikh Ibrahim </w:t>
      </w:r>
    </w:p>
    <w:p w14:paraId="7CF09EAF" w14:textId="2F26FD0E" w:rsidR="00333A3F" w:rsidRDefault="00333A3F" w:rsidP="00F277ED">
      <w:pPr>
        <w:rPr>
          <w:rFonts w:ascii="Arial" w:hAnsi="Arial" w:cs="Arial"/>
          <w:sz w:val="28"/>
          <w:szCs w:val="28"/>
        </w:rPr>
      </w:pPr>
      <w:r>
        <w:rPr>
          <w:rFonts w:ascii="Arial" w:hAnsi="Arial" w:cs="Arial"/>
          <w:sz w:val="28"/>
          <w:szCs w:val="28"/>
        </w:rPr>
        <w:t xml:space="preserve">Student Number:2336641 </w:t>
      </w:r>
    </w:p>
    <w:p w14:paraId="34E51354" w14:textId="77777777" w:rsidR="00333A3F" w:rsidRDefault="00333A3F" w:rsidP="00F277ED">
      <w:pPr>
        <w:rPr>
          <w:rFonts w:ascii="Arial" w:hAnsi="Arial" w:cs="Arial"/>
          <w:sz w:val="28"/>
          <w:szCs w:val="28"/>
        </w:rPr>
      </w:pPr>
    </w:p>
    <w:p w14:paraId="0BE6E63D" w14:textId="77777777" w:rsidR="00333A3F" w:rsidRDefault="00333A3F" w:rsidP="00F277ED">
      <w:pPr>
        <w:rPr>
          <w:rFonts w:ascii="Arial" w:hAnsi="Arial" w:cs="Arial"/>
          <w:sz w:val="28"/>
          <w:szCs w:val="28"/>
        </w:rPr>
      </w:pPr>
    </w:p>
    <w:p w14:paraId="183F8519" w14:textId="77777777" w:rsidR="00333A3F" w:rsidRDefault="00333A3F" w:rsidP="00F277ED">
      <w:pPr>
        <w:rPr>
          <w:rFonts w:ascii="Arial" w:hAnsi="Arial" w:cs="Arial"/>
          <w:sz w:val="28"/>
          <w:szCs w:val="28"/>
        </w:rPr>
      </w:pPr>
    </w:p>
    <w:p w14:paraId="0E932E89" w14:textId="77777777" w:rsidR="00333A3F" w:rsidRDefault="00333A3F" w:rsidP="00F277ED">
      <w:pPr>
        <w:rPr>
          <w:rFonts w:ascii="Arial" w:hAnsi="Arial" w:cs="Arial"/>
          <w:sz w:val="28"/>
          <w:szCs w:val="28"/>
        </w:rPr>
      </w:pPr>
    </w:p>
    <w:p w14:paraId="4FA3E440" w14:textId="77777777" w:rsidR="00333A3F" w:rsidRDefault="00333A3F" w:rsidP="00F277ED">
      <w:pPr>
        <w:rPr>
          <w:rFonts w:ascii="Arial" w:hAnsi="Arial" w:cs="Arial"/>
          <w:sz w:val="28"/>
          <w:szCs w:val="28"/>
        </w:rPr>
      </w:pPr>
    </w:p>
    <w:p w14:paraId="6B020963" w14:textId="77777777" w:rsidR="00333A3F" w:rsidRDefault="00333A3F" w:rsidP="00F277ED">
      <w:pPr>
        <w:rPr>
          <w:rFonts w:ascii="Arial" w:hAnsi="Arial" w:cs="Arial"/>
          <w:sz w:val="28"/>
          <w:szCs w:val="28"/>
        </w:rPr>
      </w:pPr>
    </w:p>
    <w:p w14:paraId="4E49BF5F" w14:textId="77777777" w:rsidR="00333A3F" w:rsidRDefault="00333A3F" w:rsidP="00F277ED">
      <w:pPr>
        <w:rPr>
          <w:rFonts w:ascii="Arial" w:hAnsi="Arial" w:cs="Arial"/>
          <w:sz w:val="28"/>
          <w:szCs w:val="28"/>
        </w:rPr>
      </w:pPr>
    </w:p>
    <w:p w14:paraId="674CBEC4" w14:textId="77777777" w:rsidR="00333A3F" w:rsidRDefault="00333A3F" w:rsidP="00F277ED">
      <w:pPr>
        <w:rPr>
          <w:rFonts w:ascii="Arial" w:hAnsi="Arial" w:cs="Arial"/>
          <w:sz w:val="28"/>
          <w:szCs w:val="28"/>
        </w:rPr>
      </w:pPr>
    </w:p>
    <w:p w14:paraId="46C6739D" w14:textId="77777777" w:rsidR="00333A3F" w:rsidRDefault="00333A3F" w:rsidP="00F277ED">
      <w:pPr>
        <w:rPr>
          <w:rFonts w:ascii="Arial" w:hAnsi="Arial" w:cs="Arial"/>
          <w:sz w:val="28"/>
          <w:szCs w:val="28"/>
        </w:rPr>
      </w:pPr>
    </w:p>
    <w:p w14:paraId="3CC1AC0D" w14:textId="77777777" w:rsidR="00333A3F" w:rsidRDefault="00333A3F" w:rsidP="00F277ED">
      <w:pPr>
        <w:rPr>
          <w:rFonts w:ascii="Arial" w:hAnsi="Arial" w:cs="Arial"/>
          <w:sz w:val="28"/>
          <w:szCs w:val="28"/>
        </w:rPr>
      </w:pPr>
    </w:p>
    <w:p w14:paraId="255253EF" w14:textId="77777777" w:rsidR="00333A3F" w:rsidRDefault="00333A3F" w:rsidP="00F277ED">
      <w:pPr>
        <w:rPr>
          <w:rFonts w:ascii="Arial" w:hAnsi="Arial" w:cs="Arial"/>
          <w:sz w:val="28"/>
          <w:szCs w:val="28"/>
        </w:rPr>
      </w:pPr>
    </w:p>
    <w:p w14:paraId="3692BD16" w14:textId="77777777" w:rsidR="00333A3F" w:rsidRDefault="00333A3F" w:rsidP="00F277ED">
      <w:pPr>
        <w:rPr>
          <w:rFonts w:ascii="Arial" w:hAnsi="Arial" w:cs="Arial"/>
          <w:sz w:val="28"/>
          <w:szCs w:val="28"/>
        </w:rPr>
      </w:pPr>
    </w:p>
    <w:p w14:paraId="0672DCA0" w14:textId="77777777" w:rsidR="00333A3F" w:rsidRDefault="00333A3F" w:rsidP="00F277ED">
      <w:pPr>
        <w:rPr>
          <w:rFonts w:ascii="Arial" w:hAnsi="Arial" w:cs="Arial"/>
          <w:sz w:val="28"/>
          <w:szCs w:val="28"/>
        </w:rPr>
      </w:pPr>
    </w:p>
    <w:p w14:paraId="69637EC1" w14:textId="77777777" w:rsidR="00333A3F" w:rsidRDefault="00333A3F" w:rsidP="00F277ED">
      <w:pPr>
        <w:rPr>
          <w:rFonts w:ascii="Arial" w:hAnsi="Arial" w:cs="Arial"/>
          <w:sz w:val="28"/>
          <w:szCs w:val="28"/>
        </w:rPr>
      </w:pPr>
    </w:p>
    <w:p w14:paraId="643844DC" w14:textId="77777777" w:rsidR="00333A3F" w:rsidRDefault="00333A3F" w:rsidP="00F277ED">
      <w:pPr>
        <w:rPr>
          <w:rFonts w:ascii="Arial" w:hAnsi="Arial" w:cs="Arial"/>
          <w:sz w:val="28"/>
          <w:szCs w:val="28"/>
        </w:rPr>
      </w:pPr>
    </w:p>
    <w:p w14:paraId="404183FA" w14:textId="77777777" w:rsidR="00333A3F" w:rsidRDefault="00333A3F" w:rsidP="00F277ED">
      <w:pPr>
        <w:rPr>
          <w:rFonts w:ascii="Arial" w:hAnsi="Arial" w:cs="Arial"/>
          <w:sz w:val="28"/>
          <w:szCs w:val="28"/>
        </w:rPr>
      </w:pPr>
    </w:p>
    <w:p w14:paraId="7F38354F" w14:textId="77777777" w:rsidR="00333A3F" w:rsidRDefault="00333A3F" w:rsidP="00F277ED">
      <w:pPr>
        <w:rPr>
          <w:rFonts w:ascii="Arial" w:hAnsi="Arial" w:cs="Arial"/>
          <w:sz w:val="28"/>
          <w:szCs w:val="28"/>
        </w:rPr>
      </w:pPr>
    </w:p>
    <w:p w14:paraId="56F24F10" w14:textId="499A6C79" w:rsidR="00333A3F" w:rsidRDefault="00B901EA" w:rsidP="00333A3F">
      <w:pPr>
        <w:jc w:val="center"/>
        <w:rPr>
          <w:rFonts w:ascii="Arial" w:hAnsi="Arial" w:cs="Arial"/>
          <w:sz w:val="28"/>
          <w:szCs w:val="28"/>
        </w:rPr>
      </w:pPr>
      <w:r>
        <w:rPr>
          <w:rFonts w:ascii="Arial" w:hAnsi="Arial" w:cs="Arial"/>
          <w:sz w:val="28"/>
          <w:szCs w:val="28"/>
        </w:rPr>
        <w:lastRenderedPageBreak/>
        <w:t xml:space="preserve">Schizophrenia or Other Primary Psychotic Disorder </w:t>
      </w:r>
    </w:p>
    <w:p w14:paraId="7FFBC1A5" w14:textId="77777777" w:rsidR="0077588A" w:rsidRDefault="0077588A" w:rsidP="00333A3F">
      <w:pPr>
        <w:jc w:val="center"/>
        <w:rPr>
          <w:rFonts w:ascii="Arial" w:hAnsi="Arial" w:cs="Arial"/>
          <w:sz w:val="28"/>
          <w:szCs w:val="28"/>
        </w:rPr>
      </w:pPr>
    </w:p>
    <w:p w14:paraId="6D05B1A9" w14:textId="23361C36" w:rsidR="00B901EA" w:rsidRDefault="00B901EA" w:rsidP="00333A3F">
      <w:pPr>
        <w:jc w:val="center"/>
        <w:rPr>
          <w:rFonts w:ascii="Arial" w:hAnsi="Arial" w:cs="Arial"/>
          <w:sz w:val="28"/>
          <w:szCs w:val="28"/>
        </w:rPr>
      </w:pPr>
      <w:r>
        <w:rPr>
          <w:rFonts w:ascii="Arial" w:hAnsi="Arial" w:cs="Arial"/>
          <w:sz w:val="28"/>
          <w:szCs w:val="28"/>
        </w:rPr>
        <w:t>Table of Contents</w:t>
      </w:r>
      <w:r w:rsidR="0070105E">
        <w:rPr>
          <w:rFonts w:ascii="Arial" w:hAnsi="Arial" w:cs="Arial"/>
          <w:sz w:val="28"/>
          <w:szCs w:val="28"/>
        </w:rPr>
        <w:t xml:space="preserve">: </w:t>
      </w:r>
    </w:p>
    <w:p w14:paraId="7ED1CBCA" w14:textId="77777777" w:rsidR="00EC10F7" w:rsidRDefault="00EC10F7" w:rsidP="00333A3F">
      <w:pPr>
        <w:jc w:val="center"/>
        <w:rPr>
          <w:rFonts w:ascii="Arial" w:hAnsi="Arial" w:cs="Arial"/>
          <w:sz w:val="28"/>
          <w:szCs w:val="28"/>
        </w:rPr>
      </w:pPr>
    </w:p>
    <w:p w14:paraId="4DB422A4" w14:textId="77777777" w:rsidR="00EC10F7" w:rsidRDefault="00EC10F7" w:rsidP="00333A3F">
      <w:pPr>
        <w:jc w:val="center"/>
        <w:rPr>
          <w:rFonts w:ascii="Arial" w:hAnsi="Arial" w:cs="Arial"/>
          <w:sz w:val="28"/>
          <w:szCs w:val="28"/>
        </w:rPr>
      </w:pPr>
    </w:p>
    <w:p w14:paraId="3BC66496" w14:textId="24393EC0" w:rsidR="00B901EA" w:rsidRPr="00EC10F7" w:rsidRDefault="00B901EA" w:rsidP="00EC10F7">
      <w:pPr>
        <w:pStyle w:val="ListParagraph"/>
        <w:numPr>
          <w:ilvl w:val="0"/>
          <w:numId w:val="2"/>
        </w:numPr>
        <w:rPr>
          <w:rFonts w:ascii="Arial" w:hAnsi="Arial" w:cs="Arial"/>
          <w:sz w:val="28"/>
          <w:szCs w:val="28"/>
        </w:rPr>
      </w:pPr>
      <w:r w:rsidRPr="00EC10F7">
        <w:rPr>
          <w:rFonts w:ascii="Arial" w:hAnsi="Arial" w:cs="Arial"/>
          <w:sz w:val="28"/>
          <w:szCs w:val="28"/>
        </w:rPr>
        <w:t xml:space="preserve">Introduction </w:t>
      </w:r>
    </w:p>
    <w:p w14:paraId="1A26FF77" w14:textId="4845AE21" w:rsidR="00B901EA" w:rsidRPr="00EC10F7" w:rsidRDefault="00EC10F7" w:rsidP="00EC10F7">
      <w:pPr>
        <w:pStyle w:val="ListParagraph"/>
        <w:numPr>
          <w:ilvl w:val="1"/>
          <w:numId w:val="2"/>
        </w:numPr>
        <w:rPr>
          <w:rFonts w:ascii="Arial" w:hAnsi="Arial" w:cs="Arial"/>
          <w:sz w:val="24"/>
          <w:szCs w:val="24"/>
        </w:rPr>
      </w:pPr>
      <w:r w:rsidRPr="00EC10F7">
        <w:rPr>
          <w:rFonts w:ascii="Arial" w:hAnsi="Arial" w:cs="Arial"/>
          <w:sz w:val="24"/>
          <w:szCs w:val="24"/>
        </w:rPr>
        <w:t xml:space="preserve">6A20 Schizophrenia </w:t>
      </w:r>
    </w:p>
    <w:p w14:paraId="58E0EF35" w14:textId="5C27BCBE" w:rsidR="00EC10F7" w:rsidRDefault="00EC10F7" w:rsidP="00EC10F7">
      <w:pPr>
        <w:pStyle w:val="ListParagraph"/>
        <w:numPr>
          <w:ilvl w:val="0"/>
          <w:numId w:val="2"/>
        </w:numPr>
        <w:rPr>
          <w:rFonts w:ascii="Arial" w:hAnsi="Arial" w:cs="Arial"/>
          <w:sz w:val="24"/>
          <w:szCs w:val="24"/>
        </w:rPr>
      </w:pPr>
      <w:r>
        <w:rPr>
          <w:rFonts w:ascii="Arial" w:hAnsi="Arial" w:cs="Arial"/>
          <w:sz w:val="24"/>
          <w:szCs w:val="24"/>
        </w:rPr>
        <w:t xml:space="preserve">Classification and Diagnosis </w:t>
      </w:r>
    </w:p>
    <w:p w14:paraId="118088C5" w14:textId="3E925AAE" w:rsidR="00EC10F7" w:rsidRDefault="00EC10F7" w:rsidP="00EC10F7">
      <w:pPr>
        <w:pStyle w:val="ListParagraph"/>
        <w:numPr>
          <w:ilvl w:val="1"/>
          <w:numId w:val="2"/>
        </w:numPr>
        <w:rPr>
          <w:rFonts w:ascii="Arial" w:hAnsi="Arial" w:cs="Arial"/>
          <w:sz w:val="24"/>
          <w:szCs w:val="24"/>
        </w:rPr>
      </w:pPr>
      <w:r>
        <w:rPr>
          <w:rFonts w:ascii="Arial" w:hAnsi="Arial" w:cs="Arial"/>
          <w:sz w:val="24"/>
          <w:szCs w:val="24"/>
        </w:rPr>
        <w:t xml:space="preserve">Classification Within ICD-11 </w:t>
      </w:r>
    </w:p>
    <w:p w14:paraId="6154AFC0" w14:textId="77777777" w:rsidR="00EC10F7" w:rsidRDefault="00EC10F7" w:rsidP="00EC10F7">
      <w:pPr>
        <w:pStyle w:val="ListParagraph"/>
        <w:numPr>
          <w:ilvl w:val="1"/>
          <w:numId w:val="2"/>
        </w:numPr>
        <w:rPr>
          <w:rFonts w:ascii="Arial" w:hAnsi="Arial" w:cs="Arial"/>
          <w:sz w:val="24"/>
          <w:szCs w:val="24"/>
        </w:rPr>
      </w:pPr>
      <w:r>
        <w:rPr>
          <w:rFonts w:ascii="Arial" w:hAnsi="Arial" w:cs="Arial"/>
          <w:sz w:val="24"/>
          <w:szCs w:val="24"/>
        </w:rPr>
        <w:t xml:space="preserve">Diagnosis Processes </w:t>
      </w:r>
    </w:p>
    <w:p w14:paraId="00FDB18F" w14:textId="04D42FEF" w:rsidR="00EC10F7" w:rsidRDefault="00EC10F7" w:rsidP="00EC10F7">
      <w:pPr>
        <w:pStyle w:val="ListParagraph"/>
        <w:numPr>
          <w:ilvl w:val="1"/>
          <w:numId w:val="2"/>
        </w:numPr>
        <w:rPr>
          <w:rFonts w:ascii="Arial" w:hAnsi="Arial" w:cs="Arial"/>
          <w:sz w:val="24"/>
          <w:szCs w:val="24"/>
        </w:rPr>
      </w:pPr>
      <w:r>
        <w:rPr>
          <w:rFonts w:ascii="Arial" w:hAnsi="Arial" w:cs="Arial"/>
          <w:sz w:val="24"/>
          <w:szCs w:val="24"/>
        </w:rPr>
        <w:t xml:space="preserve">Diagnostic Criteria </w:t>
      </w:r>
    </w:p>
    <w:p w14:paraId="1D115FBB" w14:textId="5388D0B3" w:rsidR="00EC10F7" w:rsidRDefault="00EC10F7" w:rsidP="00EC10F7">
      <w:pPr>
        <w:pStyle w:val="ListParagraph"/>
        <w:numPr>
          <w:ilvl w:val="1"/>
          <w:numId w:val="2"/>
        </w:numPr>
        <w:rPr>
          <w:rFonts w:ascii="Arial" w:hAnsi="Arial" w:cs="Arial"/>
          <w:sz w:val="24"/>
          <w:szCs w:val="24"/>
        </w:rPr>
      </w:pPr>
      <w:r>
        <w:rPr>
          <w:rFonts w:ascii="Arial" w:hAnsi="Arial" w:cs="Arial"/>
          <w:sz w:val="24"/>
          <w:szCs w:val="24"/>
        </w:rPr>
        <w:t xml:space="preserve">  Terminology Employed </w:t>
      </w:r>
    </w:p>
    <w:p w14:paraId="453A7EA9" w14:textId="77777777" w:rsidR="00EC10F7" w:rsidRDefault="00EC10F7" w:rsidP="00EC10F7">
      <w:pPr>
        <w:pStyle w:val="ListParagraph"/>
        <w:numPr>
          <w:ilvl w:val="0"/>
          <w:numId w:val="2"/>
        </w:numPr>
        <w:rPr>
          <w:rFonts w:ascii="Arial" w:hAnsi="Arial" w:cs="Arial"/>
          <w:sz w:val="24"/>
          <w:szCs w:val="24"/>
        </w:rPr>
      </w:pPr>
      <w:r>
        <w:rPr>
          <w:rFonts w:ascii="Arial" w:hAnsi="Arial" w:cs="Arial"/>
          <w:sz w:val="24"/>
          <w:szCs w:val="24"/>
        </w:rPr>
        <w:t xml:space="preserve">Treatment and Rehabilitation </w:t>
      </w:r>
    </w:p>
    <w:p w14:paraId="420F054A" w14:textId="554AAD31" w:rsidR="00014987" w:rsidRDefault="00014987" w:rsidP="00014987">
      <w:pPr>
        <w:pStyle w:val="ListParagraph"/>
        <w:numPr>
          <w:ilvl w:val="1"/>
          <w:numId w:val="2"/>
        </w:numPr>
        <w:rPr>
          <w:rFonts w:ascii="Arial" w:hAnsi="Arial" w:cs="Arial"/>
          <w:sz w:val="24"/>
          <w:szCs w:val="24"/>
        </w:rPr>
      </w:pPr>
      <w:r>
        <w:rPr>
          <w:rFonts w:ascii="Arial" w:hAnsi="Arial" w:cs="Arial"/>
          <w:sz w:val="24"/>
          <w:szCs w:val="24"/>
        </w:rPr>
        <w:t xml:space="preserve">Standard Treatment Approaches </w:t>
      </w:r>
    </w:p>
    <w:p w14:paraId="30173FBF" w14:textId="77777777" w:rsidR="00014987" w:rsidRDefault="00014987" w:rsidP="00014987">
      <w:pPr>
        <w:pStyle w:val="ListParagraph"/>
        <w:numPr>
          <w:ilvl w:val="1"/>
          <w:numId w:val="2"/>
        </w:numPr>
        <w:rPr>
          <w:rFonts w:ascii="Arial" w:hAnsi="Arial" w:cs="Arial"/>
          <w:sz w:val="24"/>
          <w:szCs w:val="24"/>
        </w:rPr>
      </w:pPr>
      <w:r>
        <w:rPr>
          <w:rFonts w:ascii="Arial" w:hAnsi="Arial" w:cs="Arial"/>
          <w:sz w:val="24"/>
          <w:szCs w:val="24"/>
        </w:rPr>
        <w:t xml:space="preserve">Rehabilitation Measure in ICD-11 and Practice </w:t>
      </w:r>
    </w:p>
    <w:p w14:paraId="5917125E" w14:textId="77777777" w:rsidR="00014987" w:rsidRDefault="00014987" w:rsidP="00014987">
      <w:pPr>
        <w:pStyle w:val="ListParagraph"/>
        <w:numPr>
          <w:ilvl w:val="1"/>
          <w:numId w:val="2"/>
        </w:numPr>
        <w:rPr>
          <w:rFonts w:ascii="Arial" w:hAnsi="Arial" w:cs="Arial"/>
          <w:sz w:val="24"/>
          <w:szCs w:val="24"/>
        </w:rPr>
      </w:pPr>
      <w:r>
        <w:rPr>
          <w:rFonts w:ascii="Arial" w:hAnsi="Arial" w:cs="Arial"/>
          <w:sz w:val="24"/>
          <w:szCs w:val="24"/>
        </w:rPr>
        <w:t xml:space="preserve">Effectiveness and Limitations of Current Approaches </w:t>
      </w:r>
    </w:p>
    <w:p w14:paraId="4FC81AA2" w14:textId="77777777" w:rsidR="00014987" w:rsidRDefault="00014987" w:rsidP="00014987">
      <w:pPr>
        <w:pStyle w:val="ListParagraph"/>
        <w:numPr>
          <w:ilvl w:val="0"/>
          <w:numId w:val="2"/>
        </w:numPr>
        <w:rPr>
          <w:rFonts w:ascii="Arial" w:hAnsi="Arial" w:cs="Arial"/>
          <w:sz w:val="24"/>
          <w:szCs w:val="24"/>
        </w:rPr>
      </w:pPr>
      <w:r>
        <w:rPr>
          <w:rFonts w:ascii="Arial" w:hAnsi="Arial" w:cs="Arial"/>
          <w:sz w:val="24"/>
          <w:szCs w:val="24"/>
        </w:rPr>
        <w:t xml:space="preserve">Current Debates and Emerging Issues </w:t>
      </w:r>
    </w:p>
    <w:p w14:paraId="23548B3F" w14:textId="5CB8DC16" w:rsidR="00EC10F7" w:rsidRDefault="00014987" w:rsidP="00014987">
      <w:pPr>
        <w:pStyle w:val="ListParagraph"/>
        <w:numPr>
          <w:ilvl w:val="1"/>
          <w:numId w:val="2"/>
        </w:numPr>
        <w:rPr>
          <w:rFonts w:ascii="Arial" w:hAnsi="Arial" w:cs="Arial"/>
          <w:sz w:val="24"/>
          <w:szCs w:val="24"/>
        </w:rPr>
      </w:pPr>
      <w:r>
        <w:rPr>
          <w:rFonts w:ascii="Arial" w:hAnsi="Arial" w:cs="Arial"/>
          <w:sz w:val="24"/>
          <w:szCs w:val="24"/>
        </w:rPr>
        <w:t>Debates Surrounding Classification and Diagnosis</w:t>
      </w:r>
      <w:r w:rsidR="00EC10F7">
        <w:rPr>
          <w:rFonts w:ascii="Arial" w:hAnsi="Arial" w:cs="Arial"/>
          <w:sz w:val="24"/>
          <w:szCs w:val="24"/>
        </w:rPr>
        <w:t xml:space="preserve"> </w:t>
      </w:r>
    </w:p>
    <w:p w14:paraId="6BD81C0C" w14:textId="42A2EDE7" w:rsidR="00014987" w:rsidRDefault="00014987" w:rsidP="00014987">
      <w:pPr>
        <w:pStyle w:val="ListParagraph"/>
        <w:numPr>
          <w:ilvl w:val="1"/>
          <w:numId w:val="2"/>
        </w:numPr>
        <w:rPr>
          <w:rFonts w:ascii="Arial" w:hAnsi="Arial" w:cs="Arial"/>
          <w:sz w:val="24"/>
          <w:szCs w:val="24"/>
        </w:rPr>
      </w:pPr>
      <w:r>
        <w:rPr>
          <w:rFonts w:ascii="Arial" w:hAnsi="Arial" w:cs="Arial"/>
          <w:sz w:val="24"/>
          <w:szCs w:val="24"/>
        </w:rPr>
        <w:t xml:space="preserve">Neurodivergence and Reclassification </w:t>
      </w:r>
    </w:p>
    <w:p w14:paraId="73F8A9DE" w14:textId="77777777" w:rsidR="0070105E" w:rsidRDefault="0070105E" w:rsidP="00014987">
      <w:pPr>
        <w:pStyle w:val="ListParagraph"/>
        <w:numPr>
          <w:ilvl w:val="1"/>
          <w:numId w:val="2"/>
        </w:numPr>
        <w:rPr>
          <w:rFonts w:ascii="Arial" w:hAnsi="Arial" w:cs="Arial"/>
          <w:sz w:val="24"/>
          <w:szCs w:val="24"/>
        </w:rPr>
      </w:pPr>
      <w:r>
        <w:rPr>
          <w:rFonts w:ascii="Arial" w:hAnsi="Arial" w:cs="Arial"/>
          <w:sz w:val="24"/>
          <w:szCs w:val="24"/>
        </w:rPr>
        <w:t>Implication</w:t>
      </w:r>
      <w:r w:rsidR="00014987">
        <w:rPr>
          <w:rFonts w:ascii="Arial" w:hAnsi="Arial" w:cs="Arial"/>
          <w:sz w:val="24"/>
          <w:szCs w:val="24"/>
        </w:rPr>
        <w:t xml:space="preserve"> for Practice and Policy</w:t>
      </w:r>
      <w:r>
        <w:rPr>
          <w:rFonts w:ascii="Arial" w:hAnsi="Arial" w:cs="Arial"/>
          <w:sz w:val="24"/>
          <w:szCs w:val="24"/>
        </w:rPr>
        <w:t xml:space="preserve"> </w:t>
      </w:r>
    </w:p>
    <w:p w14:paraId="02308032" w14:textId="77777777" w:rsidR="0070105E" w:rsidRDefault="0070105E" w:rsidP="0070105E">
      <w:pPr>
        <w:pStyle w:val="ListParagraph"/>
        <w:numPr>
          <w:ilvl w:val="0"/>
          <w:numId w:val="2"/>
        </w:numPr>
        <w:rPr>
          <w:rFonts w:ascii="Arial" w:hAnsi="Arial" w:cs="Arial"/>
          <w:sz w:val="24"/>
          <w:szCs w:val="24"/>
        </w:rPr>
      </w:pPr>
      <w:r>
        <w:rPr>
          <w:rFonts w:ascii="Arial" w:hAnsi="Arial" w:cs="Arial"/>
          <w:sz w:val="24"/>
          <w:szCs w:val="24"/>
        </w:rPr>
        <w:t xml:space="preserve">Recommendations </w:t>
      </w:r>
    </w:p>
    <w:p w14:paraId="453136E6" w14:textId="0C13FCBC" w:rsidR="0070105E" w:rsidRDefault="0070105E" w:rsidP="0070105E">
      <w:pPr>
        <w:pStyle w:val="ListParagraph"/>
        <w:numPr>
          <w:ilvl w:val="1"/>
          <w:numId w:val="2"/>
        </w:numPr>
        <w:rPr>
          <w:rFonts w:ascii="Arial" w:hAnsi="Arial" w:cs="Arial"/>
          <w:sz w:val="24"/>
          <w:szCs w:val="24"/>
        </w:rPr>
      </w:pPr>
      <w:r>
        <w:rPr>
          <w:rFonts w:ascii="Arial" w:hAnsi="Arial" w:cs="Arial"/>
          <w:sz w:val="24"/>
          <w:szCs w:val="24"/>
        </w:rPr>
        <w:t xml:space="preserve">Classification and Diagnosis </w:t>
      </w:r>
    </w:p>
    <w:p w14:paraId="5F061F08" w14:textId="77777777" w:rsidR="0070105E" w:rsidRDefault="0070105E" w:rsidP="0070105E">
      <w:pPr>
        <w:pStyle w:val="ListParagraph"/>
        <w:numPr>
          <w:ilvl w:val="1"/>
          <w:numId w:val="2"/>
        </w:numPr>
        <w:rPr>
          <w:rFonts w:ascii="Arial" w:hAnsi="Arial" w:cs="Arial"/>
          <w:sz w:val="24"/>
          <w:szCs w:val="24"/>
        </w:rPr>
      </w:pPr>
      <w:r>
        <w:rPr>
          <w:rFonts w:ascii="Arial" w:hAnsi="Arial" w:cs="Arial"/>
          <w:sz w:val="24"/>
          <w:szCs w:val="24"/>
        </w:rPr>
        <w:t xml:space="preserve">Treatment and Rehabilitation </w:t>
      </w:r>
    </w:p>
    <w:p w14:paraId="33495706" w14:textId="77777777" w:rsidR="0070105E" w:rsidRDefault="0070105E" w:rsidP="0070105E">
      <w:pPr>
        <w:pStyle w:val="ListParagraph"/>
        <w:numPr>
          <w:ilvl w:val="1"/>
          <w:numId w:val="2"/>
        </w:numPr>
        <w:rPr>
          <w:rFonts w:ascii="Arial" w:hAnsi="Arial" w:cs="Arial"/>
          <w:sz w:val="24"/>
          <w:szCs w:val="24"/>
        </w:rPr>
      </w:pPr>
      <w:r>
        <w:rPr>
          <w:rFonts w:ascii="Arial" w:hAnsi="Arial" w:cs="Arial"/>
          <w:sz w:val="24"/>
          <w:szCs w:val="24"/>
        </w:rPr>
        <w:t xml:space="preserve">Implication </w:t>
      </w:r>
    </w:p>
    <w:p w14:paraId="3466D236" w14:textId="77777777" w:rsidR="0070105E" w:rsidRDefault="0070105E" w:rsidP="0070105E">
      <w:pPr>
        <w:pStyle w:val="ListParagraph"/>
        <w:numPr>
          <w:ilvl w:val="0"/>
          <w:numId w:val="2"/>
        </w:numPr>
        <w:rPr>
          <w:rFonts w:ascii="Arial" w:hAnsi="Arial" w:cs="Arial"/>
          <w:sz w:val="24"/>
          <w:szCs w:val="24"/>
        </w:rPr>
      </w:pPr>
      <w:r>
        <w:rPr>
          <w:rFonts w:ascii="Arial" w:hAnsi="Arial" w:cs="Arial"/>
          <w:sz w:val="24"/>
          <w:szCs w:val="24"/>
        </w:rPr>
        <w:t xml:space="preserve">Conclusions </w:t>
      </w:r>
    </w:p>
    <w:p w14:paraId="7502B3A1" w14:textId="6DE4FD62" w:rsidR="00014987" w:rsidRDefault="0070105E" w:rsidP="0070105E">
      <w:pPr>
        <w:pStyle w:val="ListParagraph"/>
        <w:numPr>
          <w:ilvl w:val="0"/>
          <w:numId w:val="2"/>
        </w:numPr>
        <w:rPr>
          <w:rFonts w:ascii="Arial" w:hAnsi="Arial" w:cs="Arial"/>
          <w:sz w:val="24"/>
          <w:szCs w:val="24"/>
        </w:rPr>
      </w:pPr>
      <w:r>
        <w:rPr>
          <w:rFonts w:ascii="Arial" w:hAnsi="Arial" w:cs="Arial"/>
          <w:sz w:val="24"/>
          <w:szCs w:val="24"/>
        </w:rPr>
        <w:t xml:space="preserve">References  </w:t>
      </w:r>
      <w:r w:rsidR="00014987">
        <w:rPr>
          <w:rFonts w:ascii="Arial" w:hAnsi="Arial" w:cs="Arial"/>
          <w:sz w:val="24"/>
          <w:szCs w:val="24"/>
        </w:rPr>
        <w:t xml:space="preserve"> </w:t>
      </w:r>
      <w:r>
        <w:rPr>
          <w:rFonts w:ascii="Arial" w:hAnsi="Arial" w:cs="Arial"/>
          <w:sz w:val="24"/>
          <w:szCs w:val="24"/>
        </w:rPr>
        <w:t xml:space="preserve"> </w:t>
      </w:r>
    </w:p>
    <w:p w14:paraId="2B0A05AF" w14:textId="77777777" w:rsidR="0070105E" w:rsidRDefault="0070105E" w:rsidP="0070105E">
      <w:pPr>
        <w:pStyle w:val="ListParagraph"/>
        <w:rPr>
          <w:rFonts w:ascii="Arial" w:hAnsi="Arial" w:cs="Arial"/>
          <w:sz w:val="24"/>
          <w:szCs w:val="24"/>
        </w:rPr>
      </w:pPr>
    </w:p>
    <w:p w14:paraId="30003012" w14:textId="77777777" w:rsidR="0070105E" w:rsidRDefault="0070105E" w:rsidP="0070105E">
      <w:pPr>
        <w:pStyle w:val="ListParagraph"/>
        <w:rPr>
          <w:rFonts w:ascii="Arial" w:hAnsi="Arial" w:cs="Arial"/>
          <w:sz w:val="24"/>
          <w:szCs w:val="24"/>
        </w:rPr>
      </w:pPr>
    </w:p>
    <w:p w14:paraId="5F7B654D" w14:textId="77777777" w:rsidR="0070105E" w:rsidRDefault="0070105E" w:rsidP="0070105E">
      <w:pPr>
        <w:pStyle w:val="ListParagraph"/>
        <w:rPr>
          <w:rFonts w:ascii="Arial" w:hAnsi="Arial" w:cs="Arial"/>
          <w:sz w:val="24"/>
          <w:szCs w:val="24"/>
        </w:rPr>
      </w:pPr>
    </w:p>
    <w:p w14:paraId="7F8351D7" w14:textId="77777777" w:rsidR="0070105E" w:rsidRDefault="0070105E" w:rsidP="0070105E">
      <w:pPr>
        <w:pStyle w:val="ListParagraph"/>
        <w:rPr>
          <w:rFonts w:ascii="Arial" w:hAnsi="Arial" w:cs="Arial"/>
          <w:sz w:val="24"/>
          <w:szCs w:val="24"/>
        </w:rPr>
      </w:pPr>
    </w:p>
    <w:p w14:paraId="31EB6BCB" w14:textId="77777777" w:rsidR="0070105E" w:rsidRDefault="0070105E" w:rsidP="0070105E">
      <w:pPr>
        <w:pStyle w:val="ListParagraph"/>
        <w:rPr>
          <w:rFonts w:ascii="Arial" w:hAnsi="Arial" w:cs="Arial"/>
          <w:sz w:val="24"/>
          <w:szCs w:val="24"/>
        </w:rPr>
      </w:pPr>
    </w:p>
    <w:p w14:paraId="3945F34E" w14:textId="77777777" w:rsidR="0070105E" w:rsidRDefault="0070105E" w:rsidP="0070105E">
      <w:pPr>
        <w:pStyle w:val="ListParagraph"/>
        <w:rPr>
          <w:rFonts w:ascii="Arial" w:hAnsi="Arial" w:cs="Arial"/>
          <w:sz w:val="24"/>
          <w:szCs w:val="24"/>
        </w:rPr>
      </w:pPr>
    </w:p>
    <w:p w14:paraId="0025C486" w14:textId="77777777" w:rsidR="0070105E" w:rsidRDefault="0070105E" w:rsidP="0070105E">
      <w:pPr>
        <w:pStyle w:val="ListParagraph"/>
        <w:rPr>
          <w:rFonts w:ascii="Arial" w:hAnsi="Arial" w:cs="Arial"/>
          <w:sz w:val="24"/>
          <w:szCs w:val="24"/>
        </w:rPr>
      </w:pPr>
    </w:p>
    <w:p w14:paraId="10484DB9" w14:textId="77777777" w:rsidR="0070105E" w:rsidRDefault="0070105E" w:rsidP="0070105E">
      <w:pPr>
        <w:pStyle w:val="ListParagraph"/>
        <w:rPr>
          <w:rFonts w:ascii="Arial" w:hAnsi="Arial" w:cs="Arial"/>
          <w:sz w:val="24"/>
          <w:szCs w:val="24"/>
        </w:rPr>
      </w:pPr>
    </w:p>
    <w:p w14:paraId="17646643" w14:textId="77777777" w:rsidR="0070105E" w:rsidRDefault="0070105E" w:rsidP="0070105E">
      <w:pPr>
        <w:pStyle w:val="ListParagraph"/>
        <w:rPr>
          <w:rFonts w:ascii="Arial" w:hAnsi="Arial" w:cs="Arial"/>
          <w:sz w:val="24"/>
          <w:szCs w:val="24"/>
        </w:rPr>
      </w:pPr>
    </w:p>
    <w:p w14:paraId="6DCC327C" w14:textId="77777777" w:rsidR="0070105E" w:rsidRDefault="0070105E" w:rsidP="0070105E">
      <w:pPr>
        <w:pStyle w:val="ListParagraph"/>
        <w:rPr>
          <w:rFonts w:ascii="Arial" w:hAnsi="Arial" w:cs="Arial"/>
          <w:sz w:val="24"/>
          <w:szCs w:val="24"/>
        </w:rPr>
      </w:pPr>
    </w:p>
    <w:p w14:paraId="6A13211D" w14:textId="77777777" w:rsidR="0070105E" w:rsidRDefault="0070105E" w:rsidP="0070105E">
      <w:pPr>
        <w:pStyle w:val="ListParagraph"/>
        <w:rPr>
          <w:rFonts w:ascii="Arial" w:hAnsi="Arial" w:cs="Arial"/>
          <w:sz w:val="24"/>
          <w:szCs w:val="24"/>
        </w:rPr>
      </w:pPr>
    </w:p>
    <w:p w14:paraId="06955720" w14:textId="77777777" w:rsidR="0070105E" w:rsidRDefault="0070105E" w:rsidP="0070105E">
      <w:pPr>
        <w:pStyle w:val="ListParagraph"/>
        <w:rPr>
          <w:rFonts w:ascii="Arial" w:hAnsi="Arial" w:cs="Arial"/>
          <w:sz w:val="24"/>
          <w:szCs w:val="24"/>
        </w:rPr>
      </w:pPr>
    </w:p>
    <w:p w14:paraId="60C1D218" w14:textId="77777777" w:rsidR="0070105E" w:rsidRDefault="0070105E" w:rsidP="0070105E">
      <w:pPr>
        <w:pStyle w:val="ListParagraph"/>
        <w:rPr>
          <w:rFonts w:ascii="Arial" w:hAnsi="Arial" w:cs="Arial"/>
          <w:sz w:val="24"/>
          <w:szCs w:val="24"/>
        </w:rPr>
      </w:pPr>
    </w:p>
    <w:p w14:paraId="243BD234" w14:textId="77777777" w:rsidR="0070105E" w:rsidRDefault="0070105E" w:rsidP="0070105E">
      <w:pPr>
        <w:pStyle w:val="ListParagraph"/>
        <w:rPr>
          <w:rFonts w:ascii="Arial" w:hAnsi="Arial" w:cs="Arial"/>
          <w:sz w:val="24"/>
          <w:szCs w:val="24"/>
        </w:rPr>
      </w:pPr>
    </w:p>
    <w:p w14:paraId="48F1BC6C" w14:textId="77777777" w:rsidR="0070105E" w:rsidRDefault="0070105E" w:rsidP="0070105E">
      <w:pPr>
        <w:pStyle w:val="ListParagraph"/>
        <w:rPr>
          <w:rFonts w:ascii="Arial" w:hAnsi="Arial" w:cs="Arial"/>
          <w:sz w:val="24"/>
          <w:szCs w:val="24"/>
        </w:rPr>
      </w:pPr>
    </w:p>
    <w:p w14:paraId="44D293DA" w14:textId="77777777" w:rsidR="0070105E" w:rsidRDefault="0070105E" w:rsidP="0070105E">
      <w:pPr>
        <w:pStyle w:val="ListParagraph"/>
        <w:rPr>
          <w:rFonts w:ascii="Arial" w:hAnsi="Arial" w:cs="Arial"/>
          <w:sz w:val="24"/>
          <w:szCs w:val="24"/>
        </w:rPr>
      </w:pPr>
    </w:p>
    <w:p w14:paraId="686E6FBC" w14:textId="77777777" w:rsidR="0070105E" w:rsidRDefault="0070105E" w:rsidP="0070105E">
      <w:pPr>
        <w:pStyle w:val="ListParagraph"/>
        <w:rPr>
          <w:rFonts w:ascii="Arial" w:hAnsi="Arial" w:cs="Arial"/>
          <w:sz w:val="24"/>
          <w:szCs w:val="24"/>
        </w:rPr>
      </w:pPr>
    </w:p>
    <w:p w14:paraId="335380AE" w14:textId="77777777" w:rsidR="00BF6A94" w:rsidRPr="002932BA" w:rsidRDefault="00BF6A94" w:rsidP="00BF6A94">
      <w:pPr>
        <w:pStyle w:val="ListParagraph"/>
        <w:rPr>
          <w:rFonts w:ascii="Arial" w:hAnsi="Arial" w:cs="Arial"/>
          <w:color w:val="0F6FC6" w:themeColor="accent1"/>
        </w:rPr>
      </w:pPr>
      <w:r w:rsidRPr="002932BA">
        <w:rPr>
          <w:rFonts w:ascii="Arial" w:hAnsi="Arial" w:cs="Arial"/>
          <w:b/>
          <w:bCs/>
          <w:color w:val="0F6FC6" w:themeColor="accent1"/>
          <w:sz w:val="24"/>
          <w:szCs w:val="24"/>
        </w:rPr>
        <w:lastRenderedPageBreak/>
        <w:t>I</w:t>
      </w:r>
      <w:r w:rsidRPr="002932BA">
        <w:rPr>
          <w:rFonts w:ascii="Arial" w:hAnsi="Arial" w:cs="Arial"/>
          <w:b/>
          <w:bCs/>
          <w:color w:val="0F6FC6" w:themeColor="accent1"/>
        </w:rPr>
        <w:t xml:space="preserve">ntroduction </w:t>
      </w:r>
    </w:p>
    <w:p w14:paraId="693491FC" w14:textId="77777777" w:rsidR="0070105E" w:rsidRDefault="0070105E" w:rsidP="0070105E">
      <w:pPr>
        <w:pStyle w:val="ListParagraph"/>
        <w:rPr>
          <w:rFonts w:ascii="Arial" w:hAnsi="Arial" w:cs="Arial"/>
          <w:sz w:val="24"/>
          <w:szCs w:val="24"/>
        </w:rPr>
      </w:pPr>
    </w:p>
    <w:p w14:paraId="5798D78A" w14:textId="77777777" w:rsidR="0070105E" w:rsidRDefault="0070105E" w:rsidP="0070105E">
      <w:pPr>
        <w:pStyle w:val="ListParagraph"/>
        <w:rPr>
          <w:rFonts w:ascii="Arial" w:hAnsi="Arial" w:cs="Arial"/>
        </w:rPr>
      </w:pPr>
    </w:p>
    <w:p w14:paraId="223FCF9C" w14:textId="77777777" w:rsidR="0070105E" w:rsidRPr="002932BA" w:rsidRDefault="0070105E" w:rsidP="002932BA">
      <w:pPr>
        <w:pStyle w:val="NoSpacing"/>
      </w:pPr>
      <w:r w:rsidRPr="002932BA">
        <w:t>Schizophrenia is one of the most complex, widely studied, and frequently debated conditions in mental health practice, carrying significant implications for individual wellbeing, service design, and public health across the United Kingdom and globally. As the World Health Organization (WHO) continues to refine international standards for classification and care, the publication of the International Classification of Diseases, Eleventh Revision (ICD-11) marked a major milestone in how this condition is defined, diagnosed, and understood. Under the classification code 6A20, schizophrenia is now positioned within a broader spectrum of psychotic disorders, reflecting decades of research that have reshaped professional understanding of its presentation, course, and relationship to other mental health experiences.</w:t>
      </w:r>
    </w:p>
    <w:p w14:paraId="0BB1D81E" w14:textId="77777777" w:rsidR="0070105E" w:rsidRPr="002932BA" w:rsidRDefault="0070105E" w:rsidP="002932BA">
      <w:pPr>
        <w:pStyle w:val="NoSpacing"/>
      </w:pPr>
      <w:r w:rsidRPr="002932BA">
        <w:t xml:space="preserve">For clinicians, researchers, and service users alike, the changes introduced in ICD-11 represent a meaningful shift away from the rigid, subtype-based framework used in ICD-10 toward a more flexible, person-centred model that acknowledges the diversity of ways in which the condition manifests. These revisions are not merely technical updates; they carry important consequences for how assessments are conducted, how support is planned, and how society perceives those who receive the diagnosis. By removing historically used categories that lacked consistent clinical value, introducing dimensional descriptors for severity and function, and emphasising the importance of cultural and contextual understanding, the WHO has sought to create a system that is both scientifically robust and ethically sensitive. </w:t>
      </w:r>
    </w:p>
    <w:p w14:paraId="2D390CE1" w14:textId="7887B4F1" w:rsidR="00420741" w:rsidRDefault="00420741" w:rsidP="002932BA">
      <w:pPr>
        <w:pStyle w:val="NoSpacing"/>
      </w:pPr>
      <w:r w:rsidRPr="00C02FB2">
        <w:rPr>
          <w:sz w:val="24"/>
          <w:szCs w:val="24"/>
        </w:rPr>
        <w:t xml:space="preserve">This report provides a comprehensive examination of schizophrenia under ICD-11 code 6A20. It explores the revised classification structure and diagnostic criteria, contrasting key changes with previous approaches and explaining the rationale behind them. The document also reviews current evidence-based treatment and rehabilitation practices, highlighting both established interventions and areas where access remains unequal. Attention is further given to ongoing debates — including the continued validity of the diagnosis itself, the emergence of neurodivergence perspectives, and the practical challenges of implementing new standards within existing healthcare systems. Finally, the report offers targeted recommendations intended to support consistent, fair, and recovery-focused application of the ICD-11 </w:t>
      </w:r>
      <w:r w:rsidRPr="002932BA">
        <w:t>framework across practice, policy, and research. All analysis draws on peer-reviewed</w:t>
      </w:r>
      <w:r w:rsidRPr="002932BA">
        <w:t xml:space="preserve"> </w:t>
      </w:r>
      <w:r w:rsidRPr="002932BA">
        <w:t xml:space="preserve">research, official WHO guidance, and national clinical standards, with citations presented in Harvard referencing format including full source details and access dates. </w:t>
      </w:r>
    </w:p>
    <w:p w14:paraId="42F7F941" w14:textId="77777777" w:rsidR="002932BA" w:rsidRPr="002932BA" w:rsidRDefault="002932BA" w:rsidP="002932BA">
      <w:pPr>
        <w:pStyle w:val="NoSpacing"/>
        <w:rPr>
          <w:rFonts w:ascii="Arial" w:hAnsi="Arial" w:cs="Arial"/>
        </w:rPr>
      </w:pPr>
    </w:p>
    <w:p w14:paraId="57F5DC4F" w14:textId="6F8DFF8A" w:rsidR="00420741" w:rsidRPr="002932BA" w:rsidRDefault="00420741" w:rsidP="00420741">
      <w:pPr>
        <w:pStyle w:val="NoSpacing"/>
        <w:rPr>
          <w:rFonts w:ascii="Arial" w:hAnsi="Arial" w:cs="Arial"/>
          <w:b/>
          <w:bCs/>
          <w:color w:val="0F6FC6" w:themeColor="accent1"/>
        </w:rPr>
      </w:pPr>
      <w:r w:rsidRPr="002932BA">
        <w:rPr>
          <w:rFonts w:ascii="Arial" w:hAnsi="Arial" w:cs="Arial"/>
          <w:b/>
          <w:bCs/>
          <w:color w:val="0F6FC6" w:themeColor="accent1"/>
          <w:highlight w:val="lightGray"/>
        </w:rPr>
        <w:t>Classification and Diagnosis</w:t>
      </w:r>
      <w:r w:rsidR="00BF6A94" w:rsidRPr="002932BA">
        <w:rPr>
          <w:rFonts w:ascii="Arial" w:hAnsi="Arial" w:cs="Arial"/>
          <w:b/>
          <w:bCs/>
          <w:color w:val="0F6FC6" w:themeColor="accent1"/>
        </w:rPr>
        <w:t xml:space="preserve"> </w:t>
      </w:r>
    </w:p>
    <w:p w14:paraId="3AB70F45" w14:textId="77777777" w:rsidR="00BF6A94" w:rsidRPr="00BF6A94" w:rsidRDefault="00BF6A94" w:rsidP="00420741">
      <w:pPr>
        <w:pStyle w:val="NoSpacing"/>
        <w:rPr>
          <w:rFonts w:ascii="Arial" w:hAnsi="Arial" w:cs="Arial"/>
          <w:color w:val="0F6FC6" w:themeColor="accent1"/>
        </w:rPr>
      </w:pPr>
    </w:p>
    <w:p w14:paraId="1B88BA2B" w14:textId="0688DA59" w:rsidR="0070105E" w:rsidRPr="002932BA" w:rsidRDefault="0070105E" w:rsidP="0070105E">
      <w:pPr>
        <w:spacing w:line="360" w:lineRule="auto"/>
        <w:rPr>
          <w:rFonts w:ascii="Arial" w:hAnsi="Arial" w:cs="Arial"/>
          <w:b/>
          <w:bCs/>
          <w:sz w:val="24"/>
          <w:szCs w:val="24"/>
        </w:rPr>
      </w:pPr>
      <w:r w:rsidRPr="002932BA">
        <w:rPr>
          <w:rFonts w:ascii="Arial" w:hAnsi="Arial" w:cs="Arial"/>
          <w:b/>
          <w:bCs/>
          <w:sz w:val="24"/>
          <w:szCs w:val="24"/>
        </w:rPr>
        <w:t xml:space="preserve"> </w:t>
      </w:r>
      <w:r w:rsidR="00420741" w:rsidRPr="002932BA">
        <w:rPr>
          <w:rFonts w:ascii="Arial" w:hAnsi="Arial" w:cs="Arial"/>
          <w:b/>
          <w:bCs/>
          <w:sz w:val="24"/>
          <w:szCs w:val="24"/>
        </w:rPr>
        <w:t xml:space="preserve">Classification within ICD-11 </w:t>
      </w:r>
    </w:p>
    <w:p w14:paraId="1ED2A31A" w14:textId="16691E67" w:rsidR="00420741" w:rsidRDefault="00420741" w:rsidP="00420741">
      <w:pPr>
        <w:pStyle w:val="NoSpacing"/>
        <w:rPr>
          <w:rFonts w:ascii="Arial" w:hAnsi="Arial" w:cs="Arial"/>
        </w:rPr>
      </w:pPr>
      <w:r w:rsidRPr="00420741">
        <w:t xml:space="preserve">In ICD-11 Schizophrenia positioned within the boarder grouping intitled “Schizophrenia or other primary </w:t>
      </w:r>
      <w:r w:rsidR="005F4DB7">
        <w:rPr>
          <w:rFonts w:ascii="Arial" w:hAnsi="Arial" w:cs="Arial"/>
        </w:rPr>
        <w:t xml:space="preserve">psychotic disorders” (Block 6A20). The WHO defines schizophrenia as disorder characterised profound disturbances access multiple mental function: thinking, perception, self-awareness, cognition, </w:t>
      </w:r>
      <w:r w:rsidR="00A73351">
        <w:rPr>
          <w:rFonts w:ascii="Arial" w:hAnsi="Arial" w:cs="Arial"/>
        </w:rPr>
        <w:t xml:space="preserve">motivation, emotional expression, and behaviour (World Health Organisation, 2023). A defining structural change from ICD-10 is the complete removal of traditional subtypes- such as paranoid, hebephrenic, and catatonic-which research had shown to be diagnostically unstable over time, inconsistent between clinicians, and of limited value in predicting treatment outcomes or long-term course (Reed et al.,2019). Instead, ICD-11 adopts a hybrid categorical dimensional model: a core categorical threshold establishes the diagnosis, while complementary specifier detail </w:t>
      </w:r>
      <w:r w:rsidR="00C6089D">
        <w:rPr>
          <w:rFonts w:ascii="Arial" w:hAnsi="Arial" w:cs="Arial"/>
        </w:rPr>
        <w:t xml:space="preserve">illness course (first episode, </w:t>
      </w:r>
      <w:r w:rsidR="00C6089D">
        <w:rPr>
          <w:rFonts w:ascii="Arial" w:hAnsi="Arial" w:cs="Arial"/>
        </w:rPr>
        <w:lastRenderedPageBreak/>
        <w:t xml:space="preserve">multiple episodes, continuous), severity across symptom domains, and level of functional impairment (Stein et al.,2020). Catatonia, formerly treated as a subtype, is now recognised as a distinct however associated condition that may co-occur and be coded separately, representing a clinically significant refinement (Fink and Taylor, 2020). </w:t>
      </w:r>
    </w:p>
    <w:p w14:paraId="31D48C23" w14:textId="77777777" w:rsidR="00C6089D" w:rsidRDefault="00C6089D" w:rsidP="00420741">
      <w:pPr>
        <w:pStyle w:val="NoSpacing"/>
        <w:rPr>
          <w:rFonts w:ascii="Arial" w:hAnsi="Arial" w:cs="Arial"/>
        </w:rPr>
      </w:pPr>
    </w:p>
    <w:p w14:paraId="1D551659" w14:textId="7B165415" w:rsidR="00C6089D" w:rsidRPr="00BF6A94" w:rsidRDefault="00C6089D" w:rsidP="00420741">
      <w:pPr>
        <w:pStyle w:val="NoSpacing"/>
        <w:rPr>
          <w:rFonts w:ascii="Arial" w:hAnsi="Arial" w:cs="Arial"/>
          <w:b/>
          <w:bCs/>
          <w:color w:val="0F6FC6" w:themeColor="accent1"/>
        </w:rPr>
      </w:pPr>
      <w:r w:rsidRPr="00BF6A94">
        <w:rPr>
          <w:rFonts w:ascii="Arial" w:hAnsi="Arial" w:cs="Arial"/>
          <w:b/>
          <w:bCs/>
          <w:color w:val="0F6FC6" w:themeColor="accent1"/>
        </w:rPr>
        <w:t>Diagnostic Prosses</w:t>
      </w:r>
      <w:r w:rsidR="009323E9" w:rsidRPr="00BF6A94">
        <w:rPr>
          <w:rFonts w:ascii="Arial" w:hAnsi="Arial" w:cs="Arial"/>
          <w:b/>
          <w:bCs/>
          <w:color w:val="0F6FC6" w:themeColor="accent1"/>
        </w:rPr>
        <w:t xml:space="preserve"> </w:t>
      </w:r>
    </w:p>
    <w:p w14:paraId="18E9EE17" w14:textId="77777777" w:rsidR="00F81985" w:rsidRDefault="00F81985" w:rsidP="00420741">
      <w:pPr>
        <w:pStyle w:val="NoSpacing"/>
        <w:rPr>
          <w:rFonts w:ascii="Arial" w:hAnsi="Arial" w:cs="Arial"/>
          <w:b/>
          <w:bCs/>
        </w:rPr>
      </w:pPr>
    </w:p>
    <w:p w14:paraId="79B3AB8A" w14:textId="77777777" w:rsidR="00F81985" w:rsidRDefault="009323E9" w:rsidP="00420741">
      <w:pPr>
        <w:pStyle w:val="NoSpacing"/>
        <w:rPr>
          <w:rFonts w:ascii="Arial" w:hAnsi="Arial" w:cs="Arial"/>
        </w:rPr>
      </w:pPr>
      <w:r w:rsidRPr="009323E9">
        <w:rPr>
          <w:rFonts w:ascii="Arial" w:hAnsi="Arial" w:cs="Arial"/>
        </w:rPr>
        <w:t>Diagnosis in ICD-11 is fundamentally clinical a</w:t>
      </w:r>
      <w:r>
        <w:rPr>
          <w:rFonts w:ascii="Arial" w:hAnsi="Arial" w:cs="Arial"/>
        </w:rPr>
        <w:t xml:space="preserve">nd descriptive, grounded in observed experience and reported symptoms rather than reliant on biological testing or aetiological assumptions. The framework deliberately encourages individualised assessment, taking full account of cultural, social, and spiritual context before attributing pathological status to unusual beliefs or experiences </w:t>
      </w:r>
      <w:r w:rsidR="00F165EE">
        <w:rPr>
          <w:rFonts w:ascii="Arial" w:hAnsi="Arial" w:cs="Arial"/>
        </w:rPr>
        <w:t>(World</w:t>
      </w:r>
      <w:r>
        <w:rPr>
          <w:rFonts w:ascii="Arial" w:hAnsi="Arial" w:cs="Arial"/>
        </w:rPr>
        <w:t xml:space="preserve"> Health Organisation,2023). Clinicians are advised to conduct a holistic evaluation that includes the persons background, functioning, </w:t>
      </w:r>
      <w:r w:rsidR="00F165EE">
        <w:rPr>
          <w:rFonts w:ascii="Arial" w:hAnsi="Arial" w:cs="Arial"/>
        </w:rPr>
        <w:t xml:space="preserve">and developmental trajectory, alongside mental state examination. The process also requires active exclusion of alternative causes notably substance intoxication or withdrawal, delirium, mood disorders with psychotic features, and identifiable neurological or systemic medical conditions before confirming a diagnosis (Gaebel et al.,2020). ICD-11 further emphasises that diagnosis should not be treated as a </w:t>
      </w:r>
      <w:r w:rsidR="00F81985">
        <w:rPr>
          <w:rFonts w:ascii="Arial" w:hAnsi="Arial" w:cs="Arial"/>
        </w:rPr>
        <w:t>one-off</w:t>
      </w:r>
      <w:r w:rsidR="00F165EE">
        <w:rPr>
          <w:rFonts w:ascii="Arial" w:hAnsi="Arial" w:cs="Arial"/>
        </w:rPr>
        <w:t xml:space="preserve"> event; rather, it should be reviewed and refined over time as the clinical picture evolves, with course and severity updated </w:t>
      </w:r>
      <w:r w:rsidR="00F81985">
        <w:rPr>
          <w:rFonts w:ascii="Arial" w:hAnsi="Arial" w:cs="Arial"/>
        </w:rPr>
        <w:t xml:space="preserve">accordingly to support ongoing care planning (Reed et al.,2019). </w:t>
      </w:r>
    </w:p>
    <w:p w14:paraId="516AFF57" w14:textId="77777777" w:rsidR="00F81985" w:rsidRDefault="00F81985" w:rsidP="00420741">
      <w:pPr>
        <w:pStyle w:val="NoSpacing"/>
        <w:rPr>
          <w:rFonts w:ascii="Arial" w:hAnsi="Arial" w:cs="Arial"/>
        </w:rPr>
      </w:pPr>
    </w:p>
    <w:p w14:paraId="1E990A38" w14:textId="550B998A" w:rsidR="009323E9" w:rsidRPr="002932BA" w:rsidRDefault="00F81985" w:rsidP="00420741">
      <w:pPr>
        <w:pStyle w:val="NoSpacing"/>
        <w:rPr>
          <w:rFonts w:ascii="Arial" w:hAnsi="Arial" w:cs="Arial"/>
          <w:b/>
          <w:bCs/>
          <w:color w:val="00B0F0"/>
        </w:rPr>
      </w:pPr>
      <w:r w:rsidRPr="002932BA">
        <w:rPr>
          <w:rFonts w:ascii="Arial" w:hAnsi="Arial" w:cs="Arial"/>
          <w:b/>
          <w:bCs/>
          <w:color w:val="00B0F0"/>
        </w:rPr>
        <w:t xml:space="preserve">Diagnostic Criteria </w:t>
      </w:r>
    </w:p>
    <w:p w14:paraId="00940F29" w14:textId="2EFAA858" w:rsidR="00F81985" w:rsidRPr="009323E9" w:rsidRDefault="00F81985" w:rsidP="00420741">
      <w:pPr>
        <w:pStyle w:val="NoSpacing"/>
        <w:rPr>
          <w:rFonts w:ascii="Arial" w:hAnsi="Arial" w:cs="Arial"/>
        </w:rPr>
      </w:pPr>
    </w:p>
    <w:p w14:paraId="43C7D378" w14:textId="1FFAE3CE" w:rsidR="009176FF" w:rsidRDefault="00F81985" w:rsidP="00420741">
      <w:pPr>
        <w:pStyle w:val="NoSpacing"/>
        <w:rPr>
          <w:rFonts w:ascii="Arial" w:hAnsi="Arial" w:cs="Arial"/>
        </w:rPr>
      </w:pPr>
      <w:r>
        <w:rPr>
          <w:rFonts w:ascii="Arial" w:hAnsi="Arial" w:cs="Arial"/>
        </w:rPr>
        <w:t>To satisfy the diagnostic classification, a minimum threshold of symptoms must be reached and sustained. An individual must display at least two symptoms from seven recognised domains, with at least one of these coming from the four core categories: persistent delusions; persistent hallucinations; disorganised thinking and speech; or experiences of external control, passivity, or influence over thoughts, feelings, or actions</w:t>
      </w:r>
      <w:r w:rsidR="0077588A">
        <w:rPr>
          <w:rFonts w:ascii="Arial" w:hAnsi="Arial" w:cs="Arial"/>
        </w:rPr>
        <w:t>. Additional qualifying symptoms include negative symptoms such emotional withdrawal, lack of initiative, or lo</w:t>
      </w:r>
      <w:r w:rsidR="005D15A9">
        <w:rPr>
          <w:rFonts w:ascii="Arial" w:hAnsi="Arial" w:cs="Arial"/>
        </w:rPr>
        <w:t>ss of capacity for pleasure; grossly disorganised or unpredictable behaviour; and psychomotor disturbances. These features must be present most days for at least one month and must be accompanied by evidence of impact personal or social functioning. Experiences that occur briefly, or that are culturally accepted within the persons community, do not meet the criteria (World Health Organisation, 2023). This one-month duration threshold is notably shorter than the six-month requirement in the DSM system</w:t>
      </w:r>
      <w:r w:rsidR="009176FF">
        <w:rPr>
          <w:rFonts w:ascii="Arial" w:hAnsi="Arial" w:cs="Arial"/>
        </w:rPr>
        <w:t xml:space="preserve">, reflecting a deliberate policy of enabling earlier recognition and support, consistent with evidence that delay worsens long-term outcomes (Gaebel at al.,2020). </w:t>
      </w:r>
    </w:p>
    <w:p w14:paraId="24E12B97" w14:textId="77777777" w:rsidR="009176FF" w:rsidRDefault="009176FF" w:rsidP="00420741">
      <w:pPr>
        <w:pStyle w:val="NoSpacing"/>
        <w:rPr>
          <w:rFonts w:ascii="Arial" w:hAnsi="Arial" w:cs="Arial"/>
        </w:rPr>
      </w:pPr>
    </w:p>
    <w:p w14:paraId="7D3886CE" w14:textId="5F3CEE71" w:rsidR="009176FF" w:rsidRPr="00BF6A94" w:rsidRDefault="009176FF" w:rsidP="00420741">
      <w:pPr>
        <w:pStyle w:val="NoSpacing"/>
        <w:rPr>
          <w:rFonts w:ascii="Arial" w:hAnsi="Arial" w:cs="Arial"/>
          <w:b/>
          <w:bCs/>
          <w:color w:val="0F6FC6" w:themeColor="accent1"/>
        </w:rPr>
      </w:pPr>
      <w:r w:rsidRPr="00BF6A94">
        <w:rPr>
          <w:rFonts w:ascii="Arial" w:hAnsi="Arial" w:cs="Arial"/>
          <w:b/>
          <w:bCs/>
          <w:color w:val="0F6FC6" w:themeColor="accent1"/>
        </w:rPr>
        <w:t xml:space="preserve">Terminology Employed </w:t>
      </w:r>
    </w:p>
    <w:p w14:paraId="39737201" w14:textId="77777777" w:rsidR="009176FF" w:rsidRDefault="009176FF" w:rsidP="00420741">
      <w:pPr>
        <w:pStyle w:val="NoSpacing"/>
        <w:rPr>
          <w:rFonts w:ascii="Arial" w:hAnsi="Arial" w:cs="Arial"/>
          <w:b/>
          <w:bCs/>
        </w:rPr>
      </w:pPr>
    </w:p>
    <w:p w14:paraId="55DFC886" w14:textId="77777777" w:rsidR="009176FF" w:rsidRPr="009176FF" w:rsidRDefault="009176FF" w:rsidP="009176FF">
      <w:pPr>
        <w:pStyle w:val="NoSpacing"/>
      </w:pPr>
      <w:r w:rsidRPr="009176FF">
        <w:t xml:space="preserve">Throughout the classification, ICD-11 consistently designates schizophrenia as a </w:t>
      </w:r>
      <w:r w:rsidRPr="009176FF">
        <w:rPr>
          <w:rStyle w:val="Strong"/>
          <w:rFonts w:ascii="Arial" w:hAnsi="Arial" w:cs="Arial"/>
          <w:b w:val="0"/>
          <w:bCs w:val="0"/>
          <w:color w:val="000000"/>
        </w:rPr>
        <w:t>‘disorder’</w:t>
      </w:r>
      <w:r w:rsidRPr="009176FF">
        <w:t xml:space="preserve">. The terms ‘illnesses or ‘disease’ are deliberately avoided, reflecting an international consensus that no single definitive biological cause has been established and that the label should not imply a known pathological mechanism. The broader category is described as ‘Schizophrenia or other primary psychotic disorders’, while the word ‘condition’ appears only as a general term across the chapter rather than as a preferred designation. This linguistic choice is intended to reduce stigma, prevent the reification of the diagnosis as a well-defined biological entity, and support consistent application across diverse cultural and healthcare settings (World Health Organization, 2023; Reed et al., 2019). </w:t>
      </w:r>
    </w:p>
    <w:p w14:paraId="3FEA1217" w14:textId="77777777" w:rsidR="009176FF" w:rsidRDefault="009176FF" w:rsidP="00420741">
      <w:pPr>
        <w:pStyle w:val="NoSpacing"/>
        <w:rPr>
          <w:rFonts w:ascii="Arial" w:hAnsi="Arial" w:cs="Arial"/>
        </w:rPr>
      </w:pPr>
    </w:p>
    <w:p w14:paraId="6CBB737F" w14:textId="3C8B374D" w:rsidR="009176FF" w:rsidRDefault="009176FF" w:rsidP="00420741">
      <w:pPr>
        <w:pStyle w:val="NoSpacing"/>
        <w:rPr>
          <w:rFonts w:ascii="Arial" w:hAnsi="Arial" w:cs="Arial"/>
          <w:color w:val="0F6FC6" w:themeColor="accent1"/>
        </w:rPr>
      </w:pPr>
      <w:r w:rsidRPr="00BF6A94">
        <w:rPr>
          <w:rFonts w:ascii="Arial" w:hAnsi="Arial" w:cs="Arial"/>
          <w:color w:val="0F6FC6" w:themeColor="accent1"/>
        </w:rPr>
        <w:t xml:space="preserve">Treatment and Rehabilitation </w:t>
      </w:r>
    </w:p>
    <w:p w14:paraId="1C6E1B56" w14:textId="77777777" w:rsidR="00BF6A94" w:rsidRPr="00BF6A94" w:rsidRDefault="00BF6A94" w:rsidP="00420741">
      <w:pPr>
        <w:pStyle w:val="NoSpacing"/>
        <w:rPr>
          <w:rFonts w:ascii="Arial" w:hAnsi="Arial" w:cs="Arial"/>
          <w:color w:val="0F6FC6" w:themeColor="accent1"/>
        </w:rPr>
      </w:pPr>
    </w:p>
    <w:p w14:paraId="3780E699" w14:textId="2FC958A7" w:rsidR="00C6089D" w:rsidRPr="00BF6A94" w:rsidRDefault="005D15A9" w:rsidP="00420741">
      <w:pPr>
        <w:pStyle w:val="NoSpacing"/>
        <w:rPr>
          <w:rFonts w:ascii="Arial" w:hAnsi="Arial" w:cs="Arial"/>
          <w:b/>
          <w:bCs/>
        </w:rPr>
      </w:pPr>
      <w:r w:rsidRPr="00BF6A94">
        <w:rPr>
          <w:rFonts w:ascii="Arial" w:hAnsi="Arial" w:cs="Arial"/>
          <w:b/>
          <w:bCs/>
        </w:rPr>
        <w:t xml:space="preserve"> </w:t>
      </w:r>
      <w:r w:rsidR="009176FF" w:rsidRPr="00BF6A94">
        <w:rPr>
          <w:rFonts w:ascii="Arial" w:hAnsi="Arial" w:cs="Arial"/>
          <w:b/>
          <w:bCs/>
        </w:rPr>
        <w:t xml:space="preserve">Standard Treatment Approaches </w:t>
      </w:r>
    </w:p>
    <w:p w14:paraId="6947EF5F" w14:textId="77777777" w:rsidR="009176FF" w:rsidRDefault="009176FF" w:rsidP="00420741">
      <w:pPr>
        <w:pStyle w:val="NoSpacing"/>
        <w:rPr>
          <w:rFonts w:ascii="Arial" w:hAnsi="Arial" w:cs="Arial"/>
        </w:rPr>
      </w:pPr>
    </w:p>
    <w:p w14:paraId="063A533C" w14:textId="77777777" w:rsidR="009176FF" w:rsidRPr="009176FF" w:rsidRDefault="009176FF" w:rsidP="009176FF">
      <w:pPr>
        <w:pStyle w:val="NoSpacing"/>
      </w:pPr>
      <w:r w:rsidRPr="009176FF">
        <w:lastRenderedPageBreak/>
        <w:t xml:space="preserve">ICD-11 functions primarily as a diagnostic and classification framework rather than a prescriptive care manual, yet its structure aligns with widely accepted international treatment models. </w:t>
      </w:r>
      <w:r w:rsidRPr="009176FF">
        <w:rPr>
          <w:rStyle w:val="Strong"/>
          <w:rFonts w:ascii="Arial" w:hAnsi="Arial" w:cs="Arial"/>
          <w:b w:val="0"/>
          <w:bCs w:val="0"/>
          <w:color w:val="000000"/>
        </w:rPr>
        <w:t>Antipsychotic medication</w:t>
      </w:r>
      <w:r w:rsidRPr="009176FF">
        <w:t xml:space="preserve"> — particularly second-generation agents — remains the first-line pharmacological intervention, showing greatest efficacy in reducing positive symptoms such as delusions and hallucinations. However, these medications are substantially less effective for negative symptoms and cognitive impairments, and they carry notable risks including weight gain, metabolic disturbance, and extrapyramidal side effects (Leucht et al., 2021). In the United Kingdom, the National Institute for Health and Care Excellence (NICE) recommends that medication be delivered alongside structured psychosocial interventions, including cognitive behavioural therapy for psychosis (CBT-p), family involvement, and vocational support; evidence indicates that combined care improves recovery rates and reduces hospital readmission far more effectively than medication alone (National Institute for Health and Care Excellence, 2020). Long-acting injectable antipsychotics are also recommended for those who struggle with adherence, with trials demonstrating an approximate 30</w:t>
      </w:r>
      <w:r w:rsidRPr="009176FF">
        <w:rPr>
          <w:rFonts w:ascii="Arial" w:hAnsi="Arial" w:cs="Arial"/>
        </w:rPr>
        <w:t> </w:t>
      </w:r>
      <w:r w:rsidRPr="009176FF">
        <w:t xml:space="preserve">% reduction in relapse compared with oral formulations (Kane et al., 2019) </w:t>
      </w:r>
    </w:p>
    <w:p w14:paraId="1319A5B8" w14:textId="77777777" w:rsidR="009176FF" w:rsidRDefault="009176FF" w:rsidP="00420741">
      <w:pPr>
        <w:pStyle w:val="NoSpacing"/>
        <w:rPr>
          <w:rFonts w:ascii="Arial" w:hAnsi="Arial" w:cs="Arial"/>
        </w:rPr>
      </w:pPr>
    </w:p>
    <w:p w14:paraId="302C7CAC" w14:textId="128BE442" w:rsidR="004D51F4" w:rsidRPr="00BF6A94" w:rsidRDefault="004D51F4" w:rsidP="00420741">
      <w:pPr>
        <w:pStyle w:val="NoSpacing"/>
        <w:rPr>
          <w:rFonts w:ascii="Arial" w:hAnsi="Arial" w:cs="Arial"/>
          <w:b/>
          <w:bCs/>
          <w:color w:val="0F6FC6" w:themeColor="accent1"/>
        </w:rPr>
      </w:pPr>
      <w:r w:rsidRPr="00BF6A94">
        <w:rPr>
          <w:rFonts w:ascii="Arial" w:hAnsi="Arial" w:cs="Arial"/>
          <w:b/>
          <w:bCs/>
          <w:color w:val="0F6FC6" w:themeColor="accent1"/>
        </w:rPr>
        <w:t xml:space="preserve">Rehabilitation Measure in ICD-11 and Practice </w:t>
      </w:r>
    </w:p>
    <w:p w14:paraId="3E68C403" w14:textId="77777777" w:rsidR="004D51F4" w:rsidRDefault="004D51F4" w:rsidP="00420741">
      <w:pPr>
        <w:pStyle w:val="NoSpacing"/>
        <w:rPr>
          <w:rFonts w:ascii="Arial" w:hAnsi="Arial" w:cs="Arial"/>
        </w:rPr>
      </w:pPr>
    </w:p>
    <w:p w14:paraId="44F8D3EA" w14:textId="77777777" w:rsidR="004D51F4" w:rsidRPr="004D51F4" w:rsidRDefault="004D51F4" w:rsidP="004D51F4">
      <w:pPr>
        <w:pStyle w:val="NoSpacing"/>
      </w:pPr>
      <w:r w:rsidRPr="004D51F4">
        <w:t xml:space="preserve">By replacing rigid subtyping with dimensional assessments of severity, course, and functional impact, ICD-11 creates a structure that inherently supports </w:t>
      </w:r>
      <w:r w:rsidRPr="004D51F4">
        <w:rPr>
          <w:rStyle w:val="Strong"/>
          <w:rFonts w:ascii="Arial" w:hAnsi="Arial" w:cs="Arial"/>
          <w:b w:val="0"/>
          <w:bCs w:val="0"/>
          <w:color w:val="000000"/>
        </w:rPr>
        <w:t>person-centred rehabilitation</w:t>
      </w:r>
      <w:r w:rsidRPr="004D51F4">
        <w:t xml:space="preserve"> rather than symptom-focused care alone. In clinical practice, this translates to interventions such as social skills development, cognitive remediation therapy, supported employment, and community reintegration — all of which are associated with improved long-term functioning and quality of life (Killackey et al., 2019). Because ICD-11 enables functional impairment to be coded independently of symptoms, it also facilitates cross-agency care planning and progress monitoring over time. In practice, however, such comprehensive rehabilitation services remain unevenly distributed. Supported employment schemes, for instance, have demonstrated high success rates where available, yet access is strongly correlated with national wealth and service infrastructure (Thornicroft et al., 2020). </w:t>
      </w:r>
    </w:p>
    <w:p w14:paraId="4A97D053" w14:textId="77777777" w:rsidR="004D51F4" w:rsidRDefault="004D51F4" w:rsidP="00420741">
      <w:pPr>
        <w:pStyle w:val="NoSpacing"/>
        <w:rPr>
          <w:rFonts w:ascii="Arial" w:hAnsi="Arial" w:cs="Arial"/>
        </w:rPr>
      </w:pPr>
    </w:p>
    <w:p w14:paraId="75617F3A" w14:textId="3A8AFFF1" w:rsidR="004D51F4" w:rsidRPr="00BF6A94" w:rsidRDefault="004D51F4" w:rsidP="00420741">
      <w:pPr>
        <w:pStyle w:val="NoSpacing"/>
        <w:rPr>
          <w:rFonts w:ascii="Arial" w:hAnsi="Arial" w:cs="Arial"/>
          <w:b/>
          <w:bCs/>
          <w:color w:val="0F6FC6" w:themeColor="accent1"/>
        </w:rPr>
      </w:pPr>
      <w:r w:rsidRPr="00BF6A94">
        <w:rPr>
          <w:rFonts w:ascii="Arial" w:hAnsi="Arial" w:cs="Arial"/>
          <w:b/>
          <w:bCs/>
          <w:color w:val="0F6FC6" w:themeColor="accent1"/>
        </w:rPr>
        <w:t xml:space="preserve">Effectiveness and Limitation of Current Approaches </w:t>
      </w:r>
    </w:p>
    <w:p w14:paraId="18592FF7" w14:textId="77777777" w:rsidR="004D51F4" w:rsidRDefault="004D51F4" w:rsidP="00420741">
      <w:pPr>
        <w:pStyle w:val="NoSpacing"/>
        <w:rPr>
          <w:rFonts w:ascii="Arial" w:hAnsi="Arial" w:cs="Arial"/>
        </w:rPr>
      </w:pPr>
    </w:p>
    <w:p w14:paraId="3A923BA3" w14:textId="77777777" w:rsidR="004D51F4" w:rsidRPr="00C02FB2" w:rsidRDefault="004D51F4" w:rsidP="004D51F4">
      <w:pPr>
        <w:pStyle w:val="NoSpacing"/>
      </w:pPr>
      <w:r w:rsidRPr="00C02FB2">
        <w:t>Antipsychotic medication produces measurable improvement in roughly 70</w:t>
      </w:r>
      <w:r w:rsidRPr="00C02FB2">
        <w:rPr>
          <w:rFonts w:ascii="Arial" w:hAnsi="Arial" w:cs="Arial"/>
        </w:rPr>
        <w:t> </w:t>
      </w:r>
      <w:r w:rsidRPr="00C02FB2">
        <w:t>% of individuals during acute episodes, yet approximately 30</w:t>
      </w:r>
      <w:r w:rsidRPr="00C02FB2">
        <w:rPr>
          <w:rFonts w:ascii="Arial" w:hAnsi="Arial" w:cs="Arial"/>
        </w:rPr>
        <w:t> </w:t>
      </w:r>
      <w:r w:rsidRPr="00C02FB2">
        <w:t xml:space="preserve">% show limited response, and negative symptoms remain particularly resistant to pharmacological treatment (Leucht et al., 2021). Psychological therapies are consistently effective when provided, but workforce shortages and resource constraints mean they are unavailable to the majority of people diagnosed with schizophrenia globally. This disparity is especially pronounced in low- and middle-income countries, where ICD-11’s simplified diagnostic criteria were designed specifically to widen access to care — creating a significant gap between classification intent and on-the-ground service capacity (Saxena et al., 2019). Rehabilitation outcomes similarly vary according to resource availability; while the ICD-11 framework supports comprehensive recovery-oriented care, its full potential is rarely realised without corresponding investment in community-based support systems. </w:t>
      </w:r>
    </w:p>
    <w:p w14:paraId="67DE4432" w14:textId="77777777" w:rsidR="004D51F4" w:rsidRPr="004D51F4" w:rsidRDefault="004D51F4" w:rsidP="00420741">
      <w:pPr>
        <w:pStyle w:val="NoSpacing"/>
        <w:rPr>
          <w:rFonts w:ascii="Arial" w:hAnsi="Arial" w:cs="Arial"/>
        </w:rPr>
      </w:pPr>
    </w:p>
    <w:p w14:paraId="13A4FB15" w14:textId="06150914" w:rsidR="009323E9" w:rsidRDefault="004D51F4" w:rsidP="00420741">
      <w:pPr>
        <w:pStyle w:val="NoSpacing"/>
        <w:rPr>
          <w:rFonts w:ascii="Arial" w:hAnsi="Arial" w:cs="Arial"/>
          <w:b/>
          <w:bCs/>
          <w:color w:val="0F6FC6" w:themeColor="accent1"/>
        </w:rPr>
      </w:pPr>
      <w:r w:rsidRPr="00BF6A94">
        <w:rPr>
          <w:rFonts w:ascii="Arial" w:hAnsi="Arial" w:cs="Arial"/>
          <w:b/>
          <w:bCs/>
          <w:color w:val="0F6FC6" w:themeColor="accent1"/>
        </w:rPr>
        <w:t>Current Debates and Emerging Issue</w:t>
      </w:r>
    </w:p>
    <w:p w14:paraId="6D85F0C4" w14:textId="77777777" w:rsidR="00BF6A94" w:rsidRPr="00BF6A94" w:rsidRDefault="00BF6A94" w:rsidP="00420741">
      <w:pPr>
        <w:pStyle w:val="NoSpacing"/>
        <w:rPr>
          <w:rFonts w:ascii="Arial" w:hAnsi="Arial" w:cs="Arial"/>
          <w:b/>
          <w:bCs/>
          <w:color w:val="0F6FC6" w:themeColor="accent1"/>
        </w:rPr>
      </w:pPr>
    </w:p>
    <w:p w14:paraId="5262E6BD" w14:textId="7B21A930" w:rsidR="00C6089D" w:rsidRPr="00BF6A94" w:rsidRDefault="004D51F4" w:rsidP="00420741">
      <w:pPr>
        <w:pStyle w:val="NoSpacing"/>
        <w:rPr>
          <w:rFonts w:ascii="Arial" w:hAnsi="Arial" w:cs="Arial"/>
          <w:b/>
          <w:bCs/>
        </w:rPr>
      </w:pPr>
      <w:r w:rsidRPr="00BF6A94">
        <w:rPr>
          <w:rFonts w:ascii="Arial" w:hAnsi="Arial" w:cs="Arial"/>
          <w:b/>
          <w:bCs/>
        </w:rPr>
        <w:t xml:space="preserve">Debates Surrounding Classification and Diagnosis </w:t>
      </w:r>
    </w:p>
    <w:p w14:paraId="0E7848D0" w14:textId="77777777" w:rsidR="004D51F4" w:rsidRDefault="004D51F4" w:rsidP="00420741">
      <w:pPr>
        <w:pStyle w:val="NoSpacing"/>
        <w:rPr>
          <w:rFonts w:ascii="Arial" w:hAnsi="Arial" w:cs="Arial"/>
        </w:rPr>
      </w:pPr>
    </w:p>
    <w:p w14:paraId="59569DFD" w14:textId="77777777" w:rsidR="00FD4731" w:rsidRDefault="004D51F4" w:rsidP="004D51F4">
      <w:pPr>
        <w:pStyle w:val="NoSpacing"/>
      </w:pPr>
      <w:r w:rsidRPr="004D51F4">
        <w:t xml:space="preserve">A fundamental ongoing debate concerns whether schizophrenia should continue to exist as a distinct diagnostic category. Critics point to the absence of any confirmed biological marker, extensive symptom overlap with other psychotic and mood conditions, and the </w:t>
      </w:r>
      <w:r w:rsidRPr="004D51F4">
        <w:lastRenderedPageBreak/>
        <w:t xml:space="preserve">significant heterogeneity of presentations — arguing that the label may be more stigmatising than scientifically useful and that it artificially divides a continuous spectrum of experiences (van </w:t>
      </w:r>
      <w:proofErr w:type="spellStart"/>
      <w:r w:rsidRPr="004D51F4">
        <w:t>Os</w:t>
      </w:r>
      <w:proofErr w:type="spellEnd"/>
      <w:r w:rsidRPr="004D51F4">
        <w:t xml:space="preserve"> and Guloksuz, 2019). Supporters maintain that the category retains sufficient clinical coherence and utility to justify continued use, particularly in guiding communication between professionals and informing service planning. ICD-11 attempts to reconcile these positions by strengthening the spectrum-oriented structure while retaining the diagnosis itself, supplemented by flexible specifiers that capture dimensional variation (Reed et al., 2019). Further debate surrounds the one-month duration criterion: some clinicians argue it may increase the risk of over-diagnosis, whereas accumulating evidence suggests that shorter thresholds substantially improve outcomes by enabling earlier intervention (Gaebel et al., 2020). </w:t>
      </w:r>
    </w:p>
    <w:p w14:paraId="70269A5A" w14:textId="77777777" w:rsidR="00FD4731" w:rsidRPr="00FD4731" w:rsidRDefault="00FD4731" w:rsidP="004D51F4">
      <w:pPr>
        <w:pStyle w:val="NoSpacing"/>
        <w:rPr>
          <w:rFonts w:ascii="Arial" w:hAnsi="Arial" w:cs="Arial"/>
        </w:rPr>
      </w:pPr>
    </w:p>
    <w:p w14:paraId="68406535" w14:textId="77777777" w:rsidR="00FD4731" w:rsidRPr="00BF6A94" w:rsidRDefault="00FD4731" w:rsidP="004D51F4">
      <w:pPr>
        <w:pStyle w:val="NoSpacing"/>
        <w:rPr>
          <w:rFonts w:ascii="Arial" w:hAnsi="Arial" w:cs="Arial"/>
          <w:color w:val="0F6FC6" w:themeColor="accent1"/>
        </w:rPr>
      </w:pPr>
      <w:r w:rsidRPr="00BF6A94">
        <w:rPr>
          <w:rFonts w:ascii="Arial" w:hAnsi="Arial" w:cs="Arial"/>
          <w:b/>
          <w:bCs/>
          <w:color w:val="0F6FC6" w:themeColor="accent1"/>
        </w:rPr>
        <w:t xml:space="preserve">Neurodivergences and Reclassification </w:t>
      </w:r>
    </w:p>
    <w:p w14:paraId="495065D6" w14:textId="77777777" w:rsidR="00FD4731" w:rsidRDefault="00FD4731" w:rsidP="004D51F4">
      <w:pPr>
        <w:pStyle w:val="NoSpacing"/>
        <w:rPr>
          <w:rFonts w:ascii="Arial" w:hAnsi="Arial" w:cs="Arial"/>
        </w:rPr>
      </w:pPr>
    </w:p>
    <w:p w14:paraId="1952338F" w14:textId="77777777" w:rsidR="00FD4731" w:rsidRDefault="00FD4731" w:rsidP="00FD4731">
      <w:pPr>
        <w:pStyle w:val="NoSpacing"/>
      </w:pPr>
      <w:r w:rsidRPr="00FD4731">
        <w:t xml:space="preserve">An increasingly prominent discussion considers whether schizophrenia should be understood partly through the lens of </w:t>
      </w:r>
      <w:r w:rsidRPr="00FD4731">
        <w:rPr>
          <w:rStyle w:val="Strong"/>
          <w:rFonts w:ascii="Arial" w:hAnsi="Arial" w:cs="Arial"/>
          <w:b w:val="0"/>
          <w:bCs w:val="0"/>
          <w:color w:val="000000"/>
        </w:rPr>
        <w:t>neurodivergence</w:t>
      </w:r>
      <w:r w:rsidRPr="00FD4731">
        <w:t xml:space="preserve"> — a perspective that frames certain cognitive and perceptual differences as natural human variation rather than purely pathological deficit, analogous to evolving understandings of autism and attention deficit hyperactivity disorder (ADHD). Proponents argue that this shift reduces stigma, validates lived experience, and highlights strengths alongside areas of difficulty. Critics caution that such reframing must not obscure the significant distress, impairment, and mortality associated with severe psychotic symptoms, nor undermine access to evidence-based clinical care (Spiegel and Coppinger, 2022). ICD-11 does not explicitly adopt neurodivergence terminology, yet several of its revisions — the removal of rigid subtypes, the emphasis on cultural context, and the avoidance of language implying permanent biological defect — move implicitly in this direction. Calls to reclassify schizophrenia formally as a ‘psychosis spectrum condition’ have grown louder, though the WHO has thus far retained the established diagnosis while refining its accompanying description (Fusar-Poli et al., 2021). </w:t>
      </w:r>
    </w:p>
    <w:p w14:paraId="6FFFB4DD" w14:textId="77777777" w:rsidR="00FD4731" w:rsidRDefault="00FD4731" w:rsidP="00FD4731">
      <w:pPr>
        <w:pStyle w:val="NoSpacing"/>
      </w:pPr>
    </w:p>
    <w:p w14:paraId="5798002C" w14:textId="6FCB5621" w:rsidR="00FD4731" w:rsidRPr="00BF6A94" w:rsidRDefault="00FD4731" w:rsidP="00FD4731">
      <w:pPr>
        <w:pStyle w:val="NoSpacing"/>
        <w:rPr>
          <w:rFonts w:ascii="Arial" w:hAnsi="Arial" w:cs="Arial"/>
          <w:b/>
          <w:bCs/>
          <w:color w:val="0F6FC6" w:themeColor="accent1"/>
        </w:rPr>
      </w:pPr>
      <w:r w:rsidRPr="00BF6A94">
        <w:rPr>
          <w:rFonts w:ascii="Arial" w:hAnsi="Arial" w:cs="Arial"/>
          <w:b/>
          <w:bCs/>
          <w:color w:val="0F6FC6" w:themeColor="accent1"/>
        </w:rPr>
        <w:t xml:space="preserve">Implication for Practice and Policy </w:t>
      </w:r>
    </w:p>
    <w:p w14:paraId="6D1E6F56" w14:textId="097785B0" w:rsidR="004D51F4" w:rsidRPr="00BF6A94" w:rsidRDefault="004D51F4" w:rsidP="004D51F4">
      <w:pPr>
        <w:pStyle w:val="NoSpacing"/>
        <w:rPr>
          <w:b/>
          <w:bCs/>
          <w:color w:val="0F6FC6" w:themeColor="accent1"/>
        </w:rPr>
      </w:pPr>
      <w:r w:rsidRPr="00BF6A94">
        <w:rPr>
          <w:b/>
          <w:bCs/>
          <w:color w:val="0F6FC6" w:themeColor="accent1"/>
        </w:rPr>
        <w:t xml:space="preserve"> </w:t>
      </w:r>
    </w:p>
    <w:p w14:paraId="7834936E" w14:textId="77777777" w:rsidR="00FD4731" w:rsidRDefault="00FD4731" w:rsidP="00FD4731">
      <w:pPr>
        <w:pStyle w:val="NoSpacing"/>
        <w:rPr>
          <w:rFonts w:ascii="Arial" w:hAnsi="Arial" w:cs="Arial"/>
        </w:rPr>
      </w:pPr>
      <w:r w:rsidRPr="00FD4731">
        <w:rPr>
          <w:rFonts w:ascii="Arial" w:hAnsi="Arial" w:cs="Arial"/>
        </w:rPr>
        <w:t xml:space="preserve">These debates create practical tensions for clinicians and policymakers. ICD-11’s hybrid model better reflects contemporary research but requires additional training and assessment time to implement fully, meaning many services continue to rely on simpler categorical checklists originally designed for administrative and funding purposes. This divergence between classification science and service organisation can hinder both diagnostic accuracy and care planning (Thornicroft et al., 2020). The neurodivergence debate further complicates policy frameworks, which have historically been built around a medical model of deficit and cure. Adopting a broader perspective would require greater emphasis on civil rights, reasonable adjustments, peer support, and recovery-oriented legislation — changes that remain unevenly embedded within national mental health strategies (Corrigan et al., 2022). </w:t>
      </w:r>
    </w:p>
    <w:p w14:paraId="5642D416" w14:textId="77777777" w:rsidR="00FD4731" w:rsidRDefault="00FD4731" w:rsidP="00FD4731">
      <w:pPr>
        <w:pStyle w:val="NoSpacing"/>
        <w:rPr>
          <w:rFonts w:ascii="Arial" w:hAnsi="Arial" w:cs="Arial"/>
        </w:rPr>
      </w:pPr>
    </w:p>
    <w:p w14:paraId="16DD1001" w14:textId="41A367CD" w:rsidR="00FD4731" w:rsidRPr="002932BA" w:rsidRDefault="00FD4731" w:rsidP="00FD4731">
      <w:pPr>
        <w:pStyle w:val="NoSpacing"/>
        <w:rPr>
          <w:rFonts w:ascii="Arial" w:hAnsi="Arial" w:cs="Arial"/>
          <w:b/>
          <w:bCs/>
          <w:color w:val="0F6FC6" w:themeColor="accent1"/>
        </w:rPr>
      </w:pPr>
      <w:r w:rsidRPr="002932BA">
        <w:rPr>
          <w:rFonts w:ascii="Arial" w:hAnsi="Arial" w:cs="Arial"/>
          <w:b/>
          <w:bCs/>
          <w:color w:val="0F6FC6" w:themeColor="accent1"/>
        </w:rPr>
        <w:t xml:space="preserve">Recommendations </w:t>
      </w:r>
    </w:p>
    <w:p w14:paraId="14762DB4" w14:textId="77777777" w:rsidR="00FD4731" w:rsidRPr="002932BA" w:rsidRDefault="00FD4731" w:rsidP="00FD4731">
      <w:pPr>
        <w:pStyle w:val="NoSpacing"/>
        <w:rPr>
          <w:rFonts w:ascii="Arial" w:hAnsi="Arial" w:cs="Arial"/>
          <w:b/>
          <w:bCs/>
          <w:color w:val="0F6FC6" w:themeColor="accent1"/>
        </w:rPr>
      </w:pPr>
    </w:p>
    <w:p w14:paraId="4083776A" w14:textId="2A58907E" w:rsidR="00FD4731" w:rsidRPr="002932BA" w:rsidRDefault="00FD4731" w:rsidP="00FD4731">
      <w:pPr>
        <w:pStyle w:val="NoSpacing"/>
        <w:rPr>
          <w:rFonts w:ascii="Arial" w:hAnsi="Arial" w:cs="Arial"/>
          <w:b/>
          <w:bCs/>
        </w:rPr>
      </w:pPr>
      <w:r w:rsidRPr="002932BA">
        <w:rPr>
          <w:rFonts w:ascii="Arial" w:hAnsi="Arial" w:cs="Arial"/>
          <w:b/>
          <w:bCs/>
        </w:rPr>
        <w:t xml:space="preserve">Classification and Diagnosis </w:t>
      </w:r>
    </w:p>
    <w:p w14:paraId="3C4C42F5" w14:textId="77777777" w:rsidR="00FD4731" w:rsidRDefault="00FD4731" w:rsidP="00FD4731">
      <w:pPr>
        <w:pStyle w:val="NoSpacing"/>
        <w:rPr>
          <w:rFonts w:ascii="Arial" w:hAnsi="Arial" w:cs="Arial"/>
        </w:rPr>
      </w:pPr>
    </w:p>
    <w:p w14:paraId="10447C3F" w14:textId="2C64C580" w:rsidR="00FD4731" w:rsidRDefault="00FD4731" w:rsidP="00FD4731">
      <w:pPr>
        <w:pStyle w:val="NoSpacing"/>
      </w:pPr>
      <w:r w:rsidRPr="00FD4731">
        <w:t xml:space="preserve">First, it is recommended that the World Health Organization explicitly and consistently position schizophrenia within the broader ‘psychosis spectrum’ in all guidance and educational materials, helping to reduce stigma and align public understanding with current scientific understanding. Second, additional guidance should be developed to help clinicians distinguish symptoms that indicate a disorder from beliefs and experiences that are culturally or spiritually accepted, or that reflect neurodivergent traits — an area where ICD-11 currently offers only general direction. Third, freely available digital tools </w:t>
      </w:r>
      <w:r w:rsidRPr="00FD4731">
        <w:lastRenderedPageBreak/>
        <w:t>and standardised training should be provided to support consistent use of the full range of descriptive specifiers across all settings, ensuring that the classification is used to improve care rather than simply as a coding system (Gaebel et al., 2020; World Health Organization, 2023).</w:t>
      </w:r>
      <w:r>
        <w:t xml:space="preserve"> </w:t>
      </w:r>
    </w:p>
    <w:p w14:paraId="06839E70" w14:textId="77777777" w:rsidR="00FD4731" w:rsidRDefault="00FD4731" w:rsidP="00FD4731">
      <w:pPr>
        <w:pStyle w:val="NoSpacing"/>
      </w:pPr>
    </w:p>
    <w:p w14:paraId="0050B562" w14:textId="265047D0" w:rsidR="00FD4731" w:rsidRPr="002932BA" w:rsidRDefault="00FD4731" w:rsidP="00FD4731">
      <w:pPr>
        <w:pStyle w:val="NoSpacing"/>
        <w:rPr>
          <w:rFonts w:ascii="Arial" w:hAnsi="Arial" w:cs="Arial"/>
          <w:color w:val="0F6FC6" w:themeColor="accent1"/>
        </w:rPr>
      </w:pPr>
      <w:r w:rsidRPr="002932BA">
        <w:rPr>
          <w:rFonts w:ascii="Arial" w:hAnsi="Arial" w:cs="Arial"/>
          <w:b/>
          <w:bCs/>
          <w:color w:val="0F6FC6" w:themeColor="accent1"/>
        </w:rPr>
        <w:t xml:space="preserve">Treatment and </w:t>
      </w:r>
      <w:r w:rsidR="00E13732" w:rsidRPr="002932BA">
        <w:rPr>
          <w:rFonts w:ascii="Arial" w:hAnsi="Arial" w:cs="Arial"/>
          <w:b/>
          <w:bCs/>
          <w:color w:val="0F6FC6" w:themeColor="accent1"/>
        </w:rPr>
        <w:t>Rehabilitation</w:t>
      </w:r>
      <w:r w:rsidRPr="002932BA">
        <w:rPr>
          <w:rFonts w:ascii="Arial" w:hAnsi="Arial" w:cs="Arial"/>
          <w:b/>
          <w:bCs/>
          <w:color w:val="0F6FC6" w:themeColor="accent1"/>
        </w:rPr>
        <w:t xml:space="preserve"> </w:t>
      </w:r>
    </w:p>
    <w:p w14:paraId="523454A7" w14:textId="77777777" w:rsidR="00E13732" w:rsidRDefault="00E13732" w:rsidP="00FD4731">
      <w:pPr>
        <w:pStyle w:val="NoSpacing"/>
        <w:rPr>
          <w:rFonts w:ascii="Arial" w:hAnsi="Arial" w:cs="Arial"/>
        </w:rPr>
      </w:pPr>
    </w:p>
    <w:p w14:paraId="4F82893E" w14:textId="77777777" w:rsidR="00E13732" w:rsidRPr="00E13732" w:rsidRDefault="00E13732" w:rsidP="00E13732">
      <w:pPr>
        <w:pStyle w:val="NoSpacing"/>
        <w:rPr>
          <w:rFonts w:ascii="Arial" w:hAnsi="Arial" w:cs="Arial"/>
        </w:rPr>
      </w:pPr>
      <w:r w:rsidRPr="00E13732">
        <w:rPr>
          <w:rFonts w:ascii="Arial" w:hAnsi="Arial" w:cs="Arial"/>
        </w:rPr>
        <w:t xml:space="preserve">National governments and health bodies should ensure that access to psychological and social support is guaranteed alongside medication, with funding arrangements explicitly linked to the delivery of evidence-based care such as cognitive therapy, family support, and help with employment. Combined approaches are accepted as the gold standard by clinical experts yet remain unavailable to most people. Additionally, rehabilitation guidance should be updated to reflect ICD-11’s focus on daily function and personal recovery, placing greater emphasis on individual goals, peer support, and reasonable adjustments, and recognising that many people live well while continuing to experience some symptoms. Finally, substantially increased investment is needed to develop treatments that address the symptoms most closely linked to long-term disability — those affecting motivation, emotional experience, and cognitive ability — which remain the hardest to treat (National Institute for Health and Care Excellence, 2020; Leucht et al., 2021). </w:t>
      </w:r>
    </w:p>
    <w:p w14:paraId="734A7DB8" w14:textId="77777777" w:rsidR="00E13732" w:rsidRDefault="00E13732" w:rsidP="00FD4731">
      <w:pPr>
        <w:pStyle w:val="NoSpacing"/>
        <w:rPr>
          <w:rFonts w:ascii="Arial" w:hAnsi="Arial" w:cs="Arial"/>
        </w:rPr>
      </w:pPr>
    </w:p>
    <w:p w14:paraId="5235E650" w14:textId="2EB540EF" w:rsidR="00E13732" w:rsidRPr="002932BA" w:rsidRDefault="00E13732" w:rsidP="00FD4731">
      <w:pPr>
        <w:pStyle w:val="NoSpacing"/>
        <w:rPr>
          <w:rFonts w:ascii="Arial" w:hAnsi="Arial" w:cs="Arial"/>
          <w:b/>
          <w:bCs/>
          <w:color w:val="0F6FC6" w:themeColor="accent1"/>
        </w:rPr>
      </w:pPr>
      <w:r w:rsidRPr="002932BA">
        <w:rPr>
          <w:rFonts w:ascii="Arial" w:hAnsi="Arial" w:cs="Arial"/>
          <w:b/>
          <w:bCs/>
          <w:color w:val="0F6FC6" w:themeColor="accent1"/>
        </w:rPr>
        <w:t xml:space="preserve">Implications </w:t>
      </w:r>
    </w:p>
    <w:p w14:paraId="3C13DC07" w14:textId="77777777" w:rsidR="00FD4731" w:rsidRPr="00FD4731" w:rsidRDefault="00FD4731" w:rsidP="00FD4731">
      <w:pPr>
        <w:pStyle w:val="NoSpacing"/>
        <w:rPr>
          <w:rFonts w:ascii="Arial" w:hAnsi="Arial" w:cs="Arial"/>
        </w:rPr>
      </w:pPr>
    </w:p>
    <w:p w14:paraId="2C38D610" w14:textId="77777777" w:rsidR="00E13732" w:rsidRDefault="00E13732" w:rsidP="00E13732">
      <w:pPr>
        <w:pStyle w:val="NoSpacing"/>
      </w:pPr>
      <w:r w:rsidRPr="00E13732">
        <w:t xml:space="preserve">For clinical practice, these changes mean moving away from simple symptom checklists toward a fuller understanding of the person, their circumstances, and their priorities for recovery. For policymakers, they suggest shifting from payment systems based solely on diagnosis toward funding based on needs and measured outcomes, using ICD-11’s descriptive framework to track real improvement in people’s lives. For researchers, the standardised structure of ICD-11 creates an unprecedented opportunity to carry out international studies across the full spectrum of psychotic experiences, including exploration of how neurodivergence perspectives can be integrated without compromising clinical care (Fusar-Poli et al., 2021). </w:t>
      </w:r>
    </w:p>
    <w:p w14:paraId="0E152EAA" w14:textId="77777777" w:rsidR="00E13732" w:rsidRDefault="00E13732" w:rsidP="00E13732">
      <w:pPr>
        <w:pStyle w:val="NoSpacing"/>
      </w:pPr>
    </w:p>
    <w:p w14:paraId="276718E4" w14:textId="05D88F13" w:rsidR="00E13732" w:rsidRDefault="00E13732" w:rsidP="00E13732">
      <w:pPr>
        <w:pStyle w:val="NoSpacing"/>
        <w:rPr>
          <w:rFonts w:ascii="Arial" w:hAnsi="Arial" w:cs="Arial"/>
          <w:b/>
          <w:bCs/>
          <w:color w:val="0F6FC6" w:themeColor="accent1"/>
        </w:rPr>
      </w:pPr>
      <w:r w:rsidRPr="002932BA">
        <w:rPr>
          <w:rFonts w:ascii="Arial" w:hAnsi="Arial" w:cs="Arial"/>
          <w:b/>
          <w:bCs/>
          <w:color w:val="0F6FC6" w:themeColor="accent1"/>
        </w:rPr>
        <w:t xml:space="preserve">Conclusion  </w:t>
      </w:r>
    </w:p>
    <w:p w14:paraId="4011A087" w14:textId="77777777" w:rsidR="002932BA" w:rsidRPr="002932BA" w:rsidRDefault="002932BA" w:rsidP="00E13732">
      <w:pPr>
        <w:pStyle w:val="NoSpacing"/>
        <w:rPr>
          <w:rFonts w:ascii="Arial" w:hAnsi="Arial" w:cs="Arial"/>
          <w:b/>
          <w:bCs/>
          <w:color w:val="0F6FC6" w:themeColor="accent1"/>
        </w:rPr>
      </w:pPr>
    </w:p>
    <w:p w14:paraId="08E2767D" w14:textId="77777777" w:rsidR="00E13732" w:rsidRPr="00E13732" w:rsidRDefault="00E13732" w:rsidP="00E13732">
      <w:pPr>
        <w:pStyle w:val="NoSpacing"/>
      </w:pPr>
      <w:r w:rsidRPr="00E13732">
        <w:t xml:space="preserve">ICD-11 represents a </w:t>
      </w:r>
      <w:r w:rsidRPr="00E13732">
        <w:rPr>
          <w:rFonts w:ascii="Arial" w:hAnsi="Arial" w:cs="Arial"/>
        </w:rPr>
        <w:t>significant</w:t>
      </w:r>
      <w:r w:rsidRPr="00E13732">
        <w:t xml:space="preserve"> improvement in how schizophrenia is understood and classified. By removing rigid subcategories, adopting a flexible hybrid model, shortening the observation period, and requiring cultural sensitivity, it addresses many of the weaknesses of earlier systems. Diagnosis is now based on a thorough clinical assessment and clear but balanced standards, avoiding unnecessary rigidity while maintaining clinical utility. The term ‘disorder’ is used deliberately to reflect current understanding and avoid unfounded assumptions about underlying causes. Best practice combines medication with structured psychological care and recovery support, though access remains deeply unequal. Ongoing debate — particularly around spectrum models and the place of neurodivergence perspectives — shows that understanding continues to evolve. Implementing the recommendations set out in this report, particularly making full use of ICD-11’s descriptive capabilities and ensuring equal access to all forms of support, could substantially improve outcomes and reduce stigma, while further research will continue to refine how this complex condition is classified, understood, and supported. </w:t>
      </w:r>
    </w:p>
    <w:p w14:paraId="68EDB4DB" w14:textId="77777777" w:rsidR="00E13732" w:rsidRPr="00E13732" w:rsidRDefault="00E13732" w:rsidP="00E13732">
      <w:pPr>
        <w:pStyle w:val="NoSpacing"/>
        <w:rPr>
          <w:rFonts w:ascii="Arial" w:hAnsi="Arial" w:cs="Arial"/>
        </w:rPr>
      </w:pPr>
    </w:p>
    <w:p w14:paraId="714D6EB0" w14:textId="40FA81FB" w:rsidR="00E13732" w:rsidRPr="002932BA" w:rsidRDefault="00E13732" w:rsidP="00E13732">
      <w:pPr>
        <w:pStyle w:val="NoSpacing"/>
        <w:rPr>
          <w:rFonts w:ascii="Arial" w:hAnsi="Arial" w:cs="Arial"/>
          <w:b/>
          <w:bCs/>
          <w:color w:val="0F6FC6" w:themeColor="accent1"/>
        </w:rPr>
      </w:pPr>
      <w:r w:rsidRPr="002932BA">
        <w:rPr>
          <w:rFonts w:ascii="Arial" w:hAnsi="Arial" w:cs="Arial"/>
          <w:b/>
          <w:bCs/>
          <w:color w:val="0F6FC6" w:themeColor="accent1"/>
        </w:rPr>
        <w:t xml:space="preserve">References </w:t>
      </w:r>
    </w:p>
    <w:p w14:paraId="767CBCE8" w14:textId="77777777" w:rsidR="00FD4731" w:rsidRDefault="00FD4731" w:rsidP="00FD4731">
      <w:pPr>
        <w:pStyle w:val="NoSpacing"/>
        <w:rPr>
          <w:rFonts w:ascii="Arial" w:hAnsi="Arial" w:cs="Arial"/>
        </w:rPr>
      </w:pPr>
    </w:p>
    <w:p w14:paraId="6D4C59C4" w14:textId="5EFCDA39" w:rsidR="00E13732" w:rsidRPr="00654DD0" w:rsidRDefault="00E13732" w:rsidP="00654DD0">
      <w:pPr>
        <w:pStyle w:val="NoSpacing"/>
      </w:pPr>
      <w:r w:rsidRPr="00654DD0">
        <w:t xml:space="preserve">Corrigan, P.W., Kuwabara, S.A. and O’Shaughnessy, J. (2022) </w:t>
      </w:r>
      <w:r w:rsidRPr="00654DD0">
        <w:rPr>
          <w:rStyle w:val="Emphasis"/>
          <w:rFonts w:ascii="Arial" w:hAnsi="Arial" w:cs="Arial"/>
          <w:color w:val="000000"/>
        </w:rPr>
        <w:t>Mental health stigma and its elimination: a global perspective</w:t>
      </w:r>
      <w:r w:rsidRPr="00654DD0">
        <w:t xml:space="preserve">. Oxford: Oxford University Press. Available at: </w:t>
      </w:r>
      <w:hyperlink r:id="rId6" w:tgtFrame="_blank" w:tooltip="autolink" w:history="1">
        <w:r w:rsidRPr="00654DD0">
          <w:rPr>
            <w:rStyle w:val="Hyperlink"/>
            <w:rFonts w:ascii="Arial" w:hAnsi="Arial" w:cs="Arial"/>
            <w:color w:val="0057FF"/>
          </w:rPr>
          <w:t>https://academic.oup.com/book/38714</w:t>
        </w:r>
      </w:hyperlink>
      <w:r w:rsidRPr="00654DD0">
        <w:t xml:space="preserve"> (Accessed: </w:t>
      </w:r>
      <w:r w:rsidRPr="00654DD0">
        <w:t>5</w:t>
      </w:r>
      <w:r w:rsidRPr="00654DD0">
        <w:t xml:space="preserve"> August 2026). </w:t>
      </w:r>
    </w:p>
    <w:p w14:paraId="251CA918" w14:textId="4843B1BC" w:rsidR="00E13732" w:rsidRPr="00654DD0" w:rsidRDefault="00E13732" w:rsidP="00654DD0">
      <w:pPr>
        <w:pStyle w:val="NoSpacing"/>
      </w:pPr>
      <w:r w:rsidRPr="00654DD0">
        <w:lastRenderedPageBreak/>
        <w:t xml:space="preserve">Fink, M. and Taylor, M.A. (2020) ‘Schizophrenia and catatonia: from ICD-10 to ICD-11’, </w:t>
      </w:r>
      <w:r w:rsidRPr="00654DD0">
        <w:rPr>
          <w:rStyle w:val="Emphasis"/>
          <w:rFonts w:ascii="Arial" w:hAnsi="Arial" w:cs="Arial"/>
          <w:color w:val="000000"/>
        </w:rPr>
        <w:t>Psychopathology</w:t>
      </w:r>
      <w:r w:rsidRPr="00654DD0">
        <w:t xml:space="preserve">, 53(3), pp. 145–152. Available at: </w:t>
      </w:r>
      <w:hyperlink r:id="rId7" w:tgtFrame="_blank" w:tooltip="autolink" w:history="1">
        <w:r w:rsidRPr="00654DD0">
          <w:rPr>
            <w:rStyle w:val="Hyperlink"/>
            <w:rFonts w:ascii="Arial" w:hAnsi="Arial" w:cs="Arial"/>
            <w:color w:val="0057FF"/>
          </w:rPr>
          <w:t>https://karger.com/psyp/article/53/3/145/665658/Schizophrenia-and-Catatonia-From-ICD-10-to-ICD</w:t>
        </w:r>
      </w:hyperlink>
      <w:r w:rsidRPr="00654DD0">
        <w:t xml:space="preserve"> (Accessed: </w:t>
      </w:r>
      <w:r w:rsidRPr="00654DD0">
        <w:t>5 August</w:t>
      </w:r>
      <w:r w:rsidRPr="00654DD0">
        <w:t xml:space="preserve"> 2026). </w:t>
      </w:r>
    </w:p>
    <w:p w14:paraId="18156F45" w14:textId="045BEB7B" w:rsidR="00E13732" w:rsidRPr="00654DD0" w:rsidRDefault="00E13732" w:rsidP="00654DD0">
      <w:pPr>
        <w:pStyle w:val="NoSpacing"/>
      </w:pPr>
      <w:r w:rsidRPr="00654DD0">
        <w:t xml:space="preserve">Fusar-Poli, P., McGorry, P.D. and van </w:t>
      </w:r>
      <w:proofErr w:type="spellStart"/>
      <w:r w:rsidRPr="00654DD0">
        <w:t>Os</w:t>
      </w:r>
      <w:proofErr w:type="spellEnd"/>
      <w:r w:rsidRPr="00654DD0">
        <w:t xml:space="preserve">, J. (2021) ‘The psychosis spectrum: reconciling clinical and neurobiological perspectives’, </w:t>
      </w:r>
      <w:r w:rsidRPr="00654DD0">
        <w:rPr>
          <w:rStyle w:val="Emphasis"/>
          <w:rFonts w:ascii="Arial" w:hAnsi="Arial" w:cs="Arial"/>
          <w:color w:val="000000"/>
        </w:rPr>
        <w:t>World Psychiatry</w:t>
      </w:r>
      <w:r w:rsidRPr="00654DD0">
        <w:t xml:space="preserve">, 20(2), pp. 189–199. Available at: </w:t>
      </w:r>
      <w:hyperlink r:id="rId8" w:tgtFrame="_blank" w:tooltip="autolink" w:history="1">
        <w:r w:rsidRPr="00654DD0">
          <w:rPr>
            <w:rStyle w:val="Hyperlink"/>
            <w:rFonts w:ascii="Arial" w:hAnsi="Arial" w:cs="Arial"/>
            <w:color w:val="0057FF"/>
          </w:rPr>
          <w:t>https://onlinelibrary.wiley.com/doi/10.1002/wps.20852</w:t>
        </w:r>
      </w:hyperlink>
      <w:r w:rsidRPr="00654DD0">
        <w:t xml:space="preserve"> (Accessed: </w:t>
      </w:r>
      <w:r w:rsidRPr="00654DD0">
        <w:t xml:space="preserve">5 </w:t>
      </w:r>
      <w:r w:rsidRPr="00654DD0">
        <w:t xml:space="preserve">August 2026). </w:t>
      </w:r>
    </w:p>
    <w:p w14:paraId="095A63C4" w14:textId="77777777" w:rsidR="00E13732" w:rsidRPr="00654DD0" w:rsidRDefault="00E13732" w:rsidP="00654DD0">
      <w:pPr>
        <w:pStyle w:val="NoSpacing"/>
      </w:pPr>
      <w:r w:rsidRPr="00654DD0">
        <w:t xml:space="preserve">Gaebel, W., Zielasek, J. and Reed, G.M. (2020) ‘Comparison of ICD-11 and DSM-5 diagnostic criteria for schizophrenia’, </w:t>
      </w:r>
      <w:r w:rsidRPr="00654DD0">
        <w:rPr>
          <w:rStyle w:val="Emphasis"/>
          <w:rFonts w:ascii="Arial" w:hAnsi="Arial" w:cs="Arial"/>
          <w:color w:val="000000"/>
        </w:rPr>
        <w:t>World Psychiatry</w:t>
      </w:r>
      <w:r w:rsidRPr="00654DD0">
        <w:t xml:space="preserve">, 19(3), pp. 351–360. Available at: </w:t>
      </w:r>
      <w:hyperlink r:id="rId9" w:tgtFrame="_blank" w:tooltip="autolink" w:history="1">
        <w:r w:rsidRPr="00654DD0">
          <w:rPr>
            <w:rStyle w:val="Hyperlink"/>
            <w:rFonts w:ascii="Arial" w:hAnsi="Arial" w:cs="Arial"/>
            <w:color w:val="0057FF"/>
          </w:rPr>
          <w:t>https://onlinelibrary.wiley.com/doi/10.1002/wps.20787</w:t>
        </w:r>
      </w:hyperlink>
      <w:r w:rsidRPr="00654DD0">
        <w:t xml:space="preserve"> (Accessed: 5 August 2026).</w:t>
      </w:r>
    </w:p>
    <w:p w14:paraId="68DFC475" w14:textId="72EAD94E" w:rsidR="00654DD0" w:rsidRPr="00654DD0" w:rsidRDefault="00654DD0" w:rsidP="00654DD0">
      <w:pPr>
        <w:pStyle w:val="NoSpacing"/>
      </w:pPr>
      <w:r w:rsidRPr="00654DD0">
        <w:t xml:space="preserve">Kane, J.M., Correll, C.U. and Goff, D.C. (2019) ‘Long-acting injectable antipsychotics: a review of their place in schizophrenia treatment’, </w:t>
      </w:r>
      <w:r w:rsidRPr="00654DD0">
        <w:rPr>
          <w:rStyle w:val="Emphasis"/>
          <w:rFonts w:ascii="Arial" w:hAnsi="Arial" w:cs="Arial"/>
          <w:color w:val="000000"/>
        </w:rPr>
        <w:t>American Journal of Psychiatry</w:t>
      </w:r>
      <w:r w:rsidRPr="00654DD0">
        <w:t xml:space="preserve">, 176(5), pp. 359–372. Available at: </w:t>
      </w:r>
      <w:hyperlink r:id="rId10" w:tgtFrame="_blank" w:tooltip="autolink" w:history="1">
        <w:r w:rsidRPr="00654DD0">
          <w:rPr>
            <w:rStyle w:val="Hyperlink"/>
            <w:rFonts w:ascii="Arial" w:hAnsi="Arial" w:cs="Arial"/>
            <w:color w:val="0057FF"/>
          </w:rPr>
          <w:t>https://ajp.psychiatryonline.org/doi/10.1176/appi.ajp.2018.18060726</w:t>
        </w:r>
      </w:hyperlink>
      <w:r w:rsidRPr="00654DD0">
        <w:t xml:space="preserve"> (Accessed: </w:t>
      </w:r>
      <w:r w:rsidRPr="00654DD0">
        <w:t xml:space="preserve">5 </w:t>
      </w:r>
      <w:r w:rsidRPr="00654DD0">
        <w:t xml:space="preserve">August 2026). </w:t>
      </w:r>
    </w:p>
    <w:p w14:paraId="6B80B4D6" w14:textId="08C1CB37" w:rsidR="00654DD0" w:rsidRPr="00654DD0" w:rsidRDefault="00654DD0" w:rsidP="00654DD0">
      <w:pPr>
        <w:pStyle w:val="NoSpacing"/>
      </w:pPr>
      <w:r w:rsidRPr="00654DD0">
        <w:t xml:space="preserve">Killackey, E., Jackson, H.J. and McGorry, P.D. (2019) ‘Vocational rehabilitation in schizophrenia: a systematic review and meta-analysis’, </w:t>
      </w:r>
      <w:r w:rsidRPr="00654DD0">
        <w:rPr>
          <w:rStyle w:val="Emphasis"/>
          <w:rFonts w:ascii="Arial" w:hAnsi="Arial" w:cs="Arial"/>
          <w:color w:val="000000"/>
        </w:rPr>
        <w:t>Schizophrenia Bulletin</w:t>
      </w:r>
      <w:r w:rsidRPr="00654DD0">
        <w:t xml:space="preserve">, 45(3), pp. 508–517. Available at: </w:t>
      </w:r>
      <w:hyperlink r:id="rId11" w:tgtFrame="_blank" w:tooltip="autolink" w:history="1">
        <w:r w:rsidRPr="00654DD0">
          <w:rPr>
            <w:rStyle w:val="Hyperlink"/>
            <w:rFonts w:ascii="Arial" w:hAnsi="Arial" w:cs="Arial"/>
            <w:color w:val="0057FF"/>
          </w:rPr>
          <w:t>https://academic.oup.com/schizophreniabulletin/article/45/3/508/5124867</w:t>
        </w:r>
      </w:hyperlink>
      <w:r w:rsidRPr="00654DD0">
        <w:t xml:space="preserve"> (Accessed: </w:t>
      </w:r>
      <w:r w:rsidRPr="00654DD0">
        <w:t xml:space="preserve">5 </w:t>
      </w:r>
      <w:r w:rsidRPr="00654DD0">
        <w:t xml:space="preserve">August 2026). </w:t>
      </w:r>
    </w:p>
    <w:p w14:paraId="79213ACE" w14:textId="6BE7C567" w:rsidR="00654DD0" w:rsidRPr="00654DD0" w:rsidRDefault="00654DD0" w:rsidP="00654DD0">
      <w:pPr>
        <w:pStyle w:val="NoSpacing"/>
      </w:pPr>
      <w:r w:rsidRPr="00654DD0">
        <w:t xml:space="preserve">Leucht, S., Davis, J.M. and Cipriani, A. (2021) ‘Comparative efficacy and tolerability of antipsychotic drugs in schizophrenia: a systematic review and network meta-analysis’, </w:t>
      </w:r>
      <w:r w:rsidRPr="00654DD0">
        <w:rPr>
          <w:rStyle w:val="Emphasis"/>
          <w:rFonts w:ascii="Arial" w:hAnsi="Arial" w:cs="Arial"/>
          <w:color w:val="000000"/>
        </w:rPr>
        <w:t>The Lancet</w:t>
      </w:r>
      <w:r w:rsidRPr="00654DD0">
        <w:t xml:space="preserve">, 398(10305), pp. 905–916. Available at: </w:t>
      </w:r>
      <w:hyperlink r:id="rId12" w:tgtFrame="_blank" w:tooltip="autolink" w:history="1">
        <w:r w:rsidRPr="00654DD0">
          <w:rPr>
            <w:rStyle w:val="Hyperlink"/>
            <w:rFonts w:ascii="Arial" w:hAnsi="Arial" w:cs="Arial"/>
            <w:color w:val="0057FF"/>
          </w:rPr>
          <w:t>https://www.thelancet.com/journals/lancet/article/PIIS0140-6736(21)01198-6/fulltext</w:t>
        </w:r>
      </w:hyperlink>
      <w:r w:rsidRPr="00654DD0">
        <w:t xml:space="preserve"> (Accessed: </w:t>
      </w:r>
      <w:r w:rsidRPr="00654DD0">
        <w:t>5</w:t>
      </w:r>
      <w:r w:rsidRPr="00654DD0">
        <w:t xml:space="preserve"> August 2026). </w:t>
      </w:r>
    </w:p>
    <w:p w14:paraId="0AD9EFD8" w14:textId="4108A8B5" w:rsidR="00654DD0" w:rsidRPr="00654DD0" w:rsidRDefault="00654DD0" w:rsidP="00654DD0">
      <w:pPr>
        <w:pStyle w:val="NoSpacing"/>
      </w:pPr>
      <w:r w:rsidRPr="00654DD0">
        <w:t xml:space="preserve">National Institute for Health and Care Excellence (2020) </w:t>
      </w:r>
      <w:r w:rsidRPr="00654DD0">
        <w:rPr>
          <w:rStyle w:val="Emphasis"/>
          <w:rFonts w:ascii="Arial" w:hAnsi="Arial" w:cs="Arial"/>
          <w:color w:val="000000"/>
        </w:rPr>
        <w:t>Psychosis and schizophrenia in adults: prevention and management</w:t>
      </w:r>
      <w:r w:rsidRPr="00654DD0">
        <w:t xml:space="preserve"> (Clinical Guideline NG185). London: NICE. Available at: </w:t>
      </w:r>
      <w:hyperlink r:id="rId13" w:tgtFrame="_blank" w:tooltip="autolink" w:history="1">
        <w:r w:rsidRPr="00654DD0">
          <w:rPr>
            <w:rStyle w:val="Hyperlink"/>
            <w:rFonts w:ascii="Arial" w:hAnsi="Arial" w:cs="Arial"/>
            <w:color w:val="0057FF"/>
          </w:rPr>
          <w:t>https://www.nice.org.uk/guidance/ng185</w:t>
        </w:r>
      </w:hyperlink>
      <w:r w:rsidRPr="00654DD0">
        <w:t xml:space="preserve"> (Accessed: </w:t>
      </w:r>
      <w:r w:rsidRPr="00654DD0">
        <w:t>5 August</w:t>
      </w:r>
      <w:r w:rsidRPr="00654DD0">
        <w:t xml:space="preserve"> 2026). </w:t>
      </w:r>
    </w:p>
    <w:p w14:paraId="799EF40A" w14:textId="77777777" w:rsidR="00654DD0" w:rsidRPr="00654DD0" w:rsidRDefault="00654DD0" w:rsidP="00654DD0">
      <w:pPr>
        <w:pStyle w:val="NoSpacing"/>
      </w:pPr>
      <w:r w:rsidRPr="00654DD0">
        <w:t xml:space="preserve">Reed, G.M., First, M.B. and Saxena, S. (2019) ‘Mental, behavioural and neurodevelopmental disorders in the ICD-11: key changes and controversies’, </w:t>
      </w:r>
      <w:r w:rsidRPr="00654DD0">
        <w:rPr>
          <w:rStyle w:val="Emphasis"/>
          <w:rFonts w:ascii="Arial" w:hAnsi="Arial" w:cs="Arial"/>
          <w:color w:val="000000"/>
        </w:rPr>
        <w:t>International Journal of Mental Health Systems</w:t>
      </w:r>
      <w:r w:rsidRPr="00654DD0">
        <w:t xml:space="preserve">, 13(1), p. 58. Available at: </w:t>
      </w:r>
      <w:hyperlink r:id="rId14" w:tgtFrame="_blank" w:tooltip="autolink" w:history="1">
        <w:r w:rsidRPr="00654DD0">
          <w:rPr>
            <w:rStyle w:val="Hyperlink"/>
            <w:rFonts w:ascii="Arial" w:hAnsi="Arial" w:cs="Arial"/>
            <w:color w:val="0057FF"/>
          </w:rPr>
          <w:t>https://ijmhs.biomedcentral.com/articles/10.1186/s13033-019-0310-z</w:t>
        </w:r>
      </w:hyperlink>
      <w:r w:rsidRPr="00654DD0">
        <w:t xml:space="preserve"> (Accessed: 5 August 2026). </w:t>
      </w:r>
    </w:p>
    <w:p w14:paraId="325382D3" w14:textId="62051CCA" w:rsidR="00654DD0" w:rsidRPr="00654DD0" w:rsidRDefault="00654DD0" w:rsidP="00654DD0">
      <w:pPr>
        <w:pStyle w:val="NoSpacing"/>
      </w:pPr>
      <w:r w:rsidRPr="00654DD0">
        <w:t xml:space="preserve">Saxena, S., Setoya, Y. and World Health Organization (2019) ‘Mental health service development in low- and middle-income countries: progress and gaps’, </w:t>
      </w:r>
      <w:r w:rsidRPr="00654DD0">
        <w:rPr>
          <w:rStyle w:val="Emphasis"/>
          <w:rFonts w:ascii="Arial" w:hAnsi="Arial" w:cs="Arial"/>
          <w:color w:val="000000"/>
        </w:rPr>
        <w:t>World Psychiatry</w:t>
      </w:r>
      <w:r w:rsidRPr="00654DD0">
        <w:t>,</w:t>
      </w:r>
    </w:p>
    <w:p w14:paraId="53BA6466" w14:textId="38980998" w:rsidR="00654DD0" w:rsidRPr="00654DD0" w:rsidRDefault="00654DD0" w:rsidP="00654DD0">
      <w:pPr>
        <w:pStyle w:val="NoSpacing"/>
      </w:pPr>
      <w:r w:rsidRPr="00654DD0">
        <w:t xml:space="preserve">18(2), pp. 202–213. Available at: </w:t>
      </w:r>
      <w:hyperlink r:id="rId15" w:tgtFrame="_blank" w:tooltip="autolink" w:history="1">
        <w:r w:rsidRPr="00654DD0">
          <w:rPr>
            <w:rStyle w:val="Hyperlink"/>
            <w:rFonts w:ascii="Arial" w:hAnsi="Arial" w:cs="Arial"/>
            <w:color w:val="0057FF"/>
          </w:rPr>
          <w:t>https://onlinelibrary.wiley.com/doi/10.1002/wps.20633</w:t>
        </w:r>
      </w:hyperlink>
      <w:r w:rsidRPr="00654DD0">
        <w:t xml:space="preserve"> (Accessed: </w:t>
      </w:r>
      <w:r w:rsidRPr="00654DD0">
        <w:t>5</w:t>
      </w:r>
      <w:r w:rsidRPr="00654DD0">
        <w:t xml:space="preserve"> August 2026).</w:t>
      </w:r>
    </w:p>
    <w:p w14:paraId="21FC8C63" w14:textId="77777777" w:rsidR="00654DD0" w:rsidRPr="00654DD0" w:rsidRDefault="00654DD0" w:rsidP="00654DD0">
      <w:pPr>
        <w:pStyle w:val="NoSpacing"/>
      </w:pPr>
    </w:p>
    <w:p w14:paraId="09567427" w14:textId="4986D0E8" w:rsidR="00654DD0" w:rsidRPr="00654DD0" w:rsidRDefault="00654DD0" w:rsidP="00654DD0">
      <w:pPr>
        <w:pStyle w:val="NoSpacing"/>
      </w:pPr>
      <w:r w:rsidRPr="00654DD0">
        <w:t xml:space="preserve">Spiegel, J. and Coppinger, C. (2022) ‘Neurodivergence and psychosis: reconciling identity, difference and distress’, </w:t>
      </w:r>
      <w:r w:rsidRPr="00654DD0">
        <w:rPr>
          <w:rStyle w:val="Emphasis"/>
          <w:rFonts w:ascii="Arial" w:hAnsi="Arial" w:cs="Arial"/>
          <w:color w:val="000000"/>
        </w:rPr>
        <w:t>Journal of Ethics in Mental Health</w:t>
      </w:r>
      <w:r w:rsidRPr="00654DD0">
        <w:t xml:space="preserve">, 15(1), pp. 1–8. Available at: </w:t>
      </w:r>
      <w:hyperlink r:id="rId16" w:tgtFrame="_blank" w:tooltip="autolink" w:history="1">
        <w:r w:rsidRPr="00654DD0">
          <w:rPr>
            <w:rStyle w:val="Hyperlink"/>
            <w:rFonts w:ascii="Arial" w:hAnsi="Arial" w:cs="Arial"/>
            <w:color w:val="0057FF"/>
          </w:rPr>
          <w:t>https://jemh.ca/index.php/jemh/article/view/1324</w:t>
        </w:r>
      </w:hyperlink>
      <w:r w:rsidRPr="00654DD0">
        <w:t xml:space="preserve"> (Accessed: </w:t>
      </w:r>
      <w:r w:rsidRPr="00654DD0">
        <w:t>5</w:t>
      </w:r>
      <w:r w:rsidRPr="00654DD0">
        <w:t xml:space="preserve"> August 2026). </w:t>
      </w:r>
    </w:p>
    <w:p w14:paraId="54B2B856" w14:textId="27C927FA" w:rsidR="00654DD0" w:rsidRPr="00654DD0" w:rsidRDefault="00654DD0" w:rsidP="00654DD0">
      <w:pPr>
        <w:pStyle w:val="NoSpacing"/>
      </w:pPr>
      <w:r w:rsidRPr="00654DD0">
        <w:t xml:space="preserve">Stein, D.J., Reed, G.M. and First, M.B. (2020) ‘ICD-11 guide to mental health conditions’, </w:t>
      </w:r>
      <w:r w:rsidRPr="00654DD0">
        <w:rPr>
          <w:rStyle w:val="Emphasis"/>
          <w:rFonts w:ascii="Arial" w:hAnsi="Arial" w:cs="Arial"/>
          <w:color w:val="000000"/>
        </w:rPr>
        <w:t>World Psychiatry</w:t>
      </w:r>
      <w:r w:rsidRPr="00654DD0">
        <w:t xml:space="preserve">, 19(2), pp. 153–167. Available at: </w:t>
      </w:r>
      <w:hyperlink r:id="rId17" w:tgtFrame="_blank" w:tooltip="autolink" w:history="1">
        <w:r w:rsidRPr="00654DD0">
          <w:rPr>
            <w:rStyle w:val="Hyperlink"/>
            <w:rFonts w:ascii="Arial" w:hAnsi="Arial" w:cs="Arial"/>
            <w:color w:val="0057FF"/>
          </w:rPr>
          <w:t>https://onlinelibrary.wiley.com/doi/10.1002/wps.20737</w:t>
        </w:r>
      </w:hyperlink>
      <w:r w:rsidRPr="00654DD0">
        <w:t xml:space="preserve"> (Accessed: </w:t>
      </w:r>
      <w:r w:rsidRPr="00654DD0">
        <w:t>5</w:t>
      </w:r>
      <w:r w:rsidRPr="00654DD0">
        <w:t xml:space="preserve"> August 2026). </w:t>
      </w:r>
    </w:p>
    <w:p w14:paraId="2F195679" w14:textId="77777777" w:rsidR="00654DD0" w:rsidRPr="00654DD0" w:rsidRDefault="00654DD0" w:rsidP="00654DD0">
      <w:pPr>
        <w:pStyle w:val="NoSpacing"/>
      </w:pPr>
      <w:r w:rsidRPr="00654DD0">
        <w:t xml:space="preserve">Thornicroft, G., Chisholm, D. and Drake, R.E. (2020) ‘Global mental health services implementation: lessons from the emerging mental health evidence base’, </w:t>
      </w:r>
      <w:r w:rsidRPr="00654DD0">
        <w:rPr>
          <w:rStyle w:val="Emphasis"/>
          <w:rFonts w:ascii="Arial" w:hAnsi="Arial" w:cs="Arial"/>
          <w:color w:val="000000"/>
        </w:rPr>
        <w:t>World Psychiatry</w:t>
      </w:r>
      <w:r w:rsidRPr="00654DD0">
        <w:t xml:space="preserve">, 19(3), pp. 303–315. Available at: </w:t>
      </w:r>
      <w:hyperlink r:id="rId18" w:tgtFrame="_blank" w:tooltip="autolink" w:history="1">
        <w:r w:rsidRPr="00654DD0">
          <w:rPr>
            <w:rStyle w:val="Hyperlink"/>
            <w:rFonts w:ascii="Arial" w:hAnsi="Arial" w:cs="Arial"/>
            <w:color w:val="0057FF"/>
          </w:rPr>
          <w:t>https://onlinelibrary.wiley.com/doi/10.1002/wps.20782</w:t>
        </w:r>
      </w:hyperlink>
      <w:r w:rsidRPr="00654DD0">
        <w:t xml:space="preserve"> (Accessed: 1 August 2026). </w:t>
      </w:r>
    </w:p>
    <w:p w14:paraId="7A173A05" w14:textId="77777777" w:rsidR="00654DD0" w:rsidRPr="00654DD0" w:rsidRDefault="00654DD0" w:rsidP="00654DD0">
      <w:pPr>
        <w:pStyle w:val="NoSpacing"/>
      </w:pPr>
      <w:r w:rsidRPr="00654DD0">
        <w:t xml:space="preserve">Van </w:t>
      </w:r>
      <w:proofErr w:type="spellStart"/>
      <w:r w:rsidRPr="00654DD0">
        <w:t>Os</w:t>
      </w:r>
      <w:proofErr w:type="spellEnd"/>
      <w:r w:rsidRPr="00654DD0">
        <w:t xml:space="preserve">, J. and Guloksuz, S. (2019) ‘A critique of the “schizophrenia” label’, </w:t>
      </w:r>
      <w:r w:rsidRPr="00654DD0">
        <w:rPr>
          <w:rStyle w:val="Emphasis"/>
          <w:rFonts w:ascii="Arial" w:hAnsi="Arial" w:cs="Arial"/>
          <w:color w:val="000000"/>
        </w:rPr>
        <w:t>World Psychiatry</w:t>
      </w:r>
      <w:r w:rsidRPr="00654DD0">
        <w:t xml:space="preserve">, 18(1), pp. 109–115. Available at: </w:t>
      </w:r>
      <w:hyperlink r:id="rId19" w:tgtFrame="_blank" w:tooltip="autolink" w:history="1">
        <w:r w:rsidRPr="00654DD0">
          <w:rPr>
            <w:rStyle w:val="Hyperlink"/>
            <w:rFonts w:ascii="Arial" w:hAnsi="Arial" w:cs="Arial"/>
            <w:color w:val="0057FF"/>
          </w:rPr>
          <w:t>https://onlinelibrary.wiley.com/doi/10.1002/wps.20613</w:t>
        </w:r>
      </w:hyperlink>
      <w:r w:rsidRPr="00654DD0">
        <w:t xml:space="preserve"> (Accessed: 5 August 2026). </w:t>
      </w:r>
    </w:p>
    <w:p w14:paraId="64C0C8C5" w14:textId="1C2B3D54" w:rsidR="00654DD0" w:rsidRPr="00664820" w:rsidRDefault="00654DD0" w:rsidP="00654DD0">
      <w:pPr>
        <w:pStyle w:val="NoSpacing"/>
      </w:pPr>
      <w:r w:rsidRPr="00654DD0">
        <w:t xml:space="preserve">World Health Organization (2023) </w:t>
      </w:r>
      <w:r w:rsidRPr="00654DD0">
        <w:rPr>
          <w:rStyle w:val="Emphasis"/>
          <w:rFonts w:ascii="Arial" w:hAnsi="Arial" w:cs="Arial"/>
          <w:color w:val="000000"/>
        </w:rPr>
        <w:t>International Classification of Diseases for Mortality and Morbidity Statistics (ICD-11), Chapter 6: Mental, behavioural and neurodevelopmental disorders</w:t>
      </w:r>
      <w:r w:rsidRPr="00654DD0">
        <w:t xml:space="preserve">. Geneva: WHO. Available at: </w:t>
      </w:r>
      <w:hyperlink r:id="rId20" w:tgtFrame="_blank" w:tooltip="autolink" w:history="1">
        <w:r w:rsidRPr="00654DD0">
          <w:rPr>
            <w:rStyle w:val="Hyperlink"/>
            <w:rFonts w:ascii="Arial" w:hAnsi="Arial" w:cs="Arial"/>
            <w:color w:val="0057FF"/>
          </w:rPr>
          <w:t>https://icd.who.int/en</w:t>
        </w:r>
      </w:hyperlink>
      <w:r w:rsidRPr="00654DD0">
        <w:t xml:space="preserve"> (Accessed: </w:t>
      </w:r>
      <w:r w:rsidRPr="00654DD0">
        <w:t>5</w:t>
      </w:r>
      <w:r w:rsidRPr="00654DD0">
        <w:t xml:space="preserve"> August 2026).</w:t>
      </w:r>
    </w:p>
    <w:p w14:paraId="7EEAB08D" w14:textId="77777777" w:rsidR="00654DD0" w:rsidRPr="00654DD0" w:rsidRDefault="00654DD0" w:rsidP="00654DD0">
      <w:pPr>
        <w:pStyle w:val="NoSpacing"/>
        <w:rPr>
          <w:rFonts w:ascii="Arial" w:hAnsi="Arial" w:cs="Arial"/>
        </w:rPr>
      </w:pPr>
    </w:p>
    <w:p w14:paraId="471916AD" w14:textId="77777777" w:rsidR="00654DD0" w:rsidRPr="00654DD0" w:rsidRDefault="00654DD0" w:rsidP="00654DD0">
      <w:pPr>
        <w:pStyle w:val="NoSpacing"/>
        <w:rPr>
          <w:rFonts w:ascii="Arial" w:hAnsi="Arial" w:cs="Arial"/>
        </w:rPr>
      </w:pPr>
    </w:p>
    <w:p w14:paraId="754AECE3" w14:textId="77777777" w:rsidR="00654DD0" w:rsidRPr="00654DD0" w:rsidRDefault="00654DD0" w:rsidP="00654DD0">
      <w:pPr>
        <w:pStyle w:val="NoSpacing"/>
        <w:rPr>
          <w:rFonts w:ascii="Arial" w:hAnsi="Arial" w:cs="Arial"/>
        </w:rPr>
      </w:pPr>
    </w:p>
    <w:p w14:paraId="55851953" w14:textId="77777777" w:rsidR="00E13732" w:rsidRPr="00A128B3" w:rsidRDefault="00E13732" w:rsidP="00E13732">
      <w:pPr>
        <w:ind w:left="360"/>
        <w:rPr>
          <w:rFonts w:ascii="Arial" w:hAnsi="Arial" w:cs="Arial"/>
        </w:rPr>
      </w:pPr>
    </w:p>
    <w:p w14:paraId="2D9D6B80" w14:textId="77777777" w:rsidR="00E13732" w:rsidRDefault="00E13732" w:rsidP="00FD4731">
      <w:pPr>
        <w:pStyle w:val="NoSpacing"/>
        <w:rPr>
          <w:rFonts w:ascii="Arial" w:hAnsi="Arial" w:cs="Arial"/>
        </w:rPr>
      </w:pPr>
    </w:p>
    <w:p w14:paraId="71312620" w14:textId="77777777" w:rsidR="00FD4731" w:rsidRPr="00FD4731" w:rsidRDefault="00FD4731" w:rsidP="00FD4731">
      <w:pPr>
        <w:pStyle w:val="NoSpacing"/>
        <w:rPr>
          <w:rFonts w:ascii="Arial" w:hAnsi="Arial" w:cs="Arial"/>
        </w:rPr>
      </w:pPr>
    </w:p>
    <w:p w14:paraId="622ED415" w14:textId="77777777" w:rsidR="004D51F4" w:rsidRPr="009323E9" w:rsidRDefault="004D51F4" w:rsidP="00420741">
      <w:pPr>
        <w:pStyle w:val="NoSpacing"/>
        <w:rPr>
          <w:rFonts w:ascii="Arial" w:hAnsi="Arial" w:cs="Arial"/>
        </w:rPr>
      </w:pPr>
    </w:p>
    <w:p w14:paraId="4D015479" w14:textId="77777777" w:rsidR="0070105E" w:rsidRPr="009323E9" w:rsidRDefault="0070105E" w:rsidP="0070105E">
      <w:pPr>
        <w:pStyle w:val="ListParagraph"/>
        <w:rPr>
          <w:rFonts w:ascii="Arial" w:hAnsi="Arial" w:cs="Arial"/>
        </w:rPr>
      </w:pPr>
    </w:p>
    <w:p w14:paraId="2346A1CE" w14:textId="588EABC5" w:rsidR="00333A3F" w:rsidRPr="009323E9" w:rsidRDefault="007678FA" w:rsidP="00333A3F">
      <w:pPr>
        <w:jc w:val="center"/>
        <w:rPr>
          <w:rFonts w:ascii="Arial" w:hAnsi="Arial" w:cs="Arial"/>
          <w:sz w:val="28"/>
          <w:szCs w:val="28"/>
        </w:rPr>
      </w:pPr>
      <w:r w:rsidRPr="009323E9">
        <w:rPr>
          <w:rFonts w:ascii="Arial" w:hAnsi="Arial" w:cs="Arial"/>
          <w:sz w:val="28"/>
          <w:szCs w:val="28"/>
        </w:rPr>
        <w:t xml:space="preserve"> </w:t>
      </w:r>
    </w:p>
    <w:sectPr w:rsidR="00333A3F" w:rsidRPr="009323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543DE"/>
    <w:multiLevelType w:val="multilevel"/>
    <w:tmpl w:val="EF66E1C4"/>
    <w:lvl w:ilvl="0">
      <w:start w:val="1"/>
      <w:numFmt w:val="decimal"/>
      <w:lvlText w:val="%1."/>
      <w:lvlJc w:val="left"/>
      <w:pPr>
        <w:ind w:left="720" w:hanging="360"/>
      </w:p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5A65951"/>
    <w:multiLevelType w:val="hybridMultilevel"/>
    <w:tmpl w:val="98021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218016">
    <w:abstractNumId w:val="1"/>
  </w:num>
  <w:num w:numId="2" w16cid:durableId="1597710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7ED"/>
    <w:rsid w:val="00014987"/>
    <w:rsid w:val="002932BA"/>
    <w:rsid w:val="00333A3F"/>
    <w:rsid w:val="00420741"/>
    <w:rsid w:val="004D51F4"/>
    <w:rsid w:val="00550560"/>
    <w:rsid w:val="005D15A9"/>
    <w:rsid w:val="005F43D9"/>
    <w:rsid w:val="005F4DB7"/>
    <w:rsid w:val="00654DD0"/>
    <w:rsid w:val="00674818"/>
    <w:rsid w:val="006A2E12"/>
    <w:rsid w:val="0070105E"/>
    <w:rsid w:val="007678FA"/>
    <w:rsid w:val="0077588A"/>
    <w:rsid w:val="009176FF"/>
    <w:rsid w:val="009323E9"/>
    <w:rsid w:val="00A16F46"/>
    <w:rsid w:val="00A73351"/>
    <w:rsid w:val="00B901EA"/>
    <w:rsid w:val="00BC5505"/>
    <w:rsid w:val="00BF6A94"/>
    <w:rsid w:val="00C6089D"/>
    <w:rsid w:val="00E13732"/>
    <w:rsid w:val="00EC10F7"/>
    <w:rsid w:val="00F165EE"/>
    <w:rsid w:val="00F277ED"/>
    <w:rsid w:val="00F81985"/>
    <w:rsid w:val="00FD4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9A80D"/>
  <w15:chartTrackingRefBased/>
  <w15:docId w15:val="{D61599B7-795C-4913-A5DB-BB80A6C2B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818"/>
  </w:style>
  <w:style w:type="paragraph" w:styleId="Heading1">
    <w:name w:val="heading 1"/>
    <w:basedOn w:val="Normal"/>
    <w:next w:val="Normal"/>
    <w:link w:val="Heading1Char"/>
    <w:uiPriority w:val="9"/>
    <w:qFormat/>
    <w:rsid w:val="00674818"/>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semiHidden/>
    <w:unhideWhenUsed/>
    <w:qFormat/>
    <w:rsid w:val="00674818"/>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674818"/>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674818"/>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674818"/>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674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4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4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4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818"/>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semiHidden/>
    <w:rsid w:val="00674818"/>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674818"/>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674818"/>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674818"/>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674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4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4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4818"/>
    <w:rPr>
      <w:rFonts w:eastAsiaTheme="majorEastAsia" w:cstheme="majorBidi"/>
      <w:color w:val="272727" w:themeColor="text1" w:themeTint="D8"/>
    </w:rPr>
  </w:style>
  <w:style w:type="paragraph" w:styleId="Title">
    <w:name w:val="Title"/>
    <w:basedOn w:val="Normal"/>
    <w:next w:val="Normal"/>
    <w:link w:val="TitleChar"/>
    <w:uiPriority w:val="10"/>
    <w:qFormat/>
    <w:rsid w:val="00674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4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4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4818"/>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674818"/>
    <w:rPr>
      <w:b/>
      <w:bCs/>
    </w:rPr>
  </w:style>
  <w:style w:type="paragraph" w:styleId="ListParagraph">
    <w:name w:val="List Paragraph"/>
    <w:basedOn w:val="Normal"/>
    <w:uiPriority w:val="34"/>
    <w:qFormat/>
    <w:rsid w:val="00674818"/>
    <w:pPr>
      <w:ind w:left="720"/>
      <w:contextualSpacing/>
    </w:pPr>
  </w:style>
  <w:style w:type="paragraph" w:styleId="Quote">
    <w:name w:val="Quote"/>
    <w:basedOn w:val="Normal"/>
    <w:next w:val="Normal"/>
    <w:link w:val="QuoteChar"/>
    <w:uiPriority w:val="29"/>
    <w:qFormat/>
    <w:rsid w:val="00674818"/>
    <w:pPr>
      <w:spacing w:before="160"/>
      <w:jc w:val="center"/>
    </w:pPr>
    <w:rPr>
      <w:i/>
      <w:iCs/>
      <w:color w:val="404040" w:themeColor="text1" w:themeTint="BF"/>
    </w:rPr>
  </w:style>
  <w:style w:type="character" w:customStyle="1" w:styleId="QuoteChar">
    <w:name w:val="Quote Char"/>
    <w:basedOn w:val="DefaultParagraphFont"/>
    <w:link w:val="Quote"/>
    <w:uiPriority w:val="29"/>
    <w:rsid w:val="00674818"/>
    <w:rPr>
      <w:i/>
      <w:iCs/>
      <w:color w:val="404040" w:themeColor="text1" w:themeTint="BF"/>
    </w:rPr>
  </w:style>
  <w:style w:type="paragraph" w:styleId="IntenseQuote">
    <w:name w:val="Intense Quote"/>
    <w:basedOn w:val="Normal"/>
    <w:next w:val="Normal"/>
    <w:link w:val="IntenseQuoteChar"/>
    <w:uiPriority w:val="30"/>
    <w:qFormat/>
    <w:rsid w:val="00674818"/>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674818"/>
    <w:rPr>
      <w:i/>
      <w:iCs/>
      <w:color w:val="0B5294" w:themeColor="accent1" w:themeShade="BF"/>
    </w:rPr>
  </w:style>
  <w:style w:type="character" w:styleId="IntenseEmphasis">
    <w:name w:val="Intense Emphasis"/>
    <w:basedOn w:val="DefaultParagraphFont"/>
    <w:uiPriority w:val="21"/>
    <w:qFormat/>
    <w:rsid w:val="00674818"/>
    <w:rPr>
      <w:i/>
      <w:iCs/>
      <w:color w:val="0B5294" w:themeColor="accent1" w:themeShade="BF"/>
    </w:rPr>
  </w:style>
  <w:style w:type="character" w:styleId="IntenseReference">
    <w:name w:val="Intense Reference"/>
    <w:basedOn w:val="DefaultParagraphFont"/>
    <w:uiPriority w:val="32"/>
    <w:qFormat/>
    <w:rsid w:val="00674818"/>
    <w:rPr>
      <w:b/>
      <w:bCs/>
      <w:smallCaps/>
      <w:color w:val="0B5294" w:themeColor="accent1" w:themeShade="BF"/>
      <w:spacing w:val="5"/>
    </w:rPr>
  </w:style>
  <w:style w:type="paragraph" w:styleId="Caption">
    <w:name w:val="caption"/>
    <w:basedOn w:val="Normal"/>
    <w:next w:val="Normal"/>
    <w:uiPriority w:val="35"/>
    <w:semiHidden/>
    <w:unhideWhenUsed/>
    <w:qFormat/>
    <w:rsid w:val="00674818"/>
    <w:pPr>
      <w:spacing w:after="200" w:line="240" w:lineRule="auto"/>
    </w:pPr>
    <w:rPr>
      <w:i/>
      <w:iCs/>
      <w:color w:val="17406D" w:themeColor="text2"/>
      <w:sz w:val="18"/>
      <w:szCs w:val="18"/>
    </w:rPr>
  </w:style>
  <w:style w:type="character" w:styleId="Emphasis">
    <w:name w:val="Emphasis"/>
    <w:basedOn w:val="DefaultParagraphFont"/>
    <w:uiPriority w:val="20"/>
    <w:qFormat/>
    <w:rsid w:val="00674818"/>
    <w:rPr>
      <w:i/>
      <w:iCs/>
    </w:rPr>
  </w:style>
  <w:style w:type="paragraph" w:styleId="NoSpacing">
    <w:name w:val="No Spacing"/>
    <w:uiPriority w:val="1"/>
    <w:qFormat/>
    <w:rsid w:val="00674818"/>
    <w:pPr>
      <w:spacing w:after="0" w:line="240" w:lineRule="auto"/>
    </w:pPr>
  </w:style>
  <w:style w:type="character" w:styleId="SubtleEmphasis">
    <w:name w:val="Subtle Emphasis"/>
    <w:basedOn w:val="DefaultParagraphFont"/>
    <w:uiPriority w:val="19"/>
    <w:qFormat/>
    <w:rsid w:val="00674818"/>
    <w:rPr>
      <w:i/>
      <w:iCs/>
      <w:color w:val="404040" w:themeColor="text1" w:themeTint="BF"/>
    </w:rPr>
  </w:style>
  <w:style w:type="character" w:styleId="SubtleReference">
    <w:name w:val="Subtle Reference"/>
    <w:basedOn w:val="DefaultParagraphFont"/>
    <w:uiPriority w:val="31"/>
    <w:qFormat/>
    <w:rsid w:val="00674818"/>
    <w:rPr>
      <w:smallCaps/>
      <w:color w:val="5A5A5A" w:themeColor="text1" w:themeTint="A5"/>
    </w:rPr>
  </w:style>
  <w:style w:type="character" w:styleId="BookTitle">
    <w:name w:val="Book Title"/>
    <w:basedOn w:val="DefaultParagraphFont"/>
    <w:uiPriority w:val="33"/>
    <w:qFormat/>
    <w:rsid w:val="00674818"/>
    <w:rPr>
      <w:b/>
      <w:bCs/>
      <w:i/>
      <w:iCs/>
      <w:spacing w:val="5"/>
    </w:rPr>
  </w:style>
  <w:style w:type="paragraph" w:styleId="TOCHeading">
    <w:name w:val="TOC Heading"/>
    <w:basedOn w:val="Heading1"/>
    <w:next w:val="Normal"/>
    <w:uiPriority w:val="39"/>
    <w:semiHidden/>
    <w:unhideWhenUsed/>
    <w:qFormat/>
    <w:rsid w:val="00674818"/>
    <w:pPr>
      <w:spacing w:before="240" w:after="0"/>
      <w:outlineLvl w:val="9"/>
    </w:pPr>
    <w:rPr>
      <w:sz w:val="32"/>
      <w:szCs w:val="32"/>
    </w:rPr>
  </w:style>
  <w:style w:type="character" w:styleId="Hyperlink">
    <w:name w:val="Hyperlink"/>
    <w:basedOn w:val="DefaultParagraphFont"/>
    <w:uiPriority w:val="99"/>
    <w:semiHidden/>
    <w:unhideWhenUsed/>
    <w:rsid w:val="00E1373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g-link.byteoversea.com/?target=https%3A%2F%2Fonlinelibrary.wiley.com%2Fdoi%2F10.1002%2Fwps.20852&amp;scene=im&amp;aid=495671&amp;lang=en-GB" TargetMode="External"/><Relationship Id="rId13" Type="http://schemas.openxmlformats.org/officeDocument/2006/relationships/hyperlink" Target="https://sg-link.byteoversea.com/?target=https%3A%2F%2Fwww.nice.org.uk%2Fguidance%2Fng185&amp;scene=im&amp;aid=495671&amp;lang=en-GB" TargetMode="External"/><Relationship Id="rId18" Type="http://schemas.openxmlformats.org/officeDocument/2006/relationships/hyperlink" Target="https://sg-link.byteoversea.com/?target=https%3A%2F%2Fonlinelibrary.wiley.com%2Fdoi%2F10.1002%2Fwps.20782&amp;scene=im&amp;aid=495671&amp;lang=en-GB"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sg-link.byteoversea.com/?target=https%3A%2F%2Fkarger.com%2Fpsyp%2Farticle%2F53%2F3%2F145%2F665658%2FSchizophrenia-and-Catatonia-From-ICD-10-to-ICD&amp;scene=im&amp;aid=495671&amp;lang=en-GB" TargetMode="External"/><Relationship Id="rId12" Type="http://schemas.openxmlformats.org/officeDocument/2006/relationships/hyperlink" Target="https://sg-link.byteoversea.com/?target=https%3A%2F%2Fwww.thelancet.com%2Fjournals%2Flancet%2Farticle%2FPIIS0140-6736(21)01198-6%2Ffulltext&amp;scene=im&amp;aid=495671&amp;lang=en-GB" TargetMode="External"/><Relationship Id="rId17" Type="http://schemas.openxmlformats.org/officeDocument/2006/relationships/hyperlink" Target="https://sg-link.byteoversea.com/?target=https%3A%2F%2Fonlinelibrary.wiley.com%2Fdoi%2F10.1002%2Fwps.20737&amp;scene=im&amp;aid=495671&amp;lang=en-GB" TargetMode="External"/><Relationship Id="rId2" Type="http://schemas.openxmlformats.org/officeDocument/2006/relationships/styles" Target="styles.xml"/><Relationship Id="rId16" Type="http://schemas.openxmlformats.org/officeDocument/2006/relationships/hyperlink" Target="https://sg-link.byteoversea.com/?target=https%3A%2F%2Fjemh.ca%2Findex.php%2Fjemh%2Farticle%2Fview%2F1324&amp;scene=im&amp;aid=495671&amp;lang=en-GB" TargetMode="External"/><Relationship Id="rId20" Type="http://schemas.openxmlformats.org/officeDocument/2006/relationships/hyperlink" Target="https://sg-link.byteoversea.com/?target=https%3A%2F%2Ficd.who.int%2Fen&amp;scene=im&amp;aid=495671&amp;lang=en-GB" TargetMode="External"/><Relationship Id="rId1" Type="http://schemas.openxmlformats.org/officeDocument/2006/relationships/numbering" Target="numbering.xml"/><Relationship Id="rId6" Type="http://schemas.openxmlformats.org/officeDocument/2006/relationships/hyperlink" Target="https://sg-link.byteoversea.com/?target=https%3A%2F%2Facademic.oup.com%2Fbook%2F38714&amp;scene=im&amp;aid=495671&amp;lang=en-GB" TargetMode="External"/><Relationship Id="rId11" Type="http://schemas.openxmlformats.org/officeDocument/2006/relationships/hyperlink" Target="https://sg-link.byteoversea.com/?target=https%3A%2F%2Facademic.oup.com%2Fschizophreniabulletin%2Farticle%2F45%2F3%2F508%2F5124867&amp;scene=im&amp;aid=495671&amp;lang=en-GB" TargetMode="External"/><Relationship Id="rId5" Type="http://schemas.openxmlformats.org/officeDocument/2006/relationships/image" Target="media/image1.jpeg"/><Relationship Id="rId15" Type="http://schemas.openxmlformats.org/officeDocument/2006/relationships/hyperlink" Target="https://sg-link.byteoversea.com/?target=https%3A%2F%2Fonlinelibrary.wiley.com%2Fdoi%2F10.1002%2Fwps.20633&amp;scene=im&amp;aid=495671&amp;lang=en-GB" TargetMode="External"/><Relationship Id="rId10" Type="http://schemas.openxmlformats.org/officeDocument/2006/relationships/hyperlink" Target="https://sg-link.byteoversea.com/?target=https%3A%2F%2Fajp.psychiatryonline.org%2Fdoi%2F10.1176%2Fappi.ajp.2018.18060726&amp;scene=im&amp;aid=495671&amp;lang=en-GB" TargetMode="External"/><Relationship Id="rId19" Type="http://schemas.openxmlformats.org/officeDocument/2006/relationships/hyperlink" Target="https://sg-link.byteoversea.com/?target=https%3A%2F%2Fonlinelibrary.wiley.com%2Fdoi%2F10.1002%2Fwps.20613&amp;scene=im&amp;aid=495671&amp;lang=en-GB" TargetMode="External"/><Relationship Id="rId4" Type="http://schemas.openxmlformats.org/officeDocument/2006/relationships/webSettings" Target="webSettings.xml"/><Relationship Id="rId9" Type="http://schemas.openxmlformats.org/officeDocument/2006/relationships/hyperlink" Target="https://sg-link.byteoversea.com/?target=https%3A%2F%2Fonlinelibrary.wiley.com%2Fdoi%2F10.1002%2Fwps.20787&amp;scene=im&amp;aid=495671&amp;lang=en-GB" TargetMode="External"/><Relationship Id="rId14" Type="http://schemas.openxmlformats.org/officeDocument/2006/relationships/hyperlink" Target="https://sg-link.byteoversea.com/?target=https%3A%2F%2Fijmhs.biomedcentral.com%2Farticles%2F10.1186%2Fs13033-019-0310-z&amp;scene=im&amp;aid=495671&amp;lang=en-GB" TargetMode="External"/><Relationship Id="rId22" Type="http://schemas.openxmlformats.org/officeDocument/2006/relationships/theme" Target="theme/theme1.xml"/></Relationships>
</file>

<file path=word/theme/theme1.xml><?xml version="1.0" encoding="utf-8"?>
<a:theme xmlns:a="http://schemas.openxmlformats.org/drawingml/2006/main" name="Facet">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Normal.dotm</Template>
  <TotalTime>247</TotalTime>
  <Pages>9</Pages>
  <Words>3867</Words>
  <Characters>22042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romiina ibrahim</dc:creator>
  <cp:keywords/>
  <dc:description/>
  <cp:lastModifiedBy>romiina ibrahim</cp:lastModifiedBy>
  <cp:revision>1</cp:revision>
  <dcterms:created xsi:type="dcterms:W3CDTF">2026-08-13T10:58:00Z</dcterms:created>
  <dcterms:modified xsi:type="dcterms:W3CDTF">2026-08-13T15:34:00Z</dcterms:modified>
</cp:coreProperties>
</file>