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4BFECC" w14:textId="77777777" w:rsidR="00D23E6E" w:rsidRDefault="00000000" w:rsidP="005A3EDF">
      <w:pPr>
        <w:jc w:val="both"/>
      </w:pPr>
      <w:r>
        <w:rPr>
          <w:b/>
          <w:color w:val="168A8A"/>
          <w:sz w:val="30"/>
        </w:rPr>
        <w:t>SERVICE IMPROVEMENT REPORT</w:t>
      </w:r>
    </w:p>
    <w:p w14:paraId="4B7AB672" w14:textId="77777777" w:rsidR="00D23E6E" w:rsidRDefault="00000000" w:rsidP="005A3EDF">
      <w:pPr>
        <w:jc w:val="both"/>
      </w:pPr>
      <w:r>
        <w:rPr>
          <w:b/>
          <w:color w:val="17365D"/>
          <w:sz w:val="40"/>
        </w:rPr>
        <w:t>A Critical Analysis of Quality and Patient-Safety Failures at Mid Staffordshire NHS Foundation Trust and a Proposed Quality Improvement Strategy</w:t>
      </w:r>
    </w:p>
    <w:p w14:paraId="3DB60131" w14:textId="77777777" w:rsidR="00D23E6E" w:rsidRDefault="00000000" w:rsidP="005A3EDF">
      <w:pPr>
        <w:jc w:val="both"/>
      </w:pPr>
      <w:r>
        <w:rPr>
          <w:sz w:val="24"/>
        </w:rPr>
        <w:t>Module: LCHS7006 – Service Improvement</w:t>
      </w:r>
    </w:p>
    <w:p w14:paraId="0A587D1C" w14:textId="77777777" w:rsidR="00D23E6E" w:rsidRDefault="00000000" w:rsidP="005A3EDF">
      <w:pPr>
        <w:jc w:val="both"/>
      </w:pPr>
      <w:r>
        <w:rPr>
          <w:sz w:val="24"/>
        </w:rPr>
        <w:t>MSc Level 7</w:t>
      </w:r>
    </w:p>
    <w:p w14:paraId="7FC45982" w14:textId="77777777" w:rsidR="00D23E6E" w:rsidRDefault="00000000" w:rsidP="005A3EDF">
      <w:pPr>
        <w:jc w:val="both"/>
      </w:pPr>
      <w:r>
        <w:rPr>
          <w:sz w:val="24"/>
        </w:rPr>
        <w:t>University of Wales Trinity Saint David (UWTSD)</w:t>
      </w:r>
    </w:p>
    <w:p w14:paraId="76C2D56E" w14:textId="4504436C" w:rsidR="00D23E6E" w:rsidRDefault="005A3EDF" w:rsidP="005A3EDF">
      <w:pPr>
        <w:jc w:val="both"/>
      </w:pPr>
      <w:r>
        <w:rPr>
          <w:sz w:val="24"/>
        </w:rPr>
        <w:t>Student Name:- Rizwana (2521764)</w:t>
      </w:r>
    </w:p>
    <w:p w14:paraId="2B82C21E" w14:textId="7E6D5C52" w:rsidR="00D23E6E" w:rsidRDefault="00000000" w:rsidP="005A3EDF">
      <w:pPr>
        <w:jc w:val="both"/>
      </w:pPr>
      <w:r>
        <w:br w:type="page"/>
      </w:r>
    </w:p>
    <w:p w14:paraId="525DB4C4" w14:textId="77777777" w:rsidR="00D23E6E" w:rsidRDefault="00000000" w:rsidP="005A3EDF">
      <w:pPr>
        <w:pStyle w:val="Heading1"/>
        <w:jc w:val="both"/>
      </w:pPr>
      <w:r>
        <w:lastRenderedPageBreak/>
        <w:t>Contents</w:t>
      </w:r>
    </w:p>
    <w:p w14:paraId="6FECA20F" w14:textId="77777777" w:rsidR="00D23E6E" w:rsidRDefault="00000000" w:rsidP="005A3EDF">
      <w:pPr>
        <w:jc w:val="both"/>
      </w:pPr>
      <w:r>
        <w:t>1. Introduction and Contextual Background</w:t>
      </w:r>
    </w:p>
    <w:p w14:paraId="64121800" w14:textId="77777777" w:rsidR="00D23E6E" w:rsidRDefault="00000000" w:rsidP="005A3EDF">
      <w:pPr>
        <w:jc w:val="both"/>
      </w:pPr>
      <w:r>
        <w:t>2. Critical Analysis and Evidence Base</w:t>
      </w:r>
    </w:p>
    <w:p w14:paraId="252FB043" w14:textId="77777777" w:rsidR="00D23E6E" w:rsidRDefault="00000000" w:rsidP="005A3EDF">
      <w:pPr>
        <w:jc w:val="both"/>
      </w:pPr>
      <w:r>
        <w:t>3. Root-Cause Analysis</w:t>
      </w:r>
    </w:p>
    <w:p w14:paraId="3189C246" w14:textId="43686F18" w:rsidR="00D23E6E" w:rsidRDefault="00BC107B" w:rsidP="005A3EDF">
      <w:pPr>
        <w:jc w:val="both"/>
      </w:pPr>
      <w:r>
        <w:t xml:space="preserve">  3.1Fishbone Analysis</w:t>
      </w:r>
    </w:p>
    <w:p w14:paraId="627977C3" w14:textId="77777777" w:rsidR="00BC107B" w:rsidRDefault="00BC107B" w:rsidP="005A3EDF">
      <w:pPr>
        <w:jc w:val="both"/>
      </w:pPr>
      <w:r>
        <w:t xml:space="preserve">  3.2 Five Why</w:t>
      </w:r>
    </w:p>
    <w:p w14:paraId="3D473F1F" w14:textId="01A22360" w:rsidR="00D23E6E" w:rsidRDefault="00BC107B" w:rsidP="005A3EDF">
      <w:pPr>
        <w:jc w:val="both"/>
      </w:pPr>
      <w:r>
        <w:t xml:space="preserve">  3.3 Donabedian Model</w:t>
      </w:r>
    </w:p>
    <w:p w14:paraId="714D7009" w14:textId="1228E992" w:rsidR="00D23E6E" w:rsidRDefault="00BC107B" w:rsidP="005A3EDF">
      <w:pPr>
        <w:jc w:val="both"/>
      </w:pPr>
      <w:r>
        <w:t xml:space="preserve">  3.4 SWOT Analysis</w:t>
      </w:r>
    </w:p>
    <w:p w14:paraId="42CFF910" w14:textId="77777777" w:rsidR="00D23E6E" w:rsidRDefault="00000000" w:rsidP="005A3EDF">
      <w:pPr>
        <w:jc w:val="both"/>
      </w:pPr>
      <w:r>
        <w:t>4. Proposed Quality Improvement Strategy</w:t>
      </w:r>
    </w:p>
    <w:p w14:paraId="3F92B4F4" w14:textId="6673071F" w:rsidR="00D23E6E" w:rsidRDefault="00BC107B" w:rsidP="005A3EDF">
      <w:pPr>
        <w:jc w:val="both"/>
      </w:pPr>
      <w:r>
        <w:t xml:space="preserve">  4.1 PDSA</w:t>
      </w:r>
    </w:p>
    <w:p w14:paraId="7A34BBD2" w14:textId="231CA6F1" w:rsidR="00D23E6E" w:rsidRDefault="00BC107B" w:rsidP="005A3EDF">
      <w:pPr>
        <w:jc w:val="both"/>
      </w:pPr>
      <w:r>
        <w:t xml:space="preserve">  4.2 Lean</w:t>
      </w:r>
    </w:p>
    <w:p w14:paraId="5416568F" w14:textId="4EA24CC8" w:rsidR="00D23E6E" w:rsidRDefault="00BC107B" w:rsidP="005A3EDF">
      <w:pPr>
        <w:jc w:val="both"/>
      </w:pPr>
      <w:r>
        <w:t xml:space="preserve">  4.3 Six Sigma</w:t>
      </w:r>
    </w:p>
    <w:p w14:paraId="78037BBF" w14:textId="77777777" w:rsidR="00D23E6E" w:rsidRDefault="00000000" w:rsidP="005A3EDF">
      <w:pPr>
        <w:jc w:val="both"/>
      </w:pPr>
      <w:r>
        <w:t>5. Implementation Plan</w:t>
      </w:r>
    </w:p>
    <w:p w14:paraId="38AF3963" w14:textId="77777777" w:rsidR="00D23E6E" w:rsidRDefault="00000000" w:rsidP="005A3EDF">
      <w:pPr>
        <w:jc w:val="both"/>
      </w:pPr>
      <w:r>
        <w:t>6. Measurement and Evaluation</w:t>
      </w:r>
    </w:p>
    <w:p w14:paraId="35394D21" w14:textId="77777777" w:rsidR="00D23E6E" w:rsidRDefault="00000000" w:rsidP="005A3EDF">
      <w:pPr>
        <w:jc w:val="both"/>
      </w:pPr>
      <w:r>
        <w:t>7. Critical Evaluation and Sustainability</w:t>
      </w:r>
    </w:p>
    <w:p w14:paraId="7250AD5F" w14:textId="77777777" w:rsidR="00D23E6E" w:rsidRDefault="00000000" w:rsidP="005A3EDF">
      <w:pPr>
        <w:jc w:val="both"/>
      </w:pPr>
      <w:r>
        <w:t>8. Conclusion</w:t>
      </w:r>
    </w:p>
    <w:p w14:paraId="1C18132B" w14:textId="77777777" w:rsidR="00D23E6E" w:rsidRDefault="00000000" w:rsidP="005A3EDF">
      <w:pPr>
        <w:jc w:val="both"/>
      </w:pPr>
      <w:r>
        <w:t>9. References</w:t>
      </w:r>
    </w:p>
    <w:p w14:paraId="3792749A" w14:textId="77777777" w:rsidR="008B4DB0" w:rsidRDefault="008B4DB0" w:rsidP="008B4DB0">
      <w:pPr>
        <w:jc w:val="both"/>
        <w:rPr>
          <w:b/>
          <w:bCs/>
          <w:lang w:val="en-GB"/>
        </w:rPr>
      </w:pPr>
    </w:p>
    <w:p w14:paraId="1A37FB7F" w14:textId="77777777" w:rsidR="008B4DB0" w:rsidRDefault="008B4DB0" w:rsidP="008B4DB0">
      <w:pPr>
        <w:jc w:val="both"/>
        <w:rPr>
          <w:b/>
          <w:bCs/>
          <w:lang w:val="en-GB"/>
        </w:rPr>
      </w:pPr>
    </w:p>
    <w:p w14:paraId="5B9EEFF9" w14:textId="77777777" w:rsidR="008B4DB0" w:rsidRDefault="008B4DB0" w:rsidP="008B4DB0">
      <w:pPr>
        <w:jc w:val="both"/>
        <w:rPr>
          <w:b/>
          <w:bCs/>
          <w:lang w:val="en-GB"/>
        </w:rPr>
      </w:pPr>
    </w:p>
    <w:p w14:paraId="0637595F" w14:textId="77777777" w:rsidR="008B4DB0" w:rsidRDefault="008B4DB0" w:rsidP="008B4DB0">
      <w:pPr>
        <w:jc w:val="both"/>
        <w:rPr>
          <w:b/>
          <w:bCs/>
          <w:lang w:val="en-GB"/>
        </w:rPr>
      </w:pPr>
    </w:p>
    <w:p w14:paraId="181575CB" w14:textId="77777777" w:rsidR="008B4DB0" w:rsidRDefault="008B4DB0" w:rsidP="008B4DB0">
      <w:pPr>
        <w:jc w:val="both"/>
        <w:rPr>
          <w:b/>
          <w:bCs/>
          <w:lang w:val="en-GB"/>
        </w:rPr>
      </w:pPr>
    </w:p>
    <w:p w14:paraId="6C6832CE" w14:textId="77777777" w:rsidR="008B4DB0" w:rsidRDefault="008B4DB0" w:rsidP="008B4DB0">
      <w:pPr>
        <w:jc w:val="both"/>
        <w:rPr>
          <w:b/>
          <w:bCs/>
          <w:lang w:val="en-GB"/>
        </w:rPr>
      </w:pPr>
    </w:p>
    <w:p w14:paraId="46290A5A" w14:textId="295BC36D" w:rsidR="008B4DB0" w:rsidRPr="00C95782" w:rsidRDefault="008B4DB0" w:rsidP="008B4DB0">
      <w:pPr>
        <w:jc w:val="both"/>
        <w:rPr>
          <w:b/>
          <w:bCs/>
          <w:color w:val="0070C0"/>
          <w:sz w:val="32"/>
          <w:szCs w:val="32"/>
          <w:lang w:val="en-GB"/>
        </w:rPr>
      </w:pPr>
      <w:r w:rsidRPr="00C95782">
        <w:rPr>
          <w:b/>
          <w:bCs/>
          <w:color w:val="0070C0"/>
          <w:sz w:val="32"/>
          <w:szCs w:val="32"/>
          <w:lang w:val="en-GB"/>
        </w:rPr>
        <w:lastRenderedPageBreak/>
        <w:t>Abbreviations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20"/>
        <w:gridCol w:w="6312"/>
      </w:tblGrid>
      <w:tr w:rsidR="008B4DB0" w:rsidRPr="008B4DB0" w14:paraId="09C06FEB" w14:textId="77777777">
        <w:trPr>
          <w:tblHeader/>
          <w:tblCellSpacing w:w="15" w:type="dxa"/>
        </w:trPr>
        <w:tc>
          <w:tcPr>
            <w:tcW w:w="0" w:type="auto"/>
            <w:vAlign w:val="center"/>
            <w:hideMark/>
          </w:tcPr>
          <w:p w14:paraId="1E24CAD0" w14:textId="77777777" w:rsidR="008B4DB0" w:rsidRPr="008B4DB0" w:rsidRDefault="008B4DB0" w:rsidP="008B4DB0">
            <w:pPr>
              <w:jc w:val="both"/>
              <w:rPr>
                <w:b/>
                <w:bCs/>
                <w:lang w:val="en-GB"/>
              </w:rPr>
            </w:pPr>
            <w:r w:rsidRPr="008B4DB0">
              <w:rPr>
                <w:b/>
                <w:bCs/>
                <w:lang w:val="en-GB"/>
              </w:rPr>
              <w:t>Abbreviation</w:t>
            </w:r>
          </w:p>
        </w:tc>
        <w:tc>
          <w:tcPr>
            <w:tcW w:w="0" w:type="auto"/>
            <w:vAlign w:val="center"/>
            <w:hideMark/>
          </w:tcPr>
          <w:p w14:paraId="048552A6" w14:textId="77777777" w:rsidR="008B4DB0" w:rsidRPr="008B4DB0" w:rsidRDefault="008B4DB0" w:rsidP="008B4DB0">
            <w:pPr>
              <w:jc w:val="both"/>
              <w:rPr>
                <w:b/>
                <w:bCs/>
                <w:lang w:val="en-GB"/>
              </w:rPr>
            </w:pPr>
            <w:r w:rsidRPr="008B4DB0">
              <w:rPr>
                <w:b/>
                <w:bCs/>
                <w:lang w:val="en-GB"/>
              </w:rPr>
              <w:t>Full Term</w:t>
            </w:r>
          </w:p>
        </w:tc>
      </w:tr>
      <w:tr w:rsidR="008B4DB0" w:rsidRPr="008B4DB0" w14:paraId="1A2F2194" w14:textId="77777777">
        <w:trPr>
          <w:tblCellSpacing w:w="15" w:type="dxa"/>
        </w:trPr>
        <w:tc>
          <w:tcPr>
            <w:tcW w:w="0" w:type="auto"/>
            <w:vAlign w:val="center"/>
            <w:hideMark/>
          </w:tcPr>
          <w:p w14:paraId="36923408" w14:textId="77777777" w:rsidR="008B4DB0" w:rsidRPr="008B4DB0" w:rsidRDefault="008B4DB0" w:rsidP="008B4DB0">
            <w:pPr>
              <w:jc w:val="both"/>
              <w:rPr>
                <w:lang w:val="en-GB"/>
              </w:rPr>
            </w:pPr>
            <w:r w:rsidRPr="008B4DB0">
              <w:rPr>
                <w:b/>
                <w:bCs/>
                <w:lang w:val="en-GB"/>
              </w:rPr>
              <w:t>BBC</w:t>
            </w:r>
          </w:p>
        </w:tc>
        <w:tc>
          <w:tcPr>
            <w:tcW w:w="0" w:type="auto"/>
            <w:vAlign w:val="center"/>
            <w:hideMark/>
          </w:tcPr>
          <w:p w14:paraId="21E2F073" w14:textId="77777777" w:rsidR="008B4DB0" w:rsidRPr="008B4DB0" w:rsidRDefault="008B4DB0" w:rsidP="008B4DB0">
            <w:pPr>
              <w:jc w:val="both"/>
              <w:rPr>
                <w:lang w:val="en-GB"/>
              </w:rPr>
            </w:pPr>
            <w:r w:rsidRPr="008B4DB0">
              <w:rPr>
                <w:lang w:val="en-GB"/>
              </w:rPr>
              <w:t>British Broadcasting Corporation</w:t>
            </w:r>
          </w:p>
        </w:tc>
      </w:tr>
      <w:tr w:rsidR="008B4DB0" w:rsidRPr="008B4DB0" w14:paraId="5E545627" w14:textId="77777777">
        <w:trPr>
          <w:tblCellSpacing w:w="15" w:type="dxa"/>
        </w:trPr>
        <w:tc>
          <w:tcPr>
            <w:tcW w:w="0" w:type="auto"/>
            <w:vAlign w:val="center"/>
            <w:hideMark/>
          </w:tcPr>
          <w:p w14:paraId="1D27EE47" w14:textId="77777777" w:rsidR="008B4DB0" w:rsidRPr="008B4DB0" w:rsidRDefault="008B4DB0" w:rsidP="008B4DB0">
            <w:pPr>
              <w:jc w:val="both"/>
              <w:rPr>
                <w:lang w:val="en-GB"/>
              </w:rPr>
            </w:pPr>
            <w:r w:rsidRPr="008B4DB0">
              <w:rPr>
                <w:b/>
                <w:bCs/>
                <w:lang w:val="en-GB"/>
              </w:rPr>
              <w:t>BMJ</w:t>
            </w:r>
          </w:p>
        </w:tc>
        <w:tc>
          <w:tcPr>
            <w:tcW w:w="0" w:type="auto"/>
            <w:vAlign w:val="center"/>
            <w:hideMark/>
          </w:tcPr>
          <w:p w14:paraId="1FECE686" w14:textId="77777777" w:rsidR="008B4DB0" w:rsidRPr="008B4DB0" w:rsidRDefault="008B4DB0" w:rsidP="008B4DB0">
            <w:pPr>
              <w:jc w:val="both"/>
              <w:rPr>
                <w:lang w:val="en-GB"/>
              </w:rPr>
            </w:pPr>
            <w:r w:rsidRPr="008B4DB0">
              <w:rPr>
                <w:lang w:val="en-GB"/>
              </w:rPr>
              <w:t>British Medical Journal</w:t>
            </w:r>
          </w:p>
        </w:tc>
      </w:tr>
      <w:tr w:rsidR="008B4DB0" w:rsidRPr="008B4DB0" w14:paraId="741A2A61" w14:textId="77777777">
        <w:trPr>
          <w:tblCellSpacing w:w="15" w:type="dxa"/>
        </w:trPr>
        <w:tc>
          <w:tcPr>
            <w:tcW w:w="0" w:type="auto"/>
            <w:vAlign w:val="center"/>
            <w:hideMark/>
          </w:tcPr>
          <w:p w14:paraId="647A0E34" w14:textId="77777777" w:rsidR="008B4DB0" w:rsidRPr="008B4DB0" w:rsidRDefault="008B4DB0" w:rsidP="008B4DB0">
            <w:pPr>
              <w:jc w:val="both"/>
              <w:rPr>
                <w:lang w:val="en-GB"/>
              </w:rPr>
            </w:pPr>
            <w:r w:rsidRPr="008B4DB0">
              <w:rPr>
                <w:b/>
                <w:bCs/>
                <w:lang w:val="en-GB"/>
              </w:rPr>
              <w:t>CQC</w:t>
            </w:r>
          </w:p>
        </w:tc>
        <w:tc>
          <w:tcPr>
            <w:tcW w:w="0" w:type="auto"/>
            <w:vAlign w:val="center"/>
            <w:hideMark/>
          </w:tcPr>
          <w:p w14:paraId="397FBA48" w14:textId="77777777" w:rsidR="008B4DB0" w:rsidRPr="008B4DB0" w:rsidRDefault="008B4DB0" w:rsidP="008B4DB0">
            <w:pPr>
              <w:jc w:val="both"/>
              <w:rPr>
                <w:lang w:val="en-GB"/>
              </w:rPr>
            </w:pPr>
            <w:r w:rsidRPr="008B4DB0">
              <w:rPr>
                <w:lang w:val="en-GB"/>
              </w:rPr>
              <w:t>Care Quality Commission</w:t>
            </w:r>
          </w:p>
        </w:tc>
      </w:tr>
      <w:tr w:rsidR="008B4DB0" w:rsidRPr="008B4DB0" w14:paraId="0ADAD207" w14:textId="77777777">
        <w:trPr>
          <w:tblCellSpacing w:w="15" w:type="dxa"/>
        </w:trPr>
        <w:tc>
          <w:tcPr>
            <w:tcW w:w="0" w:type="auto"/>
            <w:vAlign w:val="center"/>
            <w:hideMark/>
          </w:tcPr>
          <w:p w14:paraId="2AD8BD5B" w14:textId="77777777" w:rsidR="008B4DB0" w:rsidRPr="008B4DB0" w:rsidRDefault="008B4DB0" w:rsidP="008B4DB0">
            <w:pPr>
              <w:jc w:val="both"/>
              <w:rPr>
                <w:lang w:val="en-GB"/>
              </w:rPr>
            </w:pPr>
            <w:r w:rsidRPr="008B4DB0">
              <w:rPr>
                <w:b/>
                <w:bCs/>
                <w:lang w:val="en-GB"/>
              </w:rPr>
              <w:t>DHSC</w:t>
            </w:r>
          </w:p>
        </w:tc>
        <w:tc>
          <w:tcPr>
            <w:tcW w:w="0" w:type="auto"/>
            <w:vAlign w:val="center"/>
            <w:hideMark/>
          </w:tcPr>
          <w:p w14:paraId="57E5181C" w14:textId="77777777" w:rsidR="008B4DB0" w:rsidRPr="008B4DB0" w:rsidRDefault="008B4DB0" w:rsidP="008B4DB0">
            <w:pPr>
              <w:jc w:val="both"/>
              <w:rPr>
                <w:lang w:val="en-GB"/>
              </w:rPr>
            </w:pPr>
            <w:r w:rsidRPr="008B4DB0">
              <w:rPr>
                <w:lang w:val="en-GB"/>
              </w:rPr>
              <w:t>Department of Health and Social Care</w:t>
            </w:r>
          </w:p>
        </w:tc>
      </w:tr>
      <w:tr w:rsidR="008B4DB0" w:rsidRPr="008B4DB0" w14:paraId="10CCFD94" w14:textId="77777777">
        <w:trPr>
          <w:tblCellSpacing w:w="15" w:type="dxa"/>
        </w:trPr>
        <w:tc>
          <w:tcPr>
            <w:tcW w:w="0" w:type="auto"/>
            <w:vAlign w:val="center"/>
            <w:hideMark/>
          </w:tcPr>
          <w:p w14:paraId="07B80095" w14:textId="77777777" w:rsidR="008B4DB0" w:rsidRPr="008B4DB0" w:rsidRDefault="008B4DB0" w:rsidP="008B4DB0">
            <w:pPr>
              <w:jc w:val="both"/>
              <w:rPr>
                <w:lang w:val="en-GB"/>
              </w:rPr>
            </w:pPr>
            <w:r w:rsidRPr="008B4DB0">
              <w:rPr>
                <w:b/>
                <w:bCs/>
                <w:lang w:val="en-GB"/>
              </w:rPr>
              <w:t>IOM</w:t>
            </w:r>
          </w:p>
        </w:tc>
        <w:tc>
          <w:tcPr>
            <w:tcW w:w="0" w:type="auto"/>
            <w:vAlign w:val="center"/>
            <w:hideMark/>
          </w:tcPr>
          <w:p w14:paraId="38FB03C9" w14:textId="77777777" w:rsidR="008B4DB0" w:rsidRPr="008B4DB0" w:rsidRDefault="008B4DB0" w:rsidP="008B4DB0">
            <w:pPr>
              <w:jc w:val="both"/>
              <w:rPr>
                <w:lang w:val="en-GB"/>
              </w:rPr>
            </w:pPr>
            <w:r w:rsidRPr="008B4DB0">
              <w:rPr>
                <w:lang w:val="en-GB"/>
              </w:rPr>
              <w:t>Institute of Medicine</w:t>
            </w:r>
          </w:p>
        </w:tc>
      </w:tr>
      <w:tr w:rsidR="008B4DB0" w:rsidRPr="008B4DB0" w14:paraId="1C29F96D" w14:textId="77777777">
        <w:trPr>
          <w:tblCellSpacing w:w="15" w:type="dxa"/>
        </w:trPr>
        <w:tc>
          <w:tcPr>
            <w:tcW w:w="0" w:type="auto"/>
            <w:vAlign w:val="center"/>
            <w:hideMark/>
          </w:tcPr>
          <w:p w14:paraId="2328DC27" w14:textId="77777777" w:rsidR="008B4DB0" w:rsidRPr="008B4DB0" w:rsidRDefault="008B4DB0" w:rsidP="008B4DB0">
            <w:pPr>
              <w:jc w:val="both"/>
              <w:rPr>
                <w:lang w:val="en-GB"/>
              </w:rPr>
            </w:pPr>
            <w:r w:rsidRPr="008B4DB0">
              <w:rPr>
                <w:b/>
                <w:bCs/>
                <w:lang w:val="en-GB"/>
              </w:rPr>
              <w:t>JAMA</w:t>
            </w:r>
          </w:p>
        </w:tc>
        <w:tc>
          <w:tcPr>
            <w:tcW w:w="0" w:type="auto"/>
            <w:vAlign w:val="center"/>
            <w:hideMark/>
          </w:tcPr>
          <w:p w14:paraId="71927F49" w14:textId="77777777" w:rsidR="008B4DB0" w:rsidRPr="008B4DB0" w:rsidRDefault="008B4DB0" w:rsidP="008B4DB0">
            <w:pPr>
              <w:jc w:val="both"/>
              <w:rPr>
                <w:lang w:val="en-GB"/>
              </w:rPr>
            </w:pPr>
            <w:r w:rsidRPr="008B4DB0">
              <w:rPr>
                <w:lang w:val="en-GB"/>
              </w:rPr>
              <w:t>Journal of the American Medical Association</w:t>
            </w:r>
          </w:p>
        </w:tc>
      </w:tr>
      <w:tr w:rsidR="008B4DB0" w:rsidRPr="008B4DB0" w14:paraId="2A412F0B" w14:textId="77777777">
        <w:trPr>
          <w:tblCellSpacing w:w="15" w:type="dxa"/>
        </w:trPr>
        <w:tc>
          <w:tcPr>
            <w:tcW w:w="0" w:type="auto"/>
            <w:vAlign w:val="center"/>
            <w:hideMark/>
          </w:tcPr>
          <w:p w14:paraId="11527F47" w14:textId="77777777" w:rsidR="008B4DB0" w:rsidRPr="008B4DB0" w:rsidRDefault="008B4DB0" w:rsidP="008B4DB0">
            <w:pPr>
              <w:jc w:val="both"/>
              <w:rPr>
                <w:lang w:val="en-GB"/>
              </w:rPr>
            </w:pPr>
            <w:r w:rsidRPr="008B4DB0">
              <w:rPr>
                <w:b/>
                <w:bCs/>
                <w:lang w:val="en-GB"/>
              </w:rPr>
              <w:t>Lean</w:t>
            </w:r>
          </w:p>
        </w:tc>
        <w:tc>
          <w:tcPr>
            <w:tcW w:w="0" w:type="auto"/>
            <w:vAlign w:val="center"/>
            <w:hideMark/>
          </w:tcPr>
          <w:p w14:paraId="24E96E82" w14:textId="77777777" w:rsidR="008B4DB0" w:rsidRPr="008B4DB0" w:rsidRDefault="008B4DB0" w:rsidP="008B4DB0">
            <w:pPr>
              <w:jc w:val="both"/>
              <w:rPr>
                <w:lang w:val="en-GB"/>
              </w:rPr>
            </w:pPr>
            <w:r w:rsidRPr="008B4DB0">
              <w:rPr>
                <w:lang w:val="en-GB"/>
              </w:rPr>
              <w:t>Lean Healthcare / Lean methodology</w:t>
            </w:r>
          </w:p>
        </w:tc>
      </w:tr>
      <w:tr w:rsidR="008B4DB0" w:rsidRPr="008B4DB0" w14:paraId="059ECF1A" w14:textId="77777777">
        <w:trPr>
          <w:tblCellSpacing w:w="15" w:type="dxa"/>
        </w:trPr>
        <w:tc>
          <w:tcPr>
            <w:tcW w:w="0" w:type="auto"/>
            <w:vAlign w:val="center"/>
            <w:hideMark/>
          </w:tcPr>
          <w:p w14:paraId="21B68D38" w14:textId="77777777" w:rsidR="008B4DB0" w:rsidRPr="008B4DB0" w:rsidRDefault="008B4DB0" w:rsidP="008B4DB0">
            <w:pPr>
              <w:jc w:val="both"/>
              <w:rPr>
                <w:lang w:val="en-GB"/>
              </w:rPr>
            </w:pPr>
            <w:r w:rsidRPr="008B4DB0">
              <w:rPr>
                <w:b/>
                <w:bCs/>
                <w:lang w:val="en-GB"/>
              </w:rPr>
              <w:t>NHS</w:t>
            </w:r>
          </w:p>
        </w:tc>
        <w:tc>
          <w:tcPr>
            <w:tcW w:w="0" w:type="auto"/>
            <w:vAlign w:val="center"/>
            <w:hideMark/>
          </w:tcPr>
          <w:p w14:paraId="7354571C" w14:textId="77777777" w:rsidR="008B4DB0" w:rsidRPr="008B4DB0" w:rsidRDefault="008B4DB0" w:rsidP="008B4DB0">
            <w:pPr>
              <w:jc w:val="both"/>
              <w:rPr>
                <w:lang w:val="en-GB"/>
              </w:rPr>
            </w:pPr>
            <w:r w:rsidRPr="008B4DB0">
              <w:rPr>
                <w:lang w:val="en-GB"/>
              </w:rPr>
              <w:t>National Health Service</w:t>
            </w:r>
          </w:p>
        </w:tc>
      </w:tr>
      <w:tr w:rsidR="008B4DB0" w:rsidRPr="008B4DB0" w14:paraId="714246EB" w14:textId="77777777">
        <w:trPr>
          <w:tblCellSpacing w:w="15" w:type="dxa"/>
        </w:trPr>
        <w:tc>
          <w:tcPr>
            <w:tcW w:w="0" w:type="auto"/>
            <w:vAlign w:val="center"/>
            <w:hideMark/>
          </w:tcPr>
          <w:p w14:paraId="387BCAB9" w14:textId="77777777" w:rsidR="008B4DB0" w:rsidRPr="008B4DB0" w:rsidRDefault="008B4DB0" w:rsidP="008B4DB0">
            <w:pPr>
              <w:jc w:val="both"/>
              <w:rPr>
                <w:lang w:val="en-GB"/>
              </w:rPr>
            </w:pPr>
            <w:r w:rsidRPr="008B4DB0">
              <w:rPr>
                <w:b/>
                <w:bCs/>
                <w:lang w:val="en-GB"/>
              </w:rPr>
              <w:t>PDCA</w:t>
            </w:r>
          </w:p>
        </w:tc>
        <w:tc>
          <w:tcPr>
            <w:tcW w:w="0" w:type="auto"/>
            <w:vAlign w:val="center"/>
            <w:hideMark/>
          </w:tcPr>
          <w:p w14:paraId="001CF07B" w14:textId="77777777" w:rsidR="008B4DB0" w:rsidRPr="008B4DB0" w:rsidRDefault="008B4DB0" w:rsidP="008B4DB0">
            <w:pPr>
              <w:jc w:val="both"/>
              <w:rPr>
                <w:lang w:val="en-GB"/>
              </w:rPr>
            </w:pPr>
            <w:r w:rsidRPr="008B4DB0">
              <w:rPr>
                <w:lang w:val="en-GB"/>
              </w:rPr>
              <w:t>Plan-Do-Check-Act</w:t>
            </w:r>
          </w:p>
        </w:tc>
      </w:tr>
      <w:tr w:rsidR="008B4DB0" w:rsidRPr="008B4DB0" w14:paraId="13E4C729" w14:textId="77777777">
        <w:trPr>
          <w:tblCellSpacing w:w="15" w:type="dxa"/>
        </w:trPr>
        <w:tc>
          <w:tcPr>
            <w:tcW w:w="0" w:type="auto"/>
            <w:vAlign w:val="center"/>
            <w:hideMark/>
          </w:tcPr>
          <w:p w14:paraId="16A793F8" w14:textId="77777777" w:rsidR="008B4DB0" w:rsidRPr="008B4DB0" w:rsidRDefault="008B4DB0" w:rsidP="008B4DB0">
            <w:pPr>
              <w:jc w:val="both"/>
              <w:rPr>
                <w:lang w:val="en-GB"/>
              </w:rPr>
            </w:pPr>
            <w:r w:rsidRPr="008B4DB0">
              <w:rPr>
                <w:b/>
                <w:bCs/>
                <w:lang w:val="en-GB"/>
              </w:rPr>
              <w:t>PDSA</w:t>
            </w:r>
          </w:p>
        </w:tc>
        <w:tc>
          <w:tcPr>
            <w:tcW w:w="0" w:type="auto"/>
            <w:vAlign w:val="center"/>
            <w:hideMark/>
          </w:tcPr>
          <w:p w14:paraId="35E456DA" w14:textId="77777777" w:rsidR="008B4DB0" w:rsidRPr="008B4DB0" w:rsidRDefault="008B4DB0" w:rsidP="008B4DB0">
            <w:pPr>
              <w:jc w:val="both"/>
              <w:rPr>
                <w:lang w:val="en-GB"/>
              </w:rPr>
            </w:pPr>
            <w:r w:rsidRPr="008B4DB0">
              <w:rPr>
                <w:lang w:val="en-GB"/>
              </w:rPr>
              <w:t>Plan-Do-Study-Act</w:t>
            </w:r>
          </w:p>
        </w:tc>
      </w:tr>
      <w:tr w:rsidR="008B4DB0" w:rsidRPr="008B4DB0" w14:paraId="53D44DED" w14:textId="77777777">
        <w:trPr>
          <w:tblCellSpacing w:w="15" w:type="dxa"/>
        </w:trPr>
        <w:tc>
          <w:tcPr>
            <w:tcW w:w="0" w:type="auto"/>
            <w:vAlign w:val="center"/>
            <w:hideMark/>
          </w:tcPr>
          <w:p w14:paraId="4AB91AD4" w14:textId="77777777" w:rsidR="008B4DB0" w:rsidRPr="008B4DB0" w:rsidRDefault="008B4DB0" w:rsidP="008B4DB0">
            <w:pPr>
              <w:jc w:val="both"/>
              <w:rPr>
                <w:lang w:val="en-GB"/>
              </w:rPr>
            </w:pPr>
            <w:r w:rsidRPr="008B4DB0">
              <w:rPr>
                <w:b/>
                <w:bCs/>
                <w:lang w:val="en-GB"/>
              </w:rPr>
              <w:t>PESTLE</w:t>
            </w:r>
          </w:p>
        </w:tc>
        <w:tc>
          <w:tcPr>
            <w:tcW w:w="0" w:type="auto"/>
            <w:vAlign w:val="center"/>
            <w:hideMark/>
          </w:tcPr>
          <w:p w14:paraId="3A4713ED" w14:textId="77777777" w:rsidR="008B4DB0" w:rsidRPr="008B4DB0" w:rsidRDefault="008B4DB0" w:rsidP="008B4DB0">
            <w:pPr>
              <w:jc w:val="both"/>
              <w:rPr>
                <w:lang w:val="en-GB"/>
              </w:rPr>
            </w:pPr>
            <w:r w:rsidRPr="008B4DB0">
              <w:rPr>
                <w:lang w:val="en-GB"/>
              </w:rPr>
              <w:t>Political, Economic, Social, Technological, Legal, Environmental</w:t>
            </w:r>
          </w:p>
        </w:tc>
      </w:tr>
      <w:tr w:rsidR="008B4DB0" w:rsidRPr="008B4DB0" w14:paraId="6CC3AC9E" w14:textId="77777777">
        <w:trPr>
          <w:tblCellSpacing w:w="15" w:type="dxa"/>
        </w:trPr>
        <w:tc>
          <w:tcPr>
            <w:tcW w:w="0" w:type="auto"/>
            <w:vAlign w:val="center"/>
            <w:hideMark/>
          </w:tcPr>
          <w:p w14:paraId="12BE6D58" w14:textId="77777777" w:rsidR="008B4DB0" w:rsidRPr="008B4DB0" w:rsidRDefault="008B4DB0" w:rsidP="008B4DB0">
            <w:pPr>
              <w:jc w:val="both"/>
              <w:rPr>
                <w:lang w:val="en-GB"/>
              </w:rPr>
            </w:pPr>
            <w:r w:rsidRPr="008B4DB0">
              <w:rPr>
                <w:b/>
                <w:bCs/>
                <w:lang w:val="en-GB"/>
              </w:rPr>
              <w:t>PSIRF</w:t>
            </w:r>
          </w:p>
        </w:tc>
        <w:tc>
          <w:tcPr>
            <w:tcW w:w="0" w:type="auto"/>
            <w:vAlign w:val="center"/>
            <w:hideMark/>
          </w:tcPr>
          <w:p w14:paraId="2E758031" w14:textId="77777777" w:rsidR="008B4DB0" w:rsidRPr="008B4DB0" w:rsidRDefault="008B4DB0" w:rsidP="008B4DB0">
            <w:pPr>
              <w:jc w:val="both"/>
              <w:rPr>
                <w:lang w:val="en-GB"/>
              </w:rPr>
            </w:pPr>
            <w:r w:rsidRPr="008B4DB0">
              <w:rPr>
                <w:lang w:val="en-GB"/>
              </w:rPr>
              <w:t>Patient Safety Incident Response Framework</w:t>
            </w:r>
          </w:p>
        </w:tc>
      </w:tr>
      <w:tr w:rsidR="008B4DB0" w:rsidRPr="008B4DB0" w14:paraId="15FDB617" w14:textId="77777777">
        <w:trPr>
          <w:tblCellSpacing w:w="15" w:type="dxa"/>
        </w:trPr>
        <w:tc>
          <w:tcPr>
            <w:tcW w:w="0" w:type="auto"/>
            <w:vAlign w:val="center"/>
            <w:hideMark/>
          </w:tcPr>
          <w:p w14:paraId="29C21AEB" w14:textId="77777777" w:rsidR="008B4DB0" w:rsidRPr="008B4DB0" w:rsidRDefault="008B4DB0" w:rsidP="008B4DB0">
            <w:pPr>
              <w:jc w:val="both"/>
              <w:rPr>
                <w:lang w:val="en-GB"/>
              </w:rPr>
            </w:pPr>
            <w:r w:rsidRPr="008B4DB0">
              <w:rPr>
                <w:b/>
                <w:bCs/>
                <w:lang w:val="en-GB"/>
              </w:rPr>
              <w:t>QI</w:t>
            </w:r>
          </w:p>
        </w:tc>
        <w:tc>
          <w:tcPr>
            <w:tcW w:w="0" w:type="auto"/>
            <w:vAlign w:val="center"/>
            <w:hideMark/>
          </w:tcPr>
          <w:p w14:paraId="168F640B" w14:textId="77777777" w:rsidR="008B4DB0" w:rsidRPr="008B4DB0" w:rsidRDefault="008B4DB0" w:rsidP="008B4DB0">
            <w:pPr>
              <w:jc w:val="both"/>
              <w:rPr>
                <w:lang w:val="en-GB"/>
              </w:rPr>
            </w:pPr>
            <w:r w:rsidRPr="008B4DB0">
              <w:rPr>
                <w:lang w:val="en-GB"/>
              </w:rPr>
              <w:t>Quality Improvement</w:t>
            </w:r>
          </w:p>
        </w:tc>
      </w:tr>
      <w:tr w:rsidR="008B4DB0" w:rsidRPr="008B4DB0" w14:paraId="15AB2E49" w14:textId="77777777">
        <w:trPr>
          <w:tblCellSpacing w:w="15" w:type="dxa"/>
        </w:trPr>
        <w:tc>
          <w:tcPr>
            <w:tcW w:w="0" w:type="auto"/>
            <w:vAlign w:val="center"/>
            <w:hideMark/>
          </w:tcPr>
          <w:p w14:paraId="413F5DC2" w14:textId="77777777" w:rsidR="008B4DB0" w:rsidRPr="008B4DB0" w:rsidRDefault="008B4DB0" w:rsidP="008B4DB0">
            <w:pPr>
              <w:jc w:val="both"/>
              <w:rPr>
                <w:lang w:val="en-GB"/>
              </w:rPr>
            </w:pPr>
            <w:r w:rsidRPr="008B4DB0">
              <w:rPr>
                <w:b/>
                <w:bCs/>
                <w:lang w:val="en-GB"/>
              </w:rPr>
              <w:t>RCA</w:t>
            </w:r>
          </w:p>
        </w:tc>
        <w:tc>
          <w:tcPr>
            <w:tcW w:w="0" w:type="auto"/>
            <w:vAlign w:val="center"/>
            <w:hideMark/>
          </w:tcPr>
          <w:p w14:paraId="36FCA74E" w14:textId="77777777" w:rsidR="008B4DB0" w:rsidRPr="008B4DB0" w:rsidRDefault="008B4DB0" w:rsidP="008B4DB0">
            <w:pPr>
              <w:jc w:val="both"/>
              <w:rPr>
                <w:lang w:val="en-GB"/>
              </w:rPr>
            </w:pPr>
            <w:r w:rsidRPr="008B4DB0">
              <w:rPr>
                <w:lang w:val="en-GB"/>
              </w:rPr>
              <w:t>Root-Cause Analysis</w:t>
            </w:r>
          </w:p>
        </w:tc>
      </w:tr>
      <w:tr w:rsidR="008B4DB0" w:rsidRPr="008B4DB0" w14:paraId="44BA9AD3" w14:textId="77777777">
        <w:trPr>
          <w:tblCellSpacing w:w="15" w:type="dxa"/>
        </w:trPr>
        <w:tc>
          <w:tcPr>
            <w:tcW w:w="0" w:type="auto"/>
            <w:vAlign w:val="center"/>
            <w:hideMark/>
          </w:tcPr>
          <w:p w14:paraId="631B5CEA" w14:textId="77777777" w:rsidR="008B4DB0" w:rsidRPr="008B4DB0" w:rsidRDefault="008B4DB0" w:rsidP="008B4DB0">
            <w:pPr>
              <w:jc w:val="both"/>
              <w:rPr>
                <w:lang w:val="en-GB"/>
              </w:rPr>
            </w:pPr>
            <w:r w:rsidRPr="008B4DB0">
              <w:rPr>
                <w:b/>
                <w:bCs/>
                <w:lang w:val="en-GB"/>
              </w:rPr>
              <w:t>RCPCH</w:t>
            </w:r>
          </w:p>
        </w:tc>
        <w:tc>
          <w:tcPr>
            <w:tcW w:w="0" w:type="auto"/>
            <w:vAlign w:val="center"/>
            <w:hideMark/>
          </w:tcPr>
          <w:p w14:paraId="2BC87844" w14:textId="77777777" w:rsidR="008B4DB0" w:rsidRPr="008B4DB0" w:rsidRDefault="008B4DB0" w:rsidP="008B4DB0">
            <w:pPr>
              <w:jc w:val="both"/>
              <w:rPr>
                <w:lang w:val="en-GB"/>
              </w:rPr>
            </w:pPr>
            <w:r w:rsidRPr="008B4DB0">
              <w:rPr>
                <w:lang w:val="en-GB"/>
              </w:rPr>
              <w:t>Royal College of Paediatrics and Child Health</w:t>
            </w:r>
          </w:p>
        </w:tc>
      </w:tr>
      <w:tr w:rsidR="008B4DB0" w:rsidRPr="008B4DB0" w14:paraId="25ABBB6F" w14:textId="77777777">
        <w:trPr>
          <w:tblCellSpacing w:w="15" w:type="dxa"/>
        </w:trPr>
        <w:tc>
          <w:tcPr>
            <w:tcW w:w="0" w:type="auto"/>
            <w:vAlign w:val="center"/>
            <w:hideMark/>
          </w:tcPr>
          <w:p w14:paraId="45D26D7D" w14:textId="77777777" w:rsidR="008B4DB0" w:rsidRPr="008B4DB0" w:rsidRDefault="008B4DB0" w:rsidP="008B4DB0">
            <w:pPr>
              <w:jc w:val="both"/>
              <w:rPr>
                <w:lang w:val="en-GB"/>
              </w:rPr>
            </w:pPr>
            <w:r w:rsidRPr="008B4DB0">
              <w:rPr>
                <w:b/>
                <w:bCs/>
                <w:lang w:val="en-GB"/>
              </w:rPr>
              <w:t>Six Sigma</w:t>
            </w:r>
          </w:p>
        </w:tc>
        <w:tc>
          <w:tcPr>
            <w:tcW w:w="0" w:type="auto"/>
            <w:vAlign w:val="center"/>
            <w:hideMark/>
          </w:tcPr>
          <w:p w14:paraId="34BF3046" w14:textId="77777777" w:rsidR="008B4DB0" w:rsidRPr="008B4DB0" w:rsidRDefault="008B4DB0" w:rsidP="008B4DB0">
            <w:pPr>
              <w:jc w:val="both"/>
              <w:rPr>
                <w:lang w:val="en-GB"/>
              </w:rPr>
            </w:pPr>
            <w:r w:rsidRPr="008B4DB0">
              <w:rPr>
                <w:lang w:val="en-GB"/>
              </w:rPr>
              <w:t>Six Sigma Quality Improvement Methodology</w:t>
            </w:r>
          </w:p>
        </w:tc>
      </w:tr>
      <w:tr w:rsidR="008B4DB0" w:rsidRPr="008B4DB0" w14:paraId="36FB87E9" w14:textId="77777777">
        <w:trPr>
          <w:tblCellSpacing w:w="15" w:type="dxa"/>
        </w:trPr>
        <w:tc>
          <w:tcPr>
            <w:tcW w:w="0" w:type="auto"/>
            <w:vAlign w:val="center"/>
            <w:hideMark/>
          </w:tcPr>
          <w:p w14:paraId="4842482C" w14:textId="77777777" w:rsidR="008B4DB0" w:rsidRPr="008B4DB0" w:rsidRDefault="008B4DB0" w:rsidP="008B4DB0">
            <w:pPr>
              <w:jc w:val="both"/>
              <w:rPr>
                <w:lang w:val="en-GB"/>
              </w:rPr>
            </w:pPr>
            <w:r w:rsidRPr="008B4DB0">
              <w:rPr>
                <w:b/>
                <w:bCs/>
                <w:lang w:val="en-GB"/>
              </w:rPr>
              <w:t>SWOT</w:t>
            </w:r>
          </w:p>
        </w:tc>
        <w:tc>
          <w:tcPr>
            <w:tcW w:w="0" w:type="auto"/>
            <w:vAlign w:val="center"/>
            <w:hideMark/>
          </w:tcPr>
          <w:p w14:paraId="31D79853" w14:textId="77777777" w:rsidR="008B4DB0" w:rsidRPr="008B4DB0" w:rsidRDefault="008B4DB0" w:rsidP="008B4DB0">
            <w:pPr>
              <w:jc w:val="both"/>
              <w:rPr>
                <w:lang w:val="en-GB"/>
              </w:rPr>
            </w:pPr>
            <w:r w:rsidRPr="008B4DB0">
              <w:rPr>
                <w:lang w:val="en-GB"/>
              </w:rPr>
              <w:t>Strengths, Weaknesses, Opportunities, Threats</w:t>
            </w:r>
          </w:p>
        </w:tc>
      </w:tr>
      <w:tr w:rsidR="008B4DB0" w:rsidRPr="008B4DB0" w14:paraId="778BF594" w14:textId="77777777">
        <w:trPr>
          <w:tblCellSpacing w:w="15" w:type="dxa"/>
        </w:trPr>
        <w:tc>
          <w:tcPr>
            <w:tcW w:w="0" w:type="auto"/>
            <w:vAlign w:val="center"/>
            <w:hideMark/>
          </w:tcPr>
          <w:p w14:paraId="6A99D4BA" w14:textId="77777777" w:rsidR="008B4DB0" w:rsidRPr="008B4DB0" w:rsidRDefault="008B4DB0" w:rsidP="008B4DB0">
            <w:pPr>
              <w:jc w:val="both"/>
              <w:rPr>
                <w:lang w:val="en-GB"/>
              </w:rPr>
            </w:pPr>
            <w:r w:rsidRPr="008B4DB0">
              <w:rPr>
                <w:b/>
                <w:bCs/>
                <w:lang w:val="en-GB"/>
              </w:rPr>
              <w:t>WHO</w:t>
            </w:r>
          </w:p>
        </w:tc>
        <w:tc>
          <w:tcPr>
            <w:tcW w:w="0" w:type="auto"/>
            <w:vAlign w:val="center"/>
            <w:hideMark/>
          </w:tcPr>
          <w:p w14:paraId="2A82D0AB" w14:textId="77777777" w:rsidR="008B4DB0" w:rsidRPr="008B4DB0" w:rsidRDefault="008B4DB0" w:rsidP="008B4DB0">
            <w:pPr>
              <w:jc w:val="both"/>
              <w:rPr>
                <w:lang w:val="en-GB"/>
              </w:rPr>
            </w:pPr>
            <w:r w:rsidRPr="008B4DB0">
              <w:rPr>
                <w:lang w:val="en-GB"/>
              </w:rPr>
              <w:t>World Health Organization</w:t>
            </w:r>
          </w:p>
        </w:tc>
      </w:tr>
    </w:tbl>
    <w:p w14:paraId="62A4239F" w14:textId="77777777" w:rsidR="00D23E6E" w:rsidRDefault="00000000" w:rsidP="005A3EDF">
      <w:pPr>
        <w:jc w:val="both"/>
      </w:pPr>
      <w:r>
        <w:br w:type="page"/>
      </w:r>
    </w:p>
    <w:p w14:paraId="4DF78425" w14:textId="77777777" w:rsidR="00D23E6E" w:rsidRDefault="00000000" w:rsidP="005A3EDF">
      <w:pPr>
        <w:pStyle w:val="Heading1"/>
        <w:jc w:val="both"/>
      </w:pPr>
      <w:r>
        <w:lastRenderedPageBreak/>
        <w:t>1. Introduction and Contextual Background</w:t>
      </w:r>
    </w:p>
    <w:p w14:paraId="2B95632C" w14:textId="77777777" w:rsidR="00D23E6E" w:rsidRDefault="00000000" w:rsidP="005A3EDF">
      <w:pPr>
        <w:jc w:val="both"/>
      </w:pPr>
      <w:r>
        <w:t>Quality improvement (QI) is a central component of safe healthcare because high-quality services must continuously identify variation, learn from failures and redesign systems. The Institute of Medicine (2001) conceptualises quality through safety, effectiveness, patient-centredness, timeliness, efficiency and equity. This multidimensional definition is important because a service may perform well against financial or activity indicators while still providing unacceptable patient care. Donabedian (1988) similarly proposes that quality can be understood through structure, process and outcome, linking organisational resources and conditions with the way care is delivered and the results experienced by patients.</w:t>
      </w:r>
    </w:p>
    <w:p w14:paraId="1D0A5FC2" w14:textId="77777777" w:rsidR="00D23E6E" w:rsidRDefault="00000000" w:rsidP="005A3EDF">
      <w:pPr>
        <w:jc w:val="both"/>
      </w:pPr>
      <w:r>
        <w:t>The Mid Staffordshire NHS Foundation Trust case is a powerful illustration of what can occur when these dimensions become disconnected. The Healthcare Commission's 2009 investigation identified serious concerns about care at Stafford Hospital and prompted further investigation. The subsequent Francis inquiries demonstrated that the problems were not adequately explained by isolated clinical errors. Rather, they involved interacting weaknesses in leadership, staffing, governance, organisational culture, complaints handling, patient voice and external scrutiny (Healthcare Commission, 2009; Francis, 2010; Francis, 2013). The final Public Inquiry made 290 recommendations, demonstrating the scale and systemic nature of the findings. The Government's later response addressed the recommendations through measures intended to strengthen openness, staffing transparency, complaints learning and patient safety (Department of Health, 2013).</w:t>
      </w:r>
    </w:p>
    <w:p w14:paraId="320867F9" w14:textId="77777777" w:rsidR="00D23E6E" w:rsidRDefault="00000000" w:rsidP="005A3EDF">
      <w:pPr>
        <w:jc w:val="both"/>
      </w:pPr>
      <w:r>
        <w:t>This report critically analyses Mid Staffordshire as a systems-level quality and patient-safety failure and proposes a 12-month improvement strategy. The analysis deliberately distinguishes warning signals from causal claims. It uses Fishbone and Five Whys to explore contributory factors, Donabedian to connect structure, process and outcome, and SWOT to assess implementation conditions. PDSA, Lean and Six Sigma are then integrated into a practical improvement programme. The strategy is evaluated through outcome, process and balancing measures, with contemporary NHS patient-safety principles informing sustainability.</w:t>
      </w:r>
    </w:p>
    <w:p w14:paraId="7D8C1AD6" w14:textId="77777777" w:rsidR="00BC107B" w:rsidRDefault="00BC107B" w:rsidP="005A3EDF">
      <w:pPr>
        <w:jc w:val="both"/>
      </w:pPr>
    </w:p>
    <w:p w14:paraId="12BEB2DF" w14:textId="77777777" w:rsidR="00BC107B" w:rsidRDefault="00BC107B" w:rsidP="005A3EDF">
      <w:pPr>
        <w:jc w:val="both"/>
      </w:pPr>
    </w:p>
    <w:p w14:paraId="2458567D" w14:textId="77777777" w:rsidR="00BC107B" w:rsidRDefault="00BC107B" w:rsidP="005A3EDF">
      <w:pPr>
        <w:jc w:val="both"/>
      </w:pPr>
    </w:p>
    <w:p w14:paraId="078994C6" w14:textId="77777777" w:rsidR="00D23E6E" w:rsidRDefault="00000000" w:rsidP="005A3EDF">
      <w:pPr>
        <w:pStyle w:val="Heading1"/>
        <w:jc w:val="both"/>
      </w:pPr>
      <w:r>
        <w:lastRenderedPageBreak/>
        <w:t>2. Critical Analysis and Evidence Base</w:t>
      </w:r>
    </w:p>
    <w:p w14:paraId="441D3730" w14:textId="77777777" w:rsidR="00D23E6E" w:rsidRDefault="00000000" w:rsidP="005A3EDF">
      <w:pPr>
        <w:jc w:val="both"/>
      </w:pPr>
      <w:r>
        <w:t>Mortality indicators were an important warning signal in the Mid Staffordshire case, but a Level 7 analysis should avoid interpreting an elevated mortality ratio as a direct count of deaths caused by poor care. Mortality statistics are screening signals that require investigation and triangulation. Their interpretation should be combined with patient accounts, complaints, staffing information, clinical evidence and regulatory findings. This distinction is essential because correlation does not establish causation and because hospital mortality is influenced by case mix, comorbidity and other factors. The significance of the Mid Staffordshire evidence therefore rests on convergence across multiple sources rather than on one numerical indicator.</w:t>
      </w:r>
    </w:p>
    <w:p w14:paraId="2FDAFC50" w14:textId="77777777" w:rsidR="00D23E6E" w:rsidRDefault="00000000" w:rsidP="005A3EDF">
      <w:pPr>
        <w:jc w:val="both"/>
      </w:pPr>
      <w:r>
        <w:t>The Francis Inquiry provides that wider evidence base. It documented unacceptable experiences of care and deficiencies in organisational systems, demonstrating that the issue was not simply technical performance. A key governance lesson is that organisations require multiple sources of safety intelligence and must act when different indicators point towards deterioration. A dashboard that only reports mortality, waiting times or financial performance may create false reassurance. Effective governance should integrate clinical outcomes, staffing, patient experience, complaints, incident learning and qualitative staff intelligence.</w:t>
      </w:r>
    </w:p>
    <w:p w14:paraId="7F0E54A9" w14:textId="77777777" w:rsidR="00D23E6E" w:rsidRDefault="00000000" w:rsidP="005A3EDF">
      <w:pPr>
        <w:jc w:val="both"/>
      </w:pPr>
      <w:r>
        <w:t>Workforce capacity was a major concern. Francis (2013) identified problems associated with staffing and the delivery of fundamental care. Wider evidence supports the importance of adequate nurse staffing, although associations should not be simplistically transferred from one setting to another. Aiken et al. (2014) found associations between nurse staffing, nurse education and hospital mortality across European hospitals. The critical implication is that staffing is a system variable interacting with acuity, skill mix, supervision, workload, leadership and escalation processes. Consequently, the proposed intervention does not rely on a staffing number alone; it combines safe staffing oversight with escalation and monitoring of staff wellbeing.</w:t>
      </w:r>
    </w:p>
    <w:p w14:paraId="63D2E229" w14:textId="77777777" w:rsidR="00D23E6E" w:rsidRDefault="00000000" w:rsidP="005A3EDF">
      <w:pPr>
        <w:jc w:val="both"/>
      </w:pPr>
      <w:r>
        <w:t>Organisational culture provides a further explanatory layer. Francis (2013) described an environment in which concerns were not sufficiently challenged and poor standards could become normalised. Edmondson's (1999) concept of psychological safety is relevant because staff need to feel able to speak up, question decisions and report risk. However, psychological safety should not be treated as a standalone solution. Culture is shaped by leadership behaviour, organisational structures, workload, incentives and the way concerns are responded to (Mannion and Davies, 2018). A safety culture intervention must therefore be supported by visible leadership action and credible escalation routes.</w:t>
      </w:r>
    </w:p>
    <w:p w14:paraId="2C3B2805" w14:textId="77777777" w:rsidR="00D23E6E" w:rsidRDefault="00000000" w:rsidP="005A3EDF">
      <w:pPr>
        <w:jc w:val="both"/>
      </w:pPr>
      <w:r>
        <w:t xml:space="preserve">Leadership and governance are particularly important because organisational priorities determine what receives attention. The Francis Inquiry showed how the pursuit of organisational objectives could </w:t>
      </w:r>
      <w:r>
        <w:lastRenderedPageBreak/>
        <w:t>become disconnected from the fundamental requirement to provide safe, compassionate care (Francis, 2013). Financial stewardship is legitimate and necessary in the NHS, but it becomes unsafe when cost control is treated as an end in itself rather than balanced with quality and patient safety. Boards should therefore examine quality, workforce, patient experience and financial indicators together and explicitly test whether efficiency initiatives create unintended safety consequences.</w:t>
      </w:r>
    </w:p>
    <w:p w14:paraId="747B1B95" w14:textId="77777777" w:rsidR="00D23E6E" w:rsidRDefault="00000000" w:rsidP="005A3EDF">
      <w:pPr>
        <w:jc w:val="both"/>
      </w:pPr>
      <w:r>
        <w:t>Patient voice is another critical dimension. Complaints and patient stories are potential sources of safety intelligence, not merely reputational threats. If complaints are minimised or handled defensively, the organisation loses an important opportunity to detect harm and learn. Importantly, a reduction in complaint numbers does not necessarily demonstrate improvement; it may reflect barriers to reporting. The proposed strategy therefore focuses on complaint themes, timeliness of responses, evidence of learning and direct patient involvement rather than complaint volume alone.</w:t>
      </w:r>
    </w:p>
    <w:p w14:paraId="31DE262E" w14:textId="77777777" w:rsidR="00D23E6E" w:rsidRDefault="00000000" w:rsidP="005A3EDF">
      <w:pPr>
        <w:jc w:val="both"/>
      </w:pPr>
      <w:r>
        <w:t>External regulation also matters. The case illustrates the risk of fragmented assurance when different bodies hold pieces of information but no organisation creates a sufficiently coherent picture of risk. The Government response after Francis sought to improve transparency and surveillance, including greater visibility of staffing and complaints learning. The contemporary PSIRF approach similarly emphasises system-based learning, proportionate responses and involvement of patients, families and staff (NHS England, 2022). These developments reinforce the argument that patient safety requires an integrated learning system rather than isolated investigations.</w:t>
      </w:r>
    </w:p>
    <w:p w14:paraId="326B80B6" w14:textId="77777777" w:rsidR="00D23E6E" w:rsidRDefault="00000000" w:rsidP="005A3EDF">
      <w:pPr>
        <w:pStyle w:val="Heading1"/>
        <w:jc w:val="both"/>
      </w:pPr>
      <w:r>
        <w:t>3. Root-Cause Analysis</w:t>
      </w:r>
    </w:p>
    <w:p w14:paraId="6135A354" w14:textId="77777777" w:rsidR="00D23E6E" w:rsidRDefault="00000000" w:rsidP="005A3EDF">
      <w:pPr>
        <w:jc w:val="both"/>
      </w:pPr>
      <w:r>
        <w:t>Root-cause analysis should be used carefully in complex healthcare because there may be multiple interacting contributors rather than one final cause. Reason (2000) argues for understanding how system conditions create opportunities for error. The following tools are therefore used as complementary lenses rather than as proof of a single causal pathway.</w:t>
      </w:r>
    </w:p>
    <w:p w14:paraId="62563618" w14:textId="77777777" w:rsidR="00BC107B" w:rsidRDefault="00BC107B" w:rsidP="00BC107B">
      <w:pPr>
        <w:pStyle w:val="Heading2"/>
        <w:jc w:val="both"/>
      </w:pPr>
      <w:r>
        <w:t>3.1 Fishbone Analysis</w:t>
      </w:r>
    </w:p>
    <w:p w14:paraId="20661069" w14:textId="224DA7D0" w:rsidR="00BC107B" w:rsidRDefault="00BC107B" w:rsidP="00BC107B">
      <w:pPr>
        <w:jc w:val="both"/>
      </w:pPr>
      <w:r>
        <w:t xml:space="preserve">The Fishbone framework </w:t>
      </w:r>
      <w:r w:rsidR="00686569">
        <w:t>organizes</w:t>
      </w:r>
      <w:r>
        <w:t xml:space="preserve"> interacting contributors rather than identifying a single cause. It is useful for multidisciplinary discussion because it makes the relationship between workforce, leadership, culture, governance, processes, patient voice and regulation visible.</w:t>
      </w:r>
    </w:p>
    <w:p w14:paraId="06904FE2" w14:textId="77777777" w:rsidR="00BC107B" w:rsidRDefault="00BC107B" w:rsidP="00BC107B">
      <w:pPr>
        <w:jc w:val="both"/>
      </w:pPr>
      <w:r>
        <w:rPr>
          <w:noProof/>
        </w:rPr>
        <w:lastRenderedPageBreak/>
        <w:drawing>
          <wp:inline distT="0" distB="0" distL="0" distR="0" wp14:anchorId="586FADB4" wp14:editId="66250618">
            <wp:extent cx="6103620" cy="2592070"/>
            <wp:effectExtent l="0" t="0" r="0" b="0"/>
            <wp:docPr id="931631883" name="Picture 93163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bone.png"/>
                    <pic:cNvPicPr/>
                  </pic:nvPicPr>
                  <pic:blipFill>
                    <a:blip r:embed="rId8"/>
                    <a:stretch>
                      <a:fillRect/>
                    </a:stretch>
                  </pic:blipFill>
                  <pic:spPr>
                    <a:xfrm>
                      <a:off x="0" y="0"/>
                      <a:ext cx="6104508" cy="2592447"/>
                    </a:xfrm>
                    <a:prstGeom prst="rect">
                      <a:avLst/>
                    </a:prstGeom>
                  </pic:spPr>
                </pic:pic>
              </a:graphicData>
            </a:graphic>
          </wp:inline>
        </w:drawing>
      </w:r>
    </w:p>
    <w:p w14:paraId="69554C5E" w14:textId="77777777" w:rsidR="00BC107B" w:rsidRDefault="00BC107B" w:rsidP="00BC107B">
      <w:pPr>
        <w:jc w:val="both"/>
      </w:pPr>
      <w:r>
        <w:rPr>
          <w:i/>
          <w:color w:val="666666"/>
          <w:sz w:val="17"/>
        </w:rPr>
        <w:t>Figure 1. Fishbone analysis of contributing factors to unsafe and poor-quality patient care. Source: Author's own construction informed by Francis (2013), Reason (2000) and Mannion and Davies (2018).</w:t>
      </w:r>
    </w:p>
    <w:p w14:paraId="085FA5FE" w14:textId="77777777" w:rsidR="00BC107B" w:rsidRDefault="00BC107B" w:rsidP="00BC107B">
      <w:pPr>
        <w:jc w:val="both"/>
      </w:pPr>
      <w:r>
        <w:t>The main limitation is that a Fishbone diagram can make a complex adaptive system appear linear. The factors shown should therefore be treated as interacting contributors. For example, inadequate staffing can increase workload, reduce supervision, weaken communication and contribute to burnout, while a defensive culture may simultaneously reduce escalation.</w:t>
      </w:r>
    </w:p>
    <w:p w14:paraId="3A348ED1" w14:textId="77777777" w:rsidR="00BC107B" w:rsidRDefault="00BC107B" w:rsidP="00BC107B">
      <w:pPr>
        <w:pStyle w:val="Heading2"/>
        <w:jc w:val="both"/>
      </w:pPr>
      <w:r>
        <w:t>3.2 Five Whys</w:t>
      </w:r>
    </w:p>
    <w:tbl>
      <w:tblPr>
        <w:tblW w:w="0" w:type="auto"/>
        <w:jc w:val="center"/>
        <w:tblLook w:val="04A0" w:firstRow="1" w:lastRow="0" w:firstColumn="1" w:lastColumn="0" w:noHBand="0" w:noVBand="1"/>
      </w:tblPr>
      <w:tblGrid>
        <w:gridCol w:w="4896"/>
        <w:gridCol w:w="4896"/>
      </w:tblGrid>
      <w:tr w:rsidR="00BC107B" w14:paraId="1322525E" w14:textId="77777777" w:rsidTr="00F90F72">
        <w:trPr>
          <w:jc w:val="center"/>
        </w:trPr>
        <w:tc>
          <w:tcPr>
            <w:tcW w:w="4896" w:type="dxa"/>
            <w:shd w:val="clear" w:color="auto" w:fill="17365D"/>
            <w:vAlign w:val="center"/>
          </w:tcPr>
          <w:p w14:paraId="0D57B0E9" w14:textId="77777777" w:rsidR="00BC107B" w:rsidRDefault="00BC107B" w:rsidP="00F90F72">
            <w:pPr>
              <w:jc w:val="both"/>
            </w:pPr>
            <w:r>
              <w:rPr>
                <w:b/>
                <w:color w:val="FFFFFF"/>
                <w:sz w:val="18"/>
              </w:rPr>
              <w:t>Stage</w:t>
            </w:r>
          </w:p>
        </w:tc>
        <w:tc>
          <w:tcPr>
            <w:tcW w:w="4896" w:type="dxa"/>
            <w:shd w:val="clear" w:color="auto" w:fill="17365D"/>
            <w:vAlign w:val="center"/>
          </w:tcPr>
          <w:p w14:paraId="782A8AF8" w14:textId="77777777" w:rsidR="00BC107B" w:rsidRDefault="00BC107B" w:rsidP="00F90F72">
            <w:pPr>
              <w:jc w:val="both"/>
            </w:pPr>
            <w:r>
              <w:rPr>
                <w:b/>
                <w:color w:val="FFFFFF"/>
                <w:sz w:val="18"/>
              </w:rPr>
              <w:t>Analysis</w:t>
            </w:r>
          </w:p>
        </w:tc>
      </w:tr>
      <w:tr w:rsidR="00BC107B" w14:paraId="7F3D7981" w14:textId="77777777" w:rsidTr="00F90F72">
        <w:trPr>
          <w:jc w:val="center"/>
        </w:trPr>
        <w:tc>
          <w:tcPr>
            <w:tcW w:w="4896" w:type="dxa"/>
            <w:vAlign w:val="center"/>
          </w:tcPr>
          <w:p w14:paraId="26BEA6CF" w14:textId="77777777" w:rsidR="00BC107B" w:rsidRDefault="00BC107B" w:rsidP="00F90F72">
            <w:pPr>
              <w:jc w:val="both"/>
            </w:pPr>
            <w:r>
              <w:rPr>
                <w:b/>
                <w:color w:val="333333"/>
                <w:sz w:val="18"/>
              </w:rPr>
              <w:t>Problem</w:t>
            </w:r>
          </w:p>
        </w:tc>
        <w:tc>
          <w:tcPr>
            <w:tcW w:w="4896" w:type="dxa"/>
            <w:vAlign w:val="center"/>
          </w:tcPr>
          <w:p w14:paraId="7B1211B0" w14:textId="77777777" w:rsidR="00BC107B" w:rsidRDefault="00BC107B" w:rsidP="00F90F72">
            <w:pPr>
              <w:jc w:val="both"/>
            </w:pPr>
            <w:r>
              <w:rPr>
                <w:color w:val="333333"/>
                <w:sz w:val="18"/>
              </w:rPr>
              <w:t>Unsafe and inadequate patient care</w:t>
            </w:r>
          </w:p>
        </w:tc>
      </w:tr>
      <w:tr w:rsidR="00BC107B" w14:paraId="7B805203" w14:textId="77777777" w:rsidTr="00F90F72">
        <w:trPr>
          <w:jc w:val="center"/>
        </w:trPr>
        <w:tc>
          <w:tcPr>
            <w:tcW w:w="4896" w:type="dxa"/>
            <w:vAlign w:val="center"/>
          </w:tcPr>
          <w:p w14:paraId="746B51B5" w14:textId="77777777" w:rsidR="00BC107B" w:rsidRDefault="00BC107B" w:rsidP="00F90F72">
            <w:pPr>
              <w:jc w:val="both"/>
            </w:pPr>
            <w:r>
              <w:rPr>
                <w:b/>
                <w:color w:val="333333"/>
                <w:sz w:val="18"/>
              </w:rPr>
              <w:t>Why 1</w:t>
            </w:r>
          </w:p>
        </w:tc>
        <w:tc>
          <w:tcPr>
            <w:tcW w:w="4896" w:type="dxa"/>
            <w:vAlign w:val="center"/>
          </w:tcPr>
          <w:p w14:paraId="542A72BB" w14:textId="77777777" w:rsidR="00BC107B" w:rsidRDefault="00BC107B" w:rsidP="00F90F72">
            <w:pPr>
              <w:jc w:val="both"/>
            </w:pPr>
            <w:r>
              <w:rPr>
                <w:color w:val="333333"/>
                <w:sz w:val="18"/>
              </w:rPr>
              <w:t>Staffing, supervision and escalation were insufficiently reliable</w:t>
            </w:r>
          </w:p>
        </w:tc>
      </w:tr>
      <w:tr w:rsidR="00BC107B" w14:paraId="7A4DD2C5" w14:textId="77777777" w:rsidTr="00F90F72">
        <w:trPr>
          <w:jc w:val="center"/>
        </w:trPr>
        <w:tc>
          <w:tcPr>
            <w:tcW w:w="4896" w:type="dxa"/>
            <w:vAlign w:val="center"/>
          </w:tcPr>
          <w:p w14:paraId="04D73461" w14:textId="77777777" w:rsidR="00BC107B" w:rsidRDefault="00BC107B" w:rsidP="00F90F72">
            <w:pPr>
              <w:jc w:val="both"/>
            </w:pPr>
            <w:r>
              <w:rPr>
                <w:b/>
                <w:color w:val="333333"/>
                <w:sz w:val="18"/>
              </w:rPr>
              <w:t>Why 2</w:t>
            </w:r>
          </w:p>
        </w:tc>
        <w:tc>
          <w:tcPr>
            <w:tcW w:w="4896" w:type="dxa"/>
            <w:vAlign w:val="center"/>
          </w:tcPr>
          <w:p w14:paraId="4F01274F" w14:textId="77777777" w:rsidR="00BC107B" w:rsidRDefault="00BC107B" w:rsidP="00F90F72">
            <w:pPr>
              <w:jc w:val="both"/>
            </w:pPr>
            <w:r>
              <w:rPr>
                <w:color w:val="333333"/>
                <w:sz w:val="18"/>
              </w:rPr>
              <w:t>Care processes were not consistently supported by adequate systems and resources</w:t>
            </w:r>
          </w:p>
        </w:tc>
      </w:tr>
      <w:tr w:rsidR="00BC107B" w14:paraId="76168D71" w14:textId="77777777" w:rsidTr="00F90F72">
        <w:trPr>
          <w:jc w:val="center"/>
        </w:trPr>
        <w:tc>
          <w:tcPr>
            <w:tcW w:w="4896" w:type="dxa"/>
            <w:vAlign w:val="center"/>
          </w:tcPr>
          <w:p w14:paraId="169BBDF0" w14:textId="77777777" w:rsidR="00BC107B" w:rsidRDefault="00BC107B" w:rsidP="00F90F72">
            <w:pPr>
              <w:jc w:val="both"/>
            </w:pPr>
            <w:r>
              <w:rPr>
                <w:b/>
                <w:color w:val="333333"/>
                <w:sz w:val="18"/>
              </w:rPr>
              <w:t>Why 3</w:t>
            </w:r>
          </w:p>
        </w:tc>
        <w:tc>
          <w:tcPr>
            <w:tcW w:w="4896" w:type="dxa"/>
            <w:vAlign w:val="center"/>
          </w:tcPr>
          <w:p w14:paraId="6FD26917" w14:textId="77777777" w:rsidR="00BC107B" w:rsidRDefault="00BC107B" w:rsidP="00F90F72">
            <w:pPr>
              <w:jc w:val="both"/>
            </w:pPr>
            <w:r>
              <w:rPr>
                <w:color w:val="333333"/>
                <w:sz w:val="18"/>
              </w:rPr>
              <w:t xml:space="preserve">Operational, financial and </w:t>
            </w:r>
            <w:proofErr w:type="spellStart"/>
            <w:r>
              <w:rPr>
                <w:color w:val="333333"/>
                <w:sz w:val="18"/>
              </w:rPr>
              <w:t>organisational</w:t>
            </w:r>
            <w:proofErr w:type="spellEnd"/>
            <w:r>
              <w:rPr>
                <w:color w:val="333333"/>
                <w:sz w:val="18"/>
              </w:rPr>
              <w:t xml:space="preserve"> priorities competed with quality priorities</w:t>
            </w:r>
          </w:p>
        </w:tc>
      </w:tr>
      <w:tr w:rsidR="00BC107B" w14:paraId="2CA77DE4" w14:textId="77777777" w:rsidTr="00F90F72">
        <w:trPr>
          <w:jc w:val="center"/>
        </w:trPr>
        <w:tc>
          <w:tcPr>
            <w:tcW w:w="4896" w:type="dxa"/>
            <w:vAlign w:val="center"/>
          </w:tcPr>
          <w:p w14:paraId="5A3D0C14" w14:textId="77777777" w:rsidR="00BC107B" w:rsidRDefault="00BC107B" w:rsidP="00F90F72">
            <w:pPr>
              <w:jc w:val="both"/>
            </w:pPr>
            <w:r>
              <w:rPr>
                <w:b/>
                <w:color w:val="333333"/>
                <w:sz w:val="18"/>
              </w:rPr>
              <w:t>Why 4</w:t>
            </w:r>
          </w:p>
        </w:tc>
        <w:tc>
          <w:tcPr>
            <w:tcW w:w="4896" w:type="dxa"/>
            <w:vAlign w:val="center"/>
          </w:tcPr>
          <w:p w14:paraId="730547FC" w14:textId="77777777" w:rsidR="00BC107B" w:rsidRDefault="00BC107B" w:rsidP="00F90F72">
            <w:pPr>
              <w:jc w:val="both"/>
            </w:pPr>
            <w:r>
              <w:rPr>
                <w:color w:val="333333"/>
                <w:sz w:val="18"/>
              </w:rPr>
              <w:t>Governance and leadership did not sufficiently identify and challenge deteriorating care</w:t>
            </w:r>
          </w:p>
        </w:tc>
      </w:tr>
      <w:tr w:rsidR="00BC107B" w14:paraId="3BB35B82" w14:textId="77777777" w:rsidTr="00F90F72">
        <w:trPr>
          <w:jc w:val="center"/>
        </w:trPr>
        <w:tc>
          <w:tcPr>
            <w:tcW w:w="4896" w:type="dxa"/>
            <w:vAlign w:val="center"/>
          </w:tcPr>
          <w:p w14:paraId="30956AAC" w14:textId="77777777" w:rsidR="00BC107B" w:rsidRDefault="00BC107B" w:rsidP="00F90F72">
            <w:pPr>
              <w:jc w:val="both"/>
            </w:pPr>
            <w:r>
              <w:rPr>
                <w:b/>
                <w:color w:val="333333"/>
                <w:sz w:val="18"/>
              </w:rPr>
              <w:t>Why 5</w:t>
            </w:r>
          </w:p>
        </w:tc>
        <w:tc>
          <w:tcPr>
            <w:tcW w:w="4896" w:type="dxa"/>
            <w:vAlign w:val="center"/>
          </w:tcPr>
          <w:p w14:paraId="6F2A0FF7" w14:textId="77777777" w:rsidR="00BC107B" w:rsidRDefault="00BC107B" w:rsidP="00F90F72">
            <w:pPr>
              <w:jc w:val="both"/>
            </w:pPr>
            <w:r>
              <w:rPr>
                <w:color w:val="333333"/>
                <w:sz w:val="18"/>
              </w:rPr>
              <w:t>Weak learning culture, staff voice, patient feedback and external assurance allowed problems to persist</w:t>
            </w:r>
          </w:p>
        </w:tc>
      </w:tr>
    </w:tbl>
    <w:p w14:paraId="6ACA6FE7" w14:textId="77777777" w:rsidR="00BC107B" w:rsidRDefault="00BC107B" w:rsidP="00BC107B">
      <w:pPr>
        <w:jc w:val="both"/>
      </w:pPr>
      <w:r>
        <w:rPr>
          <w:i/>
          <w:color w:val="666666"/>
          <w:sz w:val="17"/>
        </w:rPr>
        <w:t>Figure 2. Five Whys analysis. Source: Author's own analysis informed by Francis (2013) and Reason (2000).</w:t>
      </w:r>
    </w:p>
    <w:p w14:paraId="7333DD69" w14:textId="77777777" w:rsidR="00BC107B" w:rsidRDefault="00BC107B" w:rsidP="00BC107B">
      <w:pPr>
        <w:jc w:val="both"/>
      </w:pPr>
      <w:r>
        <w:lastRenderedPageBreak/>
        <w:t>Five Whys is limited by its tendency to imply a single causal chain. In healthcare, multiple causes often operate simultaneously. The tool is therefore used here as a structured questioning method, not as evidence that one factor was the ultimate cause.</w:t>
      </w:r>
    </w:p>
    <w:p w14:paraId="3620CF88" w14:textId="77777777" w:rsidR="00BC107B" w:rsidRDefault="00BC107B" w:rsidP="00BC107B">
      <w:pPr>
        <w:pStyle w:val="Heading2"/>
        <w:jc w:val="both"/>
      </w:pPr>
      <w:r>
        <w:t>3.3 Donabedian Model</w:t>
      </w:r>
    </w:p>
    <w:p w14:paraId="23C67823" w14:textId="27D30022" w:rsidR="00BC107B" w:rsidRDefault="00BC107B" w:rsidP="00BC107B">
      <w:pPr>
        <w:jc w:val="both"/>
      </w:pPr>
      <w:r>
        <w:t>Donabedian's model links organizational conditions to care processes and patient outcomes. It provides a useful bridge between root-cause analysis and the proposed improvement strategy.</w:t>
      </w:r>
    </w:p>
    <w:p w14:paraId="0FFBA77E" w14:textId="77777777" w:rsidR="00BC107B" w:rsidRDefault="00BC107B" w:rsidP="00BC107B">
      <w:pPr>
        <w:jc w:val="both"/>
      </w:pPr>
      <w:r>
        <w:rPr>
          <w:noProof/>
        </w:rPr>
        <w:drawing>
          <wp:inline distT="0" distB="0" distL="0" distR="0" wp14:anchorId="7792C8FA" wp14:editId="009CFB09">
            <wp:extent cx="5805170" cy="1859280"/>
            <wp:effectExtent l="0" t="0" r="508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nabedian.png"/>
                    <pic:cNvPicPr/>
                  </pic:nvPicPr>
                  <pic:blipFill rotWithShape="1">
                    <a:blip r:embed="rId9"/>
                    <a:srcRect t="30304" b="9081"/>
                    <a:stretch>
                      <a:fillRect/>
                    </a:stretch>
                  </pic:blipFill>
                  <pic:spPr bwMode="auto">
                    <a:xfrm>
                      <a:off x="0" y="0"/>
                      <a:ext cx="5806440" cy="1859687"/>
                    </a:xfrm>
                    <a:prstGeom prst="rect">
                      <a:avLst/>
                    </a:prstGeom>
                    <a:ln>
                      <a:noFill/>
                    </a:ln>
                    <a:extLst>
                      <a:ext uri="{53640926-AAD7-44D8-BBD7-CCE9431645EC}">
                        <a14:shadowObscured xmlns:a14="http://schemas.microsoft.com/office/drawing/2010/main"/>
                      </a:ext>
                    </a:extLst>
                  </pic:spPr>
                </pic:pic>
              </a:graphicData>
            </a:graphic>
          </wp:inline>
        </w:drawing>
      </w:r>
    </w:p>
    <w:p w14:paraId="445538E8" w14:textId="77777777" w:rsidR="00BC107B" w:rsidRDefault="00BC107B" w:rsidP="00BC107B">
      <w:pPr>
        <w:jc w:val="both"/>
      </w:pPr>
      <w:r>
        <w:rPr>
          <w:i/>
          <w:color w:val="666666"/>
          <w:sz w:val="17"/>
        </w:rPr>
        <w:t>Figure 3. Application of Donabedian's structure-process-outcome model. Source: Adapted from Donabedian (1988).</w:t>
      </w:r>
    </w:p>
    <w:p w14:paraId="1474F599" w14:textId="77777777" w:rsidR="00BC107B" w:rsidRDefault="00BC107B" w:rsidP="00BC107B">
      <w:pPr>
        <w:jc w:val="both"/>
      </w:pPr>
      <w:r>
        <w:t>Structure includes staffing, leadership, governance and resources; process includes fundamental care, communication, monitoring and escalation; outcomes include patient harm, experience and trust. The model is valuable but does not fully explain culture, power or regulatory fragmentation, so it is complemented by the other frameworks.</w:t>
      </w:r>
    </w:p>
    <w:p w14:paraId="3721B805" w14:textId="77777777" w:rsidR="00BC107B" w:rsidRDefault="00BC107B" w:rsidP="00BC107B">
      <w:pPr>
        <w:pStyle w:val="Heading2"/>
        <w:jc w:val="both"/>
      </w:pPr>
      <w:r>
        <w:t>3.4 SWOT Analysis</w:t>
      </w:r>
    </w:p>
    <w:tbl>
      <w:tblPr>
        <w:tblW w:w="0" w:type="auto"/>
        <w:jc w:val="center"/>
        <w:tblLook w:val="04A0" w:firstRow="1" w:lastRow="0" w:firstColumn="1" w:lastColumn="0" w:noHBand="0" w:noVBand="1"/>
      </w:tblPr>
      <w:tblGrid>
        <w:gridCol w:w="4896"/>
        <w:gridCol w:w="4896"/>
      </w:tblGrid>
      <w:tr w:rsidR="00BC107B" w14:paraId="7E2D8ACB" w14:textId="77777777" w:rsidTr="00F90F72">
        <w:trPr>
          <w:jc w:val="center"/>
        </w:trPr>
        <w:tc>
          <w:tcPr>
            <w:tcW w:w="4896" w:type="dxa"/>
            <w:shd w:val="clear" w:color="auto" w:fill="17365D"/>
            <w:vAlign w:val="center"/>
          </w:tcPr>
          <w:p w14:paraId="239D7255" w14:textId="47C5995E" w:rsidR="00BC107B" w:rsidRDefault="00BC107B" w:rsidP="00F90F72">
            <w:pPr>
              <w:jc w:val="both"/>
            </w:pPr>
            <w:r>
              <w:rPr>
                <w:b/>
                <w:color w:val="FFFFFF"/>
                <w:sz w:val="18"/>
              </w:rPr>
              <w:t xml:space="preserve">                              STRENGTHS</w:t>
            </w:r>
          </w:p>
        </w:tc>
        <w:tc>
          <w:tcPr>
            <w:tcW w:w="4896" w:type="dxa"/>
            <w:shd w:val="clear" w:color="auto" w:fill="17365D"/>
            <w:vAlign w:val="center"/>
          </w:tcPr>
          <w:p w14:paraId="6A37EA89" w14:textId="275A3741" w:rsidR="00BC107B" w:rsidRDefault="00BC107B" w:rsidP="00F90F72">
            <w:pPr>
              <w:jc w:val="both"/>
            </w:pPr>
            <w:r>
              <w:rPr>
                <w:b/>
                <w:color w:val="FFFFFF"/>
                <w:sz w:val="18"/>
              </w:rPr>
              <w:t xml:space="preserve">                            WEAKNESSES</w:t>
            </w:r>
          </w:p>
        </w:tc>
      </w:tr>
      <w:tr w:rsidR="00BC107B" w14:paraId="6960C790" w14:textId="77777777" w:rsidTr="00F90F72">
        <w:trPr>
          <w:jc w:val="center"/>
        </w:trPr>
        <w:tc>
          <w:tcPr>
            <w:tcW w:w="4896" w:type="dxa"/>
            <w:vAlign w:val="center"/>
          </w:tcPr>
          <w:p w14:paraId="343285B5" w14:textId="77777777" w:rsidR="00BC107B" w:rsidRDefault="00BC107B" w:rsidP="00E86DAB">
            <w:pPr>
              <w:pStyle w:val="ListParagraph"/>
              <w:numPr>
                <w:ilvl w:val="0"/>
                <w:numId w:val="12"/>
              </w:numPr>
            </w:pPr>
            <w:r w:rsidRPr="00E86DAB">
              <w:rPr>
                <w:color w:val="333333"/>
                <w:sz w:val="18"/>
              </w:rPr>
              <w:t>Evidence-based QI methods</w:t>
            </w:r>
            <w:r w:rsidRPr="00E86DAB">
              <w:rPr>
                <w:color w:val="333333"/>
                <w:sz w:val="18"/>
              </w:rPr>
              <w:br/>
              <w:t>Clear measurement framework</w:t>
            </w:r>
            <w:r w:rsidRPr="00E86DAB">
              <w:rPr>
                <w:color w:val="333333"/>
                <w:sz w:val="18"/>
              </w:rPr>
              <w:br/>
              <w:t>Patient and staff engagement</w:t>
            </w:r>
            <w:r w:rsidRPr="00E86DAB">
              <w:rPr>
                <w:color w:val="333333"/>
                <w:sz w:val="18"/>
              </w:rPr>
              <w:br/>
              <w:t>Iterative testing</w:t>
            </w:r>
          </w:p>
        </w:tc>
        <w:tc>
          <w:tcPr>
            <w:tcW w:w="4896" w:type="dxa"/>
            <w:vAlign w:val="center"/>
          </w:tcPr>
          <w:p w14:paraId="11404341" w14:textId="77777777" w:rsidR="00BC107B" w:rsidRDefault="00BC107B" w:rsidP="00E86DAB">
            <w:pPr>
              <w:pStyle w:val="ListParagraph"/>
              <w:numPr>
                <w:ilvl w:val="0"/>
                <w:numId w:val="11"/>
              </w:numPr>
            </w:pPr>
            <w:r w:rsidRPr="00E86DAB">
              <w:rPr>
                <w:color w:val="333333"/>
                <w:sz w:val="18"/>
              </w:rPr>
              <w:t>Staff time and capacity</w:t>
            </w:r>
            <w:r w:rsidRPr="00E86DAB">
              <w:rPr>
                <w:color w:val="333333"/>
                <w:sz w:val="18"/>
              </w:rPr>
              <w:br/>
              <w:t>Potential resistance</w:t>
            </w:r>
            <w:r w:rsidRPr="00E86DAB">
              <w:rPr>
                <w:color w:val="333333"/>
                <w:sz w:val="18"/>
              </w:rPr>
              <w:br/>
              <w:t>Data-quality limitations</w:t>
            </w:r>
            <w:r w:rsidRPr="00E86DAB">
              <w:rPr>
                <w:color w:val="333333"/>
                <w:sz w:val="18"/>
              </w:rPr>
              <w:br/>
              <w:t>Resource requirements</w:t>
            </w:r>
          </w:p>
        </w:tc>
      </w:tr>
      <w:tr w:rsidR="00BC107B" w14:paraId="6941EAA1" w14:textId="77777777" w:rsidTr="00F90F72">
        <w:trPr>
          <w:jc w:val="center"/>
        </w:trPr>
        <w:tc>
          <w:tcPr>
            <w:tcW w:w="4896" w:type="dxa"/>
            <w:vAlign w:val="center"/>
          </w:tcPr>
          <w:p w14:paraId="40D4CCEF" w14:textId="77777777" w:rsidR="00BC107B" w:rsidRDefault="00BC107B" w:rsidP="00E86DAB">
            <w:pPr>
              <w:pStyle w:val="ListParagraph"/>
              <w:numPr>
                <w:ilvl w:val="0"/>
                <w:numId w:val="12"/>
              </w:numPr>
            </w:pPr>
            <w:r w:rsidRPr="00E86DAB">
              <w:rPr>
                <w:color w:val="333333"/>
                <w:sz w:val="18"/>
              </w:rPr>
              <w:t>PSIRF learning approach</w:t>
            </w:r>
            <w:r w:rsidRPr="00E86DAB">
              <w:rPr>
                <w:color w:val="333333"/>
                <w:sz w:val="18"/>
              </w:rPr>
              <w:br/>
              <w:t>Digital governance dashboard</w:t>
            </w:r>
            <w:r w:rsidRPr="00E86DAB">
              <w:rPr>
                <w:color w:val="333333"/>
                <w:sz w:val="18"/>
              </w:rPr>
              <w:br/>
              <w:t>Stronger patient voice</w:t>
            </w:r>
            <w:r w:rsidRPr="00E86DAB">
              <w:rPr>
                <w:color w:val="333333"/>
                <w:sz w:val="18"/>
              </w:rPr>
              <w:br/>
              <w:t>Improved staff escalation</w:t>
            </w:r>
          </w:p>
        </w:tc>
        <w:tc>
          <w:tcPr>
            <w:tcW w:w="4896" w:type="dxa"/>
            <w:vAlign w:val="center"/>
          </w:tcPr>
          <w:p w14:paraId="3EC6BCB3" w14:textId="28514FA5" w:rsidR="00BC107B" w:rsidRDefault="00BC107B" w:rsidP="00E86DAB">
            <w:pPr>
              <w:pStyle w:val="ListParagraph"/>
              <w:numPr>
                <w:ilvl w:val="0"/>
                <w:numId w:val="11"/>
              </w:numPr>
            </w:pPr>
            <w:r w:rsidRPr="00E86DAB">
              <w:rPr>
                <w:color w:val="333333"/>
                <w:sz w:val="18"/>
              </w:rPr>
              <w:t>Workforce shortages</w:t>
            </w:r>
            <w:r w:rsidRPr="00E86DAB">
              <w:rPr>
                <w:color w:val="333333"/>
                <w:sz w:val="18"/>
              </w:rPr>
              <w:br/>
              <w:t>Financial pressures</w:t>
            </w:r>
            <w:r w:rsidRPr="00E86DAB">
              <w:rPr>
                <w:color w:val="333333"/>
                <w:sz w:val="18"/>
              </w:rPr>
              <w:br/>
              <w:t>Change fatigue</w:t>
            </w:r>
            <w:r w:rsidRPr="00E86DAB">
              <w:rPr>
                <w:color w:val="333333"/>
                <w:sz w:val="18"/>
              </w:rPr>
              <w:br/>
              <w:t xml:space="preserve">Competing </w:t>
            </w:r>
            <w:r w:rsidR="00E86DAB" w:rsidRPr="00E86DAB">
              <w:rPr>
                <w:color w:val="333333"/>
                <w:sz w:val="18"/>
              </w:rPr>
              <w:t>organizational</w:t>
            </w:r>
            <w:r w:rsidRPr="00E86DAB">
              <w:rPr>
                <w:color w:val="333333"/>
                <w:sz w:val="18"/>
              </w:rPr>
              <w:t xml:space="preserve"> priorities</w:t>
            </w:r>
          </w:p>
        </w:tc>
      </w:tr>
    </w:tbl>
    <w:p w14:paraId="20D306E5" w14:textId="77777777" w:rsidR="00BC107B" w:rsidRDefault="00BC107B" w:rsidP="00BC107B">
      <w:pPr>
        <w:jc w:val="both"/>
        <w:rPr>
          <w:i/>
          <w:color w:val="666666"/>
          <w:sz w:val="17"/>
        </w:rPr>
      </w:pPr>
      <w:r>
        <w:rPr>
          <w:i/>
          <w:color w:val="666666"/>
          <w:sz w:val="17"/>
        </w:rPr>
        <w:t>Figure 4. SWOT analysis of the proposed QI strategy. Source: Author's own analysis.</w:t>
      </w:r>
    </w:p>
    <w:p w14:paraId="65FEB5D6" w14:textId="77777777" w:rsidR="00BC107B" w:rsidRDefault="00BC107B" w:rsidP="00BC107B">
      <w:pPr>
        <w:jc w:val="both"/>
      </w:pPr>
    </w:p>
    <w:p w14:paraId="68821B17" w14:textId="77777777" w:rsidR="00BC107B" w:rsidRDefault="00BC107B" w:rsidP="005A3EDF">
      <w:pPr>
        <w:jc w:val="both"/>
      </w:pPr>
    </w:p>
    <w:p w14:paraId="61C7A5DB" w14:textId="77777777" w:rsidR="00D23E6E" w:rsidRDefault="00000000" w:rsidP="005A3EDF">
      <w:pPr>
        <w:pStyle w:val="Heading1"/>
        <w:jc w:val="both"/>
      </w:pPr>
      <w:r>
        <w:t>4. Proposed Quality Improvement Strategy</w:t>
      </w:r>
    </w:p>
    <w:p w14:paraId="4332A251" w14:textId="77777777" w:rsidR="00D23E6E" w:rsidRDefault="00000000" w:rsidP="005A3EDF">
      <w:pPr>
        <w:jc w:val="both"/>
      </w:pPr>
      <w:r>
        <w:t>The overall aim is to improve the reliability of fundamental patient care and safety escalation over 12 months through stronger staffing oversight, multidisciplinary safety huddles, patient and staff voice, transparent governance and systematic learning. The strategy intentionally combines several QI methods because the Mid Staffordshire problem was multifactorial. A single dashboard, staffing intervention or training programme would be unlikely to address the interacting causes.</w:t>
      </w:r>
    </w:p>
    <w:p w14:paraId="0889DC83" w14:textId="77777777" w:rsidR="00D23E6E" w:rsidRDefault="00000000" w:rsidP="005A3EDF">
      <w:pPr>
        <w:jc w:val="both"/>
      </w:pPr>
      <w:r>
        <w:t>PDSA is used as the core improvement engine because it permits small-scale testing before wider implementation. Taylor et al. (2014) found widespread use of PDSA in healthcare but also highlighted weaknesses in reporting and application. This means each cycle should have a defined change, prediction, measurement plan and documented learning. The first cycle would pilot structured safety huddles on selected acute wards, followed by review of staffing risks, incidents, patient concerns and staff feedback.</w:t>
      </w:r>
    </w:p>
    <w:p w14:paraId="2BDD5453" w14:textId="77777777" w:rsidR="00D23E6E" w:rsidRDefault="00000000" w:rsidP="005A3EDF">
      <w:pPr>
        <w:jc w:val="both"/>
      </w:pPr>
      <w:r>
        <w:t>Lean principles can support process redesign by identifying unnecessary steps, delays, duplication and communication waste. In this case, Lean could be applied to handover, escalation and documentation pathways. However, Lean must not be equated with simple cost reduction. If staffing is reduced or essential clinical activity is removed in the name of efficiency, the intervention could reproduce the very conditions associated with poor care. Lean should instead focus on removing process waste while protecting the resources required for safe care.</w:t>
      </w:r>
    </w:p>
    <w:p w14:paraId="64F8B99C" w14:textId="7C9EF312" w:rsidR="00D23E6E" w:rsidRDefault="00000000" w:rsidP="005A3EDF">
      <w:pPr>
        <w:jc w:val="both"/>
      </w:pPr>
      <w:r>
        <w:t xml:space="preserve">Six Sigma complements Lean by focusing on variation and process reliability. A DMAIC structure could define inconsistent early-warning-score escalation as a quality problem, measure baseline compliance, analyse causes of variation, improve the process through standardisation and PDSA, and control performance through routine monitoring. This approach creates a measurable pathway from identifying variation to sustaining improvement. Its limitation is that statistical control cannot compensate for poor leadership or unsafe staffing, so it must remain embedded within wider </w:t>
      </w:r>
      <w:r w:rsidR="00E86DAB">
        <w:t>organizational</w:t>
      </w:r>
      <w:r>
        <w:t xml:space="preserve"> change.</w:t>
      </w:r>
    </w:p>
    <w:p w14:paraId="422C6EFA" w14:textId="77777777" w:rsidR="00E86DAB" w:rsidRDefault="00E86DAB" w:rsidP="005A3EDF">
      <w:pPr>
        <w:jc w:val="both"/>
      </w:pPr>
    </w:p>
    <w:p w14:paraId="47F2983D" w14:textId="77777777" w:rsidR="00E86DAB" w:rsidRDefault="00E86DAB" w:rsidP="005A3EDF">
      <w:pPr>
        <w:jc w:val="both"/>
      </w:pPr>
    </w:p>
    <w:p w14:paraId="37131CCB" w14:textId="77777777" w:rsidR="00E86DAB" w:rsidRDefault="00E86DAB" w:rsidP="005A3EDF">
      <w:pPr>
        <w:jc w:val="both"/>
      </w:pPr>
    </w:p>
    <w:p w14:paraId="1FC70735" w14:textId="77777777" w:rsidR="00E86DAB" w:rsidRDefault="00E86DAB" w:rsidP="005A3EDF">
      <w:pPr>
        <w:jc w:val="both"/>
      </w:pPr>
    </w:p>
    <w:p w14:paraId="0251D697" w14:textId="77777777" w:rsidR="00BC107B" w:rsidRDefault="00BC107B" w:rsidP="00BC107B">
      <w:pPr>
        <w:pStyle w:val="Heading2"/>
        <w:jc w:val="both"/>
      </w:pPr>
      <w:r>
        <w:lastRenderedPageBreak/>
        <w:t>4.1 PDSA</w:t>
      </w:r>
    </w:p>
    <w:p w14:paraId="18A213D5" w14:textId="77777777" w:rsidR="00BC107B" w:rsidRDefault="00BC107B" w:rsidP="00BC107B">
      <w:pPr>
        <w:jc w:val="both"/>
      </w:pPr>
      <w:r>
        <w:t xml:space="preserve">PDSA should be implemented through small tests of change. The first cycle could test a </w:t>
      </w:r>
      <w:proofErr w:type="spellStart"/>
      <w:r>
        <w:t>standardised</w:t>
      </w:r>
      <w:proofErr w:type="spellEnd"/>
      <w:r>
        <w:t xml:space="preserve"> multidisciplinary safety huddle on one or two wards, measuring attendance, escalation actions, staff perceptions and safety indicators. The second cycle could adapt the intervention based on learning before wider implementation.</w:t>
      </w:r>
    </w:p>
    <w:p w14:paraId="1CDF95F8" w14:textId="77777777" w:rsidR="00BC107B" w:rsidRDefault="00BC107B" w:rsidP="00BC107B">
      <w:pPr>
        <w:jc w:val="both"/>
      </w:pPr>
      <w:r>
        <w:rPr>
          <w:noProof/>
        </w:rPr>
        <w:drawing>
          <wp:inline distT="0" distB="0" distL="0" distR="0" wp14:anchorId="4D21BB9D" wp14:editId="7789B893">
            <wp:extent cx="5302950" cy="4265930"/>
            <wp:effectExtent l="0" t="0" r="0" b="1270"/>
            <wp:docPr id="403426621" name="Picture 403426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dsa.png"/>
                    <pic:cNvPicPr/>
                  </pic:nvPicPr>
                  <pic:blipFill rotWithShape="1">
                    <a:blip r:embed="rId10"/>
                    <a:srcRect t="7897"/>
                    <a:stretch>
                      <a:fillRect/>
                    </a:stretch>
                  </pic:blipFill>
                  <pic:spPr bwMode="auto">
                    <a:xfrm>
                      <a:off x="0" y="0"/>
                      <a:ext cx="5303520" cy="4266389"/>
                    </a:xfrm>
                    <a:prstGeom prst="rect">
                      <a:avLst/>
                    </a:prstGeom>
                    <a:ln>
                      <a:noFill/>
                    </a:ln>
                    <a:extLst>
                      <a:ext uri="{53640926-AAD7-44D8-BBD7-CCE9431645EC}">
                        <a14:shadowObscured xmlns:a14="http://schemas.microsoft.com/office/drawing/2010/main"/>
                      </a:ext>
                    </a:extLst>
                  </pic:spPr>
                </pic:pic>
              </a:graphicData>
            </a:graphic>
          </wp:inline>
        </w:drawing>
      </w:r>
    </w:p>
    <w:p w14:paraId="48890F6E" w14:textId="77777777" w:rsidR="00BC107B" w:rsidRDefault="00BC107B" w:rsidP="00BC107B">
      <w:pPr>
        <w:jc w:val="both"/>
      </w:pPr>
      <w:r>
        <w:rPr>
          <w:i/>
          <w:color w:val="666666"/>
          <w:sz w:val="17"/>
        </w:rPr>
        <w:t>Figure 5. PDSA cycle for patient-safety improvement. Source: Adapted from Taylor et al. (2014).</w:t>
      </w:r>
    </w:p>
    <w:p w14:paraId="2C382E38" w14:textId="77777777" w:rsidR="00BC107B" w:rsidRDefault="00BC107B" w:rsidP="005A3EDF">
      <w:pPr>
        <w:jc w:val="both"/>
      </w:pPr>
    </w:p>
    <w:p w14:paraId="792077A4" w14:textId="77777777" w:rsidR="00E86DAB" w:rsidRDefault="00E86DAB" w:rsidP="005A3EDF">
      <w:pPr>
        <w:jc w:val="both"/>
      </w:pPr>
    </w:p>
    <w:p w14:paraId="680F93FC" w14:textId="77777777" w:rsidR="00E86DAB" w:rsidRDefault="00E86DAB" w:rsidP="005A3EDF">
      <w:pPr>
        <w:jc w:val="both"/>
      </w:pPr>
    </w:p>
    <w:p w14:paraId="657EE2BB" w14:textId="77777777" w:rsidR="00E86DAB" w:rsidRDefault="00E86DAB" w:rsidP="005A3EDF">
      <w:pPr>
        <w:jc w:val="both"/>
      </w:pPr>
    </w:p>
    <w:p w14:paraId="09BE82C1" w14:textId="77777777" w:rsidR="00E86DAB" w:rsidRDefault="00E86DAB" w:rsidP="005A3EDF">
      <w:pPr>
        <w:jc w:val="both"/>
      </w:pPr>
    </w:p>
    <w:p w14:paraId="34F57E1F" w14:textId="77777777" w:rsidR="00D23E6E" w:rsidRDefault="00000000" w:rsidP="005A3EDF">
      <w:pPr>
        <w:pStyle w:val="Heading1"/>
        <w:jc w:val="both"/>
      </w:pPr>
      <w:r>
        <w:lastRenderedPageBreak/>
        <w:t>5. Implementation Plan</w:t>
      </w:r>
    </w:p>
    <w:p w14:paraId="48F44D0B" w14:textId="77777777" w:rsidR="00D23E6E" w:rsidRDefault="00000000" w:rsidP="005A3EDF">
      <w:pPr>
        <w:jc w:val="both"/>
      </w:pPr>
      <w:r>
        <w:t>Implementation should proceed in phases so that the organisation does not introduce multiple changes simultaneously without learning. Months 1–3 focus on baseline measurement and a small PDSA pilot. Months 4–6 expand governance infrastructure and Duty of Candour training. Months 7–9 apply Lean to priority pathways, and months 10–12 consolidate successful changes and use Six Sigma-style process control. Senior clinical leadership, ward managers, quality teams, patient representatives and frontline staff should share responsibility for implementation.</w:t>
      </w:r>
    </w:p>
    <w:p w14:paraId="5F3C7A68" w14:textId="77777777" w:rsidR="00D23E6E" w:rsidRDefault="00000000" w:rsidP="005A3EDF">
      <w:pPr>
        <w:jc w:val="both"/>
      </w:pPr>
      <w:r>
        <w:t>A governance dashboard should be reviewed at ward, divisional and board level. Escalation rules should specify what happens when safe staffing, early-warning-score compliance or patient-safety indicators fall below agreed thresholds. The dashboard should not replace clinical judgement. Instead, it should support timely conversations and escalation. Patient and staff feedback should be reviewed alongside quantitative data so that improvement is assessed for both measurable outcomes and lived experience.</w:t>
      </w:r>
    </w:p>
    <w:p w14:paraId="1CCB0227" w14:textId="77777777" w:rsidR="00E86DAB" w:rsidRDefault="00E86DAB" w:rsidP="00E86DAB">
      <w:pPr>
        <w:pStyle w:val="Heading1"/>
        <w:jc w:val="both"/>
      </w:pPr>
      <w:r>
        <w:t>5. Implementation Plan</w:t>
      </w:r>
    </w:p>
    <w:p w14:paraId="331E5C6C" w14:textId="77777777" w:rsidR="00E86DAB" w:rsidRDefault="00E86DAB" w:rsidP="00E86DAB">
      <w:pPr>
        <w:jc w:val="both"/>
      </w:pPr>
      <w:r>
        <w:rPr>
          <w:noProof/>
        </w:rPr>
        <w:drawing>
          <wp:inline distT="0" distB="0" distL="0" distR="0" wp14:anchorId="19EBA565" wp14:editId="72AB94D5">
            <wp:extent cx="6080758" cy="1143000"/>
            <wp:effectExtent l="0" t="0" r="0" b="0"/>
            <wp:docPr id="2058402984" name="Picture 2058402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eline.png"/>
                    <pic:cNvPicPr/>
                  </pic:nvPicPr>
                  <pic:blipFill rotWithShape="1">
                    <a:blip r:embed="rId11"/>
                    <a:srcRect l="2067" t="20545" r="10467" b="10939"/>
                    <a:stretch>
                      <a:fillRect/>
                    </a:stretch>
                  </pic:blipFill>
                  <pic:spPr bwMode="auto">
                    <a:xfrm>
                      <a:off x="0" y="0"/>
                      <a:ext cx="6102199" cy="1147030"/>
                    </a:xfrm>
                    <a:prstGeom prst="rect">
                      <a:avLst/>
                    </a:prstGeom>
                    <a:ln>
                      <a:noFill/>
                    </a:ln>
                    <a:extLst>
                      <a:ext uri="{53640926-AAD7-44D8-BBD7-CCE9431645EC}">
                        <a14:shadowObscured xmlns:a14="http://schemas.microsoft.com/office/drawing/2010/main"/>
                      </a:ext>
                    </a:extLst>
                  </pic:spPr>
                </pic:pic>
              </a:graphicData>
            </a:graphic>
          </wp:inline>
        </w:drawing>
      </w:r>
    </w:p>
    <w:p w14:paraId="2ECC754D" w14:textId="77777777" w:rsidR="00E86DAB" w:rsidRDefault="00E86DAB" w:rsidP="00E86DAB">
      <w:pPr>
        <w:jc w:val="both"/>
      </w:pPr>
      <w:r>
        <w:rPr>
          <w:i/>
          <w:color w:val="666666"/>
          <w:sz w:val="17"/>
        </w:rPr>
        <w:t>Figure 6. Proposed 12-month implementation pathway. Source: Author's own construction.</w:t>
      </w:r>
    </w:p>
    <w:tbl>
      <w:tblPr>
        <w:tblW w:w="0" w:type="auto"/>
        <w:jc w:val="center"/>
        <w:tblLook w:val="04A0" w:firstRow="1" w:lastRow="0" w:firstColumn="1" w:lastColumn="0" w:noHBand="0" w:noVBand="1"/>
      </w:tblPr>
      <w:tblGrid>
        <w:gridCol w:w="2448"/>
        <w:gridCol w:w="2448"/>
        <w:gridCol w:w="2448"/>
        <w:gridCol w:w="2448"/>
      </w:tblGrid>
      <w:tr w:rsidR="00E86DAB" w14:paraId="15BB1451" w14:textId="77777777" w:rsidTr="00F90F72">
        <w:trPr>
          <w:jc w:val="center"/>
        </w:trPr>
        <w:tc>
          <w:tcPr>
            <w:tcW w:w="2448" w:type="dxa"/>
            <w:shd w:val="clear" w:color="auto" w:fill="168A8A"/>
            <w:vAlign w:val="center"/>
          </w:tcPr>
          <w:p w14:paraId="74BCCB2F" w14:textId="77777777" w:rsidR="00E86DAB" w:rsidRDefault="00E86DAB" w:rsidP="00F90F72">
            <w:pPr>
              <w:jc w:val="both"/>
            </w:pPr>
            <w:r>
              <w:rPr>
                <w:b/>
                <w:color w:val="FFFFFF"/>
                <w:sz w:val="17"/>
              </w:rPr>
              <w:t>Phase</w:t>
            </w:r>
          </w:p>
        </w:tc>
        <w:tc>
          <w:tcPr>
            <w:tcW w:w="2448" w:type="dxa"/>
            <w:shd w:val="clear" w:color="auto" w:fill="168A8A"/>
            <w:vAlign w:val="center"/>
          </w:tcPr>
          <w:p w14:paraId="09CBBD78" w14:textId="77777777" w:rsidR="00E86DAB" w:rsidRDefault="00E86DAB" w:rsidP="00F90F72">
            <w:pPr>
              <w:jc w:val="both"/>
            </w:pPr>
            <w:r>
              <w:rPr>
                <w:b/>
                <w:color w:val="FFFFFF"/>
                <w:sz w:val="17"/>
              </w:rPr>
              <w:t>Timing</w:t>
            </w:r>
          </w:p>
        </w:tc>
        <w:tc>
          <w:tcPr>
            <w:tcW w:w="2448" w:type="dxa"/>
            <w:shd w:val="clear" w:color="auto" w:fill="168A8A"/>
            <w:vAlign w:val="center"/>
          </w:tcPr>
          <w:p w14:paraId="68304D94" w14:textId="77777777" w:rsidR="00E86DAB" w:rsidRDefault="00E86DAB" w:rsidP="00F90F72">
            <w:pPr>
              <w:jc w:val="both"/>
            </w:pPr>
            <w:r>
              <w:rPr>
                <w:b/>
                <w:color w:val="FFFFFF"/>
                <w:sz w:val="17"/>
              </w:rPr>
              <w:t>Main intervention</w:t>
            </w:r>
          </w:p>
        </w:tc>
        <w:tc>
          <w:tcPr>
            <w:tcW w:w="2448" w:type="dxa"/>
            <w:shd w:val="clear" w:color="auto" w:fill="168A8A"/>
            <w:vAlign w:val="center"/>
          </w:tcPr>
          <w:p w14:paraId="201D0E52" w14:textId="77777777" w:rsidR="00E86DAB" w:rsidRDefault="00E86DAB" w:rsidP="00F90F72">
            <w:pPr>
              <w:jc w:val="both"/>
            </w:pPr>
            <w:r>
              <w:rPr>
                <w:b/>
                <w:color w:val="FFFFFF"/>
                <w:sz w:val="17"/>
              </w:rPr>
              <w:t>Key outputs</w:t>
            </w:r>
          </w:p>
        </w:tc>
      </w:tr>
      <w:tr w:rsidR="00E86DAB" w14:paraId="2F8263A6" w14:textId="77777777" w:rsidTr="00F90F72">
        <w:trPr>
          <w:jc w:val="center"/>
        </w:trPr>
        <w:tc>
          <w:tcPr>
            <w:tcW w:w="2448" w:type="dxa"/>
            <w:vAlign w:val="center"/>
          </w:tcPr>
          <w:p w14:paraId="45072790" w14:textId="77777777" w:rsidR="00E86DAB" w:rsidRDefault="00E86DAB" w:rsidP="00F90F72">
            <w:pPr>
              <w:jc w:val="both"/>
            </w:pPr>
            <w:r>
              <w:rPr>
                <w:color w:val="333333"/>
                <w:sz w:val="17"/>
              </w:rPr>
              <w:t>1</w:t>
            </w:r>
          </w:p>
        </w:tc>
        <w:tc>
          <w:tcPr>
            <w:tcW w:w="2448" w:type="dxa"/>
            <w:vAlign w:val="center"/>
          </w:tcPr>
          <w:p w14:paraId="3E85ABBC" w14:textId="77777777" w:rsidR="00E86DAB" w:rsidRDefault="00E86DAB" w:rsidP="00F90F72">
            <w:pPr>
              <w:jc w:val="both"/>
            </w:pPr>
            <w:r>
              <w:rPr>
                <w:color w:val="333333"/>
                <w:sz w:val="17"/>
              </w:rPr>
              <w:t>Months 1–3</w:t>
            </w:r>
          </w:p>
        </w:tc>
        <w:tc>
          <w:tcPr>
            <w:tcW w:w="2448" w:type="dxa"/>
            <w:vAlign w:val="center"/>
          </w:tcPr>
          <w:p w14:paraId="291A1EC5" w14:textId="77777777" w:rsidR="00E86DAB" w:rsidRDefault="00E86DAB" w:rsidP="00F90F72">
            <w:pPr>
              <w:jc w:val="both"/>
            </w:pPr>
            <w:r>
              <w:rPr>
                <w:color w:val="333333"/>
                <w:sz w:val="17"/>
              </w:rPr>
              <w:t>Baseline audit + PDSA 1</w:t>
            </w:r>
          </w:p>
        </w:tc>
        <w:tc>
          <w:tcPr>
            <w:tcW w:w="2448" w:type="dxa"/>
            <w:vAlign w:val="center"/>
          </w:tcPr>
          <w:p w14:paraId="6A1B2C61" w14:textId="77777777" w:rsidR="00E86DAB" w:rsidRDefault="00E86DAB" w:rsidP="00F90F72">
            <w:pPr>
              <w:jc w:val="both"/>
            </w:pPr>
            <w:r>
              <w:rPr>
                <w:color w:val="333333"/>
                <w:sz w:val="17"/>
              </w:rPr>
              <w:t>Baseline data; safety-huddle pilot; staff/patient feedback</w:t>
            </w:r>
          </w:p>
        </w:tc>
      </w:tr>
      <w:tr w:rsidR="00E86DAB" w14:paraId="0AD97BB0" w14:textId="77777777" w:rsidTr="00F90F72">
        <w:trPr>
          <w:jc w:val="center"/>
        </w:trPr>
        <w:tc>
          <w:tcPr>
            <w:tcW w:w="2448" w:type="dxa"/>
            <w:vAlign w:val="center"/>
          </w:tcPr>
          <w:p w14:paraId="3835AC0D" w14:textId="77777777" w:rsidR="00E86DAB" w:rsidRDefault="00E86DAB" w:rsidP="00F90F72">
            <w:pPr>
              <w:jc w:val="both"/>
            </w:pPr>
            <w:r>
              <w:rPr>
                <w:color w:val="333333"/>
                <w:sz w:val="17"/>
              </w:rPr>
              <w:t>2</w:t>
            </w:r>
          </w:p>
        </w:tc>
        <w:tc>
          <w:tcPr>
            <w:tcW w:w="2448" w:type="dxa"/>
            <w:vAlign w:val="center"/>
          </w:tcPr>
          <w:p w14:paraId="7E1632E7" w14:textId="77777777" w:rsidR="00E86DAB" w:rsidRDefault="00E86DAB" w:rsidP="00F90F72">
            <w:pPr>
              <w:jc w:val="both"/>
            </w:pPr>
            <w:r>
              <w:rPr>
                <w:color w:val="333333"/>
                <w:sz w:val="17"/>
              </w:rPr>
              <w:t>Months 4–6</w:t>
            </w:r>
          </w:p>
        </w:tc>
        <w:tc>
          <w:tcPr>
            <w:tcW w:w="2448" w:type="dxa"/>
            <w:vAlign w:val="center"/>
          </w:tcPr>
          <w:p w14:paraId="34ABD35C" w14:textId="77777777" w:rsidR="00E86DAB" w:rsidRDefault="00E86DAB" w:rsidP="00F90F72">
            <w:pPr>
              <w:jc w:val="both"/>
            </w:pPr>
            <w:r>
              <w:rPr>
                <w:color w:val="333333"/>
                <w:sz w:val="17"/>
              </w:rPr>
              <w:t xml:space="preserve">Governance dashboard + Duty of </w:t>
            </w:r>
            <w:proofErr w:type="spellStart"/>
            <w:r>
              <w:rPr>
                <w:color w:val="333333"/>
                <w:sz w:val="17"/>
              </w:rPr>
              <w:t>Candour</w:t>
            </w:r>
            <w:proofErr w:type="spellEnd"/>
            <w:r>
              <w:rPr>
                <w:color w:val="333333"/>
                <w:sz w:val="17"/>
              </w:rPr>
              <w:t xml:space="preserve"> training</w:t>
            </w:r>
          </w:p>
        </w:tc>
        <w:tc>
          <w:tcPr>
            <w:tcW w:w="2448" w:type="dxa"/>
            <w:vAlign w:val="center"/>
          </w:tcPr>
          <w:p w14:paraId="3ED84B9C" w14:textId="77777777" w:rsidR="00E86DAB" w:rsidRDefault="00E86DAB" w:rsidP="00F90F72">
            <w:pPr>
              <w:jc w:val="both"/>
            </w:pPr>
            <w:r>
              <w:rPr>
                <w:color w:val="333333"/>
                <w:sz w:val="17"/>
              </w:rPr>
              <w:t>Escalation thresholds; board reporting; training</w:t>
            </w:r>
          </w:p>
        </w:tc>
      </w:tr>
      <w:tr w:rsidR="00E86DAB" w14:paraId="2B8D3B92" w14:textId="77777777" w:rsidTr="00F90F72">
        <w:trPr>
          <w:jc w:val="center"/>
        </w:trPr>
        <w:tc>
          <w:tcPr>
            <w:tcW w:w="2448" w:type="dxa"/>
            <w:vAlign w:val="center"/>
          </w:tcPr>
          <w:p w14:paraId="546AC483" w14:textId="77777777" w:rsidR="00E86DAB" w:rsidRDefault="00E86DAB" w:rsidP="00F90F72">
            <w:pPr>
              <w:jc w:val="both"/>
            </w:pPr>
            <w:r>
              <w:rPr>
                <w:color w:val="333333"/>
                <w:sz w:val="17"/>
              </w:rPr>
              <w:t>3</w:t>
            </w:r>
          </w:p>
        </w:tc>
        <w:tc>
          <w:tcPr>
            <w:tcW w:w="2448" w:type="dxa"/>
            <w:vAlign w:val="center"/>
          </w:tcPr>
          <w:p w14:paraId="1F01AA90" w14:textId="77777777" w:rsidR="00E86DAB" w:rsidRDefault="00E86DAB" w:rsidP="00F90F72">
            <w:pPr>
              <w:jc w:val="both"/>
            </w:pPr>
            <w:r>
              <w:rPr>
                <w:color w:val="333333"/>
                <w:sz w:val="17"/>
              </w:rPr>
              <w:t>Months 7–9</w:t>
            </w:r>
          </w:p>
        </w:tc>
        <w:tc>
          <w:tcPr>
            <w:tcW w:w="2448" w:type="dxa"/>
            <w:vAlign w:val="center"/>
          </w:tcPr>
          <w:p w14:paraId="1DF9090B" w14:textId="77777777" w:rsidR="00E86DAB" w:rsidRDefault="00E86DAB" w:rsidP="00F90F72">
            <w:pPr>
              <w:jc w:val="both"/>
            </w:pPr>
            <w:r>
              <w:rPr>
                <w:color w:val="333333"/>
                <w:sz w:val="17"/>
              </w:rPr>
              <w:t>Lean pathway improvement</w:t>
            </w:r>
          </w:p>
        </w:tc>
        <w:tc>
          <w:tcPr>
            <w:tcW w:w="2448" w:type="dxa"/>
            <w:vAlign w:val="center"/>
          </w:tcPr>
          <w:p w14:paraId="75DC9D58" w14:textId="77777777" w:rsidR="00E86DAB" w:rsidRDefault="00E86DAB" w:rsidP="00F90F72">
            <w:pPr>
              <w:jc w:val="both"/>
            </w:pPr>
            <w:r>
              <w:rPr>
                <w:color w:val="333333"/>
                <w:sz w:val="17"/>
              </w:rPr>
              <w:t xml:space="preserve">Reduced duplication/delay; </w:t>
            </w:r>
            <w:proofErr w:type="spellStart"/>
            <w:r>
              <w:rPr>
                <w:color w:val="333333"/>
                <w:sz w:val="17"/>
              </w:rPr>
              <w:t>standardised</w:t>
            </w:r>
            <w:proofErr w:type="spellEnd"/>
            <w:r>
              <w:rPr>
                <w:color w:val="333333"/>
                <w:sz w:val="17"/>
              </w:rPr>
              <w:t xml:space="preserve"> handover/escalation</w:t>
            </w:r>
          </w:p>
        </w:tc>
      </w:tr>
      <w:tr w:rsidR="00E86DAB" w14:paraId="0067671E" w14:textId="77777777" w:rsidTr="00F90F72">
        <w:trPr>
          <w:jc w:val="center"/>
        </w:trPr>
        <w:tc>
          <w:tcPr>
            <w:tcW w:w="2448" w:type="dxa"/>
            <w:vAlign w:val="center"/>
          </w:tcPr>
          <w:p w14:paraId="64331A97" w14:textId="77777777" w:rsidR="00E86DAB" w:rsidRDefault="00E86DAB" w:rsidP="00F90F72">
            <w:pPr>
              <w:jc w:val="both"/>
            </w:pPr>
            <w:r>
              <w:rPr>
                <w:color w:val="333333"/>
                <w:sz w:val="17"/>
              </w:rPr>
              <w:t>4</w:t>
            </w:r>
          </w:p>
        </w:tc>
        <w:tc>
          <w:tcPr>
            <w:tcW w:w="2448" w:type="dxa"/>
            <w:vAlign w:val="center"/>
          </w:tcPr>
          <w:p w14:paraId="179008CC" w14:textId="77777777" w:rsidR="00E86DAB" w:rsidRDefault="00E86DAB" w:rsidP="00F90F72">
            <w:pPr>
              <w:jc w:val="both"/>
            </w:pPr>
            <w:r>
              <w:rPr>
                <w:color w:val="333333"/>
                <w:sz w:val="17"/>
              </w:rPr>
              <w:t>Months 10–12</w:t>
            </w:r>
          </w:p>
        </w:tc>
        <w:tc>
          <w:tcPr>
            <w:tcW w:w="2448" w:type="dxa"/>
            <w:vAlign w:val="center"/>
          </w:tcPr>
          <w:p w14:paraId="0BAE29D8" w14:textId="77777777" w:rsidR="00E86DAB" w:rsidRDefault="00E86DAB" w:rsidP="00F90F72">
            <w:pPr>
              <w:jc w:val="both"/>
            </w:pPr>
            <w:r>
              <w:rPr>
                <w:color w:val="333333"/>
                <w:sz w:val="17"/>
              </w:rPr>
              <w:t>Six Sigma + sustainability</w:t>
            </w:r>
          </w:p>
        </w:tc>
        <w:tc>
          <w:tcPr>
            <w:tcW w:w="2448" w:type="dxa"/>
            <w:vAlign w:val="center"/>
          </w:tcPr>
          <w:p w14:paraId="3387EBA2" w14:textId="77777777" w:rsidR="00E86DAB" w:rsidRDefault="00E86DAB" w:rsidP="00F90F72">
            <w:pPr>
              <w:jc w:val="both"/>
            </w:pPr>
            <w:r>
              <w:rPr>
                <w:color w:val="333333"/>
                <w:sz w:val="17"/>
              </w:rPr>
              <w:t xml:space="preserve">Variation analysis; </w:t>
            </w:r>
            <w:proofErr w:type="spellStart"/>
            <w:r>
              <w:rPr>
                <w:color w:val="333333"/>
                <w:sz w:val="17"/>
              </w:rPr>
              <w:t>standardisation</w:t>
            </w:r>
            <w:proofErr w:type="spellEnd"/>
            <w:r>
              <w:rPr>
                <w:color w:val="333333"/>
                <w:sz w:val="17"/>
              </w:rPr>
              <w:t>; final evaluation</w:t>
            </w:r>
          </w:p>
        </w:tc>
      </w:tr>
    </w:tbl>
    <w:p w14:paraId="18E17826" w14:textId="77777777" w:rsidR="00E86DAB" w:rsidRDefault="00E86DAB" w:rsidP="005A3EDF">
      <w:pPr>
        <w:jc w:val="both"/>
      </w:pPr>
    </w:p>
    <w:p w14:paraId="2E30D8B3" w14:textId="77777777" w:rsidR="00D23E6E" w:rsidRDefault="00000000" w:rsidP="005A3EDF">
      <w:pPr>
        <w:pStyle w:val="Heading1"/>
        <w:jc w:val="both"/>
      </w:pPr>
      <w:r>
        <w:lastRenderedPageBreak/>
        <w:t>6. Measurement and Evaluation</w:t>
      </w:r>
    </w:p>
    <w:p w14:paraId="22F61A9A" w14:textId="77777777" w:rsidR="00D23E6E" w:rsidRDefault="00000000" w:rsidP="005A3EDF">
      <w:pPr>
        <w:jc w:val="both"/>
      </w:pPr>
      <w:r>
        <w:t>Evaluation should include outcome, process and balancing measures. Outcome measures assess whether patient safety and experience improve; process measures test whether the intervention is being delivered as intended; and balancing measures identify unintended consequences. This combination reduces the risk that a project is declared successful merely because documentation compliance increases.</w:t>
      </w:r>
    </w:p>
    <w:p w14:paraId="56675C09" w14:textId="77777777" w:rsidR="00D23E6E" w:rsidRDefault="00000000" w:rsidP="005A3EDF">
      <w:pPr>
        <w:jc w:val="both"/>
      </w:pPr>
      <w:r>
        <w:t>Suggested outcomes include hospital-acquired pressure ulcers, falls, patient experience and complaint themes. Process measures include the proportion of shifts meeting locally agreed safe-staffing thresholds, compliance with safety huddles and early-warning escalation, and completion of safety training. Balancing measures include staff sickness, burnout, workload and agency expenditure. Targets should be finalised after baseline measurement rather than imposed without local context. A target such as 95% compliance can be used as a proposed benchmark for process reliability, but it should be justified against baseline performance and clinical risk.</w:t>
      </w:r>
    </w:p>
    <w:p w14:paraId="5642BA28" w14:textId="77777777" w:rsidR="00D23E6E" w:rsidRDefault="00000000" w:rsidP="005A3EDF">
      <w:pPr>
        <w:jc w:val="both"/>
      </w:pPr>
      <w:r>
        <w:t>Run charts or statistical process control methods could be used to monitor change over time rather than comparing only pre- and post-intervention averages. This is important because healthcare performance fluctuates naturally. Qualitative data from staff and patients should be triangulated with numerical indicators. If a numerical measure improves while staff report increased workload or patients report poorer communication, the intervention should be adapted rather than declared successful.</w:t>
      </w:r>
    </w:p>
    <w:p w14:paraId="6F7213A8" w14:textId="77777777" w:rsidR="00E86DAB" w:rsidRDefault="00E86DAB" w:rsidP="00E86DAB">
      <w:pPr>
        <w:pStyle w:val="Heading1"/>
        <w:jc w:val="both"/>
      </w:pPr>
      <w:r>
        <w:t>6. Measurement and Evaluation</w:t>
      </w:r>
    </w:p>
    <w:tbl>
      <w:tblPr>
        <w:tblW w:w="0" w:type="auto"/>
        <w:jc w:val="center"/>
        <w:tblLook w:val="04A0" w:firstRow="1" w:lastRow="0" w:firstColumn="1" w:lastColumn="0" w:noHBand="0" w:noVBand="1"/>
      </w:tblPr>
      <w:tblGrid>
        <w:gridCol w:w="2448"/>
        <w:gridCol w:w="2448"/>
        <w:gridCol w:w="2448"/>
        <w:gridCol w:w="2448"/>
      </w:tblGrid>
      <w:tr w:rsidR="00E86DAB" w14:paraId="58E96390" w14:textId="77777777" w:rsidTr="00F90F72">
        <w:trPr>
          <w:jc w:val="center"/>
        </w:trPr>
        <w:tc>
          <w:tcPr>
            <w:tcW w:w="2448" w:type="dxa"/>
            <w:shd w:val="clear" w:color="auto" w:fill="17365D"/>
            <w:vAlign w:val="center"/>
          </w:tcPr>
          <w:p w14:paraId="0669058D" w14:textId="77777777" w:rsidR="00E86DAB" w:rsidRDefault="00E86DAB" w:rsidP="00F90F72">
            <w:pPr>
              <w:jc w:val="both"/>
            </w:pPr>
            <w:r>
              <w:rPr>
                <w:b/>
                <w:color w:val="FFFFFF"/>
                <w:sz w:val="17"/>
              </w:rPr>
              <w:t>Type</w:t>
            </w:r>
          </w:p>
        </w:tc>
        <w:tc>
          <w:tcPr>
            <w:tcW w:w="2448" w:type="dxa"/>
            <w:shd w:val="clear" w:color="auto" w:fill="17365D"/>
            <w:vAlign w:val="center"/>
          </w:tcPr>
          <w:p w14:paraId="0606ACE5" w14:textId="77777777" w:rsidR="00E86DAB" w:rsidRDefault="00E86DAB" w:rsidP="00F90F72">
            <w:pPr>
              <w:jc w:val="both"/>
            </w:pPr>
            <w:r>
              <w:rPr>
                <w:b/>
                <w:color w:val="FFFFFF"/>
                <w:sz w:val="17"/>
              </w:rPr>
              <w:t>Metric</w:t>
            </w:r>
          </w:p>
        </w:tc>
        <w:tc>
          <w:tcPr>
            <w:tcW w:w="2448" w:type="dxa"/>
            <w:shd w:val="clear" w:color="auto" w:fill="17365D"/>
            <w:vAlign w:val="center"/>
          </w:tcPr>
          <w:p w14:paraId="49238949" w14:textId="77777777" w:rsidR="00E86DAB" w:rsidRDefault="00E86DAB" w:rsidP="00F90F72">
            <w:pPr>
              <w:jc w:val="both"/>
            </w:pPr>
            <w:r>
              <w:rPr>
                <w:b/>
                <w:color w:val="FFFFFF"/>
                <w:sz w:val="17"/>
              </w:rPr>
              <w:t>Proposed benchmark</w:t>
            </w:r>
          </w:p>
        </w:tc>
        <w:tc>
          <w:tcPr>
            <w:tcW w:w="2448" w:type="dxa"/>
            <w:shd w:val="clear" w:color="auto" w:fill="17365D"/>
            <w:vAlign w:val="center"/>
          </w:tcPr>
          <w:p w14:paraId="735682EB" w14:textId="77777777" w:rsidR="00E86DAB" w:rsidRDefault="00E86DAB" w:rsidP="00F90F72">
            <w:pPr>
              <w:jc w:val="both"/>
            </w:pPr>
            <w:r>
              <w:rPr>
                <w:b/>
                <w:color w:val="FFFFFF"/>
                <w:sz w:val="17"/>
              </w:rPr>
              <w:t>Purpose</w:t>
            </w:r>
          </w:p>
        </w:tc>
      </w:tr>
      <w:tr w:rsidR="00E86DAB" w14:paraId="3F192E97" w14:textId="77777777" w:rsidTr="00F90F72">
        <w:trPr>
          <w:jc w:val="center"/>
        </w:trPr>
        <w:tc>
          <w:tcPr>
            <w:tcW w:w="2448" w:type="dxa"/>
            <w:vAlign w:val="center"/>
          </w:tcPr>
          <w:p w14:paraId="0C9D5E43" w14:textId="77777777" w:rsidR="00E86DAB" w:rsidRDefault="00E86DAB" w:rsidP="00F90F72">
            <w:pPr>
              <w:jc w:val="both"/>
            </w:pPr>
            <w:r>
              <w:rPr>
                <w:color w:val="333333"/>
                <w:sz w:val="17"/>
              </w:rPr>
              <w:t>Outcome</w:t>
            </w:r>
          </w:p>
        </w:tc>
        <w:tc>
          <w:tcPr>
            <w:tcW w:w="2448" w:type="dxa"/>
            <w:vAlign w:val="center"/>
          </w:tcPr>
          <w:p w14:paraId="0C35E6BE" w14:textId="77777777" w:rsidR="00E86DAB" w:rsidRDefault="00E86DAB" w:rsidP="00F90F72">
            <w:pPr>
              <w:jc w:val="both"/>
            </w:pPr>
            <w:r>
              <w:rPr>
                <w:color w:val="333333"/>
                <w:sz w:val="17"/>
              </w:rPr>
              <w:t>Falls</w:t>
            </w:r>
          </w:p>
        </w:tc>
        <w:tc>
          <w:tcPr>
            <w:tcW w:w="2448" w:type="dxa"/>
            <w:vAlign w:val="center"/>
          </w:tcPr>
          <w:p w14:paraId="0AE1B58F" w14:textId="77777777" w:rsidR="00E86DAB" w:rsidRDefault="00E86DAB" w:rsidP="00F90F72">
            <w:pPr>
              <w:jc w:val="both"/>
            </w:pPr>
            <w:r>
              <w:rPr>
                <w:color w:val="333333"/>
                <w:sz w:val="17"/>
              </w:rPr>
              <w:t>Reduction from baseline over 12 months</w:t>
            </w:r>
          </w:p>
        </w:tc>
        <w:tc>
          <w:tcPr>
            <w:tcW w:w="2448" w:type="dxa"/>
            <w:vAlign w:val="center"/>
          </w:tcPr>
          <w:p w14:paraId="0FFEDAB6" w14:textId="77777777" w:rsidR="00E86DAB" w:rsidRDefault="00E86DAB" w:rsidP="00F90F72">
            <w:pPr>
              <w:jc w:val="both"/>
            </w:pPr>
            <w:r>
              <w:rPr>
                <w:color w:val="333333"/>
                <w:sz w:val="17"/>
              </w:rPr>
              <w:t>Patient safety</w:t>
            </w:r>
          </w:p>
        </w:tc>
      </w:tr>
      <w:tr w:rsidR="00E86DAB" w14:paraId="4CF764FB" w14:textId="77777777" w:rsidTr="00F90F72">
        <w:trPr>
          <w:jc w:val="center"/>
        </w:trPr>
        <w:tc>
          <w:tcPr>
            <w:tcW w:w="2448" w:type="dxa"/>
            <w:vAlign w:val="center"/>
          </w:tcPr>
          <w:p w14:paraId="441D32B8" w14:textId="77777777" w:rsidR="00E86DAB" w:rsidRDefault="00E86DAB" w:rsidP="00F90F72">
            <w:pPr>
              <w:jc w:val="both"/>
            </w:pPr>
            <w:r>
              <w:rPr>
                <w:color w:val="333333"/>
                <w:sz w:val="17"/>
              </w:rPr>
              <w:t>Outcome</w:t>
            </w:r>
          </w:p>
        </w:tc>
        <w:tc>
          <w:tcPr>
            <w:tcW w:w="2448" w:type="dxa"/>
            <w:vAlign w:val="center"/>
          </w:tcPr>
          <w:p w14:paraId="2F2F8AD8" w14:textId="77777777" w:rsidR="00E86DAB" w:rsidRDefault="00E86DAB" w:rsidP="00F90F72">
            <w:pPr>
              <w:jc w:val="both"/>
            </w:pPr>
            <w:r>
              <w:rPr>
                <w:color w:val="333333"/>
                <w:sz w:val="17"/>
              </w:rPr>
              <w:t>Hospital-acquired pressure ulcers</w:t>
            </w:r>
          </w:p>
        </w:tc>
        <w:tc>
          <w:tcPr>
            <w:tcW w:w="2448" w:type="dxa"/>
            <w:vAlign w:val="center"/>
          </w:tcPr>
          <w:p w14:paraId="4DEE5DAE" w14:textId="77777777" w:rsidR="00E86DAB" w:rsidRDefault="00E86DAB" w:rsidP="00F90F72">
            <w:pPr>
              <w:jc w:val="both"/>
            </w:pPr>
            <w:r>
              <w:rPr>
                <w:color w:val="333333"/>
                <w:sz w:val="17"/>
              </w:rPr>
              <w:t>Reduction from baseline</w:t>
            </w:r>
          </w:p>
        </w:tc>
        <w:tc>
          <w:tcPr>
            <w:tcW w:w="2448" w:type="dxa"/>
            <w:vAlign w:val="center"/>
          </w:tcPr>
          <w:p w14:paraId="4C8CB48D" w14:textId="77777777" w:rsidR="00E86DAB" w:rsidRDefault="00E86DAB" w:rsidP="00F90F72">
            <w:pPr>
              <w:jc w:val="both"/>
            </w:pPr>
            <w:r>
              <w:rPr>
                <w:color w:val="333333"/>
                <w:sz w:val="17"/>
              </w:rPr>
              <w:t>Fundamental care</w:t>
            </w:r>
          </w:p>
        </w:tc>
      </w:tr>
      <w:tr w:rsidR="00E86DAB" w14:paraId="4C9D5C6D" w14:textId="77777777" w:rsidTr="00F90F72">
        <w:trPr>
          <w:jc w:val="center"/>
        </w:trPr>
        <w:tc>
          <w:tcPr>
            <w:tcW w:w="2448" w:type="dxa"/>
            <w:vAlign w:val="center"/>
          </w:tcPr>
          <w:p w14:paraId="49E9D044" w14:textId="77777777" w:rsidR="00E86DAB" w:rsidRDefault="00E86DAB" w:rsidP="00F90F72">
            <w:pPr>
              <w:jc w:val="both"/>
            </w:pPr>
            <w:r>
              <w:rPr>
                <w:color w:val="333333"/>
                <w:sz w:val="17"/>
              </w:rPr>
              <w:t>Outcome</w:t>
            </w:r>
          </w:p>
        </w:tc>
        <w:tc>
          <w:tcPr>
            <w:tcW w:w="2448" w:type="dxa"/>
            <w:vAlign w:val="center"/>
          </w:tcPr>
          <w:p w14:paraId="29E7ADCD" w14:textId="77777777" w:rsidR="00E86DAB" w:rsidRDefault="00E86DAB" w:rsidP="00F90F72">
            <w:pPr>
              <w:jc w:val="both"/>
            </w:pPr>
            <w:r>
              <w:rPr>
                <w:color w:val="333333"/>
                <w:sz w:val="17"/>
              </w:rPr>
              <w:t>Patient experience</w:t>
            </w:r>
          </w:p>
        </w:tc>
        <w:tc>
          <w:tcPr>
            <w:tcW w:w="2448" w:type="dxa"/>
            <w:vAlign w:val="center"/>
          </w:tcPr>
          <w:p w14:paraId="380356EF" w14:textId="77777777" w:rsidR="00E86DAB" w:rsidRDefault="00E86DAB" w:rsidP="00F90F72">
            <w:pPr>
              <w:jc w:val="both"/>
            </w:pPr>
            <w:r>
              <w:rPr>
                <w:color w:val="333333"/>
                <w:sz w:val="17"/>
              </w:rPr>
              <w:t>Improvement from baseline</w:t>
            </w:r>
          </w:p>
        </w:tc>
        <w:tc>
          <w:tcPr>
            <w:tcW w:w="2448" w:type="dxa"/>
            <w:vAlign w:val="center"/>
          </w:tcPr>
          <w:p w14:paraId="732AD0E8" w14:textId="77777777" w:rsidR="00E86DAB" w:rsidRDefault="00E86DAB" w:rsidP="00F90F72">
            <w:pPr>
              <w:jc w:val="both"/>
            </w:pPr>
            <w:r>
              <w:rPr>
                <w:color w:val="333333"/>
                <w:sz w:val="17"/>
              </w:rPr>
              <w:t>Patient-</w:t>
            </w:r>
            <w:proofErr w:type="spellStart"/>
            <w:r>
              <w:rPr>
                <w:color w:val="333333"/>
                <w:sz w:val="17"/>
              </w:rPr>
              <w:t>centredness</w:t>
            </w:r>
            <w:proofErr w:type="spellEnd"/>
          </w:p>
        </w:tc>
      </w:tr>
      <w:tr w:rsidR="00E86DAB" w14:paraId="3E4EC767" w14:textId="77777777" w:rsidTr="00F90F72">
        <w:trPr>
          <w:jc w:val="center"/>
        </w:trPr>
        <w:tc>
          <w:tcPr>
            <w:tcW w:w="2448" w:type="dxa"/>
            <w:vAlign w:val="center"/>
          </w:tcPr>
          <w:p w14:paraId="4BEF9D16" w14:textId="77777777" w:rsidR="00E86DAB" w:rsidRDefault="00E86DAB" w:rsidP="00F90F72">
            <w:pPr>
              <w:jc w:val="both"/>
            </w:pPr>
            <w:r>
              <w:rPr>
                <w:color w:val="333333"/>
                <w:sz w:val="17"/>
              </w:rPr>
              <w:t>Outcome</w:t>
            </w:r>
          </w:p>
        </w:tc>
        <w:tc>
          <w:tcPr>
            <w:tcW w:w="2448" w:type="dxa"/>
            <w:vAlign w:val="center"/>
          </w:tcPr>
          <w:p w14:paraId="426A2684" w14:textId="77777777" w:rsidR="00E86DAB" w:rsidRDefault="00E86DAB" w:rsidP="00F90F72">
            <w:pPr>
              <w:jc w:val="both"/>
            </w:pPr>
            <w:r>
              <w:rPr>
                <w:color w:val="333333"/>
                <w:sz w:val="17"/>
              </w:rPr>
              <w:t>Complaint themes</w:t>
            </w:r>
          </w:p>
        </w:tc>
        <w:tc>
          <w:tcPr>
            <w:tcW w:w="2448" w:type="dxa"/>
            <w:vAlign w:val="center"/>
          </w:tcPr>
          <w:p w14:paraId="7D546167" w14:textId="77777777" w:rsidR="00E86DAB" w:rsidRDefault="00E86DAB" w:rsidP="00F90F72">
            <w:pPr>
              <w:jc w:val="both"/>
            </w:pPr>
            <w:r>
              <w:rPr>
                <w:color w:val="333333"/>
                <w:sz w:val="17"/>
              </w:rPr>
              <w:t>Evidence of learning and improved response</w:t>
            </w:r>
          </w:p>
        </w:tc>
        <w:tc>
          <w:tcPr>
            <w:tcW w:w="2448" w:type="dxa"/>
            <w:vAlign w:val="center"/>
          </w:tcPr>
          <w:p w14:paraId="2929A940" w14:textId="77777777" w:rsidR="00E86DAB" w:rsidRDefault="00E86DAB" w:rsidP="00F90F72">
            <w:pPr>
              <w:jc w:val="both"/>
            </w:pPr>
            <w:r>
              <w:rPr>
                <w:color w:val="333333"/>
                <w:sz w:val="17"/>
              </w:rPr>
              <w:t>Patient voice</w:t>
            </w:r>
          </w:p>
        </w:tc>
      </w:tr>
      <w:tr w:rsidR="00E86DAB" w14:paraId="4C2E3C87" w14:textId="77777777" w:rsidTr="00F90F72">
        <w:trPr>
          <w:jc w:val="center"/>
        </w:trPr>
        <w:tc>
          <w:tcPr>
            <w:tcW w:w="2448" w:type="dxa"/>
            <w:vAlign w:val="center"/>
          </w:tcPr>
          <w:p w14:paraId="6F449B5F" w14:textId="77777777" w:rsidR="00E86DAB" w:rsidRDefault="00E86DAB" w:rsidP="00F90F72">
            <w:pPr>
              <w:jc w:val="both"/>
            </w:pPr>
            <w:r>
              <w:rPr>
                <w:color w:val="333333"/>
                <w:sz w:val="17"/>
              </w:rPr>
              <w:t>Process</w:t>
            </w:r>
          </w:p>
        </w:tc>
        <w:tc>
          <w:tcPr>
            <w:tcW w:w="2448" w:type="dxa"/>
            <w:vAlign w:val="center"/>
          </w:tcPr>
          <w:p w14:paraId="36098D5D" w14:textId="77777777" w:rsidR="00E86DAB" w:rsidRDefault="00E86DAB" w:rsidP="00F90F72">
            <w:pPr>
              <w:jc w:val="both"/>
            </w:pPr>
            <w:r>
              <w:rPr>
                <w:color w:val="333333"/>
                <w:sz w:val="17"/>
              </w:rPr>
              <w:t>Safe staffing threshold compliance</w:t>
            </w:r>
          </w:p>
        </w:tc>
        <w:tc>
          <w:tcPr>
            <w:tcW w:w="2448" w:type="dxa"/>
            <w:vAlign w:val="center"/>
          </w:tcPr>
          <w:p w14:paraId="2780FA62" w14:textId="77777777" w:rsidR="00E86DAB" w:rsidRDefault="00E86DAB" w:rsidP="00F90F72">
            <w:pPr>
              <w:jc w:val="both"/>
            </w:pPr>
            <w:r>
              <w:rPr>
                <w:color w:val="333333"/>
                <w:sz w:val="17"/>
              </w:rPr>
              <w:t>≥95% proposed benchmark</w:t>
            </w:r>
          </w:p>
        </w:tc>
        <w:tc>
          <w:tcPr>
            <w:tcW w:w="2448" w:type="dxa"/>
            <w:vAlign w:val="center"/>
          </w:tcPr>
          <w:p w14:paraId="1A125406" w14:textId="77777777" w:rsidR="00E86DAB" w:rsidRDefault="00E86DAB" w:rsidP="00F90F72">
            <w:pPr>
              <w:jc w:val="both"/>
            </w:pPr>
            <w:r>
              <w:rPr>
                <w:color w:val="333333"/>
                <w:sz w:val="17"/>
              </w:rPr>
              <w:t>Workforce reliability</w:t>
            </w:r>
          </w:p>
        </w:tc>
      </w:tr>
      <w:tr w:rsidR="00E86DAB" w14:paraId="16987711" w14:textId="77777777" w:rsidTr="00F90F72">
        <w:trPr>
          <w:jc w:val="center"/>
        </w:trPr>
        <w:tc>
          <w:tcPr>
            <w:tcW w:w="2448" w:type="dxa"/>
            <w:vAlign w:val="center"/>
          </w:tcPr>
          <w:p w14:paraId="24D4D26C" w14:textId="77777777" w:rsidR="00E86DAB" w:rsidRDefault="00E86DAB" w:rsidP="00F90F72">
            <w:pPr>
              <w:jc w:val="both"/>
            </w:pPr>
            <w:r>
              <w:rPr>
                <w:color w:val="333333"/>
                <w:sz w:val="17"/>
              </w:rPr>
              <w:t>Process</w:t>
            </w:r>
          </w:p>
        </w:tc>
        <w:tc>
          <w:tcPr>
            <w:tcW w:w="2448" w:type="dxa"/>
            <w:vAlign w:val="center"/>
          </w:tcPr>
          <w:p w14:paraId="139948BD" w14:textId="77777777" w:rsidR="00E86DAB" w:rsidRDefault="00E86DAB" w:rsidP="00F90F72">
            <w:pPr>
              <w:jc w:val="both"/>
            </w:pPr>
            <w:r>
              <w:rPr>
                <w:color w:val="333333"/>
                <w:sz w:val="17"/>
              </w:rPr>
              <w:t>Early-warning escalation compliance</w:t>
            </w:r>
          </w:p>
        </w:tc>
        <w:tc>
          <w:tcPr>
            <w:tcW w:w="2448" w:type="dxa"/>
            <w:vAlign w:val="center"/>
          </w:tcPr>
          <w:p w14:paraId="7A88236B" w14:textId="77777777" w:rsidR="00E86DAB" w:rsidRDefault="00E86DAB" w:rsidP="00F90F72">
            <w:pPr>
              <w:jc w:val="both"/>
            </w:pPr>
            <w:r>
              <w:rPr>
                <w:color w:val="333333"/>
                <w:sz w:val="17"/>
              </w:rPr>
              <w:t>≥95% proposed benchmark</w:t>
            </w:r>
          </w:p>
        </w:tc>
        <w:tc>
          <w:tcPr>
            <w:tcW w:w="2448" w:type="dxa"/>
            <w:vAlign w:val="center"/>
          </w:tcPr>
          <w:p w14:paraId="53C3B8E1" w14:textId="77777777" w:rsidR="00E86DAB" w:rsidRDefault="00E86DAB" w:rsidP="00F90F72">
            <w:pPr>
              <w:jc w:val="both"/>
            </w:pPr>
            <w:r>
              <w:rPr>
                <w:color w:val="333333"/>
                <w:sz w:val="17"/>
              </w:rPr>
              <w:t>Timely response</w:t>
            </w:r>
          </w:p>
        </w:tc>
      </w:tr>
      <w:tr w:rsidR="00E86DAB" w14:paraId="62C3D812" w14:textId="77777777" w:rsidTr="00F90F72">
        <w:trPr>
          <w:jc w:val="center"/>
        </w:trPr>
        <w:tc>
          <w:tcPr>
            <w:tcW w:w="2448" w:type="dxa"/>
            <w:vAlign w:val="center"/>
          </w:tcPr>
          <w:p w14:paraId="721C8D28" w14:textId="77777777" w:rsidR="00E86DAB" w:rsidRDefault="00E86DAB" w:rsidP="00F90F72">
            <w:pPr>
              <w:jc w:val="both"/>
            </w:pPr>
            <w:r>
              <w:rPr>
                <w:color w:val="333333"/>
                <w:sz w:val="17"/>
              </w:rPr>
              <w:lastRenderedPageBreak/>
              <w:t>Process</w:t>
            </w:r>
          </w:p>
        </w:tc>
        <w:tc>
          <w:tcPr>
            <w:tcW w:w="2448" w:type="dxa"/>
            <w:vAlign w:val="center"/>
          </w:tcPr>
          <w:p w14:paraId="4C602A65" w14:textId="77777777" w:rsidR="00E86DAB" w:rsidRDefault="00E86DAB" w:rsidP="00F90F72">
            <w:pPr>
              <w:jc w:val="both"/>
            </w:pPr>
            <w:r>
              <w:rPr>
                <w:color w:val="333333"/>
                <w:sz w:val="17"/>
              </w:rPr>
              <w:t>Safety-huddle completion</w:t>
            </w:r>
          </w:p>
        </w:tc>
        <w:tc>
          <w:tcPr>
            <w:tcW w:w="2448" w:type="dxa"/>
            <w:vAlign w:val="center"/>
          </w:tcPr>
          <w:p w14:paraId="20475011" w14:textId="77777777" w:rsidR="00E86DAB" w:rsidRDefault="00E86DAB" w:rsidP="00F90F72">
            <w:pPr>
              <w:jc w:val="both"/>
            </w:pPr>
            <w:r>
              <w:rPr>
                <w:color w:val="333333"/>
                <w:sz w:val="17"/>
              </w:rPr>
              <w:t>≥95% proposed benchmark</w:t>
            </w:r>
          </w:p>
        </w:tc>
        <w:tc>
          <w:tcPr>
            <w:tcW w:w="2448" w:type="dxa"/>
            <w:vAlign w:val="center"/>
          </w:tcPr>
          <w:p w14:paraId="6AD75AD0" w14:textId="77777777" w:rsidR="00E86DAB" w:rsidRDefault="00E86DAB" w:rsidP="00F90F72">
            <w:pPr>
              <w:jc w:val="both"/>
            </w:pPr>
            <w:r>
              <w:rPr>
                <w:color w:val="333333"/>
                <w:sz w:val="17"/>
              </w:rPr>
              <w:t>Team communication</w:t>
            </w:r>
          </w:p>
        </w:tc>
      </w:tr>
      <w:tr w:rsidR="00E86DAB" w14:paraId="2B092DF0" w14:textId="77777777" w:rsidTr="00F90F72">
        <w:trPr>
          <w:jc w:val="center"/>
        </w:trPr>
        <w:tc>
          <w:tcPr>
            <w:tcW w:w="2448" w:type="dxa"/>
            <w:vAlign w:val="center"/>
          </w:tcPr>
          <w:p w14:paraId="0E4503C8" w14:textId="77777777" w:rsidR="00E86DAB" w:rsidRDefault="00E86DAB" w:rsidP="00F90F72">
            <w:pPr>
              <w:jc w:val="both"/>
            </w:pPr>
            <w:r>
              <w:rPr>
                <w:color w:val="333333"/>
                <w:sz w:val="17"/>
              </w:rPr>
              <w:t>Process</w:t>
            </w:r>
          </w:p>
        </w:tc>
        <w:tc>
          <w:tcPr>
            <w:tcW w:w="2448" w:type="dxa"/>
            <w:vAlign w:val="center"/>
          </w:tcPr>
          <w:p w14:paraId="08AECFF3" w14:textId="77777777" w:rsidR="00E86DAB" w:rsidRDefault="00E86DAB" w:rsidP="00F90F72">
            <w:pPr>
              <w:jc w:val="both"/>
            </w:pPr>
            <w:r>
              <w:rPr>
                <w:color w:val="333333"/>
                <w:sz w:val="17"/>
              </w:rPr>
              <w:t>Safety training completion</w:t>
            </w:r>
          </w:p>
        </w:tc>
        <w:tc>
          <w:tcPr>
            <w:tcW w:w="2448" w:type="dxa"/>
            <w:vAlign w:val="center"/>
          </w:tcPr>
          <w:p w14:paraId="356C4AE9" w14:textId="77777777" w:rsidR="00E86DAB" w:rsidRDefault="00E86DAB" w:rsidP="00F90F72">
            <w:pPr>
              <w:jc w:val="both"/>
            </w:pPr>
            <w:r>
              <w:rPr>
                <w:color w:val="333333"/>
                <w:sz w:val="17"/>
              </w:rPr>
              <w:t>≥95% proposed benchmark</w:t>
            </w:r>
          </w:p>
        </w:tc>
        <w:tc>
          <w:tcPr>
            <w:tcW w:w="2448" w:type="dxa"/>
            <w:vAlign w:val="center"/>
          </w:tcPr>
          <w:p w14:paraId="168297E0" w14:textId="77777777" w:rsidR="00E86DAB" w:rsidRDefault="00E86DAB" w:rsidP="00F90F72">
            <w:pPr>
              <w:jc w:val="both"/>
            </w:pPr>
            <w:r>
              <w:rPr>
                <w:color w:val="333333"/>
                <w:sz w:val="17"/>
              </w:rPr>
              <w:t>Capability</w:t>
            </w:r>
          </w:p>
        </w:tc>
      </w:tr>
      <w:tr w:rsidR="00E86DAB" w14:paraId="1377AC3D" w14:textId="77777777" w:rsidTr="00F90F72">
        <w:trPr>
          <w:jc w:val="center"/>
        </w:trPr>
        <w:tc>
          <w:tcPr>
            <w:tcW w:w="2448" w:type="dxa"/>
            <w:vAlign w:val="center"/>
          </w:tcPr>
          <w:p w14:paraId="1A34278E" w14:textId="77777777" w:rsidR="00E86DAB" w:rsidRDefault="00E86DAB" w:rsidP="00F90F72">
            <w:pPr>
              <w:jc w:val="both"/>
            </w:pPr>
            <w:r>
              <w:rPr>
                <w:color w:val="333333"/>
                <w:sz w:val="17"/>
              </w:rPr>
              <w:t>Balancing</w:t>
            </w:r>
          </w:p>
        </w:tc>
        <w:tc>
          <w:tcPr>
            <w:tcW w:w="2448" w:type="dxa"/>
            <w:vAlign w:val="center"/>
          </w:tcPr>
          <w:p w14:paraId="5DDE447B" w14:textId="77777777" w:rsidR="00E86DAB" w:rsidRDefault="00E86DAB" w:rsidP="00F90F72">
            <w:pPr>
              <w:jc w:val="both"/>
            </w:pPr>
            <w:r>
              <w:rPr>
                <w:color w:val="333333"/>
                <w:sz w:val="17"/>
              </w:rPr>
              <w:t>Staff sickness/burnout</w:t>
            </w:r>
          </w:p>
        </w:tc>
        <w:tc>
          <w:tcPr>
            <w:tcW w:w="2448" w:type="dxa"/>
            <w:vAlign w:val="center"/>
          </w:tcPr>
          <w:p w14:paraId="32F610FB" w14:textId="77777777" w:rsidR="00E86DAB" w:rsidRDefault="00E86DAB" w:rsidP="00F90F72">
            <w:pPr>
              <w:jc w:val="both"/>
            </w:pPr>
            <w:r>
              <w:rPr>
                <w:color w:val="333333"/>
                <w:sz w:val="17"/>
              </w:rPr>
              <w:t>No deterioration</w:t>
            </w:r>
          </w:p>
        </w:tc>
        <w:tc>
          <w:tcPr>
            <w:tcW w:w="2448" w:type="dxa"/>
            <w:vAlign w:val="center"/>
          </w:tcPr>
          <w:p w14:paraId="24F62F0C" w14:textId="77777777" w:rsidR="00E86DAB" w:rsidRDefault="00E86DAB" w:rsidP="00F90F72">
            <w:pPr>
              <w:jc w:val="both"/>
            </w:pPr>
            <w:r>
              <w:rPr>
                <w:color w:val="333333"/>
                <w:sz w:val="17"/>
              </w:rPr>
              <w:t>Avoid workload harm</w:t>
            </w:r>
          </w:p>
        </w:tc>
      </w:tr>
      <w:tr w:rsidR="00E86DAB" w14:paraId="35C2A668" w14:textId="77777777" w:rsidTr="00F90F72">
        <w:trPr>
          <w:jc w:val="center"/>
        </w:trPr>
        <w:tc>
          <w:tcPr>
            <w:tcW w:w="2448" w:type="dxa"/>
            <w:vAlign w:val="center"/>
          </w:tcPr>
          <w:p w14:paraId="71176192" w14:textId="77777777" w:rsidR="00E86DAB" w:rsidRDefault="00E86DAB" w:rsidP="00F90F72">
            <w:pPr>
              <w:jc w:val="both"/>
            </w:pPr>
            <w:r>
              <w:rPr>
                <w:color w:val="333333"/>
                <w:sz w:val="17"/>
              </w:rPr>
              <w:t>Balancing</w:t>
            </w:r>
          </w:p>
        </w:tc>
        <w:tc>
          <w:tcPr>
            <w:tcW w:w="2448" w:type="dxa"/>
            <w:vAlign w:val="center"/>
          </w:tcPr>
          <w:p w14:paraId="29070DD5" w14:textId="77777777" w:rsidR="00E86DAB" w:rsidRDefault="00E86DAB" w:rsidP="00F90F72">
            <w:pPr>
              <w:jc w:val="both"/>
            </w:pPr>
            <w:r>
              <w:rPr>
                <w:color w:val="333333"/>
                <w:sz w:val="17"/>
              </w:rPr>
              <w:t>Agency expenditure</w:t>
            </w:r>
          </w:p>
        </w:tc>
        <w:tc>
          <w:tcPr>
            <w:tcW w:w="2448" w:type="dxa"/>
            <w:vAlign w:val="center"/>
          </w:tcPr>
          <w:p w14:paraId="0EAA7E85" w14:textId="77777777" w:rsidR="00E86DAB" w:rsidRDefault="00E86DAB" w:rsidP="00F90F72">
            <w:pPr>
              <w:jc w:val="both"/>
            </w:pPr>
            <w:r>
              <w:rPr>
                <w:color w:val="333333"/>
                <w:sz w:val="17"/>
              </w:rPr>
              <w:t>Monitor</w:t>
            </w:r>
          </w:p>
        </w:tc>
        <w:tc>
          <w:tcPr>
            <w:tcW w:w="2448" w:type="dxa"/>
            <w:vAlign w:val="center"/>
          </w:tcPr>
          <w:p w14:paraId="3DC47B80" w14:textId="77777777" w:rsidR="00E86DAB" w:rsidRDefault="00E86DAB" w:rsidP="00F90F72">
            <w:pPr>
              <w:jc w:val="both"/>
            </w:pPr>
            <w:r>
              <w:rPr>
                <w:color w:val="333333"/>
                <w:sz w:val="17"/>
              </w:rPr>
              <w:t>Avoid unintended financial impact</w:t>
            </w:r>
          </w:p>
        </w:tc>
      </w:tr>
      <w:tr w:rsidR="00E86DAB" w14:paraId="6B24436E" w14:textId="77777777" w:rsidTr="00F90F72">
        <w:trPr>
          <w:jc w:val="center"/>
        </w:trPr>
        <w:tc>
          <w:tcPr>
            <w:tcW w:w="2448" w:type="dxa"/>
            <w:vAlign w:val="center"/>
          </w:tcPr>
          <w:p w14:paraId="0776B382" w14:textId="77777777" w:rsidR="00E86DAB" w:rsidRDefault="00E86DAB" w:rsidP="00F90F72">
            <w:pPr>
              <w:jc w:val="both"/>
            </w:pPr>
            <w:r>
              <w:rPr>
                <w:color w:val="333333"/>
                <w:sz w:val="17"/>
              </w:rPr>
              <w:t>Balancing</w:t>
            </w:r>
          </w:p>
        </w:tc>
        <w:tc>
          <w:tcPr>
            <w:tcW w:w="2448" w:type="dxa"/>
            <w:vAlign w:val="center"/>
          </w:tcPr>
          <w:p w14:paraId="6FD13FE4" w14:textId="77777777" w:rsidR="00E86DAB" w:rsidRDefault="00E86DAB" w:rsidP="00F90F72">
            <w:pPr>
              <w:jc w:val="both"/>
            </w:pPr>
            <w:r>
              <w:rPr>
                <w:color w:val="333333"/>
                <w:sz w:val="17"/>
              </w:rPr>
              <w:t>Staff workload</w:t>
            </w:r>
          </w:p>
        </w:tc>
        <w:tc>
          <w:tcPr>
            <w:tcW w:w="2448" w:type="dxa"/>
            <w:vAlign w:val="center"/>
          </w:tcPr>
          <w:p w14:paraId="498CFA79" w14:textId="77777777" w:rsidR="00E86DAB" w:rsidRDefault="00E86DAB" w:rsidP="00F90F72">
            <w:pPr>
              <w:jc w:val="both"/>
            </w:pPr>
            <w:r>
              <w:rPr>
                <w:color w:val="333333"/>
                <w:sz w:val="17"/>
              </w:rPr>
              <w:t>Monitor</w:t>
            </w:r>
          </w:p>
        </w:tc>
        <w:tc>
          <w:tcPr>
            <w:tcW w:w="2448" w:type="dxa"/>
            <w:vAlign w:val="center"/>
          </w:tcPr>
          <w:p w14:paraId="4071DC7B" w14:textId="77777777" w:rsidR="00E86DAB" w:rsidRDefault="00E86DAB" w:rsidP="00F90F72">
            <w:pPr>
              <w:jc w:val="both"/>
            </w:pPr>
            <w:r>
              <w:rPr>
                <w:color w:val="333333"/>
                <w:sz w:val="17"/>
              </w:rPr>
              <w:t>Avoid burden displacement</w:t>
            </w:r>
          </w:p>
        </w:tc>
      </w:tr>
    </w:tbl>
    <w:p w14:paraId="693BD09D" w14:textId="77777777" w:rsidR="00E86DAB" w:rsidRDefault="00E86DAB" w:rsidP="00E86DAB">
      <w:pPr>
        <w:jc w:val="both"/>
      </w:pPr>
      <w:r>
        <w:rPr>
          <w:i/>
          <w:color w:val="666666"/>
          <w:sz w:val="17"/>
        </w:rPr>
        <w:t>Figure 7. Proposed outcome, process and balancing measures. Source: Author's own construction.</w:t>
      </w:r>
    </w:p>
    <w:p w14:paraId="78F1CDD3" w14:textId="59B22A70" w:rsidR="00E86DAB" w:rsidRDefault="00E86DAB" w:rsidP="005A3EDF">
      <w:pPr>
        <w:jc w:val="both"/>
      </w:pPr>
      <w:r>
        <w:t>The proposed 95% process benchmarks are improvement targets, not historical Mid Staffordshire results. They should be confirmed after baseline measurement and local clinical risk assessment.</w:t>
      </w:r>
    </w:p>
    <w:p w14:paraId="58EC7828" w14:textId="77777777" w:rsidR="00D23E6E" w:rsidRDefault="00000000" w:rsidP="005A3EDF">
      <w:pPr>
        <w:pStyle w:val="Heading1"/>
        <w:jc w:val="both"/>
      </w:pPr>
      <w:r>
        <w:t>7. Critical Evaluation and Sustainability</w:t>
      </w:r>
    </w:p>
    <w:p w14:paraId="02CA7864" w14:textId="77777777" w:rsidR="00D23E6E" w:rsidRDefault="00000000" w:rsidP="005A3EDF">
      <w:pPr>
        <w:jc w:val="both"/>
      </w:pPr>
      <w:r>
        <w:t>The major Level 7 challenge is sustainability. QI tools do not independently guarantee long-term safety. A checklist, roster or dashboard can exist while poor culture persists. The Francis case demonstrates why technical controls must be supported by leadership, staffing, psychological safety and mechanisms for patient involvement. The organisation must therefore make safety a standing board priority and demonstrate that concerns lead to action.</w:t>
      </w:r>
    </w:p>
    <w:p w14:paraId="2C795059" w14:textId="77777777" w:rsidR="00D23E6E" w:rsidRDefault="00000000" w:rsidP="005A3EDF">
      <w:pPr>
        <w:jc w:val="both"/>
      </w:pPr>
      <w:r>
        <w:t>PSIRF provides a useful contemporary framework because it aims to support learning and improvement through system-based approaches, proportionate responses and compassionate involvement of those affected by incidents (NHS England, 2022). NHS England states that PSIRF integrates patient and family engagement, system-based learning, proportionate responses and supportive oversight. It also links incident response with clinical governance and complaints management. This is highly relevant to the lessons of Mid Staffordshire because safety learning must cross organisational boundaries rather than remain within individual investigations.</w:t>
      </w:r>
    </w:p>
    <w:p w14:paraId="450C2CC4" w14:textId="77777777" w:rsidR="00D23E6E" w:rsidRDefault="00000000" w:rsidP="005A3EDF">
      <w:pPr>
        <w:jc w:val="both"/>
      </w:pPr>
      <w:r>
        <w:t>A further sustainability risk is compliance culture. If staff believe that dashboards are primarily used for performance management, they may prioritise recording compliance rather than raising concerns. This could recreate the defensive behaviours that contributed to poor learning. Leaders should therefore communicate that data are used to identify risk and improve systems, while accountability remains appropriate when there is deliberate misconduct. Psychological safety must coexist with clear professional standards.</w:t>
      </w:r>
    </w:p>
    <w:p w14:paraId="7F1E4227" w14:textId="77777777" w:rsidR="00D23E6E" w:rsidRDefault="00000000" w:rsidP="005A3EDF">
      <w:pPr>
        <w:jc w:val="both"/>
      </w:pPr>
      <w:r>
        <w:t xml:space="preserve">Finally, improvement should be treated as a continuous process. After each PDSA cycle, leaders should review whether the intervention worked, for whom, under what conditions and with what </w:t>
      </w:r>
      <w:r>
        <w:lastRenderedPageBreak/>
        <w:t>unintended consequences. Successful changes should be standardised, but standardisation should not prevent local adaptation. Sustainability requires ongoing measurement, staff engagement, patient involvement, leadership visibility and periodic review of whether the intervention continues to improve outcomes.</w:t>
      </w:r>
    </w:p>
    <w:p w14:paraId="46DCC209" w14:textId="77777777" w:rsidR="00D23E6E" w:rsidRDefault="00000000" w:rsidP="005A3EDF">
      <w:pPr>
        <w:pStyle w:val="Heading1"/>
        <w:jc w:val="both"/>
      </w:pPr>
      <w:r>
        <w:t>8. Conclusion</w:t>
      </w:r>
    </w:p>
    <w:p w14:paraId="1E0CB474" w14:textId="77777777" w:rsidR="00D23E6E" w:rsidRDefault="00000000" w:rsidP="005A3EDF">
      <w:pPr>
        <w:jc w:val="both"/>
      </w:pPr>
      <w:r>
        <w:t>Mid Staffordshire demonstrates that major patient-safety failures can emerge from the interaction of workforce pressures, governance weakness, organisational culture, leadership priorities, inadequate patient voice and fragmented oversight. The case cannot be reduced to individual error or one deficient process. A systems perspective is therefore necessary.</w:t>
      </w:r>
    </w:p>
    <w:p w14:paraId="6873902B" w14:textId="77777777" w:rsidR="00D23E6E" w:rsidRDefault="00000000" w:rsidP="005A3EDF">
      <w:pPr>
        <w:jc w:val="both"/>
      </w:pPr>
      <w:r>
        <w:t>The proposed 12-month strategy combines Fishbone, Five Whys, Donabedian and SWOT for analysis and PDSA, Lean and Six Sigma for improvement. Outcome, process and balancing measures provide a balanced evaluation framework. The strategy is deliberately designed around learning rather than compliance alone and incorporates contemporary PSIRF principles concerning system-based learning and engagement with patients, families and staff.</w:t>
      </w:r>
    </w:p>
    <w:p w14:paraId="346EAD25" w14:textId="77777777" w:rsidR="00D23E6E" w:rsidRDefault="00000000" w:rsidP="005A3EDF">
      <w:pPr>
        <w:jc w:val="both"/>
      </w:pPr>
      <w:r>
        <w:t>The central lesson is that patient safety must remain an explicit organisational priority. Sustainable quality improvement depends on listening to patients and staff, identifying warning signals early, responding transparently to concerns, ensuring adequate capacity and continually testing whether changes improve care. In this respect, the legacy of Mid Staffordshire is not simply a historical warning but a continuing quality-governance challenge for healthcare organisations.</w:t>
      </w:r>
    </w:p>
    <w:p w14:paraId="18F1E99E" w14:textId="77777777" w:rsidR="00145F1D" w:rsidRDefault="00145F1D" w:rsidP="005A3EDF">
      <w:pPr>
        <w:jc w:val="both"/>
      </w:pPr>
    </w:p>
    <w:p w14:paraId="64214DF7" w14:textId="77777777" w:rsidR="00145F1D" w:rsidRDefault="00145F1D" w:rsidP="005A3EDF">
      <w:pPr>
        <w:jc w:val="both"/>
      </w:pPr>
    </w:p>
    <w:p w14:paraId="0F731282" w14:textId="77777777" w:rsidR="00145F1D" w:rsidRDefault="00145F1D" w:rsidP="005A3EDF">
      <w:pPr>
        <w:jc w:val="both"/>
      </w:pPr>
    </w:p>
    <w:p w14:paraId="42270DDA" w14:textId="77777777" w:rsidR="00145F1D" w:rsidRDefault="00145F1D" w:rsidP="005A3EDF">
      <w:pPr>
        <w:jc w:val="both"/>
      </w:pPr>
    </w:p>
    <w:p w14:paraId="36B9D85F" w14:textId="77777777" w:rsidR="00145F1D" w:rsidRDefault="00145F1D" w:rsidP="005A3EDF">
      <w:pPr>
        <w:jc w:val="both"/>
      </w:pPr>
    </w:p>
    <w:p w14:paraId="4B2B004D" w14:textId="77777777" w:rsidR="00145F1D" w:rsidRDefault="00145F1D" w:rsidP="005A3EDF">
      <w:pPr>
        <w:jc w:val="both"/>
      </w:pPr>
    </w:p>
    <w:p w14:paraId="645E4656" w14:textId="77777777" w:rsidR="005A3EDF" w:rsidRDefault="005A3EDF" w:rsidP="005A3EDF">
      <w:pPr>
        <w:jc w:val="both"/>
      </w:pPr>
    </w:p>
    <w:p w14:paraId="7419BBD8" w14:textId="10842000" w:rsidR="00D23E6E" w:rsidRDefault="00000000" w:rsidP="005A3EDF">
      <w:pPr>
        <w:pStyle w:val="Heading1"/>
        <w:jc w:val="both"/>
      </w:pPr>
      <w:r>
        <w:lastRenderedPageBreak/>
        <w:t>9. References</w:t>
      </w:r>
    </w:p>
    <w:p w14:paraId="1A484AD4" w14:textId="3E6A7FF3" w:rsidR="00D23E6E" w:rsidRDefault="00000000" w:rsidP="005A3EDF">
      <w:pPr>
        <w:pStyle w:val="ListParagraph"/>
        <w:numPr>
          <w:ilvl w:val="0"/>
          <w:numId w:val="10"/>
        </w:numPr>
        <w:spacing w:after="80"/>
        <w:jc w:val="both"/>
      </w:pPr>
      <w:r w:rsidRPr="005A3EDF">
        <w:rPr>
          <w:sz w:val="18"/>
        </w:rPr>
        <w:t xml:space="preserve">Aiken, L.H., Sloane, D.M., Bruyneel, L., Van den Heede, K., Griffiths, P., Busse, R., Diomidous, M., Kinnunen, J., Kózka, M., Lesaffre, E., McHugh, M.D., Moreno-Casbas, M.T., Rafferty, A.M., Schwendimann, R., Scott, P.A., Tishelman, C., van Achterberg, T. and Sermeus, W. (2014) ‘Nurse staffing and education and hospital mortality in nine European countries: a retrospective observational study’, The Lancet, 383(9931), pp. 1824–1830. </w:t>
      </w:r>
      <w:hyperlink r:id="rId12">
        <w:r w:rsidR="00D23E6E" w:rsidRPr="005A3EDF">
          <w:rPr>
            <w:color w:val="0563C1"/>
            <w:u w:val="single"/>
          </w:rPr>
          <w:t>[Source]</w:t>
        </w:r>
      </w:hyperlink>
    </w:p>
    <w:p w14:paraId="626B5625" w14:textId="77777777" w:rsidR="00D23E6E" w:rsidRDefault="00000000" w:rsidP="005A3EDF">
      <w:pPr>
        <w:pStyle w:val="ListParagraph"/>
        <w:numPr>
          <w:ilvl w:val="0"/>
          <w:numId w:val="10"/>
        </w:numPr>
        <w:spacing w:after="80"/>
        <w:jc w:val="both"/>
      </w:pPr>
      <w:r w:rsidRPr="005A3EDF">
        <w:rPr>
          <w:sz w:val="18"/>
        </w:rPr>
        <w:t xml:space="preserve">Ayanian, J.Z. and Markel, H. (2016) ‘Donabedian's lasting framework for health care quality’, New England Journal of Medicine, 375(3), pp. 205–207. </w:t>
      </w:r>
      <w:hyperlink r:id="rId13">
        <w:r w:rsidR="00D23E6E" w:rsidRPr="005A3EDF">
          <w:rPr>
            <w:color w:val="0563C1"/>
            <w:u w:val="single"/>
          </w:rPr>
          <w:t>[Source]</w:t>
        </w:r>
      </w:hyperlink>
    </w:p>
    <w:p w14:paraId="4AD4ACF2" w14:textId="77777777" w:rsidR="00D23E6E" w:rsidRDefault="00000000" w:rsidP="005A3EDF">
      <w:pPr>
        <w:pStyle w:val="ListParagraph"/>
        <w:numPr>
          <w:ilvl w:val="0"/>
          <w:numId w:val="10"/>
        </w:numPr>
        <w:spacing w:after="80"/>
        <w:jc w:val="both"/>
      </w:pPr>
      <w:r w:rsidRPr="005A3EDF">
        <w:rPr>
          <w:sz w:val="18"/>
        </w:rPr>
        <w:t xml:space="preserve">Berwick, D. (2013) A Promise to Learn – A Commitment to Act: Improving the Safety of Patients in England. London: Department of Health. </w:t>
      </w:r>
      <w:hyperlink r:id="rId14">
        <w:r w:rsidR="00D23E6E" w:rsidRPr="005A3EDF">
          <w:rPr>
            <w:color w:val="0563C1"/>
            <w:u w:val="single"/>
          </w:rPr>
          <w:t>[Source]</w:t>
        </w:r>
      </w:hyperlink>
    </w:p>
    <w:p w14:paraId="5BFBA225" w14:textId="77777777" w:rsidR="00D23E6E" w:rsidRDefault="00000000" w:rsidP="005A3EDF">
      <w:pPr>
        <w:pStyle w:val="ListParagraph"/>
        <w:numPr>
          <w:ilvl w:val="0"/>
          <w:numId w:val="10"/>
        </w:numPr>
        <w:spacing w:after="80"/>
        <w:jc w:val="both"/>
      </w:pPr>
      <w:r w:rsidRPr="005A3EDF">
        <w:rPr>
          <w:sz w:val="18"/>
        </w:rPr>
        <w:t xml:space="preserve">Care Quality Commission (2009) Progress report on Mid Staffordshire NHS Foundation Trust. London: CQC. </w:t>
      </w:r>
      <w:hyperlink r:id="rId15">
        <w:r w:rsidR="00D23E6E" w:rsidRPr="005A3EDF">
          <w:rPr>
            <w:color w:val="0563C1"/>
            <w:u w:val="single"/>
          </w:rPr>
          <w:t>[Source]</w:t>
        </w:r>
      </w:hyperlink>
    </w:p>
    <w:p w14:paraId="5F88444D" w14:textId="77777777" w:rsidR="00D23E6E" w:rsidRDefault="00000000" w:rsidP="005A3EDF">
      <w:pPr>
        <w:pStyle w:val="ListParagraph"/>
        <w:numPr>
          <w:ilvl w:val="0"/>
          <w:numId w:val="10"/>
        </w:numPr>
        <w:spacing w:after="80"/>
        <w:jc w:val="both"/>
      </w:pPr>
      <w:r w:rsidRPr="005A3EDF">
        <w:rPr>
          <w:sz w:val="18"/>
        </w:rPr>
        <w:t xml:space="preserve">Care Quality Commission (2018) Opening the door to change: NHS safety culture. London: CQC. </w:t>
      </w:r>
      <w:hyperlink r:id="rId16">
        <w:r w:rsidR="00D23E6E" w:rsidRPr="005A3EDF">
          <w:rPr>
            <w:color w:val="0563C1"/>
            <w:u w:val="single"/>
          </w:rPr>
          <w:t>[Source]</w:t>
        </w:r>
      </w:hyperlink>
    </w:p>
    <w:p w14:paraId="09B1162B" w14:textId="77777777" w:rsidR="00D23E6E" w:rsidRDefault="00000000" w:rsidP="005A3EDF">
      <w:pPr>
        <w:pStyle w:val="ListParagraph"/>
        <w:numPr>
          <w:ilvl w:val="0"/>
          <w:numId w:val="10"/>
        </w:numPr>
        <w:spacing w:after="80"/>
        <w:jc w:val="both"/>
      </w:pPr>
      <w:r w:rsidRPr="005A3EDF">
        <w:rPr>
          <w:sz w:val="18"/>
        </w:rPr>
        <w:t xml:space="preserve">Deming, W.E. (1986) Out of the Crisis. Cambridge, MA: MIT Press. </w:t>
      </w:r>
      <w:hyperlink r:id="rId17">
        <w:r w:rsidR="00D23E6E" w:rsidRPr="005A3EDF">
          <w:rPr>
            <w:color w:val="0563C1"/>
            <w:u w:val="single"/>
          </w:rPr>
          <w:t>[Source]</w:t>
        </w:r>
      </w:hyperlink>
    </w:p>
    <w:p w14:paraId="69AC1B14" w14:textId="77777777" w:rsidR="00D23E6E" w:rsidRDefault="00000000" w:rsidP="005A3EDF">
      <w:pPr>
        <w:pStyle w:val="ListParagraph"/>
        <w:numPr>
          <w:ilvl w:val="0"/>
          <w:numId w:val="10"/>
        </w:numPr>
        <w:spacing w:after="80"/>
        <w:jc w:val="both"/>
      </w:pPr>
      <w:r w:rsidRPr="005A3EDF">
        <w:rPr>
          <w:sz w:val="18"/>
        </w:rPr>
        <w:t xml:space="preserve">Department of Health (2013) Patients First and Foremost: The Initial Government Response to the Report of the Mid Staffordshire NHS Foundation Trust Public Inquiry. London: The Stationery Office. </w:t>
      </w:r>
      <w:hyperlink r:id="rId18">
        <w:r w:rsidR="00D23E6E" w:rsidRPr="005A3EDF">
          <w:rPr>
            <w:color w:val="0563C1"/>
            <w:u w:val="single"/>
          </w:rPr>
          <w:t>[Source]</w:t>
        </w:r>
      </w:hyperlink>
    </w:p>
    <w:p w14:paraId="0A97B598" w14:textId="77777777" w:rsidR="00D23E6E" w:rsidRDefault="00000000" w:rsidP="005A3EDF">
      <w:pPr>
        <w:pStyle w:val="ListParagraph"/>
        <w:numPr>
          <w:ilvl w:val="0"/>
          <w:numId w:val="10"/>
        </w:numPr>
        <w:spacing w:after="80"/>
        <w:jc w:val="both"/>
      </w:pPr>
      <w:r w:rsidRPr="005A3EDF">
        <w:rPr>
          <w:sz w:val="18"/>
        </w:rPr>
        <w:t xml:space="preserve">Department of Health and Social Care (2013) Hard Truths: The Journey to Putting Patients First. London: The Stationery Office. </w:t>
      </w:r>
      <w:hyperlink r:id="rId19">
        <w:r w:rsidR="00D23E6E" w:rsidRPr="005A3EDF">
          <w:rPr>
            <w:color w:val="0563C1"/>
            <w:u w:val="single"/>
          </w:rPr>
          <w:t>[Source]</w:t>
        </w:r>
      </w:hyperlink>
    </w:p>
    <w:p w14:paraId="791E4E33" w14:textId="77777777" w:rsidR="00D23E6E" w:rsidRDefault="00000000" w:rsidP="005A3EDF">
      <w:pPr>
        <w:pStyle w:val="ListParagraph"/>
        <w:numPr>
          <w:ilvl w:val="0"/>
          <w:numId w:val="10"/>
        </w:numPr>
        <w:spacing w:after="80"/>
        <w:jc w:val="both"/>
      </w:pPr>
      <w:r w:rsidRPr="005A3EDF">
        <w:rPr>
          <w:sz w:val="18"/>
        </w:rPr>
        <w:t xml:space="preserve">Department of Health and Social Care (2023) The NHS Constitution for England. London: DHSC. </w:t>
      </w:r>
      <w:hyperlink r:id="rId20">
        <w:r w:rsidR="00D23E6E" w:rsidRPr="005A3EDF">
          <w:rPr>
            <w:color w:val="0563C1"/>
            <w:u w:val="single"/>
          </w:rPr>
          <w:t>[Source]</w:t>
        </w:r>
      </w:hyperlink>
    </w:p>
    <w:p w14:paraId="1AAAED65" w14:textId="77777777" w:rsidR="00D23E6E" w:rsidRDefault="00000000" w:rsidP="005A3EDF">
      <w:pPr>
        <w:pStyle w:val="ListParagraph"/>
        <w:numPr>
          <w:ilvl w:val="0"/>
          <w:numId w:val="10"/>
        </w:numPr>
        <w:spacing w:after="80"/>
        <w:jc w:val="both"/>
      </w:pPr>
      <w:r w:rsidRPr="005A3EDF">
        <w:rPr>
          <w:sz w:val="18"/>
        </w:rPr>
        <w:t xml:space="preserve">Dixon-Woods, M., McNicol, S. and Martin, G. (2012) Ten Challenges in Improving Quality in Healthcare. London: The Health Foundation. </w:t>
      </w:r>
      <w:hyperlink r:id="rId21">
        <w:r w:rsidR="00D23E6E" w:rsidRPr="005A3EDF">
          <w:rPr>
            <w:color w:val="0563C1"/>
            <w:u w:val="single"/>
          </w:rPr>
          <w:t>[Source]</w:t>
        </w:r>
      </w:hyperlink>
    </w:p>
    <w:p w14:paraId="2A6200B4" w14:textId="77777777" w:rsidR="00D23E6E" w:rsidRDefault="00000000" w:rsidP="005A3EDF">
      <w:pPr>
        <w:pStyle w:val="ListParagraph"/>
        <w:numPr>
          <w:ilvl w:val="0"/>
          <w:numId w:val="10"/>
        </w:numPr>
        <w:spacing w:after="80"/>
        <w:jc w:val="both"/>
      </w:pPr>
      <w:r w:rsidRPr="005A3EDF">
        <w:rPr>
          <w:sz w:val="18"/>
        </w:rPr>
        <w:t xml:space="preserve">Donabedian, A. (1988) ‘The quality of care: How can it be assessed?’, JAMA, 260(12), pp. 1743–1748. </w:t>
      </w:r>
      <w:hyperlink r:id="rId22">
        <w:r w:rsidR="00D23E6E" w:rsidRPr="005A3EDF">
          <w:rPr>
            <w:color w:val="0563C1"/>
            <w:u w:val="single"/>
          </w:rPr>
          <w:t>[Source]</w:t>
        </w:r>
      </w:hyperlink>
    </w:p>
    <w:p w14:paraId="0CC1B809" w14:textId="77777777" w:rsidR="00D23E6E" w:rsidRDefault="00000000" w:rsidP="005A3EDF">
      <w:pPr>
        <w:pStyle w:val="ListParagraph"/>
        <w:numPr>
          <w:ilvl w:val="0"/>
          <w:numId w:val="10"/>
        </w:numPr>
        <w:spacing w:after="80"/>
        <w:jc w:val="both"/>
      </w:pPr>
      <w:r w:rsidRPr="005A3EDF">
        <w:rPr>
          <w:sz w:val="18"/>
        </w:rPr>
        <w:t xml:space="preserve">Edmondson, A. (1999) ‘Psychological safety and learning behavior in work teams’, Administrative Science Quarterly, 44(2), pp. 350–383. </w:t>
      </w:r>
      <w:hyperlink r:id="rId23">
        <w:r w:rsidR="00D23E6E" w:rsidRPr="005A3EDF">
          <w:rPr>
            <w:color w:val="0563C1"/>
            <w:u w:val="single"/>
          </w:rPr>
          <w:t>[Source]</w:t>
        </w:r>
      </w:hyperlink>
    </w:p>
    <w:p w14:paraId="7EBDDF0C" w14:textId="77777777" w:rsidR="00D23E6E" w:rsidRDefault="00000000" w:rsidP="005A3EDF">
      <w:pPr>
        <w:pStyle w:val="ListParagraph"/>
        <w:numPr>
          <w:ilvl w:val="0"/>
          <w:numId w:val="10"/>
        </w:numPr>
        <w:spacing w:after="80"/>
        <w:jc w:val="both"/>
      </w:pPr>
      <w:r w:rsidRPr="005A3EDF">
        <w:rPr>
          <w:sz w:val="18"/>
        </w:rPr>
        <w:t xml:space="preserve">Francis, R. (2010) Independent Inquiry into Care Provided by Mid Staffordshire NHS Foundation Trust January 2005–March 2009. London: The Stationery Office. </w:t>
      </w:r>
      <w:hyperlink r:id="rId24">
        <w:r w:rsidR="00D23E6E" w:rsidRPr="005A3EDF">
          <w:rPr>
            <w:color w:val="0563C1"/>
            <w:u w:val="single"/>
          </w:rPr>
          <w:t>[Source]</w:t>
        </w:r>
      </w:hyperlink>
    </w:p>
    <w:p w14:paraId="5522CEE3" w14:textId="77777777" w:rsidR="00D23E6E" w:rsidRDefault="00000000" w:rsidP="005A3EDF">
      <w:pPr>
        <w:pStyle w:val="ListParagraph"/>
        <w:numPr>
          <w:ilvl w:val="0"/>
          <w:numId w:val="10"/>
        </w:numPr>
        <w:spacing w:after="80"/>
        <w:jc w:val="both"/>
      </w:pPr>
      <w:r w:rsidRPr="005A3EDF">
        <w:rPr>
          <w:sz w:val="18"/>
        </w:rPr>
        <w:t xml:space="preserve">Francis, R. (2013) Report of the Mid Staffordshire NHS Foundation Trust Public Inquiry. London: The Stationery Office. </w:t>
      </w:r>
      <w:hyperlink r:id="rId25">
        <w:r w:rsidR="00D23E6E" w:rsidRPr="005A3EDF">
          <w:rPr>
            <w:color w:val="0563C1"/>
            <w:u w:val="single"/>
          </w:rPr>
          <w:t>[Source]</w:t>
        </w:r>
      </w:hyperlink>
    </w:p>
    <w:p w14:paraId="3367BA4D" w14:textId="77777777" w:rsidR="00D23E6E" w:rsidRDefault="00000000" w:rsidP="005A3EDF">
      <w:pPr>
        <w:pStyle w:val="ListParagraph"/>
        <w:numPr>
          <w:ilvl w:val="0"/>
          <w:numId w:val="10"/>
        </w:numPr>
        <w:spacing w:after="80"/>
        <w:jc w:val="both"/>
      </w:pPr>
      <w:r w:rsidRPr="005A3EDF">
        <w:rPr>
          <w:sz w:val="18"/>
        </w:rPr>
        <w:t xml:space="preserve">Glasgow, J.M., Scott-Caziewell, J.R. and Kaboli, P.J. (2010) ‘Guiding inpatient quality improvement: a systematic review of Lean and Six Sigma’, Joint Commission Journal on Quality and Patient Safety, 36(12), pp. 533–540. </w:t>
      </w:r>
      <w:hyperlink r:id="rId26">
        <w:r w:rsidR="00D23E6E" w:rsidRPr="005A3EDF">
          <w:rPr>
            <w:color w:val="0563C1"/>
            <w:u w:val="single"/>
          </w:rPr>
          <w:t>[Source]</w:t>
        </w:r>
      </w:hyperlink>
    </w:p>
    <w:p w14:paraId="2D62DBAA" w14:textId="77777777" w:rsidR="00D23E6E" w:rsidRDefault="00000000" w:rsidP="005A3EDF">
      <w:pPr>
        <w:pStyle w:val="ListParagraph"/>
        <w:numPr>
          <w:ilvl w:val="0"/>
          <w:numId w:val="10"/>
        </w:numPr>
        <w:spacing w:after="80"/>
        <w:jc w:val="both"/>
      </w:pPr>
      <w:r w:rsidRPr="005A3EDF">
        <w:rPr>
          <w:sz w:val="18"/>
        </w:rPr>
        <w:t xml:space="preserve">Health Foundation (2013) Quality Improvement Made Simple. London: The Health Foundation. </w:t>
      </w:r>
      <w:hyperlink r:id="rId27">
        <w:r w:rsidR="00D23E6E" w:rsidRPr="005A3EDF">
          <w:rPr>
            <w:color w:val="0563C1"/>
            <w:u w:val="single"/>
          </w:rPr>
          <w:t>[Source]</w:t>
        </w:r>
      </w:hyperlink>
    </w:p>
    <w:p w14:paraId="4491CB5E" w14:textId="77777777" w:rsidR="00D23E6E" w:rsidRDefault="00000000" w:rsidP="005A3EDF">
      <w:pPr>
        <w:pStyle w:val="ListParagraph"/>
        <w:numPr>
          <w:ilvl w:val="0"/>
          <w:numId w:val="10"/>
        </w:numPr>
        <w:spacing w:after="80"/>
        <w:jc w:val="both"/>
      </w:pPr>
      <w:r w:rsidRPr="005A3EDF">
        <w:rPr>
          <w:sz w:val="18"/>
        </w:rPr>
        <w:t xml:space="preserve">Helms, M.M. and Nixon, J. (2010) ‘Exploring SWOT analysis – where are we now?’, Journal of Strategy and Management, 3(3), pp. 215–251. </w:t>
      </w:r>
      <w:hyperlink r:id="rId28">
        <w:r w:rsidR="00D23E6E" w:rsidRPr="005A3EDF">
          <w:rPr>
            <w:color w:val="0563C1"/>
            <w:u w:val="single"/>
          </w:rPr>
          <w:t>[Source]</w:t>
        </w:r>
      </w:hyperlink>
    </w:p>
    <w:p w14:paraId="2833C159" w14:textId="77777777" w:rsidR="00D23E6E" w:rsidRDefault="00000000" w:rsidP="005A3EDF">
      <w:pPr>
        <w:pStyle w:val="ListParagraph"/>
        <w:numPr>
          <w:ilvl w:val="0"/>
          <w:numId w:val="10"/>
        </w:numPr>
        <w:spacing w:after="80"/>
        <w:jc w:val="both"/>
      </w:pPr>
      <w:r w:rsidRPr="005A3EDF">
        <w:rPr>
          <w:sz w:val="18"/>
        </w:rPr>
        <w:t xml:space="preserve">Institute of Medicine (1999) To Err Is Human: Building a Safer Health System. Washington, DC: National Academy Press. </w:t>
      </w:r>
      <w:hyperlink r:id="rId29">
        <w:r w:rsidR="00D23E6E" w:rsidRPr="005A3EDF">
          <w:rPr>
            <w:color w:val="0563C1"/>
            <w:u w:val="single"/>
          </w:rPr>
          <w:t>[Source]</w:t>
        </w:r>
      </w:hyperlink>
    </w:p>
    <w:p w14:paraId="648D31E5" w14:textId="77777777" w:rsidR="00D23E6E" w:rsidRDefault="00000000" w:rsidP="005A3EDF">
      <w:pPr>
        <w:pStyle w:val="ListParagraph"/>
        <w:numPr>
          <w:ilvl w:val="0"/>
          <w:numId w:val="10"/>
        </w:numPr>
        <w:spacing w:after="80"/>
        <w:jc w:val="both"/>
      </w:pPr>
      <w:r w:rsidRPr="005A3EDF">
        <w:rPr>
          <w:sz w:val="18"/>
        </w:rPr>
        <w:t xml:space="preserve">Institute of Medicine (2001) Crossing the Quality Chasm: A New Health System for the 21st Century. Washington, DC: National Academies Press. </w:t>
      </w:r>
      <w:hyperlink r:id="rId30">
        <w:r w:rsidR="00D23E6E" w:rsidRPr="005A3EDF">
          <w:rPr>
            <w:color w:val="0563C1"/>
            <w:u w:val="single"/>
          </w:rPr>
          <w:t>[Source]</w:t>
        </w:r>
      </w:hyperlink>
    </w:p>
    <w:p w14:paraId="17C011BC" w14:textId="77777777" w:rsidR="00D23E6E" w:rsidRDefault="00000000" w:rsidP="005A3EDF">
      <w:pPr>
        <w:pStyle w:val="ListParagraph"/>
        <w:numPr>
          <w:ilvl w:val="0"/>
          <w:numId w:val="10"/>
        </w:numPr>
        <w:spacing w:after="80"/>
        <w:jc w:val="both"/>
      </w:pPr>
      <w:r w:rsidRPr="005A3EDF">
        <w:rPr>
          <w:sz w:val="18"/>
        </w:rPr>
        <w:lastRenderedPageBreak/>
        <w:t xml:space="preserve">Keogh, B. (2013) Review into the Quality of Care and Treatment Provided by 14 Hospital Trusts in England. London: NHS. </w:t>
      </w:r>
      <w:hyperlink r:id="rId31">
        <w:r w:rsidR="00D23E6E" w:rsidRPr="005A3EDF">
          <w:rPr>
            <w:color w:val="0563C1"/>
            <w:u w:val="single"/>
          </w:rPr>
          <w:t>[Source]</w:t>
        </w:r>
      </w:hyperlink>
    </w:p>
    <w:p w14:paraId="3E751038" w14:textId="77777777" w:rsidR="00D23E6E" w:rsidRDefault="00000000" w:rsidP="005A3EDF">
      <w:pPr>
        <w:pStyle w:val="ListParagraph"/>
        <w:numPr>
          <w:ilvl w:val="0"/>
          <w:numId w:val="10"/>
        </w:numPr>
        <w:spacing w:after="80"/>
        <w:jc w:val="both"/>
      </w:pPr>
      <w:r w:rsidRPr="005A3EDF">
        <w:rPr>
          <w:sz w:val="18"/>
        </w:rPr>
        <w:t xml:space="preserve">Kirkup, B. (2015) The Report of the Morecambe Bay Investigation. London: The Stationery Office. </w:t>
      </w:r>
      <w:hyperlink r:id="rId32">
        <w:r w:rsidR="00D23E6E" w:rsidRPr="005A3EDF">
          <w:rPr>
            <w:color w:val="0563C1"/>
            <w:u w:val="single"/>
          </w:rPr>
          <w:t>[Source]</w:t>
        </w:r>
      </w:hyperlink>
    </w:p>
    <w:p w14:paraId="2BFC13A7" w14:textId="77777777" w:rsidR="00D23E6E" w:rsidRDefault="00000000" w:rsidP="005A3EDF">
      <w:pPr>
        <w:pStyle w:val="ListParagraph"/>
        <w:numPr>
          <w:ilvl w:val="0"/>
          <w:numId w:val="10"/>
        </w:numPr>
        <w:spacing w:after="80"/>
        <w:jc w:val="both"/>
      </w:pPr>
      <w:r w:rsidRPr="005A3EDF">
        <w:rPr>
          <w:sz w:val="18"/>
        </w:rPr>
        <w:t xml:space="preserve">Langley, G.J., Moen, R., Nolan, K.M., Nolan, T.W., Norman, C.L. and Provost, L.P. (2009) The Improvement Guide. 2nd edn. San Francisco: Jossey-Bass. </w:t>
      </w:r>
      <w:hyperlink r:id="rId33">
        <w:r w:rsidR="00D23E6E" w:rsidRPr="005A3EDF">
          <w:rPr>
            <w:color w:val="0563C1"/>
            <w:u w:val="single"/>
          </w:rPr>
          <w:t>[Source]</w:t>
        </w:r>
      </w:hyperlink>
    </w:p>
    <w:p w14:paraId="008AC94F" w14:textId="77777777" w:rsidR="00D23E6E" w:rsidRDefault="00000000" w:rsidP="005A3EDF">
      <w:pPr>
        <w:pStyle w:val="ListParagraph"/>
        <w:numPr>
          <w:ilvl w:val="0"/>
          <w:numId w:val="10"/>
        </w:numPr>
        <w:spacing w:after="80"/>
        <w:jc w:val="both"/>
      </w:pPr>
      <w:r w:rsidRPr="005A3EDF">
        <w:rPr>
          <w:sz w:val="18"/>
        </w:rPr>
        <w:t xml:space="preserve">Mannion, R. and Davies, H.T.O. (2008) ‘Effective quality improvement: part 1 – culture and behaviour’, Quality and Safety in Health Care, 17(1), pp. 70–74. </w:t>
      </w:r>
      <w:hyperlink r:id="rId34">
        <w:r w:rsidR="00D23E6E" w:rsidRPr="005A3EDF">
          <w:rPr>
            <w:color w:val="0563C1"/>
            <w:u w:val="single"/>
          </w:rPr>
          <w:t>[Source]</w:t>
        </w:r>
      </w:hyperlink>
    </w:p>
    <w:p w14:paraId="675994CB" w14:textId="77777777" w:rsidR="00D23E6E" w:rsidRDefault="00000000" w:rsidP="005A3EDF">
      <w:pPr>
        <w:pStyle w:val="ListParagraph"/>
        <w:numPr>
          <w:ilvl w:val="0"/>
          <w:numId w:val="10"/>
        </w:numPr>
        <w:spacing w:after="80"/>
        <w:jc w:val="both"/>
      </w:pPr>
      <w:r w:rsidRPr="005A3EDF">
        <w:rPr>
          <w:sz w:val="18"/>
        </w:rPr>
        <w:t xml:space="preserve">Mannion, R. and Davies, H.T.O. (2018) ‘Understanding organisational culture for healthcare quality improvement’, BMJ, 363, p. k4907. </w:t>
      </w:r>
      <w:hyperlink r:id="rId35">
        <w:r w:rsidR="00D23E6E" w:rsidRPr="005A3EDF">
          <w:rPr>
            <w:color w:val="0563C1"/>
            <w:u w:val="single"/>
          </w:rPr>
          <w:t>[Source]</w:t>
        </w:r>
      </w:hyperlink>
    </w:p>
    <w:p w14:paraId="72AE1952" w14:textId="77777777" w:rsidR="00D23E6E" w:rsidRDefault="00000000" w:rsidP="005A3EDF">
      <w:pPr>
        <w:pStyle w:val="ListParagraph"/>
        <w:numPr>
          <w:ilvl w:val="0"/>
          <w:numId w:val="10"/>
        </w:numPr>
        <w:spacing w:after="80"/>
        <w:jc w:val="both"/>
      </w:pPr>
      <w:r w:rsidRPr="005A3EDF">
        <w:rPr>
          <w:sz w:val="18"/>
        </w:rPr>
        <w:t xml:space="preserve">NHS England (2019) The NHS Patient Safety Strategy: Safer Culture, Safer Systems, Safer Patients. London: NHS England. </w:t>
      </w:r>
      <w:hyperlink r:id="rId36">
        <w:r w:rsidR="00D23E6E" w:rsidRPr="005A3EDF">
          <w:rPr>
            <w:color w:val="0563C1"/>
            <w:u w:val="single"/>
          </w:rPr>
          <w:t>[Source]</w:t>
        </w:r>
      </w:hyperlink>
    </w:p>
    <w:p w14:paraId="1C0E4179" w14:textId="77777777" w:rsidR="00D23E6E" w:rsidRDefault="00000000" w:rsidP="005A3EDF">
      <w:pPr>
        <w:pStyle w:val="ListParagraph"/>
        <w:numPr>
          <w:ilvl w:val="0"/>
          <w:numId w:val="10"/>
        </w:numPr>
        <w:spacing w:after="80"/>
        <w:jc w:val="both"/>
      </w:pPr>
      <w:r w:rsidRPr="005A3EDF">
        <w:rPr>
          <w:sz w:val="18"/>
        </w:rPr>
        <w:t xml:space="preserve">NHS England (2022) Patient Safety Incident Response Framework. London: NHS England. </w:t>
      </w:r>
      <w:hyperlink r:id="rId37">
        <w:r w:rsidR="00D23E6E" w:rsidRPr="005A3EDF">
          <w:rPr>
            <w:color w:val="0563C1"/>
            <w:u w:val="single"/>
          </w:rPr>
          <w:t>[Source]</w:t>
        </w:r>
      </w:hyperlink>
    </w:p>
    <w:p w14:paraId="69F27AF9" w14:textId="77777777" w:rsidR="00D23E6E" w:rsidRDefault="00000000" w:rsidP="005A3EDF">
      <w:pPr>
        <w:pStyle w:val="ListParagraph"/>
        <w:numPr>
          <w:ilvl w:val="0"/>
          <w:numId w:val="10"/>
        </w:numPr>
        <w:spacing w:after="80"/>
        <w:jc w:val="both"/>
      </w:pPr>
      <w:r w:rsidRPr="005A3EDF">
        <w:rPr>
          <w:sz w:val="18"/>
        </w:rPr>
        <w:t xml:space="preserve">NHS England (2024) Patient safety incident response standards. London: NHS England. </w:t>
      </w:r>
      <w:hyperlink r:id="rId38">
        <w:r w:rsidR="00D23E6E" w:rsidRPr="005A3EDF">
          <w:rPr>
            <w:color w:val="0563C1"/>
            <w:u w:val="single"/>
          </w:rPr>
          <w:t>[Source]</w:t>
        </w:r>
      </w:hyperlink>
    </w:p>
    <w:p w14:paraId="16648F41" w14:textId="77777777" w:rsidR="00D23E6E" w:rsidRDefault="00000000" w:rsidP="005A3EDF">
      <w:pPr>
        <w:pStyle w:val="ListParagraph"/>
        <w:numPr>
          <w:ilvl w:val="0"/>
          <w:numId w:val="10"/>
        </w:numPr>
        <w:spacing w:after="80"/>
        <w:jc w:val="both"/>
      </w:pPr>
      <w:r w:rsidRPr="005A3EDF">
        <w:rPr>
          <w:sz w:val="18"/>
        </w:rPr>
        <w:t xml:space="preserve">Rathi, R., Vakharia, A. and Shadab, M. (2022) ‘Lean six sigma in the healthcare sector: A systematic literature review’, Materials Today: Proceedings, 50, pp. 773–781. </w:t>
      </w:r>
      <w:hyperlink r:id="rId39">
        <w:r w:rsidR="00D23E6E" w:rsidRPr="005A3EDF">
          <w:rPr>
            <w:color w:val="0563C1"/>
            <w:u w:val="single"/>
          </w:rPr>
          <w:t>[Source]</w:t>
        </w:r>
      </w:hyperlink>
    </w:p>
    <w:p w14:paraId="2AD88090" w14:textId="77777777" w:rsidR="00D23E6E" w:rsidRDefault="00000000" w:rsidP="005A3EDF">
      <w:pPr>
        <w:pStyle w:val="ListParagraph"/>
        <w:numPr>
          <w:ilvl w:val="0"/>
          <w:numId w:val="10"/>
        </w:numPr>
        <w:spacing w:after="80"/>
        <w:jc w:val="both"/>
      </w:pPr>
      <w:r w:rsidRPr="005A3EDF">
        <w:rPr>
          <w:sz w:val="18"/>
        </w:rPr>
        <w:t xml:space="preserve">Reason, J. (2000) ‘Human error: models and management’, BMJ, 320(7237), pp. 768–770. </w:t>
      </w:r>
      <w:hyperlink r:id="rId40">
        <w:r w:rsidR="00D23E6E" w:rsidRPr="005A3EDF">
          <w:rPr>
            <w:color w:val="0563C1"/>
            <w:u w:val="single"/>
          </w:rPr>
          <w:t>[Source]</w:t>
        </w:r>
      </w:hyperlink>
    </w:p>
    <w:p w14:paraId="4EC8E6E2" w14:textId="77777777" w:rsidR="00D23E6E" w:rsidRDefault="00000000" w:rsidP="005A3EDF">
      <w:pPr>
        <w:pStyle w:val="ListParagraph"/>
        <w:numPr>
          <w:ilvl w:val="0"/>
          <w:numId w:val="10"/>
        </w:numPr>
        <w:spacing w:after="80"/>
        <w:jc w:val="both"/>
      </w:pPr>
      <w:r w:rsidRPr="005A3EDF">
        <w:rPr>
          <w:sz w:val="18"/>
        </w:rPr>
        <w:t xml:space="preserve">Schein, E.H. (2010) Organizational Culture and Leadership. 4th edn. San Francisco: Jossey-Bass. </w:t>
      </w:r>
      <w:hyperlink r:id="rId41">
        <w:r w:rsidR="00D23E6E" w:rsidRPr="005A3EDF">
          <w:rPr>
            <w:color w:val="0563C1"/>
            <w:u w:val="single"/>
          </w:rPr>
          <w:t>[Source]</w:t>
        </w:r>
      </w:hyperlink>
    </w:p>
    <w:p w14:paraId="0C4E4C63" w14:textId="77777777" w:rsidR="00D23E6E" w:rsidRDefault="00000000" w:rsidP="005A3EDF">
      <w:pPr>
        <w:pStyle w:val="ListParagraph"/>
        <w:numPr>
          <w:ilvl w:val="0"/>
          <w:numId w:val="10"/>
        </w:numPr>
        <w:spacing w:after="80"/>
        <w:jc w:val="both"/>
      </w:pPr>
      <w:r w:rsidRPr="005A3EDF">
        <w:rPr>
          <w:sz w:val="18"/>
        </w:rPr>
        <w:t xml:space="preserve">Sunder, M.V. and Antony, J. (2018) ‘A systematic review of Six Sigma in healthcare’, International Journal of Quality &amp; Reliability Management, 35(5), pp. 1075–1092. </w:t>
      </w:r>
      <w:hyperlink r:id="rId42">
        <w:r w:rsidR="00D23E6E" w:rsidRPr="005A3EDF">
          <w:rPr>
            <w:color w:val="0563C1"/>
            <w:u w:val="single"/>
          </w:rPr>
          <w:t>[Source]</w:t>
        </w:r>
      </w:hyperlink>
    </w:p>
    <w:p w14:paraId="32D5351A" w14:textId="77777777" w:rsidR="00D23E6E" w:rsidRDefault="00000000" w:rsidP="005A3EDF">
      <w:pPr>
        <w:pStyle w:val="ListParagraph"/>
        <w:numPr>
          <w:ilvl w:val="0"/>
          <w:numId w:val="10"/>
        </w:numPr>
        <w:spacing w:after="80"/>
        <w:jc w:val="both"/>
      </w:pPr>
      <w:r w:rsidRPr="005A3EDF">
        <w:rPr>
          <w:sz w:val="18"/>
        </w:rPr>
        <w:t xml:space="preserve">Taylor, M.J., McNicholas, C., Nicolay, C., Darzi, A., Bell, D. and Reed, J.E. (2014) ‘Systematic review of the application of the plan-do-study-act method to improve quality in healthcare’, BMJ Quality &amp; Safety, 23(4), pp. 290–298. </w:t>
      </w:r>
      <w:hyperlink r:id="rId43">
        <w:r w:rsidR="00D23E6E" w:rsidRPr="005A3EDF">
          <w:rPr>
            <w:color w:val="0563C1"/>
            <w:u w:val="single"/>
          </w:rPr>
          <w:t>[Source]</w:t>
        </w:r>
      </w:hyperlink>
    </w:p>
    <w:p w14:paraId="3862F6B2" w14:textId="77777777" w:rsidR="00D23E6E" w:rsidRDefault="00000000" w:rsidP="005A3EDF">
      <w:pPr>
        <w:pStyle w:val="ListParagraph"/>
        <w:numPr>
          <w:ilvl w:val="0"/>
          <w:numId w:val="10"/>
        </w:numPr>
        <w:spacing w:after="80"/>
        <w:jc w:val="both"/>
      </w:pPr>
      <w:r w:rsidRPr="005A3EDF">
        <w:rPr>
          <w:sz w:val="18"/>
        </w:rPr>
        <w:t xml:space="preserve">Toussaint, J.S. and Berry, L.L. (2013) ‘The promise of Lean in health care’, Mayo Clinic Proceedings, 88(1), pp. 74–82. </w:t>
      </w:r>
      <w:hyperlink r:id="rId44">
        <w:r w:rsidR="00D23E6E" w:rsidRPr="005A3EDF">
          <w:rPr>
            <w:color w:val="0563C1"/>
            <w:u w:val="single"/>
          </w:rPr>
          <w:t>[Source]</w:t>
        </w:r>
      </w:hyperlink>
    </w:p>
    <w:p w14:paraId="479ED2BF" w14:textId="77777777" w:rsidR="00D23E6E" w:rsidRDefault="00000000" w:rsidP="005A3EDF">
      <w:pPr>
        <w:pStyle w:val="ListParagraph"/>
        <w:numPr>
          <w:ilvl w:val="0"/>
          <w:numId w:val="10"/>
        </w:numPr>
        <w:spacing w:after="80"/>
        <w:jc w:val="both"/>
      </w:pPr>
      <w:r w:rsidRPr="005A3EDF">
        <w:rPr>
          <w:sz w:val="18"/>
        </w:rPr>
        <w:t xml:space="preserve">Vincent, C. (2010) Patient Safety. 2nd edn. Chichester: Wiley-Blackwell. </w:t>
      </w:r>
      <w:hyperlink r:id="rId45">
        <w:r w:rsidR="00D23E6E" w:rsidRPr="005A3EDF">
          <w:rPr>
            <w:color w:val="0563C1"/>
            <w:u w:val="single"/>
          </w:rPr>
          <w:t>[Source]</w:t>
        </w:r>
      </w:hyperlink>
    </w:p>
    <w:p w14:paraId="3307B930" w14:textId="77777777" w:rsidR="00D23E6E" w:rsidRDefault="00000000" w:rsidP="005A3EDF">
      <w:pPr>
        <w:pStyle w:val="ListParagraph"/>
        <w:numPr>
          <w:ilvl w:val="0"/>
          <w:numId w:val="10"/>
        </w:numPr>
        <w:spacing w:after="80"/>
        <w:jc w:val="both"/>
      </w:pPr>
      <w:r w:rsidRPr="005A3EDF">
        <w:rPr>
          <w:sz w:val="18"/>
        </w:rPr>
        <w:t xml:space="preserve">Wachter, R.M. (2010) ‘Patient safety at ten: unmistakable progress, troubling gaps’, Health Affairs, 29(1), pp. 165–173. </w:t>
      </w:r>
      <w:hyperlink r:id="rId46">
        <w:r w:rsidR="00D23E6E" w:rsidRPr="005A3EDF">
          <w:rPr>
            <w:color w:val="0563C1"/>
            <w:u w:val="single"/>
          </w:rPr>
          <w:t>[Source]</w:t>
        </w:r>
      </w:hyperlink>
    </w:p>
    <w:p w14:paraId="4A582B12" w14:textId="77777777" w:rsidR="00D23E6E" w:rsidRDefault="00000000" w:rsidP="005A3EDF">
      <w:pPr>
        <w:pStyle w:val="ListParagraph"/>
        <w:numPr>
          <w:ilvl w:val="0"/>
          <w:numId w:val="10"/>
        </w:numPr>
        <w:spacing w:after="80"/>
        <w:jc w:val="both"/>
      </w:pPr>
      <w:r w:rsidRPr="005A3EDF">
        <w:rPr>
          <w:sz w:val="18"/>
        </w:rPr>
        <w:t xml:space="preserve">West, M., Dawson, J., Admasachew, L. and Topakas, A. (2011) NHS Staff Management and Health Service Quality. London: Department of Health. </w:t>
      </w:r>
      <w:hyperlink r:id="rId47">
        <w:r w:rsidR="00D23E6E" w:rsidRPr="005A3EDF">
          <w:rPr>
            <w:color w:val="0563C1"/>
            <w:u w:val="single"/>
          </w:rPr>
          <w:t>[Source]</w:t>
        </w:r>
      </w:hyperlink>
    </w:p>
    <w:p w14:paraId="33793A11" w14:textId="77777777" w:rsidR="00D23E6E" w:rsidRDefault="00000000" w:rsidP="005A3EDF">
      <w:pPr>
        <w:pStyle w:val="ListParagraph"/>
        <w:numPr>
          <w:ilvl w:val="0"/>
          <w:numId w:val="10"/>
        </w:numPr>
        <w:spacing w:after="80"/>
        <w:jc w:val="both"/>
      </w:pPr>
      <w:r w:rsidRPr="005A3EDF">
        <w:rPr>
          <w:sz w:val="18"/>
        </w:rPr>
        <w:t xml:space="preserve">World Health Organization (2021) Global Patient Safety Action Plan 2021–2030. Geneva: WHO. </w:t>
      </w:r>
      <w:hyperlink r:id="rId48">
        <w:r w:rsidR="00D23E6E" w:rsidRPr="005A3EDF">
          <w:rPr>
            <w:color w:val="0563C1"/>
            <w:u w:val="single"/>
          </w:rPr>
          <w:t>[Source]</w:t>
        </w:r>
      </w:hyperlink>
    </w:p>
    <w:sectPr w:rsidR="00D23E6E" w:rsidSect="005A3EDF">
      <w:footerReference w:type="default" r:id="rId49"/>
      <w:pgSz w:w="12240" w:h="15840"/>
      <w:pgMar w:top="1080" w:right="1224" w:bottom="1080" w:left="1224"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4522B" w14:textId="77777777" w:rsidR="000C14BB" w:rsidRDefault="000C14BB">
      <w:pPr>
        <w:spacing w:after="0" w:line="240" w:lineRule="auto"/>
      </w:pPr>
      <w:r>
        <w:separator/>
      </w:r>
    </w:p>
  </w:endnote>
  <w:endnote w:type="continuationSeparator" w:id="0">
    <w:p w14:paraId="2FAB40B1" w14:textId="77777777" w:rsidR="000C14BB" w:rsidRDefault="000C1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5790907"/>
      <w:docPartObj>
        <w:docPartGallery w:val="Page Numbers (Bottom of Page)"/>
        <w:docPartUnique/>
      </w:docPartObj>
    </w:sdtPr>
    <w:sdtEndPr>
      <w:rPr>
        <w:color w:val="7F7F7F" w:themeColor="background1" w:themeShade="7F"/>
        <w:spacing w:val="60"/>
        <w:lang w:val="en-GB"/>
      </w:rPr>
    </w:sdtEndPr>
    <w:sdtContent>
      <w:p w14:paraId="71CAE1EB" w14:textId="77777777" w:rsidR="005A3EDF" w:rsidRDefault="005A3EDF">
        <w:pPr>
          <w:pStyle w:val="Footer"/>
          <w:pBdr>
            <w:top w:val="single" w:sz="4" w:space="1" w:color="D9D9D9" w:themeColor="background1" w:themeShade="D9"/>
          </w:pBdr>
          <w:rPr>
            <w:b/>
            <w:bCs/>
          </w:rPr>
        </w:pPr>
        <w:r>
          <w:fldChar w:fldCharType="begin"/>
        </w:r>
        <w:r>
          <w:instrText>PAGE   \* MERGEFORMAT</w:instrText>
        </w:r>
        <w:r>
          <w:fldChar w:fldCharType="separate"/>
        </w:r>
        <w:r>
          <w:rPr>
            <w:b/>
            <w:bCs/>
            <w:lang w:val="en-GB"/>
          </w:rPr>
          <w:t>2</w:t>
        </w:r>
        <w:r>
          <w:rPr>
            <w:b/>
            <w:bCs/>
          </w:rPr>
          <w:fldChar w:fldCharType="end"/>
        </w:r>
        <w:r>
          <w:rPr>
            <w:b/>
            <w:bCs/>
            <w:lang w:val="en-GB"/>
          </w:rPr>
          <w:t xml:space="preserve"> | </w:t>
        </w:r>
        <w:r>
          <w:rPr>
            <w:color w:val="7F7F7F" w:themeColor="background1" w:themeShade="7F"/>
            <w:spacing w:val="60"/>
            <w:lang w:val="en-GB"/>
          </w:rPr>
          <w:t>Page</w:t>
        </w:r>
      </w:p>
    </w:sdtContent>
  </w:sdt>
  <w:p w14:paraId="106FD287" w14:textId="13CB1AAC" w:rsidR="00D23E6E" w:rsidRDefault="00D23E6E">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FFA16" w14:textId="77777777" w:rsidR="000C14BB" w:rsidRDefault="000C14BB">
      <w:pPr>
        <w:spacing w:after="0" w:line="240" w:lineRule="auto"/>
      </w:pPr>
      <w:r>
        <w:separator/>
      </w:r>
    </w:p>
  </w:footnote>
  <w:footnote w:type="continuationSeparator" w:id="0">
    <w:p w14:paraId="42C06659" w14:textId="77777777" w:rsidR="000C14BB" w:rsidRDefault="000C14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1CD22F1"/>
    <w:multiLevelType w:val="hybridMultilevel"/>
    <w:tmpl w:val="7D908A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D046360"/>
    <w:multiLevelType w:val="hybridMultilevel"/>
    <w:tmpl w:val="660A0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C066D5"/>
    <w:multiLevelType w:val="hybridMultilevel"/>
    <w:tmpl w:val="B07AC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0465852">
    <w:abstractNumId w:val="8"/>
  </w:num>
  <w:num w:numId="2" w16cid:durableId="1702633038">
    <w:abstractNumId w:val="6"/>
  </w:num>
  <w:num w:numId="3" w16cid:durableId="758798346">
    <w:abstractNumId w:val="5"/>
  </w:num>
  <w:num w:numId="4" w16cid:durableId="607083672">
    <w:abstractNumId w:val="4"/>
  </w:num>
  <w:num w:numId="5" w16cid:durableId="1491094778">
    <w:abstractNumId w:val="7"/>
  </w:num>
  <w:num w:numId="6" w16cid:durableId="1471362071">
    <w:abstractNumId w:val="3"/>
  </w:num>
  <w:num w:numId="7" w16cid:durableId="1049957242">
    <w:abstractNumId w:val="2"/>
  </w:num>
  <w:num w:numId="8" w16cid:durableId="1028140923">
    <w:abstractNumId w:val="1"/>
  </w:num>
  <w:num w:numId="9" w16cid:durableId="603608601">
    <w:abstractNumId w:val="0"/>
  </w:num>
  <w:num w:numId="10" w16cid:durableId="1345671366">
    <w:abstractNumId w:val="9"/>
  </w:num>
  <w:num w:numId="11" w16cid:durableId="1359508458">
    <w:abstractNumId w:val="10"/>
  </w:num>
  <w:num w:numId="12" w16cid:durableId="1713384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C14BB"/>
    <w:rsid w:val="00145F1D"/>
    <w:rsid w:val="0015074B"/>
    <w:rsid w:val="00173BD5"/>
    <w:rsid w:val="0017451E"/>
    <w:rsid w:val="0029639D"/>
    <w:rsid w:val="00326F90"/>
    <w:rsid w:val="004B4988"/>
    <w:rsid w:val="004E7DA1"/>
    <w:rsid w:val="004F28D5"/>
    <w:rsid w:val="005A3EDF"/>
    <w:rsid w:val="00686569"/>
    <w:rsid w:val="008B4DB0"/>
    <w:rsid w:val="00AA1D8D"/>
    <w:rsid w:val="00B47730"/>
    <w:rsid w:val="00BC107B"/>
    <w:rsid w:val="00C95782"/>
    <w:rsid w:val="00CB0664"/>
    <w:rsid w:val="00D23E6E"/>
    <w:rsid w:val="00E86DA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8D8B06E"/>
  <w14:defaultImageDpi w14:val="300"/>
  <w15:docId w15:val="{8CDB635E-F3F6-4377-9616-A0FF0A325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line="360" w:lineRule="auto"/>
    </w:pPr>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7365D"/>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68A8A"/>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DDDDD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DDDDD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6E6E6E"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6E6E6E"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DDDDD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A5A5A5"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DDDDD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DDDDDD" w:themeColor="accent1"/>
    </w:rPr>
  </w:style>
  <w:style w:type="paragraph" w:styleId="Title">
    <w:name w:val="Title"/>
    <w:basedOn w:val="Normal"/>
    <w:next w:val="Normal"/>
    <w:link w:val="TitleChar"/>
    <w:uiPriority w:val="10"/>
    <w:qFormat/>
    <w:rsid w:val="00FC693F"/>
    <w:pPr>
      <w:pBdr>
        <w:bottom w:val="single" w:sz="8" w:space="4" w:color="DDDDDD" w:themeColor="accent1"/>
      </w:pBdr>
      <w:spacing w:after="300" w:line="240" w:lineRule="auto"/>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000000"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DDDDD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DDDDD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DDDDD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6E6E6E"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6E6E6E"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DDDDD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DDDDD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DDDDDD" w:themeColor="accent1"/>
      </w:pBdr>
      <w:spacing w:before="200" w:after="280"/>
      <w:ind w:left="936" w:right="936"/>
    </w:pPr>
    <w:rPr>
      <w:b/>
      <w:bCs/>
      <w:i/>
      <w:iCs/>
      <w:color w:val="DDDDDD" w:themeColor="accent1"/>
    </w:rPr>
  </w:style>
  <w:style w:type="character" w:customStyle="1" w:styleId="IntenseQuoteChar">
    <w:name w:val="Intense Quote Char"/>
    <w:basedOn w:val="DefaultParagraphFont"/>
    <w:link w:val="IntenseQuote"/>
    <w:uiPriority w:val="30"/>
    <w:rsid w:val="00FC693F"/>
    <w:rPr>
      <w:b/>
      <w:bCs/>
      <w:i/>
      <w:iCs/>
      <w:color w:val="DDDDD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DDDDDD" w:themeColor="accent1"/>
    </w:rPr>
  </w:style>
  <w:style w:type="character" w:styleId="SubtleReference">
    <w:name w:val="Subtle Reference"/>
    <w:basedOn w:val="DefaultParagraphFont"/>
    <w:uiPriority w:val="31"/>
    <w:qFormat/>
    <w:rsid w:val="00FC693F"/>
    <w:rPr>
      <w:smallCaps/>
      <w:color w:val="B2B2B2" w:themeColor="accent2"/>
      <w:u w:val="single"/>
    </w:rPr>
  </w:style>
  <w:style w:type="character" w:styleId="IntenseReference">
    <w:name w:val="Intense Reference"/>
    <w:basedOn w:val="DefaultParagraphFont"/>
    <w:uiPriority w:val="32"/>
    <w:qFormat/>
    <w:rsid w:val="00FC693F"/>
    <w:rPr>
      <w:b/>
      <w:bCs/>
      <w:smallCaps/>
      <w:color w:val="B2B2B2"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A5A5A5" w:themeColor="accent1" w:themeShade="BF"/>
    </w:rPr>
    <w:tblPr>
      <w:tblStyleRowBandSize w:val="1"/>
      <w:tblStyleColBandSize w:val="1"/>
      <w:tblBorders>
        <w:top w:val="single" w:sz="8" w:space="0" w:color="DDDDDD" w:themeColor="accent1"/>
        <w:bottom w:val="single" w:sz="8" w:space="0" w:color="DDDDDD" w:themeColor="accent1"/>
      </w:tblBorders>
    </w:tblPr>
    <w:tblStylePr w:type="firstRow">
      <w:pPr>
        <w:spacing w:before="0" w:after="0" w:line="240" w:lineRule="auto"/>
      </w:pPr>
      <w:rPr>
        <w:b/>
        <w:bCs/>
      </w:rPr>
      <w:tblPr/>
      <w:tcPr>
        <w:tcBorders>
          <w:top w:val="single" w:sz="8" w:space="0" w:color="DDDDDD" w:themeColor="accent1"/>
          <w:left w:val="nil"/>
          <w:bottom w:val="single" w:sz="8" w:space="0" w:color="DDDDDD" w:themeColor="accent1"/>
          <w:right w:val="nil"/>
          <w:insideH w:val="nil"/>
          <w:insideV w:val="nil"/>
        </w:tcBorders>
      </w:tcPr>
    </w:tblStylePr>
    <w:tblStylePr w:type="lastRow">
      <w:pPr>
        <w:spacing w:before="0" w:after="0" w:line="240" w:lineRule="auto"/>
      </w:pPr>
      <w:rPr>
        <w:b/>
        <w:bCs/>
      </w:rPr>
      <w:tblPr/>
      <w:tcPr>
        <w:tcBorders>
          <w:top w:val="single" w:sz="8" w:space="0" w:color="DDDDDD" w:themeColor="accent1"/>
          <w:left w:val="nil"/>
          <w:bottom w:val="single" w:sz="8" w:space="0" w:color="DDDDD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hemeFill="accent1" w:themeFillTint="3F"/>
      </w:tcPr>
    </w:tblStylePr>
    <w:tblStylePr w:type="band1Horz">
      <w:tblPr/>
      <w:tcPr>
        <w:tcBorders>
          <w:left w:val="nil"/>
          <w:right w:val="nil"/>
          <w:insideH w:val="nil"/>
          <w:insideV w:val="nil"/>
        </w:tcBorders>
        <w:shd w:val="clear" w:color="auto" w:fill="F6F6F6" w:themeFill="accent1" w:themeFillTint="3F"/>
      </w:tcPr>
    </w:tblStylePr>
  </w:style>
  <w:style w:type="table" w:styleId="LightShading-Accent2">
    <w:name w:val="Light Shading Accent 2"/>
    <w:basedOn w:val="TableNormal"/>
    <w:uiPriority w:val="60"/>
    <w:rsid w:val="00FC693F"/>
    <w:pPr>
      <w:spacing w:after="0" w:line="240" w:lineRule="auto"/>
    </w:pPr>
    <w:rPr>
      <w:color w:val="858585" w:themeColor="accent2" w:themeShade="BF"/>
    </w:rPr>
    <w:tblPr>
      <w:tblStyleRowBandSize w:val="1"/>
      <w:tblStyleColBandSize w:val="1"/>
      <w:tblBorders>
        <w:top w:val="single" w:sz="8" w:space="0" w:color="B2B2B2" w:themeColor="accent2"/>
        <w:bottom w:val="single" w:sz="8" w:space="0" w:color="B2B2B2" w:themeColor="accent2"/>
      </w:tblBorders>
    </w:tblPr>
    <w:tblStylePr w:type="firstRow">
      <w:pPr>
        <w:spacing w:before="0" w:after="0" w:line="240" w:lineRule="auto"/>
      </w:pPr>
      <w:rPr>
        <w:b/>
        <w:bCs/>
      </w:rPr>
      <w:tblPr/>
      <w:tcPr>
        <w:tcBorders>
          <w:top w:val="single" w:sz="8" w:space="0" w:color="B2B2B2" w:themeColor="accent2"/>
          <w:left w:val="nil"/>
          <w:bottom w:val="single" w:sz="8" w:space="0" w:color="B2B2B2" w:themeColor="accent2"/>
          <w:right w:val="nil"/>
          <w:insideH w:val="nil"/>
          <w:insideV w:val="nil"/>
        </w:tcBorders>
      </w:tcPr>
    </w:tblStylePr>
    <w:tblStylePr w:type="lastRow">
      <w:pPr>
        <w:spacing w:before="0" w:after="0" w:line="240" w:lineRule="auto"/>
      </w:pPr>
      <w:rPr>
        <w:b/>
        <w:bCs/>
      </w:rPr>
      <w:tblPr/>
      <w:tcPr>
        <w:tcBorders>
          <w:top w:val="single" w:sz="8" w:space="0" w:color="B2B2B2" w:themeColor="accent2"/>
          <w:left w:val="nil"/>
          <w:bottom w:val="single" w:sz="8" w:space="0" w:color="B2B2B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hemeFill="accent2" w:themeFillTint="3F"/>
      </w:tcPr>
    </w:tblStylePr>
    <w:tblStylePr w:type="band1Horz">
      <w:tblPr/>
      <w:tcPr>
        <w:tcBorders>
          <w:left w:val="nil"/>
          <w:right w:val="nil"/>
          <w:insideH w:val="nil"/>
          <w:insideV w:val="nil"/>
        </w:tcBorders>
        <w:shd w:val="clear" w:color="auto" w:fill="EBEBEB" w:themeFill="accent2" w:themeFillTint="3F"/>
      </w:tcPr>
    </w:tblStylePr>
  </w:style>
  <w:style w:type="table" w:styleId="LightShading-Accent3">
    <w:name w:val="Light Shading Accent 3"/>
    <w:basedOn w:val="TableNormal"/>
    <w:uiPriority w:val="60"/>
    <w:rsid w:val="00FC693F"/>
    <w:pPr>
      <w:spacing w:after="0" w:line="240" w:lineRule="auto"/>
    </w:pPr>
    <w:rPr>
      <w:color w:val="707070" w:themeColor="accent3" w:themeShade="BF"/>
    </w:rPr>
    <w:tblPr>
      <w:tblStyleRowBandSize w:val="1"/>
      <w:tblStyleColBandSize w:val="1"/>
      <w:tblBorders>
        <w:top w:val="single" w:sz="8" w:space="0" w:color="969696" w:themeColor="accent3"/>
        <w:bottom w:val="single" w:sz="8" w:space="0" w:color="969696" w:themeColor="accent3"/>
      </w:tblBorders>
    </w:tblPr>
    <w:tblStylePr w:type="firstRow">
      <w:pPr>
        <w:spacing w:before="0" w:after="0" w:line="240" w:lineRule="auto"/>
      </w:pPr>
      <w:rPr>
        <w:b/>
        <w:bCs/>
      </w:rPr>
      <w:tblPr/>
      <w:tcPr>
        <w:tcBorders>
          <w:top w:val="single" w:sz="8" w:space="0" w:color="969696" w:themeColor="accent3"/>
          <w:left w:val="nil"/>
          <w:bottom w:val="single" w:sz="8" w:space="0" w:color="969696" w:themeColor="accent3"/>
          <w:right w:val="nil"/>
          <w:insideH w:val="nil"/>
          <w:insideV w:val="nil"/>
        </w:tcBorders>
      </w:tcPr>
    </w:tblStylePr>
    <w:tblStylePr w:type="lastRow">
      <w:pPr>
        <w:spacing w:before="0" w:after="0" w:line="240" w:lineRule="auto"/>
      </w:pPr>
      <w:rPr>
        <w:b/>
        <w:bCs/>
      </w:rPr>
      <w:tblPr/>
      <w:tcPr>
        <w:tcBorders>
          <w:top w:val="single" w:sz="8" w:space="0" w:color="969696" w:themeColor="accent3"/>
          <w:left w:val="nil"/>
          <w:bottom w:val="single" w:sz="8" w:space="0" w:color="969696"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3" w:themeFillTint="3F"/>
      </w:tcPr>
    </w:tblStylePr>
    <w:tblStylePr w:type="band1Horz">
      <w:tblPr/>
      <w:tcPr>
        <w:tcBorders>
          <w:left w:val="nil"/>
          <w:right w:val="nil"/>
          <w:insideH w:val="nil"/>
          <w:insideV w:val="nil"/>
        </w:tcBorders>
        <w:shd w:val="clear" w:color="auto" w:fill="E5E5E5" w:themeFill="accent3" w:themeFillTint="3F"/>
      </w:tcPr>
    </w:tblStylePr>
  </w:style>
  <w:style w:type="table" w:styleId="LightShading-Accent4">
    <w:name w:val="Light Shading Accent 4"/>
    <w:basedOn w:val="TableNormal"/>
    <w:uiPriority w:val="60"/>
    <w:rsid w:val="00FC693F"/>
    <w:pPr>
      <w:spacing w:after="0" w:line="240" w:lineRule="auto"/>
    </w:pPr>
    <w:rPr>
      <w:color w:val="5F5F5F" w:themeColor="accent4" w:themeShade="BF"/>
    </w:rPr>
    <w:tblPr>
      <w:tblStyleRowBandSize w:val="1"/>
      <w:tblStyleColBandSize w:val="1"/>
      <w:tblBorders>
        <w:top w:val="single" w:sz="8" w:space="0" w:color="808080" w:themeColor="accent4"/>
        <w:bottom w:val="single" w:sz="8" w:space="0" w:color="808080" w:themeColor="accent4"/>
      </w:tblBorders>
    </w:tblPr>
    <w:tblStylePr w:type="firstRow">
      <w:pPr>
        <w:spacing w:before="0" w:after="0" w:line="240" w:lineRule="auto"/>
      </w:pPr>
      <w:rPr>
        <w:b/>
        <w:bCs/>
      </w:rPr>
      <w:tblPr/>
      <w:tcPr>
        <w:tcBorders>
          <w:top w:val="single" w:sz="8" w:space="0" w:color="808080" w:themeColor="accent4"/>
          <w:left w:val="nil"/>
          <w:bottom w:val="single" w:sz="8" w:space="0" w:color="808080" w:themeColor="accent4"/>
          <w:right w:val="nil"/>
          <w:insideH w:val="nil"/>
          <w:insideV w:val="nil"/>
        </w:tcBorders>
      </w:tcPr>
    </w:tblStylePr>
    <w:tblStylePr w:type="lastRow">
      <w:pPr>
        <w:spacing w:before="0" w:after="0" w:line="240" w:lineRule="auto"/>
      </w:pPr>
      <w:rPr>
        <w:b/>
        <w:bCs/>
      </w:rPr>
      <w:tblPr/>
      <w:tcPr>
        <w:tcBorders>
          <w:top w:val="single" w:sz="8" w:space="0" w:color="808080" w:themeColor="accent4"/>
          <w:left w:val="nil"/>
          <w:bottom w:val="single" w:sz="8" w:space="0" w:color="80808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hemeFill="accent4" w:themeFillTint="3F"/>
      </w:tcPr>
    </w:tblStylePr>
    <w:tblStylePr w:type="band1Horz">
      <w:tblPr/>
      <w:tcPr>
        <w:tcBorders>
          <w:left w:val="nil"/>
          <w:right w:val="nil"/>
          <w:insideH w:val="nil"/>
          <w:insideV w:val="nil"/>
        </w:tcBorders>
        <w:shd w:val="clear" w:color="auto" w:fill="DFDFDF" w:themeFill="accent4" w:themeFillTint="3F"/>
      </w:tcPr>
    </w:tblStylePr>
  </w:style>
  <w:style w:type="table" w:styleId="LightShading-Accent5">
    <w:name w:val="Light Shading Accent 5"/>
    <w:basedOn w:val="TableNormal"/>
    <w:uiPriority w:val="60"/>
    <w:rsid w:val="00FC693F"/>
    <w:pPr>
      <w:spacing w:after="0" w:line="240" w:lineRule="auto"/>
    </w:pPr>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rsid w:val="00FC693F"/>
    <w:pPr>
      <w:spacing w:after="0" w:line="240" w:lineRule="auto"/>
    </w:pPr>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DDDDDD" w:themeColor="accent1"/>
        <w:left w:val="single" w:sz="8" w:space="0" w:color="DDDDDD" w:themeColor="accent1"/>
        <w:bottom w:val="single" w:sz="8" w:space="0" w:color="DDDDDD" w:themeColor="accent1"/>
        <w:right w:val="single" w:sz="8" w:space="0" w:color="DDDDDD" w:themeColor="accent1"/>
      </w:tblBorders>
    </w:tblPr>
    <w:tblStylePr w:type="firstRow">
      <w:pPr>
        <w:spacing w:before="0" w:after="0" w:line="240" w:lineRule="auto"/>
      </w:pPr>
      <w:rPr>
        <w:b/>
        <w:bCs/>
        <w:color w:val="FFFFFF" w:themeColor="background1"/>
      </w:rPr>
      <w:tblPr/>
      <w:tcPr>
        <w:shd w:val="clear" w:color="auto" w:fill="DDDDDD" w:themeFill="accent1"/>
      </w:tcPr>
    </w:tblStylePr>
    <w:tblStylePr w:type="lastRow">
      <w:pPr>
        <w:spacing w:before="0" w:after="0" w:line="240" w:lineRule="auto"/>
      </w:pPr>
      <w:rPr>
        <w:b/>
        <w:bCs/>
      </w:rPr>
      <w:tblPr/>
      <w:tcPr>
        <w:tcBorders>
          <w:top w:val="double" w:sz="6" w:space="0" w:color="DDDDDD" w:themeColor="accent1"/>
          <w:left w:val="single" w:sz="8" w:space="0" w:color="DDDDDD" w:themeColor="accent1"/>
          <w:bottom w:val="single" w:sz="8" w:space="0" w:color="DDDDDD" w:themeColor="accent1"/>
          <w:right w:val="single" w:sz="8" w:space="0" w:color="DDDDDD" w:themeColor="accent1"/>
        </w:tcBorders>
      </w:tcPr>
    </w:tblStylePr>
    <w:tblStylePr w:type="firstCol">
      <w:rPr>
        <w:b/>
        <w:bCs/>
      </w:rPr>
    </w:tblStylePr>
    <w:tblStylePr w:type="lastCol">
      <w:rPr>
        <w:b/>
        <w:bCs/>
      </w:rPr>
    </w:tblStylePr>
    <w:tblStylePr w:type="band1Vert">
      <w:tblPr/>
      <w:tcPr>
        <w:tcBorders>
          <w:top w:val="single" w:sz="8" w:space="0" w:color="DDDDDD" w:themeColor="accent1"/>
          <w:left w:val="single" w:sz="8" w:space="0" w:color="DDDDDD" w:themeColor="accent1"/>
          <w:bottom w:val="single" w:sz="8" w:space="0" w:color="DDDDDD" w:themeColor="accent1"/>
          <w:right w:val="single" w:sz="8" w:space="0" w:color="DDDDDD" w:themeColor="accent1"/>
        </w:tcBorders>
      </w:tcPr>
    </w:tblStylePr>
    <w:tblStylePr w:type="band1Horz">
      <w:tblPr/>
      <w:tcPr>
        <w:tcBorders>
          <w:top w:val="single" w:sz="8" w:space="0" w:color="DDDDDD" w:themeColor="accent1"/>
          <w:left w:val="single" w:sz="8" w:space="0" w:color="DDDDDD" w:themeColor="accent1"/>
          <w:bottom w:val="single" w:sz="8" w:space="0" w:color="DDDDDD" w:themeColor="accent1"/>
          <w:right w:val="single" w:sz="8" w:space="0" w:color="DDDDD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B2B2B2" w:themeColor="accent2"/>
        <w:left w:val="single" w:sz="8" w:space="0" w:color="B2B2B2" w:themeColor="accent2"/>
        <w:bottom w:val="single" w:sz="8" w:space="0" w:color="B2B2B2" w:themeColor="accent2"/>
        <w:right w:val="single" w:sz="8" w:space="0" w:color="B2B2B2" w:themeColor="accent2"/>
      </w:tblBorders>
    </w:tblPr>
    <w:tblStylePr w:type="firstRow">
      <w:pPr>
        <w:spacing w:before="0" w:after="0" w:line="240" w:lineRule="auto"/>
      </w:pPr>
      <w:rPr>
        <w:b/>
        <w:bCs/>
        <w:color w:val="FFFFFF" w:themeColor="background1"/>
      </w:rPr>
      <w:tblPr/>
      <w:tcPr>
        <w:shd w:val="clear" w:color="auto" w:fill="B2B2B2" w:themeFill="accent2"/>
      </w:tcPr>
    </w:tblStylePr>
    <w:tblStylePr w:type="lastRow">
      <w:pPr>
        <w:spacing w:before="0" w:after="0" w:line="240" w:lineRule="auto"/>
      </w:pPr>
      <w:rPr>
        <w:b/>
        <w:bCs/>
      </w:rPr>
      <w:tblPr/>
      <w:tcPr>
        <w:tcBorders>
          <w:top w:val="double" w:sz="6" w:space="0" w:color="B2B2B2" w:themeColor="accent2"/>
          <w:left w:val="single" w:sz="8" w:space="0" w:color="B2B2B2" w:themeColor="accent2"/>
          <w:bottom w:val="single" w:sz="8" w:space="0" w:color="B2B2B2" w:themeColor="accent2"/>
          <w:right w:val="single" w:sz="8" w:space="0" w:color="B2B2B2" w:themeColor="accent2"/>
        </w:tcBorders>
      </w:tcPr>
    </w:tblStylePr>
    <w:tblStylePr w:type="firstCol">
      <w:rPr>
        <w:b/>
        <w:bCs/>
      </w:rPr>
    </w:tblStylePr>
    <w:tblStylePr w:type="lastCol">
      <w:rPr>
        <w:b/>
        <w:bCs/>
      </w:rPr>
    </w:tblStylePr>
    <w:tblStylePr w:type="band1Vert">
      <w:tblPr/>
      <w:tcPr>
        <w:tcBorders>
          <w:top w:val="single" w:sz="8" w:space="0" w:color="B2B2B2" w:themeColor="accent2"/>
          <w:left w:val="single" w:sz="8" w:space="0" w:color="B2B2B2" w:themeColor="accent2"/>
          <w:bottom w:val="single" w:sz="8" w:space="0" w:color="B2B2B2" w:themeColor="accent2"/>
          <w:right w:val="single" w:sz="8" w:space="0" w:color="B2B2B2" w:themeColor="accent2"/>
        </w:tcBorders>
      </w:tcPr>
    </w:tblStylePr>
    <w:tblStylePr w:type="band1Horz">
      <w:tblPr/>
      <w:tcPr>
        <w:tcBorders>
          <w:top w:val="single" w:sz="8" w:space="0" w:color="B2B2B2" w:themeColor="accent2"/>
          <w:left w:val="single" w:sz="8" w:space="0" w:color="B2B2B2" w:themeColor="accent2"/>
          <w:bottom w:val="single" w:sz="8" w:space="0" w:color="B2B2B2" w:themeColor="accent2"/>
          <w:right w:val="single" w:sz="8" w:space="0" w:color="B2B2B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69696" w:themeColor="accent3"/>
        <w:left w:val="single" w:sz="8" w:space="0" w:color="969696" w:themeColor="accent3"/>
        <w:bottom w:val="single" w:sz="8" w:space="0" w:color="969696" w:themeColor="accent3"/>
        <w:right w:val="single" w:sz="8" w:space="0" w:color="969696" w:themeColor="accent3"/>
      </w:tblBorders>
    </w:tblPr>
    <w:tblStylePr w:type="firstRow">
      <w:pPr>
        <w:spacing w:before="0" w:after="0" w:line="240" w:lineRule="auto"/>
      </w:pPr>
      <w:rPr>
        <w:b/>
        <w:bCs/>
        <w:color w:val="FFFFFF" w:themeColor="background1"/>
      </w:rPr>
      <w:tblPr/>
      <w:tcPr>
        <w:shd w:val="clear" w:color="auto" w:fill="969696" w:themeFill="accent3"/>
      </w:tcPr>
    </w:tblStylePr>
    <w:tblStylePr w:type="lastRow">
      <w:pPr>
        <w:spacing w:before="0" w:after="0" w:line="240" w:lineRule="auto"/>
      </w:pPr>
      <w:rPr>
        <w:b/>
        <w:bCs/>
      </w:rPr>
      <w:tblPr/>
      <w:tcPr>
        <w:tcBorders>
          <w:top w:val="double" w:sz="6" w:space="0" w:color="969696" w:themeColor="accent3"/>
          <w:left w:val="single" w:sz="8" w:space="0" w:color="969696" w:themeColor="accent3"/>
          <w:bottom w:val="single" w:sz="8" w:space="0" w:color="969696" w:themeColor="accent3"/>
          <w:right w:val="single" w:sz="8" w:space="0" w:color="969696" w:themeColor="accent3"/>
        </w:tcBorders>
      </w:tcPr>
    </w:tblStylePr>
    <w:tblStylePr w:type="firstCol">
      <w:rPr>
        <w:b/>
        <w:bCs/>
      </w:rPr>
    </w:tblStylePr>
    <w:tblStylePr w:type="lastCol">
      <w:rPr>
        <w:b/>
        <w:bCs/>
      </w:rPr>
    </w:tblStylePr>
    <w:tblStylePr w:type="band1Vert">
      <w:tblPr/>
      <w:tcPr>
        <w:tcBorders>
          <w:top w:val="single" w:sz="8" w:space="0" w:color="969696" w:themeColor="accent3"/>
          <w:left w:val="single" w:sz="8" w:space="0" w:color="969696" w:themeColor="accent3"/>
          <w:bottom w:val="single" w:sz="8" w:space="0" w:color="969696" w:themeColor="accent3"/>
          <w:right w:val="single" w:sz="8" w:space="0" w:color="969696" w:themeColor="accent3"/>
        </w:tcBorders>
      </w:tcPr>
    </w:tblStylePr>
    <w:tblStylePr w:type="band1Horz">
      <w:tblPr/>
      <w:tcPr>
        <w:tcBorders>
          <w:top w:val="single" w:sz="8" w:space="0" w:color="969696" w:themeColor="accent3"/>
          <w:left w:val="single" w:sz="8" w:space="0" w:color="969696" w:themeColor="accent3"/>
          <w:bottom w:val="single" w:sz="8" w:space="0" w:color="969696" w:themeColor="accent3"/>
          <w:right w:val="single" w:sz="8" w:space="0" w:color="969696"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8080" w:themeColor="accent4"/>
        <w:left w:val="single" w:sz="8" w:space="0" w:color="808080" w:themeColor="accent4"/>
        <w:bottom w:val="single" w:sz="8" w:space="0" w:color="808080" w:themeColor="accent4"/>
        <w:right w:val="single" w:sz="8" w:space="0" w:color="808080" w:themeColor="accent4"/>
      </w:tblBorders>
    </w:tblPr>
    <w:tblStylePr w:type="firstRow">
      <w:pPr>
        <w:spacing w:before="0" w:after="0" w:line="240" w:lineRule="auto"/>
      </w:pPr>
      <w:rPr>
        <w:b/>
        <w:bCs/>
        <w:color w:val="FFFFFF" w:themeColor="background1"/>
      </w:rPr>
      <w:tblPr/>
      <w:tcPr>
        <w:shd w:val="clear" w:color="auto" w:fill="808080" w:themeFill="accent4"/>
      </w:tcPr>
    </w:tblStylePr>
    <w:tblStylePr w:type="lastRow">
      <w:pPr>
        <w:spacing w:before="0" w:after="0" w:line="240" w:lineRule="auto"/>
      </w:pPr>
      <w:rPr>
        <w:b/>
        <w:bCs/>
      </w:rPr>
      <w:tblPr/>
      <w:tcPr>
        <w:tcBorders>
          <w:top w:val="double" w:sz="6" w:space="0" w:color="808080" w:themeColor="accent4"/>
          <w:left w:val="single" w:sz="8" w:space="0" w:color="808080" w:themeColor="accent4"/>
          <w:bottom w:val="single" w:sz="8" w:space="0" w:color="808080" w:themeColor="accent4"/>
          <w:right w:val="single" w:sz="8" w:space="0" w:color="808080" w:themeColor="accent4"/>
        </w:tcBorders>
      </w:tcPr>
    </w:tblStylePr>
    <w:tblStylePr w:type="firstCol">
      <w:rPr>
        <w:b/>
        <w:bCs/>
      </w:rPr>
    </w:tblStylePr>
    <w:tblStylePr w:type="lastCol">
      <w:rPr>
        <w:b/>
        <w:bCs/>
      </w:rPr>
    </w:tblStylePr>
    <w:tblStylePr w:type="band1Vert">
      <w:tblPr/>
      <w:tcPr>
        <w:tcBorders>
          <w:top w:val="single" w:sz="8" w:space="0" w:color="808080" w:themeColor="accent4"/>
          <w:left w:val="single" w:sz="8" w:space="0" w:color="808080" w:themeColor="accent4"/>
          <w:bottom w:val="single" w:sz="8" w:space="0" w:color="808080" w:themeColor="accent4"/>
          <w:right w:val="single" w:sz="8" w:space="0" w:color="808080" w:themeColor="accent4"/>
        </w:tcBorders>
      </w:tcPr>
    </w:tblStylePr>
    <w:tblStylePr w:type="band1Horz">
      <w:tblPr/>
      <w:tcPr>
        <w:tcBorders>
          <w:top w:val="single" w:sz="8" w:space="0" w:color="808080" w:themeColor="accent4"/>
          <w:left w:val="single" w:sz="8" w:space="0" w:color="808080" w:themeColor="accent4"/>
          <w:bottom w:val="single" w:sz="8" w:space="0" w:color="808080" w:themeColor="accent4"/>
          <w:right w:val="single" w:sz="8" w:space="0" w:color="808080"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DDDDDD" w:themeColor="accent1"/>
        <w:left w:val="single" w:sz="8" w:space="0" w:color="DDDDDD" w:themeColor="accent1"/>
        <w:bottom w:val="single" w:sz="8" w:space="0" w:color="DDDDDD" w:themeColor="accent1"/>
        <w:right w:val="single" w:sz="8" w:space="0" w:color="DDDDDD" w:themeColor="accent1"/>
        <w:insideH w:val="single" w:sz="8" w:space="0" w:color="DDDDDD" w:themeColor="accent1"/>
        <w:insideV w:val="single" w:sz="8" w:space="0" w:color="DDDDD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DDDDD" w:themeColor="accent1"/>
          <w:left w:val="single" w:sz="8" w:space="0" w:color="DDDDDD" w:themeColor="accent1"/>
          <w:bottom w:val="single" w:sz="18" w:space="0" w:color="DDDDDD" w:themeColor="accent1"/>
          <w:right w:val="single" w:sz="8" w:space="0" w:color="DDDDDD" w:themeColor="accent1"/>
          <w:insideH w:val="nil"/>
          <w:insideV w:val="single" w:sz="8" w:space="0" w:color="DDDDD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DDDDD" w:themeColor="accent1"/>
          <w:left w:val="single" w:sz="8" w:space="0" w:color="DDDDDD" w:themeColor="accent1"/>
          <w:bottom w:val="single" w:sz="8" w:space="0" w:color="DDDDDD" w:themeColor="accent1"/>
          <w:right w:val="single" w:sz="8" w:space="0" w:color="DDDDDD" w:themeColor="accent1"/>
          <w:insideH w:val="nil"/>
          <w:insideV w:val="single" w:sz="8" w:space="0" w:color="DDDDD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DDDDD" w:themeColor="accent1"/>
          <w:left w:val="single" w:sz="8" w:space="0" w:color="DDDDDD" w:themeColor="accent1"/>
          <w:bottom w:val="single" w:sz="8" w:space="0" w:color="DDDDDD" w:themeColor="accent1"/>
          <w:right w:val="single" w:sz="8" w:space="0" w:color="DDDDDD" w:themeColor="accent1"/>
        </w:tcBorders>
      </w:tcPr>
    </w:tblStylePr>
    <w:tblStylePr w:type="band1Vert">
      <w:tblPr/>
      <w:tcPr>
        <w:tcBorders>
          <w:top w:val="single" w:sz="8" w:space="0" w:color="DDDDDD" w:themeColor="accent1"/>
          <w:left w:val="single" w:sz="8" w:space="0" w:color="DDDDDD" w:themeColor="accent1"/>
          <w:bottom w:val="single" w:sz="8" w:space="0" w:color="DDDDDD" w:themeColor="accent1"/>
          <w:right w:val="single" w:sz="8" w:space="0" w:color="DDDDDD" w:themeColor="accent1"/>
        </w:tcBorders>
        <w:shd w:val="clear" w:color="auto" w:fill="F6F6F6" w:themeFill="accent1" w:themeFillTint="3F"/>
      </w:tcPr>
    </w:tblStylePr>
    <w:tblStylePr w:type="band1Horz">
      <w:tblPr/>
      <w:tcPr>
        <w:tcBorders>
          <w:top w:val="single" w:sz="8" w:space="0" w:color="DDDDDD" w:themeColor="accent1"/>
          <w:left w:val="single" w:sz="8" w:space="0" w:color="DDDDDD" w:themeColor="accent1"/>
          <w:bottom w:val="single" w:sz="8" w:space="0" w:color="DDDDDD" w:themeColor="accent1"/>
          <w:right w:val="single" w:sz="8" w:space="0" w:color="DDDDDD" w:themeColor="accent1"/>
          <w:insideV w:val="single" w:sz="8" w:space="0" w:color="DDDDDD" w:themeColor="accent1"/>
        </w:tcBorders>
        <w:shd w:val="clear" w:color="auto" w:fill="F6F6F6" w:themeFill="accent1" w:themeFillTint="3F"/>
      </w:tcPr>
    </w:tblStylePr>
    <w:tblStylePr w:type="band2Horz">
      <w:tblPr/>
      <w:tcPr>
        <w:tcBorders>
          <w:top w:val="single" w:sz="8" w:space="0" w:color="DDDDDD" w:themeColor="accent1"/>
          <w:left w:val="single" w:sz="8" w:space="0" w:color="DDDDDD" w:themeColor="accent1"/>
          <w:bottom w:val="single" w:sz="8" w:space="0" w:color="DDDDDD" w:themeColor="accent1"/>
          <w:right w:val="single" w:sz="8" w:space="0" w:color="DDDDDD" w:themeColor="accent1"/>
          <w:insideV w:val="single" w:sz="8" w:space="0" w:color="DDDDD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B2B2B2" w:themeColor="accent2"/>
        <w:left w:val="single" w:sz="8" w:space="0" w:color="B2B2B2" w:themeColor="accent2"/>
        <w:bottom w:val="single" w:sz="8" w:space="0" w:color="B2B2B2" w:themeColor="accent2"/>
        <w:right w:val="single" w:sz="8" w:space="0" w:color="B2B2B2" w:themeColor="accent2"/>
        <w:insideH w:val="single" w:sz="8" w:space="0" w:color="B2B2B2" w:themeColor="accent2"/>
        <w:insideV w:val="single" w:sz="8" w:space="0" w:color="B2B2B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2B2B2" w:themeColor="accent2"/>
          <w:left w:val="single" w:sz="8" w:space="0" w:color="B2B2B2" w:themeColor="accent2"/>
          <w:bottom w:val="single" w:sz="18" w:space="0" w:color="B2B2B2" w:themeColor="accent2"/>
          <w:right w:val="single" w:sz="8" w:space="0" w:color="B2B2B2" w:themeColor="accent2"/>
          <w:insideH w:val="nil"/>
          <w:insideV w:val="single" w:sz="8" w:space="0" w:color="B2B2B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2B2B2" w:themeColor="accent2"/>
          <w:left w:val="single" w:sz="8" w:space="0" w:color="B2B2B2" w:themeColor="accent2"/>
          <w:bottom w:val="single" w:sz="8" w:space="0" w:color="B2B2B2" w:themeColor="accent2"/>
          <w:right w:val="single" w:sz="8" w:space="0" w:color="B2B2B2" w:themeColor="accent2"/>
          <w:insideH w:val="nil"/>
          <w:insideV w:val="single" w:sz="8" w:space="0" w:color="B2B2B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2B2B2" w:themeColor="accent2"/>
          <w:left w:val="single" w:sz="8" w:space="0" w:color="B2B2B2" w:themeColor="accent2"/>
          <w:bottom w:val="single" w:sz="8" w:space="0" w:color="B2B2B2" w:themeColor="accent2"/>
          <w:right w:val="single" w:sz="8" w:space="0" w:color="B2B2B2" w:themeColor="accent2"/>
        </w:tcBorders>
      </w:tcPr>
    </w:tblStylePr>
    <w:tblStylePr w:type="band1Vert">
      <w:tblPr/>
      <w:tcPr>
        <w:tcBorders>
          <w:top w:val="single" w:sz="8" w:space="0" w:color="B2B2B2" w:themeColor="accent2"/>
          <w:left w:val="single" w:sz="8" w:space="0" w:color="B2B2B2" w:themeColor="accent2"/>
          <w:bottom w:val="single" w:sz="8" w:space="0" w:color="B2B2B2" w:themeColor="accent2"/>
          <w:right w:val="single" w:sz="8" w:space="0" w:color="B2B2B2" w:themeColor="accent2"/>
        </w:tcBorders>
        <w:shd w:val="clear" w:color="auto" w:fill="EBEBEB" w:themeFill="accent2" w:themeFillTint="3F"/>
      </w:tcPr>
    </w:tblStylePr>
    <w:tblStylePr w:type="band1Horz">
      <w:tblPr/>
      <w:tcPr>
        <w:tcBorders>
          <w:top w:val="single" w:sz="8" w:space="0" w:color="B2B2B2" w:themeColor="accent2"/>
          <w:left w:val="single" w:sz="8" w:space="0" w:color="B2B2B2" w:themeColor="accent2"/>
          <w:bottom w:val="single" w:sz="8" w:space="0" w:color="B2B2B2" w:themeColor="accent2"/>
          <w:right w:val="single" w:sz="8" w:space="0" w:color="B2B2B2" w:themeColor="accent2"/>
          <w:insideV w:val="single" w:sz="8" w:space="0" w:color="B2B2B2" w:themeColor="accent2"/>
        </w:tcBorders>
        <w:shd w:val="clear" w:color="auto" w:fill="EBEBEB" w:themeFill="accent2" w:themeFillTint="3F"/>
      </w:tcPr>
    </w:tblStylePr>
    <w:tblStylePr w:type="band2Horz">
      <w:tblPr/>
      <w:tcPr>
        <w:tcBorders>
          <w:top w:val="single" w:sz="8" w:space="0" w:color="B2B2B2" w:themeColor="accent2"/>
          <w:left w:val="single" w:sz="8" w:space="0" w:color="B2B2B2" w:themeColor="accent2"/>
          <w:bottom w:val="single" w:sz="8" w:space="0" w:color="B2B2B2" w:themeColor="accent2"/>
          <w:right w:val="single" w:sz="8" w:space="0" w:color="B2B2B2" w:themeColor="accent2"/>
          <w:insideV w:val="single" w:sz="8" w:space="0" w:color="B2B2B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69696" w:themeColor="accent3"/>
        <w:left w:val="single" w:sz="8" w:space="0" w:color="969696" w:themeColor="accent3"/>
        <w:bottom w:val="single" w:sz="8" w:space="0" w:color="969696" w:themeColor="accent3"/>
        <w:right w:val="single" w:sz="8" w:space="0" w:color="969696" w:themeColor="accent3"/>
        <w:insideH w:val="single" w:sz="8" w:space="0" w:color="969696" w:themeColor="accent3"/>
        <w:insideV w:val="single" w:sz="8" w:space="0" w:color="969696"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3"/>
          <w:left w:val="single" w:sz="8" w:space="0" w:color="969696" w:themeColor="accent3"/>
          <w:bottom w:val="single" w:sz="18" w:space="0" w:color="969696" w:themeColor="accent3"/>
          <w:right w:val="single" w:sz="8" w:space="0" w:color="969696" w:themeColor="accent3"/>
          <w:insideH w:val="nil"/>
          <w:insideV w:val="single" w:sz="8" w:space="0" w:color="969696"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3"/>
          <w:left w:val="single" w:sz="8" w:space="0" w:color="969696" w:themeColor="accent3"/>
          <w:bottom w:val="single" w:sz="8" w:space="0" w:color="969696" w:themeColor="accent3"/>
          <w:right w:val="single" w:sz="8" w:space="0" w:color="969696" w:themeColor="accent3"/>
          <w:insideH w:val="nil"/>
          <w:insideV w:val="single" w:sz="8" w:space="0" w:color="969696"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3"/>
          <w:left w:val="single" w:sz="8" w:space="0" w:color="969696" w:themeColor="accent3"/>
          <w:bottom w:val="single" w:sz="8" w:space="0" w:color="969696" w:themeColor="accent3"/>
          <w:right w:val="single" w:sz="8" w:space="0" w:color="969696" w:themeColor="accent3"/>
        </w:tcBorders>
      </w:tcPr>
    </w:tblStylePr>
    <w:tblStylePr w:type="band1Vert">
      <w:tblPr/>
      <w:tcPr>
        <w:tcBorders>
          <w:top w:val="single" w:sz="8" w:space="0" w:color="969696" w:themeColor="accent3"/>
          <w:left w:val="single" w:sz="8" w:space="0" w:color="969696" w:themeColor="accent3"/>
          <w:bottom w:val="single" w:sz="8" w:space="0" w:color="969696" w:themeColor="accent3"/>
          <w:right w:val="single" w:sz="8" w:space="0" w:color="969696" w:themeColor="accent3"/>
        </w:tcBorders>
        <w:shd w:val="clear" w:color="auto" w:fill="E5E5E5" w:themeFill="accent3" w:themeFillTint="3F"/>
      </w:tcPr>
    </w:tblStylePr>
    <w:tblStylePr w:type="band1Horz">
      <w:tblPr/>
      <w:tcPr>
        <w:tcBorders>
          <w:top w:val="single" w:sz="8" w:space="0" w:color="969696" w:themeColor="accent3"/>
          <w:left w:val="single" w:sz="8" w:space="0" w:color="969696" w:themeColor="accent3"/>
          <w:bottom w:val="single" w:sz="8" w:space="0" w:color="969696" w:themeColor="accent3"/>
          <w:right w:val="single" w:sz="8" w:space="0" w:color="969696" w:themeColor="accent3"/>
          <w:insideV w:val="single" w:sz="8" w:space="0" w:color="969696" w:themeColor="accent3"/>
        </w:tcBorders>
        <w:shd w:val="clear" w:color="auto" w:fill="E5E5E5" w:themeFill="accent3" w:themeFillTint="3F"/>
      </w:tcPr>
    </w:tblStylePr>
    <w:tblStylePr w:type="band2Horz">
      <w:tblPr/>
      <w:tcPr>
        <w:tcBorders>
          <w:top w:val="single" w:sz="8" w:space="0" w:color="969696" w:themeColor="accent3"/>
          <w:left w:val="single" w:sz="8" w:space="0" w:color="969696" w:themeColor="accent3"/>
          <w:bottom w:val="single" w:sz="8" w:space="0" w:color="969696" w:themeColor="accent3"/>
          <w:right w:val="single" w:sz="8" w:space="0" w:color="969696" w:themeColor="accent3"/>
          <w:insideV w:val="single" w:sz="8" w:space="0" w:color="969696"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8080" w:themeColor="accent4"/>
        <w:left w:val="single" w:sz="8" w:space="0" w:color="808080" w:themeColor="accent4"/>
        <w:bottom w:val="single" w:sz="8" w:space="0" w:color="808080" w:themeColor="accent4"/>
        <w:right w:val="single" w:sz="8" w:space="0" w:color="808080" w:themeColor="accent4"/>
        <w:insideH w:val="single" w:sz="8" w:space="0" w:color="808080" w:themeColor="accent4"/>
        <w:insideV w:val="single" w:sz="8" w:space="0" w:color="80808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8080" w:themeColor="accent4"/>
          <w:left w:val="single" w:sz="8" w:space="0" w:color="808080" w:themeColor="accent4"/>
          <w:bottom w:val="single" w:sz="18" w:space="0" w:color="808080" w:themeColor="accent4"/>
          <w:right w:val="single" w:sz="8" w:space="0" w:color="808080" w:themeColor="accent4"/>
          <w:insideH w:val="nil"/>
          <w:insideV w:val="single" w:sz="8" w:space="0" w:color="80808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8080" w:themeColor="accent4"/>
          <w:left w:val="single" w:sz="8" w:space="0" w:color="808080" w:themeColor="accent4"/>
          <w:bottom w:val="single" w:sz="8" w:space="0" w:color="808080" w:themeColor="accent4"/>
          <w:right w:val="single" w:sz="8" w:space="0" w:color="808080" w:themeColor="accent4"/>
          <w:insideH w:val="nil"/>
          <w:insideV w:val="single" w:sz="8" w:space="0" w:color="80808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8080" w:themeColor="accent4"/>
          <w:left w:val="single" w:sz="8" w:space="0" w:color="808080" w:themeColor="accent4"/>
          <w:bottom w:val="single" w:sz="8" w:space="0" w:color="808080" w:themeColor="accent4"/>
          <w:right w:val="single" w:sz="8" w:space="0" w:color="808080" w:themeColor="accent4"/>
        </w:tcBorders>
      </w:tcPr>
    </w:tblStylePr>
    <w:tblStylePr w:type="band1Vert">
      <w:tblPr/>
      <w:tcPr>
        <w:tcBorders>
          <w:top w:val="single" w:sz="8" w:space="0" w:color="808080" w:themeColor="accent4"/>
          <w:left w:val="single" w:sz="8" w:space="0" w:color="808080" w:themeColor="accent4"/>
          <w:bottom w:val="single" w:sz="8" w:space="0" w:color="808080" w:themeColor="accent4"/>
          <w:right w:val="single" w:sz="8" w:space="0" w:color="808080" w:themeColor="accent4"/>
        </w:tcBorders>
        <w:shd w:val="clear" w:color="auto" w:fill="DFDFDF" w:themeFill="accent4" w:themeFillTint="3F"/>
      </w:tcPr>
    </w:tblStylePr>
    <w:tblStylePr w:type="band1Horz">
      <w:tblPr/>
      <w:tcPr>
        <w:tcBorders>
          <w:top w:val="single" w:sz="8" w:space="0" w:color="808080" w:themeColor="accent4"/>
          <w:left w:val="single" w:sz="8" w:space="0" w:color="808080" w:themeColor="accent4"/>
          <w:bottom w:val="single" w:sz="8" w:space="0" w:color="808080" w:themeColor="accent4"/>
          <w:right w:val="single" w:sz="8" w:space="0" w:color="808080" w:themeColor="accent4"/>
          <w:insideV w:val="single" w:sz="8" w:space="0" w:color="808080" w:themeColor="accent4"/>
        </w:tcBorders>
        <w:shd w:val="clear" w:color="auto" w:fill="DFDFDF" w:themeFill="accent4" w:themeFillTint="3F"/>
      </w:tcPr>
    </w:tblStylePr>
    <w:tblStylePr w:type="band2Horz">
      <w:tblPr/>
      <w:tcPr>
        <w:tcBorders>
          <w:top w:val="single" w:sz="8" w:space="0" w:color="808080" w:themeColor="accent4"/>
          <w:left w:val="single" w:sz="8" w:space="0" w:color="808080" w:themeColor="accent4"/>
          <w:bottom w:val="single" w:sz="8" w:space="0" w:color="808080" w:themeColor="accent4"/>
          <w:right w:val="single" w:sz="8" w:space="0" w:color="808080" w:themeColor="accent4"/>
          <w:insideV w:val="single" w:sz="8" w:space="0" w:color="808080"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E5E5E5" w:themeColor="accent1" w:themeTint="BF"/>
        <w:left w:val="single" w:sz="8" w:space="0" w:color="E5E5E5" w:themeColor="accent1" w:themeTint="BF"/>
        <w:bottom w:val="single" w:sz="8" w:space="0" w:color="E5E5E5" w:themeColor="accent1" w:themeTint="BF"/>
        <w:right w:val="single" w:sz="8" w:space="0" w:color="E5E5E5" w:themeColor="accent1" w:themeTint="BF"/>
        <w:insideH w:val="single" w:sz="8" w:space="0" w:color="E5E5E5" w:themeColor="accent1" w:themeTint="BF"/>
      </w:tblBorders>
    </w:tblPr>
    <w:tblStylePr w:type="firstRow">
      <w:pPr>
        <w:spacing w:before="0" w:after="0" w:line="240" w:lineRule="auto"/>
      </w:pPr>
      <w:rPr>
        <w:b/>
        <w:bCs/>
        <w:color w:val="FFFFFF" w:themeColor="background1"/>
      </w:rPr>
      <w:tblPr/>
      <w:tcPr>
        <w:tcBorders>
          <w:top w:val="single" w:sz="8" w:space="0" w:color="E5E5E5" w:themeColor="accent1" w:themeTint="BF"/>
          <w:left w:val="single" w:sz="8" w:space="0" w:color="E5E5E5" w:themeColor="accent1" w:themeTint="BF"/>
          <w:bottom w:val="single" w:sz="8" w:space="0" w:color="E5E5E5" w:themeColor="accent1" w:themeTint="BF"/>
          <w:right w:val="single" w:sz="8" w:space="0" w:color="E5E5E5" w:themeColor="accent1" w:themeTint="BF"/>
          <w:insideH w:val="nil"/>
          <w:insideV w:val="nil"/>
        </w:tcBorders>
        <w:shd w:val="clear" w:color="auto" w:fill="DDDDDD" w:themeFill="accent1"/>
      </w:tcPr>
    </w:tblStylePr>
    <w:tblStylePr w:type="lastRow">
      <w:pPr>
        <w:spacing w:before="0" w:after="0" w:line="240" w:lineRule="auto"/>
      </w:pPr>
      <w:rPr>
        <w:b/>
        <w:bCs/>
      </w:rPr>
      <w:tblPr/>
      <w:tcPr>
        <w:tcBorders>
          <w:top w:val="double" w:sz="6" w:space="0" w:color="E5E5E5" w:themeColor="accent1" w:themeTint="BF"/>
          <w:left w:val="single" w:sz="8" w:space="0" w:color="E5E5E5" w:themeColor="accent1" w:themeTint="BF"/>
          <w:bottom w:val="single" w:sz="8" w:space="0" w:color="E5E5E5" w:themeColor="accent1" w:themeTint="BF"/>
          <w:right w:val="single" w:sz="8" w:space="0" w:color="E5E5E5" w:themeColor="accent1" w:themeTint="BF"/>
          <w:insideH w:val="nil"/>
          <w:insideV w:val="nil"/>
        </w:tcBorders>
      </w:tcPr>
    </w:tblStylePr>
    <w:tblStylePr w:type="firstCol">
      <w:rPr>
        <w:b/>
        <w:bCs/>
      </w:rPr>
    </w:tblStylePr>
    <w:tblStylePr w:type="lastCol">
      <w:rPr>
        <w:b/>
        <w:bCs/>
      </w:rPr>
    </w:tblStylePr>
    <w:tblStylePr w:type="band1Vert">
      <w:tblPr/>
      <w:tcPr>
        <w:shd w:val="clear" w:color="auto" w:fill="F6F6F6" w:themeFill="accent1" w:themeFillTint="3F"/>
      </w:tcPr>
    </w:tblStylePr>
    <w:tblStylePr w:type="band1Horz">
      <w:tblPr/>
      <w:tcPr>
        <w:tcBorders>
          <w:insideH w:val="nil"/>
          <w:insideV w:val="nil"/>
        </w:tcBorders>
        <w:shd w:val="clear" w:color="auto" w:fill="F6F6F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5C5C5" w:themeColor="accent2" w:themeTint="BF"/>
        <w:left w:val="single" w:sz="8" w:space="0" w:color="C5C5C5" w:themeColor="accent2" w:themeTint="BF"/>
        <w:bottom w:val="single" w:sz="8" w:space="0" w:color="C5C5C5" w:themeColor="accent2" w:themeTint="BF"/>
        <w:right w:val="single" w:sz="8" w:space="0" w:color="C5C5C5" w:themeColor="accent2" w:themeTint="BF"/>
        <w:insideH w:val="single" w:sz="8" w:space="0" w:color="C5C5C5" w:themeColor="accent2" w:themeTint="BF"/>
      </w:tblBorders>
    </w:tblPr>
    <w:tblStylePr w:type="firstRow">
      <w:pPr>
        <w:spacing w:before="0" w:after="0" w:line="240" w:lineRule="auto"/>
      </w:pPr>
      <w:rPr>
        <w:b/>
        <w:bCs/>
        <w:color w:val="FFFFFF" w:themeColor="background1"/>
      </w:rPr>
      <w:tblPr/>
      <w:tcPr>
        <w:tcBorders>
          <w:top w:val="single" w:sz="8" w:space="0" w:color="C5C5C5" w:themeColor="accent2" w:themeTint="BF"/>
          <w:left w:val="single" w:sz="8" w:space="0" w:color="C5C5C5" w:themeColor="accent2" w:themeTint="BF"/>
          <w:bottom w:val="single" w:sz="8" w:space="0" w:color="C5C5C5" w:themeColor="accent2" w:themeTint="BF"/>
          <w:right w:val="single" w:sz="8" w:space="0" w:color="C5C5C5" w:themeColor="accent2" w:themeTint="BF"/>
          <w:insideH w:val="nil"/>
          <w:insideV w:val="nil"/>
        </w:tcBorders>
        <w:shd w:val="clear" w:color="auto" w:fill="B2B2B2" w:themeFill="accent2"/>
      </w:tcPr>
    </w:tblStylePr>
    <w:tblStylePr w:type="lastRow">
      <w:pPr>
        <w:spacing w:before="0" w:after="0" w:line="240" w:lineRule="auto"/>
      </w:pPr>
      <w:rPr>
        <w:b/>
        <w:bCs/>
      </w:rPr>
      <w:tblPr/>
      <w:tcPr>
        <w:tcBorders>
          <w:top w:val="double" w:sz="6" w:space="0" w:color="C5C5C5" w:themeColor="accent2" w:themeTint="BF"/>
          <w:left w:val="single" w:sz="8" w:space="0" w:color="C5C5C5" w:themeColor="accent2" w:themeTint="BF"/>
          <w:bottom w:val="single" w:sz="8" w:space="0" w:color="C5C5C5" w:themeColor="accent2" w:themeTint="BF"/>
          <w:right w:val="single" w:sz="8" w:space="0" w:color="C5C5C5" w:themeColor="accent2" w:themeTint="BF"/>
          <w:insideH w:val="nil"/>
          <w:insideV w:val="nil"/>
        </w:tcBorders>
      </w:tcPr>
    </w:tblStylePr>
    <w:tblStylePr w:type="firstCol">
      <w:rPr>
        <w:b/>
        <w:bCs/>
      </w:rPr>
    </w:tblStylePr>
    <w:tblStylePr w:type="lastCol">
      <w:rPr>
        <w:b/>
        <w:bCs/>
      </w:rPr>
    </w:tblStylePr>
    <w:tblStylePr w:type="band1Vert">
      <w:tblPr/>
      <w:tcPr>
        <w:shd w:val="clear" w:color="auto" w:fill="EBEBEB" w:themeFill="accent2" w:themeFillTint="3F"/>
      </w:tcPr>
    </w:tblStylePr>
    <w:tblStylePr w:type="band1Horz">
      <w:tblPr/>
      <w:tcPr>
        <w:tcBorders>
          <w:insideH w:val="nil"/>
          <w:insideV w:val="nil"/>
        </w:tcBorders>
        <w:shd w:val="clear" w:color="auto" w:fill="EBEBE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0B0B0" w:themeColor="accent3" w:themeTint="BF"/>
        <w:left w:val="single" w:sz="8" w:space="0" w:color="B0B0B0" w:themeColor="accent3" w:themeTint="BF"/>
        <w:bottom w:val="single" w:sz="8" w:space="0" w:color="B0B0B0" w:themeColor="accent3" w:themeTint="BF"/>
        <w:right w:val="single" w:sz="8" w:space="0" w:color="B0B0B0" w:themeColor="accent3" w:themeTint="BF"/>
        <w:insideH w:val="single" w:sz="8" w:space="0" w:color="B0B0B0" w:themeColor="accent3" w:themeTint="BF"/>
      </w:tblBorders>
    </w:tblPr>
    <w:tblStylePr w:type="firstRow">
      <w:pPr>
        <w:spacing w:before="0" w:after="0" w:line="240" w:lineRule="auto"/>
      </w:pPr>
      <w:rPr>
        <w:b/>
        <w:bCs/>
        <w:color w:val="FFFFFF" w:themeColor="background1"/>
      </w:rPr>
      <w:tblPr/>
      <w:tcPr>
        <w:tcBorders>
          <w:top w:val="single" w:sz="8" w:space="0" w:color="B0B0B0" w:themeColor="accent3" w:themeTint="BF"/>
          <w:left w:val="single" w:sz="8" w:space="0" w:color="B0B0B0" w:themeColor="accent3" w:themeTint="BF"/>
          <w:bottom w:val="single" w:sz="8" w:space="0" w:color="B0B0B0" w:themeColor="accent3" w:themeTint="BF"/>
          <w:right w:val="single" w:sz="8" w:space="0" w:color="B0B0B0" w:themeColor="accent3" w:themeTint="BF"/>
          <w:insideH w:val="nil"/>
          <w:insideV w:val="nil"/>
        </w:tcBorders>
        <w:shd w:val="clear" w:color="auto" w:fill="969696" w:themeFill="accent3"/>
      </w:tcPr>
    </w:tblStylePr>
    <w:tblStylePr w:type="lastRow">
      <w:pPr>
        <w:spacing w:before="0" w:after="0" w:line="240" w:lineRule="auto"/>
      </w:pPr>
      <w:rPr>
        <w:b/>
        <w:bCs/>
      </w:rPr>
      <w:tblPr/>
      <w:tcPr>
        <w:tcBorders>
          <w:top w:val="double" w:sz="6" w:space="0" w:color="B0B0B0" w:themeColor="accent3" w:themeTint="BF"/>
          <w:left w:val="single" w:sz="8" w:space="0" w:color="B0B0B0" w:themeColor="accent3" w:themeTint="BF"/>
          <w:bottom w:val="single" w:sz="8" w:space="0" w:color="B0B0B0" w:themeColor="accent3" w:themeTint="BF"/>
          <w:right w:val="single" w:sz="8" w:space="0" w:color="B0B0B0" w:themeColor="accent3"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3" w:themeFillTint="3F"/>
      </w:tcPr>
    </w:tblStylePr>
    <w:tblStylePr w:type="band1Horz">
      <w:tblPr/>
      <w:tcPr>
        <w:tcBorders>
          <w:insideH w:val="nil"/>
          <w:insideV w:val="nil"/>
        </w:tcBorders>
        <w:shd w:val="clear" w:color="auto" w:fill="E5E5E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9F9F" w:themeColor="accent4" w:themeTint="BF"/>
        <w:left w:val="single" w:sz="8" w:space="0" w:color="9F9F9F" w:themeColor="accent4" w:themeTint="BF"/>
        <w:bottom w:val="single" w:sz="8" w:space="0" w:color="9F9F9F" w:themeColor="accent4" w:themeTint="BF"/>
        <w:right w:val="single" w:sz="8" w:space="0" w:color="9F9F9F" w:themeColor="accent4" w:themeTint="BF"/>
        <w:insideH w:val="single" w:sz="8" w:space="0" w:color="9F9F9F" w:themeColor="accent4" w:themeTint="BF"/>
      </w:tblBorders>
    </w:tblPr>
    <w:tblStylePr w:type="firstRow">
      <w:pPr>
        <w:spacing w:before="0" w:after="0" w:line="240" w:lineRule="auto"/>
      </w:pPr>
      <w:rPr>
        <w:b/>
        <w:bCs/>
        <w:color w:val="FFFFFF" w:themeColor="background1"/>
      </w:rPr>
      <w:tblPr/>
      <w:tcPr>
        <w:tcBorders>
          <w:top w:val="single" w:sz="8" w:space="0" w:color="9F9F9F" w:themeColor="accent4" w:themeTint="BF"/>
          <w:left w:val="single" w:sz="8" w:space="0" w:color="9F9F9F" w:themeColor="accent4" w:themeTint="BF"/>
          <w:bottom w:val="single" w:sz="8" w:space="0" w:color="9F9F9F" w:themeColor="accent4" w:themeTint="BF"/>
          <w:right w:val="single" w:sz="8" w:space="0" w:color="9F9F9F" w:themeColor="accent4" w:themeTint="BF"/>
          <w:insideH w:val="nil"/>
          <w:insideV w:val="nil"/>
        </w:tcBorders>
        <w:shd w:val="clear" w:color="auto" w:fill="808080" w:themeFill="accent4"/>
      </w:tcPr>
    </w:tblStylePr>
    <w:tblStylePr w:type="lastRow">
      <w:pPr>
        <w:spacing w:before="0" w:after="0" w:line="240" w:lineRule="auto"/>
      </w:pPr>
      <w:rPr>
        <w:b/>
        <w:bCs/>
      </w:rPr>
      <w:tblPr/>
      <w:tcPr>
        <w:tcBorders>
          <w:top w:val="double" w:sz="6" w:space="0" w:color="9F9F9F" w:themeColor="accent4" w:themeTint="BF"/>
          <w:left w:val="single" w:sz="8" w:space="0" w:color="9F9F9F" w:themeColor="accent4" w:themeTint="BF"/>
          <w:bottom w:val="single" w:sz="8" w:space="0" w:color="9F9F9F" w:themeColor="accent4" w:themeTint="BF"/>
          <w:right w:val="single" w:sz="8" w:space="0" w:color="9F9F9F"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FDF" w:themeFill="accent4" w:themeFillTint="3F"/>
      </w:tcPr>
    </w:tblStylePr>
    <w:tblStylePr w:type="band1Horz">
      <w:tblPr/>
      <w:tcPr>
        <w:tcBorders>
          <w:insideH w:val="nil"/>
          <w:insideV w:val="nil"/>
        </w:tcBorders>
        <w:shd w:val="clear" w:color="auto" w:fill="DFDFDF"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DDDD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DDDDDD" w:themeFill="accent1"/>
      </w:tcPr>
    </w:tblStylePr>
    <w:tblStylePr w:type="lastCol">
      <w:rPr>
        <w:b/>
        <w:bCs/>
        <w:color w:val="FFFFFF" w:themeColor="background1"/>
      </w:rPr>
      <w:tblPr/>
      <w:tcPr>
        <w:tcBorders>
          <w:left w:val="nil"/>
          <w:right w:val="nil"/>
          <w:insideH w:val="nil"/>
          <w:insideV w:val="nil"/>
        </w:tcBorders>
        <w:shd w:val="clear" w:color="auto" w:fill="DDDDD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2B2B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2B2B2" w:themeFill="accent2"/>
      </w:tcPr>
    </w:tblStylePr>
    <w:tblStylePr w:type="lastCol">
      <w:rPr>
        <w:b/>
        <w:bCs/>
        <w:color w:val="FFFFFF" w:themeColor="background1"/>
      </w:rPr>
      <w:tblPr/>
      <w:tcPr>
        <w:tcBorders>
          <w:left w:val="nil"/>
          <w:right w:val="nil"/>
          <w:insideH w:val="nil"/>
          <w:insideV w:val="nil"/>
        </w:tcBorders>
        <w:shd w:val="clear" w:color="auto" w:fill="B2B2B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3"/>
      </w:tcPr>
    </w:tblStylePr>
    <w:tblStylePr w:type="lastCol">
      <w:rPr>
        <w:b/>
        <w:bCs/>
        <w:color w:val="FFFFFF" w:themeColor="background1"/>
      </w:rPr>
      <w:tblPr/>
      <w:tcPr>
        <w:tcBorders>
          <w:left w:val="nil"/>
          <w:right w:val="nil"/>
          <w:insideH w:val="nil"/>
          <w:insideV w:val="nil"/>
        </w:tcBorders>
        <w:shd w:val="clear" w:color="auto" w:fill="969696"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808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8080" w:themeFill="accent4"/>
      </w:tcPr>
    </w:tblStylePr>
    <w:tblStylePr w:type="lastCol">
      <w:rPr>
        <w:b/>
        <w:bCs/>
        <w:color w:val="FFFFFF" w:themeColor="background1"/>
      </w:rPr>
      <w:tblPr/>
      <w:tcPr>
        <w:tcBorders>
          <w:left w:val="nil"/>
          <w:right w:val="nil"/>
          <w:insideH w:val="nil"/>
          <w:insideV w:val="nil"/>
        </w:tcBorders>
        <w:shd w:val="clear" w:color="auto" w:fill="80808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DDDDDD" w:themeColor="accent1"/>
        <w:bottom w:val="single" w:sz="8" w:space="0" w:color="DDDDDD" w:themeColor="accent1"/>
      </w:tblBorders>
    </w:tblPr>
    <w:tblStylePr w:type="firstRow">
      <w:rPr>
        <w:rFonts w:asciiTheme="majorHAnsi" w:eastAsiaTheme="majorEastAsia" w:hAnsiTheme="majorHAnsi" w:cstheme="majorBidi"/>
      </w:rPr>
      <w:tblPr/>
      <w:tcPr>
        <w:tcBorders>
          <w:top w:val="nil"/>
          <w:bottom w:val="single" w:sz="8" w:space="0" w:color="DDDDDD" w:themeColor="accent1"/>
        </w:tcBorders>
      </w:tcPr>
    </w:tblStylePr>
    <w:tblStylePr w:type="lastRow">
      <w:rPr>
        <w:b/>
        <w:bCs/>
        <w:color w:val="000000" w:themeColor="text2"/>
      </w:rPr>
      <w:tblPr/>
      <w:tcPr>
        <w:tcBorders>
          <w:top w:val="single" w:sz="8" w:space="0" w:color="DDDDDD" w:themeColor="accent1"/>
          <w:bottom w:val="single" w:sz="8" w:space="0" w:color="DDDDDD" w:themeColor="accent1"/>
        </w:tcBorders>
      </w:tcPr>
    </w:tblStylePr>
    <w:tblStylePr w:type="firstCol">
      <w:rPr>
        <w:b/>
        <w:bCs/>
      </w:rPr>
    </w:tblStylePr>
    <w:tblStylePr w:type="lastCol">
      <w:rPr>
        <w:b/>
        <w:bCs/>
      </w:rPr>
      <w:tblPr/>
      <w:tcPr>
        <w:tcBorders>
          <w:top w:val="single" w:sz="8" w:space="0" w:color="DDDDDD" w:themeColor="accent1"/>
          <w:bottom w:val="single" w:sz="8" w:space="0" w:color="DDDDDD" w:themeColor="accent1"/>
        </w:tcBorders>
      </w:tcPr>
    </w:tblStylePr>
    <w:tblStylePr w:type="band1Vert">
      <w:tblPr/>
      <w:tcPr>
        <w:shd w:val="clear" w:color="auto" w:fill="F6F6F6" w:themeFill="accent1" w:themeFillTint="3F"/>
      </w:tcPr>
    </w:tblStylePr>
    <w:tblStylePr w:type="band1Horz">
      <w:tblPr/>
      <w:tcPr>
        <w:shd w:val="clear" w:color="auto" w:fill="F6F6F6"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B2B2B2" w:themeColor="accent2"/>
        <w:bottom w:val="single" w:sz="8" w:space="0" w:color="B2B2B2" w:themeColor="accent2"/>
      </w:tblBorders>
    </w:tblPr>
    <w:tblStylePr w:type="firstRow">
      <w:rPr>
        <w:rFonts w:asciiTheme="majorHAnsi" w:eastAsiaTheme="majorEastAsia" w:hAnsiTheme="majorHAnsi" w:cstheme="majorBidi"/>
      </w:rPr>
      <w:tblPr/>
      <w:tcPr>
        <w:tcBorders>
          <w:top w:val="nil"/>
          <w:bottom w:val="single" w:sz="8" w:space="0" w:color="B2B2B2" w:themeColor="accent2"/>
        </w:tcBorders>
      </w:tcPr>
    </w:tblStylePr>
    <w:tblStylePr w:type="lastRow">
      <w:rPr>
        <w:b/>
        <w:bCs/>
        <w:color w:val="000000" w:themeColor="text2"/>
      </w:rPr>
      <w:tblPr/>
      <w:tcPr>
        <w:tcBorders>
          <w:top w:val="single" w:sz="8" w:space="0" w:color="B2B2B2" w:themeColor="accent2"/>
          <w:bottom w:val="single" w:sz="8" w:space="0" w:color="B2B2B2" w:themeColor="accent2"/>
        </w:tcBorders>
      </w:tcPr>
    </w:tblStylePr>
    <w:tblStylePr w:type="firstCol">
      <w:rPr>
        <w:b/>
        <w:bCs/>
      </w:rPr>
    </w:tblStylePr>
    <w:tblStylePr w:type="lastCol">
      <w:rPr>
        <w:b/>
        <w:bCs/>
      </w:rPr>
      <w:tblPr/>
      <w:tcPr>
        <w:tcBorders>
          <w:top w:val="single" w:sz="8" w:space="0" w:color="B2B2B2" w:themeColor="accent2"/>
          <w:bottom w:val="single" w:sz="8" w:space="0" w:color="B2B2B2" w:themeColor="accent2"/>
        </w:tcBorders>
      </w:tcPr>
    </w:tblStylePr>
    <w:tblStylePr w:type="band1Vert">
      <w:tblPr/>
      <w:tcPr>
        <w:shd w:val="clear" w:color="auto" w:fill="EBEBEB" w:themeFill="accent2" w:themeFillTint="3F"/>
      </w:tcPr>
    </w:tblStylePr>
    <w:tblStylePr w:type="band1Horz">
      <w:tblPr/>
      <w:tcPr>
        <w:shd w:val="clear" w:color="auto" w:fill="EBEBEB"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69696" w:themeColor="accent3"/>
        <w:bottom w:val="single" w:sz="8" w:space="0" w:color="969696" w:themeColor="accent3"/>
      </w:tblBorders>
    </w:tblPr>
    <w:tblStylePr w:type="firstRow">
      <w:rPr>
        <w:rFonts w:asciiTheme="majorHAnsi" w:eastAsiaTheme="majorEastAsia" w:hAnsiTheme="majorHAnsi" w:cstheme="majorBidi"/>
      </w:rPr>
      <w:tblPr/>
      <w:tcPr>
        <w:tcBorders>
          <w:top w:val="nil"/>
          <w:bottom w:val="single" w:sz="8" w:space="0" w:color="969696" w:themeColor="accent3"/>
        </w:tcBorders>
      </w:tcPr>
    </w:tblStylePr>
    <w:tblStylePr w:type="lastRow">
      <w:rPr>
        <w:b/>
        <w:bCs/>
        <w:color w:val="000000" w:themeColor="text2"/>
      </w:rPr>
      <w:tblPr/>
      <w:tcPr>
        <w:tcBorders>
          <w:top w:val="single" w:sz="8" w:space="0" w:color="969696" w:themeColor="accent3"/>
          <w:bottom w:val="single" w:sz="8" w:space="0" w:color="969696" w:themeColor="accent3"/>
        </w:tcBorders>
      </w:tcPr>
    </w:tblStylePr>
    <w:tblStylePr w:type="firstCol">
      <w:rPr>
        <w:b/>
        <w:bCs/>
      </w:rPr>
    </w:tblStylePr>
    <w:tblStylePr w:type="lastCol">
      <w:rPr>
        <w:b/>
        <w:bCs/>
      </w:rPr>
      <w:tblPr/>
      <w:tcPr>
        <w:tcBorders>
          <w:top w:val="single" w:sz="8" w:space="0" w:color="969696" w:themeColor="accent3"/>
          <w:bottom w:val="single" w:sz="8" w:space="0" w:color="969696" w:themeColor="accent3"/>
        </w:tcBorders>
      </w:tcPr>
    </w:tblStylePr>
    <w:tblStylePr w:type="band1Vert">
      <w:tblPr/>
      <w:tcPr>
        <w:shd w:val="clear" w:color="auto" w:fill="E5E5E5" w:themeFill="accent3" w:themeFillTint="3F"/>
      </w:tcPr>
    </w:tblStylePr>
    <w:tblStylePr w:type="band1Horz">
      <w:tblPr/>
      <w:tcPr>
        <w:shd w:val="clear" w:color="auto" w:fill="E5E5E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8080" w:themeColor="accent4"/>
        <w:bottom w:val="single" w:sz="8" w:space="0" w:color="808080" w:themeColor="accent4"/>
      </w:tblBorders>
    </w:tblPr>
    <w:tblStylePr w:type="firstRow">
      <w:rPr>
        <w:rFonts w:asciiTheme="majorHAnsi" w:eastAsiaTheme="majorEastAsia" w:hAnsiTheme="majorHAnsi" w:cstheme="majorBidi"/>
      </w:rPr>
      <w:tblPr/>
      <w:tcPr>
        <w:tcBorders>
          <w:top w:val="nil"/>
          <w:bottom w:val="single" w:sz="8" w:space="0" w:color="808080" w:themeColor="accent4"/>
        </w:tcBorders>
      </w:tcPr>
    </w:tblStylePr>
    <w:tblStylePr w:type="lastRow">
      <w:rPr>
        <w:b/>
        <w:bCs/>
        <w:color w:val="000000" w:themeColor="text2"/>
      </w:rPr>
      <w:tblPr/>
      <w:tcPr>
        <w:tcBorders>
          <w:top w:val="single" w:sz="8" w:space="0" w:color="808080" w:themeColor="accent4"/>
          <w:bottom w:val="single" w:sz="8" w:space="0" w:color="808080" w:themeColor="accent4"/>
        </w:tcBorders>
      </w:tcPr>
    </w:tblStylePr>
    <w:tblStylePr w:type="firstCol">
      <w:rPr>
        <w:b/>
        <w:bCs/>
      </w:rPr>
    </w:tblStylePr>
    <w:tblStylePr w:type="lastCol">
      <w:rPr>
        <w:b/>
        <w:bCs/>
      </w:rPr>
      <w:tblPr/>
      <w:tcPr>
        <w:tcBorders>
          <w:top w:val="single" w:sz="8" w:space="0" w:color="808080" w:themeColor="accent4"/>
          <w:bottom w:val="single" w:sz="8" w:space="0" w:color="808080" w:themeColor="accent4"/>
        </w:tcBorders>
      </w:tcPr>
    </w:tblStylePr>
    <w:tblStylePr w:type="band1Vert">
      <w:tblPr/>
      <w:tcPr>
        <w:shd w:val="clear" w:color="auto" w:fill="DFDFDF" w:themeFill="accent4" w:themeFillTint="3F"/>
      </w:tcPr>
    </w:tblStylePr>
    <w:tblStylePr w:type="band1Horz">
      <w:tblPr/>
      <w:tcPr>
        <w:shd w:val="clear" w:color="auto" w:fill="DFDFDF"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00000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00000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DDDDD" w:themeColor="accent1"/>
        <w:left w:val="single" w:sz="8" w:space="0" w:color="DDDDDD" w:themeColor="accent1"/>
        <w:bottom w:val="single" w:sz="8" w:space="0" w:color="DDDDDD" w:themeColor="accent1"/>
        <w:right w:val="single" w:sz="8" w:space="0" w:color="DDDDDD" w:themeColor="accent1"/>
      </w:tblBorders>
    </w:tblPr>
    <w:tblStylePr w:type="firstRow">
      <w:rPr>
        <w:sz w:val="24"/>
        <w:szCs w:val="24"/>
      </w:rPr>
      <w:tblPr/>
      <w:tcPr>
        <w:tcBorders>
          <w:top w:val="nil"/>
          <w:left w:val="nil"/>
          <w:bottom w:val="single" w:sz="24" w:space="0" w:color="DDDDDD" w:themeColor="accent1"/>
          <w:right w:val="nil"/>
          <w:insideH w:val="nil"/>
          <w:insideV w:val="nil"/>
        </w:tcBorders>
        <w:shd w:val="clear" w:color="auto" w:fill="FFFFFF" w:themeFill="background1"/>
      </w:tcPr>
    </w:tblStylePr>
    <w:tblStylePr w:type="lastRow">
      <w:tblPr/>
      <w:tcPr>
        <w:tcBorders>
          <w:top w:val="single" w:sz="8" w:space="0" w:color="DDDDD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DDDDD" w:themeColor="accent1"/>
          <w:insideH w:val="nil"/>
          <w:insideV w:val="nil"/>
        </w:tcBorders>
        <w:shd w:val="clear" w:color="auto" w:fill="FFFFFF" w:themeFill="background1"/>
      </w:tcPr>
    </w:tblStylePr>
    <w:tblStylePr w:type="lastCol">
      <w:tblPr/>
      <w:tcPr>
        <w:tcBorders>
          <w:top w:val="nil"/>
          <w:left w:val="single" w:sz="8" w:space="0" w:color="DDDDD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F6F6" w:themeFill="accent1" w:themeFillTint="3F"/>
      </w:tcPr>
    </w:tblStylePr>
    <w:tblStylePr w:type="band1Horz">
      <w:tblPr/>
      <w:tcPr>
        <w:tcBorders>
          <w:top w:val="nil"/>
          <w:bottom w:val="nil"/>
          <w:insideH w:val="nil"/>
          <w:insideV w:val="nil"/>
        </w:tcBorders>
        <w:shd w:val="clear" w:color="auto" w:fill="F6F6F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B2B2B2" w:themeColor="accent2"/>
        <w:left w:val="single" w:sz="8" w:space="0" w:color="B2B2B2" w:themeColor="accent2"/>
        <w:bottom w:val="single" w:sz="8" w:space="0" w:color="B2B2B2" w:themeColor="accent2"/>
        <w:right w:val="single" w:sz="8" w:space="0" w:color="B2B2B2" w:themeColor="accent2"/>
      </w:tblBorders>
    </w:tblPr>
    <w:tblStylePr w:type="firstRow">
      <w:rPr>
        <w:sz w:val="24"/>
        <w:szCs w:val="24"/>
      </w:rPr>
      <w:tblPr/>
      <w:tcPr>
        <w:tcBorders>
          <w:top w:val="nil"/>
          <w:left w:val="nil"/>
          <w:bottom w:val="single" w:sz="24" w:space="0" w:color="B2B2B2" w:themeColor="accent2"/>
          <w:right w:val="nil"/>
          <w:insideH w:val="nil"/>
          <w:insideV w:val="nil"/>
        </w:tcBorders>
        <w:shd w:val="clear" w:color="auto" w:fill="FFFFFF" w:themeFill="background1"/>
      </w:tcPr>
    </w:tblStylePr>
    <w:tblStylePr w:type="lastRow">
      <w:tblPr/>
      <w:tcPr>
        <w:tcBorders>
          <w:top w:val="single" w:sz="8" w:space="0" w:color="B2B2B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2B2B2" w:themeColor="accent2"/>
          <w:insideH w:val="nil"/>
          <w:insideV w:val="nil"/>
        </w:tcBorders>
        <w:shd w:val="clear" w:color="auto" w:fill="FFFFFF" w:themeFill="background1"/>
      </w:tcPr>
    </w:tblStylePr>
    <w:tblStylePr w:type="lastCol">
      <w:tblPr/>
      <w:tcPr>
        <w:tcBorders>
          <w:top w:val="nil"/>
          <w:left w:val="single" w:sz="8" w:space="0" w:color="B2B2B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BEBEB" w:themeFill="accent2" w:themeFillTint="3F"/>
      </w:tcPr>
    </w:tblStylePr>
    <w:tblStylePr w:type="band1Horz">
      <w:tblPr/>
      <w:tcPr>
        <w:tcBorders>
          <w:top w:val="nil"/>
          <w:bottom w:val="nil"/>
          <w:insideH w:val="nil"/>
          <w:insideV w:val="nil"/>
        </w:tcBorders>
        <w:shd w:val="clear" w:color="auto" w:fill="EBEBE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69696" w:themeColor="accent3"/>
        <w:left w:val="single" w:sz="8" w:space="0" w:color="969696" w:themeColor="accent3"/>
        <w:bottom w:val="single" w:sz="8" w:space="0" w:color="969696" w:themeColor="accent3"/>
        <w:right w:val="single" w:sz="8" w:space="0" w:color="969696" w:themeColor="accent3"/>
      </w:tblBorders>
    </w:tblPr>
    <w:tblStylePr w:type="firstRow">
      <w:rPr>
        <w:sz w:val="24"/>
        <w:szCs w:val="24"/>
      </w:rPr>
      <w:tblPr/>
      <w:tcPr>
        <w:tcBorders>
          <w:top w:val="nil"/>
          <w:left w:val="nil"/>
          <w:bottom w:val="single" w:sz="24" w:space="0" w:color="969696" w:themeColor="accent3"/>
          <w:right w:val="nil"/>
          <w:insideH w:val="nil"/>
          <w:insideV w:val="nil"/>
        </w:tcBorders>
        <w:shd w:val="clear" w:color="auto" w:fill="FFFFFF" w:themeFill="background1"/>
      </w:tcPr>
    </w:tblStylePr>
    <w:tblStylePr w:type="lastRow">
      <w:tblPr/>
      <w:tcPr>
        <w:tcBorders>
          <w:top w:val="single" w:sz="8" w:space="0" w:color="969696"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3"/>
          <w:insideH w:val="nil"/>
          <w:insideV w:val="nil"/>
        </w:tcBorders>
        <w:shd w:val="clear" w:color="auto" w:fill="FFFFFF" w:themeFill="background1"/>
      </w:tcPr>
    </w:tblStylePr>
    <w:tblStylePr w:type="lastCol">
      <w:tblPr/>
      <w:tcPr>
        <w:tcBorders>
          <w:top w:val="nil"/>
          <w:left w:val="single" w:sz="8" w:space="0" w:color="969696"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3" w:themeFillTint="3F"/>
      </w:tcPr>
    </w:tblStylePr>
    <w:tblStylePr w:type="band1Horz">
      <w:tblPr/>
      <w:tcPr>
        <w:tcBorders>
          <w:top w:val="nil"/>
          <w:bottom w:val="nil"/>
          <w:insideH w:val="nil"/>
          <w:insideV w:val="nil"/>
        </w:tcBorders>
        <w:shd w:val="clear" w:color="auto" w:fill="E5E5E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8080" w:themeColor="accent4"/>
        <w:left w:val="single" w:sz="8" w:space="0" w:color="808080" w:themeColor="accent4"/>
        <w:bottom w:val="single" w:sz="8" w:space="0" w:color="808080" w:themeColor="accent4"/>
        <w:right w:val="single" w:sz="8" w:space="0" w:color="808080" w:themeColor="accent4"/>
      </w:tblBorders>
    </w:tblPr>
    <w:tblStylePr w:type="firstRow">
      <w:rPr>
        <w:sz w:val="24"/>
        <w:szCs w:val="24"/>
      </w:rPr>
      <w:tblPr/>
      <w:tcPr>
        <w:tcBorders>
          <w:top w:val="nil"/>
          <w:left w:val="nil"/>
          <w:bottom w:val="single" w:sz="24" w:space="0" w:color="808080" w:themeColor="accent4"/>
          <w:right w:val="nil"/>
          <w:insideH w:val="nil"/>
          <w:insideV w:val="nil"/>
        </w:tcBorders>
        <w:shd w:val="clear" w:color="auto" w:fill="FFFFFF" w:themeFill="background1"/>
      </w:tcPr>
    </w:tblStylePr>
    <w:tblStylePr w:type="lastRow">
      <w:tblPr/>
      <w:tcPr>
        <w:tcBorders>
          <w:top w:val="single" w:sz="8" w:space="0" w:color="80808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8080" w:themeColor="accent4"/>
          <w:insideH w:val="nil"/>
          <w:insideV w:val="nil"/>
        </w:tcBorders>
        <w:shd w:val="clear" w:color="auto" w:fill="FFFFFF" w:themeFill="background1"/>
      </w:tcPr>
    </w:tblStylePr>
    <w:tblStylePr w:type="lastCol">
      <w:tblPr/>
      <w:tcPr>
        <w:tcBorders>
          <w:top w:val="nil"/>
          <w:left w:val="single" w:sz="8" w:space="0" w:color="80808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FDF" w:themeFill="accent4" w:themeFillTint="3F"/>
      </w:tcPr>
    </w:tblStylePr>
    <w:tblStylePr w:type="band1Horz">
      <w:tblPr/>
      <w:tcPr>
        <w:tcBorders>
          <w:top w:val="nil"/>
          <w:bottom w:val="nil"/>
          <w:insideH w:val="nil"/>
          <w:insideV w:val="nil"/>
        </w:tcBorders>
        <w:shd w:val="clear" w:color="auto" w:fill="DFDFDF"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E5E5E5" w:themeColor="accent1" w:themeTint="BF"/>
        <w:left w:val="single" w:sz="8" w:space="0" w:color="E5E5E5" w:themeColor="accent1" w:themeTint="BF"/>
        <w:bottom w:val="single" w:sz="8" w:space="0" w:color="E5E5E5" w:themeColor="accent1" w:themeTint="BF"/>
        <w:right w:val="single" w:sz="8" w:space="0" w:color="E5E5E5" w:themeColor="accent1" w:themeTint="BF"/>
        <w:insideH w:val="single" w:sz="8" w:space="0" w:color="E5E5E5" w:themeColor="accent1" w:themeTint="BF"/>
        <w:insideV w:val="single" w:sz="8" w:space="0" w:color="E5E5E5" w:themeColor="accent1" w:themeTint="BF"/>
      </w:tblBorders>
    </w:tblPr>
    <w:tcPr>
      <w:shd w:val="clear" w:color="auto" w:fill="F6F6F6" w:themeFill="accent1" w:themeFillTint="3F"/>
    </w:tcPr>
    <w:tblStylePr w:type="firstRow">
      <w:rPr>
        <w:b/>
        <w:bCs/>
      </w:rPr>
    </w:tblStylePr>
    <w:tblStylePr w:type="lastRow">
      <w:rPr>
        <w:b/>
        <w:bCs/>
      </w:rPr>
      <w:tblPr/>
      <w:tcPr>
        <w:tcBorders>
          <w:top w:val="single" w:sz="18" w:space="0" w:color="E5E5E5" w:themeColor="accent1" w:themeTint="BF"/>
        </w:tcBorders>
      </w:tcPr>
    </w:tblStylePr>
    <w:tblStylePr w:type="firstCol">
      <w:rPr>
        <w:b/>
        <w:bCs/>
      </w:rPr>
    </w:tblStylePr>
    <w:tblStylePr w:type="lastCol">
      <w:rPr>
        <w:b/>
        <w:bCs/>
      </w:rPr>
    </w:tblStylePr>
    <w:tblStylePr w:type="band1Vert">
      <w:tblPr/>
      <w:tcPr>
        <w:shd w:val="clear" w:color="auto" w:fill="EEEEEE" w:themeFill="accent1" w:themeFillTint="7F"/>
      </w:tcPr>
    </w:tblStylePr>
    <w:tblStylePr w:type="band1Horz">
      <w:tblPr/>
      <w:tcPr>
        <w:shd w:val="clear" w:color="auto" w:fill="EEEEE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5C5C5" w:themeColor="accent2" w:themeTint="BF"/>
        <w:left w:val="single" w:sz="8" w:space="0" w:color="C5C5C5" w:themeColor="accent2" w:themeTint="BF"/>
        <w:bottom w:val="single" w:sz="8" w:space="0" w:color="C5C5C5" w:themeColor="accent2" w:themeTint="BF"/>
        <w:right w:val="single" w:sz="8" w:space="0" w:color="C5C5C5" w:themeColor="accent2" w:themeTint="BF"/>
        <w:insideH w:val="single" w:sz="8" w:space="0" w:color="C5C5C5" w:themeColor="accent2" w:themeTint="BF"/>
        <w:insideV w:val="single" w:sz="8" w:space="0" w:color="C5C5C5" w:themeColor="accent2" w:themeTint="BF"/>
      </w:tblBorders>
    </w:tblPr>
    <w:tcPr>
      <w:shd w:val="clear" w:color="auto" w:fill="EBEBEB" w:themeFill="accent2" w:themeFillTint="3F"/>
    </w:tcPr>
    <w:tblStylePr w:type="firstRow">
      <w:rPr>
        <w:b/>
        <w:bCs/>
      </w:rPr>
    </w:tblStylePr>
    <w:tblStylePr w:type="lastRow">
      <w:rPr>
        <w:b/>
        <w:bCs/>
      </w:rPr>
      <w:tblPr/>
      <w:tcPr>
        <w:tcBorders>
          <w:top w:val="single" w:sz="18" w:space="0" w:color="C5C5C5" w:themeColor="accent2" w:themeTint="BF"/>
        </w:tcBorders>
      </w:tcPr>
    </w:tblStylePr>
    <w:tblStylePr w:type="firstCol">
      <w:rPr>
        <w:b/>
        <w:bCs/>
      </w:rPr>
    </w:tblStylePr>
    <w:tblStylePr w:type="lastCol">
      <w:rPr>
        <w:b/>
        <w:bCs/>
      </w:rPr>
    </w:tblStylePr>
    <w:tblStylePr w:type="band1Vert">
      <w:tblPr/>
      <w:tcPr>
        <w:shd w:val="clear" w:color="auto" w:fill="D8D8D8" w:themeFill="accent2" w:themeFillTint="7F"/>
      </w:tcPr>
    </w:tblStylePr>
    <w:tblStylePr w:type="band1Horz">
      <w:tblPr/>
      <w:tcPr>
        <w:shd w:val="clear" w:color="auto" w:fill="D8D8D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0B0B0" w:themeColor="accent3" w:themeTint="BF"/>
        <w:left w:val="single" w:sz="8" w:space="0" w:color="B0B0B0" w:themeColor="accent3" w:themeTint="BF"/>
        <w:bottom w:val="single" w:sz="8" w:space="0" w:color="B0B0B0" w:themeColor="accent3" w:themeTint="BF"/>
        <w:right w:val="single" w:sz="8" w:space="0" w:color="B0B0B0" w:themeColor="accent3" w:themeTint="BF"/>
        <w:insideH w:val="single" w:sz="8" w:space="0" w:color="B0B0B0" w:themeColor="accent3" w:themeTint="BF"/>
        <w:insideV w:val="single" w:sz="8" w:space="0" w:color="B0B0B0" w:themeColor="accent3" w:themeTint="BF"/>
      </w:tblBorders>
    </w:tblPr>
    <w:tcPr>
      <w:shd w:val="clear" w:color="auto" w:fill="E5E5E5" w:themeFill="accent3" w:themeFillTint="3F"/>
    </w:tcPr>
    <w:tblStylePr w:type="firstRow">
      <w:rPr>
        <w:b/>
        <w:bCs/>
      </w:rPr>
    </w:tblStylePr>
    <w:tblStylePr w:type="lastRow">
      <w:rPr>
        <w:b/>
        <w:bCs/>
      </w:rPr>
      <w:tblPr/>
      <w:tcPr>
        <w:tcBorders>
          <w:top w:val="single" w:sz="18" w:space="0" w:color="B0B0B0" w:themeColor="accent3" w:themeTint="BF"/>
        </w:tcBorders>
      </w:tcPr>
    </w:tblStylePr>
    <w:tblStylePr w:type="firstCol">
      <w:rPr>
        <w:b/>
        <w:bCs/>
      </w:rPr>
    </w:tblStylePr>
    <w:tblStylePr w:type="lastCol">
      <w:rPr>
        <w:b/>
        <w:bCs/>
      </w:rPr>
    </w:tblStylePr>
    <w:tblStylePr w:type="band1Vert">
      <w:tblPr/>
      <w:tcPr>
        <w:shd w:val="clear" w:color="auto" w:fill="CACACA" w:themeFill="accent3" w:themeFillTint="7F"/>
      </w:tcPr>
    </w:tblStylePr>
    <w:tblStylePr w:type="band1Horz">
      <w:tblPr/>
      <w:tcPr>
        <w:shd w:val="clear" w:color="auto" w:fill="CACACA"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9F9F" w:themeColor="accent4" w:themeTint="BF"/>
        <w:left w:val="single" w:sz="8" w:space="0" w:color="9F9F9F" w:themeColor="accent4" w:themeTint="BF"/>
        <w:bottom w:val="single" w:sz="8" w:space="0" w:color="9F9F9F" w:themeColor="accent4" w:themeTint="BF"/>
        <w:right w:val="single" w:sz="8" w:space="0" w:color="9F9F9F" w:themeColor="accent4" w:themeTint="BF"/>
        <w:insideH w:val="single" w:sz="8" w:space="0" w:color="9F9F9F" w:themeColor="accent4" w:themeTint="BF"/>
        <w:insideV w:val="single" w:sz="8" w:space="0" w:color="9F9F9F" w:themeColor="accent4" w:themeTint="BF"/>
      </w:tblBorders>
    </w:tblPr>
    <w:tcPr>
      <w:shd w:val="clear" w:color="auto" w:fill="DFDFDF" w:themeFill="accent4" w:themeFillTint="3F"/>
    </w:tcPr>
    <w:tblStylePr w:type="firstRow">
      <w:rPr>
        <w:b/>
        <w:bCs/>
      </w:rPr>
    </w:tblStylePr>
    <w:tblStylePr w:type="lastRow">
      <w:rPr>
        <w:b/>
        <w:bCs/>
      </w:rPr>
      <w:tblPr/>
      <w:tcPr>
        <w:tcBorders>
          <w:top w:val="single" w:sz="18" w:space="0" w:color="9F9F9F" w:themeColor="accent4" w:themeTint="BF"/>
        </w:tcBorders>
      </w:tcPr>
    </w:tblStylePr>
    <w:tblStylePr w:type="firstCol">
      <w:rPr>
        <w:b/>
        <w:bCs/>
      </w:rPr>
    </w:tblStylePr>
    <w:tblStylePr w:type="lastCol">
      <w:rPr>
        <w:b/>
        <w:bCs/>
      </w:rPr>
    </w:tblStylePr>
    <w:tblStylePr w:type="band1Vert">
      <w:tblPr/>
      <w:tcPr>
        <w:shd w:val="clear" w:color="auto" w:fill="BFBFBF" w:themeFill="accent4" w:themeFillTint="7F"/>
      </w:tcPr>
    </w:tblStylePr>
    <w:tblStylePr w:type="band1Horz">
      <w:tblPr/>
      <w:tcPr>
        <w:shd w:val="clear" w:color="auto" w:fill="BFBFBF"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DDDDD" w:themeColor="accent1"/>
        <w:left w:val="single" w:sz="8" w:space="0" w:color="DDDDDD" w:themeColor="accent1"/>
        <w:bottom w:val="single" w:sz="8" w:space="0" w:color="DDDDDD" w:themeColor="accent1"/>
        <w:right w:val="single" w:sz="8" w:space="0" w:color="DDDDDD" w:themeColor="accent1"/>
        <w:insideH w:val="single" w:sz="8" w:space="0" w:color="DDDDDD" w:themeColor="accent1"/>
        <w:insideV w:val="single" w:sz="8" w:space="0" w:color="DDDDDD" w:themeColor="accent1"/>
      </w:tblBorders>
    </w:tblPr>
    <w:tcPr>
      <w:shd w:val="clear" w:color="auto" w:fill="F6F6F6" w:themeFill="accent1" w:themeFillTint="3F"/>
    </w:tcPr>
    <w:tblStylePr w:type="firstRow">
      <w:rPr>
        <w:b/>
        <w:bCs/>
        <w:color w:val="000000" w:themeColor="text1"/>
      </w:rPr>
      <w:tblPr/>
      <w:tcPr>
        <w:shd w:val="clear" w:color="auto" w:fill="FBFB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8F8" w:themeFill="accent1" w:themeFillTint="33"/>
      </w:tcPr>
    </w:tblStylePr>
    <w:tblStylePr w:type="band1Vert">
      <w:tblPr/>
      <w:tcPr>
        <w:shd w:val="clear" w:color="auto" w:fill="EEEEEE" w:themeFill="accent1" w:themeFillTint="7F"/>
      </w:tcPr>
    </w:tblStylePr>
    <w:tblStylePr w:type="band1Horz">
      <w:tblPr/>
      <w:tcPr>
        <w:tcBorders>
          <w:insideH w:val="single" w:sz="6" w:space="0" w:color="DDDDDD" w:themeColor="accent1"/>
          <w:insideV w:val="single" w:sz="6" w:space="0" w:color="DDDDDD" w:themeColor="accent1"/>
        </w:tcBorders>
        <w:shd w:val="clear" w:color="auto" w:fill="EEEEE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B2B2B2" w:themeColor="accent2"/>
        <w:left w:val="single" w:sz="8" w:space="0" w:color="B2B2B2" w:themeColor="accent2"/>
        <w:bottom w:val="single" w:sz="8" w:space="0" w:color="B2B2B2" w:themeColor="accent2"/>
        <w:right w:val="single" w:sz="8" w:space="0" w:color="B2B2B2" w:themeColor="accent2"/>
        <w:insideH w:val="single" w:sz="8" w:space="0" w:color="B2B2B2" w:themeColor="accent2"/>
        <w:insideV w:val="single" w:sz="8" w:space="0" w:color="B2B2B2" w:themeColor="accent2"/>
      </w:tblBorders>
    </w:tblPr>
    <w:tcPr>
      <w:shd w:val="clear" w:color="auto" w:fill="EBEBEB" w:themeFill="accent2" w:themeFillTint="3F"/>
    </w:tcPr>
    <w:tblStylePr w:type="firstRow">
      <w:rPr>
        <w:b/>
        <w:bCs/>
        <w:color w:val="000000" w:themeColor="text1"/>
      </w:rPr>
      <w:tblPr/>
      <w:tcPr>
        <w:shd w:val="clear" w:color="auto" w:fill="F7F7F7"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FEFEF" w:themeFill="accent2" w:themeFillTint="33"/>
      </w:tcPr>
    </w:tblStylePr>
    <w:tblStylePr w:type="band1Vert">
      <w:tblPr/>
      <w:tcPr>
        <w:shd w:val="clear" w:color="auto" w:fill="D8D8D8" w:themeFill="accent2" w:themeFillTint="7F"/>
      </w:tcPr>
    </w:tblStylePr>
    <w:tblStylePr w:type="band1Horz">
      <w:tblPr/>
      <w:tcPr>
        <w:tcBorders>
          <w:insideH w:val="single" w:sz="6" w:space="0" w:color="B2B2B2" w:themeColor="accent2"/>
          <w:insideV w:val="single" w:sz="6" w:space="0" w:color="B2B2B2" w:themeColor="accent2"/>
        </w:tcBorders>
        <w:shd w:val="clear" w:color="auto" w:fill="D8D8D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69696" w:themeColor="accent3"/>
        <w:left w:val="single" w:sz="8" w:space="0" w:color="969696" w:themeColor="accent3"/>
        <w:bottom w:val="single" w:sz="8" w:space="0" w:color="969696" w:themeColor="accent3"/>
        <w:right w:val="single" w:sz="8" w:space="0" w:color="969696" w:themeColor="accent3"/>
        <w:insideH w:val="single" w:sz="8" w:space="0" w:color="969696" w:themeColor="accent3"/>
        <w:insideV w:val="single" w:sz="8" w:space="0" w:color="969696" w:themeColor="accent3"/>
      </w:tblBorders>
    </w:tblPr>
    <w:tcPr>
      <w:shd w:val="clear" w:color="auto" w:fill="E5E5E5" w:themeFill="accent3" w:themeFillTint="3F"/>
    </w:tcPr>
    <w:tblStylePr w:type="firstRow">
      <w:rPr>
        <w:b/>
        <w:bCs/>
        <w:color w:val="000000" w:themeColor="text1"/>
      </w:rPr>
      <w:tblPr/>
      <w:tcPr>
        <w:shd w:val="clear" w:color="auto" w:fill="F4F4F4"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3" w:themeFillTint="33"/>
      </w:tcPr>
    </w:tblStylePr>
    <w:tblStylePr w:type="band1Vert">
      <w:tblPr/>
      <w:tcPr>
        <w:shd w:val="clear" w:color="auto" w:fill="CACACA" w:themeFill="accent3" w:themeFillTint="7F"/>
      </w:tcPr>
    </w:tblStylePr>
    <w:tblStylePr w:type="band1Horz">
      <w:tblPr/>
      <w:tcPr>
        <w:tcBorders>
          <w:insideH w:val="single" w:sz="6" w:space="0" w:color="969696" w:themeColor="accent3"/>
          <w:insideV w:val="single" w:sz="6" w:space="0" w:color="969696" w:themeColor="accent3"/>
        </w:tcBorders>
        <w:shd w:val="clear" w:color="auto" w:fill="CACACA"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8080" w:themeColor="accent4"/>
        <w:left w:val="single" w:sz="8" w:space="0" w:color="808080" w:themeColor="accent4"/>
        <w:bottom w:val="single" w:sz="8" w:space="0" w:color="808080" w:themeColor="accent4"/>
        <w:right w:val="single" w:sz="8" w:space="0" w:color="808080" w:themeColor="accent4"/>
        <w:insideH w:val="single" w:sz="8" w:space="0" w:color="808080" w:themeColor="accent4"/>
        <w:insideV w:val="single" w:sz="8" w:space="0" w:color="808080" w:themeColor="accent4"/>
      </w:tblBorders>
    </w:tblPr>
    <w:tcPr>
      <w:shd w:val="clear" w:color="auto" w:fill="DFDFDF" w:themeFill="accent4" w:themeFillTint="3F"/>
    </w:tcPr>
    <w:tblStylePr w:type="firstRow">
      <w:rPr>
        <w:b/>
        <w:bCs/>
        <w:color w:val="000000" w:themeColor="text1"/>
      </w:rPr>
      <w:tblPr/>
      <w:tcPr>
        <w:shd w:val="clear" w:color="auto" w:fill="F2F2F2"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E5E5" w:themeFill="accent4" w:themeFillTint="33"/>
      </w:tcPr>
    </w:tblStylePr>
    <w:tblStylePr w:type="band1Vert">
      <w:tblPr/>
      <w:tcPr>
        <w:shd w:val="clear" w:color="auto" w:fill="BFBFBF" w:themeFill="accent4" w:themeFillTint="7F"/>
      </w:tcPr>
    </w:tblStylePr>
    <w:tblStylePr w:type="band1Horz">
      <w:tblPr/>
      <w:tcPr>
        <w:tcBorders>
          <w:insideH w:val="single" w:sz="6" w:space="0" w:color="808080" w:themeColor="accent4"/>
          <w:insideV w:val="single" w:sz="6" w:space="0" w:color="808080" w:themeColor="accent4"/>
        </w:tcBorders>
        <w:shd w:val="clear" w:color="auto" w:fill="BFBFBF"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6F6F6"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DDDD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DDDD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DDDD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DDDD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EEEE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EEEE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BEBE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2B2B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2B2B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2B2B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2B2B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8D8D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8D8D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FDF"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808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808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808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808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FBF"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FBF"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DDDDD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E6E6E"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A5A5A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A5A5A5" w:themeFill="accent1" w:themeFillShade="BF"/>
      </w:tcPr>
    </w:tblStylePr>
    <w:tblStylePr w:type="band1Vert">
      <w:tblPr/>
      <w:tcPr>
        <w:tcBorders>
          <w:top w:val="nil"/>
          <w:left w:val="nil"/>
          <w:bottom w:val="nil"/>
          <w:right w:val="nil"/>
          <w:insideH w:val="nil"/>
          <w:insideV w:val="nil"/>
        </w:tcBorders>
        <w:shd w:val="clear" w:color="auto" w:fill="A5A5A5" w:themeFill="accent1" w:themeFillShade="BF"/>
      </w:tcPr>
    </w:tblStylePr>
    <w:tblStylePr w:type="band1Horz">
      <w:tblPr/>
      <w:tcPr>
        <w:tcBorders>
          <w:top w:val="nil"/>
          <w:left w:val="nil"/>
          <w:bottom w:val="nil"/>
          <w:right w:val="nil"/>
          <w:insideH w:val="nil"/>
          <w:insideV w:val="nil"/>
        </w:tcBorders>
        <w:shd w:val="clear" w:color="auto" w:fill="A5A5A5"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B2B2B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85858"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58585"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58585" w:themeFill="accent2" w:themeFillShade="BF"/>
      </w:tcPr>
    </w:tblStylePr>
    <w:tblStylePr w:type="band1Vert">
      <w:tblPr/>
      <w:tcPr>
        <w:tcBorders>
          <w:top w:val="nil"/>
          <w:left w:val="nil"/>
          <w:bottom w:val="nil"/>
          <w:right w:val="nil"/>
          <w:insideH w:val="nil"/>
          <w:insideV w:val="nil"/>
        </w:tcBorders>
        <w:shd w:val="clear" w:color="auto" w:fill="858585" w:themeFill="accent2" w:themeFillShade="BF"/>
      </w:tcPr>
    </w:tblStylePr>
    <w:tblStylePr w:type="band1Horz">
      <w:tblPr/>
      <w:tcPr>
        <w:tcBorders>
          <w:top w:val="nil"/>
          <w:left w:val="nil"/>
          <w:bottom w:val="nil"/>
          <w:right w:val="nil"/>
          <w:insideH w:val="nil"/>
          <w:insideV w:val="nil"/>
        </w:tcBorders>
        <w:shd w:val="clear" w:color="auto" w:fill="858585"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69696"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3" w:themeFillShade="BF"/>
      </w:tcPr>
    </w:tblStylePr>
    <w:tblStylePr w:type="band1Vert">
      <w:tblPr/>
      <w:tcPr>
        <w:tcBorders>
          <w:top w:val="nil"/>
          <w:left w:val="nil"/>
          <w:bottom w:val="nil"/>
          <w:right w:val="nil"/>
          <w:insideH w:val="nil"/>
          <w:insideV w:val="nil"/>
        </w:tcBorders>
        <w:shd w:val="clear" w:color="auto" w:fill="707070" w:themeFill="accent3" w:themeFillShade="BF"/>
      </w:tcPr>
    </w:tblStylePr>
    <w:tblStylePr w:type="band1Horz">
      <w:tblPr/>
      <w:tcPr>
        <w:tcBorders>
          <w:top w:val="nil"/>
          <w:left w:val="nil"/>
          <w:bottom w:val="nil"/>
          <w:right w:val="nil"/>
          <w:insideH w:val="nil"/>
          <w:insideV w:val="nil"/>
        </w:tcBorders>
        <w:shd w:val="clear" w:color="auto" w:fill="707070"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808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F3F"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5F5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5F5F" w:themeFill="accent4" w:themeFillShade="BF"/>
      </w:tcPr>
    </w:tblStylePr>
    <w:tblStylePr w:type="band1Vert">
      <w:tblPr/>
      <w:tcPr>
        <w:tcBorders>
          <w:top w:val="nil"/>
          <w:left w:val="nil"/>
          <w:bottom w:val="nil"/>
          <w:right w:val="nil"/>
          <w:insideH w:val="nil"/>
          <w:insideV w:val="nil"/>
        </w:tcBorders>
        <w:shd w:val="clear" w:color="auto" w:fill="5F5F5F" w:themeFill="accent4" w:themeFillShade="BF"/>
      </w:tcPr>
    </w:tblStylePr>
    <w:tblStylePr w:type="band1Horz">
      <w:tblPr/>
      <w:tcPr>
        <w:tcBorders>
          <w:top w:val="nil"/>
          <w:left w:val="nil"/>
          <w:bottom w:val="nil"/>
          <w:right w:val="nil"/>
          <w:insideH w:val="nil"/>
          <w:insideV w:val="nil"/>
        </w:tcBorders>
        <w:shd w:val="clear" w:color="auto" w:fill="5F5F5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B2B2B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B2B2B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B2B2B2" w:themeColor="accent2"/>
        <w:left w:val="single" w:sz="4" w:space="0" w:color="DDDDDD" w:themeColor="accent1"/>
        <w:bottom w:val="single" w:sz="4" w:space="0" w:color="DDDDDD" w:themeColor="accent1"/>
        <w:right w:val="single" w:sz="4" w:space="0" w:color="DDDDDD" w:themeColor="accent1"/>
        <w:insideH w:val="single" w:sz="4" w:space="0" w:color="FFFFFF" w:themeColor="background1"/>
        <w:insideV w:val="single" w:sz="4" w:space="0" w:color="FFFFFF" w:themeColor="background1"/>
      </w:tblBorders>
    </w:tblPr>
    <w:tcPr>
      <w:shd w:val="clear" w:color="auto" w:fill="FBFBFB" w:themeFill="accent1" w:themeFillTint="19"/>
    </w:tcPr>
    <w:tblStylePr w:type="firstRow">
      <w:rPr>
        <w:b/>
        <w:bCs/>
      </w:rPr>
      <w:tblPr/>
      <w:tcPr>
        <w:tcBorders>
          <w:top w:val="nil"/>
          <w:left w:val="nil"/>
          <w:bottom w:val="single" w:sz="24" w:space="0" w:color="B2B2B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48484" w:themeFill="accent1" w:themeFillShade="99"/>
      </w:tcPr>
    </w:tblStylePr>
    <w:tblStylePr w:type="firstCol">
      <w:rPr>
        <w:color w:val="FFFFFF" w:themeColor="background1"/>
      </w:rPr>
      <w:tblPr/>
      <w:tcPr>
        <w:tcBorders>
          <w:top w:val="nil"/>
          <w:left w:val="nil"/>
          <w:bottom w:val="nil"/>
          <w:right w:val="nil"/>
          <w:insideH w:val="single" w:sz="4" w:space="0" w:color="848484" w:themeColor="accent1" w:themeShade="99"/>
          <w:insideV w:val="nil"/>
        </w:tcBorders>
        <w:shd w:val="clear" w:color="auto" w:fill="84848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848484" w:themeFill="accent1" w:themeFillShade="99"/>
      </w:tcPr>
    </w:tblStylePr>
    <w:tblStylePr w:type="band1Vert">
      <w:tblPr/>
      <w:tcPr>
        <w:shd w:val="clear" w:color="auto" w:fill="F1F1F1" w:themeFill="accent1" w:themeFillTint="66"/>
      </w:tcPr>
    </w:tblStylePr>
    <w:tblStylePr w:type="band1Horz">
      <w:tblPr/>
      <w:tcPr>
        <w:shd w:val="clear" w:color="auto" w:fill="EEEEE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B2B2B2" w:themeColor="accent2"/>
        <w:left w:val="single" w:sz="4" w:space="0" w:color="B2B2B2" w:themeColor="accent2"/>
        <w:bottom w:val="single" w:sz="4" w:space="0" w:color="B2B2B2" w:themeColor="accent2"/>
        <w:right w:val="single" w:sz="4" w:space="0" w:color="B2B2B2" w:themeColor="accent2"/>
        <w:insideH w:val="single" w:sz="4" w:space="0" w:color="FFFFFF" w:themeColor="background1"/>
        <w:insideV w:val="single" w:sz="4" w:space="0" w:color="FFFFFF" w:themeColor="background1"/>
      </w:tblBorders>
    </w:tblPr>
    <w:tcPr>
      <w:shd w:val="clear" w:color="auto" w:fill="F7F7F7" w:themeFill="accent2" w:themeFillTint="19"/>
    </w:tcPr>
    <w:tblStylePr w:type="firstRow">
      <w:rPr>
        <w:b/>
        <w:bCs/>
      </w:rPr>
      <w:tblPr/>
      <w:tcPr>
        <w:tcBorders>
          <w:top w:val="nil"/>
          <w:left w:val="nil"/>
          <w:bottom w:val="single" w:sz="24" w:space="0" w:color="B2B2B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A6A6A" w:themeFill="accent2" w:themeFillShade="99"/>
      </w:tcPr>
    </w:tblStylePr>
    <w:tblStylePr w:type="firstCol">
      <w:rPr>
        <w:color w:val="FFFFFF" w:themeColor="background1"/>
      </w:rPr>
      <w:tblPr/>
      <w:tcPr>
        <w:tcBorders>
          <w:top w:val="nil"/>
          <w:left w:val="nil"/>
          <w:bottom w:val="nil"/>
          <w:right w:val="nil"/>
          <w:insideH w:val="single" w:sz="4" w:space="0" w:color="6A6A6A" w:themeColor="accent2" w:themeShade="99"/>
          <w:insideV w:val="nil"/>
        </w:tcBorders>
        <w:shd w:val="clear" w:color="auto" w:fill="6A6A6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6A6A6A" w:themeFill="accent2" w:themeFillShade="99"/>
      </w:tcPr>
    </w:tblStylePr>
    <w:tblStylePr w:type="band1Vert">
      <w:tblPr/>
      <w:tcPr>
        <w:shd w:val="clear" w:color="auto" w:fill="E0E0E0" w:themeFill="accent2" w:themeFillTint="66"/>
      </w:tcPr>
    </w:tblStylePr>
    <w:tblStylePr w:type="band1Horz">
      <w:tblPr/>
      <w:tcPr>
        <w:shd w:val="clear" w:color="auto" w:fill="D8D8D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8080" w:themeColor="accent4"/>
        <w:left w:val="single" w:sz="4" w:space="0" w:color="969696" w:themeColor="accent3"/>
        <w:bottom w:val="single" w:sz="4" w:space="0" w:color="969696" w:themeColor="accent3"/>
        <w:right w:val="single" w:sz="4" w:space="0" w:color="969696" w:themeColor="accent3"/>
        <w:insideH w:val="single" w:sz="4" w:space="0" w:color="FFFFFF" w:themeColor="background1"/>
        <w:insideV w:val="single" w:sz="4" w:space="0" w:color="FFFFFF" w:themeColor="background1"/>
      </w:tblBorders>
    </w:tblPr>
    <w:tcPr>
      <w:shd w:val="clear" w:color="auto" w:fill="F4F4F4" w:themeFill="accent3" w:themeFillTint="19"/>
    </w:tcPr>
    <w:tblStylePr w:type="firstRow">
      <w:rPr>
        <w:b/>
        <w:bCs/>
      </w:rPr>
      <w:tblPr/>
      <w:tcPr>
        <w:tcBorders>
          <w:top w:val="nil"/>
          <w:left w:val="nil"/>
          <w:bottom w:val="single" w:sz="24" w:space="0" w:color="80808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3" w:themeFillShade="99"/>
      </w:tcPr>
    </w:tblStylePr>
    <w:tblStylePr w:type="firstCol">
      <w:rPr>
        <w:color w:val="FFFFFF" w:themeColor="background1"/>
      </w:rPr>
      <w:tblPr/>
      <w:tcPr>
        <w:tcBorders>
          <w:top w:val="nil"/>
          <w:left w:val="nil"/>
          <w:bottom w:val="nil"/>
          <w:right w:val="nil"/>
          <w:insideH w:val="single" w:sz="4" w:space="0" w:color="5A5A5A" w:themeColor="accent3" w:themeShade="99"/>
          <w:insideV w:val="nil"/>
        </w:tcBorders>
        <w:shd w:val="clear" w:color="auto" w:fill="5A5A5A"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3" w:themeFillShade="99"/>
      </w:tcPr>
    </w:tblStylePr>
    <w:tblStylePr w:type="band1Vert">
      <w:tblPr/>
      <w:tcPr>
        <w:shd w:val="clear" w:color="auto" w:fill="D5D5D5" w:themeFill="accent3" w:themeFillTint="66"/>
      </w:tcPr>
    </w:tblStylePr>
    <w:tblStylePr w:type="band1Horz">
      <w:tblPr/>
      <w:tcPr>
        <w:shd w:val="clear" w:color="auto" w:fill="CACACA"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69696" w:themeColor="accent3"/>
        <w:left w:val="single" w:sz="4" w:space="0" w:color="808080" w:themeColor="accent4"/>
        <w:bottom w:val="single" w:sz="4" w:space="0" w:color="808080" w:themeColor="accent4"/>
        <w:right w:val="single" w:sz="4" w:space="0" w:color="808080" w:themeColor="accent4"/>
        <w:insideH w:val="single" w:sz="4" w:space="0" w:color="FFFFFF" w:themeColor="background1"/>
        <w:insideV w:val="single" w:sz="4" w:space="0" w:color="FFFFFF" w:themeColor="background1"/>
      </w:tblBorders>
    </w:tblPr>
    <w:tcPr>
      <w:shd w:val="clear" w:color="auto" w:fill="F2F2F2" w:themeFill="accent4" w:themeFillTint="19"/>
    </w:tcPr>
    <w:tblStylePr w:type="firstRow">
      <w:rPr>
        <w:b/>
        <w:bCs/>
      </w:rPr>
      <w:tblPr/>
      <w:tcPr>
        <w:tcBorders>
          <w:top w:val="nil"/>
          <w:left w:val="nil"/>
          <w:bottom w:val="single" w:sz="24" w:space="0" w:color="969696"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4C4C" w:themeFill="accent4" w:themeFillShade="99"/>
      </w:tcPr>
    </w:tblStylePr>
    <w:tblStylePr w:type="firstCol">
      <w:rPr>
        <w:color w:val="FFFFFF" w:themeColor="background1"/>
      </w:rPr>
      <w:tblPr/>
      <w:tcPr>
        <w:tcBorders>
          <w:top w:val="nil"/>
          <w:left w:val="nil"/>
          <w:bottom w:val="nil"/>
          <w:right w:val="nil"/>
          <w:insideH w:val="single" w:sz="4" w:space="0" w:color="4C4C4C" w:themeColor="accent4" w:themeShade="99"/>
          <w:insideV w:val="nil"/>
        </w:tcBorders>
        <w:shd w:val="clear" w:color="auto" w:fill="4C4C4C"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4C4C" w:themeFill="accent4" w:themeFillShade="99"/>
      </w:tcPr>
    </w:tblStylePr>
    <w:tblStylePr w:type="band1Vert">
      <w:tblPr/>
      <w:tcPr>
        <w:shd w:val="clear" w:color="auto" w:fill="CCCCCC" w:themeFill="accent4" w:themeFillTint="66"/>
      </w:tcPr>
    </w:tblStylePr>
    <w:tblStylePr w:type="band1Horz">
      <w:tblPr/>
      <w:tcPr>
        <w:shd w:val="clear" w:color="auto" w:fill="BFBFBF"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8E8E8E" w:themeFill="accent2" w:themeFillShade="CC"/>
      </w:tcPr>
    </w:tblStylePr>
    <w:tblStylePr w:type="lastRow">
      <w:rPr>
        <w:b/>
        <w:bCs/>
        <w:color w:val="8E8E8E"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FBFBFB" w:themeFill="accent1" w:themeFillTint="19"/>
    </w:tcPr>
    <w:tblStylePr w:type="firstRow">
      <w:rPr>
        <w:b/>
        <w:bCs/>
        <w:color w:val="FFFFFF" w:themeColor="background1"/>
      </w:rPr>
      <w:tblPr/>
      <w:tcPr>
        <w:tcBorders>
          <w:bottom w:val="single" w:sz="12" w:space="0" w:color="FFFFFF" w:themeColor="background1"/>
        </w:tcBorders>
        <w:shd w:val="clear" w:color="auto" w:fill="8E8E8E" w:themeFill="accent2" w:themeFillShade="CC"/>
      </w:tcPr>
    </w:tblStylePr>
    <w:tblStylePr w:type="lastRow">
      <w:rPr>
        <w:b/>
        <w:bCs/>
        <w:color w:val="8E8E8E"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hemeFill="accent1" w:themeFillTint="3F"/>
      </w:tcPr>
    </w:tblStylePr>
    <w:tblStylePr w:type="band1Horz">
      <w:tblPr/>
      <w:tcPr>
        <w:shd w:val="clear" w:color="auto" w:fill="F8F8F8"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7F7F7" w:themeFill="accent2" w:themeFillTint="19"/>
    </w:tcPr>
    <w:tblStylePr w:type="firstRow">
      <w:rPr>
        <w:b/>
        <w:bCs/>
        <w:color w:val="FFFFFF" w:themeColor="background1"/>
      </w:rPr>
      <w:tblPr/>
      <w:tcPr>
        <w:tcBorders>
          <w:bottom w:val="single" w:sz="12" w:space="0" w:color="FFFFFF" w:themeColor="background1"/>
        </w:tcBorders>
        <w:shd w:val="clear" w:color="auto" w:fill="8E8E8E" w:themeFill="accent2" w:themeFillShade="CC"/>
      </w:tcPr>
    </w:tblStylePr>
    <w:tblStylePr w:type="lastRow">
      <w:rPr>
        <w:b/>
        <w:bCs/>
        <w:color w:val="8E8E8E"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hemeFill="accent2" w:themeFillTint="3F"/>
      </w:tcPr>
    </w:tblStylePr>
    <w:tblStylePr w:type="band1Horz">
      <w:tblPr/>
      <w:tcPr>
        <w:shd w:val="clear" w:color="auto" w:fill="EFEFEF"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4F4F4" w:themeFill="accent3" w:themeFillTint="19"/>
    </w:tcPr>
    <w:tblStylePr w:type="firstRow">
      <w:rPr>
        <w:b/>
        <w:bCs/>
        <w:color w:val="FFFFFF" w:themeColor="background1"/>
      </w:rPr>
      <w:tblPr/>
      <w:tcPr>
        <w:tcBorders>
          <w:bottom w:val="single" w:sz="12" w:space="0" w:color="FFFFFF" w:themeColor="background1"/>
        </w:tcBorders>
        <w:shd w:val="clear" w:color="auto" w:fill="666666" w:themeFill="accent4" w:themeFillShade="CC"/>
      </w:tcPr>
    </w:tblStylePr>
    <w:tblStylePr w:type="lastRow">
      <w:rPr>
        <w:b/>
        <w:bCs/>
        <w:color w:val="666666"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3" w:themeFillTint="3F"/>
      </w:tcPr>
    </w:tblStylePr>
    <w:tblStylePr w:type="band1Horz">
      <w:tblPr/>
      <w:tcPr>
        <w:shd w:val="clear" w:color="auto" w:fill="EAEAEA"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F2F2" w:themeFill="accent4" w:themeFillTint="19"/>
    </w:tcPr>
    <w:tblStylePr w:type="firstRow">
      <w:rPr>
        <w:b/>
        <w:bCs/>
        <w:color w:val="FFFFFF" w:themeColor="background1"/>
      </w:rPr>
      <w:tblPr/>
      <w:tcPr>
        <w:tcBorders>
          <w:bottom w:val="single" w:sz="12" w:space="0" w:color="FFFFFF" w:themeColor="background1"/>
        </w:tcBorders>
        <w:shd w:val="clear" w:color="auto" w:fill="787878" w:themeFill="accent3" w:themeFillShade="CC"/>
      </w:tcPr>
    </w:tblStylePr>
    <w:tblStylePr w:type="lastRow">
      <w:rPr>
        <w:b/>
        <w:bCs/>
        <w:color w:val="787878"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hemeFill="accent4" w:themeFillTint="3F"/>
      </w:tcPr>
    </w:tblStylePr>
    <w:tblStylePr w:type="band1Horz">
      <w:tblPr/>
      <w:tcPr>
        <w:shd w:val="clear" w:color="auto" w:fill="E5E5E5"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8F8F8" w:themeFill="accent1" w:themeFillTint="33"/>
    </w:tcPr>
    <w:tblStylePr w:type="firstRow">
      <w:rPr>
        <w:b/>
        <w:bCs/>
      </w:rPr>
      <w:tblPr/>
      <w:tcPr>
        <w:shd w:val="clear" w:color="auto" w:fill="F1F1F1" w:themeFill="accent1" w:themeFillTint="66"/>
      </w:tcPr>
    </w:tblStylePr>
    <w:tblStylePr w:type="lastRow">
      <w:rPr>
        <w:b/>
        <w:bCs/>
        <w:color w:val="000000" w:themeColor="text1"/>
      </w:rPr>
      <w:tblPr/>
      <w:tcPr>
        <w:shd w:val="clear" w:color="auto" w:fill="F1F1F1" w:themeFill="accent1" w:themeFillTint="66"/>
      </w:tcPr>
    </w:tblStylePr>
    <w:tblStylePr w:type="firstCol">
      <w:rPr>
        <w:color w:val="FFFFFF" w:themeColor="background1"/>
      </w:rPr>
      <w:tblPr/>
      <w:tcPr>
        <w:shd w:val="clear" w:color="auto" w:fill="A5A5A5" w:themeFill="accent1" w:themeFillShade="BF"/>
      </w:tcPr>
    </w:tblStylePr>
    <w:tblStylePr w:type="lastCol">
      <w:rPr>
        <w:color w:val="FFFFFF" w:themeColor="background1"/>
      </w:rPr>
      <w:tblPr/>
      <w:tcPr>
        <w:shd w:val="clear" w:color="auto" w:fill="A5A5A5" w:themeFill="accent1" w:themeFillShade="BF"/>
      </w:tcPr>
    </w:tblStylePr>
    <w:tblStylePr w:type="band1Vert">
      <w:tblPr/>
      <w:tcPr>
        <w:shd w:val="clear" w:color="auto" w:fill="EEEEEE" w:themeFill="accent1" w:themeFillTint="7F"/>
      </w:tcPr>
    </w:tblStylePr>
    <w:tblStylePr w:type="band1Horz">
      <w:tblPr/>
      <w:tcPr>
        <w:shd w:val="clear" w:color="auto" w:fill="EEEEE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FEFEF" w:themeFill="accent2" w:themeFillTint="33"/>
    </w:tcPr>
    <w:tblStylePr w:type="firstRow">
      <w:rPr>
        <w:b/>
        <w:bCs/>
      </w:rPr>
      <w:tblPr/>
      <w:tcPr>
        <w:shd w:val="clear" w:color="auto" w:fill="E0E0E0" w:themeFill="accent2" w:themeFillTint="66"/>
      </w:tcPr>
    </w:tblStylePr>
    <w:tblStylePr w:type="lastRow">
      <w:rPr>
        <w:b/>
        <w:bCs/>
        <w:color w:val="000000" w:themeColor="text1"/>
      </w:rPr>
      <w:tblPr/>
      <w:tcPr>
        <w:shd w:val="clear" w:color="auto" w:fill="E0E0E0" w:themeFill="accent2" w:themeFillTint="66"/>
      </w:tcPr>
    </w:tblStylePr>
    <w:tblStylePr w:type="firstCol">
      <w:rPr>
        <w:color w:val="FFFFFF" w:themeColor="background1"/>
      </w:rPr>
      <w:tblPr/>
      <w:tcPr>
        <w:shd w:val="clear" w:color="auto" w:fill="858585" w:themeFill="accent2" w:themeFillShade="BF"/>
      </w:tcPr>
    </w:tblStylePr>
    <w:tblStylePr w:type="lastCol">
      <w:rPr>
        <w:color w:val="FFFFFF" w:themeColor="background1"/>
      </w:rPr>
      <w:tblPr/>
      <w:tcPr>
        <w:shd w:val="clear" w:color="auto" w:fill="858585" w:themeFill="accent2" w:themeFillShade="BF"/>
      </w:tcPr>
    </w:tblStylePr>
    <w:tblStylePr w:type="band1Vert">
      <w:tblPr/>
      <w:tcPr>
        <w:shd w:val="clear" w:color="auto" w:fill="D8D8D8" w:themeFill="accent2" w:themeFillTint="7F"/>
      </w:tcPr>
    </w:tblStylePr>
    <w:tblStylePr w:type="band1Horz">
      <w:tblPr/>
      <w:tcPr>
        <w:shd w:val="clear" w:color="auto" w:fill="D8D8D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EAEA" w:themeFill="accent3" w:themeFillTint="33"/>
    </w:tcPr>
    <w:tblStylePr w:type="firstRow">
      <w:rPr>
        <w:b/>
        <w:bCs/>
      </w:rPr>
      <w:tblPr/>
      <w:tcPr>
        <w:shd w:val="clear" w:color="auto" w:fill="D5D5D5" w:themeFill="accent3" w:themeFillTint="66"/>
      </w:tcPr>
    </w:tblStylePr>
    <w:tblStylePr w:type="lastRow">
      <w:rPr>
        <w:b/>
        <w:bCs/>
        <w:color w:val="000000" w:themeColor="text1"/>
      </w:rPr>
      <w:tblPr/>
      <w:tcPr>
        <w:shd w:val="clear" w:color="auto" w:fill="D5D5D5" w:themeFill="accent3" w:themeFillTint="66"/>
      </w:tcPr>
    </w:tblStylePr>
    <w:tblStylePr w:type="firstCol">
      <w:rPr>
        <w:color w:val="FFFFFF" w:themeColor="background1"/>
      </w:rPr>
      <w:tblPr/>
      <w:tcPr>
        <w:shd w:val="clear" w:color="auto" w:fill="707070" w:themeFill="accent3" w:themeFillShade="BF"/>
      </w:tcPr>
    </w:tblStylePr>
    <w:tblStylePr w:type="lastCol">
      <w:rPr>
        <w:color w:val="FFFFFF" w:themeColor="background1"/>
      </w:rPr>
      <w:tblPr/>
      <w:tcPr>
        <w:shd w:val="clear" w:color="auto" w:fill="707070" w:themeFill="accent3" w:themeFillShade="BF"/>
      </w:tcPr>
    </w:tblStylePr>
    <w:tblStylePr w:type="band1Vert">
      <w:tblPr/>
      <w:tcPr>
        <w:shd w:val="clear" w:color="auto" w:fill="CACACA" w:themeFill="accent3" w:themeFillTint="7F"/>
      </w:tcPr>
    </w:tblStylePr>
    <w:tblStylePr w:type="band1Horz">
      <w:tblPr/>
      <w:tcPr>
        <w:shd w:val="clear" w:color="auto" w:fill="CACACA"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E5E5" w:themeFill="accent4" w:themeFillTint="33"/>
    </w:tcPr>
    <w:tblStylePr w:type="firstRow">
      <w:rPr>
        <w:b/>
        <w:bCs/>
      </w:rPr>
      <w:tblPr/>
      <w:tcPr>
        <w:shd w:val="clear" w:color="auto" w:fill="CCCCCC" w:themeFill="accent4" w:themeFillTint="66"/>
      </w:tcPr>
    </w:tblStylePr>
    <w:tblStylePr w:type="lastRow">
      <w:rPr>
        <w:b/>
        <w:bCs/>
        <w:color w:val="000000" w:themeColor="text1"/>
      </w:rPr>
      <w:tblPr/>
      <w:tcPr>
        <w:shd w:val="clear" w:color="auto" w:fill="CCCCCC" w:themeFill="accent4" w:themeFillTint="66"/>
      </w:tcPr>
    </w:tblStylePr>
    <w:tblStylePr w:type="firstCol">
      <w:rPr>
        <w:color w:val="FFFFFF" w:themeColor="background1"/>
      </w:rPr>
      <w:tblPr/>
      <w:tcPr>
        <w:shd w:val="clear" w:color="auto" w:fill="5F5F5F" w:themeFill="accent4" w:themeFillShade="BF"/>
      </w:tcPr>
    </w:tblStylePr>
    <w:tblStylePr w:type="lastCol">
      <w:rPr>
        <w:color w:val="FFFFFF" w:themeColor="background1"/>
      </w:rPr>
      <w:tblPr/>
      <w:tcPr>
        <w:shd w:val="clear" w:color="auto" w:fill="5F5F5F" w:themeFill="accent4" w:themeFillShade="BF"/>
      </w:tcPr>
    </w:tblStylePr>
    <w:tblStylePr w:type="band1Vert">
      <w:tblPr/>
      <w:tcPr>
        <w:shd w:val="clear" w:color="auto" w:fill="BFBFBF" w:themeFill="accent4" w:themeFillTint="7F"/>
      </w:tcPr>
    </w:tblStylePr>
    <w:tblStylePr w:type="band1Horz">
      <w:tblPr/>
      <w:tcPr>
        <w:shd w:val="clear" w:color="auto" w:fill="BFBFBF"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character" w:customStyle="1" w:styleId="NoSpacingChar">
    <w:name w:val="No Spacing Char"/>
    <w:basedOn w:val="DefaultParagraphFont"/>
    <w:link w:val="NoSpacing"/>
    <w:uiPriority w:val="1"/>
    <w:rsid w:val="005A3E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ejm.org/doi/full/10.1056/NEJMp1605101" TargetMode="External"/><Relationship Id="rId18" Type="http://schemas.openxmlformats.org/officeDocument/2006/relationships/hyperlink" Target="https://www.gov.uk/government/publications/government-initial-response-to-the-mid-staffs-report" TargetMode="External"/><Relationship Id="rId26" Type="http://schemas.openxmlformats.org/officeDocument/2006/relationships/hyperlink" Target="https://pubmed.ncbi.nlm.nih.gov/21162472/" TargetMode="External"/><Relationship Id="rId39" Type="http://schemas.openxmlformats.org/officeDocument/2006/relationships/hyperlink" Target="https://doi.org/10.1016/j.matpr.2021.05.594" TargetMode="External"/><Relationship Id="rId21" Type="http://schemas.openxmlformats.org/officeDocument/2006/relationships/hyperlink" Target="https://www.health.org.uk/publications/ten-challenges-in-improving-quality-in-healthcare" TargetMode="External"/><Relationship Id="rId34" Type="http://schemas.openxmlformats.org/officeDocument/2006/relationships/hyperlink" Target="https://qualitysafety.bmj.com/content/17/1/70" TargetMode="External"/><Relationship Id="rId42" Type="http://schemas.openxmlformats.org/officeDocument/2006/relationships/hyperlink" Target="https://doi.org/10.1108/IJQRM-02-2017-0027" TargetMode="External"/><Relationship Id="rId47" Type="http://schemas.openxmlformats.org/officeDocument/2006/relationships/hyperlink" Target="https://www.gov.uk/government/publications/nhs-staff-management-and-health-service-quality"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qc.org.uk/publications/themed-work/opening-door-change" TargetMode="External"/><Relationship Id="rId29" Type="http://schemas.openxmlformats.org/officeDocument/2006/relationships/hyperlink" Target="https://nap.nationalacademies.org/catalog/9728/to-err-is-human-building-a-safer-health-system" TargetMode="External"/><Relationship Id="rId11" Type="http://schemas.openxmlformats.org/officeDocument/2006/relationships/image" Target="media/image4.png"/><Relationship Id="rId24" Type="http://schemas.openxmlformats.org/officeDocument/2006/relationships/hyperlink" Target="https://www.gov.uk/search/all?keywords=Independent%20Inquiry%20Mid%20Staffordshire%202010" TargetMode="External"/><Relationship Id="rId32" Type="http://schemas.openxmlformats.org/officeDocument/2006/relationships/hyperlink" Target="https://www.gov.uk/government/publications/the-report-of-the-morecambe-bay-investigation" TargetMode="External"/><Relationship Id="rId37" Type="http://schemas.openxmlformats.org/officeDocument/2006/relationships/hyperlink" Target="https://www.england.nhs.uk/long-read/patient-safety-incident-response-framework/" TargetMode="External"/><Relationship Id="rId40" Type="http://schemas.openxmlformats.org/officeDocument/2006/relationships/hyperlink" Target="https://www.bmj.com/content/320/7237/768" TargetMode="External"/><Relationship Id="rId45" Type="http://schemas.openxmlformats.org/officeDocument/2006/relationships/hyperlink" Target="https://www.wiley.com/en-us/Patient+Safety%2C+2nd+Edition-p-9781405192217" TargetMode="External"/><Relationship Id="rId5" Type="http://schemas.openxmlformats.org/officeDocument/2006/relationships/webSettings" Target="webSettings.xml"/><Relationship Id="rId15" Type="http://schemas.openxmlformats.org/officeDocument/2006/relationships/hyperlink" Target="https://www.gov.uk/search/all?keywords=Care%20Quality%20Commission%20Mid%20Staffordshire%20progress%20report%202009" TargetMode="External"/><Relationship Id="rId23" Type="http://schemas.openxmlformats.org/officeDocument/2006/relationships/hyperlink" Target="https://www.jstor.org/stable/2666999" TargetMode="External"/><Relationship Id="rId28" Type="http://schemas.openxmlformats.org/officeDocument/2006/relationships/hyperlink" Target="https://doi.org/10.1108/17554251011064837" TargetMode="External"/><Relationship Id="rId36" Type="http://schemas.openxmlformats.org/officeDocument/2006/relationships/hyperlink" Target="https://www.england.nhs.uk/patient-safety/the-nhs-patient-safety-strategy/" TargetMode="External"/><Relationship Id="rId49"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gov.uk/government/publications/mid-staffordshire-nhs-ft-public-inquiry-government-response" TargetMode="External"/><Relationship Id="rId31" Type="http://schemas.openxmlformats.org/officeDocument/2006/relationships/hyperlink" Target="https://www.gov.uk/government/publications/review-into-the-quality-of-care-and-treatment-provided-by-14-hospital-trusts-in-england-overseen-by-nhs-medical-director-professor-sir-bruce-keogh" TargetMode="External"/><Relationship Id="rId44" Type="http://schemas.openxmlformats.org/officeDocument/2006/relationships/hyperlink" Target="https://doi.org/10.1016/j.mayocp.2012.07.02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overnment/publications/a-promise-to-learn-a-commitment-to-act-improving-the-safety-of-patients-in-england" TargetMode="External"/><Relationship Id="rId22" Type="http://schemas.openxmlformats.org/officeDocument/2006/relationships/hyperlink" Target="https://jamanetwork.com/journals/jama/article-abstract/374139" TargetMode="External"/><Relationship Id="rId27" Type="http://schemas.openxmlformats.org/officeDocument/2006/relationships/hyperlink" Target="https://www.health.org.uk/publications/quality-improvement-made-simple" TargetMode="External"/><Relationship Id="rId30" Type="http://schemas.openxmlformats.org/officeDocument/2006/relationships/hyperlink" Target="https://nap.nationalacademies.org/catalog/10027/crossing-the-quality-chasm-a-new-health-system-for-the-21st-century" TargetMode="External"/><Relationship Id="rId35" Type="http://schemas.openxmlformats.org/officeDocument/2006/relationships/hyperlink" Target="https://www.bmj.com/content/363/bmj.k4907" TargetMode="External"/><Relationship Id="rId43" Type="http://schemas.openxmlformats.org/officeDocument/2006/relationships/hyperlink" Target="https://qualitysafety.bmj.com/content/23/4/290" TargetMode="External"/><Relationship Id="rId48" Type="http://schemas.openxmlformats.org/officeDocument/2006/relationships/hyperlink" Target="https://www.who.int/publications/i/item/9789240032705" TargetMode="Externa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pubmed.ncbi.nlm.nih.gov/24581683/" TargetMode="External"/><Relationship Id="rId17" Type="http://schemas.openxmlformats.org/officeDocument/2006/relationships/hyperlink" Target="https://mitpress.mit.edu/9780262541152/out-of-the-crisis/" TargetMode="External"/><Relationship Id="rId25" Type="http://schemas.openxmlformats.org/officeDocument/2006/relationships/hyperlink" Target="https://www.gov.uk/government/publications/report-of-the-mid-staffordshire-nhs-foundation-trust-public-inquiry" TargetMode="External"/><Relationship Id="rId33" Type="http://schemas.openxmlformats.org/officeDocument/2006/relationships/hyperlink" Target="https://www.wiley.com/en-us/The+Improvement+Guide%3A+A+Practical+Approach+to+Enhancing+Organizational+Performance%2C+2nd+Edition-p-9780470192413" TargetMode="External"/><Relationship Id="rId38" Type="http://schemas.openxmlformats.org/officeDocument/2006/relationships/hyperlink" Target="https://www.england.nhs.uk/long-read/patient-safety-incident-response-standards/" TargetMode="External"/><Relationship Id="rId46" Type="http://schemas.openxmlformats.org/officeDocument/2006/relationships/hyperlink" Target="https://doi.org/10.1377/hlthaff.2009.0785" TargetMode="External"/><Relationship Id="rId20" Type="http://schemas.openxmlformats.org/officeDocument/2006/relationships/hyperlink" Target="https://www.gov.uk/government/publications/the-nhs-constitution-for-england" TargetMode="External"/><Relationship Id="rId41" Type="http://schemas.openxmlformats.org/officeDocument/2006/relationships/hyperlink" Target="https://www.wiley.com/en-us/Organizational+Culture+and+Leadership%2C+4th+Edition-p-9780470190609"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Gre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4666</Words>
  <Characters>26600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31204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rizwana chauhan</cp:lastModifiedBy>
  <cp:revision>4</cp:revision>
  <dcterms:created xsi:type="dcterms:W3CDTF">2026-08-13T15:55:00Z</dcterms:created>
  <dcterms:modified xsi:type="dcterms:W3CDTF">2026-08-13T22:41:00Z</dcterms:modified>
  <cp:category/>
</cp:coreProperties>
</file>