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90FF6" w14:textId="151097DB" w:rsidR="00315C74" w:rsidRPr="00EF6374" w:rsidRDefault="00857AF9" w:rsidP="00315C74">
      <w:pPr>
        <w:spacing w:line="480" w:lineRule="auto"/>
        <w:rPr>
          <w:rFonts w:ascii="Arial" w:hAnsi="Arial" w:cs="Arial"/>
          <w:sz w:val="24"/>
          <w:szCs w:val="24"/>
        </w:rPr>
      </w:pPr>
      <w:r>
        <w:rPr>
          <w:rFonts w:ascii="Arial" w:hAnsi="Arial" w:cs="Arial"/>
          <w:sz w:val="24"/>
          <w:szCs w:val="24"/>
        </w:rPr>
        <w:t xml:space="preserve">Common laws vs </w:t>
      </w:r>
      <w:r w:rsidR="00B973DD">
        <w:rPr>
          <w:rFonts w:ascii="Arial" w:hAnsi="Arial" w:cs="Arial"/>
          <w:sz w:val="24"/>
          <w:szCs w:val="24"/>
        </w:rPr>
        <w:t>Civil laws</w:t>
      </w:r>
    </w:p>
    <w:p w14:paraId="2E333250" w14:textId="42E8C23F" w:rsidR="00B973DD" w:rsidRDefault="00B973DD" w:rsidP="00B27D8A">
      <w:pPr>
        <w:spacing w:line="480" w:lineRule="auto"/>
        <w:ind w:left="720"/>
        <w:rPr>
          <w:rFonts w:ascii="Arial" w:hAnsi="Arial" w:cs="Arial"/>
          <w:sz w:val="24"/>
          <w:szCs w:val="24"/>
        </w:rPr>
      </w:pPr>
      <w:r>
        <w:rPr>
          <w:rFonts w:ascii="Arial" w:hAnsi="Arial" w:cs="Arial"/>
          <w:sz w:val="24"/>
          <w:szCs w:val="24"/>
        </w:rPr>
        <w:t xml:space="preserve">Common laws are uncodified laws based on </w:t>
      </w:r>
      <w:r w:rsidR="00BE1CC6">
        <w:rPr>
          <w:rFonts w:ascii="Arial" w:hAnsi="Arial" w:cs="Arial"/>
          <w:sz w:val="24"/>
          <w:szCs w:val="24"/>
        </w:rPr>
        <w:t>decision</w:t>
      </w:r>
      <w:r w:rsidR="00CD3E6C">
        <w:rPr>
          <w:rFonts w:ascii="Arial" w:hAnsi="Arial" w:cs="Arial"/>
          <w:sz w:val="24"/>
          <w:szCs w:val="24"/>
        </w:rPr>
        <w:t xml:space="preserve">. Civil laws </w:t>
      </w:r>
      <w:r w:rsidR="00E61922">
        <w:rPr>
          <w:rFonts w:ascii="Arial" w:hAnsi="Arial" w:cs="Arial"/>
          <w:sz w:val="24"/>
          <w:szCs w:val="24"/>
        </w:rPr>
        <w:t>or</w:t>
      </w:r>
      <w:r w:rsidR="00CD3E6C">
        <w:rPr>
          <w:rFonts w:ascii="Arial" w:hAnsi="Arial" w:cs="Arial"/>
          <w:sz w:val="24"/>
          <w:szCs w:val="24"/>
        </w:rPr>
        <w:t xml:space="preserve"> </w:t>
      </w:r>
      <w:r w:rsidR="00365712">
        <w:rPr>
          <w:rFonts w:ascii="Arial" w:hAnsi="Arial" w:cs="Arial"/>
          <w:sz w:val="24"/>
          <w:szCs w:val="24"/>
        </w:rPr>
        <w:t xml:space="preserve">private laws </w:t>
      </w:r>
      <w:r w:rsidR="00F4564C">
        <w:rPr>
          <w:rFonts w:ascii="Arial" w:hAnsi="Arial" w:cs="Arial"/>
          <w:sz w:val="24"/>
          <w:szCs w:val="24"/>
        </w:rPr>
        <w:t xml:space="preserve">are laws </w:t>
      </w:r>
      <w:r w:rsidR="00365712">
        <w:rPr>
          <w:rFonts w:ascii="Arial" w:hAnsi="Arial" w:cs="Arial"/>
          <w:sz w:val="24"/>
          <w:szCs w:val="24"/>
        </w:rPr>
        <w:t xml:space="preserve">that govern the </w:t>
      </w:r>
      <w:r w:rsidR="000F4F21">
        <w:rPr>
          <w:rFonts w:ascii="Arial" w:hAnsi="Arial" w:cs="Arial"/>
          <w:sz w:val="24"/>
          <w:szCs w:val="24"/>
        </w:rPr>
        <w:t xml:space="preserve">interactions </w:t>
      </w:r>
      <w:r w:rsidR="008C366E">
        <w:rPr>
          <w:rFonts w:ascii="Arial" w:hAnsi="Arial" w:cs="Arial"/>
          <w:sz w:val="24"/>
          <w:szCs w:val="24"/>
        </w:rPr>
        <w:t>between private people or companies. The common laws are still placed in</w:t>
      </w:r>
      <w:r w:rsidR="00886AA3">
        <w:rPr>
          <w:rFonts w:ascii="Arial" w:hAnsi="Arial" w:cs="Arial"/>
          <w:sz w:val="24"/>
          <w:szCs w:val="24"/>
        </w:rPr>
        <w:t xml:space="preserve"> the civil court system.</w:t>
      </w:r>
      <w:r w:rsidR="008C2397">
        <w:rPr>
          <w:rFonts w:ascii="Arial" w:hAnsi="Arial" w:cs="Arial"/>
          <w:sz w:val="24"/>
          <w:szCs w:val="24"/>
        </w:rPr>
        <w:t xml:space="preserve"> </w:t>
      </w:r>
    </w:p>
    <w:p w14:paraId="03CF21B6" w14:textId="65F706E9" w:rsidR="008B57E4" w:rsidRPr="00EF6374" w:rsidRDefault="00EC5EFA" w:rsidP="00B27D8A">
      <w:pPr>
        <w:spacing w:line="480" w:lineRule="auto"/>
        <w:ind w:left="720"/>
        <w:rPr>
          <w:rFonts w:ascii="Arial" w:hAnsi="Arial" w:cs="Arial"/>
          <w:sz w:val="24"/>
          <w:szCs w:val="24"/>
        </w:rPr>
      </w:pPr>
      <w:r w:rsidRPr="00EF6374">
        <w:rPr>
          <w:rFonts w:ascii="Arial" w:hAnsi="Arial" w:cs="Arial"/>
          <w:sz w:val="24"/>
          <w:szCs w:val="24"/>
        </w:rPr>
        <w:t xml:space="preserve">Common law originates </w:t>
      </w:r>
      <w:r w:rsidR="00CD50DD" w:rsidRPr="00EF6374">
        <w:rPr>
          <w:rFonts w:ascii="Arial" w:hAnsi="Arial" w:cs="Arial"/>
          <w:sz w:val="24"/>
          <w:szCs w:val="24"/>
        </w:rPr>
        <w:t xml:space="preserve">from the </w:t>
      </w:r>
      <w:r w:rsidR="005245D3" w:rsidRPr="00EF6374">
        <w:rPr>
          <w:rFonts w:ascii="Arial" w:hAnsi="Arial" w:cs="Arial"/>
          <w:sz w:val="24"/>
          <w:szCs w:val="24"/>
        </w:rPr>
        <w:t>henry the second. Th</w:t>
      </w:r>
      <w:r w:rsidR="002A749A" w:rsidRPr="00EF6374">
        <w:rPr>
          <w:rFonts w:ascii="Arial" w:hAnsi="Arial" w:cs="Arial"/>
          <w:sz w:val="24"/>
          <w:szCs w:val="24"/>
        </w:rPr>
        <w:t>e name was used as common law w</w:t>
      </w:r>
      <w:r w:rsidR="00637B31" w:rsidRPr="00EF6374">
        <w:rPr>
          <w:rFonts w:ascii="Arial" w:hAnsi="Arial" w:cs="Arial"/>
          <w:sz w:val="24"/>
          <w:szCs w:val="24"/>
        </w:rPr>
        <w:t xml:space="preserve">as applied to the whole country. </w:t>
      </w:r>
      <w:r w:rsidR="0072691E" w:rsidRPr="00EF6374">
        <w:rPr>
          <w:rFonts w:ascii="Arial" w:hAnsi="Arial" w:cs="Arial"/>
          <w:sz w:val="24"/>
          <w:szCs w:val="24"/>
        </w:rPr>
        <w:t xml:space="preserve">During the reign of </w:t>
      </w:r>
      <w:r w:rsidR="008C2397">
        <w:rPr>
          <w:rFonts w:ascii="Arial" w:hAnsi="Arial" w:cs="Arial"/>
          <w:sz w:val="24"/>
          <w:szCs w:val="24"/>
        </w:rPr>
        <w:t>H</w:t>
      </w:r>
      <w:r w:rsidR="008C2397" w:rsidRPr="00EF6374">
        <w:rPr>
          <w:rFonts w:ascii="Arial" w:hAnsi="Arial" w:cs="Arial"/>
          <w:sz w:val="24"/>
          <w:szCs w:val="24"/>
        </w:rPr>
        <w:t>enry</w:t>
      </w:r>
      <w:r w:rsidR="0072691E" w:rsidRPr="00EF6374">
        <w:rPr>
          <w:rFonts w:ascii="Arial" w:hAnsi="Arial" w:cs="Arial"/>
          <w:sz w:val="24"/>
          <w:szCs w:val="24"/>
        </w:rPr>
        <w:t xml:space="preserve"> the second, which was in the </w:t>
      </w:r>
      <w:r w:rsidR="00327428" w:rsidRPr="00EF6374">
        <w:rPr>
          <w:rFonts w:ascii="Arial" w:hAnsi="Arial" w:cs="Arial"/>
          <w:sz w:val="24"/>
          <w:szCs w:val="24"/>
        </w:rPr>
        <w:t>12</w:t>
      </w:r>
      <w:r w:rsidR="00327428" w:rsidRPr="00EF6374">
        <w:rPr>
          <w:rFonts w:ascii="Arial" w:hAnsi="Arial" w:cs="Arial"/>
          <w:sz w:val="24"/>
          <w:szCs w:val="24"/>
          <w:vertAlign w:val="superscript"/>
        </w:rPr>
        <w:t>th</w:t>
      </w:r>
      <w:r w:rsidR="00327428" w:rsidRPr="00EF6374">
        <w:rPr>
          <w:rFonts w:ascii="Arial" w:hAnsi="Arial" w:cs="Arial"/>
          <w:sz w:val="24"/>
          <w:szCs w:val="24"/>
        </w:rPr>
        <w:t xml:space="preserve"> century, </w:t>
      </w:r>
      <w:r w:rsidR="008B077F" w:rsidRPr="00EF6374">
        <w:rPr>
          <w:rFonts w:ascii="Arial" w:hAnsi="Arial" w:cs="Arial"/>
          <w:sz w:val="24"/>
          <w:szCs w:val="24"/>
        </w:rPr>
        <w:t xml:space="preserve">there were no judges. The crown and specific members of his court acted as </w:t>
      </w:r>
      <w:r w:rsidR="00AB2C10" w:rsidRPr="00EF6374">
        <w:rPr>
          <w:rFonts w:ascii="Arial" w:hAnsi="Arial" w:cs="Arial"/>
          <w:sz w:val="24"/>
          <w:szCs w:val="24"/>
        </w:rPr>
        <w:t>judges,</w:t>
      </w:r>
      <w:r w:rsidR="008B077F" w:rsidRPr="00EF6374">
        <w:rPr>
          <w:rFonts w:ascii="Arial" w:hAnsi="Arial" w:cs="Arial"/>
          <w:sz w:val="24"/>
          <w:szCs w:val="24"/>
        </w:rPr>
        <w:t xml:space="preserve"> but the title </w:t>
      </w:r>
      <w:r w:rsidR="00797B9E" w:rsidRPr="00EF6374">
        <w:rPr>
          <w:rFonts w:ascii="Arial" w:hAnsi="Arial" w:cs="Arial"/>
          <w:sz w:val="24"/>
          <w:szCs w:val="24"/>
        </w:rPr>
        <w:t>was different</w:t>
      </w:r>
      <w:sdt>
        <w:sdtPr>
          <w:rPr>
            <w:rFonts w:ascii="Arial" w:hAnsi="Arial" w:cs="Arial"/>
            <w:sz w:val="24"/>
            <w:szCs w:val="24"/>
          </w:rPr>
          <w:id w:val="1815833875"/>
          <w:citation/>
        </w:sdtPr>
        <w:sdtContent>
          <w:r w:rsidR="006E4727" w:rsidRPr="00EF6374">
            <w:rPr>
              <w:rFonts w:ascii="Arial" w:hAnsi="Arial" w:cs="Arial"/>
              <w:sz w:val="24"/>
              <w:szCs w:val="24"/>
            </w:rPr>
            <w:fldChar w:fldCharType="begin"/>
          </w:r>
          <w:r w:rsidR="006E4727" w:rsidRPr="00EF6374">
            <w:rPr>
              <w:rFonts w:ascii="Arial" w:hAnsi="Arial" w:cs="Arial"/>
              <w:sz w:val="24"/>
              <w:szCs w:val="24"/>
            </w:rPr>
            <w:instrText xml:space="preserve"> CITATION Inc20 \l 2057 </w:instrText>
          </w:r>
          <w:r w:rsidR="006E4727" w:rsidRPr="00EF6374">
            <w:rPr>
              <w:rFonts w:ascii="Arial" w:hAnsi="Arial" w:cs="Arial"/>
              <w:sz w:val="24"/>
              <w:szCs w:val="24"/>
            </w:rPr>
            <w:fldChar w:fldCharType="separate"/>
          </w:r>
          <w:r w:rsidR="006E4727" w:rsidRPr="00EF6374">
            <w:rPr>
              <w:rFonts w:ascii="Arial" w:hAnsi="Arial" w:cs="Arial"/>
              <w:noProof/>
              <w:sz w:val="24"/>
              <w:szCs w:val="24"/>
            </w:rPr>
            <w:t xml:space="preserve"> (Incorporated Council of Law Reporting, 2020)</w:t>
          </w:r>
          <w:r w:rsidR="006E4727" w:rsidRPr="00EF6374">
            <w:rPr>
              <w:rFonts w:ascii="Arial" w:hAnsi="Arial" w:cs="Arial"/>
              <w:sz w:val="24"/>
              <w:szCs w:val="24"/>
            </w:rPr>
            <w:fldChar w:fldCharType="end"/>
          </w:r>
        </w:sdtContent>
      </w:sdt>
      <w:r w:rsidR="00797B9E" w:rsidRPr="00EF6374">
        <w:rPr>
          <w:rFonts w:ascii="Arial" w:hAnsi="Arial" w:cs="Arial"/>
          <w:sz w:val="24"/>
          <w:szCs w:val="24"/>
        </w:rPr>
        <w:t>.</w:t>
      </w:r>
      <w:r w:rsidR="006E4727" w:rsidRPr="00EF6374">
        <w:rPr>
          <w:rFonts w:ascii="Arial" w:hAnsi="Arial" w:cs="Arial"/>
          <w:sz w:val="24"/>
          <w:szCs w:val="24"/>
        </w:rPr>
        <w:t xml:space="preserve"> </w:t>
      </w:r>
      <w:r w:rsidR="00593FD8" w:rsidRPr="00EF6374">
        <w:rPr>
          <w:rFonts w:ascii="Arial" w:hAnsi="Arial" w:cs="Arial"/>
          <w:sz w:val="24"/>
          <w:szCs w:val="24"/>
        </w:rPr>
        <w:t xml:space="preserve"> This means that common law </w:t>
      </w:r>
      <w:r w:rsidR="007E1CF7" w:rsidRPr="00EF6374">
        <w:rPr>
          <w:rFonts w:ascii="Arial" w:hAnsi="Arial" w:cs="Arial"/>
          <w:sz w:val="24"/>
          <w:szCs w:val="24"/>
        </w:rPr>
        <w:t>held an effect over the entire country</w:t>
      </w:r>
      <w:r w:rsidR="00257ED5" w:rsidRPr="00EF6374">
        <w:rPr>
          <w:rFonts w:ascii="Arial" w:hAnsi="Arial" w:cs="Arial"/>
          <w:sz w:val="24"/>
          <w:szCs w:val="24"/>
        </w:rPr>
        <w:t xml:space="preserve"> but, </w:t>
      </w:r>
      <w:r w:rsidR="00D33862" w:rsidRPr="00EF6374">
        <w:rPr>
          <w:rFonts w:ascii="Arial" w:hAnsi="Arial" w:cs="Arial"/>
          <w:sz w:val="24"/>
          <w:szCs w:val="24"/>
        </w:rPr>
        <w:t xml:space="preserve">the people judging on the cases </w:t>
      </w:r>
      <w:r w:rsidR="007B17BF" w:rsidRPr="00EF6374">
        <w:rPr>
          <w:rFonts w:ascii="Arial" w:hAnsi="Arial" w:cs="Arial"/>
          <w:sz w:val="24"/>
          <w:szCs w:val="24"/>
        </w:rPr>
        <w:t>w</w:t>
      </w:r>
      <w:r w:rsidR="00EB08FA" w:rsidRPr="00EF6374">
        <w:rPr>
          <w:rFonts w:ascii="Arial" w:hAnsi="Arial" w:cs="Arial"/>
          <w:sz w:val="24"/>
          <w:szCs w:val="24"/>
        </w:rPr>
        <w:t>ere</w:t>
      </w:r>
      <w:r w:rsidR="007B17BF" w:rsidRPr="00EF6374">
        <w:rPr>
          <w:rFonts w:ascii="Arial" w:hAnsi="Arial" w:cs="Arial"/>
          <w:sz w:val="24"/>
          <w:szCs w:val="24"/>
        </w:rPr>
        <w:t xml:space="preserve"> me</w:t>
      </w:r>
      <w:r w:rsidR="00080A74" w:rsidRPr="00EF6374">
        <w:rPr>
          <w:rFonts w:ascii="Arial" w:hAnsi="Arial" w:cs="Arial"/>
          <w:sz w:val="24"/>
          <w:szCs w:val="24"/>
        </w:rPr>
        <w:t xml:space="preserve">mbers of the higher classes of society. This would </w:t>
      </w:r>
      <w:r w:rsidR="009A4B1B" w:rsidRPr="00EF6374">
        <w:rPr>
          <w:rFonts w:ascii="Arial" w:hAnsi="Arial" w:cs="Arial"/>
          <w:sz w:val="24"/>
          <w:szCs w:val="24"/>
        </w:rPr>
        <w:t xml:space="preserve">affect </w:t>
      </w:r>
      <w:r w:rsidR="00DA1013" w:rsidRPr="00EF6374">
        <w:rPr>
          <w:rFonts w:ascii="Arial" w:hAnsi="Arial" w:cs="Arial"/>
          <w:sz w:val="24"/>
          <w:szCs w:val="24"/>
        </w:rPr>
        <w:t>their</w:t>
      </w:r>
      <w:r w:rsidR="00EB08FA" w:rsidRPr="00EF6374">
        <w:rPr>
          <w:rFonts w:ascii="Arial" w:hAnsi="Arial" w:cs="Arial"/>
          <w:sz w:val="24"/>
          <w:szCs w:val="24"/>
        </w:rPr>
        <w:t xml:space="preserve"> perspectives and other obligations would affect their </w:t>
      </w:r>
      <w:r w:rsidR="00171783" w:rsidRPr="00EF6374">
        <w:rPr>
          <w:rFonts w:ascii="Arial" w:hAnsi="Arial" w:cs="Arial"/>
          <w:sz w:val="24"/>
          <w:szCs w:val="24"/>
        </w:rPr>
        <w:t>decisions</w:t>
      </w:r>
      <w:r w:rsidR="00DA1013" w:rsidRPr="00EF6374">
        <w:rPr>
          <w:rFonts w:ascii="Arial" w:hAnsi="Arial" w:cs="Arial"/>
          <w:sz w:val="24"/>
          <w:szCs w:val="24"/>
        </w:rPr>
        <w:t xml:space="preserve">. This would make the </w:t>
      </w:r>
      <w:r w:rsidR="00D20D7C" w:rsidRPr="00EF6374">
        <w:rPr>
          <w:rFonts w:ascii="Arial" w:hAnsi="Arial" w:cs="Arial"/>
          <w:sz w:val="24"/>
          <w:szCs w:val="24"/>
        </w:rPr>
        <w:t>decision biased.</w:t>
      </w:r>
    </w:p>
    <w:p w14:paraId="0A2E1FDD" w14:textId="7A176B9C" w:rsidR="005C3A86" w:rsidRPr="00EF6374" w:rsidRDefault="00D20D7C" w:rsidP="00DD096D">
      <w:pPr>
        <w:spacing w:line="480" w:lineRule="auto"/>
        <w:ind w:left="720"/>
        <w:rPr>
          <w:rFonts w:ascii="Arial" w:hAnsi="Arial" w:cs="Arial"/>
          <w:sz w:val="24"/>
          <w:szCs w:val="24"/>
        </w:rPr>
      </w:pPr>
      <w:r w:rsidRPr="00EF6374">
        <w:rPr>
          <w:rFonts w:ascii="Arial" w:hAnsi="Arial" w:cs="Arial"/>
          <w:sz w:val="24"/>
          <w:szCs w:val="24"/>
        </w:rPr>
        <w:t xml:space="preserve">In the </w:t>
      </w:r>
      <w:r w:rsidR="0045636C" w:rsidRPr="00EF6374">
        <w:rPr>
          <w:rFonts w:ascii="Arial" w:hAnsi="Arial" w:cs="Arial"/>
          <w:sz w:val="24"/>
          <w:szCs w:val="24"/>
        </w:rPr>
        <w:t>modern-day</w:t>
      </w:r>
      <w:r w:rsidRPr="00EF6374">
        <w:rPr>
          <w:rFonts w:ascii="Arial" w:hAnsi="Arial" w:cs="Arial"/>
          <w:sz w:val="24"/>
          <w:szCs w:val="24"/>
        </w:rPr>
        <w:t xml:space="preserve"> common law is</w:t>
      </w:r>
      <w:r w:rsidR="0045636C" w:rsidRPr="00EF6374">
        <w:rPr>
          <w:rFonts w:ascii="Arial" w:hAnsi="Arial" w:cs="Arial"/>
          <w:sz w:val="24"/>
          <w:szCs w:val="24"/>
        </w:rPr>
        <w:t xml:space="preserve"> a set of laws that have not been codified and therefore go through a different set of rules to create</w:t>
      </w:r>
      <w:r w:rsidR="004A42C8" w:rsidRPr="00EF6374">
        <w:rPr>
          <w:rFonts w:ascii="Arial" w:hAnsi="Arial" w:cs="Arial"/>
          <w:sz w:val="24"/>
          <w:szCs w:val="24"/>
        </w:rPr>
        <w:t xml:space="preserve">. </w:t>
      </w:r>
      <w:r w:rsidR="00B06912" w:rsidRPr="00EF6374">
        <w:rPr>
          <w:rFonts w:ascii="Arial" w:hAnsi="Arial" w:cs="Arial"/>
          <w:sz w:val="24"/>
          <w:szCs w:val="24"/>
        </w:rPr>
        <w:t xml:space="preserve">Common laws that </w:t>
      </w:r>
      <w:r w:rsidR="00A234FC" w:rsidRPr="00EF6374">
        <w:rPr>
          <w:rFonts w:ascii="Arial" w:hAnsi="Arial" w:cs="Arial"/>
          <w:sz w:val="24"/>
          <w:szCs w:val="24"/>
        </w:rPr>
        <w:t>have</w:t>
      </w:r>
      <w:r w:rsidR="00B06912" w:rsidRPr="00EF6374">
        <w:rPr>
          <w:rFonts w:ascii="Arial" w:hAnsi="Arial" w:cs="Arial"/>
          <w:sz w:val="24"/>
          <w:szCs w:val="24"/>
        </w:rPr>
        <w:t xml:space="preserve"> already been created </w:t>
      </w:r>
      <w:r w:rsidR="000723D6" w:rsidRPr="00EF6374">
        <w:rPr>
          <w:rFonts w:ascii="Arial" w:hAnsi="Arial" w:cs="Arial"/>
          <w:sz w:val="24"/>
          <w:szCs w:val="24"/>
        </w:rPr>
        <w:t xml:space="preserve">are used as precedent. </w:t>
      </w:r>
      <w:r w:rsidR="0048445B" w:rsidRPr="00EF6374">
        <w:rPr>
          <w:rFonts w:ascii="Arial" w:hAnsi="Arial" w:cs="Arial"/>
          <w:sz w:val="24"/>
          <w:szCs w:val="24"/>
        </w:rPr>
        <w:t xml:space="preserve">This means that a judge is deferring </w:t>
      </w:r>
      <w:r w:rsidR="006747A9" w:rsidRPr="00EF6374">
        <w:rPr>
          <w:rFonts w:ascii="Arial" w:hAnsi="Arial" w:cs="Arial"/>
          <w:sz w:val="24"/>
          <w:szCs w:val="24"/>
        </w:rPr>
        <w:t xml:space="preserve">to a previous decision to make their judgment. </w:t>
      </w:r>
      <w:r w:rsidR="00D9751B" w:rsidRPr="00EF6374">
        <w:rPr>
          <w:rFonts w:ascii="Arial" w:hAnsi="Arial" w:cs="Arial"/>
          <w:sz w:val="24"/>
          <w:szCs w:val="24"/>
        </w:rPr>
        <w:t xml:space="preserve">This means that </w:t>
      </w:r>
      <w:r w:rsidR="00337179" w:rsidRPr="00EF6374">
        <w:rPr>
          <w:rFonts w:ascii="Arial" w:hAnsi="Arial" w:cs="Arial"/>
          <w:sz w:val="24"/>
          <w:szCs w:val="24"/>
        </w:rPr>
        <w:t xml:space="preserve">the case that they are judging for </w:t>
      </w:r>
      <w:r w:rsidR="00D25289" w:rsidRPr="00EF6374">
        <w:rPr>
          <w:rFonts w:ascii="Arial" w:hAnsi="Arial" w:cs="Arial"/>
          <w:sz w:val="24"/>
          <w:szCs w:val="24"/>
        </w:rPr>
        <w:t>are near identical in specific detail</w:t>
      </w:r>
      <w:r w:rsidR="00EB5C9B" w:rsidRPr="00EF6374">
        <w:rPr>
          <w:rFonts w:ascii="Arial" w:hAnsi="Arial" w:cs="Arial"/>
          <w:sz w:val="24"/>
          <w:szCs w:val="24"/>
        </w:rPr>
        <w:t>s</w:t>
      </w:r>
      <w:r w:rsidR="00D611A5" w:rsidRPr="00EF6374">
        <w:rPr>
          <w:rFonts w:ascii="Arial" w:hAnsi="Arial" w:cs="Arial"/>
          <w:sz w:val="24"/>
          <w:szCs w:val="24"/>
        </w:rPr>
        <w:t xml:space="preserve">. The details would need to follow the same </w:t>
      </w:r>
      <w:r w:rsidR="007C409C" w:rsidRPr="00EF6374">
        <w:rPr>
          <w:rFonts w:ascii="Arial" w:hAnsi="Arial" w:cs="Arial"/>
          <w:sz w:val="24"/>
          <w:szCs w:val="24"/>
        </w:rPr>
        <w:t>Ratio decidendi</w:t>
      </w:r>
      <w:sdt>
        <w:sdtPr>
          <w:rPr>
            <w:rFonts w:ascii="Arial" w:hAnsi="Arial" w:cs="Arial"/>
            <w:sz w:val="24"/>
            <w:szCs w:val="24"/>
          </w:rPr>
          <w:id w:val="-348417228"/>
          <w:citation/>
        </w:sdtPr>
        <w:sdtContent>
          <w:r w:rsidR="007C409C" w:rsidRPr="00EF6374">
            <w:rPr>
              <w:rFonts w:ascii="Arial" w:hAnsi="Arial" w:cs="Arial"/>
              <w:sz w:val="24"/>
              <w:szCs w:val="24"/>
            </w:rPr>
            <w:fldChar w:fldCharType="begin"/>
          </w:r>
          <w:r w:rsidR="007C409C" w:rsidRPr="00EF6374">
            <w:rPr>
              <w:rFonts w:ascii="Arial" w:hAnsi="Arial" w:cs="Arial"/>
              <w:sz w:val="24"/>
              <w:szCs w:val="24"/>
            </w:rPr>
            <w:instrText xml:space="preserve"> CITATION Lex18 \l 2057 </w:instrText>
          </w:r>
          <w:r w:rsidR="007C409C" w:rsidRPr="00EF6374">
            <w:rPr>
              <w:rFonts w:ascii="Arial" w:hAnsi="Arial" w:cs="Arial"/>
              <w:sz w:val="24"/>
              <w:szCs w:val="24"/>
            </w:rPr>
            <w:fldChar w:fldCharType="separate"/>
          </w:r>
          <w:r w:rsidR="007C409C" w:rsidRPr="00EF6374">
            <w:rPr>
              <w:rFonts w:ascii="Arial" w:hAnsi="Arial" w:cs="Arial"/>
              <w:noProof/>
              <w:sz w:val="24"/>
              <w:szCs w:val="24"/>
            </w:rPr>
            <w:t xml:space="preserve"> (Lexis, 2018)</w:t>
          </w:r>
          <w:r w:rsidR="007C409C" w:rsidRPr="00EF6374">
            <w:rPr>
              <w:rFonts w:ascii="Arial" w:hAnsi="Arial" w:cs="Arial"/>
              <w:sz w:val="24"/>
              <w:szCs w:val="24"/>
            </w:rPr>
            <w:fldChar w:fldCharType="end"/>
          </w:r>
        </w:sdtContent>
      </w:sdt>
      <w:r w:rsidR="00F46247" w:rsidRPr="00EF6374">
        <w:rPr>
          <w:rFonts w:ascii="Arial" w:hAnsi="Arial" w:cs="Arial"/>
          <w:sz w:val="24"/>
          <w:szCs w:val="24"/>
        </w:rPr>
        <w:t xml:space="preserve">. </w:t>
      </w:r>
      <w:r w:rsidR="00DD096D" w:rsidRPr="00EF6374">
        <w:rPr>
          <w:rFonts w:ascii="Arial" w:hAnsi="Arial" w:cs="Arial"/>
          <w:sz w:val="24"/>
          <w:szCs w:val="24"/>
        </w:rPr>
        <w:t xml:space="preserve">The Ratio decidendi means the reason for a decision. This is where they look at the case they have decided on and create a legal document that explains their decision. This means that this is where they reference previous cases. The document may later go on to form new precedents depending on the details of the case. There is </w:t>
      </w:r>
      <w:r w:rsidR="00672647" w:rsidRPr="00EF6374">
        <w:rPr>
          <w:rFonts w:ascii="Arial" w:hAnsi="Arial" w:cs="Arial"/>
          <w:sz w:val="24"/>
          <w:szCs w:val="24"/>
        </w:rPr>
        <w:t xml:space="preserve">also the </w:t>
      </w:r>
      <w:r w:rsidR="00E02085" w:rsidRPr="00EF6374">
        <w:rPr>
          <w:rFonts w:ascii="Arial" w:hAnsi="Arial" w:cs="Arial"/>
          <w:sz w:val="24"/>
          <w:szCs w:val="24"/>
        </w:rPr>
        <w:t xml:space="preserve">Obiter dictum. These are notes that a judge will </w:t>
      </w:r>
      <w:r w:rsidR="00E02085" w:rsidRPr="00EF6374">
        <w:rPr>
          <w:rFonts w:ascii="Arial" w:hAnsi="Arial" w:cs="Arial"/>
          <w:sz w:val="24"/>
          <w:szCs w:val="24"/>
        </w:rPr>
        <w:lastRenderedPageBreak/>
        <w:t xml:space="preserve">make regarding a case </w:t>
      </w:r>
      <w:sdt>
        <w:sdtPr>
          <w:rPr>
            <w:rFonts w:ascii="Arial" w:hAnsi="Arial" w:cs="Arial"/>
            <w:sz w:val="24"/>
            <w:szCs w:val="24"/>
          </w:rPr>
          <w:id w:val="467948749"/>
          <w:citation/>
        </w:sdtPr>
        <w:sdtContent>
          <w:r w:rsidR="00E02085" w:rsidRPr="00EF6374">
            <w:rPr>
              <w:rFonts w:ascii="Arial" w:hAnsi="Arial" w:cs="Arial"/>
              <w:sz w:val="24"/>
              <w:szCs w:val="24"/>
            </w:rPr>
            <w:fldChar w:fldCharType="begin"/>
          </w:r>
          <w:r w:rsidR="00E02085" w:rsidRPr="00EF6374">
            <w:rPr>
              <w:rFonts w:ascii="Arial" w:hAnsi="Arial" w:cs="Arial"/>
              <w:sz w:val="24"/>
              <w:szCs w:val="24"/>
            </w:rPr>
            <w:instrText xml:space="preserve"> CITATION Lex20 \l 2057 </w:instrText>
          </w:r>
          <w:r w:rsidR="00E02085" w:rsidRPr="00EF6374">
            <w:rPr>
              <w:rFonts w:ascii="Arial" w:hAnsi="Arial" w:cs="Arial"/>
              <w:sz w:val="24"/>
              <w:szCs w:val="24"/>
            </w:rPr>
            <w:fldChar w:fldCharType="separate"/>
          </w:r>
          <w:r w:rsidR="00E02085" w:rsidRPr="00EF6374">
            <w:rPr>
              <w:rFonts w:ascii="Arial" w:hAnsi="Arial" w:cs="Arial"/>
              <w:noProof/>
              <w:sz w:val="24"/>
              <w:szCs w:val="24"/>
            </w:rPr>
            <w:t>(Lexis, 2020)</w:t>
          </w:r>
          <w:r w:rsidR="00E02085" w:rsidRPr="00EF6374">
            <w:rPr>
              <w:rFonts w:ascii="Arial" w:hAnsi="Arial" w:cs="Arial"/>
              <w:sz w:val="24"/>
              <w:szCs w:val="24"/>
            </w:rPr>
            <w:fldChar w:fldCharType="end"/>
          </w:r>
        </w:sdtContent>
      </w:sdt>
      <w:r w:rsidR="0013584B" w:rsidRPr="00EF6374">
        <w:rPr>
          <w:rFonts w:ascii="Arial" w:hAnsi="Arial" w:cs="Arial"/>
          <w:sz w:val="24"/>
          <w:szCs w:val="24"/>
        </w:rPr>
        <w:t xml:space="preserve">. Orbiter dictum means things that are said in passing. The </w:t>
      </w:r>
      <w:r w:rsidR="00341050" w:rsidRPr="00EF6374">
        <w:rPr>
          <w:rFonts w:ascii="Arial" w:hAnsi="Arial" w:cs="Arial"/>
          <w:sz w:val="24"/>
          <w:szCs w:val="24"/>
        </w:rPr>
        <w:t xml:space="preserve">orbiter </w:t>
      </w:r>
      <w:r w:rsidR="004F7871" w:rsidRPr="00EF6374">
        <w:rPr>
          <w:rFonts w:ascii="Arial" w:hAnsi="Arial" w:cs="Arial"/>
          <w:sz w:val="24"/>
          <w:szCs w:val="24"/>
        </w:rPr>
        <w:t>dictum</w:t>
      </w:r>
      <w:r w:rsidR="00341050" w:rsidRPr="00EF6374">
        <w:rPr>
          <w:rFonts w:ascii="Arial" w:hAnsi="Arial" w:cs="Arial"/>
          <w:sz w:val="24"/>
          <w:szCs w:val="24"/>
        </w:rPr>
        <w:t xml:space="preserve"> are notes and are therefore not legally binding and do not create precedence. They </w:t>
      </w:r>
      <w:r w:rsidR="00610ABA" w:rsidRPr="00EF6374">
        <w:rPr>
          <w:rFonts w:ascii="Arial" w:hAnsi="Arial" w:cs="Arial"/>
          <w:sz w:val="24"/>
          <w:szCs w:val="24"/>
        </w:rPr>
        <w:t xml:space="preserve">are </w:t>
      </w:r>
      <w:r w:rsidR="00F44C26" w:rsidRPr="00EF6374">
        <w:rPr>
          <w:rFonts w:ascii="Arial" w:hAnsi="Arial" w:cs="Arial"/>
          <w:sz w:val="24"/>
          <w:szCs w:val="24"/>
        </w:rPr>
        <w:t>observation</w:t>
      </w:r>
      <w:r w:rsidR="00610ABA" w:rsidRPr="00EF6374">
        <w:rPr>
          <w:rFonts w:ascii="Arial" w:hAnsi="Arial" w:cs="Arial"/>
          <w:sz w:val="24"/>
          <w:szCs w:val="24"/>
        </w:rPr>
        <w:t xml:space="preserve"> or </w:t>
      </w:r>
      <w:r w:rsidR="00F44C26" w:rsidRPr="00EF6374">
        <w:rPr>
          <w:rFonts w:ascii="Arial" w:hAnsi="Arial" w:cs="Arial"/>
          <w:sz w:val="24"/>
          <w:szCs w:val="24"/>
        </w:rPr>
        <w:t>thoughts</w:t>
      </w:r>
      <w:r w:rsidR="00610ABA" w:rsidRPr="00EF6374">
        <w:rPr>
          <w:rFonts w:ascii="Arial" w:hAnsi="Arial" w:cs="Arial"/>
          <w:sz w:val="24"/>
          <w:szCs w:val="24"/>
        </w:rPr>
        <w:t xml:space="preserve"> made by a </w:t>
      </w:r>
      <w:r w:rsidR="008C2397" w:rsidRPr="00EF6374">
        <w:rPr>
          <w:rFonts w:ascii="Arial" w:hAnsi="Arial" w:cs="Arial"/>
          <w:sz w:val="24"/>
          <w:szCs w:val="24"/>
        </w:rPr>
        <w:t>judge,</w:t>
      </w:r>
      <w:r w:rsidR="00610ABA" w:rsidRPr="00EF6374">
        <w:rPr>
          <w:rFonts w:ascii="Arial" w:hAnsi="Arial" w:cs="Arial"/>
          <w:sz w:val="24"/>
          <w:szCs w:val="24"/>
        </w:rPr>
        <w:t xml:space="preserve"> </w:t>
      </w:r>
      <w:r w:rsidR="00F44C26" w:rsidRPr="00EF6374">
        <w:rPr>
          <w:rFonts w:ascii="Arial" w:hAnsi="Arial" w:cs="Arial"/>
          <w:sz w:val="24"/>
          <w:szCs w:val="24"/>
        </w:rPr>
        <w:t xml:space="preserve">so the orbiter dictum </w:t>
      </w:r>
      <w:r w:rsidR="00EF6374" w:rsidRPr="00EF6374">
        <w:rPr>
          <w:rFonts w:ascii="Arial" w:hAnsi="Arial" w:cs="Arial"/>
          <w:sz w:val="24"/>
          <w:szCs w:val="24"/>
        </w:rPr>
        <w:t>allows</w:t>
      </w:r>
      <w:r w:rsidR="00F44C26" w:rsidRPr="00EF6374">
        <w:rPr>
          <w:rFonts w:ascii="Arial" w:hAnsi="Arial" w:cs="Arial"/>
          <w:sz w:val="24"/>
          <w:szCs w:val="24"/>
        </w:rPr>
        <w:t xml:space="preserve"> for another judge or civilian to understand what a judge was thinking at the time. </w:t>
      </w:r>
    </w:p>
    <w:p w14:paraId="31CA4207" w14:textId="4928FB99" w:rsidR="00D20D7C" w:rsidRPr="00EF6374" w:rsidRDefault="00F46247" w:rsidP="00DD096D">
      <w:pPr>
        <w:spacing w:line="480" w:lineRule="auto"/>
        <w:ind w:left="720"/>
        <w:rPr>
          <w:rFonts w:ascii="Arial" w:hAnsi="Arial" w:cs="Arial"/>
          <w:sz w:val="24"/>
          <w:szCs w:val="24"/>
        </w:rPr>
      </w:pPr>
      <w:r w:rsidRPr="00EF6374">
        <w:rPr>
          <w:rFonts w:ascii="Arial" w:hAnsi="Arial" w:cs="Arial"/>
          <w:sz w:val="24"/>
          <w:szCs w:val="24"/>
        </w:rPr>
        <w:t xml:space="preserve">This </w:t>
      </w:r>
      <w:r w:rsidR="00925EC0">
        <w:rPr>
          <w:rFonts w:ascii="Arial" w:hAnsi="Arial" w:cs="Arial"/>
          <w:sz w:val="24"/>
          <w:szCs w:val="24"/>
        </w:rPr>
        <w:t xml:space="preserve">judicial precedence </w:t>
      </w:r>
      <w:r w:rsidRPr="00EF6374">
        <w:rPr>
          <w:rFonts w:ascii="Arial" w:hAnsi="Arial" w:cs="Arial"/>
          <w:sz w:val="24"/>
          <w:szCs w:val="24"/>
        </w:rPr>
        <w:t xml:space="preserve">means that the details of the decision must </w:t>
      </w:r>
      <w:r w:rsidR="0029022C" w:rsidRPr="00EF6374">
        <w:rPr>
          <w:rFonts w:ascii="Arial" w:hAnsi="Arial" w:cs="Arial"/>
          <w:sz w:val="24"/>
          <w:szCs w:val="24"/>
        </w:rPr>
        <w:t>match</w:t>
      </w:r>
      <w:r w:rsidR="005A0853" w:rsidRPr="00EF6374">
        <w:rPr>
          <w:rFonts w:ascii="Arial" w:hAnsi="Arial" w:cs="Arial"/>
          <w:sz w:val="24"/>
          <w:szCs w:val="24"/>
        </w:rPr>
        <w:t xml:space="preserve">. </w:t>
      </w:r>
      <w:r w:rsidR="00CB4F4A" w:rsidRPr="00EF6374">
        <w:rPr>
          <w:rFonts w:ascii="Arial" w:hAnsi="Arial" w:cs="Arial"/>
          <w:sz w:val="24"/>
          <w:szCs w:val="24"/>
        </w:rPr>
        <w:t>Precedent</w:t>
      </w:r>
      <w:r w:rsidR="005A0853" w:rsidRPr="00EF6374">
        <w:rPr>
          <w:rFonts w:ascii="Arial" w:hAnsi="Arial" w:cs="Arial"/>
          <w:sz w:val="24"/>
          <w:szCs w:val="24"/>
        </w:rPr>
        <w:t xml:space="preserve"> can</w:t>
      </w:r>
      <w:r w:rsidR="00C210B3" w:rsidRPr="00EF6374">
        <w:rPr>
          <w:rFonts w:ascii="Arial" w:hAnsi="Arial" w:cs="Arial"/>
          <w:sz w:val="24"/>
          <w:szCs w:val="24"/>
        </w:rPr>
        <w:t xml:space="preserve"> also be overruled</w:t>
      </w:r>
      <w:r w:rsidR="000D3FED" w:rsidRPr="00EF6374">
        <w:rPr>
          <w:rFonts w:ascii="Arial" w:hAnsi="Arial" w:cs="Arial"/>
          <w:sz w:val="24"/>
          <w:szCs w:val="24"/>
        </w:rPr>
        <w:t xml:space="preserve">. This occurs when a judge of a higher court </w:t>
      </w:r>
      <w:r w:rsidR="006E483B" w:rsidRPr="00EF6374">
        <w:rPr>
          <w:rFonts w:ascii="Arial" w:hAnsi="Arial" w:cs="Arial"/>
          <w:sz w:val="24"/>
          <w:szCs w:val="24"/>
        </w:rPr>
        <w:t xml:space="preserve">creates </w:t>
      </w:r>
      <w:r w:rsidR="00EB5D68" w:rsidRPr="00EF6374">
        <w:rPr>
          <w:rFonts w:ascii="Arial" w:hAnsi="Arial" w:cs="Arial"/>
          <w:sz w:val="24"/>
          <w:szCs w:val="24"/>
        </w:rPr>
        <w:t>contradictory case law</w:t>
      </w:r>
      <w:r w:rsidR="004E2D49" w:rsidRPr="00EF6374">
        <w:rPr>
          <w:rFonts w:ascii="Arial" w:hAnsi="Arial" w:cs="Arial"/>
          <w:sz w:val="24"/>
          <w:szCs w:val="24"/>
        </w:rPr>
        <w:t xml:space="preserve">. </w:t>
      </w:r>
      <w:r w:rsidR="00846A4D" w:rsidRPr="00EF6374">
        <w:rPr>
          <w:rFonts w:ascii="Arial" w:hAnsi="Arial" w:cs="Arial"/>
          <w:sz w:val="24"/>
          <w:szCs w:val="24"/>
        </w:rPr>
        <w:t>This ne</w:t>
      </w:r>
      <w:r w:rsidR="0095614E" w:rsidRPr="00EF6374">
        <w:rPr>
          <w:rFonts w:ascii="Arial" w:hAnsi="Arial" w:cs="Arial"/>
          <w:sz w:val="24"/>
          <w:szCs w:val="24"/>
        </w:rPr>
        <w:t>w precedent is then used instead of the old president</w:t>
      </w:r>
      <w:r w:rsidR="008B57E4" w:rsidRPr="00EF6374">
        <w:rPr>
          <w:rFonts w:ascii="Arial" w:hAnsi="Arial" w:cs="Arial"/>
          <w:sz w:val="24"/>
          <w:szCs w:val="24"/>
        </w:rPr>
        <w:t xml:space="preserve"> </w:t>
      </w:r>
      <w:sdt>
        <w:sdtPr>
          <w:rPr>
            <w:rFonts w:ascii="Arial" w:hAnsi="Arial" w:cs="Arial"/>
            <w:sz w:val="24"/>
            <w:szCs w:val="24"/>
          </w:rPr>
          <w:id w:val="-22874277"/>
          <w:citation/>
        </w:sdtPr>
        <w:sdtContent>
          <w:r w:rsidR="00887622">
            <w:rPr>
              <w:rFonts w:ascii="Arial" w:hAnsi="Arial" w:cs="Arial"/>
              <w:sz w:val="24"/>
              <w:szCs w:val="24"/>
            </w:rPr>
            <w:fldChar w:fldCharType="begin"/>
          </w:r>
          <w:r w:rsidR="00887622">
            <w:rPr>
              <w:rFonts w:ascii="Arial" w:hAnsi="Arial" w:cs="Arial"/>
              <w:sz w:val="24"/>
              <w:szCs w:val="24"/>
            </w:rPr>
            <w:instrText xml:space="preserve"> CITATION Law13 \l 2057 </w:instrText>
          </w:r>
          <w:r w:rsidR="00887622">
            <w:rPr>
              <w:rFonts w:ascii="Arial" w:hAnsi="Arial" w:cs="Arial"/>
              <w:sz w:val="24"/>
              <w:szCs w:val="24"/>
            </w:rPr>
            <w:fldChar w:fldCharType="separate"/>
          </w:r>
          <w:r w:rsidR="00887622" w:rsidRPr="00887622">
            <w:rPr>
              <w:rFonts w:ascii="Arial" w:hAnsi="Arial" w:cs="Arial"/>
              <w:noProof/>
              <w:sz w:val="24"/>
              <w:szCs w:val="24"/>
            </w:rPr>
            <w:t>(Law Teacher, 2013)</w:t>
          </w:r>
          <w:r w:rsidR="00887622">
            <w:rPr>
              <w:rFonts w:ascii="Arial" w:hAnsi="Arial" w:cs="Arial"/>
              <w:sz w:val="24"/>
              <w:szCs w:val="24"/>
            </w:rPr>
            <w:fldChar w:fldCharType="end"/>
          </w:r>
        </w:sdtContent>
      </w:sdt>
      <w:r w:rsidR="0095614E" w:rsidRPr="00EF6374">
        <w:rPr>
          <w:rFonts w:ascii="Arial" w:hAnsi="Arial" w:cs="Arial"/>
          <w:sz w:val="24"/>
          <w:szCs w:val="24"/>
        </w:rPr>
        <w:t>.</w:t>
      </w:r>
      <w:r w:rsidR="008B57E4" w:rsidRPr="00EF6374">
        <w:rPr>
          <w:rFonts w:ascii="Arial" w:hAnsi="Arial" w:cs="Arial"/>
          <w:sz w:val="24"/>
          <w:szCs w:val="24"/>
        </w:rPr>
        <w:t xml:space="preserve"> If a case is similar, but it has a </w:t>
      </w:r>
      <w:r w:rsidR="008C2397" w:rsidRPr="00EF6374">
        <w:rPr>
          <w:rFonts w:ascii="Arial" w:hAnsi="Arial" w:cs="Arial"/>
          <w:sz w:val="24"/>
          <w:szCs w:val="24"/>
        </w:rPr>
        <w:t>slight but significant difference</w:t>
      </w:r>
      <w:r w:rsidR="00646DFD" w:rsidRPr="00EF6374">
        <w:rPr>
          <w:rFonts w:ascii="Arial" w:hAnsi="Arial" w:cs="Arial"/>
          <w:sz w:val="24"/>
          <w:szCs w:val="24"/>
        </w:rPr>
        <w:t xml:space="preserve"> in the points of law</w:t>
      </w:r>
      <w:r w:rsidR="00934B6A" w:rsidRPr="00EF6374">
        <w:rPr>
          <w:rFonts w:ascii="Arial" w:hAnsi="Arial" w:cs="Arial"/>
          <w:sz w:val="24"/>
          <w:szCs w:val="24"/>
        </w:rPr>
        <w:t>,</w:t>
      </w:r>
      <w:r w:rsidR="00A76703" w:rsidRPr="00EF6374">
        <w:rPr>
          <w:rFonts w:ascii="Arial" w:hAnsi="Arial" w:cs="Arial"/>
          <w:sz w:val="24"/>
          <w:szCs w:val="24"/>
        </w:rPr>
        <w:t xml:space="preserve"> then the judge will not be able to use that specific precedence</w:t>
      </w:r>
      <w:r w:rsidR="00EC64B7">
        <w:rPr>
          <w:rFonts w:ascii="Arial" w:hAnsi="Arial" w:cs="Arial"/>
          <w:sz w:val="24"/>
          <w:szCs w:val="24"/>
        </w:rPr>
        <w:t xml:space="preserve">. </w:t>
      </w:r>
      <w:r w:rsidR="00442172" w:rsidRPr="00EF6374">
        <w:rPr>
          <w:rFonts w:ascii="Arial" w:hAnsi="Arial" w:cs="Arial"/>
          <w:sz w:val="24"/>
          <w:szCs w:val="24"/>
        </w:rPr>
        <w:t xml:space="preserve">The Ratio decidendi means the </w:t>
      </w:r>
      <w:r w:rsidR="009B7635" w:rsidRPr="00EF6374">
        <w:rPr>
          <w:rFonts w:ascii="Arial" w:hAnsi="Arial" w:cs="Arial"/>
          <w:sz w:val="24"/>
          <w:szCs w:val="24"/>
        </w:rPr>
        <w:t xml:space="preserve">reason for a decision. This is where they look at the case they have decided on and create a legal document that explains their </w:t>
      </w:r>
      <w:r w:rsidR="00DD096D" w:rsidRPr="00EF6374">
        <w:rPr>
          <w:rFonts w:ascii="Arial" w:hAnsi="Arial" w:cs="Arial"/>
          <w:sz w:val="24"/>
          <w:szCs w:val="24"/>
        </w:rPr>
        <w:t>decision</w:t>
      </w:r>
      <w:r w:rsidR="009B7635" w:rsidRPr="00EF6374">
        <w:rPr>
          <w:rFonts w:ascii="Arial" w:hAnsi="Arial" w:cs="Arial"/>
          <w:sz w:val="24"/>
          <w:szCs w:val="24"/>
        </w:rPr>
        <w:t xml:space="preserve">. This means that this is where they reference previous cases. The document </w:t>
      </w:r>
      <w:r w:rsidR="00750028" w:rsidRPr="00EF6374">
        <w:rPr>
          <w:rFonts w:ascii="Arial" w:hAnsi="Arial" w:cs="Arial"/>
          <w:sz w:val="24"/>
          <w:szCs w:val="24"/>
        </w:rPr>
        <w:t xml:space="preserve">may later go on to form new </w:t>
      </w:r>
      <w:r w:rsidR="00DD096D" w:rsidRPr="00EF6374">
        <w:rPr>
          <w:rFonts w:ascii="Arial" w:hAnsi="Arial" w:cs="Arial"/>
          <w:sz w:val="24"/>
          <w:szCs w:val="24"/>
        </w:rPr>
        <w:t xml:space="preserve">precedents depending on the details of the case. </w:t>
      </w:r>
    </w:p>
    <w:p w14:paraId="0D6040E9" w14:textId="50C2F53F" w:rsidR="00FE23E5" w:rsidRPr="00EF6374" w:rsidRDefault="00F44C26" w:rsidP="00FE23E5">
      <w:pPr>
        <w:spacing w:line="480" w:lineRule="auto"/>
        <w:ind w:left="720"/>
        <w:rPr>
          <w:rFonts w:ascii="Arial" w:hAnsi="Arial" w:cs="Arial"/>
          <w:sz w:val="24"/>
          <w:szCs w:val="24"/>
        </w:rPr>
      </w:pPr>
      <w:r w:rsidRPr="00EF6374">
        <w:rPr>
          <w:rFonts w:ascii="Arial" w:hAnsi="Arial" w:cs="Arial"/>
          <w:sz w:val="24"/>
          <w:szCs w:val="24"/>
        </w:rPr>
        <w:t xml:space="preserve">Civil law is </w:t>
      </w:r>
      <w:r w:rsidR="009E2C92" w:rsidRPr="00EF6374">
        <w:rPr>
          <w:rFonts w:ascii="Arial" w:hAnsi="Arial" w:cs="Arial"/>
          <w:sz w:val="24"/>
          <w:szCs w:val="24"/>
        </w:rPr>
        <w:t xml:space="preserve">found within the civil court. The civil court system exists to </w:t>
      </w:r>
      <w:r w:rsidR="00FC3210" w:rsidRPr="00EF6374">
        <w:rPr>
          <w:rFonts w:ascii="Arial" w:hAnsi="Arial" w:cs="Arial"/>
          <w:sz w:val="24"/>
          <w:szCs w:val="24"/>
        </w:rPr>
        <w:t xml:space="preserve">settle </w:t>
      </w:r>
      <w:r w:rsidR="000871FB" w:rsidRPr="00EF6374">
        <w:rPr>
          <w:rFonts w:ascii="Arial" w:hAnsi="Arial" w:cs="Arial"/>
          <w:sz w:val="24"/>
          <w:szCs w:val="24"/>
        </w:rPr>
        <w:t>disagreements between two</w:t>
      </w:r>
      <w:r w:rsidR="00013A8C" w:rsidRPr="00EF6374">
        <w:rPr>
          <w:rFonts w:ascii="Arial" w:hAnsi="Arial" w:cs="Arial"/>
          <w:sz w:val="24"/>
          <w:szCs w:val="24"/>
        </w:rPr>
        <w:t xml:space="preserve"> private</w:t>
      </w:r>
      <w:r w:rsidR="000871FB" w:rsidRPr="00EF6374">
        <w:rPr>
          <w:rFonts w:ascii="Arial" w:hAnsi="Arial" w:cs="Arial"/>
          <w:sz w:val="24"/>
          <w:szCs w:val="24"/>
        </w:rPr>
        <w:t xml:space="preserve"> organisations or people </w:t>
      </w:r>
      <w:sdt>
        <w:sdtPr>
          <w:rPr>
            <w:rFonts w:ascii="Arial" w:hAnsi="Arial" w:cs="Arial"/>
            <w:sz w:val="24"/>
            <w:szCs w:val="24"/>
          </w:rPr>
          <w:id w:val="26526294"/>
          <w:citation/>
        </w:sdtPr>
        <w:sdtContent>
          <w:r w:rsidR="000871FB" w:rsidRPr="00EF6374">
            <w:rPr>
              <w:rFonts w:ascii="Arial" w:hAnsi="Arial" w:cs="Arial"/>
              <w:sz w:val="24"/>
              <w:szCs w:val="24"/>
            </w:rPr>
            <w:fldChar w:fldCharType="begin"/>
          </w:r>
          <w:r w:rsidR="000871FB" w:rsidRPr="00EF6374">
            <w:rPr>
              <w:rFonts w:ascii="Arial" w:hAnsi="Arial" w:cs="Arial"/>
              <w:sz w:val="24"/>
              <w:szCs w:val="24"/>
            </w:rPr>
            <w:instrText xml:space="preserve"> CITATION Cou20 \l 2057 </w:instrText>
          </w:r>
          <w:r w:rsidR="000871FB" w:rsidRPr="00EF6374">
            <w:rPr>
              <w:rFonts w:ascii="Arial" w:hAnsi="Arial" w:cs="Arial"/>
              <w:sz w:val="24"/>
              <w:szCs w:val="24"/>
            </w:rPr>
            <w:fldChar w:fldCharType="separate"/>
          </w:r>
          <w:r w:rsidR="000871FB" w:rsidRPr="00EF6374">
            <w:rPr>
              <w:rFonts w:ascii="Arial" w:hAnsi="Arial" w:cs="Arial"/>
              <w:noProof/>
              <w:sz w:val="24"/>
              <w:szCs w:val="24"/>
            </w:rPr>
            <w:t>(Courts and Tribunals Judiciary, 2020)</w:t>
          </w:r>
          <w:r w:rsidR="000871FB" w:rsidRPr="00EF6374">
            <w:rPr>
              <w:rFonts w:ascii="Arial" w:hAnsi="Arial" w:cs="Arial"/>
              <w:sz w:val="24"/>
              <w:szCs w:val="24"/>
            </w:rPr>
            <w:fldChar w:fldCharType="end"/>
          </w:r>
        </w:sdtContent>
      </w:sdt>
      <w:r w:rsidR="000871FB" w:rsidRPr="00EF6374">
        <w:rPr>
          <w:rFonts w:ascii="Arial" w:hAnsi="Arial" w:cs="Arial"/>
          <w:sz w:val="24"/>
          <w:szCs w:val="24"/>
        </w:rPr>
        <w:t xml:space="preserve">. </w:t>
      </w:r>
      <w:r w:rsidR="005946E3" w:rsidRPr="00EF6374">
        <w:rPr>
          <w:rFonts w:ascii="Arial" w:hAnsi="Arial" w:cs="Arial"/>
          <w:sz w:val="24"/>
          <w:szCs w:val="24"/>
        </w:rPr>
        <w:t xml:space="preserve">The civil courts system </w:t>
      </w:r>
      <w:r w:rsidR="00C9752A" w:rsidRPr="00EF6374">
        <w:rPr>
          <w:rFonts w:ascii="Arial" w:hAnsi="Arial" w:cs="Arial"/>
          <w:sz w:val="24"/>
          <w:szCs w:val="24"/>
        </w:rPr>
        <w:t xml:space="preserve">only uses a jury when a trial in court involves </w:t>
      </w:r>
      <w:r w:rsidR="00D62163" w:rsidRPr="00EF6374">
        <w:rPr>
          <w:rFonts w:ascii="Arial" w:hAnsi="Arial" w:cs="Arial"/>
          <w:sz w:val="24"/>
          <w:szCs w:val="24"/>
        </w:rPr>
        <w:t xml:space="preserve">actions that affect the wider population. For </w:t>
      </w:r>
      <w:r w:rsidR="00837A23" w:rsidRPr="00EF6374">
        <w:rPr>
          <w:rFonts w:ascii="Arial" w:hAnsi="Arial" w:cs="Arial"/>
          <w:sz w:val="24"/>
          <w:szCs w:val="24"/>
        </w:rPr>
        <w:t>example,</w:t>
      </w:r>
      <w:r w:rsidR="00D62163" w:rsidRPr="00EF6374">
        <w:rPr>
          <w:rFonts w:ascii="Arial" w:hAnsi="Arial" w:cs="Arial"/>
          <w:sz w:val="24"/>
          <w:szCs w:val="24"/>
        </w:rPr>
        <w:t xml:space="preserve"> a case where someone tries to ruin someone </w:t>
      </w:r>
      <w:r w:rsidR="00BA7B2E" w:rsidRPr="00EF6374">
        <w:rPr>
          <w:rFonts w:ascii="Arial" w:hAnsi="Arial" w:cs="Arial"/>
          <w:sz w:val="24"/>
          <w:szCs w:val="24"/>
        </w:rPr>
        <w:t>reputation</w:t>
      </w:r>
      <w:r w:rsidR="00D62163" w:rsidRPr="00EF6374">
        <w:rPr>
          <w:rFonts w:ascii="Arial" w:hAnsi="Arial" w:cs="Arial"/>
          <w:sz w:val="24"/>
          <w:szCs w:val="24"/>
        </w:rPr>
        <w:t xml:space="preserve"> or if </w:t>
      </w:r>
      <w:r w:rsidR="00BA7B2E" w:rsidRPr="00EF6374">
        <w:rPr>
          <w:rFonts w:ascii="Arial" w:hAnsi="Arial" w:cs="Arial"/>
          <w:sz w:val="24"/>
          <w:szCs w:val="24"/>
        </w:rPr>
        <w:t xml:space="preserve">one </w:t>
      </w:r>
      <w:r w:rsidR="00BA7A5A" w:rsidRPr="00EF6374">
        <w:rPr>
          <w:rFonts w:ascii="Arial" w:hAnsi="Arial" w:cs="Arial"/>
          <w:sz w:val="24"/>
          <w:szCs w:val="24"/>
        </w:rPr>
        <w:t>person’s</w:t>
      </w:r>
      <w:r w:rsidR="00BA7B2E" w:rsidRPr="00EF6374">
        <w:rPr>
          <w:rFonts w:ascii="Arial" w:hAnsi="Arial" w:cs="Arial"/>
          <w:sz w:val="24"/>
          <w:szCs w:val="24"/>
        </w:rPr>
        <w:t xml:space="preserve"> actions could put other in the same situation. </w:t>
      </w:r>
      <w:r w:rsidR="00837A23" w:rsidRPr="00EF6374">
        <w:rPr>
          <w:rFonts w:ascii="Arial" w:hAnsi="Arial" w:cs="Arial"/>
          <w:sz w:val="24"/>
          <w:szCs w:val="24"/>
        </w:rPr>
        <w:t xml:space="preserve">The civil court judges will look at a case and </w:t>
      </w:r>
      <w:r w:rsidR="00BA7A5A" w:rsidRPr="00EF6374">
        <w:rPr>
          <w:rFonts w:ascii="Arial" w:hAnsi="Arial" w:cs="Arial"/>
          <w:sz w:val="24"/>
          <w:szCs w:val="24"/>
        </w:rPr>
        <w:t xml:space="preserve">decide if an event statistic did happen or not </w:t>
      </w:r>
      <w:sdt>
        <w:sdtPr>
          <w:rPr>
            <w:rFonts w:ascii="Arial" w:hAnsi="Arial" w:cs="Arial"/>
            <w:sz w:val="24"/>
            <w:szCs w:val="24"/>
          </w:rPr>
          <w:id w:val="1669126168"/>
          <w:citation/>
        </w:sdtPr>
        <w:sdtContent>
          <w:r w:rsidR="00BA7A5A" w:rsidRPr="00EF6374">
            <w:rPr>
              <w:rFonts w:ascii="Arial" w:hAnsi="Arial" w:cs="Arial"/>
              <w:sz w:val="24"/>
              <w:szCs w:val="24"/>
            </w:rPr>
            <w:fldChar w:fldCharType="begin"/>
          </w:r>
          <w:r w:rsidR="00BA7A5A" w:rsidRPr="00EF6374">
            <w:rPr>
              <w:rFonts w:ascii="Arial" w:hAnsi="Arial" w:cs="Arial"/>
              <w:sz w:val="24"/>
              <w:szCs w:val="24"/>
            </w:rPr>
            <w:instrText xml:space="preserve"> CITATION Lex201 \l 2057 </w:instrText>
          </w:r>
          <w:r w:rsidR="00BA7A5A" w:rsidRPr="00EF6374">
            <w:rPr>
              <w:rFonts w:ascii="Arial" w:hAnsi="Arial" w:cs="Arial"/>
              <w:sz w:val="24"/>
              <w:szCs w:val="24"/>
            </w:rPr>
            <w:fldChar w:fldCharType="separate"/>
          </w:r>
          <w:r w:rsidR="00BA7A5A" w:rsidRPr="00EF6374">
            <w:rPr>
              <w:rFonts w:ascii="Arial" w:hAnsi="Arial" w:cs="Arial"/>
              <w:noProof/>
              <w:sz w:val="24"/>
              <w:szCs w:val="24"/>
            </w:rPr>
            <w:t>(Lexis, 2020)</w:t>
          </w:r>
          <w:r w:rsidR="00BA7A5A" w:rsidRPr="00EF6374">
            <w:rPr>
              <w:rFonts w:ascii="Arial" w:hAnsi="Arial" w:cs="Arial"/>
              <w:sz w:val="24"/>
              <w:szCs w:val="24"/>
            </w:rPr>
            <w:fldChar w:fldCharType="end"/>
          </w:r>
        </w:sdtContent>
      </w:sdt>
      <w:r w:rsidR="00BA7A5A" w:rsidRPr="00EF6374">
        <w:rPr>
          <w:rFonts w:ascii="Arial" w:hAnsi="Arial" w:cs="Arial"/>
          <w:sz w:val="24"/>
          <w:szCs w:val="24"/>
        </w:rPr>
        <w:t xml:space="preserve">.  </w:t>
      </w:r>
      <w:r w:rsidR="00F638E0" w:rsidRPr="00EF6374">
        <w:rPr>
          <w:rFonts w:ascii="Arial" w:hAnsi="Arial" w:cs="Arial"/>
          <w:sz w:val="24"/>
          <w:szCs w:val="24"/>
        </w:rPr>
        <w:t xml:space="preserve">This is known as the balance of probability. </w:t>
      </w:r>
      <w:r w:rsidR="0031637E" w:rsidRPr="00EF6374">
        <w:rPr>
          <w:rFonts w:ascii="Arial" w:hAnsi="Arial" w:cs="Arial"/>
          <w:sz w:val="24"/>
          <w:szCs w:val="24"/>
        </w:rPr>
        <w:t xml:space="preserve"> This </w:t>
      </w:r>
      <w:r w:rsidR="009C3766" w:rsidRPr="00EF6374">
        <w:rPr>
          <w:rFonts w:ascii="Arial" w:hAnsi="Arial" w:cs="Arial"/>
          <w:sz w:val="24"/>
          <w:szCs w:val="24"/>
        </w:rPr>
        <w:t xml:space="preserve">means that the </w:t>
      </w:r>
      <w:r w:rsidR="006F39E9" w:rsidRPr="00EF6374">
        <w:rPr>
          <w:rFonts w:ascii="Arial" w:hAnsi="Arial" w:cs="Arial"/>
          <w:sz w:val="24"/>
          <w:szCs w:val="24"/>
        </w:rPr>
        <w:t xml:space="preserve">judge </w:t>
      </w:r>
      <w:r w:rsidR="00FB2B09" w:rsidRPr="00EF6374">
        <w:rPr>
          <w:rFonts w:ascii="Arial" w:hAnsi="Arial" w:cs="Arial"/>
          <w:sz w:val="24"/>
          <w:szCs w:val="24"/>
        </w:rPr>
        <w:t xml:space="preserve">will look at all the presented facts and </w:t>
      </w:r>
      <w:r w:rsidR="009557C8" w:rsidRPr="00EF6374">
        <w:rPr>
          <w:rFonts w:ascii="Arial" w:hAnsi="Arial" w:cs="Arial"/>
          <w:sz w:val="24"/>
          <w:szCs w:val="24"/>
        </w:rPr>
        <w:t>intern</w:t>
      </w:r>
      <w:r w:rsidR="00636BD6" w:rsidRPr="00EF6374">
        <w:rPr>
          <w:rFonts w:ascii="Arial" w:hAnsi="Arial" w:cs="Arial"/>
          <w:sz w:val="24"/>
          <w:szCs w:val="24"/>
        </w:rPr>
        <w:t xml:space="preserve">ally </w:t>
      </w:r>
      <w:r w:rsidR="00203E03" w:rsidRPr="00EF6374">
        <w:rPr>
          <w:rFonts w:ascii="Arial" w:hAnsi="Arial" w:cs="Arial"/>
          <w:sz w:val="24"/>
          <w:szCs w:val="24"/>
        </w:rPr>
        <w:t xml:space="preserve">calculate </w:t>
      </w:r>
      <w:r w:rsidR="00636BD6" w:rsidRPr="00EF6374">
        <w:rPr>
          <w:rFonts w:ascii="Arial" w:hAnsi="Arial" w:cs="Arial"/>
          <w:sz w:val="24"/>
          <w:szCs w:val="24"/>
        </w:rPr>
        <w:t xml:space="preserve">if an event occurred. </w:t>
      </w:r>
      <w:r w:rsidR="00013A8C" w:rsidRPr="00EF6374">
        <w:rPr>
          <w:rFonts w:ascii="Arial" w:hAnsi="Arial" w:cs="Arial"/>
          <w:sz w:val="24"/>
          <w:szCs w:val="24"/>
        </w:rPr>
        <w:t xml:space="preserve"> The civil court </w:t>
      </w:r>
      <w:r w:rsidR="00013A8C" w:rsidRPr="00EF6374">
        <w:rPr>
          <w:rFonts w:ascii="Arial" w:hAnsi="Arial" w:cs="Arial"/>
          <w:sz w:val="24"/>
          <w:szCs w:val="24"/>
        </w:rPr>
        <w:lastRenderedPageBreak/>
        <w:t xml:space="preserve">system </w:t>
      </w:r>
      <w:r w:rsidR="003354DC" w:rsidRPr="00EF6374">
        <w:rPr>
          <w:rFonts w:ascii="Arial" w:hAnsi="Arial" w:cs="Arial"/>
          <w:sz w:val="24"/>
          <w:szCs w:val="24"/>
        </w:rPr>
        <w:t xml:space="preserve">involves </w:t>
      </w:r>
      <w:r w:rsidR="007E04CF" w:rsidRPr="00EF6374">
        <w:rPr>
          <w:rFonts w:ascii="Arial" w:hAnsi="Arial" w:cs="Arial"/>
          <w:sz w:val="24"/>
          <w:szCs w:val="24"/>
        </w:rPr>
        <w:t xml:space="preserve">private </w:t>
      </w:r>
      <w:r w:rsidR="00A527E8" w:rsidRPr="00EF6374">
        <w:rPr>
          <w:rFonts w:ascii="Arial" w:hAnsi="Arial" w:cs="Arial"/>
          <w:sz w:val="24"/>
          <w:szCs w:val="24"/>
        </w:rPr>
        <w:t>organisations</w:t>
      </w:r>
      <w:r w:rsidR="007E04CF" w:rsidRPr="00EF6374">
        <w:rPr>
          <w:rFonts w:ascii="Arial" w:hAnsi="Arial" w:cs="Arial"/>
          <w:sz w:val="24"/>
          <w:szCs w:val="24"/>
        </w:rPr>
        <w:t xml:space="preserve"> </w:t>
      </w:r>
      <w:r w:rsidR="006A5712" w:rsidRPr="00EF6374">
        <w:rPr>
          <w:rFonts w:ascii="Arial" w:hAnsi="Arial" w:cs="Arial"/>
          <w:sz w:val="24"/>
          <w:szCs w:val="24"/>
        </w:rPr>
        <w:t xml:space="preserve">and people </w:t>
      </w:r>
      <w:r w:rsidR="00813AC3" w:rsidRPr="00EF6374">
        <w:rPr>
          <w:rFonts w:ascii="Arial" w:hAnsi="Arial" w:cs="Arial"/>
          <w:sz w:val="24"/>
          <w:szCs w:val="24"/>
        </w:rPr>
        <w:t xml:space="preserve">disputing cases that do not involve public safety. </w:t>
      </w:r>
      <w:r w:rsidR="007E6AAF" w:rsidRPr="00EF6374">
        <w:rPr>
          <w:rFonts w:ascii="Arial" w:hAnsi="Arial" w:cs="Arial"/>
          <w:sz w:val="24"/>
          <w:szCs w:val="24"/>
        </w:rPr>
        <w:t xml:space="preserve"> </w:t>
      </w:r>
    </w:p>
    <w:p w14:paraId="62474894" w14:textId="77777777" w:rsidR="00FE23E5" w:rsidRPr="00EF6374" w:rsidRDefault="00FE23E5" w:rsidP="00FE23E5">
      <w:pPr>
        <w:spacing w:line="480" w:lineRule="auto"/>
        <w:ind w:left="720"/>
        <w:rPr>
          <w:rFonts w:ascii="Arial" w:hAnsi="Arial" w:cs="Arial"/>
          <w:sz w:val="24"/>
          <w:szCs w:val="24"/>
        </w:rPr>
      </w:pPr>
    </w:p>
    <w:p w14:paraId="380902FA" w14:textId="10306591" w:rsidR="00636BD6" w:rsidRDefault="00EF6374" w:rsidP="00374753">
      <w:pPr>
        <w:spacing w:line="480" w:lineRule="auto"/>
        <w:ind w:left="720"/>
        <w:rPr>
          <w:rFonts w:ascii="Arial" w:hAnsi="Arial" w:cs="Arial"/>
          <w:sz w:val="24"/>
          <w:szCs w:val="24"/>
        </w:rPr>
      </w:pPr>
      <w:r w:rsidRPr="00EF6374">
        <w:rPr>
          <w:rFonts w:ascii="Arial" w:hAnsi="Arial" w:cs="Arial"/>
          <w:sz w:val="24"/>
          <w:szCs w:val="24"/>
        </w:rPr>
        <w:t>Common law and civil</w:t>
      </w:r>
      <w:r>
        <w:rPr>
          <w:rFonts w:ascii="Arial" w:hAnsi="Arial" w:cs="Arial"/>
          <w:sz w:val="24"/>
          <w:szCs w:val="24"/>
        </w:rPr>
        <w:t xml:space="preserve"> </w:t>
      </w:r>
      <w:r w:rsidR="00B867EA">
        <w:rPr>
          <w:rFonts w:ascii="Arial" w:hAnsi="Arial" w:cs="Arial"/>
          <w:sz w:val="24"/>
          <w:szCs w:val="24"/>
        </w:rPr>
        <w:t xml:space="preserve">law were both created to solve </w:t>
      </w:r>
      <w:r w:rsidR="00AD0C66">
        <w:rPr>
          <w:rFonts w:ascii="Arial" w:hAnsi="Arial" w:cs="Arial"/>
          <w:sz w:val="24"/>
          <w:szCs w:val="24"/>
        </w:rPr>
        <w:t>the same issue. They were both created to solve disputes</w:t>
      </w:r>
      <w:r w:rsidR="00A82FA3">
        <w:rPr>
          <w:rFonts w:ascii="Arial" w:hAnsi="Arial" w:cs="Arial"/>
          <w:sz w:val="24"/>
          <w:szCs w:val="24"/>
        </w:rPr>
        <w:t xml:space="preserve"> between </w:t>
      </w:r>
      <w:r w:rsidR="00AB502B">
        <w:rPr>
          <w:rFonts w:ascii="Arial" w:hAnsi="Arial" w:cs="Arial"/>
          <w:sz w:val="24"/>
          <w:szCs w:val="24"/>
        </w:rPr>
        <w:t>two parties</w:t>
      </w:r>
      <w:r w:rsidR="00BB513D">
        <w:rPr>
          <w:rFonts w:ascii="Arial" w:hAnsi="Arial" w:cs="Arial"/>
          <w:sz w:val="24"/>
          <w:szCs w:val="24"/>
        </w:rPr>
        <w:t xml:space="preserve">. </w:t>
      </w:r>
      <w:r w:rsidR="0021363A">
        <w:rPr>
          <w:rFonts w:ascii="Arial" w:hAnsi="Arial" w:cs="Arial"/>
          <w:sz w:val="24"/>
          <w:szCs w:val="24"/>
        </w:rPr>
        <w:t>Common law</w:t>
      </w:r>
      <w:r w:rsidR="005D5A9F">
        <w:rPr>
          <w:rFonts w:ascii="Arial" w:hAnsi="Arial" w:cs="Arial"/>
          <w:sz w:val="24"/>
          <w:szCs w:val="24"/>
        </w:rPr>
        <w:t xml:space="preserve"> was used to settle disputes between two people. The </w:t>
      </w:r>
      <w:r w:rsidR="00B326B3">
        <w:rPr>
          <w:rFonts w:ascii="Arial" w:hAnsi="Arial" w:cs="Arial"/>
          <w:sz w:val="24"/>
          <w:szCs w:val="24"/>
        </w:rPr>
        <w:t>king was the ruler of the land.</w:t>
      </w:r>
      <w:r w:rsidR="00327F86">
        <w:rPr>
          <w:rFonts w:ascii="Arial" w:hAnsi="Arial" w:cs="Arial"/>
          <w:sz w:val="24"/>
          <w:szCs w:val="24"/>
        </w:rPr>
        <w:t xml:space="preserve"> </w:t>
      </w:r>
      <w:r w:rsidR="00B326B3">
        <w:rPr>
          <w:rFonts w:ascii="Arial" w:hAnsi="Arial" w:cs="Arial"/>
          <w:sz w:val="24"/>
          <w:szCs w:val="24"/>
        </w:rPr>
        <w:t xml:space="preserve">This gave them multiple duties from </w:t>
      </w:r>
      <w:r w:rsidR="00D6689D">
        <w:rPr>
          <w:rFonts w:ascii="Arial" w:hAnsi="Arial" w:cs="Arial"/>
          <w:sz w:val="24"/>
          <w:szCs w:val="24"/>
        </w:rPr>
        <w:t xml:space="preserve">managing the members of their court to </w:t>
      </w:r>
      <w:r w:rsidR="0062779B">
        <w:rPr>
          <w:rFonts w:ascii="Arial" w:hAnsi="Arial" w:cs="Arial"/>
          <w:sz w:val="24"/>
          <w:szCs w:val="24"/>
        </w:rPr>
        <w:t>con</w:t>
      </w:r>
      <w:r w:rsidR="00AC39BE">
        <w:rPr>
          <w:rFonts w:ascii="Arial" w:hAnsi="Arial" w:cs="Arial"/>
          <w:sz w:val="24"/>
          <w:szCs w:val="24"/>
        </w:rPr>
        <w:t xml:space="preserve">trolling the land and resources. This means that kings would </w:t>
      </w:r>
      <w:r w:rsidR="00760BF0">
        <w:rPr>
          <w:rFonts w:ascii="Arial" w:hAnsi="Arial" w:cs="Arial"/>
          <w:sz w:val="24"/>
          <w:szCs w:val="24"/>
        </w:rPr>
        <w:t xml:space="preserve">have a number of roles which would affect their </w:t>
      </w:r>
      <w:r w:rsidR="00E11E1A">
        <w:rPr>
          <w:rFonts w:ascii="Arial" w:hAnsi="Arial" w:cs="Arial"/>
          <w:sz w:val="24"/>
          <w:szCs w:val="24"/>
        </w:rPr>
        <w:t>judgment.</w:t>
      </w:r>
      <w:r w:rsidR="00760BF0">
        <w:rPr>
          <w:rFonts w:ascii="Arial" w:hAnsi="Arial" w:cs="Arial"/>
          <w:sz w:val="24"/>
          <w:szCs w:val="24"/>
        </w:rPr>
        <w:t xml:space="preserve"> The king </w:t>
      </w:r>
      <w:r w:rsidR="00C700C9">
        <w:rPr>
          <w:rFonts w:ascii="Arial" w:hAnsi="Arial" w:cs="Arial"/>
          <w:sz w:val="24"/>
          <w:szCs w:val="24"/>
        </w:rPr>
        <w:t>could be biased</w:t>
      </w:r>
      <w:r w:rsidR="0061084E">
        <w:rPr>
          <w:rFonts w:ascii="Arial" w:hAnsi="Arial" w:cs="Arial"/>
          <w:sz w:val="24"/>
          <w:szCs w:val="24"/>
        </w:rPr>
        <w:t>, for or against one of the parties</w:t>
      </w:r>
      <w:r w:rsidR="00B676B1">
        <w:rPr>
          <w:rFonts w:ascii="Arial" w:hAnsi="Arial" w:cs="Arial"/>
          <w:sz w:val="24"/>
          <w:szCs w:val="24"/>
        </w:rPr>
        <w:t xml:space="preserve">. This means that a judgment would be unfair. There was no balance of </w:t>
      </w:r>
      <w:r w:rsidR="009B6CEC">
        <w:rPr>
          <w:rFonts w:ascii="Arial" w:hAnsi="Arial" w:cs="Arial"/>
          <w:sz w:val="24"/>
          <w:szCs w:val="24"/>
        </w:rPr>
        <w:t>probability. This is different from the modern civil law. The judge</w:t>
      </w:r>
      <w:r w:rsidR="00451339">
        <w:rPr>
          <w:rFonts w:ascii="Arial" w:hAnsi="Arial" w:cs="Arial"/>
          <w:sz w:val="24"/>
          <w:szCs w:val="24"/>
        </w:rPr>
        <w:t xml:space="preserve">s are </w:t>
      </w:r>
      <w:r w:rsidR="00837B3B">
        <w:rPr>
          <w:rFonts w:ascii="Arial" w:hAnsi="Arial" w:cs="Arial"/>
          <w:sz w:val="24"/>
          <w:szCs w:val="24"/>
        </w:rPr>
        <w:t>purely</w:t>
      </w:r>
      <w:r w:rsidR="00451339">
        <w:rPr>
          <w:rFonts w:ascii="Arial" w:hAnsi="Arial" w:cs="Arial"/>
          <w:sz w:val="24"/>
          <w:szCs w:val="24"/>
        </w:rPr>
        <w:t xml:space="preserve"> judges which will allow the judge to </w:t>
      </w:r>
      <w:r w:rsidR="00837B3B">
        <w:rPr>
          <w:rFonts w:ascii="Arial" w:hAnsi="Arial" w:cs="Arial"/>
          <w:sz w:val="24"/>
          <w:szCs w:val="24"/>
        </w:rPr>
        <w:t>stay impartial.</w:t>
      </w:r>
      <w:r w:rsidR="007C3BD4">
        <w:rPr>
          <w:rFonts w:ascii="Arial" w:hAnsi="Arial" w:cs="Arial"/>
          <w:sz w:val="24"/>
          <w:szCs w:val="24"/>
        </w:rPr>
        <w:t xml:space="preserve"> </w:t>
      </w:r>
      <w:r w:rsidR="00DF741C">
        <w:rPr>
          <w:rFonts w:ascii="Arial" w:hAnsi="Arial" w:cs="Arial"/>
          <w:sz w:val="24"/>
          <w:szCs w:val="24"/>
        </w:rPr>
        <w:t xml:space="preserve">The </w:t>
      </w:r>
      <w:r w:rsidR="002A2800">
        <w:rPr>
          <w:rFonts w:ascii="Arial" w:hAnsi="Arial" w:cs="Arial"/>
          <w:sz w:val="24"/>
          <w:szCs w:val="24"/>
        </w:rPr>
        <w:t xml:space="preserve">judges also go through </w:t>
      </w:r>
      <w:r w:rsidR="009D7A31">
        <w:rPr>
          <w:rFonts w:ascii="Arial" w:hAnsi="Arial" w:cs="Arial"/>
          <w:sz w:val="24"/>
          <w:szCs w:val="24"/>
        </w:rPr>
        <w:t>training which requires a</w:t>
      </w:r>
      <w:r w:rsidR="00C67A08">
        <w:rPr>
          <w:rFonts w:ascii="Arial" w:hAnsi="Arial" w:cs="Arial"/>
          <w:sz w:val="24"/>
          <w:szCs w:val="24"/>
        </w:rPr>
        <w:t xml:space="preserve"> qualification to be </w:t>
      </w:r>
      <w:r w:rsidR="0087462A">
        <w:rPr>
          <w:rFonts w:ascii="Arial" w:hAnsi="Arial" w:cs="Arial"/>
          <w:sz w:val="24"/>
          <w:szCs w:val="24"/>
        </w:rPr>
        <w:t>legal personnel</w:t>
      </w:r>
      <w:r w:rsidR="000525B3">
        <w:rPr>
          <w:rFonts w:ascii="Arial" w:hAnsi="Arial" w:cs="Arial"/>
          <w:sz w:val="24"/>
          <w:szCs w:val="24"/>
        </w:rPr>
        <w:t xml:space="preserve"> such as a barrister</w:t>
      </w:r>
      <w:r w:rsidR="0087462A">
        <w:rPr>
          <w:rFonts w:ascii="Arial" w:hAnsi="Arial" w:cs="Arial"/>
          <w:sz w:val="24"/>
          <w:szCs w:val="24"/>
        </w:rPr>
        <w:t xml:space="preserve">. This requires an undergrad </w:t>
      </w:r>
      <w:r w:rsidR="008C2397">
        <w:rPr>
          <w:rFonts w:ascii="Arial" w:hAnsi="Arial" w:cs="Arial"/>
          <w:sz w:val="24"/>
          <w:szCs w:val="24"/>
        </w:rPr>
        <w:t>degree.</w:t>
      </w:r>
      <w:r w:rsidR="000525B3">
        <w:rPr>
          <w:rFonts w:ascii="Arial" w:hAnsi="Arial" w:cs="Arial"/>
          <w:sz w:val="24"/>
          <w:szCs w:val="24"/>
        </w:rPr>
        <w:t xml:space="preserve"> They must then</w:t>
      </w:r>
      <w:r w:rsidR="0087462A">
        <w:rPr>
          <w:rFonts w:ascii="Arial" w:hAnsi="Arial" w:cs="Arial"/>
          <w:sz w:val="24"/>
          <w:szCs w:val="24"/>
        </w:rPr>
        <w:t xml:space="preserve"> work in that field for a minimum of 5 years</w:t>
      </w:r>
      <w:r w:rsidR="008C2397">
        <w:rPr>
          <w:rFonts w:ascii="Arial" w:hAnsi="Arial" w:cs="Arial"/>
          <w:sz w:val="24"/>
          <w:szCs w:val="24"/>
        </w:rPr>
        <w:t xml:space="preserve"> </w:t>
      </w:r>
      <w:sdt>
        <w:sdtPr>
          <w:rPr>
            <w:rFonts w:ascii="Arial" w:hAnsi="Arial" w:cs="Arial"/>
            <w:sz w:val="24"/>
            <w:szCs w:val="24"/>
          </w:rPr>
          <w:id w:val="520906896"/>
          <w:citation/>
        </w:sdtPr>
        <w:sdtContent>
          <w:r w:rsidR="008C2397">
            <w:rPr>
              <w:rFonts w:ascii="Arial" w:hAnsi="Arial" w:cs="Arial"/>
              <w:sz w:val="24"/>
              <w:szCs w:val="24"/>
            </w:rPr>
            <w:fldChar w:fldCharType="begin"/>
          </w:r>
          <w:r w:rsidR="008C2397">
            <w:rPr>
              <w:rFonts w:ascii="Arial" w:hAnsi="Arial" w:cs="Arial"/>
              <w:sz w:val="24"/>
              <w:szCs w:val="24"/>
            </w:rPr>
            <w:instrText xml:space="preserve"> CITATION The201 \l 2057 </w:instrText>
          </w:r>
          <w:r w:rsidR="008C2397">
            <w:rPr>
              <w:rFonts w:ascii="Arial" w:hAnsi="Arial" w:cs="Arial"/>
              <w:sz w:val="24"/>
              <w:szCs w:val="24"/>
            </w:rPr>
            <w:fldChar w:fldCharType="separate"/>
          </w:r>
          <w:r w:rsidR="008C2397" w:rsidRPr="008C2397">
            <w:rPr>
              <w:rFonts w:ascii="Arial" w:hAnsi="Arial" w:cs="Arial"/>
              <w:noProof/>
              <w:sz w:val="24"/>
              <w:szCs w:val="24"/>
            </w:rPr>
            <w:t>(The University of Law, 2020)</w:t>
          </w:r>
          <w:r w:rsidR="008C2397">
            <w:rPr>
              <w:rFonts w:ascii="Arial" w:hAnsi="Arial" w:cs="Arial"/>
              <w:sz w:val="24"/>
              <w:szCs w:val="24"/>
            </w:rPr>
            <w:fldChar w:fldCharType="end"/>
          </w:r>
        </w:sdtContent>
      </w:sdt>
      <w:r w:rsidR="0087462A">
        <w:rPr>
          <w:rFonts w:ascii="Arial" w:hAnsi="Arial" w:cs="Arial"/>
          <w:sz w:val="24"/>
          <w:szCs w:val="24"/>
        </w:rPr>
        <w:t>.</w:t>
      </w:r>
      <w:r w:rsidR="008C2397">
        <w:rPr>
          <w:rFonts w:ascii="Arial" w:hAnsi="Arial" w:cs="Arial"/>
          <w:sz w:val="24"/>
          <w:szCs w:val="24"/>
        </w:rPr>
        <w:t xml:space="preserve"> </w:t>
      </w:r>
      <w:r w:rsidR="003946EA">
        <w:rPr>
          <w:rFonts w:ascii="Arial" w:hAnsi="Arial" w:cs="Arial"/>
          <w:sz w:val="24"/>
          <w:szCs w:val="24"/>
        </w:rPr>
        <w:t xml:space="preserve">In the </w:t>
      </w:r>
      <w:r w:rsidR="00975BB6">
        <w:rPr>
          <w:rFonts w:ascii="Arial" w:hAnsi="Arial" w:cs="Arial"/>
          <w:sz w:val="24"/>
          <w:szCs w:val="24"/>
        </w:rPr>
        <w:t>modern-day</w:t>
      </w:r>
      <w:r w:rsidR="003946EA">
        <w:rPr>
          <w:rFonts w:ascii="Arial" w:hAnsi="Arial" w:cs="Arial"/>
          <w:sz w:val="24"/>
          <w:szCs w:val="24"/>
        </w:rPr>
        <w:t xml:space="preserve"> common law is precedence. This </w:t>
      </w:r>
      <w:r w:rsidR="006706C7">
        <w:rPr>
          <w:rFonts w:ascii="Arial" w:hAnsi="Arial" w:cs="Arial"/>
          <w:sz w:val="24"/>
          <w:szCs w:val="24"/>
        </w:rPr>
        <w:t xml:space="preserve">means that it has become a component of the civil system. </w:t>
      </w:r>
      <w:r w:rsidR="00653F01">
        <w:rPr>
          <w:rFonts w:ascii="Arial" w:hAnsi="Arial" w:cs="Arial"/>
          <w:sz w:val="24"/>
          <w:szCs w:val="24"/>
        </w:rPr>
        <w:t xml:space="preserve">During the common law era. The king and </w:t>
      </w:r>
      <w:r w:rsidR="004F785E">
        <w:rPr>
          <w:rFonts w:ascii="Arial" w:hAnsi="Arial" w:cs="Arial"/>
          <w:sz w:val="24"/>
          <w:szCs w:val="24"/>
        </w:rPr>
        <w:t>specifically selected members of the</w:t>
      </w:r>
      <w:r w:rsidR="00CA5BB0">
        <w:rPr>
          <w:rFonts w:ascii="Arial" w:hAnsi="Arial" w:cs="Arial"/>
          <w:sz w:val="24"/>
          <w:szCs w:val="24"/>
        </w:rPr>
        <w:t>ir</w:t>
      </w:r>
      <w:r w:rsidR="004F785E">
        <w:rPr>
          <w:rFonts w:ascii="Arial" w:hAnsi="Arial" w:cs="Arial"/>
          <w:sz w:val="24"/>
          <w:szCs w:val="24"/>
        </w:rPr>
        <w:t xml:space="preserve"> </w:t>
      </w:r>
      <w:r w:rsidR="00975970">
        <w:rPr>
          <w:rFonts w:ascii="Arial" w:hAnsi="Arial" w:cs="Arial"/>
          <w:sz w:val="24"/>
          <w:szCs w:val="24"/>
        </w:rPr>
        <w:t xml:space="preserve">court </w:t>
      </w:r>
      <w:r w:rsidR="00CA5BB0">
        <w:rPr>
          <w:rFonts w:ascii="Arial" w:hAnsi="Arial" w:cs="Arial"/>
          <w:sz w:val="24"/>
          <w:szCs w:val="24"/>
        </w:rPr>
        <w:t xml:space="preserve">acted as judges. This is different from </w:t>
      </w:r>
      <w:r w:rsidR="00624517">
        <w:rPr>
          <w:rFonts w:ascii="Arial" w:hAnsi="Arial" w:cs="Arial"/>
          <w:sz w:val="24"/>
          <w:szCs w:val="24"/>
        </w:rPr>
        <w:t xml:space="preserve">modern judges. </w:t>
      </w:r>
      <w:r w:rsidR="00D03488">
        <w:rPr>
          <w:rFonts w:ascii="Arial" w:hAnsi="Arial" w:cs="Arial"/>
          <w:sz w:val="24"/>
          <w:szCs w:val="24"/>
        </w:rPr>
        <w:t>They are employed to work within the judiciary.</w:t>
      </w:r>
      <w:r w:rsidR="009B0DB4">
        <w:rPr>
          <w:rFonts w:ascii="Arial" w:hAnsi="Arial" w:cs="Arial"/>
          <w:sz w:val="24"/>
          <w:szCs w:val="24"/>
        </w:rPr>
        <w:t xml:space="preserve"> Depending on the court they work in</w:t>
      </w:r>
      <w:r w:rsidR="00FD4B55">
        <w:rPr>
          <w:rFonts w:ascii="Arial" w:hAnsi="Arial" w:cs="Arial"/>
          <w:sz w:val="24"/>
          <w:szCs w:val="24"/>
        </w:rPr>
        <w:t>, they have different requirements to be fired. In the higher courts</w:t>
      </w:r>
      <w:r w:rsidR="005351AD">
        <w:rPr>
          <w:rFonts w:ascii="Arial" w:hAnsi="Arial" w:cs="Arial"/>
          <w:sz w:val="24"/>
          <w:szCs w:val="24"/>
        </w:rPr>
        <w:t>, only the monarch can remove</w:t>
      </w:r>
      <w:r w:rsidR="00133FF9">
        <w:rPr>
          <w:rFonts w:ascii="Arial" w:hAnsi="Arial" w:cs="Arial"/>
          <w:sz w:val="24"/>
          <w:szCs w:val="24"/>
        </w:rPr>
        <w:t>. This requires parliament to petition the king or queen to remove them.</w:t>
      </w:r>
      <w:r w:rsidR="00743F62">
        <w:rPr>
          <w:rFonts w:ascii="Arial" w:hAnsi="Arial" w:cs="Arial"/>
          <w:sz w:val="24"/>
          <w:szCs w:val="24"/>
        </w:rPr>
        <w:t xml:space="preserve"> The</w:t>
      </w:r>
      <w:r w:rsidR="00867B79">
        <w:rPr>
          <w:rFonts w:ascii="Arial" w:hAnsi="Arial" w:cs="Arial"/>
          <w:sz w:val="24"/>
          <w:szCs w:val="24"/>
        </w:rPr>
        <w:t xml:space="preserve"> common laws are uncodified. This is due to the way they were created. Common laws were developed by</w:t>
      </w:r>
      <w:r w:rsidR="00857AF9">
        <w:rPr>
          <w:rFonts w:ascii="Arial" w:hAnsi="Arial" w:cs="Arial"/>
          <w:sz w:val="24"/>
          <w:szCs w:val="24"/>
        </w:rPr>
        <w:t xml:space="preserve"> the decision and were not written down.</w:t>
      </w:r>
      <w:r w:rsidR="007349CD">
        <w:rPr>
          <w:rFonts w:ascii="Arial" w:hAnsi="Arial" w:cs="Arial"/>
          <w:sz w:val="24"/>
          <w:szCs w:val="24"/>
        </w:rPr>
        <w:t xml:space="preserve"> </w:t>
      </w:r>
      <w:r w:rsidR="000F7144">
        <w:rPr>
          <w:rFonts w:ascii="Arial" w:hAnsi="Arial" w:cs="Arial"/>
          <w:sz w:val="24"/>
          <w:szCs w:val="24"/>
        </w:rPr>
        <w:t xml:space="preserve">They are then used in the justification of </w:t>
      </w:r>
      <w:r w:rsidR="00374753">
        <w:rPr>
          <w:rFonts w:ascii="Arial" w:hAnsi="Arial" w:cs="Arial"/>
          <w:sz w:val="24"/>
          <w:szCs w:val="24"/>
        </w:rPr>
        <w:t xml:space="preserve">civil court decisions. </w:t>
      </w:r>
    </w:p>
    <w:p w14:paraId="4A859E80" w14:textId="031E68A6" w:rsidR="001B37F1" w:rsidRDefault="001B37F1" w:rsidP="00374753">
      <w:pPr>
        <w:spacing w:line="480" w:lineRule="auto"/>
        <w:ind w:left="720"/>
        <w:rPr>
          <w:rFonts w:ascii="Arial" w:hAnsi="Arial" w:cs="Arial"/>
          <w:sz w:val="24"/>
          <w:szCs w:val="24"/>
        </w:rPr>
      </w:pPr>
    </w:p>
    <w:p w14:paraId="4D1EBD38" w14:textId="0F9DD1CD" w:rsidR="00984540" w:rsidRDefault="001B37F1" w:rsidP="00984540">
      <w:pPr>
        <w:spacing w:line="480" w:lineRule="auto"/>
        <w:ind w:left="720"/>
        <w:rPr>
          <w:rFonts w:ascii="Arial" w:hAnsi="Arial" w:cs="Arial"/>
          <w:sz w:val="24"/>
          <w:szCs w:val="24"/>
        </w:rPr>
      </w:pPr>
      <w:r>
        <w:rPr>
          <w:rFonts w:ascii="Arial" w:hAnsi="Arial" w:cs="Arial"/>
          <w:sz w:val="24"/>
          <w:szCs w:val="24"/>
        </w:rPr>
        <w:t>Common law is still use</w:t>
      </w:r>
      <w:r w:rsidR="00B96B53">
        <w:rPr>
          <w:rFonts w:ascii="Arial" w:hAnsi="Arial" w:cs="Arial"/>
          <w:sz w:val="24"/>
          <w:szCs w:val="24"/>
        </w:rPr>
        <w:t xml:space="preserve"> </w:t>
      </w:r>
      <w:r w:rsidR="003070B2">
        <w:rPr>
          <w:rFonts w:ascii="Arial" w:hAnsi="Arial" w:cs="Arial"/>
          <w:sz w:val="24"/>
          <w:szCs w:val="24"/>
        </w:rPr>
        <w:t xml:space="preserve">in the modern day. This takes the form of precedence. </w:t>
      </w:r>
      <w:r w:rsidR="00A01CBB">
        <w:rPr>
          <w:rFonts w:ascii="Arial" w:hAnsi="Arial" w:cs="Arial"/>
          <w:sz w:val="24"/>
          <w:szCs w:val="24"/>
        </w:rPr>
        <w:t xml:space="preserve">Some common law has existed for </w:t>
      </w:r>
      <w:r w:rsidR="003F7FDB">
        <w:rPr>
          <w:rFonts w:ascii="Arial" w:hAnsi="Arial" w:cs="Arial"/>
          <w:sz w:val="24"/>
          <w:szCs w:val="24"/>
        </w:rPr>
        <w:t>over 100 years.</w:t>
      </w:r>
      <w:r w:rsidR="00F058AD">
        <w:rPr>
          <w:rFonts w:ascii="Arial" w:hAnsi="Arial" w:cs="Arial"/>
          <w:sz w:val="24"/>
          <w:szCs w:val="24"/>
        </w:rPr>
        <w:t xml:space="preserve"> </w:t>
      </w:r>
      <w:r w:rsidR="005E3026">
        <w:rPr>
          <w:rFonts w:ascii="Arial" w:hAnsi="Arial" w:cs="Arial"/>
          <w:sz w:val="24"/>
          <w:szCs w:val="24"/>
        </w:rPr>
        <w:t xml:space="preserve">An example of this is the </w:t>
      </w:r>
      <w:r w:rsidR="00A479C4" w:rsidRPr="00A479C4">
        <w:rPr>
          <w:rFonts w:ascii="Arial" w:hAnsi="Arial" w:cs="Arial"/>
          <w:sz w:val="24"/>
          <w:szCs w:val="24"/>
        </w:rPr>
        <w:t>Carlill v Carbolic Smoke Ball Company</w:t>
      </w:r>
      <w:r w:rsidR="00755B0D">
        <w:rPr>
          <w:rFonts w:ascii="Arial" w:hAnsi="Arial" w:cs="Arial"/>
          <w:sz w:val="24"/>
          <w:szCs w:val="24"/>
        </w:rPr>
        <w:t xml:space="preserve"> case</w:t>
      </w:r>
      <w:r w:rsidR="00A479C4">
        <w:rPr>
          <w:rFonts w:ascii="Arial" w:hAnsi="Arial" w:cs="Arial"/>
          <w:sz w:val="24"/>
          <w:szCs w:val="24"/>
        </w:rPr>
        <w:t>.</w:t>
      </w:r>
      <w:r w:rsidR="00755B0D">
        <w:rPr>
          <w:rFonts w:ascii="Arial" w:hAnsi="Arial" w:cs="Arial"/>
          <w:sz w:val="24"/>
          <w:szCs w:val="24"/>
        </w:rPr>
        <w:t xml:space="preserve"> This case involved a smoke ball company. This smoke ball was supposedly a medicine that prevented and cured influenza and other cold like diseases.</w:t>
      </w:r>
      <w:r w:rsidR="0049437E">
        <w:rPr>
          <w:rFonts w:ascii="Arial" w:hAnsi="Arial" w:cs="Arial"/>
          <w:sz w:val="24"/>
          <w:szCs w:val="24"/>
        </w:rPr>
        <w:t xml:space="preserve"> The company the produced them claimed that they would pay anyone £100 if they used the smoke balls in the prescribed manor </w:t>
      </w:r>
      <w:sdt>
        <w:sdtPr>
          <w:rPr>
            <w:rFonts w:ascii="Arial" w:hAnsi="Arial" w:cs="Arial"/>
            <w:sz w:val="24"/>
            <w:szCs w:val="24"/>
          </w:rPr>
          <w:id w:val="1942720906"/>
          <w:citation/>
        </w:sdtPr>
        <w:sdtContent>
          <w:r w:rsidR="006A34C1">
            <w:rPr>
              <w:rFonts w:ascii="Arial" w:hAnsi="Arial" w:cs="Arial"/>
              <w:sz w:val="24"/>
              <w:szCs w:val="24"/>
            </w:rPr>
            <w:fldChar w:fldCharType="begin"/>
          </w:r>
          <w:r w:rsidR="006A34C1">
            <w:rPr>
              <w:rFonts w:ascii="Arial" w:hAnsi="Arial" w:cs="Arial"/>
              <w:sz w:val="24"/>
              <w:szCs w:val="24"/>
            </w:rPr>
            <w:instrText xml:space="preserve">CITATION Lex13 \l 2057 </w:instrText>
          </w:r>
          <w:r w:rsidR="006A34C1">
            <w:rPr>
              <w:rFonts w:ascii="Arial" w:hAnsi="Arial" w:cs="Arial"/>
              <w:sz w:val="24"/>
              <w:szCs w:val="24"/>
            </w:rPr>
            <w:fldChar w:fldCharType="separate"/>
          </w:r>
          <w:r w:rsidR="006A34C1" w:rsidRPr="006A34C1">
            <w:rPr>
              <w:rFonts w:ascii="Arial" w:hAnsi="Arial" w:cs="Arial"/>
              <w:noProof/>
              <w:sz w:val="24"/>
              <w:szCs w:val="24"/>
            </w:rPr>
            <w:t>(Lexis, 2013)</w:t>
          </w:r>
          <w:r w:rsidR="006A34C1">
            <w:rPr>
              <w:rFonts w:ascii="Arial" w:hAnsi="Arial" w:cs="Arial"/>
              <w:sz w:val="24"/>
              <w:szCs w:val="24"/>
            </w:rPr>
            <w:fldChar w:fldCharType="end"/>
          </w:r>
        </w:sdtContent>
      </w:sdt>
      <w:r w:rsidR="006A34C1">
        <w:rPr>
          <w:rFonts w:ascii="Arial" w:hAnsi="Arial" w:cs="Arial"/>
          <w:sz w:val="24"/>
          <w:szCs w:val="24"/>
        </w:rPr>
        <w:t xml:space="preserve">. </w:t>
      </w:r>
      <w:r w:rsidR="00641124">
        <w:rPr>
          <w:rFonts w:ascii="Arial" w:hAnsi="Arial" w:cs="Arial"/>
          <w:sz w:val="24"/>
          <w:szCs w:val="24"/>
        </w:rPr>
        <w:t>The £100 offer also included a show of faith by claiming to put £1000 in the bank.  A female who believed in the advert, that was taken out in the newspaper</w:t>
      </w:r>
      <w:r w:rsidR="00AC0986">
        <w:rPr>
          <w:rFonts w:ascii="Arial" w:hAnsi="Arial" w:cs="Arial"/>
          <w:sz w:val="24"/>
          <w:szCs w:val="24"/>
        </w:rPr>
        <w:t>, bought the smoke ball and used the smoke ball</w:t>
      </w:r>
      <w:r w:rsidR="003D7E45">
        <w:rPr>
          <w:rFonts w:ascii="Arial" w:hAnsi="Arial" w:cs="Arial"/>
          <w:sz w:val="24"/>
          <w:szCs w:val="24"/>
        </w:rPr>
        <w:t xml:space="preserve">. She later </w:t>
      </w:r>
      <w:r w:rsidR="00AA107C">
        <w:rPr>
          <w:rFonts w:ascii="Arial" w:hAnsi="Arial" w:cs="Arial"/>
          <w:sz w:val="24"/>
          <w:szCs w:val="24"/>
        </w:rPr>
        <w:t>developed influenza. Her husband then wrote to the producers of the smoke ball requesting the promised £100. The company refused to pay</w:t>
      </w:r>
      <w:r w:rsidR="002051E6">
        <w:rPr>
          <w:rFonts w:ascii="Arial" w:hAnsi="Arial" w:cs="Arial"/>
          <w:sz w:val="24"/>
          <w:szCs w:val="24"/>
        </w:rPr>
        <w:t>. The company was then</w:t>
      </w:r>
      <w:r w:rsidR="007C1AD4">
        <w:rPr>
          <w:rFonts w:ascii="Arial" w:hAnsi="Arial" w:cs="Arial"/>
          <w:sz w:val="24"/>
          <w:szCs w:val="24"/>
        </w:rPr>
        <w:t xml:space="preserve"> taken to court. The courts eventually decided that the smokeball company was not required to pay the £100. This was due to a number of factors. The advert did not say that </w:t>
      </w:r>
      <w:r w:rsidR="00A74249">
        <w:rPr>
          <w:rFonts w:ascii="Arial" w:hAnsi="Arial" w:cs="Arial"/>
          <w:sz w:val="24"/>
          <w:szCs w:val="24"/>
        </w:rPr>
        <w:t xml:space="preserve">it would cure or treat the listed diseases but, instead it was a promise to treat. There was no legal requirement to keep a promise.  The contract was also not legally binding. The lack of specific details such as a time </w:t>
      </w:r>
      <w:r w:rsidR="008C6115">
        <w:rPr>
          <w:rFonts w:ascii="Arial" w:hAnsi="Arial" w:cs="Arial"/>
          <w:sz w:val="24"/>
          <w:szCs w:val="24"/>
        </w:rPr>
        <w:t xml:space="preserve">needed to contract influenza after use, the people who used the smoke balls before the contract was also not included. The use of the contract to the world also added to lack of this not being a legal contract. The judges deemed that the contract was a sales tactic and never intended as a contract </w:t>
      </w:r>
      <w:sdt>
        <w:sdtPr>
          <w:rPr>
            <w:rFonts w:ascii="Arial" w:hAnsi="Arial" w:cs="Arial"/>
            <w:sz w:val="24"/>
            <w:szCs w:val="24"/>
          </w:rPr>
          <w:id w:val="-478545197"/>
          <w:citation/>
        </w:sdtPr>
        <w:sdtContent>
          <w:r w:rsidR="008C6115">
            <w:rPr>
              <w:rFonts w:ascii="Arial" w:hAnsi="Arial" w:cs="Arial"/>
              <w:sz w:val="24"/>
              <w:szCs w:val="24"/>
            </w:rPr>
            <w:fldChar w:fldCharType="begin"/>
          </w:r>
          <w:r w:rsidR="008C6115">
            <w:rPr>
              <w:rFonts w:ascii="Arial" w:hAnsi="Arial" w:cs="Arial"/>
              <w:sz w:val="24"/>
              <w:szCs w:val="24"/>
            </w:rPr>
            <w:instrText xml:space="preserve"> CITATION Lex131 \l 2057 </w:instrText>
          </w:r>
          <w:r w:rsidR="008C6115">
            <w:rPr>
              <w:rFonts w:ascii="Arial" w:hAnsi="Arial" w:cs="Arial"/>
              <w:sz w:val="24"/>
              <w:szCs w:val="24"/>
            </w:rPr>
            <w:fldChar w:fldCharType="separate"/>
          </w:r>
          <w:r w:rsidR="008C6115" w:rsidRPr="008C6115">
            <w:rPr>
              <w:rFonts w:ascii="Arial" w:hAnsi="Arial" w:cs="Arial"/>
              <w:noProof/>
              <w:sz w:val="24"/>
              <w:szCs w:val="24"/>
            </w:rPr>
            <w:t>(Lexis, 2013)</w:t>
          </w:r>
          <w:r w:rsidR="008C6115">
            <w:rPr>
              <w:rFonts w:ascii="Arial" w:hAnsi="Arial" w:cs="Arial"/>
              <w:sz w:val="24"/>
              <w:szCs w:val="24"/>
            </w:rPr>
            <w:fldChar w:fldCharType="end"/>
          </w:r>
        </w:sdtContent>
      </w:sdt>
      <w:r w:rsidR="008C6115">
        <w:rPr>
          <w:rFonts w:ascii="Arial" w:hAnsi="Arial" w:cs="Arial"/>
          <w:sz w:val="24"/>
          <w:szCs w:val="24"/>
        </w:rPr>
        <w:t xml:space="preserve">. This case occurred between 1891-1894. This case has been </w:t>
      </w:r>
      <w:r w:rsidR="007B5A81">
        <w:rPr>
          <w:rFonts w:ascii="Arial" w:hAnsi="Arial" w:cs="Arial"/>
          <w:sz w:val="24"/>
          <w:szCs w:val="24"/>
        </w:rPr>
        <w:t>used in various parts of the world. In the Caribbean a case that had a non-legal binding contract that required the individual to preform certain action</w:t>
      </w:r>
      <w:r w:rsidR="00095F9F">
        <w:rPr>
          <w:rFonts w:ascii="Arial" w:hAnsi="Arial" w:cs="Arial"/>
          <w:sz w:val="24"/>
          <w:szCs w:val="24"/>
        </w:rPr>
        <w:t xml:space="preserve">s to meet the requirements. </w:t>
      </w:r>
      <w:r w:rsidR="00095F9F">
        <w:rPr>
          <w:rFonts w:ascii="Arial" w:hAnsi="Arial" w:cs="Arial"/>
          <w:sz w:val="24"/>
          <w:szCs w:val="24"/>
        </w:rPr>
        <w:lastRenderedPageBreak/>
        <w:t xml:space="preserve">The </w:t>
      </w:r>
      <w:r w:rsidR="005C7EDF">
        <w:rPr>
          <w:rFonts w:ascii="Arial" w:hAnsi="Arial" w:cs="Arial"/>
          <w:sz w:val="24"/>
          <w:szCs w:val="24"/>
        </w:rPr>
        <w:t xml:space="preserve">judges used </w:t>
      </w:r>
      <w:r w:rsidR="00524BDD">
        <w:rPr>
          <w:rFonts w:ascii="Arial" w:hAnsi="Arial" w:cs="Arial"/>
          <w:sz w:val="24"/>
          <w:szCs w:val="24"/>
        </w:rPr>
        <w:t xml:space="preserve">the </w:t>
      </w:r>
      <w:r w:rsidR="00524BDD" w:rsidRPr="00524BDD">
        <w:rPr>
          <w:rFonts w:ascii="Arial" w:hAnsi="Arial" w:cs="Arial"/>
          <w:sz w:val="24"/>
          <w:szCs w:val="24"/>
        </w:rPr>
        <w:t>Carlill v Carbolic Smoke Ball Co</w:t>
      </w:r>
      <w:r w:rsidR="00524BDD">
        <w:rPr>
          <w:rFonts w:ascii="Arial" w:hAnsi="Arial" w:cs="Arial"/>
          <w:sz w:val="24"/>
          <w:szCs w:val="24"/>
        </w:rPr>
        <w:t xml:space="preserve"> in their decision</w:t>
      </w:r>
      <w:sdt>
        <w:sdtPr>
          <w:rPr>
            <w:rFonts w:ascii="Arial" w:hAnsi="Arial" w:cs="Arial"/>
            <w:sz w:val="24"/>
            <w:szCs w:val="24"/>
          </w:rPr>
          <w:id w:val="-421418601"/>
          <w:citation/>
        </w:sdtPr>
        <w:sdtContent>
          <w:r w:rsidR="00524BDD">
            <w:rPr>
              <w:rFonts w:ascii="Arial" w:hAnsi="Arial" w:cs="Arial"/>
              <w:sz w:val="24"/>
              <w:szCs w:val="24"/>
            </w:rPr>
            <w:fldChar w:fldCharType="begin"/>
          </w:r>
          <w:r w:rsidR="00524BDD">
            <w:rPr>
              <w:rFonts w:ascii="Arial" w:hAnsi="Arial" w:cs="Arial"/>
              <w:sz w:val="24"/>
              <w:szCs w:val="24"/>
            </w:rPr>
            <w:instrText xml:space="preserve"> CITATION Lex14 \l 2057 </w:instrText>
          </w:r>
          <w:r w:rsidR="00524BDD">
            <w:rPr>
              <w:rFonts w:ascii="Arial" w:hAnsi="Arial" w:cs="Arial"/>
              <w:sz w:val="24"/>
              <w:szCs w:val="24"/>
            </w:rPr>
            <w:fldChar w:fldCharType="separate"/>
          </w:r>
          <w:r w:rsidR="00524BDD">
            <w:rPr>
              <w:rFonts w:ascii="Arial" w:hAnsi="Arial" w:cs="Arial"/>
              <w:noProof/>
              <w:sz w:val="24"/>
              <w:szCs w:val="24"/>
            </w:rPr>
            <w:t xml:space="preserve"> </w:t>
          </w:r>
          <w:r w:rsidR="00524BDD" w:rsidRPr="00524BDD">
            <w:rPr>
              <w:rFonts w:ascii="Arial" w:hAnsi="Arial" w:cs="Arial"/>
              <w:noProof/>
              <w:sz w:val="24"/>
              <w:szCs w:val="24"/>
            </w:rPr>
            <w:t>(Lexis, 2014)</w:t>
          </w:r>
          <w:r w:rsidR="00524BDD">
            <w:rPr>
              <w:rFonts w:ascii="Arial" w:hAnsi="Arial" w:cs="Arial"/>
              <w:sz w:val="24"/>
              <w:szCs w:val="24"/>
            </w:rPr>
            <w:fldChar w:fldCharType="end"/>
          </w:r>
        </w:sdtContent>
      </w:sdt>
      <w:r w:rsidR="00524BDD">
        <w:rPr>
          <w:rFonts w:ascii="Arial" w:hAnsi="Arial" w:cs="Arial"/>
          <w:sz w:val="24"/>
          <w:szCs w:val="24"/>
        </w:rPr>
        <w:t>. In</w:t>
      </w:r>
      <w:r w:rsidR="005031F9">
        <w:rPr>
          <w:rFonts w:ascii="Arial" w:hAnsi="Arial" w:cs="Arial"/>
          <w:sz w:val="24"/>
          <w:szCs w:val="24"/>
        </w:rPr>
        <w:t xml:space="preserve"> the UK </w:t>
      </w:r>
      <w:r w:rsidR="00E6691D">
        <w:rPr>
          <w:rFonts w:ascii="Arial" w:hAnsi="Arial" w:cs="Arial"/>
          <w:sz w:val="24"/>
          <w:szCs w:val="24"/>
        </w:rPr>
        <w:t xml:space="preserve">a case </w:t>
      </w:r>
      <w:r w:rsidR="00FA7843">
        <w:rPr>
          <w:rFonts w:ascii="Arial" w:hAnsi="Arial" w:cs="Arial"/>
          <w:sz w:val="24"/>
          <w:szCs w:val="24"/>
        </w:rPr>
        <w:t xml:space="preserve">were a </w:t>
      </w:r>
      <w:r w:rsidR="00F62D3B">
        <w:rPr>
          <w:rFonts w:ascii="Arial" w:hAnsi="Arial" w:cs="Arial"/>
          <w:sz w:val="24"/>
          <w:szCs w:val="24"/>
        </w:rPr>
        <w:t>Welsh</w:t>
      </w:r>
      <w:r w:rsidR="00FA7843">
        <w:rPr>
          <w:rFonts w:ascii="Arial" w:hAnsi="Arial" w:cs="Arial"/>
          <w:sz w:val="24"/>
          <w:szCs w:val="24"/>
        </w:rPr>
        <w:t xml:space="preserve"> </w:t>
      </w:r>
      <w:proofErr w:type="spellStart"/>
      <w:r w:rsidR="00C75E41">
        <w:rPr>
          <w:rFonts w:ascii="Arial" w:hAnsi="Arial" w:cs="Arial"/>
          <w:sz w:val="24"/>
          <w:szCs w:val="24"/>
        </w:rPr>
        <w:t>non profit</w:t>
      </w:r>
      <w:proofErr w:type="spellEnd"/>
      <w:r w:rsidR="00C75E41">
        <w:rPr>
          <w:rFonts w:ascii="Arial" w:hAnsi="Arial" w:cs="Arial"/>
          <w:sz w:val="24"/>
          <w:szCs w:val="24"/>
        </w:rPr>
        <w:t xml:space="preserve"> that aims to assist </w:t>
      </w:r>
      <w:r w:rsidR="00002B05">
        <w:rPr>
          <w:rFonts w:ascii="Arial" w:hAnsi="Arial" w:cs="Arial"/>
          <w:sz w:val="24"/>
          <w:szCs w:val="24"/>
        </w:rPr>
        <w:t>with mental health issues</w:t>
      </w:r>
      <w:r w:rsidR="001F5E0A">
        <w:rPr>
          <w:rFonts w:ascii="Arial" w:hAnsi="Arial" w:cs="Arial"/>
          <w:sz w:val="24"/>
          <w:szCs w:val="24"/>
        </w:rPr>
        <w:t xml:space="preserve"> and drug misuse issues. </w:t>
      </w:r>
      <w:r w:rsidR="00890AF8">
        <w:rPr>
          <w:rFonts w:ascii="Arial" w:hAnsi="Arial" w:cs="Arial"/>
          <w:sz w:val="24"/>
          <w:szCs w:val="24"/>
        </w:rPr>
        <w:t xml:space="preserve">The </w:t>
      </w:r>
      <w:r w:rsidR="00F3308B">
        <w:rPr>
          <w:rFonts w:ascii="Arial" w:hAnsi="Arial" w:cs="Arial"/>
          <w:sz w:val="24"/>
          <w:szCs w:val="24"/>
        </w:rPr>
        <w:t xml:space="preserve">health board did not believe that the charity </w:t>
      </w:r>
      <w:r w:rsidR="00435BE3">
        <w:rPr>
          <w:rFonts w:ascii="Arial" w:hAnsi="Arial" w:cs="Arial"/>
          <w:sz w:val="24"/>
          <w:szCs w:val="24"/>
        </w:rPr>
        <w:t xml:space="preserve">would </w:t>
      </w:r>
      <w:r w:rsidR="00B45A63">
        <w:rPr>
          <w:rFonts w:ascii="Arial" w:hAnsi="Arial" w:cs="Arial"/>
          <w:sz w:val="24"/>
          <w:szCs w:val="24"/>
        </w:rPr>
        <w:t xml:space="preserve">be successful. The </w:t>
      </w:r>
      <w:r w:rsidR="00B45A63" w:rsidRPr="00B45A63">
        <w:rPr>
          <w:rFonts w:ascii="Arial" w:hAnsi="Arial" w:cs="Arial"/>
          <w:sz w:val="24"/>
          <w:szCs w:val="24"/>
        </w:rPr>
        <w:t>Carlill v Carbolic Smoke Ball Co</w:t>
      </w:r>
      <w:r w:rsidR="00FA7843">
        <w:rPr>
          <w:rFonts w:ascii="Arial" w:hAnsi="Arial" w:cs="Arial"/>
          <w:sz w:val="24"/>
          <w:szCs w:val="24"/>
        </w:rPr>
        <w:t xml:space="preserve"> </w:t>
      </w:r>
      <w:r w:rsidR="007D45BF">
        <w:rPr>
          <w:rFonts w:ascii="Arial" w:hAnsi="Arial" w:cs="Arial"/>
          <w:sz w:val="24"/>
          <w:szCs w:val="24"/>
        </w:rPr>
        <w:t xml:space="preserve">case was involved used in the case as </w:t>
      </w:r>
      <w:r w:rsidR="002F0854">
        <w:rPr>
          <w:rFonts w:ascii="Arial" w:hAnsi="Arial" w:cs="Arial"/>
          <w:sz w:val="24"/>
          <w:szCs w:val="24"/>
        </w:rPr>
        <w:t xml:space="preserve">the fact were different </w:t>
      </w:r>
      <w:r w:rsidR="001B781D">
        <w:rPr>
          <w:rFonts w:ascii="Arial" w:hAnsi="Arial" w:cs="Arial"/>
          <w:sz w:val="24"/>
          <w:szCs w:val="24"/>
        </w:rPr>
        <w:t xml:space="preserve">but the documentation had similar issues </w:t>
      </w:r>
      <w:sdt>
        <w:sdtPr>
          <w:rPr>
            <w:rFonts w:ascii="Arial" w:hAnsi="Arial" w:cs="Arial"/>
            <w:sz w:val="24"/>
            <w:szCs w:val="24"/>
          </w:rPr>
          <w:id w:val="-763611569"/>
          <w:citation/>
        </w:sdtPr>
        <w:sdtContent>
          <w:r w:rsidR="001B781D">
            <w:rPr>
              <w:rFonts w:ascii="Arial" w:hAnsi="Arial" w:cs="Arial"/>
              <w:sz w:val="24"/>
              <w:szCs w:val="24"/>
            </w:rPr>
            <w:fldChar w:fldCharType="begin"/>
          </w:r>
          <w:r w:rsidR="001B781D">
            <w:rPr>
              <w:rFonts w:ascii="Arial" w:hAnsi="Arial" w:cs="Arial"/>
              <w:sz w:val="24"/>
              <w:szCs w:val="24"/>
            </w:rPr>
            <w:instrText xml:space="preserve"> CITATION Lex21 \l 2057 </w:instrText>
          </w:r>
          <w:r w:rsidR="001B781D">
            <w:rPr>
              <w:rFonts w:ascii="Arial" w:hAnsi="Arial" w:cs="Arial"/>
              <w:sz w:val="24"/>
              <w:szCs w:val="24"/>
            </w:rPr>
            <w:fldChar w:fldCharType="separate"/>
          </w:r>
          <w:r w:rsidR="001B781D" w:rsidRPr="001B781D">
            <w:rPr>
              <w:rFonts w:ascii="Arial" w:hAnsi="Arial" w:cs="Arial"/>
              <w:noProof/>
              <w:sz w:val="24"/>
              <w:szCs w:val="24"/>
            </w:rPr>
            <w:t>(Lexis, 2021)</w:t>
          </w:r>
          <w:r w:rsidR="001B781D">
            <w:rPr>
              <w:rFonts w:ascii="Arial" w:hAnsi="Arial" w:cs="Arial"/>
              <w:sz w:val="24"/>
              <w:szCs w:val="24"/>
            </w:rPr>
            <w:fldChar w:fldCharType="end"/>
          </w:r>
        </w:sdtContent>
      </w:sdt>
      <w:r w:rsidR="001B781D">
        <w:rPr>
          <w:rFonts w:ascii="Arial" w:hAnsi="Arial" w:cs="Arial"/>
          <w:sz w:val="24"/>
          <w:szCs w:val="24"/>
        </w:rPr>
        <w:t xml:space="preserve">. </w:t>
      </w:r>
      <w:r w:rsidR="002C3062">
        <w:rPr>
          <w:rFonts w:ascii="Arial" w:hAnsi="Arial" w:cs="Arial"/>
          <w:sz w:val="24"/>
          <w:szCs w:val="24"/>
        </w:rPr>
        <w:t xml:space="preserve"> This shows that the influence of </w:t>
      </w:r>
      <w:r w:rsidR="00812BCA">
        <w:rPr>
          <w:rFonts w:ascii="Arial" w:hAnsi="Arial" w:cs="Arial"/>
          <w:sz w:val="24"/>
          <w:szCs w:val="24"/>
        </w:rPr>
        <w:t xml:space="preserve">the </w:t>
      </w:r>
      <w:r w:rsidR="00812BCA" w:rsidRPr="00B45A63">
        <w:rPr>
          <w:rFonts w:ascii="Arial" w:hAnsi="Arial" w:cs="Arial"/>
          <w:sz w:val="24"/>
          <w:szCs w:val="24"/>
        </w:rPr>
        <w:t>Carlill v Carbolic Smoke Ball Co</w:t>
      </w:r>
      <w:r w:rsidR="00812BCA">
        <w:rPr>
          <w:rFonts w:ascii="Arial" w:hAnsi="Arial" w:cs="Arial"/>
          <w:sz w:val="24"/>
          <w:szCs w:val="24"/>
        </w:rPr>
        <w:t xml:space="preserve"> case</w:t>
      </w:r>
      <w:r w:rsidR="00984540">
        <w:rPr>
          <w:rFonts w:ascii="Arial" w:hAnsi="Arial" w:cs="Arial"/>
          <w:sz w:val="24"/>
          <w:szCs w:val="24"/>
        </w:rPr>
        <w:t xml:space="preserve">. </w:t>
      </w:r>
    </w:p>
    <w:p w14:paraId="5A0F8EBA" w14:textId="60E7A86E" w:rsidR="00984540" w:rsidRDefault="00984540" w:rsidP="00374753">
      <w:pPr>
        <w:spacing w:line="480" w:lineRule="auto"/>
        <w:ind w:left="720"/>
        <w:rPr>
          <w:rFonts w:ascii="Arial" w:hAnsi="Arial" w:cs="Arial"/>
          <w:sz w:val="24"/>
          <w:szCs w:val="24"/>
        </w:rPr>
      </w:pPr>
      <w:r>
        <w:rPr>
          <w:rFonts w:ascii="Arial" w:hAnsi="Arial" w:cs="Arial"/>
          <w:sz w:val="24"/>
          <w:szCs w:val="24"/>
        </w:rPr>
        <w:t>Overall</w:t>
      </w:r>
      <w:r w:rsidR="0065656A">
        <w:rPr>
          <w:rFonts w:ascii="Arial" w:hAnsi="Arial" w:cs="Arial"/>
          <w:sz w:val="24"/>
          <w:szCs w:val="24"/>
        </w:rPr>
        <w:t>,</w:t>
      </w:r>
      <w:r>
        <w:rPr>
          <w:rFonts w:ascii="Arial" w:hAnsi="Arial" w:cs="Arial"/>
          <w:sz w:val="24"/>
          <w:szCs w:val="24"/>
        </w:rPr>
        <w:t xml:space="preserve"> common law has </w:t>
      </w:r>
      <w:r w:rsidR="00640616">
        <w:rPr>
          <w:rFonts w:ascii="Arial" w:hAnsi="Arial" w:cs="Arial"/>
          <w:sz w:val="24"/>
          <w:szCs w:val="24"/>
        </w:rPr>
        <w:t>deep roots in England and Wales</w:t>
      </w:r>
      <w:r w:rsidR="0010776D">
        <w:rPr>
          <w:rFonts w:ascii="Arial" w:hAnsi="Arial" w:cs="Arial"/>
          <w:sz w:val="24"/>
          <w:szCs w:val="24"/>
        </w:rPr>
        <w:t>. The effects are still present in the modern day.</w:t>
      </w:r>
      <w:r w:rsidR="00110CC2">
        <w:rPr>
          <w:rFonts w:ascii="Arial" w:hAnsi="Arial" w:cs="Arial"/>
          <w:sz w:val="24"/>
          <w:szCs w:val="24"/>
        </w:rPr>
        <w:t xml:space="preserve"> Common law is still used but, in a different form.</w:t>
      </w:r>
      <w:r w:rsidR="008C2397">
        <w:rPr>
          <w:rFonts w:ascii="Arial" w:hAnsi="Arial" w:cs="Arial"/>
          <w:sz w:val="24"/>
          <w:szCs w:val="24"/>
        </w:rPr>
        <w:t xml:space="preserve"> This</w:t>
      </w:r>
      <w:r w:rsidR="006303DB">
        <w:rPr>
          <w:rFonts w:ascii="Arial" w:hAnsi="Arial" w:cs="Arial"/>
          <w:sz w:val="24"/>
          <w:szCs w:val="24"/>
        </w:rPr>
        <w:t xml:space="preserve"> used to be the only form of judgment </w:t>
      </w:r>
      <w:r w:rsidR="007136C3">
        <w:rPr>
          <w:rFonts w:ascii="Arial" w:hAnsi="Arial" w:cs="Arial"/>
          <w:sz w:val="24"/>
          <w:szCs w:val="24"/>
        </w:rPr>
        <w:t xml:space="preserve">that was available for the public to resolve disputes. </w:t>
      </w:r>
      <w:r w:rsidR="00A16387">
        <w:rPr>
          <w:rFonts w:ascii="Arial" w:hAnsi="Arial" w:cs="Arial"/>
          <w:sz w:val="24"/>
          <w:szCs w:val="24"/>
        </w:rPr>
        <w:t xml:space="preserve">New judicial precedence can be created and can be valid for </w:t>
      </w:r>
      <w:r w:rsidR="00FC7E47">
        <w:rPr>
          <w:rFonts w:ascii="Arial" w:hAnsi="Arial" w:cs="Arial"/>
          <w:sz w:val="24"/>
          <w:szCs w:val="24"/>
        </w:rPr>
        <w:t xml:space="preserve">over one hundred years. </w:t>
      </w:r>
    </w:p>
    <w:p w14:paraId="323570FC" w14:textId="473C3209" w:rsidR="00EC64B7" w:rsidRDefault="00EC64B7" w:rsidP="00374753">
      <w:pPr>
        <w:spacing w:line="480" w:lineRule="auto"/>
        <w:ind w:left="720"/>
        <w:rPr>
          <w:rFonts w:ascii="Arial" w:hAnsi="Arial" w:cs="Arial"/>
          <w:sz w:val="24"/>
          <w:szCs w:val="24"/>
        </w:rPr>
      </w:pPr>
    </w:p>
    <w:p w14:paraId="6B586FD7" w14:textId="3AC76C83" w:rsidR="00EC64B7" w:rsidRDefault="00EC64B7" w:rsidP="00374753">
      <w:pPr>
        <w:spacing w:line="480" w:lineRule="auto"/>
        <w:ind w:left="720"/>
        <w:rPr>
          <w:rFonts w:ascii="Arial" w:hAnsi="Arial" w:cs="Arial"/>
          <w:sz w:val="24"/>
          <w:szCs w:val="24"/>
        </w:rPr>
      </w:pPr>
    </w:p>
    <w:p w14:paraId="0F9ABC87" w14:textId="3E3F3FD7" w:rsidR="00EC64B7" w:rsidRDefault="00EC64B7" w:rsidP="00374753">
      <w:pPr>
        <w:spacing w:line="480" w:lineRule="auto"/>
        <w:ind w:left="720"/>
        <w:rPr>
          <w:rFonts w:ascii="Arial" w:hAnsi="Arial" w:cs="Arial"/>
          <w:sz w:val="24"/>
          <w:szCs w:val="24"/>
        </w:rPr>
      </w:pPr>
    </w:p>
    <w:p w14:paraId="1B80E8CF" w14:textId="3B700E8A" w:rsidR="00EC64B7" w:rsidRDefault="00EC64B7" w:rsidP="00374753">
      <w:pPr>
        <w:spacing w:line="480" w:lineRule="auto"/>
        <w:ind w:left="720"/>
        <w:rPr>
          <w:rFonts w:ascii="Arial" w:hAnsi="Arial" w:cs="Arial"/>
          <w:sz w:val="24"/>
          <w:szCs w:val="24"/>
        </w:rPr>
      </w:pPr>
    </w:p>
    <w:p w14:paraId="54EA8698" w14:textId="443A537B" w:rsidR="00EC64B7" w:rsidRDefault="00EC64B7" w:rsidP="00374753">
      <w:pPr>
        <w:spacing w:line="480" w:lineRule="auto"/>
        <w:ind w:left="720"/>
        <w:rPr>
          <w:rFonts w:ascii="Arial" w:hAnsi="Arial" w:cs="Arial"/>
          <w:sz w:val="24"/>
          <w:szCs w:val="24"/>
        </w:rPr>
      </w:pPr>
    </w:p>
    <w:p w14:paraId="0CA15C7F" w14:textId="25661A34" w:rsidR="00EC64B7" w:rsidRDefault="00EC64B7" w:rsidP="00374753">
      <w:pPr>
        <w:spacing w:line="480" w:lineRule="auto"/>
        <w:ind w:left="720"/>
        <w:rPr>
          <w:rFonts w:ascii="Arial" w:hAnsi="Arial" w:cs="Arial"/>
          <w:sz w:val="24"/>
          <w:szCs w:val="24"/>
        </w:rPr>
      </w:pPr>
    </w:p>
    <w:p w14:paraId="5907FADB" w14:textId="222F85B8" w:rsidR="00EC64B7" w:rsidRDefault="00EC64B7" w:rsidP="00374753">
      <w:pPr>
        <w:spacing w:line="480" w:lineRule="auto"/>
        <w:ind w:left="720"/>
        <w:rPr>
          <w:rFonts w:ascii="Arial" w:hAnsi="Arial" w:cs="Arial"/>
          <w:sz w:val="24"/>
          <w:szCs w:val="24"/>
        </w:rPr>
      </w:pPr>
    </w:p>
    <w:p w14:paraId="14299560" w14:textId="1A5439D3" w:rsidR="00EC64B7" w:rsidRDefault="00EC64B7" w:rsidP="00374753">
      <w:pPr>
        <w:spacing w:line="480" w:lineRule="auto"/>
        <w:ind w:left="720"/>
        <w:rPr>
          <w:rFonts w:ascii="Arial" w:hAnsi="Arial" w:cs="Arial"/>
          <w:sz w:val="24"/>
          <w:szCs w:val="24"/>
        </w:rPr>
      </w:pPr>
    </w:p>
    <w:p w14:paraId="2C3B251A" w14:textId="740B1AED" w:rsidR="00EC64B7" w:rsidRDefault="00EC64B7" w:rsidP="00374753">
      <w:pPr>
        <w:spacing w:line="480" w:lineRule="auto"/>
        <w:ind w:left="720"/>
        <w:rPr>
          <w:rFonts w:ascii="Arial" w:hAnsi="Arial" w:cs="Arial"/>
          <w:sz w:val="24"/>
          <w:szCs w:val="24"/>
        </w:rPr>
      </w:pPr>
    </w:p>
    <w:p w14:paraId="603A29F5" w14:textId="38F14CC6" w:rsidR="00EC64B7" w:rsidRDefault="00EC64B7" w:rsidP="00374753">
      <w:pPr>
        <w:spacing w:line="480" w:lineRule="auto"/>
        <w:ind w:left="720"/>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578164233"/>
        <w:docPartObj>
          <w:docPartGallery w:val="Bibliographies"/>
          <w:docPartUnique/>
        </w:docPartObj>
      </w:sdtPr>
      <w:sdtContent>
        <w:p w14:paraId="6E7B4079" w14:textId="71644718" w:rsidR="00EC64B7" w:rsidRDefault="00EC64B7">
          <w:pPr>
            <w:pStyle w:val="Heading1"/>
          </w:pPr>
          <w:r>
            <w:t>Bibliography</w:t>
          </w:r>
        </w:p>
        <w:sdt>
          <w:sdtPr>
            <w:id w:val="111145805"/>
            <w:bibliography/>
          </w:sdtPr>
          <w:sdtContent>
            <w:p w14:paraId="27F4FD77" w14:textId="77777777" w:rsidR="00EC64B7" w:rsidRDefault="00EC64B7" w:rsidP="00EC64B7">
              <w:pPr>
                <w:pStyle w:val="Bibliography"/>
                <w:rPr>
                  <w:noProof/>
                  <w:sz w:val="24"/>
                  <w:szCs w:val="24"/>
                  <w:lang w:val="en-US"/>
                </w:rPr>
              </w:pPr>
              <w:r>
                <w:fldChar w:fldCharType="begin"/>
              </w:r>
              <w:r>
                <w:instrText xml:space="preserve"> BIBLIOGRAPHY </w:instrText>
              </w:r>
              <w:r>
                <w:fldChar w:fldCharType="separate"/>
              </w:r>
              <w:r>
                <w:rPr>
                  <w:noProof/>
                  <w:lang w:val="en-US"/>
                </w:rPr>
                <w:t xml:space="preserve">Courts and Tribunals Judiciary, 2020. </w:t>
              </w:r>
              <w:r>
                <w:rPr>
                  <w:i/>
                  <w:iCs/>
                  <w:noProof/>
                  <w:lang w:val="en-US"/>
                </w:rPr>
                <w:t xml:space="preserve">Civil. </w:t>
              </w:r>
              <w:r>
                <w:rPr>
                  <w:noProof/>
                  <w:lang w:val="en-US"/>
                </w:rPr>
                <w:t xml:space="preserve">[Online] </w:t>
              </w:r>
              <w:r>
                <w:rPr>
                  <w:noProof/>
                  <w:lang w:val="en-US"/>
                </w:rPr>
                <w:br/>
                <w:t xml:space="preserve">Available at: </w:t>
              </w:r>
              <w:r>
                <w:rPr>
                  <w:noProof/>
                  <w:u w:val="single"/>
                  <w:lang w:val="en-US"/>
                </w:rPr>
                <w:t>https://www.judiciary.uk/about-the-judiciary/our-justice-system/jurisdictions/civil-jurisdiction/</w:t>
              </w:r>
              <w:r>
                <w:rPr>
                  <w:noProof/>
                  <w:lang w:val="en-US"/>
                </w:rPr>
                <w:br/>
                <w:t>[Accessed 8 March 2023].</w:t>
              </w:r>
            </w:p>
            <w:p w14:paraId="7CAC845C" w14:textId="77777777" w:rsidR="00EC64B7" w:rsidRDefault="00EC64B7" w:rsidP="00EC64B7">
              <w:pPr>
                <w:pStyle w:val="Bibliography"/>
                <w:rPr>
                  <w:noProof/>
                  <w:lang w:val="en-US"/>
                </w:rPr>
              </w:pPr>
              <w:r>
                <w:rPr>
                  <w:noProof/>
                  <w:lang w:val="en-US"/>
                </w:rPr>
                <w:t xml:space="preserve">Incorporated Council of Law Reporting, 2020. </w:t>
              </w:r>
              <w:r>
                <w:rPr>
                  <w:i/>
                  <w:iCs/>
                  <w:noProof/>
                  <w:lang w:val="en-US"/>
                </w:rPr>
                <w:t xml:space="preserve">The courts and tribunals of England and Wales. </w:t>
              </w:r>
              <w:r>
                <w:rPr>
                  <w:noProof/>
                  <w:lang w:val="en-US"/>
                </w:rPr>
                <w:t xml:space="preserve">[Online] </w:t>
              </w:r>
              <w:r>
                <w:rPr>
                  <w:noProof/>
                  <w:lang w:val="en-US"/>
                </w:rPr>
                <w:br/>
                <w:t xml:space="preserve">Available at: </w:t>
              </w:r>
              <w:r>
                <w:rPr>
                  <w:noProof/>
                  <w:u w:val="single"/>
                  <w:lang w:val="en-US"/>
                </w:rPr>
                <w:t>https://www.iclr.co.uk/knowledge/topics/the-english-legal-system/</w:t>
              </w:r>
              <w:r>
                <w:rPr>
                  <w:noProof/>
                  <w:lang w:val="en-US"/>
                </w:rPr>
                <w:br/>
                <w:t>[Accessed 4 March 2023].</w:t>
              </w:r>
            </w:p>
            <w:p w14:paraId="015EBE3A" w14:textId="77777777" w:rsidR="00EC64B7" w:rsidRDefault="00EC64B7" w:rsidP="00EC64B7">
              <w:pPr>
                <w:pStyle w:val="Bibliography"/>
                <w:rPr>
                  <w:noProof/>
                  <w:lang w:val="en-US"/>
                </w:rPr>
              </w:pPr>
              <w:r>
                <w:rPr>
                  <w:noProof/>
                  <w:lang w:val="en-US"/>
                </w:rPr>
                <w:t xml:space="preserve">Law Teacher, 2013. </w:t>
              </w:r>
              <w:r>
                <w:rPr>
                  <w:i/>
                  <w:iCs/>
                  <w:noProof/>
                  <w:lang w:val="en-US"/>
                </w:rPr>
                <w:t xml:space="preserve">Judicial Precedent Lecture 1. </w:t>
              </w:r>
              <w:r>
                <w:rPr>
                  <w:noProof/>
                  <w:lang w:val="en-US"/>
                </w:rPr>
                <w:t xml:space="preserve">[Online] </w:t>
              </w:r>
              <w:r>
                <w:rPr>
                  <w:noProof/>
                  <w:lang w:val="en-US"/>
                </w:rPr>
                <w:br/>
                <w:t xml:space="preserve">Available at: </w:t>
              </w:r>
              <w:r>
                <w:rPr>
                  <w:noProof/>
                  <w:u w:val="single"/>
                  <w:lang w:val="en-US"/>
                </w:rPr>
                <w:t>https://www.lawteacher.net/lecture-notes/judicial-precedent-1.php</w:t>
              </w:r>
              <w:r>
                <w:rPr>
                  <w:noProof/>
                  <w:lang w:val="en-US"/>
                </w:rPr>
                <w:br/>
                <w:t>[Accessed 9 March 2023].</w:t>
              </w:r>
            </w:p>
            <w:p w14:paraId="2AB473D7" w14:textId="77777777" w:rsidR="00EC64B7" w:rsidRDefault="00EC64B7" w:rsidP="00EC64B7">
              <w:pPr>
                <w:pStyle w:val="Bibliography"/>
                <w:rPr>
                  <w:noProof/>
                  <w:lang w:val="en-US"/>
                </w:rPr>
              </w:pPr>
              <w:r>
                <w:rPr>
                  <w:noProof/>
                  <w:lang w:val="en-US"/>
                </w:rPr>
                <w:t xml:space="preserve">Lexis, 2013. </w:t>
              </w:r>
              <w:r>
                <w:rPr>
                  <w:i/>
                  <w:iCs/>
                  <w:noProof/>
                  <w:lang w:val="en-US"/>
                </w:rPr>
                <w:t xml:space="preserve">Carlill v Carbolic Smoke Ball Co [1891-94] All ER Rep 127. </w:t>
              </w:r>
              <w:r>
                <w:rPr>
                  <w:noProof/>
                  <w:lang w:val="en-US"/>
                </w:rPr>
                <w:t xml:space="preserve">[Online] </w:t>
              </w:r>
              <w:r>
                <w:rPr>
                  <w:noProof/>
                  <w:lang w:val="en-US"/>
                </w:rPr>
                <w:br/>
                <w:t xml:space="preserve">Available at: </w:t>
              </w:r>
              <w:r>
                <w:rPr>
                  <w:noProof/>
                  <w:u w:val="single"/>
                  <w:lang w:val="en-US"/>
                </w:rPr>
                <w:t>https://plus-lexis-com.ezproxy.uwtsd.ac.uk/uk/document/documentlink/?pdmfid=1001073&amp;crid=491d04d9-cb39-46d0-aa79-da47b500d599&amp;pddocfullpath=%2Fshared%2Fdocument%2Fcases-uk%2Furn%3AcontentItem%3A4FPP-FDM0-TWXJ-212X-00000-00&amp;pdcontentcomponentid=279846&amp;pdpr</w:t>
              </w:r>
              <w:r>
                <w:rPr>
                  <w:noProof/>
                  <w:lang w:val="en-US"/>
                </w:rPr>
                <w:br/>
                <w:t>[Accessed 9 March 2023].</w:t>
              </w:r>
            </w:p>
            <w:p w14:paraId="67CCBE7E" w14:textId="77777777" w:rsidR="00EC64B7" w:rsidRDefault="00EC64B7" w:rsidP="00EC64B7">
              <w:pPr>
                <w:pStyle w:val="Bibliography"/>
                <w:rPr>
                  <w:noProof/>
                  <w:lang w:val="en-US"/>
                </w:rPr>
              </w:pPr>
              <w:r>
                <w:rPr>
                  <w:noProof/>
                  <w:lang w:val="en-US"/>
                </w:rPr>
                <w:t xml:space="preserve">Lexis, 2013. </w:t>
              </w:r>
              <w:r>
                <w:rPr>
                  <w:i/>
                  <w:iCs/>
                  <w:noProof/>
                  <w:lang w:val="en-US"/>
                </w:rPr>
                <w:t xml:space="preserve">Carlill v Carbolic Smoke Ball Company. </w:t>
              </w:r>
              <w:r>
                <w:rPr>
                  <w:noProof/>
                  <w:lang w:val="en-US"/>
                </w:rPr>
                <w:t xml:space="preserve">[Online] </w:t>
              </w:r>
              <w:r>
                <w:rPr>
                  <w:noProof/>
                  <w:lang w:val="en-US"/>
                </w:rPr>
                <w:br/>
                <w:t xml:space="preserve">Available at: </w:t>
              </w:r>
              <w:r>
                <w:rPr>
                  <w:noProof/>
                  <w:u w:val="single"/>
                  <w:lang w:val="en-US"/>
                </w:rPr>
                <w:t>https://plus-lexis-com.ezproxy.uwtsd.ac.uk/uk/document/?pdmfid=1001073&amp;crid=31f92e47-cee5-485e-a725-3c6ad27ff9e9&amp;pddocfullpath=%2Fshared%2Fdocument%2Fnews-uk%2Furn%3AcontentItem%3A52M9-P551-DYJG-K3C2-00000-00&amp;pdcontentcomponentid=281950&amp;pddocumentnumber=4</w:t>
              </w:r>
              <w:r>
                <w:rPr>
                  <w:noProof/>
                  <w:lang w:val="en-US"/>
                </w:rPr>
                <w:br/>
                <w:t>[Accessed 8 March 2023].</w:t>
              </w:r>
            </w:p>
            <w:p w14:paraId="34B4E6BE" w14:textId="77777777" w:rsidR="00EC64B7" w:rsidRDefault="00EC64B7" w:rsidP="00EC64B7">
              <w:pPr>
                <w:pStyle w:val="Bibliography"/>
                <w:rPr>
                  <w:noProof/>
                  <w:lang w:val="en-US"/>
                </w:rPr>
              </w:pPr>
              <w:r>
                <w:rPr>
                  <w:noProof/>
                  <w:lang w:val="en-US"/>
                </w:rPr>
                <w:t xml:space="preserve">Lexis, 2014. </w:t>
              </w:r>
              <w:r>
                <w:rPr>
                  <w:i/>
                  <w:iCs/>
                  <w:noProof/>
                  <w:lang w:val="en-US"/>
                </w:rPr>
                <w:t xml:space="preserve">British Caribbean Bank Ltd v Attorney General [2014] 2 LRC 11. </w:t>
              </w:r>
              <w:r>
                <w:rPr>
                  <w:noProof/>
                  <w:lang w:val="en-US"/>
                </w:rPr>
                <w:t xml:space="preserve">[Online] </w:t>
              </w:r>
              <w:r>
                <w:rPr>
                  <w:noProof/>
                  <w:lang w:val="en-US"/>
                </w:rPr>
                <w:br/>
                <w:t xml:space="preserve">Available at: </w:t>
              </w:r>
              <w:r>
                <w:rPr>
                  <w:noProof/>
                  <w:u w:val="single"/>
                  <w:lang w:val="en-US"/>
                </w:rPr>
                <w:t>https://plus-lexis-com.ezproxy.uwtsd.ac.uk/uk/document/documentlink/?pdmfid=1001073&amp;crid=a2b681f7-4397-44ba-a722-21b4c605d0f1&amp;pddocfullpath=%2Fshared%2Fdocument%2Fcases-uk%2Furn%3AcontentItem%3A5C3V-Y291-DYJ0-80R4-00000-00&amp;pdcontentcomponentid=280207&amp;pdpr</w:t>
              </w:r>
              <w:r>
                <w:rPr>
                  <w:noProof/>
                  <w:lang w:val="en-US"/>
                </w:rPr>
                <w:br/>
                <w:t>[Accessed 9 March 2023].</w:t>
              </w:r>
            </w:p>
            <w:p w14:paraId="1B04C5AB" w14:textId="77777777" w:rsidR="00EC64B7" w:rsidRDefault="00EC64B7" w:rsidP="00EC64B7">
              <w:pPr>
                <w:pStyle w:val="Bibliography"/>
                <w:rPr>
                  <w:noProof/>
                  <w:lang w:val="en-US"/>
                </w:rPr>
              </w:pPr>
              <w:r>
                <w:rPr>
                  <w:noProof/>
                  <w:lang w:val="en-US"/>
                </w:rPr>
                <w:t xml:space="preserve">Lexis, 2018. </w:t>
              </w:r>
              <w:r>
                <w:rPr>
                  <w:i/>
                  <w:iCs/>
                  <w:noProof/>
                  <w:lang w:val="en-US"/>
                </w:rPr>
                <w:t xml:space="preserve">Ratio decidendi definition. </w:t>
              </w:r>
              <w:r>
                <w:rPr>
                  <w:noProof/>
                  <w:lang w:val="en-US"/>
                </w:rPr>
                <w:t xml:space="preserve">[Online] </w:t>
              </w:r>
              <w:r>
                <w:rPr>
                  <w:noProof/>
                  <w:lang w:val="en-US"/>
                </w:rPr>
                <w:br/>
                <w:t xml:space="preserve">Available at: </w:t>
              </w:r>
              <w:r>
                <w:rPr>
                  <w:noProof/>
                  <w:u w:val="single"/>
                  <w:lang w:val="en-US"/>
                </w:rPr>
                <w:t>https://www.lexisnexis.co.uk/legal/glossary/ratio-decidendi</w:t>
              </w:r>
              <w:r>
                <w:rPr>
                  <w:noProof/>
                  <w:lang w:val="en-US"/>
                </w:rPr>
                <w:br/>
                <w:t>[Accessed 7 March 2023].</w:t>
              </w:r>
            </w:p>
            <w:p w14:paraId="211FDEE8" w14:textId="77777777" w:rsidR="00EC64B7" w:rsidRDefault="00EC64B7" w:rsidP="00EC64B7">
              <w:pPr>
                <w:pStyle w:val="Bibliography"/>
                <w:rPr>
                  <w:noProof/>
                  <w:lang w:val="en-US"/>
                </w:rPr>
              </w:pPr>
              <w:r>
                <w:rPr>
                  <w:noProof/>
                  <w:lang w:val="en-US"/>
                </w:rPr>
                <w:t xml:space="preserve">Lexis, 2020. </w:t>
              </w:r>
              <w:r>
                <w:rPr>
                  <w:i/>
                  <w:iCs/>
                  <w:noProof/>
                  <w:lang w:val="en-US"/>
                </w:rPr>
                <w:t xml:space="preserve">Obiter dictum. </w:t>
              </w:r>
              <w:r>
                <w:rPr>
                  <w:noProof/>
                  <w:lang w:val="en-US"/>
                </w:rPr>
                <w:t xml:space="preserve">[Online] </w:t>
              </w:r>
              <w:r>
                <w:rPr>
                  <w:noProof/>
                  <w:lang w:val="en-US"/>
                </w:rPr>
                <w:br/>
                <w:t xml:space="preserve">Available at: </w:t>
              </w:r>
              <w:r>
                <w:rPr>
                  <w:noProof/>
                  <w:u w:val="single"/>
                  <w:lang w:val="en-US"/>
                </w:rPr>
                <w:t>https://www.lexisnexis.co.uk/legal/glossary/obiter-dictum</w:t>
              </w:r>
              <w:r>
                <w:rPr>
                  <w:noProof/>
                  <w:lang w:val="en-US"/>
                </w:rPr>
                <w:br/>
                <w:t>[Accessed 8 March 20203].</w:t>
              </w:r>
            </w:p>
            <w:p w14:paraId="5EB71D15" w14:textId="77777777" w:rsidR="00EC64B7" w:rsidRDefault="00EC64B7" w:rsidP="00EC64B7">
              <w:pPr>
                <w:pStyle w:val="Bibliography"/>
                <w:rPr>
                  <w:noProof/>
                  <w:lang w:val="en-US"/>
                </w:rPr>
              </w:pPr>
              <w:r>
                <w:rPr>
                  <w:noProof/>
                  <w:lang w:val="en-US"/>
                </w:rPr>
                <w:t xml:space="preserve">Lexis, 2020. </w:t>
              </w:r>
              <w:r>
                <w:rPr>
                  <w:i/>
                  <w:iCs/>
                  <w:noProof/>
                  <w:lang w:val="en-US"/>
                </w:rPr>
                <w:t xml:space="preserve">Standard of proof definition. </w:t>
              </w:r>
              <w:r>
                <w:rPr>
                  <w:noProof/>
                  <w:lang w:val="en-US"/>
                </w:rPr>
                <w:t xml:space="preserve">[Online] </w:t>
              </w:r>
              <w:r>
                <w:rPr>
                  <w:noProof/>
                  <w:lang w:val="en-US"/>
                </w:rPr>
                <w:br/>
                <w:t xml:space="preserve">Available at: </w:t>
              </w:r>
              <w:r>
                <w:rPr>
                  <w:noProof/>
                  <w:u w:val="single"/>
                  <w:lang w:val="en-US"/>
                </w:rPr>
                <w:t>https://www.lexisnexis.co.uk/legal/glossary/standard-of-proof</w:t>
              </w:r>
              <w:r>
                <w:rPr>
                  <w:noProof/>
                  <w:lang w:val="en-US"/>
                </w:rPr>
                <w:br/>
                <w:t>[Accessed 8 March 2023].</w:t>
              </w:r>
            </w:p>
            <w:p w14:paraId="31E38E50" w14:textId="77777777" w:rsidR="00EC64B7" w:rsidRDefault="00EC64B7" w:rsidP="00EC64B7">
              <w:pPr>
                <w:pStyle w:val="Bibliography"/>
                <w:rPr>
                  <w:noProof/>
                  <w:lang w:val="en-US"/>
                </w:rPr>
              </w:pPr>
              <w:r>
                <w:rPr>
                  <w:noProof/>
                  <w:lang w:val="en-US"/>
                </w:rPr>
                <w:lastRenderedPageBreak/>
                <w:t xml:space="preserve">Lexis, 2021. </w:t>
              </w:r>
              <w:r>
                <w:rPr>
                  <w:i/>
                  <w:iCs/>
                  <w:noProof/>
                  <w:lang w:val="en-US"/>
                </w:rPr>
                <w:t xml:space="preserve">Adferiad Recovery Ltd v Aneurin Bevan University Health Board. </w:t>
              </w:r>
              <w:r>
                <w:rPr>
                  <w:noProof/>
                  <w:lang w:val="en-US"/>
                </w:rPr>
                <w:t xml:space="preserve">[Online] </w:t>
              </w:r>
              <w:r>
                <w:rPr>
                  <w:noProof/>
                  <w:lang w:val="en-US"/>
                </w:rPr>
                <w:br/>
                <w:t xml:space="preserve">Available at: </w:t>
              </w:r>
              <w:r>
                <w:rPr>
                  <w:noProof/>
                  <w:u w:val="single"/>
                  <w:lang w:val="en-US"/>
                </w:rPr>
                <w:t>https://plus-lexis-com.ezproxy.uwtsd.ac.uk/uk/document/?pdmfid=1001073&amp;crid=6dee8fa2-4bb3-4346-8363-742e0ccdbaed&amp;pddocfullpath=%2Fshared%2Fdocument%2Fcases-uk%2Furn%3AcontentItem%3A643J-VS13-GXF6-80M5-00000-00&amp;pdcontentcomponentid=504460&amp;pddocumentnumber=</w:t>
              </w:r>
              <w:r>
                <w:rPr>
                  <w:noProof/>
                  <w:lang w:val="en-US"/>
                </w:rPr>
                <w:br/>
                <w:t>[Accessed 9 March 2023].</w:t>
              </w:r>
            </w:p>
            <w:p w14:paraId="01D76B2F" w14:textId="77777777" w:rsidR="00EC64B7" w:rsidRDefault="00EC64B7" w:rsidP="00EC64B7">
              <w:pPr>
                <w:pStyle w:val="Bibliography"/>
                <w:rPr>
                  <w:noProof/>
                  <w:lang w:val="en-US"/>
                </w:rPr>
              </w:pPr>
              <w:r>
                <w:rPr>
                  <w:noProof/>
                  <w:lang w:val="en-US"/>
                </w:rPr>
                <w:t xml:space="preserve">The University of Law, 2020. </w:t>
              </w:r>
              <w:r>
                <w:rPr>
                  <w:i/>
                  <w:iCs/>
                  <w:noProof/>
                  <w:lang w:val="en-US"/>
                </w:rPr>
                <w:t xml:space="preserve">How to become a judge. </w:t>
              </w:r>
              <w:r>
                <w:rPr>
                  <w:noProof/>
                  <w:lang w:val="en-US"/>
                </w:rPr>
                <w:t xml:space="preserve">[Online] </w:t>
              </w:r>
              <w:r>
                <w:rPr>
                  <w:noProof/>
                  <w:lang w:val="en-US"/>
                </w:rPr>
                <w:br/>
                <w:t xml:space="preserve">Available at: </w:t>
              </w:r>
              <w:r>
                <w:rPr>
                  <w:noProof/>
                  <w:u w:val="single"/>
                  <w:lang w:val="en-US"/>
                </w:rPr>
                <w:t>https://www.law.ac.uk/employability/career-finder/judge/</w:t>
              </w:r>
              <w:r>
                <w:rPr>
                  <w:noProof/>
                  <w:lang w:val="en-US"/>
                </w:rPr>
                <w:br/>
                <w:t>[Accessed 9 March 2023].</w:t>
              </w:r>
            </w:p>
            <w:p w14:paraId="09654C6F" w14:textId="7700B673" w:rsidR="00EC64B7" w:rsidRDefault="00EC64B7" w:rsidP="00EC64B7">
              <w:r>
                <w:rPr>
                  <w:b/>
                  <w:bCs/>
                  <w:noProof/>
                </w:rPr>
                <w:fldChar w:fldCharType="end"/>
              </w:r>
            </w:p>
          </w:sdtContent>
        </w:sdt>
      </w:sdtContent>
    </w:sdt>
    <w:p w14:paraId="1C1B218C" w14:textId="77777777" w:rsidR="00EC64B7" w:rsidRPr="00374753" w:rsidRDefault="00EC64B7" w:rsidP="00374753">
      <w:pPr>
        <w:spacing w:line="480" w:lineRule="auto"/>
        <w:ind w:left="720"/>
        <w:rPr>
          <w:rFonts w:ascii="Arial" w:hAnsi="Arial" w:cs="Arial"/>
          <w:sz w:val="24"/>
          <w:szCs w:val="24"/>
        </w:rPr>
      </w:pPr>
    </w:p>
    <w:sectPr w:rsidR="00EC64B7" w:rsidRPr="00374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FF7821"/>
    <w:multiLevelType w:val="hybridMultilevel"/>
    <w:tmpl w:val="0C1AA36E"/>
    <w:lvl w:ilvl="0" w:tplc="1BF6F94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93928855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7F"/>
    <w:rsid w:val="00002B05"/>
    <w:rsid w:val="00013A8C"/>
    <w:rsid w:val="000525B3"/>
    <w:rsid w:val="000723D6"/>
    <w:rsid w:val="00080A74"/>
    <w:rsid w:val="000871FB"/>
    <w:rsid w:val="00095F9F"/>
    <w:rsid w:val="000D3FED"/>
    <w:rsid w:val="000F4F21"/>
    <w:rsid w:val="000F7144"/>
    <w:rsid w:val="0010776D"/>
    <w:rsid w:val="00110CC2"/>
    <w:rsid w:val="00133FF9"/>
    <w:rsid w:val="0013584B"/>
    <w:rsid w:val="00171783"/>
    <w:rsid w:val="001719D8"/>
    <w:rsid w:val="001B0AAA"/>
    <w:rsid w:val="001B37F1"/>
    <w:rsid w:val="001B749E"/>
    <w:rsid w:val="001B781D"/>
    <w:rsid w:val="001F1E59"/>
    <w:rsid w:val="001F5E0A"/>
    <w:rsid w:val="00203E03"/>
    <w:rsid w:val="002051E6"/>
    <w:rsid w:val="0021363A"/>
    <w:rsid w:val="00257ED5"/>
    <w:rsid w:val="00261FD5"/>
    <w:rsid w:val="0029022C"/>
    <w:rsid w:val="002A2800"/>
    <w:rsid w:val="002A749A"/>
    <w:rsid w:val="002C3062"/>
    <w:rsid w:val="002F0854"/>
    <w:rsid w:val="002F149D"/>
    <w:rsid w:val="003053B4"/>
    <w:rsid w:val="003070B2"/>
    <w:rsid w:val="00315C74"/>
    <w:rsid w:val="0031637E"/>
    <w:rsid w:val="00321BBB"/>
    <w:rsid w:val="00327428"/>
    <w:rsid w:val="00327F86"/>
    <w:rsid w:val="003354DC"/>
    <w:rsid w:val="00337179"/>
    <w:rsid w:val="00341050"/>
    <w:rsid w:val="00365712"/>
    <w:rsid w:val="00374753"/>
    <w:rsid w:val="003946EA"/>
    <w:rsid w:val="003D7E45"/>
    <w:rsid w:val="003F7FDB"/>
    <w:rsid w:val="00423921"/>
    <w:rsid w:val="00435BE3"/>
    <w:rsid w:val="00442172"/>
    <w:rsid w:val="004426CB"/>
    <w:rsid w:val="00451339"/>
    <w:rsid w:val="0045636C"/>
    <w:rsid w:val="004773EF"/>
    <w:rsid w:val="0048445B"/>
    <w:rsid w:val="0049437E"/>
    <w:rsid w:val="004A42C8"/>
    <w:rsid w:val="004E2D49"/>
    <w:rsid w:val="004F108C"/>
    <w:rsid w:val="004F785E"/>
    <w:rsid w:val="004F7871"/>
    <w:rsid w:val="005031F9"/>
    <w:rsid w:val="005245D3"/>
    <w:rsid w:val="00524BDD"/>
    <w:rsid w:val="005351AD"/>
    <w:rsid w:val="00565695"/>
    <w:rsid w:val="00593FD8"/>
    <w:rsid w:val="005946E3"/>
    <w:rsid w:val="005A0853"/>
    <w:rsid w:val="005C036A"/>
    <w:rsid w:val="005C038B"/>
    <w:rsid w:val="005C3A86"/>
    <w:rsid w:val="005C7EDF"/>
    <w:rsid w:val="005D3464"/>
    <w:rsid w:val="005D5A9F"/>
    <w:rsid w:val="005E3026"/>
    <w:rsid w:val="0061084E"/>
    <w:rsid w:val="00610ABA"/>
    <w:rsid w:val="00624517"/>
    <w:rsid w:val="0062779B"/>
    <w:rsid w:val="006303DB"/>
    <w:rsid w:val="00636BD6"/>
    <w:rsid w:val="00637B31"/>
    <w:rsid w:val="00640616"/>
    <w:rsid w:val="00641124"/>
    <w:rsid w:val="00646DFD"/>
    <w:rsid w:val="00653F01"/>
    <w:rsid w:val="0065656A"/>
    <w:rsid w:val="006706C7"/>
    <w:rsid w:val="00672647"/>
    <w:rsid w:val="006747A9"/>
    <w:rsid w:val="00677CEA"/>
    <w:rsid w:val="006A34C1"/>
    <w:rsid w:val="006A5712"/>
    <w:rsid w:val="006B0E61"/>
    <w:rsid w:val="006E4727"/>
    <w:rsid w:val="006E483B"/>
    <w:rsid w:val="006F39E9"/>
    <w:rsid w:val="007107E7"/>
    <w:rsid w:val="007136C3"/>
    <w:rsid w:val="0072691E"/>
    <w:rsid w:val="007349CD"/>
    <w:rsid w:val="00743F62"/>
    <w:rsid w:val="00750028"/>
    <w:rsid w:val="00755B0D"/>
    <w:rsid w:val="00760BF0"/>
    <w:rsid w:val="00797B9E"/>
    <w:rsid w:val="007B17BF"/>
    <w:rsid w:val="007B5A81"/>
    <w:rsid w:val="007C1AD4"/>
    <w:rsid w:val="007C3BD4"/>
    <w:rsid w:val="007C409C"/>
    <w:rsid w:val="007C7211"/>
    <w:rsid w:val="007D45BF"/>
    <w:rsid w:val="007E04CF"/>
    <w:rsid w:val="007E1CF7"/>
    <w:rsid w:val="007E6AAF"/>
    <w:rsid w:val="00812BCA"/>
    <w:rsid w:val="00813AC3"/>
    <w:rsid w:val="00837A23"/>
    <w:rsid w:val="00837B3B"/>
    <w:rsid w:val="00844F41"/>
    <w:rsid w:val="00846A4D"/>
    <w:rsid w:val="0085702D"/>
    <w:rsid w:val="00857AF9"/>
    <w:rsid w:val="00867B79"/>
    <w:rsid w:val="0087462A"/>
    <w:rsid w:val="00886AA3"/>
    <w:rsid w:val="00887622"/>
    <w:rsid w:val="00890AF8"/>
    <w:rsid w:val="008958F2"/>
    <w:rsid w:val="008B077F"/>
    <w:rsid w:val="008B57E4"/>
    <w:rsid w:val="008C2397"/>
    <w:rsid w:val="008C366E"/>
    <w:rsid w:val="008C6115"/>
    <w:rsid w:val="00925EC0"/>
    <w:rsid w:val="00934B6A"/>
    <w:rsid w:val="009462F8"/>
    <w:rsid w:val="009557C8"/>
    <w:rsid w:val="0095614E"/>
    <w:rsid w:val="00975970"/>
    <w:rsid w:val="00975BB6"/>
    <w:rsid w:val="0098011A"/>
    <w:rsid w:val="00984540"/>
    <w:rsid w:val="0099100A"/>
    <w:rsid w:val="009A4B1B"/>
    <w:rsid w:val="009B0DB4"/>
    <w:rsid w:val="009B6CEC"/>
    <w:rsid w:val="009B7635"/>
    <w:rsid w:val="009C3766"/>
    <w:rsid w:val="009D7A31"/>
    <w:rsid w:val="009E2C92"/>
    <w:rsid w:val="009E6A35"/>
    <w:rsid w:val="00A01CBB"/>
    <w:rsid w:val="00A056C0"/>
    <w:rsid w:val="00A16387"/>
    <w:rsid w:val="00A234FC"/>
    <w:rsid w:val="00A479C4"/>
    <w:rsid w:val="00A527E8"/>
    <w:rsid w:val="00A74249"/>
    <w:rsid w:val="00A76703"/>
    <w:rsid w:val="00A82FA3"/>
    <w:rsid w:val="00A97940"/>
    <w:rsid w:val="00AA107C"/>
    <w:rsid w:val="00AB09BD"/>
    <w:rsid w:val="00AB2C10"/>
    <w:rsid w:val="00AB502B"/>
    <w:rsid w:val="00AC0986"/>
    <w:rsid w:val="00AC39BE"/>
    <w:rsid w:val="00AD0C66"/>
    <w:rsid w:val="00B01B72"/>
    <w:rsid w:val="00B06912"/>
    <w:rsid w:val="00B1689D"/>
    <w:rsid w:val="00B27429"/>
    <w:rsid w:val="00B27D8A"/>
    <w:rsid w:val="00B326B3"/>
    <w:rsid w:val="00B33873"/>
    <w:rsid w:val="00B45A63"/>
    <w:rsid w:val="00B676B1"/>
    <w:rsid w:val="00B867EA"/>
    <w:rsid w:val="00B95029"/>
    <w:rsid w:val="00B96B53"/>
    <w:rsid w:val="00B973DD"/>
    <w:rsid w:val="00BA7A5A"/>
    <w:rsid w:val="00BA7B2E"/>
    <w:rsid w:val="00BB513D"/>
    <w:rsid w:val="00BE1106"/>
    <w:rsid w:val="00BE1CC6"/>
    <w:rsid w:val="00BF6A44"/>
    <w:rsid w:val="00C210B3"/>
    <w:rsid w:val="00C31688"/>
    <w:rsid w:val="00C65C89"/>
    <w:rsid w:val="00C67A08"/>
    <w:rsid w:val="00C700C9"/>
    <w:rsid w:val="00C75E41"/>
    <w:rsid w:val="00C94F3B"/>
    <w:rsid w:val="00C9752A"/>
    <w:rsid w:val="00CA3C7F"/>
    <w:rsid w:val="00CA5BB0"/>
    <w:rsid w:val="00CB4F4A"/>
    <w:rsid w:val="00CD3E6C"/>
    <w:rsid w:val="00CD50DD"/>
    <w:rsid w:val="00CF650C"/>
    <w:rsid w:val="00D03488"/>
    <w:rsid w:val="00D20D7C"/>
    <w:rsid w:val="00D25009"/>
    <w:rsid w:val="00D25289"/>
    <w:rsid w:val="00D33862"/>
    <w:rsid w:val="00D51D2D"/>
    <w:rsid w:val="00D611A5"/>
    <w:rsid w:val="00D62163"/>
    <w:rsid w:val="00D6689D"/>
    <w:rsid w:val="00D9751B"/>
    <w:rsid w:val="00DA1013"/>
    <w:rsid w:val="00DB4D33"/>
    <w:rsid w:val="00DD096D"/>
    <w:rsid w:val="00DE1642"/>
    <w:rsid w:val="00DF741C"/>
    <w:rsid w:val="00E02085"/>
    <w:rsid w:val="00E11E1A"/>
    <w:rsid w:val="00E13CD5"/>
    <w:rsid w:val="00E20970"/>
    <w:rsid w:val="00E55FA0"/>
    <w:rsid w:val="00E61922"/>
    <w:rsid w:val="00E6691D"/>
    <w:rsid w:val="00EB08FA"/>
    <w:rsid w:val="00EB5C9B"/>
    <w:rsid w:val="00EB5D68"/>
    <w:rsid w:val="00EC5EFA"/>
    <w:rsid w:val="00EC64B7"/>
    <w:rsid w:val="00EF6374"/>
    <w:rsid w:val="00F058AD"/>
    <w:rsid w:val="00F3308B"/>
    <w:rsid w:val="00F42311"/>
    <w:rsid w:val="00F44C26"/>
    <w:rsid w:val="00F4564C"/>
    <w:rsid w:val="00F46247"/>
    <w:rsid w:val="00F62D3B"/>
    <w:rsid w:val="00F638E0"/>
    <w:rsid w:val="00F737B8"/>
    <w:rsid w:val="00FA7843"/>
    <w:rsid w:val="00FB2B09"/>
    <w:rsid w:val="00FC3210"/>
    <w:rsid w:val="00FC7E47"/>
    <w:rsid w:val="00FD4B55"/>
    <w:rsid w:val="00FD639F"/>
    <w:rsid w:val="00FE2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FA1FC"/>
  <w15:chartTrackingRefBased/>
  <w15:docId w15:val="{59543E90-ECD2-433B-BD30-80ECFCB27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4B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639F"/>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EC64B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C6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17891">
      <w:bodyDiv w:val="1"/>
      <w:marLeft w:val="0"/>
      <w:marRight w:val="0"/>
      <w:marTop w:val="0"/>
      <w:marBottom w:val="0"/>
      <w:divBdr>
        <w:top w:val="none" w:sz="0" w:space="0" w:color="auto"/>
        <w:left w:val="none" w:sz="0" w:space="0" w:color="auto"/>
        <w:bottom w:val="none" w:sz="0" w:space="0" w:color="auto"/>
        <w:right w:val="none" w:sz="0" w:space="0" w:color="auto"/>
      </w:divBdr>
      <w:divsChild>
        <w:div w:id="1467775791">
          <w:marLeft w:val="0"/>
          <w:marRight w:val="0"/>
          <w:marTop w:val="0"/>
          <w:marBottom w:val="0"/>
          <w:divBdr>
            <w:top w:val="none" w:sz="0" w:space="0" w:color="auto"/>
            <w:left w:val="none" w:sz="0" w:space="0" w:color="auto"/>
            <w:bottom w:val="none" w:sz="0" w:space="0" w:color="auto"/>
            <w:right w:val="none" w:sz="0" w:space="0" w:color="auto"/>
          </w:divBdr>
        </w:div>
        <w:div w:id="887423400">
          <w:marLeft w:val="0"/>
          <w:marRight w:val="0"/>
          <w:marTop w:val="0"/>
          <w:marBottom w:val="0"/>
          <w:divBdr>
            <w:top w:val="none" w:sz="0" w:space="0" w:color="auto"/>
            <w:left w:val="none" w:sz="0" w:space="0" w:color="auto"/>
            <w:bottom w:val="none" w:sz="0" w:space="0" w:color="auto"/>
            <w:right w:val="none" w:sz="0" w:space="0" w:color="auto"/>
          </w:divBdr>
          <w:divsChild>
            <w:div w:id="159963150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343752123">
      <w:bodyDiv w:val="1"/>
      <w:marLeft w:val="0"/>
      <w:marRight w:val="0"/>
      <w:marTop w:val="0"/>
      <w:marBottom w:val="0"/>
      <w:divBdr>
        <w:top w:val="none" w:sz="0" w:space="0" w:color="auto"/>
        <w:left w:val="none" w:sz="0" w:space="0" w:color="auto"/>
        <w:bottom w:val="none" w:sz="0" w:space="0" w:color="auto"/>
        <w:right w:val="none" w:sz="0" w:space="0" w:color="auto"/>
      </w:divBdr>
    </w:div>
    <w:div w:id="828979693">
      <w:bodyDiv w:val="1"/>
      <w:marLeft w:val="0"/>
      <w:marRight w:val="0"/>
      <w:marTop w:val="0"/>
      <w:marBottom w:val="0"/>
      <w:divBdr>
        <w:top w:val="none" w:sz="0" w:space="0" w:color="auto"/>
        <w:left w:val="none" w:sz="0" w:space="0" w:color="auto"/>
        <w:bottom w:val="none" w:sz="0" w:space="0" w:color="auto"/>
        <w:right w:val="none" w:sz="0" w:space="0" w:color="auto"/>
      </w:divBdr>
    </w:div>
    <w:div w:id="889222077">
      <w:bodyDiv w:val="1"/>
      <w:marLeft w:val="0"/>
      <w:marRight w:val="0"/>
      <w:marTop w:val="0"/>
      <w:marBottom w:val="0"/>
      <w:divBdr>
        <w:top w:val="none" w:sz="0" w:space="0" w:color="auto"/>
        <w:left w:val="none" w:sz="0" w:space="0" w:color="auto"/>
        <w:bottom w:val="none" w:sz="0" w:space="0" w:color="auto"/>
        <w:right w:val="none" w:sz="0" w:space="0" w:color="auto"/>
      </w:divBdr>
    </w:div>
    <w:div w:id="936409200">
      <w:bodyDiv w:val="1"/>
      <w:marLeft w:val="0"/>
      <w:marRight w:val="0"/>
      <w:marTop w:val="0"/>
      <w:marBottom w:val="0"/>
      <w:divBdr>
        <w:top w:val="none" w:sz="0" w:space="0" w:color="auto"/>
        <w:left w:val="none" w:sz="0" w:space="0" w:color="auto"/>
        <w:bottom w:val="none" w:sz="0" w:space="0" w:color="auto"/>
        <w:right w:val="none" w:sz="0" w:space="0" w:color="auto"/>
      </w:divBdr>
    </w:div>
    <w:div w:id="1064716624">
      <w:bodyDiv w:val="1"/>
      <w:marLeft w:val="0"/>
      <w:marRight w:val="0"/>
      <w:marTop w:val="0"/>
      <w:marBottom w:val="0"/>
      <w:divBdr>
        <w:top w:val="none" w:sz="0" w:space="0" w:color="auto"/>
        <w:left w:val="none" w:sz="0" w:space="0" w:color="auto"/>
        <w:bottom w:val="none" w:sz="0" w:space="0" w:color="auto"/>
        <w:right w:val="none" w:sz="0" w:space="0" w:color="auto"/>
      </w:divBdr>
    </w:div>
    <w:div w:id="1078748367">
      <w:bodyDiv w:val="1"/>
      <w:marLeft w:val="0"/>
      <w:marRight w:val="0"/>
      <w:marTop w:val="0"/>
      <w:marBottom w:val="0"/>
      <w:divBdr>
        <w:top w:val="none" w:sz="0" w:space="0" w:color="auto"/>
        <w:left w:val="none" w:sz="0" w:space="0" w:color="auto"/>
        <w:bottom w:val="none" w:sz="0" w:space="0" w:color="auto"/>
        <w:right w:val="none" w:sz="0" w:space="0" w:color="auto"/>
      </w:divBdr>
    </w:div>
    <w:div w:id="1107886739">
      <w:bodyDiv w:val="1"/>
      <w:marLeft w:val="0"/>
      <w:marRight w:val="0"/>
      <w:marTop w:val="0"/>
      <w:marBottom w:val="0"/>
      <w:divBdr>
        <w:top w:val="none" w:sz="0" w:space="0" w:color="auto"/>
        <w:left w:val="none" w:sz="0" w:space="0" w:color="auto"/>
        <w:bottom w:val="none" w:sz="0" w:space="0" w:color="auto"/>
        <w:right w:val="none" w:sz="0" w:space="0" w:color="auto"/>
      </w:divBdr>
    </w:div>
    <w:div w:id="1245408022">
      <w:bodyDiv w:val="1"/>
      <w:marLeft w:val="0"/>
      <w:marRight w:val="0"/>
      <w:marTop w:val="0"/>
      <w:marBottom w:val="0"/>
      <w:divBdr>
        <w:top w:val="none" w:sz="0" w:space="0" w:color="auto"/>
        <w:left w:val="none" w:sz="0" w:space="0" w:color="auto"/>
        <w:bottom w:val="none" w:sz="0" w:space="0" w:color="auto"/>
        <w:right w:val="none" w:sz="0" w:space="0" w:color="auto"/>
      </w:divBdr>
    </w:div>
    <w:div w:id="1389843236">
      <w:bodyDiv w:val="1"/>
      <w:marLeft w:val="0"/>
      <w:marRight w:val="0"/>
      <w:marTop w:val="0"/>
      <w:marBottom w:val="0"/>
      <w:divBdr>
        <w:top w:val="none" w:sz="0" w:space="0" w:color="auto"/>
        <w:left w:val="none" w:sz="0" w:space="0" w:color="auto"/>
        <w:bottom w:val="none" w:sz="0" w:space="0" w:color="auto"/>
        <w:right w:val="none" w:sz="0" w:space="0" w:color="auto"/>
      </w:divBdr>
    </w:div>
    <w:div w:id="1487892595">
      <w:bodyDiv w:val="1"/>
      <w:marLeft w:val="0"/>
      <w:marRight w:val="0"/>
      <w:marTop w:val="0"/>
      <w:marBottom w:val="0"/>
      <w:divBdr>
        <w:top w:val="none" w:sz="0" w:space="0" w:color="auto"/>
        <w:left w:val="none" w:sz="0" w:space="0" w:color="auto"/>
        <w:bottom w:val="none" w:sz="0" w:space="0" w:color="auto"/>
        <w:right w:val="none" w:sz="0" w:space="0" w:color="auto"/>
      </w:divBdr>
    </w:div>
    <w:div w:id="1563176884">
      <w:bodyDiv w:val="1"/>
      <w:marLeft w:val="0"/>
      <w:marRight w:val="0"/>
      <w:marTop w:val="0"/>
      <w:marBottom w:val="0"/>
      <w:divBdr>
        <w:top w:val="none" w:sz="0" w:space="0" w:color="auto"/>
        <w:left w:val="none" w:sz="0" w:space="0" w:color="auto"/>
        <w:bottom w:val="none" w:sz="0" w:space="0" w:color="auto"/>
        <w:right w:val="none" w:sz="0" w:space="0" w:color="auto"/>
      </w:divBdr>
    </w:div>
    <w:div w:id="1634939308">
      <w:bodyDiv w:val="1"/>
      <w:marLeft w:val="0"/>
      <w:marRight w:val="0"/>
      <w:marTop w:val="0"/>
      <w:marBottom w:val="0"/>
      <w:divBdr>
        <w:top w:val="none" w:sz="0" w:space="0" w:color="auto"/>
        <w:left w:val="none" w:sz="0" w:space="0" w:color="auto"/>
        <w:bottom w:val="none" w:sz="0" w:space="0" w:color="auto"/>
        <w:right w:val="none" w:sz="0" w:space="0" w:color="auto"/>
      </w:divBdr>
    </w:div>
    <w:div w:id="1636373995">
      <w:bodyDiv w:val="1"/>
      <w:marLeft w:val="0"/>
      <w:marRight w:val="0"/>
      <w:marTop w:val="0"/>
      <w:marBottom w:val="0"/>
      <w:divBdr>
        <w:top w:val="none" w:sz="0" w:space="0" w:color="auto"/>
        <w:left w:val="none" w:sz="0" w:space="0" w:color="auto"/>
        <w:bottom w:val="none" w:sz="0" w:space="0" w:color="auto"/>
        <w:right w:val="none" w:sz="0" w:space="0" w:color="auto"/>
      </w:divBdr>
    </w:div>
    <w:div w:id="1704600323">
      <w:bodyDiv w:val="1"/>
      <w:marLeft w:val="0"/>
      <w:marRight w:val="0"/>
      <w:marTop w:val="0"/>
      <w:marBottom w:val="0"/>
      <w:divBdr>
        <w:top w:val="none" w:sz="0" w:space="0" w:color="auto"/>
        <w:left w:val="none" w:sz="0" w:space="0" w:color="auto"/>
        <w:bottom w:val="none" w:sz="0" w:space="0" w:color="auto"/>
        <w:right w:val="none" w:sz="0" w:space="0" w:color="auto"/>
      </w:divBdr>
    </w:div>
    <w:div w:id="1734111855">
      <w:bodyDiv w:val="1"/>
      <w:marLeft w:val="0"/>
      <w:marRight w:val="0"/>
      <w:marTop w:val="0"/>
      <w:marBottom w:val="0"/>
      <w:divBdr>
        <w:top w:val="none" w:sz="0" w:space="0" w:color="auto"/>
        <w:left w:val="none" w:sz="0" w:space="0" w:color="auto"/>
        <w:bottom w:val="none" w:sz="0" w:space="0" w:color="auto"/>
        <w:right w:val="none" w:sz="0" w:space="0" w:color="auto"/>
      </w:divBdr>
    </w:div>
    <w:div w:id="1746103049">
      <w:bodyDiv w:val="1"/>
      <w:marLeft w:val="0"/>
      <w:marRight w:val="0"/>
      <w:marTop w:val="0"/>
      <w:marBottom w:val="0"/>
      <w:divBdr>
        <w:top w:val="none" w:sz="0" w:space="0" w:color="auto"/>
        <w:left w:val="none" w:sz="0" w:space="0" w:color="auto"/>
        <w:bottom w:val="none" w:sz="0" w:space="0" w:color="auto"/>
        <w:right w:val="none" w:sz="0" w:space="0" w:color="auto"/>
      </w:divBdr>
    </w:div>
    <w:div w:id="1792893474">
      <w:bodyDiv w:val="1"/>
      <w:marLeft w:val="0"/>
      <w:marRight w:val="0"/>
      <w:marTop w:val="0"/>
      <w:marBottom w:val="0"/>
      <w:divBdr>
        <w:top w:val="none" w:sz="0" w:space="0" w:color="auto"/>
        <w:left w:val="none" w:sz="0" w:space="0" w:color="auto"/>
        <w:bottom w:val="none" w:sz="0" w:space="0" w:color="auto"/>
        <w:right w:val="none" w:sz="0" w:space="0" w:color="auto"/>
      </w:divBdr>
    </w:div>
    <w:div w:id="1889106617">
      <w:bodyDiv w:val="1"/>
      <w:marLeft w:val="0"/>
      <w:marRight w:val="0"/>
      <w:marTop w:val="0"/>
      <w:marBottom w:val="0"/>
      <w:divBdr>
        <w:top w:val="none" w:sz="0" w:space="0" w:color="auto"/>
        <w:left w:val="none" w:sz="0" w:space="0" w:color="auto"/>
        <w:bottom w:val="none" w:sz="0" w:space="0" w:color="auto"/>
        <w:right w:val="none" w:sz="0" w:space="0" w:color="auto"/>
      </w:divBdr>
    </w:div>
    <w:div w:id="1931154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Inc20</b:Tag>
    <b:SourceType>InternetSite</b:SourceType>
    <b:Guid>{F4FA978C-7BE3-48AE-B976-42B1A9491E5D}</b:Guid>
    <b:Title>The courts and tribunals of England and Wales</b:Title>
    <b:Year>2020</b:Year>
    <b:Author>
      <b:Author>
        <b:Corporate>Incorporated Council of Law Reporting</b:Corporate>
      </b:Author>
    </b:Author>
    <b:YearAccessed>2023</b:YearAccessed>
    <b:MonthAccessed>March</b:MonthAccessed>
    <b:DayAccessed>4</b:DayAccessed>
    <b:URL>https://www.iclr.co.uk/knowledge/topics/the-english-legal-system/</b:URL>
    <b:RefOrder>1</b:RefOrder>
  </b:Source>
  <b:Source>
    <b:Tag>Lex18</b:Tag>
    <b:SourceType>InternetSite</b:SourceType>
    <b:Guid>{B28D2AAD-1FAB-4120-A6D1-48A87CF0CEE2}</b:Guid>
    <b:Author>
      <b:Author>
        <b:Corporate>Lexis</b:Corporate>
      </b:Author>
    </b:Author>
    <b:Title>Ratio decidendi definition</b:Title>
    <b:Year>2018</b:Year>
    <b:YearAccessed>2023</b:YearAccessed>
    <b:MonthAccessed>March</b:MonthAccessed>
    <b:DayAccessed>7</b:DayAccessed>
    <b:URL>https://www.lexisnexis.co.uk/legal/glossary/ratio-decidendi</b:URL>
    <b:RefOrder>2</b:RefOrder>
  </b:Source>
  <b:Source>
    <b:Tag>Lex20</b:Tag>
    <b:SourceType>InternetSite</b:SourceType>
    <b:Guid>{FFD4D75B-A233-4728-A637-34BB3B960F36}</b:Guid>
    <b:Author>
      <b:Author>
        <b:Corporate>Lexis</b:Corporate>
      </b:Author>
    </b:Author>
    <b:Title>Obiter dictum</b:Title>
    <b:Year>2020</b:Year>
    <b:YearAccessed>20203</b:YearAccessed>
    <b:MonthAccessed>March</b:MonthAccessed>
    <b:DayAccessed>8</b:DayAccessed>
    <b:URL>https://www.lexisnexis.co.uk/legal/glossary/obiter-dictum</b:URL>
    <b:RefOrder>3</b:RefOrder>
  </b:Source>
  <b:Source>
    <b:Tag>Cou20</b:Tag>
    <b:SourceType>InternetSite</b:SourceType>
    <b:Guid>{7302F918-02FC-4C2C-BE9D-64B8A35C948F}</b:Guid>
    <b:Author>
      <b:Author>
        <b:Corporate>Courts and Tribunals Judiciary</b:Corporate>
      </b:Author>
    </b:Author>
    <b:Title>Civil</b:Title>
    <b:Year>2020</b:Year>
    <b:YearAccessed>2023</b:YearAccessed>
    <b:MonthAccessed>March</b:MonthAccessed>
    <b:DayAccessed>8</b:DayAccessed>
    <b:URL>https://www.judiciary.uk/about-the-judiciary/our-justice-system/jurisdictions/civil-jurisdiction/</b:URL>
    <b:RefOrder>5</b:RefOrder>
  </b:Source>
  <b:Source>
    <b:Tag>Lex201</b:Tag>
    <b:SourceType>InternetSite</b:SourceType>
    <b:Guid>{C94A9B51-B7BA-4798-A51D-9F3E8D12C842}</b:Guid>
    <b:Author>
      <b:Author>
        <b:Corporate>Lexis</b:Corporate>
      </b:Author>
    </b:Author>
    <b:Title>Standard of proof definition</b:Title>
    <b:Year>2020</b:Year>
    <b:YearAccessed>2023</b:YearAccessed>
    <b:MonthAccessed>March</b:MonthAccessed>
    <b:DayAccessed>8</b:DayAccessed>
    <b:URL>https://www.lexisnexis.co.uk/legal/glossary/standard-of-proof</b:URL>
    <b:RefOrder>6</b:RefOrder>
  </b:Source>
  <b:Source>
    <b:Tag>Lex13</b:Tag>
    <b:SourceType>InternetSite</b:SourceType>
    <b:Guid>{AF403924-3E66-47F9-98FD-CC78F39FDB6B}</b:Guid>
    <b:Title>Carlill v Carbolic Smoke Ball Company</b:Title>
    <b:Year>2013</b:Year>
    <b:YearAccessed>2023</b:YearAccessed>
    <b:MonthAccessed>March</b:MonthAccessed>
    <b:DayAccessed>8</b:DayAccessed>
    <b:URL>https://plus-lexis-com.ezproxy.uwtsd.ac.uk/uk/document/?pdmfid=1001073&amp;crid=31f92e47-cee5-485e-a725-3c6ad27ff9e9&amp;pddocfullpath=%2Fshared%2Fdocument%2Fnews-uk%2Furn%3AcontentItem%3A52M9-P551-DYJG-K3C2-00000-00&amp;pdcontentcomponentid=281950&amp;pddocumentnumber=4</b:URL>
    <b:Author>
      <b:Author>
        <b:Corporate>Lexis</b:Corporate>
      </b:Author>
    </b:Author>
    <b:RefOrder>8</b:RefOrder>
  </b:Source>
  <b:Source>
    <b:Tag>Lex131</b:Tag>
    <b:SourceType>InternetSite</b:SourceType>
    <b:Guid>{478A07C3-384E-4A17-8A60-A96CEE1ECAFF}</b:Guid>
    <b:Author>
      <b:Author>
        <b:Corporate>Lexis</b:Corporate>
      </b:Author>
    </b:Author>
    <b:Title>Carlill v Carbolic Smoke Ball Co [1891-94] All ER Rep 127</b:Title>
    <b:Year>2013</b:Year>
    <b:YearAccessed>2023</b:YearAccessed>
    <b:MonthAccessed>March</b:MonthAccessed>
    <b:DayAccessed>9</b:DayAccessed>
    <b:URL>https://plus-lexis-com.ezproxy.uwtsd.ac.uk/uk/document/documentlink/?pdmfid=1001073&amp;crid=491d04d9-cb39-46d0-aa79-da47b500d599&amp;pddocfullpath=%2Fshared%2Fdocument%2Fcases-uk%2Furn%3AcontentItem%3A4FPP-FDM0-TWXJ-212X-00000-00&amp;pdcontentcomponentid=279846&amp;pdpr</b:URL>
    <b:RefOrder>9</b:RefOrder>
  </b:Source>
  <b:Source>
    <b:Tag>Lex14</b:Tag>
    <b:SourceType>InternetSite</b:SourceType>
    <b:Guid>{9938DB73-66D8-4BC8-94D9-2334C49C93A8}</b:Guid>
    <b:Author>
      <b:Author>
        <b:Corporate>Lexis</b:Corporate>
      </b:Author>
    </b:Author>
    <b:Title>British Caribbean Bank Ltd v Attorney General [2014] 2 LRC 11</b:Title>
    <b:Year>2014</b:Year>
    <b:YearAccessed>2023</b:YearAccessed>
    <b:MonthAccessed>March</b:MonthAccessed>
    <b:DayAccessed>9</b:DayAccessed>
    <b:URL>https://plus-lexis-com.ezproxy.uwtsd.ac.uk/uk/document/documentlink/?pdmfid=1001073&amp;crid=a2b681f7-4397-44ba-a722-21b4c605d0f1&amp;pddocfullpath=%2Fshared%2Fdocument%2Fcases-uk%2Furn%3AcontentItem%3A5C3V-Y291-DYJ0-80R4-00000-00&amp;pdcontentcomponentid=280207&amp;pdpr</b:URL>
    <b:RefOrder>10</b:RefOrder>
  </b:Source>
  <b:Source>
    <b:Tag>Lex21</b:Tag>
    <b:SourceType>InternetSite</b:SourceType>
    <b:Guid>{38064520-1220-4B8B-B0FE-CC17FC77011C}</b:Guid>
    <b:Author>
      <b:Author>
        <b:Corporate>Lexis</b:Corporate>
      </b:Author>
    </b:Author>
    <b:Title>Adferiad Recovery Ltd v Aneurin Bevan University Health Board</b:Title>
    <b:Year>2021</b:Year>
    <b:YearAccessed>2023</b:YearAccessed>
    <b:MonthAccessed>March</b:MonthAccessed>
    <b:DayAccessed>9</b:DayAccessed>
    <b:URL>https://plus-lexis-com.ezproxy.uwtsd.ac.uk/uk/document/?pdmfid=1001073&amp;crid=6dee8fa2-4bb3-4346-8363-742e0ccdbaed&amp;pddocfullpath=%2Fshared%2Fdocument%2Fcases-uk%2Furn%3AcontentItem%3A643J-VS13-GXF6-80M5-00000-00&amp;pdcontentcomponentid=504460&amp;pddocumentnumber=</b:URL>
    <b:RefOrder>11</b:RefOrder>
  </b:Source>
  <b:Source>
    <b:Tag>The201</b:Tag>
    <b:SourceType>InternetSite</b:SourceType>
    <b:Guid>{0864A4DE-E660-4734-827F-AF030C45F661}</b:Guid>
    <b:Author>
      <b:Author>
        <b:Corporate>The University of Law</b:Corporate>
      </b:Author>
    </b:Author>
    <b:Title>How to become a judge</b:Title>
    <b:Year>2020</b:Year>
    <b:YearAccessed>2023</b:YearAccessed>
    <b:MonthAccessed>March</b:MonthAccessed>
    <b:DayAccessed>9</b:DayAccessed>
    <b:URL>https://www.law.ac.uk/employability/career-finder/judge/</b:URL>
    <b:RefOrder>7</b:RefOrder>
  </b:Source>
  <b:Source>
    <b:Tag>Law13</b:Tag>
    <b:SourceType>InternetSite</b:SourceType>
    <b:Guid>{5FCCC350-45E6-44D3-8901-75A83CCF7830}</b:Guid>
    <b:Author>
      <b:Author>
        <b:Corporate>Law Teacher</b:Corporate>
      </b:Author>
    </b:Author>
    <b:Title>Judicial Precedent Lecture 1</b:Title>
    <b:Year>2013</b:Year>
    <b:YearAccessed>2023</b:YearAccessed>
    <b:MonthAccessed>March</b:MonthAccessed>
    <b:DayAccessed>9</b:DayAccessed>
    <b:URL>https://www.lawteacher.net/lecture-notes/judicial-precedent-1.php</b:URL>
    <b:RefOrder>4</b:RefOrder>
  </b:Source>
</b:Sources>
</file>

<file path=customXml/itemProps1.xml><?xml version="1.0" encoding="utf-8"?>
<ds:datastoreItem xmlns:ds="http://schemas.openxmlformats.org/officeDocument/2006/customXml" ds:itemID="{2583370F-546B-4140-A077-69868BF29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7</Pages>
  <Words>1626</Words>
  <Characters>9269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Cox</dc:creator>
  <cp:keywords/>
  <dc:description/>
  <cp:lastModifiedBy>Jacob Cox (2205411)</cp:lastModifiedBy>
  <cp:revision>44</cp:revision>
  <dcterms:created xsi:type="dcterms:W3CDTF">2023-03-09T01:56:00Z</dcterms:created>
  <dcterms:modified xsi:type="dcterms:W3CDTF">2023-03-09T16:51:00Z</dcterms:modified>
</cp:coreProperties>
</file>