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EC6FC" w14:textId="18931B68" w:rsidR="00E52D29" w:rsidRPr="00E52D29" w:rsidRDefault="00987E9D" w:rsidP="00E52D29">
      <w:pPr>
        <w:pStyle w:val="Title"/>
      </w:pPr>
      <w:r>
        <w:rPr>
          <w:noProof/>
        </w:rPr>
        <w:drawing>
          <wp:inline distT="0" distB="0" distL="0" distR="0" wp14:anchorId="5E8F1AF4" wp14:editId="29EDD717">
            <wp:extent cx="5733415" cy="1691640"/>
            <wp:effectExtent l="0" t="0" r="635" b="3810"/>
            <wp:docPr id="1494322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32229" name="Picture 14943222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3415" cy="1691640"/>
                    </a:xfrm>
                    <a:prstGeom prst="rect">
                      <a:avLst/>
                    </a:prstGeom>
                  </pic:spPr>
                </pic:pic>
              </a:graphicData>
            </a:graphic>
          </wp:inline>
        </w:drawing>
      </w:r>
    </w:p>
    <w:p w14:paraId="35A4858B" w14:textId="77777777" w:rsidR="00E52D29" w:rsidRDefault="00E52D29" w:rsidP="00E52D29">
      <w:pPr>
        <w:pStyle w:val="Title"/>
        <w:rPr>
          <w:lang w:val="en-GB"/>
        </w:rPr>
      </w:pPr>
    </w:p>
    <w:p w14:paraId="0968F80A" w14:textId="77777777" w:rsidR="0046666E" w:rsidRDefault="0046666E" w:rsidP="0046666E">
      <w:pPr>
        <w:rPr>
          <w:lang w:val="en-GB"/>
        </w:rPr>
      </w:pPr>
    </w:p>
    <w:p w14:paraId="753A23BF" w14:textId="77777777" w:rsidR="0046666E" w:rsidRPr="0046666E" w:rsidRDefault="0046666E" w:rsidP="0046666E">
      <w:pPr>
        <w:rPr>
          <w:lang w:val="en-GB"/>
        </w:rPr>
      </w:pPr>
    </w:p>
    <w:p w14:paraId="03A3F0BA" w14:textId="12D6E2D3" w:rsidR="00E52D29" w:rsidRDefault="00E52D29" w:rsidP="00E52D29">
      <w:pPr>
        <w:pStyle w:val="Title"/>
        <w:rPr>
          <w:lang w:val="en-GB"/>
        </w:rPr>
      </w:pPr>
      <w:r w:rsidRPr="00E52D29">
        <w:rPr>
          <w:lang w:val="en-GB"/>
        </w:rPr>
        <w:t xml:space="preserve">Student </w:t>
      </w:r>
      <w:proofErr w:type="gramStart"/>
      <w:r w:rsidRPr="00E52D29">
        <w:rPr>
          <w:lang w:val="en-GB"/>
        </w:rPr>
        <w:t>Name :</w:t>
      </w:r>
      <w:proofErr w:type="gramEnd"/>
      <w:r w:rsidR="00987E9D">
        <w:rPr>
          <w:lang w:val="en-GB"/>
        </w:rPr>
        <w:t xml:space="preserve"> RAJESH LILABHAI AGATH</w:t>
      </w:r>
    </w:p>
    <w:p w14:paraId="48C76B82" w14:textId="77777777" w:rsidR="00987E9D" w:rsidRPr="00987E9D" w:rsidRDefault="00987E9D" w:rsidP="00987E9D">
      <w:pPr>
        <w:rPr>
          <w:lang w:val="en-GB"/>
        </w:rPr>
      </w:pPr>
    </w:p>
    <w:p w14:paraId="78AD42F0" w14:textId="77777777" w:rsidR="00987E9D" w:rsidRDefault="00E52D29" w:rsidP="00E52D29">
      <w:pPr>
        <w:pStyle w:val="Title"/>
        <w:rPr>
          <w:lang w:val="en-GB"/>
        </w:rPr>
      </w:pPr>
      <w:r w:rsidRPr="00E52D29">
        <w:rPr>
          <w:lang w:val="en-GB"/>
        </w:rPr>
        <w:t>Student ID :</w:t>
      </w:r>
      <w:r w:rsidR="00987E9D">
        <w:rPr>
          <w:lang w:val="en-GB"/>
        </w:rPr>
        <w:t>2531869</w:t>
      </w:r>
    </w:p>
    <w:p w14:paraId="4356D122" w14:textId="257445FA" w:rsidR="00E52D29" w:rsidRDefault="00E52D29" w:rsidP="00E52D29">
      <w:pPr>
        <w:pStyle w:val="Title"/>
        <w:rPr>
          <w:lang w:val="en-AU"/>
        </w:rPr>
      </w:pPr>
      <w:r w:rsidRPr="00E52D29">
        <w:rPr>
          <w:lang w:val="en-GB"/>
        </w:rPr>
        <w:br/>
      </w:r>
      <w:r w:rsidRPr="00E52D29">
        <w:rPr>
          <w:lang w:val="en-AU"/>
        </w:rPr>
        <w:t>Lecturer:</w:t>
      </w:r>
      <w:r w:rsidR="00987E9D">
        <w:rPr>
          <w:lang w:val="en-AU"/>
        </w:rPr>
        <w:t xml:space="preserve"> Amare Desta Ghulam Mujtaba</w:t>
      </w:r>
    </w:p>
    <w:p w14:paraId="4DB44A8B" w14:textId="77777777" w:rsidR="00987E9D" w:rsidRPr="00987E9D" w:rsidRDefault="00987E9D" w:rsidP="00987E9D">
      <w:pPr>
        <w:rPr>
          <w:lang w:val="en-AU"/>
        </w:rPr>
      </w:pPr>
    </w:p>
    <w:p w14:paraId="74A1DCB7" w14:textId="77777777" w:rsidR="00E52D29" w:rsidRDefault="00E52D29" w:rsidP="00E52D29">
      <w:pPr>
        <w:pStyle w:val="Title"/>
        <w:rPr>
          <w:lang w:val="en-GB"/>
        </w:rPr>
      </w:pPr>
      <w:r w:rsidRPr="00E52D29">
        <w:rPr>
          <w:lang w:val="en-GB"/>
        </w:rPr>
        <w:t>Master of Business Administration (MBA)</w:t>
      </w:r>
    </w:p>
    <w:p w14:paraId="0469C1DC" w14:textId="77777777" w:rsidR="00987E9D" w:rsidRPr="00987E9D" w:rsidRDefault="00987E9D" w:rsidP="00987E9D">
      <w:pPr>
        <w:rPr>
          <w:lang w:val="en-GB"/>
        </w:rPr>
      </w:pPr>
    </w:p>
    <w:p w14:paraId="74D27392" w14:textId="0669D4E7" w:rsidR="00641572" w:rsidRPr="00E52D29" w:rsidRDefault="00E52D29" w:rsidP="00E52D29">
      <w:pPr>
        <w:pStyle w:val="Title"/>
        <w:rPr>
          <w:lang w:val="en-AU"/>
        </w:rPr>
      </w:pPr>
      <w:r w:rsidRPr="00E52D29">
        <w:rPr>
          <w:lang w:val="en-AU"/>
        </w:rPr>
        <w:t>LCMB70</w:t>
      </w:r>
      <w:r>
        <w:rPr>
          <w:lang w:val="en-AU"/>
        </w:rPr>
        <w:t>03</w:t>
      </w:r>
      <w:r w:rsidRPr="00E52D29">
        <w:rPr>
          <w:lang w:val="en-AU"/>
        </w:rPr>
        <w:t xml:space="preserve"> </w:t>
      </w:r>
      <w:r>
        <w:rPr>
          <w:lang w:val="en-AU"/>
        </w:rPr>
        <w:t>–</w:t>
      </w:r>
      <w:r w:rsidRPr="00E52D29">
        <w:rPr>
          <w:lang w:val="en-AU"/>
        </w:rPr>
        <w:t xml:space="preserve"> </w:t>
      </w:r>
      <w:r>
        <w:rPr>
          <w:lang w:val="en-AU"/>
        </w:rPr>
        <w:t>Strategic Management</w:t>
      </w:r>
      <w:bookmarkStart w:id="0" w:name="_glm1ibxpkhxh" w:colFirst="0" w:colLast="0"/>
      <w:bookmarkStart w:id="1" w:name="_s7whtk1r9z9b" w:colFirst="0" w:colLast="0"/>
      <w:bookmarkStart w:id="2" w:name="_8idm1unwp0bt" w:colFirst="0" w:colLast="0"/>
      <w:bookmarkStart w:id="3" w:name="_safjyecrx6o2" w:colFirst="0" w:colLast="0"/>
      <w:bookmarkStart w:id="4" w:name="_2y1uchhkhtgv" w:colFirst="0" w:colLast="0"/>
      <w:bookmarkStart w:id="5" w:name="_sr7gqse1foaj" w:colFirst="0" w:colLast="0"/>
      <w:bookmarkEnd w:id="0"/>
      <w:bookmarkEnd w:id="1"/>
      <w:bookmarkEnd w:id="2"/>
      <w:bookmarkEnd w:id="3"/>
      <w:bookmarkEnd w:id="4"/>
      <w:bookmarkEnd w:id="5"/>
    </w:p>
    <w:p w14:paraId="48A89369" w14:textId="77777777" w:rsidR="00641572" w:rsidRDefault="00641572">
      <w:pPr>
        <w:pStyle w:val="Title"/>
      </w:pPr>
      <w:bookmarkStart w:id="6" w:name="_k12v1y49mt2q" w:colFirst="0" w:colLast="0"/>
      <w:bookmarkEnd w:id="6"/>
    </w:p>
    <w:p w14:paraId="6635DB90" w14:textId="77777777" w:rsidR="006E1866" w:rsidRDefault="006E1866">
      <w:pPr>
        <w:rPr>
          <w:b/>
          <w:bCs/>
          <w:sz w:val="32"/>
          <w:szCs w:val="32"/>
        </w:rPr>
      </w:pPr>
      <w:bookmarkStart w:id="7" w:name="_3fuvdkf4sstk" w:colFirst="0" w:colLast="0"/>
      <w:bookmarkEnd w:id="7"/>
      <w:r>
        <w:br w:type="page"/>
      </w:r>
    </w:p>
    <w:p w14:paraId="0A7B0963" w14:textId="77777777" w:rsidR="006E1866" w:rsidRDefault="006E1866">
      <w:pPr>
        <w:pStyle w:val="Title"/>
      </w:pPr>
    </w:p>
    <w:p w14:paraId="539F209B" w14:textId="77777777" w:rsidR="006E1866" w:rsidRDefault="006E1866">
      <w:pPr>
        <w:pStyle w:val="Title"/>
      </w:pPr>
    </w:p>
    <w:p w14:paraId="58451E7B" w14:textId="77777777" w:rsidR="006E1866" w:rsidRDefault="006E1866">
      <w:pPr>
        <w:pStyle w:val="Title"/>
      </w:pPr>
    </w:p>
    <w:p w14:paraId="5139C09E" w14:textId="77777777" w:rsidR="006E1866" w:rsidRDefault="006E1866">
      <w:pPr>
        <w:pStyle w:val="Title"/>
      </w:pPr>
    </w:p>
    <w:p w14:paraId="0F905D66" w14:textId="77777777" w:rsidR="006E1866" w:rsidRDefault="006E1866">
      <w:pPr>
        <w:pStyle w:val="Title"/>
      </w:pPr>
    </w:p>
    <w:p w14:paraId="4EE61F59" w14:textId="77777777" w:rsidR="006E1866" w:rsidRDefault="006E1866">
      <w:pPr>
        <w:pStyle w:val="Title"/>
      </w:pPr>
    </w:p>
    <w:p w14:paraId="520B50D7" w14:textId="77777777" w:rsidR="006E1866" w:rsidRDefault="006E1866">
      <w:pPr>
        <w:pStyle w:val="Title"/>
      </w:pPr>
    </w:p>
    <w:p w14:paraId="2343ED58" w14:textId="77777777" w:rsidR="006E1866" w:rsidRDefault="006E1866">
      <w:pPr>
        <w:pStyle w:val="Title"/>
      </w:pPr>
    </w:p>
    <w:p w14:paraId="062C083A" w14:textId="17293787" w:rsidR="00641572" w:rsidRDefault="001B57A1">
      <w:pPr>
        <w:pStyle w:val="Title"/>
      </w:pPr>
      <w:r>
        <w:t>A CONSULTANCY REPORT AND REFLECTIVE EVALUATION ON STRATEGIC ANALYSIS AND SUSTAINABLE GROWTH RECOMMENDATIONS FOR DOVE BEAUTY BAR IN THE UK</w:t>
      </w:r>
    </w:p>
    <w:p w14:paraId="148CA531" w14:textId="77777777" w:rsidR="00E22A6C" w:rsidRDefault="001B57A1" w:rsidP="00E22A6C">
      <w:pPr>
        <w:jc w:val="center"/>
        <w:rPr>
          <w:b/>
          <w:bCs/>
          <w:sz w:val="32"/>
        </w:rPr>
      </w:pPr>
      <w:r>
        <w:br w:type="page"/>
      </w:r>
      <w:r w:rsidR="00E22A6C">
        <w:rPr>
          <w:noProof/>
        </w:rPr>
        <w:lastRenderedPageBreak/>
        <mc:AlternateContent>
          <mc:Choice Requires="wps">
            <w:drawing>
              <wp:inline distT="0" distB="0" distL="0" distR="0" wp14:anchorId="7CB17472" wp14:editId="3ECD3AAA">
                <wp:extent cx="5731510" cy="299133"/>
                <wp:effectExtent l="0" t="0" r="8890" b="18415"/>
                <wp:docPr id="3319395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299133"/>
                        </a:xfrm>
                        <a:prstGeom prst="rect">
                          <a:avLst/>
                        </a:prstGeom>
                        <a:solidFill>
                          <a:srgbClr val="D8D8D8"/>
                        </a:solidFill>
                        <a:ln w="18287">
                          <a:solidFill>
                            <a:srgbClr val="000000"/>
                          </a:solidFill>
                          <a:prstDash val="solid"/>
                        </a:ln>
                      </wps:spPr>
                      <wps:txbx>
                        <w:txbxContent>
                          <w:p w14:paraId="0A45E54D" w14:textId="77777777" w:rsidR="00E22A6C" w:rsidRDefault="00E22A6C" w:rsidP="00E22A6C">
                            <w:pPr>
                              <w:spacing w:before="19"/>
                              <w:ind w:left="957"/>
                              <w:rPr>
                                <w:b/>
                                <w:color w:val="000000"/>
                                <w:sz w:val="36"/>
                              </w:rPr>
                            </w:pPr>
                            <w:r>
                              <w:rPr>
                                <w:b/>
                                <w:color w:val="000000"/>
                                <w:sz w:val="36"/>
                              </w:rPr>
                              <w:t>USE</w:t>
                            </w:r>
                            <w:r>
                              <w:rPr>
                                <w:b/>
                                <w:color w:val="000000"/>
                                <w:spacing w:val="-6"/>
                                <w:sz w:val="36"/>
                              </w:rPr>
                              <w:t xml:space="preserve"> </w:t>
                            </w:r>
                            <w:r>
                              <w:rPr>
                                <w:b/>
                                <w:color w:val="000000"/>
                                <w:sz w:val="36"/>
                              </w:rPr>
                              <w:t>OF</w:t>
                            </w:r>
                            <w:r>
                              <w:rPr>
                                <w:b/>
                                <w:color w:val="000000"/>
                                <w:spacing w:val="2"/>
                                <w:sz w:val="36"/>
                              </w:rPr>
                              <w:t xml:space="preserve"> </w:t>
                            </w:r>
                            <w:r>
                              <w:rPr>
                                <w:b/>
                                <w:color w:val="000000"/>
                                <w:sz w:val="36"/>
                              </w:rPr>
                              <w:t>GENERATIVE</w:t>
                            </w:r>
                            <w:r>
                              <w:rPr>
                                <w:b/>
                                <w:color w:val="000000"/>
                                <w:spacing w:val="-2"/>
                                <w:sz w:val="36"/>
                              </w:rPr>
                              <w:t xml:space="preserve"> </w:t>
                            </w:r>
                            <w:r>
                              <w:rPr>
                                <w:b/>
                                <w:color w:val="000000"/>
                                <w:sz w:val="36"/>
                              </w:rPr>
                              <w:t>AI</w:t>
                            </w:r>
                            <w:r>
                              <w:rPr>
                                <w:b/>
                                <w:color w:val="000000"/>
                                <w:spacing w:val="-1"/>
                                <w:sz w:val="36"/>
                              </w:rPr>
                              <w:t xml:space="preserve"> </w:t>
                            </w:r>
                            <w:r>
                              <w:rPr>
                                <w:b/>
                                <w:color w:val="000000"/>
                                <w:sz w:val="36"/>
                              </w:rPr>
                              <w:t>IN</w:t>
                            </w:r>
                            <w:r>
                              <w:rPr>
                                <w:b/>
                                <w:color w:val="000000"/>
                                <w:spacing w:val="2"/>
                                <w:sz w:val="36"/>
                              </w:rPr>
                              <w:t xml:space="preserve"> </w:t>
                            </w:r>
                            <w:r>
                              <w:rPr>
                                <w:b/>
                                <w:color w:val="000000"/>
                                <w:spacing w:val="-2"/>
                                <w:sz w:val="36"/>
                              </w:rPr>
                              <w:t>ASSESSMENT</w:t>
                            </w:r>
                          </w:p>
                        </w:txbxContent>
                      </wps:txbx>
                      <wps:bodyPr wrap="square" lIns="0" tIns="0" rIns="0" bIns="0" rtlCol="0">
                        <a:noAutofit/>
                      </wps:bodyPr>
                    </wps:wsp>
                  </a:graphicData>
                </a:graphic>
              </wp:inline>
            </w:drawing>
          </mc:Choice>
          <mc:Fallback>
            <w:pict>
              <v:shapetype w14:anchorId="7CB17472" id="_x0000_t202" coordsize="21600,21600" o:spt="202" path="m,l,21600r21600,l21600,xe">
                <v:stroke joinstyle="miter"/>
                <v:path gradientshapeok="t" o:connecttype="rect"/>
              </v:shapetype>
              <v:shape id="Textbox 5" o:spid="_x0000_s1026" type="#_x0000_t202" style="width:451.3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83ZzQEAALMDAAAOAAAAZHJzL2Uyb0RvYy54bWysU9uO0zAQfUfiHyy/0yStlu1GTVew1SKk&#10;FSAtfIDjOI2F4zEet0n/nrGTtlxfEInkjD3jM3POTDb3Y2/YUXnUYCteLHLOlJXQaLuv+JfPj6/W&#10;nGEQthEGrKr4SSG/3758sRlcqZbQgWmUZwRisRxcxbsQXJllKDvVC1yAU5acLfheBNr6fdZ4MRB6&#10;b7Jlnr/OBvCN8yAVIp3uJiffJvy2VTJ8bFtUgZmKU20hrT6tdVyz7UaUey9cp+VchviHKnqhLSW9&#10;QO1EEOzg9W9QvZYeENqwkNBn0LZaqsSB2BT5L2yeO+FU4kLioLvIhP8PVn44PrtPnoXxLYzUwEQC&#10;3RPIr0jaZIPDco6JmmKJFB2Jjq3v45coMLpI2p4ueqoxMEmHN7er4qYglyTf8u6uWK2i4Nn1tvMY&#10;3inoWTQq7qlfqQJxfMIwhZ5DYjIEo5tHbUza+H39YDw7Curtbh3fGf2nMGPZQMTWy/XtRO6vGHl6&#10;/oQRa9gJ7KZcCX4OM3YWadIlKhTGeqTSo1lDcyJxB5qviuO3g/CKM/PeUgPjMJ4Nfzbqs+GDeYA0&#10;spGphTeHAK1Oilxx58w0GUnTeYrj6P24T1HXf237HQAA//8DAFBLAwQUAAYACAAAACEATUxFx90A&#10;AAAEAQAADwAAAGRycy9kb3ducmV2LnhtbEyPS0/DMBCE70j8B2srcaNOKtRHGqdqK1DaAxIUxNmN&#10;Nw8ar6PYbcO/Z+ECl5VGM5r5Nl0NthUX7H3jSEE8jkAgFc40VCl4f3u6n4PwQZPRrSNU8IUeVtnt&#10;TaoT4670ipdDqASXkE+0gjqELpHSFzVa7ceuQ2KvdL3VgWVfSdPrK5fbVk6iaCqtbogXat3htsbi&#10;dDhbBbnJ8838tHsZHsvP3Xr//FHGC6vU3WhYL0EEHMJfGH7wGR0yZjq6MxkvWgX8SPi97C2iyRTE&#10;UcHDLAaZpfI/fPYNAAD//wMAUEsBAi0AFAAGAAgAAAAhALaDOJL+AAAA4QEAABMAAAAAAAAAAAAA&#10;AAAAAAAAAFtDb250ZW50X1R5cGVzXS54bWxQSwECLQAUAAYACAAAACEAOP0h/9YAAACUAQAACwAA&#10;AAAAAAAAAAAAAAAvAQAAX3JlbHMvLnJlbHNQSwECLQAUAAYACAAAACEAI8fN2c0BAACzAwAADgAA&#10;AAAAAAAAAAAAAAAuAgAAZHJzL2Uyb0RvYy54bWxQSwECLQAUAAYACAAAACEATUxFx90AAAAEAQAA&#10;DwAAAAAAAAAAAAAAAAAnBAAAZHJzL2Rvd25yZXYueG1sUEsFBgAAAAAEAAQA8wAAADEFAAAAAA==&#10;" fillcolor="#d8d8d8" strokeweight=".50797mm">
                <v:path arrowok="t"/>
                <v:textbox inset="0,0,0,0">
                  <w:txbxContent>
                    <w:p w14:paraId="0A45E54D" w14:textId="77777777" w:rsidR="00E22A6C" w:rsidRDefault="00E22A6C" w:rsidP="00E22A6C">
                      <w:pPr>
                        <w:spacing w:before="19"/>
                        <w:ind w:left="957"/>
                        <w:rPr>
                          <w:b/>
                          <w:color w:val="000000"/>
                          <w:sz w:val="36"/>
                        </w:rPr>
                      </w:pPr>
                      <w:r>
                        <w:rPr>
                          <w:b/>
                          <w:color w:val="000000"/>
                          <w:sz w:val="36"/>
                        </w:rPr>
                        <w:t>USE</w:t>
                      </w:r>
                      <w:r>
                        <w:rPr>
                          <w:b/>
                          <w:color w:val="000000"/>
                          <w:spacing w:val="-6"/>
                          <w:sz w:val="36"/>
                        </w:rPr>
                        <w:t xml:space="preserve"> </w:t>
                      </w:r>
                      <w:r>
                        <w:rPr>
                          <w:b/>
                          <w:color w:val="000000"/>
                          <w:sz w:val="36"/>
                        </w:rPr>
                        <w:t>OF</w:t>
                      </w:r>
                      <w:r>
                        <w:rPr>
                          <w:b/>
                          <w:color w:val="000000"/>
                          <w:spacing w:val="2"/>
                          <w:sz w:val="36"/>
                        </w:rPr>
                        <w:t xml:space="preserve"> </w:t>
                      </w:r>
                      <w:r>
                        <w:rPr>
                          <w:b/>
                          <w:color w:val="000000"/>
                          <w:sz w:val="36"/>
                        </w:rPr>
                        <w:t>GENERATIVE</w:t>
                      </w:r>
                      <w:r>
                        <w:rPr>
                          <w:b/>
                          <w:color w:val="000000"/>
                          <w:spacing w:val="-2"/>
                          <w:sz w:val="36"/>
                        </w:rPr>
                        <w:t xml:space="preserve"> </w:t>
                      </w:r>
                      <w:r>
                        <w:rPr>
                          <w:b/>
                          <w:color w:val="000000"/>
                          <w:sz w:val="36"/>
                        </w:rPr>
                        <w:t>AI</w:t>
                      </w:r>
                      <w:r>
                        <w:rPr>
                          <w:b/>
                          <w:color w:val="000000"/>
                          <w:spacing w:val="-1"/>
                          <w:sz w:val="36"/>
                        </w:rPr>
                        <w:t xml:space="preserve"> </w:t>
                      </w:r>
                      <w:r>
                        <w:rPr>
                          <w:b/>
                          <w:color w:val="000000"/>
                          <w:sz w:val="36"/>
                        </w:rPr>
                        <w:t>IN</w:t>
                      </w:r>
                      <w:r>
                        <w:rPr>
                          <w:b/>
                          <w:color w:val="000000"/>
                          <w:spacing w:val="2"/>
                          <w:sz w:val="36"/>
                        </w:rPr>
                        <w:t xml:space="preserve"> </w:t>
                      </w:r>
                      <w:r>
                        <w:rPr>
                          <w:b/>
                          <w:color w:val="000000"/>
                          <w:spacing w:val="-2"/>
                          <w:sz w:val="36"/>
                        </w:rPr>
                        <w:t>ASSESSMENT</w:t>
                      </w:r>
                    </w:p>
                  </w:txbxContent>
                </v:textbox>
                <w10:anchorlock/>
              </v:shape>
            </w:pict>
          </mc:Fallback>
        </mc:AlternateContent>
      </w:r>
    </w:p>
    <w:tbl>
      <w:tblPr>
        <w:tblW w:w="9063"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51"/>
        <w:gridCol w:w="5397"/>
        <w:gridCol w:w="1415"/>
      </w:tblGrid>
      <w:tr w:rsidR="00E22A6C" w14:paraId="0801CF43" w14:textId="77777777" w:rsidTr="00544039">
        <w:trPr>
          <w:trHeight w:val="1518"/>
        </w:trPr>
        <w:tc>
          <w:tcPr>
            <w:tcW w:w="2251" w:type="dxa"/>
            <w:tcBorders>
              <w:bottom w:val="single" w:sz="4" w:space="0" w:color="000000"/>
              <w:right w:val="single" w:sz="4" w:space="0" w:color="000000"/>
            </w:tcBorders>
            <w:shd w:val="clear" w:color="auto" w:fill="91CF50"/>
          </w:tcPr>
          <w:p w14:paraId="72A9F694" w14:textId="77777777" w:rsidR="00E22A6C" w:rsidRDefault="00E22A6C" w:rsidP="00544039">
            <w:pPr>
              <w:pStyle w:val="TableParagraph"/>
              <w:spacing w:line="253" w:lineRule="exact"/>
              <w:ind w:left="105"/>
            </w:pPr>
            <w:r>
              <w:rPr>
                <w:spacing w:val="-2"/>
              </w:rPr>
              <w:t>RESEARCH</w:t>
            </w:r>
          </w:p>
        </w:tc>
        <w:tc>
          <w:tcPr>
            <w:tcW w:w="5397" w:type="dxa"/>
            <w:tcBorders>
              <w:left w:val="single" w:sz="4" w:space="0" w:color="000000"/>
              <w:bottom w:val="single" w:sz="4" w:space="0" w:color="000000"/>
              <w:right w:val="single" w:sz="4" w:space="0" w:color="000000"/>
            </w:tcBorders>
            <w:shd w:val="clear" w:color="auto" w:fill="91CF50"/>
          </w:tcPr>
          <w:p w14:paraId="7D658B4A" w14:textId="77777777" w:rsidR="00E22A6C" w:rsidRDefault="00E22A6C" w:rsidP="00544039">
            <w:pPr>
              <w:pStyle w:val="TableParagraph"/>
              <w:spacing w:line="360" w:lineRule="auto"/>
            </w:pPr>
            <w:r>
              <w:t>For this assessment, you can use Generative AI to support you in research, including searching for bibliography,</w:t>
            </w:r>
            <w:r>
              <w:rPr>
                <w:spacing w:val="-4"/>
              </w:rPr>
              <w:t xml:space="preserve"> </w:t>
            </w:r>
            <w:r>
              <w:t>using</w:t>
            </w:r>
            <w:r>
              <w:rPr>
                <w:spacing w:val="-8"/>
              </w:rPr>
              <w:t xml:space="preserve"> </w:t>
            </w:r>
            <w:r>
              <w:t>tools</w:t>
            </w:r>
            <w:r>
              <w:rPr>
                <w:spacing w:val="-8"/>
              </w:rPr>
              <w:t xml:space="preserve"> </w:t>
            </w:r>
            <w:r>
              <w:t>to</w:t>
            </w:r>
            <w:r>
              <w:rPr>
                <w:spacing w:val="-4"/>
              </w:rPr>
              <w:t xml:space="preserve"> </w:t>
            </w:r>
            <w:proofErr w:type="spellStart"/>
            <w:r>
              <w:t>summarise</w:t>
            </w:r>
            <w:proofErr w:type="spellEnd"/>
            <w:r>
              <w:t>,</w:t>
            </w:r>
            <w:r>
              <w:rPr>
                <w:spacing w:val="-5"/>
              </w:rPr>
              <w:t xml:space="preserve"> </w:t>
            </w:r>
            <w:r>
              <w:t>compare</w:t>
            </w:r>
            <w:r>
              <w:rPr>
                <w:spacing w:val="-12"/>
              </w:rPr>
              <w:t xml:space="preserve"> </w:t>
            </w:r>
            <w:r>
              <w:t>and</w:t>
            </w:r>
          </w:p>
          <w:p w14:paraId="3B9D9C14" w14:textId="77777777" w:rsidR="00E22A6C" w:rsidRDefault="00E22A6C" w:rsidP="00544039">
            <w:pPr>
              <w:pStyle w:val="TableParagraph"/>
              <w:spacing w:before="1"/>
            </w:pPr>
            <w:r>
              <w:t>interrogate</w:t>
            </w:r>
            <w:r>
              <w:rPr>
                <w:spacing w:val="-6"/>
              </w:rPr>
              <w:t xml:space="preserve"> </w:t>
            </w:r>
            <w:r>
              <w:rPr>
                <w:spacing w:val="-2"/>
              </w:rPr>
              <w:t>materials.</w:t>
            </w:r>
          </w:p>
        </w:tc>
        <w:tc>
          <w:tcPr>
            <w:tcW w:w="1415" w:type="dxa"/>
            <w:tcBorders>
              <w:left w:val="single" w:sz="4" w:space="0" w:color="000000"/>
              <w:bottom w:val="single" w:sz="4" w:space="0" w:color="000000"/>
            </w:tcBorders>
            <w:shd w:val="clear" w:color="auto" w:fill="91CF50"/>
          </w:tcPr>
          <w:p w14:paraId="28799165" w14:textId="77777777" w:rsidR="00E22A6C" w:rsidRDefault="00E22A6C" w:rsidP="00544039">
            <w:pPr>
              <w:pStyle w:val="TableParagraph"/>
              <w:spacing w:before="3"/>
              <w:ind w:left="111"/>
              <w:rPr>
                <w:rFonts w:ascii="SimSun-ExtB" w:hAnsi="SimSun-ExtB"/>
              </w:rPr>
            </w:pPr>
            <w:r>
              <w:t>Yes</w:t>
            </w:r>
            <w:r>
              <w:rPr>
                <w:spacing w:val="-1"/>
              </w:rPr>
              <w:t xml:space="preserve"> </w:t>
            </w:r>
            <w:r>
              <w:rPr>
                <w:rFonts w:ascii="Segoe UI Symbol" w:hAnsi="Segoe UI Symbol" w:cs="Segoe UI Symbol"/>
                <w:spacing w:val="-10"/>
              </w:rPr>
              <w:t>☒</w:t>
            </w:r>
          </w:p>
          <w:p w14:paraId="5ACB9945" w14:textId="77777777" w:rsidR="00E22A6C" w:rsidRDefault="00E22A6C" w:rsidP="00544039">
            <w:pPr>
              <w:pStyle w:val="TableParagraph"/>
              <w:ind w:left="0"/>
            </w:pPr>
          </w:p>
          <w:p w14:paraId="4FC3D424" w14:textId="77777777" w:rsidR="00E22A6C" w:rsidRDefault="00E22A6C" w:rsidP="00544039">
            <w:pPr>
              <w:pStyle w:val="TableParagraph"/>
              <w:spacing w:before="20"/>
              <w:ind w:left="0"/>
            </w:pPr>
          </w:p>
          <w:p w14:paraId="26AE4E62" w14:textId="77777777" w:rsidR="00E22A6C" w:rsidRDefault="00E22A6C" w:rsidP="00544039">
            <w:pPr>
              <w:pStyle w:val="TableParagraph"/>
              <w:spacing w:before="1"/>
              <w:ind w:left="111"/>
              <w:rPr>
                <w:rFonts w:ascii="SimSun-ExtB" w:hAnsi="SimSun-ExtB"/>
              </w:rPr>
            </w:pPr>
            <w:r>
              <w:t>No</w:t>
            </w:r>
            <w:r>
              <w:rPr>
                <w:spacing w:val="62"/>
              </w:rPr>
              <w:t xml:space="preserve"> </w:t>
            </w:r>
            <w:r>
              <w:rPr>
                <w:rFonts w:ascii="Segoe UI Symbol" w:hAnsi="Segoe UI Symbol" w:cs="Segoe UI Symbol"/>
                <w:spacing w:val="-10"/>
              </w:rPr>
              <w:t>☐</w:t>
            </w:r>
          </w:p>
        </w:tc>
      </w:tr>
      <w:tr w:rsidR="00E22A6C" w14:paraId="5AA6BE29" w14:textId="77777777" w:rsidTr="00544039">
        <w:trPr>
          <w:trHeight w:val="1516"/>
        </w:trPr>
        <w:tc>
          <w:tcPr>
            <w:tcW w:w="2251" w:type="dxa"/>
            <w:tcBorders>
              <w:top w:val="single" w:sz="4" w:space="0" w:color="000000"/>
              <w:bottom w:val="single" w:sz="4" w:space="0" w:color="000000"/>
              <w:right w:val="single" w:sz="4" w:space="0" w:color="000000"/>
            </w:tcBorders>
          </w:tcPr>
          <w:p w14:paraId="4878DFA8" w14:textId="77777777" w:rsidR="00E22A6C" w:rsidRDefault="00E22A6C" w:rsidP="00544039">
            <w:pPr>
              <w:pStyle w:val="TableParagraph"/>
              <w:ind w:left="105"/>
            </w:pPr>
            <w:r>
              <w:rPr>
                <w:spacing w:val="-2"/>
              </w:rPr>
              <w:t>STRUCTURE</w:t>
            </w:r>
          </w:p>
        </w:tc>
        <w:tc>
          <w:tcPr>
            <w:tcW w:w="5397" w:type="dxa"/>
            <w:tcBorders>
              <w:top w:val="single" w:sz="4" w:space="0" w:color="000000"/>
              <w:left w:val="single" w:sz="4" w:space="0" w:color="000000"/>
              <w:bottom w:val="single" w:sz="4" w:space="0" w:color="000000"/>
              <w:right w:val="single" w:sz="4" w:space="0" w:color="000000"/>
            </w:tcBorders>
          </w:tcPr>
          <w:p w14:paraId="60291136" w14:textId="77777777" w:rsidR="00E22A6C" w:rsidRDefault="00E22A6C" w:rsidP="00544039">
            <w:pPr>
              <w:pStyle w:val="TableParagraph"/>
              <w:spacing w:line="360" w:lineRule="auto"/>
              <w:ind w:hanging="1"/>
            </w:pPr>
            <w:r>
              <w:t>For this assessment, you can use Generative AI to support</w:t>
            </w:r>
            <w:r>
              <w:rPr>
                <w:spacing w:val="-8"/>
              </w:rPr>
              <w:t xml:space="preserve"> </w:t>
            </w:r>
            <w:r>
              <w:t>you</w:t>
            </w:r>
            <w:r>
              <w:rPr>
                <w:spacing w:val="-5"/>
              </w:rPr>
              <w:t xml:space="preserve"> </w:t>
            </w:r>
            <w:r>
              <w:t>in</w:t>
            </w:r>
            <w:r>
              <w:rPr>
                <w:spacing w:val="-8"/>
              </w:rPr>
              <w:t xml:space="preserve"> </w:t>
            </w:r>
            <w:r>
              <w:t>structuring</w:t>
            </w:r>
            <w:r>
              <w:rPr>
                <w:spacing w:val="-8"/>
              </w:rPr>
              <w:t xml:space="preserve"> </w:t>
            </w:r>
            <w:r>
              <w:t>your</w:t>
            </w:r>
            <w:r>
              <w:rPr>
                <w:spacing w:val="-8"/>
              </w:rPr>
              <w:t xml:space="preserve"> </w:t>
            </w:r>
            <w:r>
              <w:t>submission,</w:t>
            </w:r>
            <w:r>
              <w:rPr>
                <w:spacing w:val="-4"/>
              </w:rPr>
              <w:t xml:space="preserve"> </w:t>
            </w:r>
            <w:r>
              <w:t>including creating a draft argument structure, identifying parts</w:t>
            </w:r>
          </w:p>
          <w:p w14:paraId="22863503" w14:textId="77777777" w:rsidR="00E22A6C" w:rsidRDefault="00E22A6C" w:rsidP="00544039">
            <w:pPr>
              <w:pStyle w:val="TableParagraph"/>
              <w:spacing w:line="252" w:lineRule="exact"/>
            </w:pPr>
            <w:r>
              <w:t>and</w:t>
            </w:r>
            <w:r>
              <w:rPr>
                <w:spacing w:val="-5"/>
              </w:rPr>
              <w:t xml:space="preserve"> </w:t>
            </w:r>
            <w:r>
              <w:t>headings,</w:t>
            </w:r>
            <w:r>
              <w:rPr>
                <w:spacing w:val="-2"/>
              </w:rPr>
              <w:t xml:space="preserve"> </w:t>
            </w:r>
            <w:r>
              <w:rPr>
                <w:spacing w:val="-4"/>
              </w:rPr>
              <w:t>etc.</w:t>
            </w:r>
          </w:p>
        </w:tc>
        <w:tc>
          <w:tcPr>
            <w:tcW w:w="1415" w:type="dxa"/>
            <w:tcBorders>
              <w:top w:val="single" w:sz="4" w:space="0" w:color="000000"/>
              <w:left w:val="single" w:sz="4" w:space="0" w:color="000000"/>
              <w:bottom w:val="single" w:sz="4" w:space="0" w:color="000000"/>
            </w:tcBorders>
          </w:tcPr>
          <w:p w14:paraId="11AC7940" w14:textId="77777777" w:rsidR="00E22A6C" w:rsidRDefault="00E22A6C" w:rsidP="00544039">
            <w:pPr>
              <w:pStyle w:val="TableParagraph"/>
              <w:ind w:left="111"/>
              <w:rPr>
                <w:rFonts w:ascii="Segoe UI Symbol" w:hAnsi="Segoe UI Symbol"/>
              </w:rPr>
            </w:pPr>
            <w:r>
              <w:t>Yes</w:t>
            </w:r>
            <w:r>
              <w:rPr>
                <w:spacing w:val="-1"/>
              </w:rPr>
              <w:t xml:space="preserve"> </w:t>
            </w:r>
            <w:r>
              <w:rPr>
                <w:rFonts w:ascii="Segoe UI Symbol" w:hAnsi="Segoe UI Symbol"/>
                <w:spacing w:val="-10"/>
              </w:rPr>
              <w:t>☐</w:t>
            </w:r>
          </w:p>
          <w:p w14:paraId="20B458D4" w14:textId="77777777" w:rsidR="00E22A6C" w:rsidRDefault="00E22A6C" w:rsidP="00544039">
            <w:pPr>
              <w:pStyle w:val="TableParagraph"/>
              <w:ind w:left="0"/>
            </w:pPr>
          </w:p>
          <w:p w14:paraId="41C088EB" w14:textId="77777777" w:rsidR="00E22A6C" w:rsidRDefault="00E22A6C" w:rsidP="00544039">
            <w:pPr>
              <w:pStyle w:val="TableParagraph"/>
              <w:spacing w:before="19"/>
              <w:ind w:left="0"/>
            </w:pPr>
          </w:p>
          <w:p w14:paraId="1251794A" w14:textId="77777777" w:rsidR="00E22A6C" w:rsidRDefault="00E22A6C" w:rsidP="00544039">
            <w:pPr>
              <w:pStyle w:val="TableParagraph"/>
              <w:spacing w:before="1"/>
              <w:ind w:left="111"/>
              <w:rPr>
                <w:rFonts w:ascii="Segoe UI Symbol" w:hAnsi="Segoe UI Symbol"/>
              </w:rPr>
            </w:pPr>
            <w:r>
              <w:t>No</w:t>
            </w:r>
            <w:r>
              <w:rPr>
                <w:spacing w:val="62"/>
              </w:rPr>
              <w:t xml:space="preserve"> </w:t>
            </w:r>
            <w:r>
              <w:rPr>
                <w:rFonts w:ascii="Segoe UI Symbol" w:hAnsi="Segoe UI Symbol"/>
                <w:spacing w:val="-10"/>
              </w:rPr>
              <w:t>☒</w:t>
            </w:r>
          </w:p>
        </w:tc>
      </w:tr>
      <w:tr w:rsidR="00E22A6C" w14:paraId="478C6085" w14:textId="77777777" w:rsidTr="00544039">
        <w:trPr>
          <w:trHeight w:val="1518"/>
        </w:trPr>
        <w:tc>
          <w:tcPr>
            <w:tcW w:w="2251" w:type="dxa"/>
            <w:tcBorders>
              <w:top w:val="single" w:sz="4" w:space="0" w:color="000000"/>
              <w:bottom w:val="single" w:sz="4" w:space="0" w:color="000000"/>
              <w:right w:val="single" w:sz="4" w:space="0" w:color="000000"/>
            </w:tcBorders>
            <w:shd w:val="clear" w:color="auto" w:fill="91CF50"/>
          </w:tcPr>
          <w:p w14:paraId="49DA002A" w14:textId="77777777" w:rsidR="00E22A6C" w:rsidRDefault="00E22A6C" w:rsidP="00544039">
            <w:pPr>
              <w:pStyle w:val="TableParagraph"/>
              <w:ind w:left="105"/>
            </w:pPr>
            <w:r>
              <w:rPr>
                <w:spacing w:val="-2"/>
              </w:rPr>
              <w:t>PROOFREADING</w:t>
            </w:r>
          </w:p>
        </w:tc>
        <w:tc>
          <w:tcPr>
            <w:tcW w:w="5397" w:type="dxa"/>
            <w:tcBorders>
              <w:top w:val="single" w:sz="4" w:space="0" w:color="000000"/>
              <w:left w:val="single" w:sz="4" w:space="0" w:color="000000"/>
              <w:bottom w:val="single" w:sz="4" w:space="0" w:color="000000"/>
              <w:right w:val="single" w:sz="4" w:space="0" w:color="000000"/>
            </w:tcBorders>
            <w:shd w:val="clear" w:color="auto" w:fill="91CF50"/>
          </w:tcPr>
          <w:p w14:paraId="4B4519DB" w14:textId="77777777" w:rsidR="00E22A6C" w:rsidRDefault="00E22A6C" w:rsidP="00544039">
            <w:pPr>
              <w:pStyle w:val="TableParagraph"/>
              <w:spacing w:line="360" w:lineRule="auto"/>
            </w:pPr>
            <w:r>
              <w:t>For</w:t>
            </w:r>
            <w:r>
              <w:rPr>
                <w:spacing w:val="-4"/>
              </w:rPr>
              <w:t xml:space="preserve"> </w:t>
            </w:r>
            <w:r>
              <w:t>this</w:t>
            </w:r>
            <w:r>
              <w:rPr>
                <w:spacing w:val="-4"/>
              </w:rPr>
              <w:t xml:space="preserve"> </w:t>
            </w:r>
            <w:r>
              <w:t>assessment,</w:t>
            </w:r>
            <w:r>
              <w:rPr>
                <w:spacing w:val="-6"/>
              </w:rPr>
              <w:t xml:space="preserve"> </w:t>
            </w:r>
            <w:r>
              <w:t>you</w:t>
            </w:r>
            <w:r>
              <w:rPr>
                <w:spacing w:val="-5"/>
              </w:rPr>
              <w:t xml:space="preserve"> </w:t>
            </w:r>
            <w:r>
              <w:t>can</w:t>
            </w:r>
            <w:r>
              <w:rPr>
                <w:spacing w:val="-4"/>
              </w:rPr>
              <w:t xml:space="preserve"> </w:t>
            </w:r>
            <w:r>
              <w:t>use</w:t>
            </w:r>
            <w:r>
              <w:rPr>
                <w:spacing w:val="-7"/>
              </w:rPr>
              <w:t xml:space="preserve"> </w:t>
            </w:r>
            <w:r>
              <w:t>Generative</w:t>
            </w:r>
            <w:r>
              <w:rPr>
                <w:spacing w:val="-4"/>
              </w:rPr>
              <w:t xml:space="preserve"> </w:t>
            </w:r>
            <w:r>
              <w:t>AI</w:t>
            </w:r>
            <w:r>
              <w:rPr>
                <w:spacing w:val="-6"/>
              </w:rPr>
              <w:t xml:space="preserve"> </w:t>
            </w:r>
            <w:r>
              <w:t>to check your own text/creation for grammatical and syntactical mistakes, including rephrasing of your</w:t>
            </w:r>
          </w:p>
          <w:p w14:paraId="34FDD527" w14:textId="77777777" w:rsidR="00E22A6C" w:rsidRDefault="00E22A6C" w:rsidP="00544039">
            <w:pPr>
              <w:pStyle w:val="TableParagraph"/>
              <w:spacing w:before="1"/>
            </w:pPr>
            <w:r>
              <w:t>own</w:t>
            </w:r>
            <w:r>
              <w:rPr>
                <w:spacing w:val="-1"/>
              </w:rPr>
              <w:t xml:space="preserve"> </w:t>
            </w:r>
            <w:r>
              <w:t>work</w:t>
            </w:r>
            <w:r>
              <w:rPr>
                <w:spacing w:val="-2"/>
              </w:rPr>
              <w:t xml:space="preserve"> </w:t>
            </w:r>
            <w:r>
              <w:t>within</w:t>
            </w:r>
            <w:r>
              <w:rPr>
                <w:spacing w:val="-4"/>
              </w:rPr>
              <w:t xml:space="preserve"> </w:t>
            </w:r>
            <w:r>
              <w:t>specific</w:t>
            </w:r>
            <w:r>
              <w:rPr>
                <w:spacing w:val="-3"/>
              </w:rPr>
              <w:t xml:space="preserve"> </w:t>
            </w:r>
            <w:r>
              <w:rPr>
                <w:spacing w:val="-2"/>
              </w:rPr>
              <w:t>standards.</w:t>
            </w:r>
          </w:p>
        </w:tc>
        <w:tc>
          <w:tcPr>
            <w:tcW w:w="1415" w:type="dxa"/>
            <w:tcBorders>
              <w:top w:val="single" w:sz="4" w:space="0" w:color="000000"/>
              <w:left w:val="single" w:sz="4" w:space="0" w:color="000000"/>
              <w:bottom w:val="single" w:sz="4" w:space="0" w:color="000000"/>
            </w:tcBorders>
            <w:shd w:val="clear" w:color="auto" w:fill="91CF50"/>
          </w:tcPr>
          <w:p w14:paraId="08E716E8" w14:textId="77777777" w:rsidR="00E22A6C" w:rsidRDefault="00E22A6C" w:rsidP="00544039">
            <w:pPr>
              <w:pStyle w:val="TableParagraph"/>
              <w:spacing w:before="3"/>
              <w:ind w:left="111"/>
              <w:rPr>
                <w:rFonts w:ascii="SimSun-ExtB" w:hAnsi="SimSun-ExtB"/>
              </w:rPr>
            </w:pPr>
            <w:r>
              <w:t>Yes</w:t>
            </w:r>
            <w:r>
              <w:rPr>
                <w:spacing w:val="-1"/>
              </w:rPr>
              <w:t xml:space="preserve"> </w:t>
            </w:r>
            <w:r>
              <w:rPr>
                <w:rFonts w:ascii="Segoe UI Symbol" w:hAnsi="Segoe UI Symbol" w:cs="Segoe UI Symbol"/>
                <w:spacing w:val="-10"/>
              </w:rPr>
              <w:t>☒</w:t>
            </w:r>
          </w:p>
          <w:p w14:paraId="24667EAD" w14:textId="77777777" w:rsidR="00E22A6C" w:rsidRDefault="00E22A6C" w:rsidP="00544039">
            <w:pPr>
              <w:pStyle w:val="TableParagraph"/>
              <w:ind w:left="0"/>
            </w:pPr>
          </w:p>
          <w:p w14:paraId="0B1675C3" w14:textId="77777777" w:rsidR="00E22A6C" w:rsidRDefault="00E22A6C" w:rsidP="00544039">
            <w:pPr>
              <w:pStyle w:val="TableParagraph"/>
              <w:spacing w:before="17"/>
              <w:ind w:left="0"/>
            </w:pPr>
          </w:p>
          <w:p w14:paraId="77B0752E" w14:textId="77777777" w:rsidR="00E22A6C" w:rsidRDefault="00E22A6C" w:rsidP="00544039">
            <w:pPr>
              <w:pStyle w:val="TableParagraph"/>
              <w:spacing w:before="1"/>
              <w:ind w:left="111"/>
              <w:rPr>
                <w:rFonts w:ascii="Segoe UI Symbol" w:hAnsi="Segoe UI Symbol"/>
              </w:rPr>
            </w:pPr>
            <w:r>
              <w:t>No</w:t>
            </w:r>
            <w:r>
              <w:rPr>
                <w:spacing w:val="62"/>
              </w:rPr>
              <w:t xml:space="preserve"> </w:t>
            </w:r>
            <w:r>
              <w:rPr>
                <w:rFonts w:ascii="Segoe UI Symbol" w:hAnsi="Segoe UI Symbol"/>
                <w:spacing w:val="-10"/>
              </w:rPr>
              <w:t>☐</w:t>
            </w:r>
          </w:p>
        </w:tc>
      </w:tr>
      <w:tr w:rsidR="00E22A6C" w14:paraId="66D58C07" w14:textId="77777777" w:rsidTr="00544039">
        <w:trPr>
          <w:trHeight w:val="1257"/>
        </w:trPr>
        <w:tc>
          <w:tcPr>
            <w:tcW w:w="2251" w:type="dxa"/>
            <w:tcBorders>
              <w:top w:val="single" w:sz="4" w:space="0" w:color="000000"/>
              <w:bottom w:val="single" w:sz="4" w:space="0" w:color="000000"/>
              <w:right w:val="single" w:sz="4" w:space="0" w:color="000000"/>
            </w:tcBorders>
          </w:tcPr>
          <w:p w14:paraId="6F5F9D10" w14:textId="77777777" w:rsidR="00E22A6C" w:rsidRDefault="00E22A6C" w:rsidP="00544039">
            <w:pPr>
              <w:pStyle w:val="TableParagraph"/>
              <w:ind w:left="105"/>
            </w:pPr>
            <w:r>
              <w:rPr>
                <w:spacing w:val="-2"/>
              </w:rPr>
              <w:t>WRITING</w:t>
            </w:r>
          </w:p>
        </w:tc>
        <w:tc>
          <w:tcPr>
            <w:tcW w:w="5397" w:type="dxa"/>
            <w:tcBorders>
              <w:top w:val="single" w:sz="4" w:space="0" w:color="000000"/>
              <w:left w:val="single" w:sz="4" w:space="0" w:color="000000"/>
              <w:bottom w:val="single" w:sz="4" w:space="0" w:color="000000"/>
              <w:right w:val="single" w:sz="4" w:space="0" w:color="000000"/>
            </w:tcBorders>
          </w:tcPr>
          <w:p w14:paraId="42196B58" w14:textId="77777777" w:rsidR="00E22A6C" w:rsidRDefault="00E22A6C" w:rsidP="00544039">
            <w:pPr>
              <w:pStyle w:val="TableParagraph"/>
              <w:spacing w:line="360" w:lineRule="auto"/>
            </w:pPr>
            <w:r>
              <w:t>For</w:t>
            </w:r>
            <w:r>
              <w:rPr>
                <w:spacing w:val="-5"/>
              </w:rPr>
              <w:t xml:space="preserve"> </w:t>
            </w:r>
            <w:r>
              <w:t>this</w:t>
            </w:r>
            <w:r>
              <w:rPr>
                <w:spacing w:val="-5"/>
              </w:rPr>
              <w:t xml:space="preserve"> </w:t>
            </w:r>
            <w:r>
              <w:t>assessment,</w:t>
            </w:r>
            <w:r>
              <w:rPr>
                <w:spacing w:val="-4"/>
              </w:rPr>
              <w:t xml:space="preserve"> </w:t>
            </w:r>
            <w:r>
              <w:t>you</w:t>
            </w:r>
            <w:r>
              <w:rPr>
                <w:spacing w:val="-6"/>
              </w:rPr>
              <w:t xml:space="preserve"> </w:t>
            </w:r>
            <w:r>
              <w:t>can</w:t>
            </w:r>
            <w:r>
              <w:rPr>
                <w:spacing w:val="-5"/>
              </w:rPr>
              <w:t xml:space="preserve"> </w:t>
            </w:r>
            <w:r>
              <w:t>use</w:t>
            </w:r>
            <w:r>
              <w:rPr>
                <w:spacing w:val="-7"/>
              </w:rPr>
              <w:t xml:space="preserve"> </w:t>
            </w:r>
            <w:r>
              <w:t>Generative</w:t>
            </w:r>
            <w:r>
              <w:rPr>
                <w:spacing w:val="-5"/>
              </w:rPr>
              <w:t xml:space="preserve"> </w:t>
            </w:r>
            <w:r>
              <w:t>AI</w:t>
            </w:r>
            <w:r>
              <w:rPr>
                <w:spacing w:val="-7"/>
              </w:rPr>
              <w:t xml:space="preserve"> </w:t>
            </w:r>
            <w:r>
              <w:t>to create text for submission.</w:t>
            </w:r>
          </w:p>
        </w:tc>
        <w:tc>
          <w:tcPr>
            <w:tcW w:w="1415" w:type="dxa"/>
            <w:tcBorders>
              <w:top w:val="single" w:sz="4" w:space="0" w:color="000000"/>
              <w:left w:val="single" w:sz="4" w:space="0" w:color="000000"/>
              <w:bottom w:val="single" w:sz="4" w:space="0" w:color="000000"/>
            </w:tcBorders>
          </w:tcPr>
          <w:p w14:paraId="6437E49C" w14:textId="77777777" w:rsidR="00E22A6C" w:rsidRDefault="00E22A6C" w:rsidP="00544039">
            <w:pPr>
              <w:pStyle w:val="TableParagraph"/>
              <w:ind w:left="111"/>
              <w:rPr>
                <w:rFonts w:ascii="Segoe UI Symbol" w:hAnsi="Segoe UI Symbol"/>
              </w:rPr>
            </w:pPr>
            <w:r>
              <w:t>Yes</w:t>
            </w:r>
            <w:r>
              <w:rPr>
                <w:spacing w:val="-1"/>
              </w:rPr>
              <w:t xml:space="preserve"> </w:t>
            </w:r>
            <w:r>
              <w:rPr>
                <w:rFonts w:ascii="Segoe UI Symbol" w:hAnsi="Segoe UI Symbol"/>
                <w:spacing w:val="-10"/>
              </w:rPr>
              <w:t>☐</w:t>
            </w:r>
          </w:p>
          <w:p w14:paraId="4F4A261D" w14:textId="77777777" w:rsidR="00E22A6C" w:rsidRDefault="00E22A6C" w:rsidP="00544039">
            <w:pPr>
              <w:pStyle w:val="TableParagraph"/>
              <w:ind w:left="0"/>
            </w:pPr>
          </w:p>
          <w:p w14:paraId="6AA50086" w14:textId="77777777" w:rsidR="00E22A6C" w:rsidRDefault="00E22A6C" w:rsidP="00544039">
            <w:pPr>
              <w:pStyle w:val="TableParagraph"/>
              <w:spacing w:before="19"/>
              <w:ind w:left="0"/>
            </w:pPr>
          </w:p>
          <w:p w14:paraId="5711F449" w14:textId="77777777" w:rsidR="00E22A6C" w:rsidRDefault="00E22A6C" w:rsidP="00544039">
            <w:pPr>
              <w:pStyle w:val="TableParagraph"/>
              <w:spacing w:before="1"/>
              <w:ind w:left="111"/>
              <w:rPr>
                <w:rFonts w:ascii="Segoe UI Symbol" w:hAnsi="Segoe UI Symbol"/>
              </w:rPr>
            </w:pPr>
            <w:r>
              <w:t>No</w:t>
            </w:r>
            <w:r>
              <w:rPr>
                <w:spacing w:val="62"/>
              </w:rPr>
              <w:t xml:space="preserve"> </w:t>
            </w:r>
            <w:r>
              <w:rPr>
                <w:rFonts w:ascii="Segoe UI Symbol" w:hAnsi="Segoe UI Symbol"/>
                <w:spacing w:val="-10"/>
              </w:rPr>
              <w:t>☒</w:t>
            </w:r>
          </w:p>
        </w:tc>
      </w:tr>
      <w:tr w:rsidR="00E22A6C" w14:paraId="1B068665" w14:textId="77777777" w:rsidTr="00544039">
        <w:trPr>
          <w:trHeight w:val="1235"/>
        </w:trPr>
        <w:tc>
          <w:tcPr>
            <w:tcW w:w="2251" w:type="dxa"/>
            <w:tcBorders>
              <w:top w:val="single" w:sz="4" w:space="0" w:color="000000"/>
              <w:bottom w:val="single" w:sz="4" w:space="0" w:color="000000"/>
              <w:right w:val="single" w:sz="4" w:space="0" w:color="000000"/>
            </w:tcBorders>
            <w:shd w:val="clear" w:color="auto" w:fill="91CF50"/>
          </w:tcPr>
          <w:p w14:paraId="2969DDE2" w14:textId="77777777" w:rsidR="00E22A6C" w:rsidRDefault="00E22A6C" w:rsidP="00544039">
            <w:pPr>
              <w:pStyle w:val="TableParagraph"/>
              <w:ind w:left="105"/>
            </w:pPr>
            <w:r>
              <w:rPr>
                <w:spacing w:val="-2"/>
              </w:rPr>
              <w:t>CREATIVE</w:t>
            </w:r>
          </w:p>
        </w:tc>
        <w:tc>
          <w:tcPr>
            <w:tcW w:w="5397" w:type="dxa"/>
            <w:tcBorders>
              <w:top w:val="single" w:sz="4" w:space="0" w:color="000000"/>
              <w:left w:val="single" w:sz="4" w:space="0" w:color="000000"/>
              <w:bottom w:val="single" w:sz="4" w:space="0" w:color="000000"/>
              <w:right w:val="single" w:sz="4" w:space="0" w:color="000000"/>
            </w:tcBorders>
            <w:shd w:val="clear" w:color="auto" w:fill="91CF50"/>
          </w:tcPr>
          <w:p w14:paraId="5D71EBCF" w14:textId="77777777" w:rsidR="00E22A6C" w:rsidRDefault="00E22A6C" w:rsidP="00544039">
            <w:pPr>
              <w:pStyle w:val="TableParagraph"/>
              <w:spacing w:line="360" w:lineRule="auto"/>
            </w:pPr>
            <w:r>
              <w:t>For</w:t>
            </w:r>
            <w:r>
              <w:rPr>
                <w:spacing w:val="-4"/>
              </w:rPr>
              <w:t xml:space="preserve"> </w:t>
            </w:r>
            <w:r>
              <w:t>this</w:t>
            </w:r>
            <w:r>
              <w:rPr>
                <w:spacing w:val="-4"/>
              </w:rPr>
              <w:t xml:space="preserve"> </w:t>
            </w:r>
            <w:r>
              <w:t>assessment,</w:t>
            </w:r>
            <w:r>
              <w:rPr>
                <w:spacing w:val="-6"/>
              </w:rPr>
              <w:t xml:space="preserve"> </w:t>
            </w:r>
            <w:r>
              <w:t>you</w:t>
            </w:r>
            <w:r>
              <w:rPr>
                <w:spacing w:val="-5"/>
              </w:rPr>
              <w:t xml:space="preserve"> </w:t>
            </w:r>
            <w:r>
              <w:t>can</w:t>
            </w:r>
            <w:r>
              <w:rPr>
                <w:spacing w:val="-4"/>
              </w:rPr>
              <w:t xml:space="preserve"> </w:t>
            </w:r>
            <w:r>
              <w:t>use</w:t>
            </w:r>
            <w:r>
              <w:rPr>
                <w:spacing w:val="-7"/>
              </w:rPr>
              <w:t xml:space="preserve"> </w:t>
            </w:r>
            <w:r>
              <w:t>Generative</w:t>
            </w:r>
            <w:r>
              <w:rPr>
                <w:spacing w:val="-4"/>
              </w:rPr>
              <w:t xml:space="preserve"> </w:t>
            </w:r>
            <w:r>
              <w:t>AI</w:t>
            </w:r>
            <w:r>
              <w:rPr>
                <w:spacing w:val="-6"/>
              </w:rPr>
              <w:t xml:space="preserve"> </w:t>
            </w:r>
            <w:r>
              <w:t>to create creative materials, such as images.</w:t>
            </w:r>
          </w:p>
        </w:tc>
        <w:tc>
          <w:tcPr>
            <w:tcW w:w="1415" w:type="dxa"/>
            <w:tcBorders>
              <w:top w:val="single" w:sz="4" w:space="0" w:color="000000"/>
              <w:left w:val="single" w:sz="4" w:space="0" w:color="000000"/>
              <w:bottom w:val="single" w:sz="4" w:space="0" w:color="000000"/>
            </w:tcBorders>
            <w:shd w:val="clear" w:color="auto" w:fill="91CF50"/>
          </w:tcPr>
          <w:p w14:paraId="767053B1" w14:textId="77777777" w:rsidR="00E22A6C" w:rsidRDefault="00E22A6C" w:rsidP="00544039">
            <w:pPr>
              <w:pStyle w:val="TableParagraph"/>
              <w:spacing w:before="3"/>
              <w:ind w:left="111"/>
              <w:rPr>
                <w:rFonts w:ascii="SimSun-ExtB" w:hAnsi="SimSun-ExtB"/>
              </w:rPr>
            </w:pPr>
            <w:r>
              <w:t>Yes</w:t>
            </w:r>
            <w:r>
              <w:rPr>
                <w:spacing w:val="-1"/>
              </w:rPr>
              <w:t xml:space="preserve"> </w:t>
            </w:r>
            <w:r>
              <w:rPr>
                <w:rFonts w:ascii="Segoe UI Symbol" w:hAnsi="Segoe UI Symbol" w:cs="Segoe UI Symbol"/>
                <w:spacing w:val="-10"/>
              </w:rPr>
              <w:t>☒</w:t>
            </w:r>
          </w:p>
          <w:p w14:paraId="4E4791EE" w14:textId="77777777" w:rsidR="00E22A6C" w:rsidRDefault="00E22A6C" w:rsidP="00544039">
            <w:pPr>
              <w:pStyle w:val="TableParagraph"/>
              <w:ind w:left="0"/>
            </w:pPr>
          </w:p>
          <w:p w14:paraId="2AB62F34" w14:textId="77777777" w:rsidR="00E22A6C" w:rsidRDefault="00E22A6C" w:rsidP="00544039">
            <w:pPr>
              <w:pStyle w:val="TableParagraph"/>
              <w:spacing w:before="20"/>
              <w:ind w:left="0"/>
            </w:pPr>
          </w:p>
          <w:p w14:paraId="2A3DAC44" w14:textId="77777777" w:rsidR="00E22A6C" w:rsidRDefault="00E22A6C" w:rsidP="00544039">
            <w:pPr>
              <w:pStyle w:val="TableParagraph"/>
              <w:spacing w:before="1"/>
              <w:ind w:left="111"/>
              <w:rPr>
                <w:rFonts w:ascii="SimSun-ExtB" w:hAnsi="SimSun-ExtB"/>
              </w:rPr>
            </w:pPr>
            <w:r>
              <w:t>No</w:t>
            </w:r>
            <w:r>
              <w:rPr>
                <w:spacing w:val="62"/>
              </w:rPr>
              <w:t xml:space="preserve"> </w:t>
            </w:r>
            <w:r>
              <w:rPr>
                <w:rFonts w:ascii="Segoe UI Symbol" w:hAnsi="Segoe UI Symbol" w:cs="Segoe UI Symbol"/>
                <w:spacing w:val="-10"/>
              </w:rPr>
              <w:t>☐</w:t>
            </w:r>
          </w:p>
        </w:tc>
      </w:tr>
      <w:tr w:rsidR="00E22A6C" w14:paraId="075EC1F7" w14:textId="77777777" w:rsidTr="00544039">
        <w:trPr>
          <w:trHeight w:val="1257"/>
        </w:trPr>
        <w:tc>
          <w:tcPr>
            <w:tcW w:w="2251" w:type="dxa"/>
            <w:tcBorders>
              <w:top w:val="single" w:sz="4" w:space="0" w:color="000000"/>
              <w:bottom w:val="single" w:sz="4" w:space="0" w:color="000000"/>
              <w:right w:val="single" w:sz="4" w:space="0" w:color="000000"/>
            </w:tcBorders>
          </w:tcPr>
          <w:p w14:paraId="645E946D" w14:textId="77777777" w:rsidR="00E22A6C" w:rsidRDefault="00E22A6C" w:rsidP="00544039">
            <w:pPr>
              <w:pStyle w:val="TableParagraph"/>
              <w:ind w:left="105"/>
            </w:pPr>
            <w:r>
              <w:rPr>
                <w:spacing w:val="-2"/>
              </w:rPr>
              <w:t>PROGRAMING</w:t>
            </w:r>
          </w:p>
        </w:tc>
        <w:tc>
          <w:tcPr>
            <w:tcW w:w="5397" w:type="dxa"/>
            <w:tcBorders>
              <w:top w:val="single" w:sz="4" w:space="0" w:color="000000"/>
              <w:left w:val="single" w:sz="4" w:space="0" w:color="000000"/>
              <w:bottom w:val="single" w:sz="4" w:space="0" w:color="000000"/>
              <w:right w:val="single" w:sz="4" w:space="0" w:color="000000"/>
            </w:tcBorders>
          </w:tcPr>
          <w:p w14:paraId="1B70FB3B" w14:textId="77777777" w:rsidR="00E22A6C" w:rsidRDefault="00E22A6C" w:rsidP="00544039">
            <w:pPr>
              <w:pStyle w:val="TableParagraph"/>
              <w:spacing w:line="360" w:lineRule="auto"/>
              <w:ind w:hanging="1"/>
            </w:pPr>
            <w:r>
              <w:t>For</w:t>
            </w:r>
            <w:r>
              <w:rPr>
                <w:spacing w:val="-5"/>
              </w:rPr>
              <w:t xml:space="preserve"> </w:t>
            </w:r>
            <w:r>
              <w:t>this</w:t>
            </w:r>
            <w:r>
              <w:rPr>
                <w:spacing w:val="-5"/>
              </w:rPr>
              <w:t xml:space="preserve"> </w:t>
            </w:r>
            <w:r>
              <w:t>assessment,</w:t>
            </w:r>
            <w:r>
              <w:rPr>
                <w:spacing w:val="-4"/>
              </w:rPr>
              <w:t xml:space="preserve"> </w:t>
            </w:r>
            <w:r>
              <w:t>you</w:t>
            </w:r>
            <w:r>
              <w:rPr>
                <w:spacing w:val="-5"/>
              </w:rPr>
              <w:t xml:space="preserve"> </w:t>
            </w:r>
            <w:r>
              <w:t>can</w:t>
            </w:r>
            <w:r>
              <w:rPr>
                <w:spacing w:val="-5"/>
              </w:rPr>
              <w:t xml:space="preserve"> </w:t>
            </w:r>
            <w:r>
              <w:t>use</w:t>
            </w:r>
            <w:r>
              <w:rPr>
                <w:spacing w:val="-7"/>
              </w:rPr>
              <w:t xml:space="preserve"> </w:t>
            </w:r>
            <w:r>
              <w:t>Generative</w:t>
            </w:r>
            <w:r>
              <w:rPr>
                <w:spacing w:val="-5"/>
              </w:rPr>
              <w:t xml:space="preserve"> </w:t>
            </w:r>
            <w:r>
              <w:t>AI</w:t>
            </w:r>
            <w:r>
              <w:rPr>
                <w:spacing w:val="-6"/>
              </w:rPr>
              <w:t xml:space="preserve"> </w:t>
            </w:r>
            <w:r>
              <w:t>to create and check code.</w:t>
            </w:r>
          </w:p>
        </w:tc>
        <w:tc>
          <w:tcPr>
            <w:tcW w:w="1415" w:type="dxa"/>
            <w:tcBorders>
              <w:top w:val="single" w:sz="4" w:space="0" w:color="000000"/>
              <w:left w:val="single" w:sz="4" w:space="0" w:color="000000"/>
              <w:bottom w:val="single" w:sz="4" w:space="0" w:color="000000"/>
            </w:tcBorders>
          </w:tcPr>
          <w:p w14:paraId="5862D3E9" w14:textId="77777777" w:rsidR="00E22A6C" w:rsidRDefault="00E22A6C" w:rsidP="00544039">
            <w:pPr>
              <w:pStyle w:val="TableParagraph"/>
              <w:ind w:left="111"/>
              <w:rPr>
                <w:rFonts w:ascii="Segoe UI Symbol" w:hAnsi="Segoe UI Symbol"/>
              </w:rPr>
            </w:pPr>
            <w:r>
              <w:t>Yes</w:t>
            </w:r>
            <w:r>
              <w:rPr>
                <w:spacing w:val="-1"/>
              </w:rPr>
              <w:t xml:space="preserve"> </w:t>
            </w:r>
            <w:r>
              <w:rPr>
                <w:rFonts w:ascii="Segoe UI Symbol" w:hAnsi="Segoe UI Symbol"/>
                <w:spacing w:val="-10"/>
              </w:rPr>
              <w:t>☐</w:t>
            </w:r>
          </w:p>
          <w:p w14:paraId="62686470" w14:textId="77777777" w:rsidR="00E22A6C" w:rsidRDefault="00E22A6C" w:rsidP="00544039">
            <w:pPr>
              <w:pStyle w:val="TableParagraph"/>
              <w:ind w:left="0"/>
            </w:pPr>
          </w:p>
          <w:p w14:paraId="59E211E0" w14:textId="77777777" w:rsidR="00E22A6C" w:rsidRDefault="00E22A6C" w:rsidP="00544039">
            <w:pPr>
              <w:pStyle w:val="TableParagraph"/>
              <w:spacing w:before="19"/>
              <w:ind w:left="0"/>
            </w:pPr>
          </w:p>
          <w:p w14:paraId="50D49B83" w14:textId="77777777" w:rsidR="00E22A6C" w:rsidRDefault="00E22A6C" w:rsidP="00544039">
            <w:pPr>
              <w:pStyle w:val="TableParagraph"/>
              <w:spacing w:before="1"/>
              <w:ind w:left="111"/>
              <w:rPr>
                <w:rFonts w:ascii="Segoe UI Symbol" w:hAnsi="Segoe UI Symbol"/>
              </w:rPr>
            </w:pPr>
            <w:r>
              <w:t>No</w:t>
            </w:r>
            <w:r>
              <w:rPr>
                <w:spacing w:val="62"/>
              </w:rPr>
              <w:t xml:space="preserve"> </w:t>
            </w:r>
            <w:r>
              <w:rPr>
                <w:rFonts w:ascii="Segoe UI Symbol" w:hAnsi="Segoe UI Symbol"/>
                <w:spacing w:val="-10"/>
              </w:rPr>
              <w:t>☒</w:t>
            </w:r>
          </w:p>
        </w:tc>
      </w:tr>
      <w:tr w:rsidR="00E22A6C" w14:paraId="5C669C69" w14:textId="77777777" w:rsidTr="00544039">
        <w:trPr>
          <w:trHeight w:val="1518"/>
        </w:trPr>
        <w:tc>
          <w:tcPr>
            <w:tcW w:w="2251" w:type="dxa"/>
            <w:tcBorders>
              <w:top w:val="single" w:sz="4" w:space="0" w:color="000000"/>
              <w:right w:val="single" w:sz="4" w:space="0" w:color="000000"/>
            </w:tcBorders>
          </w:tcPr>
          <w:p w14:paraId="5943DE3F" w14:textId="77777777" w:rsidR="00E22A6C" w:rsidRDefault="00E22A6C" w:rsidP="00544039">
            <w:pPr>
              <w:pStyle w:val="TableParagraph"/>
              <w:ind w:left="105"/>
            </w:pPr>
            <w:r>
              <w:rPr>
                <w:spacing w:val="-4"/>
              </w:rPr>
              <w:t>NONE</w:t>
            </w:r>
          </w:p>
        </w:tc>
        <w:tc>
          <w:tcPr>
            <w:tcW w:w="5397" w:type="dxa"/>
            <w:tcBorders>
              <w:top w:val="single" w:sz="4" w:space="0" w:color="000000"/>
              <w:left w:val="single" w:sz="4" w:space="0" w:color="000000"/>
              <w:right w:val="single" w:sz="4" w:space="0" w:color="000000"/>
            </w:tcBorders>
          </w:tcPr>
          <w:p w14:paraId="1BB1F599" w14:textId="77777777" w:rsidR="00E22A6C" w:rsidRDefault="00E22A6C" w:rsidP="00544039">
            <w:pPr>
              <w:pStyle w:val="TableParagraph"/>
              <w:spacing w:line="360" w:lineRule="auto"/>
              <w:ind w:right="89" w:hanging="1"/>
            </w:pPr>
            <w:r>
              <w:t xml:space="preserve">For this assessment, you are not allowed to use </w:t>
            </w:r>
            <w:r>
              <w:rPr>
                <w:rFonts w:ascii="Arial"/>
                <w:b/>
              </w:rPr>
              <w:t xml:space="preserve">any </w:t>
            </w:r>
            <w:r>
              <w:t>type</w:t>
            </w:r>
            <w:r>
              <w:rPr>
                <w:spacing w:val="-5"/>
              </w:rPr>
              <w:t xml:space="preserve"> </w:t>
            </w:r>
            <w:r>
              <w:t>of</w:t>
            </w:r>
            <w:r>
              <w:rPr>
                <w:spacing w:val="-5"/>
              </w:rPr>
              <w:t xml:space="preserve"> </w:t>
            </w:r>
            <w:r>
              <w:t>Generative</w:t>
            </w:r>
            <w:r>
              <w:rPr>
                <w:spacing w:val="-6"/>
              </w:rPr>
              <w:t xml:space="preserve"> </w:t>
            </w:r>
            <w:r>
              <w:t>AI</w:t>
            </w:r>
            <w:r>
              <w:rPr>
                <w:spacing w:val="-5"/>
              </w:rPr>
              <w:t xml:space="preserve"> </w:t>
            </w:r>
            <w:r>
              <w:t>support.</w:t>
            </w:r>
            <w:r>
              <w:rPr>
                <w:spacing w:val="-4"/>
              </w:rPr>
              <w:t xml:space="preserve"> </w:t>
            </w:r>
            <w:r>
              <w:t>This</w:t>
            </w:r>
            <w:r>
              <w:rPr>
                <w:spacing w:val="-5"/>
              </w:rPr>
              <w:t xml:space="preserve"> </w:t>
            </w:r>
            <w:r>
              <w:t>includes</w:t>
            </w:r>
            <w:r>
              <w:rPr>
                <w:spacing w:val="-7"/>
              </w:rPr>
              <w:t xml:space="preserve"> </w:t>
            </w:r>
            <w:r>
              <w:t>research support, structure support, writing/proofreading</w:t>
            </w:r>
          </w:p>
          <w:p w14:paraId="1527B8D7" w14:textId="77777777" w:rsidR="00E22A6C" w:rsidRDefault="00E22A6C" w:rsidP="00544039">
            <w:pPr>
              <w:pStyle w:val="TableParagraph"/>
              <w:spacing w:line="252" w:lineRule="exact"/>
            </w:pPr>
            <w:r>
              <w:t>support</w:t>
            </w:r>
            <w:r>
              <w:rPr>
                <w:spacing w:val="-6"/>
              </w:rPr>
              <w:t xml:space="preserve"> </w:t>
            </w:r>
            <w:r>
              <w:t>and</w:t>
            </w:r>
            <w:r>
              <w:rPr>
                <w:spacing w:val="-2"/>
              </w:rPr>
              <w:t xml:space="preserve"> </w:t>
            </w:r>
            <w:r>
              <w:t>creative</w:t>
            </w:r>
            <w:r>
              <w:rPr>
                <w:spacing w:val="-4"/>
              </w:rPr>
              <w:t xml:space="preserve"> </w:t>
            </w:r>
            <w:r>
              <w:rPr>
                <w:spacing w:val="-2"/>
              </w:rPr>
              <w:t>support.</w:t>
            </w:r>
          </w:p>
        </w:tc>
        <w:tc>
          <w:tcPr>
            <w:tcW w:w="1415" w:type="dxa"/>
            <w:tcBorders>
              <w:top w:val="single" w:sz="4" w:space="0" w:color="000000"/>
              <w:left w:val="single" w:sz="4" w:space="0" w:color="000000"/>
            </w:tcBorders>
          </w:tcPr>
          <w:p w14:paraId="2FEAC3CF" w14:textId="77777777" w:rsidR="00E22A6C" w:rsidRDefault="00E22A6C" w:rsidP="00544039">
            <w:pPr>
              <w:pStyle w:val="TableParagraph"/>
              <w:spacing w:before="3"/>
              <w:ind w:left="111"/>
              <w:rPr>
                <w:rFonts w:ascii="SimSun-ExtB" w:hAnsi="SimSun-ExtB"/>
              </w:rPr>
            </w:pPr>
            <w:r>
              <w:rPr>
                <w:rFonts w:ascii="Segoe UI Symbol" w:hAnsi="Segoe UI Symbol" w:cs="Segoe UI Symbol"/>
                <w:spacing w:val="-10"/>
              </w:rPr>
              <w:t>☐</w:t>
            </w:r>
          </w:p>
        </w:tc>
      </w:tr>
    </w:tbl>
    <w:p w14:paraId="678B5B88" w14:textId="77777777" w:rsidR="00E22A6C" w:rsidRPr="000B0049" w:rsidRDefault="00E22A6C" w:rsidP="00E22A6C"/>
    <w:p w14:paraId="62444DD1" w14:textId="6843661E" w:rsidR="00641572" w:rsidRDefault="00641572"/>
    <w:p w14:paraId="7386AAC0" w14:textId="77777777" w:rsidR="00E22A6C" w:rsidRDefault="00E22A6C" w:rsidP="00E22A6C">
      <w:pPr>
        <w:jc w:val="center"/>
        <w:rPr>
          <w:b/>
          <w:bCs/>
          <w:sz w:val="28"/>
          <w:szCs w:val="28"/>
        </w:rPr>
      </w:pPr>
    </w:p>
    <w:p w14:paraId="238BA55F" w14:textId="77777777" w:rsidR="00E22A6C" w:rsidRDefault="00E22A6C" w:rsidP="00E22A6C">
      <w:pPr>
        <w:jc w:val="center"/>
        <w:rPr>
          <w:b/>
          <w:bCs/>
          <w:sz w:val="28"/>
          <w:szCs w:val="28"/>
        </w:rPr>
      </w:pPr>
    </w:p>
    <w:p w14:paraId="12D959D5" w14:textId="77777777" w:rsidR="00E22A6C" w:rsidRDefault="00E22A6C" w:rsidP="00E22A6C">
      <w:pPr>
        <w:jc w:val="center"/>
        <w:rPr>
          <w:b/>
          <w:bCs/>
          <w:sz w:val="28"/>
          <w:szCs w:val="28"/>
        </w:rPr>
      </w:pPr>
    </w:p>
    <w:p w14:paraId="43EB0D77" w14:textId="77777777" w:rsidR="00E22A6C" w:rsidRDefault="00E22A6C" w:rsidP="00E22A6C">
      <w:pPr>
        <w:jc w:val="center"/>
        <w:rPr>
          <w:b/>
          <w:bCs/>
          <w:sz w:val="28"/>
          <w:szCs w:val="28"/>
        </w:rPr>
      </w:pPr>
    </w:p>
    <w:p w14:paraId="107541D0" w14:textId="77777777" w:rsidR="00E22A6C" w:rsidRDefault="00E22A6C" w:rsidP="00E22A6C">
      <w:pPr>
        <w:jc w:val="center"/>
        <w:rPr>
          <w:b/>
          <w:bCs/>
          <w:sz w:val="28"/>
          <w:szCs w:val="28"/>
        </w:rPr>
      </w:pPr>
    </w:p>
    <w:p w14:paraId="28F244C9" w14:textId="2B705B8F" w:rsidR="00E22A6C" w:rsidRPr="00307F63" w:rsidRDefault="00E22A6C" w:rsidP="00E22A6C">
      <w:pPr>
        <w:jc w:val="center"/>
        <w:rPr>
          <w:b/>
          <w:bCs/>
          <w:sz w:val="28"/>
          <w:szCs w:val="28"/>
        </w:rPr>
      </w:pPr>
      <w:r w:rsidRPr="00307F63">
        <w:rPr>
          <w:b/>
          <w:bCs/>
          <w:sz w:val="28"/>
          <w:szCs w:val="28"/>
        </w:rPr>
        <w:lastRenderedPageBreak/>
        <w:t>Generative AI Acknowledgement</w:t>
      </w:r>
    </w:p>
    <w:p w14:paraId="71459AE0" w14:textId="77777777" w:rsidR="00E22A6C" w:rsidRPr="00307F63" w:rsidRDefault="00E22A6C" w:rsidP="00E22A6C">
      <w:pPr>
        <w:spacing w:before="240"/>
      </w:pPr>
      <w:r w:rsidRPr="00307F63">
        <w:t>As per the evaluation criteria, I do recognise that I have utilised Generative AI and digital tools for the creation of this assignment.</w:t>
      </w:r>
    </w:p>
    <w:p w14:paraId="165364A3" w14:textId="77777777" w:rsidR="00E22A6C" w:rsidRPr="00307F63" w:rsidRDefault="00E22A6C" w:rsidP="00E22A6C">
      <w:pPr>
        <w:spacing w:before="240"/>
      </w:pPr>
      <w:r w:rsidRPr="00307F63">
        <w:t xml:space="preserve">The generative AI tools were used to aid in the research process, such as identifying, summarising, comparing, and questioning appropriate academic and organisational resources. The research covered the literature published by </w:t>
      </w:r>
      <w:r>
        <w:t>Unilever, such as: Why is Sustainability Important for Business, We Are Unilever, Joining Forces, Unilever Comes to Life, and academic work by Yahaya (2024) for the study of financial reporting quality and board meetings.</w:t>
      </w:r>
      <w:r w:rsidRPr="00307F63">
        <w:t xml:space="preserve"> I have independently reviewed and assessed the information gained from these sources to include in my assignment</w:t>
      </w:r>
      <w:r>
        <w:t>,</w:t>
      </w:r>
      <w:r w:rsidRPr="00307F63">
        <w:t xml:space="preserve"> and sources have been appropriately referenced.</w:t>
      </w:r>
    </w:p>
    <w:p w14:paraId="18486C00" w14:textId="77777777" w:rsidR="00E22A6C" w:rsidRPr="00307F63" w:rsidRDefault="00E22A6C" w:rsidP="00E22A6C">
      <w:pPr>
        <w:spacing w:before="240"/>
      </w:pPr>
      <w:r w:rsidRPr="00307F63">
        <w:t>I proofread my own work while using Grammarly</w:t>
      </w:r>
      <w:r>
        <w:t xml:space="preserve"> </w:t>
      </w:r>
      <w:r w:rsidRPr="009403A0">
        <w:t>(</w:t>
      </w:r>
      <w:hyperlink r:id="rId9" w:history="1">
        <w:r w:rsidRPr="009138BC">
          <w:rPr>
            <w:rStyle w:val="Hyperlink"/>
          </w:rPr>
          <w:t>https://www.grammarly.com/</w:t>
        </w:r>
      </w:hyperlink>
      <w:r w:rsidRPr="009403A0">
        <w:t>)</w:t>
      </w:r>
      <w:r w:rsidRPr="00307F63">
        <w:t xml:space="preserve"> to help me with grammar, spelling, punctuation, sentence structure and syntactical accuracy. All suggestions have been considered by me</w:t>
      </w:r>
      <w:r>
        <w:t>,</w:t>
      </w:r>
      <w:r w:rsidRPr="00307F63">
        <w:t xml:space="preserve"> and the wording and content </w:t>
      </w:r>
      <w:r>
        <w:t>are</w:t>
      </w:r>
      <w:r w:rsidRPr="00307F63">
        <w:t xml:space="preserve"> my own.</w:t>
      </w:r>
    </w:p>
    <w:p w14:paraId="2D640AFA" w14:textId="77777777" w:rsidR="00E22A6C" w:rsidRPr="00307F63" w:rsidRDefault="00E22A6C" w:rsidP="00E22A6C">
      <w:pPr>
        <w:spacing w:before="240"/>
      </w:pPr>
      <w:r w:rsidRPr="00307F63">
        <w:t>Creative materials were created and designed using Canva. Canva was only used as a tool to enhance the visual component of the task.</w:t>
      </w:r>
    </w:p>
    <w:p w14:paraId="7205DD87" w14:textId="77777777" w:rsidR="00E22A6C" w:rsidRDefault="00E22A6C" w:rsidP="00E22A6C">
      <w:pPr>
        <w:spacing w:before="240"/>
      </w:pPr>
      <w:r w:rsidRPr="00307F63">
        <w:t>I assert that I have created this assignment myself, both in terms of the research, the analysis, argumentation, interpretation, conclusions, referencing and presentation. Final submission has been read</w:t>
      </w:r>
      <w:r>
        <w:t>,</w:t>
      </w:r>
      <w:r w:rsidRPr="00307F63">
        <w:t xml:space="preserve"> and </w:t>
      </w:r>
      <w:r>
        <w:t>I agree</w:t>
      </w:r>
      <w:r w:rsidRPr="00307F63">
        <w:t xml:space="preserve"> to represent my own work and understanding, and to meet the requirements of the assessment and standards of academic integrity.</w:t>
      </w:r>
    </w:p>
    <w:p w14:paraId="66107389" w14:textId="77777777" w:rsidR="00E22A6C" w:rsidRDefault="00E22A6C" w:rsidP="00E22A6C">
      <w:pPr>
        <w:spacing w:before="240"/>
      </w:pPr>
    </w:p>
    <w:p w14:paraId="202D3367" w14:textId="24DA6A98" w:rsidR="00E22A6C" w:rsidRDefault="00E22A6C" w:rsidP="00E22A6C">
      <w:pPr>
        <w:spacing w:before="240"/>
      </w:pPr>
    </w:p>
    <w:p w14:paraId="0119A7BA" w14:textId="7BF2F2EA" w:rsidR="00E22A6C" w:rsidRDefault="00E22A6C" w:rsidP="00E22A6C">
      <w:pPr>
        <w:spacing w:before="240"/>
      </w:pPr>
    </w:p>
    <w:p w14:paraId="20BBFED0" w14:textId="77777777" w:rsidR="00E22A6C" w:rsidRDefault="00E22A6C">
      <w:pPr>
        <w:jc w:val="center"/>
        <w:rPr>
          <w:b/>
          <w:bCs/>
        </w:rPr>
      </w:pPr>
    </w:p>
    <w:p w14:paraId="00FE96DB" w14:textId="77777777" w:rsidR="00E22A6C" w:rsidRDefault="00E22A6C">
      <w:pPr>
        <w:jc w:val="center"/>
        <w:rPr>
          <w:b/>
          <w:bCs/>
        </w:rPr>
      </w:pPr>
    </w:p>
    <w:p w14:paraId="625C08ED" w14:textId="77777777" w:rsidR="00E22A6C" w:rsidRDefault="00E22A6C">
      <w:pPr>
        <w:jc w:val="center"/>
        <w:rPr>
          <w:b/>
          <w:bCs/>
        </w:rPr>
      </w:pPr>
    </w:p>
    <w:p w14:paraId="4E3C340A" w14:textId="77777777" w:rsidR="00E22A6C" w:rsidRDefault="00E22A6C">
      <w:pPr>
        <w:jc w:val="center"/>
        <w:rPr>
          <w:b/>
          <w:bCs/>
        </w:rPr>
      </w:pPr>
    </w:p>
    <w:p w14:paraId="3D1A1249" w14:textId="77777777" w:rsidR="00E22A6C" w:rsidRDefault="00E22A6C">
      <w:pPr>
        <w:jc w:val="center"/>
        <w:rPr>
          <w:b/>
          <w:bCs/>
        </w:rPr>
      </w:pPr>
    </w:p>
    <w:p w14:paraId="1E07C6EE" w14:textId="77777777" w:rsidR="00E22A6C" w:rsidRDefault="00E22A6C">
      <w:pPr>
        <w:jc w:val="center"/>
        <w:rPr>
          <w:b/>
          <w:bCs/>
        </w:rPr>
      </w:pPr>
    </w:p>
    <w:p w14:paraId="354642F2" w14:textId="77777777" w:rsidR="00E22A6C" w:rsidRDefault="00E22A6C">
      <w:pPr>
        <w:jc w:val="center"/>
        <w:rPr>
          <w:b/>
          <w:bCs/>
        </w:rPr>
      </w:pPr>
    </w:p>
    <w:p w14:paraId="716A4654" w14:textId="2B674EC9" w:rsidR="00641572" w:rsidRDefault="001B57A1">
      <w:pPr>
        <w:jc w:val="center"/>
        <w:rPr>
          <w:b/>
          <w:bCs/>
        </w:rPr>
      </w:pPr>
      <w:r>
        <w:rPr>
          <w:b/>
          <w:bCs/>
        </w:rPr>
        <w:lastRenderedPageBreak/>
        <w:t>Executive Summary</w:t>
      </w:r>
    </w:p>
    <w:p w14:paraId="15190AF1" w14:textId="77777777" w:rsidR="00641572" w:rsidRDefault="001B57A1">
      <w:r>
        <w:t xml:space="preserve">This report is an assessment of the strategic position of Unilever plc with a specific focus on Dove Beauty Bar in the United Kingdom market. The report has been written from the strategic </w:t>
      </w:r>
      <w:r w:rsidR="00EC14AD">
        <w:t>management-consulting</w:t>
      </w:r>
      <w:r>
        <w:t xml:space="preserve"> point of view and then evaluates the product's current competitive position and identifies strategic actions that can improve the long-term performance of the product in the UK personal care sector. The report starts with the organisational context covering Unilever's history, mission, vision, business model, market position and competitive environment of Dove Beauty Bar. It then critically evaluates the external environment using the PESTEL framework and the internal environment using the VRIO framework. The results of this analysis are used in a SWOT analysis to determine the key strategic strengths, weaknesses, opportunities and threats of the product.</w:t>
      </w:r>
    </w:p>
    <w:p w14:paraId="7CC56DEE" w14:textId="77777777" w:rsidR="00EC14AD" w:rsidRDefault="001B57A1">
      <w:r>
        <w:t xml:space="preserve">The report also assesses Dove Beauty Bar's CSR initiatives and analyses organisational performance in the financial, customer, </w:t>
      </w:r>
      <w:r w:rsidR="00EC14AD">
        <w:t>and internal</w:t>
      </w:r>
      <w:r>
        <w:t xml:space="preserve"> business process and learning and growth perspectives with the help of the Balanced Scorecard framework. These findings are used to identify suitable business-level strategic options by applying recognised strategic management frameworks to determine the most appropriate strategy to sustain competitive advantage within the UK market. Challenges to the practical implementation and mitigation are also discussed. The report ends with strategic recommendations that will boost Dove Beauty Bar's market position while helping to achieve Unilever's long-term sustainability goals. Finally, a reflective account is written using Gibbs' Reflective Cycle to reflect on the research, analysis and the preparation of the report for the student, pointing out the lessons learned and professional development needs.</w:t>
      </w:r>
    </w:p>
    <w:p w14:paraId="3D172E02" w14:textId="77777777" w:rsidR="00EC14AD" w:rsidRDefault="00EC14AD" w:rsidP="00EC14AD">
      <w:r>
        <w:br w:type="page"/>
      </w:r>
    </w:p>
    <w:sdt>
      <w:sdtPr>
        <w:rPr>
          <w:rFonts w:ascii="Times New Roman" w:eastAsia="Times New Roman" w:hAnsi="Times New Roman" w:cs="Times New Roman"/>
          <w:color w:val="auto"/>
          <w:sz w:val="24"/>
          <w:szCs w:val="24"/>
          <w:lang w:val="en-IN" w:eastAsia="en-IN"/>
        </w:rPr>
        <w:id w:val="-501974014"/>
        <w:docPartObj>
          <w:docPartGallery w:val="Table of Contents"/>
          <w:docPartUnique/>
        </w:docPartObj>
      </w:sdtPr>
      <w:sdtEndPr>
        <w:rPr>
          <w:b/>
          <w:bCs/>
          <w:noProof/>
        </w:rPr>
      </w:sdtEndPr>
      <w:sdtContent>
        <w:p w14:paraId="3D4CE7F5" w14:textId="77777777" w:rsidR="00EC14AD" w:rsidRPr="00EC14AD" w:rsidRDefault="00EC14AD" w:rsidP="00EC14AD">
          <w:pPr>
            <w:pStyle w:val="TOCHeading"/>
            <w:spacing w:line="360" w:lineRule="auto"/>
            <w:jc w:val="center"/>
            <w:rPr>
              <w:rFonts w:ascii="Times New Roman" w:hAnsi="Times New Roman" w:cs="Times New Roman"/>
              <w:b/>
              <w:color w:val="000000" w:themeColor="text1"/>
              <w:sz w:val="28"/>
              <w:szCs w:val="28"/>
            </w:rPr>
          </w:pPr>
          <w:r w:rsidRPr="00EC14AD">
            <w:rPr>
              <w:rFonts w:ascii="Times New Roman" w:hAnsi="Times New Roman" w:cs="Times New Roman"/>
              <w:b/>
              <w:color w:val="000000" w:themeColor="text1"/>
              <w:sz w:val="28"/>
              <w:szCs w:val="28"/>
            </w:rPr>
            <w:t>Table of Contents</w:t>
          </w:r>
        </w:p>
        <w:p w14:paraId="4A6B64B1" w14:textId="3462C03D" w:rsidR="00EC14AD" w:rsidRDefault="00EC14AD">
          <w:pPr>
            <w:pStyle w:val="TOC1"/>
            <w:tabs>
              <w:tab w:val="right" w:leader="dot" w:pos="9019"/>
            </w:tabs>
            <w:rPr>
              <w:noProof/>
            </w:rPr>
          </w:pPr>
          <w:r>
            <w:fldChar w:fldCharType="begin"/>
          </w:r>
          <w:r>
            <w:instrText xml:space="preserve"> TOC \o "1-3" \h \z \u </w:instrText>
          </w:r>
          <w:r>
            <w:fldChar w:fldCharType="separate"/>
          </w:r>
          <w:hyperlink w:anchor="_Toc236068239" w:history="1">
            <w:r w:rsidRPr="000F7F5F">
              <w:rPr>
                <w:rStyle w:val="Hyperlink"/>
                <w:noProof/>
              </w:rPr>
              <w:t>Introduction</w:t>
            </w:r>
            <w:r>
              <w:rPr>
                <w:noProof/>
                <w:webHidden/>
              </w:rPr>
              <w:tab/>
            </w:r>
            <w:r>
              <w:rPr>
                <w:noProof/>
                <w:webHidden/>
              </w:rPr>
              <w:fldChar w:fldCharType="begin"/>
            </w:r>
            <w:r>
              <w:rPr>
                <w:noProof/>
                <w:webHidden/>
              </w:rPr>
              <w:instrText xml:space="preserve"> PAGEREF _Toc236068239 \h </w:instrText>
            </w:r>
            <w:r>
              <w:rPr>
                <w:noProof/>
                <w:webHidden/>
              </w:rPr>
            </w:r>
            <w:r>
              <w:rPr>
                <w:noProof/>
                <w:webHidden/>
              </w:rPr>
              <w:fldChar w:fldCharType="separate"/>
            </w:r>
            <w:r w:rsidR="00E22A6C">
              <w:rPr>
                <w:noProof/>
                <w:webHidden/>
              </w:rPr>
              <w:t>7</w:t>
            </w:r>
            <w:r>
              <w:rPr>
                <w:noProof/>
                <w:webHidden/>
              </w:rPr>
              <w:fldChar w:fldCharType="end"/>
            </w:r>
          </w:hyperlink>
        </w:p>
        <w:p w14:paraId="1502A71B" w14:textId="14B68C80" w:rsidR="00EC14AD" w:rsidRDefault="00EC14AD">
          <w:pPr>
            <w:pStyle w:val="TOC1"/>
            <w:tabs>
              <w:tab w:val="right" w:leader="dot" w:pos="9019"/>
            </w:tabs>
            <w:rPr>
              <w:noProof/>
            </w:rPr>
          </w:pPr>
          <w:hyperlink w:anchor="_Toc236068240" w:history="1">
            <w:r w:rsidRPr="000F7F5F">
              <w:rPr>
                <w:rStyle w:val="Hyperlink"/>
                <w:noProof/>
              </w:rPr>
              <w:t>Overview of the organisation</w:t>
            </w:r>
            <w:r>
              <w:rPr>
                <w:noProof/>
                <w:webHidden/>
              </w:rPr>
              <w:tab/>
            </w:r>
            <w:r>
              <w:rPr>
                <w:noProof/>
                <w:webHidden/>
              </w:rPr>
              <w:fldChar w:fldCharType="begin"/>
            </w:r>
            <w:r>
              <w:rPr>
                <w:noProof/>
                <w:webHidden/>
              </w:rPr>
              <w:instrText xml:space="preserve"> PAGEREF _Toc236068240 \h </w:instrText>
            </w:r>
            <w:r>
              <w:rPr>
                <w:noProof/>
                <w:webHidden/>
              </w:rPr>
            </w:r>
            <w:r>
              <w:rPr>
                <w:noProof/>
                <w:webHidden/>
              </w:rPr>
              <w:fldChar w:fldCharType="separate"/>
            </w:r>
            <w:r w:rsidR="00E22A6C">
              <w:rPr>
                <w:noProof/>
                <w:webHidden/>
              </w:rPr>
              <w:t>7</w:t>
            </w:r>
            <w:r>
              <w:rPr>
                <w:noProof/>
                <w:webHidden/>
              </w:rPr>
              <w:fldChar w:fldCharType="end"/>
            </w:r>
          </w:hyperlink>
        </w:p>
        <w:p w14:paraId="21D17141" w14:textId="77BB3F11" w:rsidR="00EC14AD" w:rsidRDefault="00EC14AD">
          <w:pPr>
            <w:pStyle w:val="TOC2"/>
            <w:tabs>
              <w:tab w:val="right" w:leader="dot" w:pos="9019"/>
            </w:tabs>
            <w:rPr>
              <w:noProof/>
            </w:rPr>
          </w:pPr>
          <w:hyperlink w:anchor="_Toc236068241" w:history="1">
            <w:r w:rsidRPr="000F7F5F">
              <w:rPr>
                <w:rStyle w:val="Hyperlink"/>
                <w:noProof/>
              </w:rPr>
              <w:t>Company Background</w:t>
            </w:r>
            <w:r>
              <w:rPr>
                <w:noProof/>
                <w:webHidden/>
              </w:rPr>
              <w:tab/>
            </w:r>
            <w:r>
              <w:rPr>
                <w:noProof/>
                <w:webHidden/>
              </w:rPr>
              <w:fldChar w:fldCharType="begin"/>
            </w:r>
            <w:r>
              <w:rPr>
                <w:noProof/>
                <w:webHidden/>
              </w:rPr>
              <w:instrText xml:space="preserve"> PAGEREF _Toc236068241 \h </w:instrText>
            </w:r>
            <w:r>
              <w:rPr>
                <w:noProof/>
                <w:webHidden/>
              </w:rPr>
            </w:r>
            <w:r>
              <w:rPr>
                <w:noProof/>
                <w:webHidden/>
              </w:rPr>
              <w:fldChar w:fldCharType="separate"/>
            </w:r>
            <w:r w:rsidR="00E22A6C">
              <w:rPr>
                <w:noProof/>
                <w:webHidden/>
              </w:rPr>
              <w:t>7</w:t>
            </w:r>
            <w:r>
              <w:rPr>
                <w:noProof/>
                <w:webHidden/>
              </w:rPr>
              <w:fldChar w:fldCharType="end"/>
            </w:r>
          </w:hyperlink>
        </w:p>
        <w:p w14:paraId="7AF29829" w14:textId="40E4E501" w:rsidR="00EC14AD" w:rsidRDefault="00EC14AD">
          <w:pPr>
            <w:pStyle w:val="TOC2"/>
            <w:tabs>
              <w:tab w:val="right" w:leader="dot" w:pos="9019"/>
            </w:tabs>
            <w:rPr>
              <w:noProof/>
            </w:rPr>
          </w:pPr>
          <w:hyperlink w:anchor="_Toc236068242" w:history="1">
            <w:r w:rsidRPr="000F7F5F">
              <w:rPr>
                <w:rStyle w:val="Hyperlink"/>
                <w:noProof/>
              </w:rPr>
              <w:t>Mission</w:t>
            </w:r>
            <w:r>
              <w:rPr>
                <w:noProof/>
                <w:webHidden/>
              </w:rPr>
              <w:tab/>
            </w:r>
            <w:r>
              <w:rPr>
                <w:noProof/>
                <w:webHidden/>
              </w:rPr>
              <w:fldChar w:fldCharType="begin"/>
            </w:r>
            <w:r>
              <w:rPr>
                <w:noProof/>
                <w:webHidden/>
              </w:rPr>
              <w:instrText xml:space="preserve"> PAGEREF _Toc236068242 \h </w:instrText>
            </w:r>
            <w:r>
              <w:rPr>
                <w:noProof/>
                <w:webHidden/>
              </w:rPr>
            </w:r>
            <w:r>
              <w:rPr>
                <w:noProof/>
                <w:webHidden/>
              </w:rPr>
              <w:fldChar w:fldCharType="separate"/>
            </w:r>
            <w:r w:rsidR="00E22A6C">
              <w:rPr>
                <w:noProof/>
                <w:webHidden/>
              </w:rPr>
              <w:t>7</w:t>
            </w:r>
            <w:r>
              <w:rPr>
                <w:noProof/>
                <w:webHidden/>
              </w:rPr>
              <w:fldChar w:fldCharType="end"/>
            </w:r>
          </w:hyperlink>
        </w:p>
        <w:p w14:paraId="47C45D06" w14:textId="691F5A8E" w:rsidR="00EC14AD" w:rsidRDefault="00EC14AD">
          <w:pPr>
            <w:pStyle w:val="TOC2"/>
            <w:tabs>
              <w:tab w:val="right" w:leader="dot" w:pos="9019"/>
            </w:tabs>
            <w:rPr>
              <w:noProof/>
            </w:rPr>
          </w:pPr>
          <w:hyperlink w:anchor="_Toc236068243" w:history="1">
            <w:r w:rsidRPr="000F7F5F">
              <w:rPr>
                <w:rStyle w:val="Hyperlink"/>
                <w:noProof/>
              </w:rPr>
              <w:t>Vision</w:t>
            </w:r>
            <w:r>
              <w:rPr>
                <w:noProof/>
                <w:webHidden/>
              </w:rPr>
              <w:tab/>
            </w:r>
            <w:r>
              <w:rPr>
                <w:noProof/>
                <w:webHidden/>
              </w:rPr>
              <w:fldChar w:fldCharType="begin"/>
            </w:r>
            <w:r>
              <w:rPr>
                <w:noProof/>
                <w:webHidden/>
              </w:rPr>
              <w:instrText xml:space="preserve"> PAGEREF _Toc236068243 \h </w:instrText>
            </w:r>
            <w:r>
              <w:rPr>
                <w:noProof/>
                <w:webHidden/>
              </w:rPr>
            </w:r>
            <w:r>
              <w:rPr>
                <w:noProof/>
                <w:webHidden/>
              </w:rPr>
              <w:fldChar w:fldCharType="separate"/>
            </w:r>
            <w:r w:rsidR="00E22A6C">
              <w:rPr>
                <w:noProof/>
                <w:webHidden/>
              </w:rPr>
              <w:t>8</w:t>
            </w:r>
            <w:r>
              <w:rPr>
                <w:noProof/>
                <w:webHidden/>
              </w:rPr>
              <w:fldChar w:fldCharType="end"/>
            </w:r>
          </w:hyperlink>
        </w:p>
        <w:p w14:paraId="53317A08" w14:textId="21C83816" w:rsidR="00EC14AD" w:rsidRDefault="00EC14AD">
          <w:pPr>
            <w:pStyle w:val="TOC2"/>
            <w:tabs>
              <w:tab w:val="right" w:leader="dot" w:pos="9019"/>
            </w:tabs>
            <w:rPr>
              <w:noProof/>
            </w:rPr>
          </w:pPr>
          <w:hyperlink w:anchor="_Toc236068244" w:history="1">
            <w:r w:rsidRPr="000F7F5F">
              <w:rPr>
                <w:rStyle w:val="Hyperlink"/>
                <w:noProof/>
              </w:rPr>
              <w:t>Business Model</w:t>
            </w:r>
            <w:r>
              <w:rPr>
                <w:noProof/>
                <w:webHidden/>
              </w:rPr>
              <w:tab/>
            </w:r>
            <w:r>
              <w:rPr>
                <w:noProof/>
                <w:webHidden/>
              </w:rPr>
              <w:fldChar w:fldCharType="begin"/>
            </w:r>
            <w:r>
              <w:rPr>
                <w:noProof/>
                <w:webHidden/>
              </w:rPr>
              <w:instrText xml:space="preserve"> PAGEREF _Toc236068244 \h </w:instrText>
            </w:r>
            <w:r>
              <w:rPr>
                <w:noProof/>
                <w:webHidden/>
              </w:rPr>
            </w:r>
            <w:r>
              <w:rPr>
                <w:noProof/>
                <w:webHidden/>
              </w:rPr>
              <w:fldChar w:fldCharType="separate"/>
            </w:r>
            <w:r w:rsidR="00E22A6C">
              <w:rPr>
                <w:noProof/>
                <w:webHidden/>
              </w:rPr>
              <w:t>8</w:t>
            </w:r>
            <w:r>
              <w:rPr>
                <w:noProof/>
                <w:webHidden/>
              </w:rPr>
              <w:fldChar w:fldCharType="end"/>
            </w:r>
          </w:hyperlink>
        </w:p>
        <w:p w14:paraId="2C23705B" w14:textId="3A52A0DF" w:rsidR="00EC14AD" w:rsidRDefault="00EC14AD">
          <w:pPr>
            <w:pStyle w:val="TOC2"/>
            <w:tabs>
              <w:tab w:val="right" w:leader="dot" w:pos="9019"/>
            </w:tabs>
            <w:rPr>
              <w:noProof/>
            </w:rPr>
          </w:pPr>
          <w:hyperlink w:anchor="_Toc236068245" w:history="1">
            <w:r w:rsidRPr="000F7F5F">
              <w:rPr>
                <w:rStyle w:val="Hyperlink"/>
                <w:noProof/>
              </w:rPr>
              <w:t>Industry, Competitors and Market Position</w:t>
            </w:r>
            <w:r>
              <w:rPr>
                <w:noProof/>
                <w:webHidden/>
              </w:rPr>
              <w:tab/>
            </w:r>
            <w:r>
              <w:rPr>
                <w:noProof/>
                <w:webHidden/>
              </w:rPr>
              <w:fldChar w:fldCharType="begin"/>
            </w:r>
            <w:r>
              <w:rPr>
                <w:noProof/>
                <w:webHidden/>
              </w:rPr>
              <w:instrText xml:space="preserve"> PAGEREF _Toc236068245 \h </w:instrText>
            </w:r>
            <w:r>
              <w:rPr>
                <w:noProof/>
                <w:webHidden/>
              </w:rPr>
            </w:r>
            <w:r>
              <w:rPr>
                <w:noProof/>
                <w:webHidden/>
              </w:rPr>
              <w:fldChar w:fldCharType="separate"/>
            </w:r>
            <w:r w:rsidR="00E22A6C">
              <w:rPr>
                <w:noProof/>
                <w:webHidden/>
              </w:rPr>
              <w:t>8</w:t>
            </w:r>
            <w:r>
              <w:rPr>
                <w:noProof/>
                <w:webHidden/>
              </w:rPr>
              <w:fldChar w:fldCharType="end"/>
            </w:r>
          </w:hyperlink>
        </w:p>
        <w:p w14:paraId="669A18AA" w14:textId="5555A378" w:rsidR="00EC14AD" w:rsidRDefault="00EC14AD">
          <w:pPr>
            <w:pStyle w:val="TOC1"/>
            <w:tabs>
              <w:tab w:val="right" w:leader="dot" w:pos="9019"/>
            </w:tabs>
            <w:rPr>
              <w:noProof/>
            </w:rPr>
          </w:pPr>
          <w:hyperlink w:anchor="_Toc236068246" w:history="1">
            <w:r w:rsidRPr="000F7F5F">
              <w:rPr>
                <w:rStyle w:val="Hyperlink"/>
                <w:noProof/>
              </w:rPr>
              <w:t>External and Internal Analysis</w:t>
            </w:r>
            <w:r>
              <w:rPr>
                <w:noProof/>
                <w:webHidden/>
              </w:rPr>
              <w:tab/>
            </w:r>
            <w:r>
              <w:rPr>
                <w:noProof/>
                <w:webHidden/>
              </w:rPr>
              <w:fldChar w:fldCharType="begin"/>
            </w:r>
            <w:r>
              <w:rPr>
                <w:noProof/>
                <w:webHidden/>
              </w:rPr>
              <w:instrText xml:space="preserve"> PAGEREF _Toc236068246 \h </w:instrText>
            </w:r>
            <w:r>
              <w:rPr>
                <w:noProof/>
                <w:webHidden/>
              </w:rPr>
            </w:r>
            <w:r>
              <w:rPr>
                <w:noProof/>
                <w:webHidden/>
              </w:rPr>
              <w:fldChar w:fldCharType="separate"/>
            </w:r>
            <w:r w:rsidR="00E22A6C">
              <w:rPr>
                <w:noProof/>
                <w:webHidden/>
              </w:rPr>
              <w:t>8</w:t>
            </w:r>
            <w:r>
              <w:rPr>
                <w:noProof/>
                <w:webHidden/>
              </w:rPr>
              <w:fldChar w:fldCharType="end"/>
            </w:r>
          </w:hyperlink>
        </w:p>
        <w:p w14:paraId="40B12825" w14:textId="4BA8BC5E" w:rsidR="00EC14AD" w:rsidRDefault="00EC14AD">
          <w:pPr>
            <w:pStyle w:val="TOC2"/>
            <w:tabs>
              <w:tab w:val="right" w:leader="dot" w:pos="9019"/>
            </w:tabs>
            <w:rPr>
              <w:noProof/>
            </w:rPr>
          </w:pPr>
          <w:hyperlink w:anchor="_Toc236068247" w:history="1">
            <w:r w:rsidRPr="000F7F5F">
              <w:rPr>
                <w:rStyle w:val="Hyperlink"/>
                <w:noProof/>
              </w:rPr>
              <w:t>PESTEL Analysis</w:t>
            </w:r>
            <w:r>
              <w:rPr>
                <w:noProof/>
                <w:webHidden/>
              </w:rPr>
              <w:tab/>
            </w:r>
            <w:r>
              <w:rPr>
                <w:noProof/>
                <w:webHidden/>
              </w:rPr>
              <w:fldChar w:fldCharType="begin"/>
            </w:r>
            <w:r>
              <w:rPr>
                <w:noProof/>
                <w:webHidden/>
              </w:rPr>
              <w:instrText xml:space="preserve"> PAGEREF _Toc236068247 \h </w:instrText>
            </w:r>
            <w:r>
              <w:rPr>
                <w:noProof/>
                <w:webHidden/>
              </w:rPr>
            </w:r>
            <w:r>
              <w:rPr>
                <w:noProof/>
                <w:webHidden/>
              </w:rPr>
              <w:fldChar w:fldCharType="separate"/>
            </w:r>
            <w:r w:rsidR="00E22A6C">
              <w:rPr>
                <w:noProof/>
                <w:webHidden/>
              </w:rPr>
              <w:t>8</w:t>
            </w:r>
            <w:r>
              <w:rPr>
                <w:noProof/>
                <w:webHidden/>
              </w:rPr>
              <w:fldChar w:fldCharType="end"/>
            </w:r>
          </w:hyperlink>
        </w:p>
        <w:p w14:paraId="675DECFB" w14:textId="69EAAA49" w:rsidR="00EC14AD" w:rsidRDefault="00EC14AD">
          <w:pPr>
            <w:pStyle w:val="TOC2"/>
            <w:tabs>
              <w:tab w:val="right" w:leader="dot" w:pos="9019"/>
            </w:tabs>
            <w:rPr>
              <w:noProof/>
            </w:rPr>
          </w:pPr>
          <w:hyperlink w:anchor="_Toc236068248" w:history="1">
            <w:r w:rsidRPr="000F7F5F">
              <w:rPr>
                <w:rStyle w:val="Hyperlink"/>
                <w:noProof/>
              </w:rPr>
              <w:t>VRIO Analysis</w:t>
            </w:r>
            <w:r>
              <w:rPr>
                <w:noProof/>
                <w:webHidden/>
              </w:rPr>
              <w:tab/>
            </w:r>
            <w:r>
              <w:rPr>
                <w:noProof/>
                <w:webHidden/>
              </w:rPr>
              <w:fldChar w:fldCharType="begin"/>
            </w:r>
            <w:r>
              <w:rPr>
                <w:noProof/>
                <w:webHidden/>
              </w:rPr>
              <w:instrText xml:space="preserve"> PAGEREF _Toc236068248 \h </w:instrText>
            </w:r>
            <w:r>
              <w:rPr>
                <w:noProof/>
                <w:webHidden/>
              </w:rPr>
            </w:r>
            <w:r>
              <w:rPr>
                <w:noProof/>
                <w:webHidden/>
              </w:rPr>
              <w:fldChar w:fldCharType="separate"/>
            </w:r>
            <w:r w:rsidR="00E22A6C">
              <w:rPr>
                <w:noProof/>
                <w:webHidden/>
              </w:rPr>
              <w:t>11</w:t>
            </w:r>
            <w:r>
              <w:rPr>
                <w:noProof/>
                <w:webHidden/>
              </w:rPr>
              <w:fldChar w:fldCharType="end"/>
            </w:r>
          </w:hyperlink>
        </w:p>
        <w:p w14:paraId="19593559" w14:textId="40B1F916" w:rsidR="00EC14AD" w:rsidRDefault="00EC14AD">
          <w:pPr>
            <w:pStyle w:val="TOC2"/>
            <w:tabs>
              <w:tab w:val="right" w:leader="dot" w:pos="9019"/>
            </w:tabs>
            <w:rPr>
              <w:noProof/>
            </w:rPr>
          </w:pPr>
          <w:hyperlink w:anchor="_Toc236068249" w:history="1">
            <w:r w:rsidRPr="000F7F5F">
              <w:rPr>
                <w:rStyle w:val="Hyperlink"/>
                <w:noProof/>
              </w:rPr>
              <w:t>SWOT Analysis</w:t>
            </w:r>
            <w:r>
              <w:rPr>
                <w:noProof/>
                <w:webHidden/>
              </w:rPr>
              <w:tab/>
            </w:r>
            <w:r>
              <w:rPr>
                <w:noProof/>
                <w:webHidden/>
              </w:rPr>
              <w:fldChar w:fldCharType="begin"/>
            </w:r>
            <w:r>
              <w:rPr>
                <w:noProof/>
                <w:webHidden/>
              </w:rPr>
              <w:instrText xml:space="preserve"> PAGEREF _Toc236068249 \h </w:instrText>
            </w:r>
            <w:r>
              <w:rPr>
                <w:noProof/>
                <w:webHidden/>
              </w:rPr>
            </w:r>
            <w:r>
              <w:rPr>
                <w:noProof/>
                <w:webHidden/>
              </w:rPr>
              <w:fldChar w:fldCharType="separate"/>
            </w:r>
            <w:r w:rsidR="00E22A6C">
              <w:rPr>
                <w:noProof/>
                <w:webHidden/>
              </w:rPr>
              <w:t>13</w:t>
            </w:r>
            <w:r>
              <w:rPr>
                <w:noProof/>
                <w:webHidden/>
              </w:rPr>
              <w:fldChar w:fldCharType="end"/>
            </w:r>
          </w:hyperlink>
        </w:p>
        <w:p w14:paraId="0E605AD9" w14:textId="456B8BBB" w:rsidR="00EC14AD" w:rsidRDefault="00EC14AD">
          <w:pPr>
            <w:pStyle w:val="TOC2"/>
            <w:tabs>
              <w:tab w:val="right" w:leader="dot" w:pos="9019"/>
            </w:tabs>
            <w:rPr>
              <w:noProof/>
            </w:rPr>
          </w:pPr>
          <w:hyperlink w:anchor="_Toc236068250" w:history="1">
            <w:r w:rsidRPr="000F7F5F">
              <w:rPr>
                <w:rStyle w:val="Hyperlink"/>
                <w:noProof/>
              </w:rPr>
              <w:t>Table 2: SWOT Analysis</w:t>
            </w:r>
            <w:r>
              <w:rPr>
                <w:noProof/>
                <w:webHidden/>
              </w:rPr>
              <w:tab/>
            </w:r>
            <w:r>
              <w:rPr>
                <w:noProof/>
                <w:webHidden/>
              </w:rPr>
              <w:fldChar w:fldCharType="begin"/>
            </w:r>
            <w:r>
              <w:rPr>
                <w:noProof/>
                <w:webHidden/>
              </w:rPr>
              <w:instrText xml:space="preserve"> PAGEREF _Toc236068250 \h </w:instrText>
            </w:r>
            <w:r>
              <w:rPr>
                <w:noProof/>
                <w:webHidden/>
              </w:rPr>
            </w:r>
            <w:r>
              <w:rPr>
                <w:noProof/>
                <w:webHidden/>
              </w:rPr>
              <w:fldChar w:fldCharType="separate"/>
            </w:r>
            <w:r w:rsidR="00E22A6C">
              <w:rPr>
                <w:noProof/>
                <w:webHidden/>
              </w:rPr>
              <w:t>14</w:t>
            </w:r>
            <w:r>
              <w:rPr>
                <w:noProof/>
                <w:webHidden/>
              </w:rPr>
              <w:fldChar w:fldCharType="end"/>
            </w:r>
          </w:hyperlink>
        </w:p>
        <w:p w14:paraId="2189DD33" w14:textId="718F4655" w:rsidR="00EC14AD" w:rsidRDefault="00EC14AD">
          <w:pPr>
            <w:pStyle w:val="TOC2"/>
            <w:tabs>
              <w:tab w:val="right" w:leader="dot" w:pos="9019"/>
            </w:tabs>
            <w:rPr>
              <w:noProof/>
            </w:rPr>
          </w:pPr>
          <w:hyperlink w:anchor="_Toc236068251" w:history="1">
            <w:r w:rsidRPr="000F7F5F">
              <w:rPr>
                <w:rStyle w:val="Hyperlink"/>
                <w:noProof/>
              </w:rPr>
              <w:t>(Source: Self-created)</w:t>
            </w:r>
            <w:r>
              <w:rPr>
                <w:noProof/>
                <w:webHidden/>
              </w:rPr>
              <w:tab/>
            </w:r>
            <w:r>
              <w:rPr>
                <w:noProof/>
                <w:webHidden/>
              </w:rPr>
              <w:fldChar w:fldCharType="begin"/>
            </w:r>
            <w:r>
              <w:rPr>
                <w:noProof/>
                <w:webHidden/>
              </w:rPr>
              <w:instrText xml:space="preserve"> PAGEREF _Toc236068251 \h </w:instrText>
            </w:r>
            <w:r>
              <w:rPr>
                <w:noProof/>
                <w:webHidden/>
              </w:rPr>
            </w:r>
            <w:r>
              <w:rPr>
                <w:noProof/>
                <w:webHidden/>
              </w:rPr>
              <w:fldChar w:fldCharType="separate"/>
            </w:r>
            <w:r w:rsidR="00E22A6C">
              <w:rPr>
                <w:noProof/>
                <w:webHidden/>
              </w:rPr>
              <w:t>14</w:t>
            </w:r>
            <w:r>
              <w:rPr>
                <w:noProof/>
                <w:webHidden/>
              </w:rPr>
              <w:fldChar w:fldCharType="end"/>
            </w:r>
          </w:hyperlink>
        </w:p>
        <w:p w14:paraId="40F7A101" w14:textId="2D04D844" w:rsidR="00EC14AD" w:rsidRDefault="00EC14AD">
          <w:pPr>
            <w:pStyle w:val="TOC1"/>
            <w:tabs>
              <w:tab w:val="right" w:leader="dot" w:pos="9019"/>
            </w:tabs>
            <w:rPr>
              <w:noProof/>
            </w:rPr>
          </w:pPr>
          <w:hyperlink w:anchor="_Toc236068252" w:history="1">
            <w:r w:rsidRPr="000F7F5F">
              <w:rPr>
                <w:rStyle w:val="Hyperlink"/>
                <w:noProof/>
              </w:rPr>
              <w:t>Comprehensive and holistic view of the organisation</w:t>
            </w:r>
            <w:r>
              <w:rPr>
                <w:noProof/>
                <w:webHidden/>
              </w:rPr>
              <w:tab/>
            </w:r>
            <w:r>
              <w:rPr>
                <w:noProof/>
                <w:webHidden/>
              </w:rPr>
              <w:fldChar w:fldCharType="begin"/>
            </w:r>
            <w:r>
              <w:rPr>
                <w:noProof/>
                <w:webHidden/>
              </w:rPr>
              <w:instrText xml:space="preserve"> PAGEREF _Toc236068252 \h </w:instrText>
            </w:r>
            <w:r>
              <w:rPr>
                <w:noProof/>
                <w:webHidden/>
              </w:rPr>
            </w:r>
            <w:r>
              <w:rPr>
                <w:noProof/>
                <w:webHidden/>
              </w:rPr>
              <w:fldChar w:fldCharType="separate"/>
            </w:r>
            <w:r w:rsidR="00E22A6C">
              <w:rPr>
                <w:noProof/>
                <w:webHidden/>
              </w:rPr>
              <w:t>14</w:t>
            </w:r>
            <w:r>
              <w:rPr>
                <w:noProof/>
                <w:webHidden/>
              </w:rPr>
              <w:fldChar w:fldCharType="end"/>
            </w:r>
          </w:hyperlink>
        </w:p>
        <w:p w14:paraId="76E87508" w14:textId="04F4542C" w:rsidR="00EC14AD" w:rsidRDefault="00EC14AD">
          <w:pPr>
            <w:pStyle w:val="TOC2"/>
            <w:tabs>
              <w:tab w:val="right" w:leader="dot" w:pos="9019"/>
            </w:tabs>
            <w:rPr>
              <w:noProof/>
            </w:rPr>
          </w:pPr>
          <w:hyperlink w:anchor="_Toc236068253" w:history="1">
            <w:r w:rsidRPr="000F7F5F">
              <w:rPr>
                <w:rStyle w:val="Hyperlink"/>
                <w:noProof/>
              </w:rPr>
              <w:t>Corporate Social Responsibility (CSR) Strategy</w:t>
            </w:r>
            <w:r>
              <w:rPr>
                <w:noProof/>
                <w:webHidden/>
              </w:rPr>
              <w:tab/>
            </w:r>
            <w:r>
              <w:rPr>
                <w:noProof/>
                <w:webHidden/>
              </w:rPr>
              <w:fldChar w:fldCharType="begin"/>
            </w:r>
            <w:r>
              <w:rPr>
                <w:noProof/>
                <w:webHidden/>
              </w:rPr>
              <w:instrText xml:space="preserve"> PAGEREF _Toc236068253 \h </w:instrText>
            </w:r>
            <w:r>
              <w:rPr>
                <w:noProof/>
                <w:webHidden/>
              </w:rPr>
            </w:r>
            <w:r>
              <w:rPr>
                <w:noProof/>
                <w:webHidden/>
              </w:rPr>
              <w:fldChar w:fldCharType="separate"/>
            </w:r>
            <w:r w:rsidR="00E22A6C">
              <w:rPr>
                <w:noProof/>
                <w:webHidden/>
              </w:rPr>
              <w:t>14</w:t>
            </w:r>
            <w:r>
              <w:rPr>
                <w:noProof/>
                <w:webHidden/>
              </w:rPr>
              <w:fldChar w:fldCharType="end"/>
            </w:r>
          </w:hyperlink>
        </w:p>
        <w:p w14:paraId="4EDEB3A9" w14:textId="480A9D59" w:rsidR="00EC14AD" w:rsidRDefault="00EC14AD">
          <w:pPr>
            <w:pStyle w:val="TOC2"/>
            <w:tabs>
              <w:tab w:val="right" w:leader="dot" w:pos="9019"/>
            </w:tabs>
            <w:rPr>
              <w:noProof/>
            </w:rPr>
          </w:pPr>
          <w:hyperlink w:anchor="_Toc236068254" w:history="1">
            <w:r w:rsidRPr="000F7F5F">
              <w:rPr>
                <w:rStyle w:val="Hyperlink"/>
                <w:noProof/>
              </w:rPr>
              <w:t>Balanced Scorecard Analysis</w:t>
            </w:r>
            <w:r>
              <w:rPr>
                <w:noProof/>
                <w:webHidden/>
              </w:rPr>
              <w:tab/>
            </w:r>
            <w:r>
              <w:rPr>
                <w:noProof/>
                <w:webHidden/>
              </w:rPr>
              <w:fldChar w:fldCharType="begin"/>
            </w:r>
            <w:r>
              <w:rPr>
                <w:noProof/>
                <w:webHidden/>
              </w:rPr>
              <w:instrText xml:space="preserve"> PAGEREF _Toc236068254 \h </w:instrText>
            </w:r>
            <w:r>
              <w:rPr>
                <w:noProof/>
                <w:webHidden/>
              </w:rPr>
            </w:r>
            <w:r>
              <w:rPr>
                <w:noProof/>
                <w:webHidden/>
              </w:rPr>
              <w:fldChar w:fldCharType="separate"/>
            </w:r>
            <w:r w:rsidR="00E22A6C">
              <w:rPr>
                <w:noProof/>
                <w:webHidden/>
              </w:rPr>
              <w:t>15</w:t>
            </w:r>
            <w:r>
              <w:rPr>
                <w:noProof/>
                <w:webHidden/>
              </w:rPr>
              <w:fldChar w:fldCharType="end"/>
            </w:r>
          </w:hyperlink>
        </w:p>
        <w:p w14:paraId="509F28B2" w14:textId="69DA1B77" w:rsidR="00EC14AD" w:rsidRDefault="00EC14AD">
          <w:pPr>
            <w:pStyle w:val="TOC1"/>
            <w:tabs>
              <w:tab w:val="right" w:leader="dot" w:pos="9019"/>
            </w:tabs>
            <w:rPr>
              <w:noProof/>
            </w:rPr>
          </w:pPr>
          <w:hyperlink w:anchor="_Toc236068255" w:history="1">
            <w:r w:rsidRPr="000F7F5F">
              <w:rPr>
                <w:rStyle w:val="Hyperlink"/>
                <w:noProof/>
              </w:rPr>
              <w:t>The strategic choices and implementation</w:t>
            </w:r>
            <w:r>
              <w:rPr>
                <w:noProof/>
                <w:webHidden/>
              </w:rPr>
              <w:tab/>
            </w:r>
            <w:r>
              <w:rPr>
                <w:noProof/>
                <w:webHidden/>
              </w:rPr>
              <w:fldChar w:fldCharType="begin"/>
            </w:r>
            <w:r>
              <w:rPr>
                <w:noProof/>
                <w:webHidden/>
              </w:rPr>
              <w:instrText xml:space="preserve"> PAGEREF _Toc236068255 \h </w:instrText>
            </w:r>
            <w:r>
              <w:rPr>
                <w:noProof/>
                <w:webHidden/>
              </w:rPr>
            </w:r>
            <w:r>
              <w:rPr>
                <w:noProof/>
                <w:webHidden/>
              </w:rPr>
              <w:fldChar w:fldCharType="separate"/>
            </w:r>
            <w:r w:rsidR="00E22A6C">
              <w:rPr>
                <w:noProof/>
                <w:webHidden/>
              </w:rPr>
              <w:t>17</w:t>
            </w:r>
            <w:r>
              <w:rPr>
                <w:noProof/>
                <w:webHidden/>
              </w:rPr>
              <w:fldChar w:fldCharType="end"/>
            </w:r>
          </w:hyperlink>
        </w:p>
        <w:p w14:paraId="04E90764" w14:textId="66E1B631" w:rsidR="00EC14AD" w:rsidRDefault="00EC14AD">
          <w:pPr>
            <w:pStyle w:val="TOC2"/>
            <w:tabs>
              <w:tab w:val="right" w:leader="dot" w:pos="9019"/>
            </w:tabs>
            <w:rPr>
              <w:noProof/>
            </w:rPr>
          </w:pPr>
          <w:hyperlink w:anchor="_Toc236068256" w:history="1">
            <w:r w:rsidRPr="000F7F5F">
              <w:rPr>
                <w:rStyle w:val="Hyperlink"/>
                <w:noProof/>
              </w:rPr>
              <w:t>Business-Level Strategy</w:t>
            </w:r>
            <w:r>
              <w:rPr>
                <w:noProof/>
                <w:webHidden/>
              </w:rPr>
              <w:tab/>
            </w:r>
            <w:r>
              <w:rPr>
                <w:noProof/>
                <w:webHidden/>
              </w:rPr>
              <w:fldChar w:fldCharType="begin"/>
            </w:r>
            <w:r>
              <w:rPr>
                <w:noProof/>
                <w:webHidden/>
              </w:rPr>
              <w:instrText xml:space="preserve"> PAGEREF _Toc236068256 \h </w:instrText>
            </w:r>
            <w:r>
              <w:rPr>
                <w:noProof/>
                <w:webHidden/>
              </w:rPr>
            </w:r>
            <w:r>
              <w:rPr>
                <w:noProof/>
                <w:webHidden/>
              </w:rPr>
              <w:fldChar w:fldCharType="separate"/>
            </w:r>
            <w:r w:rsidR="00E22A6C">
              <w:rPr>
                <w:noProof/>
                <w:webHidden/>
              </w:rPr>
              <w:t>17</w:t>
            </w:r>
            <w:r>
              <w:rPr>
                <w:noProof/>
                <w:webHidden/>
              </w:rPr>
              <w:fldChar w:fldCharType="end"/>
            </w:r>
          </w:hyperlink>
        </w:p>
        <w:p w14:paraId="7ACD28D1" w14:textId="5E297277" w:rsidR="00EC14AD" w:rsidRDefault="00EC14AD">
          <w:pPr>
            <w:pStyle w:val="TOC2"/>
            <w:tabs>
              <w:tab w:val="right" w:leader="dot" w:pos="9019"/>
            </w:tabs>
            <w:rPr>
              <w:noProof/>
            </w:rPr>
          </w:pPr>
          <w:hyperlink w:anchor="_Toc236068257" w:history="1">
            <w:r w:rsidRPr="000F7F5F">
              <w:rPr>
                <w:rStyle w:val="Hyperlink"/>
                <w:noProof/>
              </w:rPr>
              <w:t>Porter's Five Forces Analysis</w:t>
            </w:r>
            <w:r>
              <w:rPr>
                <w:noProof/>
                <w:webHidden/>
              </w:rPr>
              <w:tab/>
            </w:r>
            <w:r>
              <w:rPr>
                <w:noProof/>
                <w:webHidden/>
              </w:rPr>
              <w:fldChar w:fldCharType="begin"/>
            </w:r>
            <w:r>
              <w:rPr>
                <w:noProof/>
                <w:webHidden/>
              </w:rPr>
              <w:instrText xml:space="preserve"> PAGEREF _Toc236068257 \h </w:instrText>
            </w:r>
            <w:r>
              <w:rPr>
                <w:noProof/>
                <w:webHidden/>
              </w:rPr>
            </w:r>
            <w:r>
              <w:rPr>
                <w:noProof/>
                <w:webHidden/>
              </w:rPr>
              <w:fldChar w:fldCharType="separate"/>
            </w:r>
            <w:r w:rsidR="00E22A6C">
              <w:rPr>
                <w:noProof/>
                <w:webHidden/>
              </w:rPr>
              <w:t>18</w:t>
            </w:r>
            <w:r>
              <w:rPr>
                <w:noProof/>
                <w:webHidden/>
              </w:rPr>
              <w:fldChar w:fldCharType="end"/>
            </w:r>
          </w:hyperlink>
        </w:p>
        <w:p w14:paraId="2BA3E18C" w14:textId="46EB904A" w:rsidR="00EC14AD" w:rsidRDefault="00EC14AD">
          <w:pPr>
            <w:pStyle w:val="TOC2"/>
            <w:tabs>
              <w:tab w:val="right" w:leader="dot" w:pos="9019"/>
            </w:tabs>
            <w:rPr>
              <w:noProof/>
            </w:rPr>
          </w:pPr>
          <w:hyperlink w:anchor="_Toc236068258" w:history="1">
            <w:r w:rsidRPr="000F7F5F">
              <w:rPr>
                <w:rStyle w:val="Hyperlink"/>
                <w:noProof/>
              </w:rPr>
              <w:t>Strategic Growth Option (Ansoff Matrix)</w:t>
            </w:r>
            <w:r>
              <w:rPr>
                <w:noProof/>
                <w:webHidden/>
              </w:rPr>
              <w:tab/>
            </w:r>
            <w:r>
              <w:rPr>
                <w:noProof/>
                <w:webHidden/>
              </w:rPr>
              <w:fldChar w:fldCharType="begin"/>
            </w:r>
            <w:r>
              <w:rPr>
                <w:noProof/>
                <w:webHidden/>
              </w:rPr>
              <w:instrText xml:space="preserve"> PAGEREF _Toc236068258 \h </w:instrText>
            </w:r>
            <w:r>
              <w:rPr>
                <w:noProof/>
                <w:webHidden/>
              </w:rPr>
            </w:r>
            <w:r>
              <w:rPr>
                <w:noProof/>
                <w:webHidden/>
              </w:rPr>
              <w:fldChar w:fldCharType="separate"/>
            </w:r>
            <w:r w:rsidR="00E22A6C">
              <w:rPr>
                <w:noProof/>
                <w:webHidden/>
              </w:rPr>
              <w:t>19</w:t>
            </w:r>
            <w:r>
              <w:rPr>
                <w:noProof/>
                <w:webHidden/>
              </w:rPr>
              <w:fldChar w:fldCharType="end"/>
            </w:r>
          </w:hyperlink>
        </w:p>
        <w:p w14:paraId="49108902" w14:textId="3135755F" w:rsidR="00EC14AD" w:rsidRDefault="00EC14AD">
          <w:pPr>
            <w:pStyle w:val="TOC2"/>
            <w:tabs>
              <w:tab w:val="right" w:leader="dot" w:pos="9019"/>
            </w:tabs>
            <w:rPr>
              <w:noProof/>
            </w:rPr>
          </w:pPr>
          <w:hyperlink w:anchor="_Toc236068259" w:history="1">
            <w:r w:rsidRPr="000F7F5F">
              <w:rPr>
                <w:rStyle w:val="Hyperlink"/>
                <w:noProof/>
              </w:rPr>
              <w:t>Implementation Challenges and Mitigation</w:t>
            </w:r>
            <w:r>
              <w:rPr>
                <w:noProof/>
                <w:webHidden/>
              </w:rPr>
              <w:tab/>
            </w:r>
            <w:r>
              <w:rPr>
                <w:noProof/>
                <w:webHidden/>
              </w:rPr>
              <w:fldChar w:fldCharType="begin"/>
            </w:r>
            <w:r>
              <w:rPr>
                <w:noProof/>
                <w:webHidden/>
              </w:rPr>
              <w:instrText xml:space="preserve"> PAGEREF _Toc236068259 \h </w:instrText>
            </w:r>
            <w:r>
              <w:rPr>
                <w:noProof/>
                <w:webHidden/>
              </w:rPr>
            </w:r>
            <w:r>
              <w:rPr>
                <w:noProof/>
                <w:webHidden/>
              </w:rPr>
              <w:fldChar w:fldCharType="separate"/>
            </w:r>
            <w:r w:rsidR="00E22A6C">
              <w:rPr>
                <w:noProof/>
                <w:webHidden/>
              </w:rPr>
              <w:t>20</w:t>
            </w:r>
            <w:r>
              <w:rPr>
                <w:noProof/>
                <w:webHidden/>
              </w:rPr>
              <w:fldChar w:fldCharType="end"/>
            </w:r>
          </w:hyperlink>
        </w:p>
        <w:p w14:paraId="1A64E0B4" w14:textId="11F7E218" w:rsidR="00EC14AD" w:rsidRDefault="00EC14AD">
          <w:pPr>
            <w:pStyle w:val="TOC1"/>
            <w:tabs>
              <w:tab w:val="right" w:leader="dot" w:pos="9019"/>
            </w:tabs>
            <w:rPr>
              <w:noProof/>
            </w:rPr>
          </w:pPr>
          <w:hyperlink w:anchor="_Toc236068260" w:history="1">
            <w:r w:rsidRPr="000F7F5F">
              <w:rPr>
                <w:rStyle w:val="Hyperlink"/>
                <w:noProof/>
              </w:rPr>
              <w:t>Reflection</w:t>
            </w:r>
            <w:r>
              <w:rPr>
                <w:noProof/>
                <w:webHidden/>
              </w:rPr>
              <w:tab/>
            </w:r>
            <w:r>
              <w:rPr>
                <w:noProof/>
                <w:webHidden/>
              </w:rPr>
              <w:fldChar w:fldCharType="begin"/>
            </w:r>
            <w:r>
              <w:rPr>
                <w:noProof/>
                <w:webHidden/>
              </w:rPr>
              <w:instrText xml:space="preserve"> PAGEREF _Toc236068260 \h </w:instrText>
            </w:r>
            <w:r>
              <w:rPr>
                <w:noProof/>
                <w:webHidden/>
              </w:rPr>
            </w:r>
            <w:r>
              <w:rPr>
                <w:noProof/>
                <w:webHidden/>
              </w:rPr>
              <w:fldChar w:fldCharType="separate"/>
            </w:r>
            <w:r w:rsidR="00E22A6C">
              <w:rPr>
                <w:noProof/>
                <w:webHidden/>
              </w:rPr>
              <w:t>21</w:t>
            </w:r>
            <w:r>
              <w:rPr>
                <w:noProof/>
                <w:webHidden/>
              </w:rPr>
              <w:fldChar w:fldCharType="end"/>
            </w:r>
          </w:hyperlink>
        </w:p>
        <w:p w14:paraId="2B0D1E1A" w14:textId="72C04B20" w:rsidR="00EC14AD" w:rsidRDefault="00EC14AD">
          <w:pPr>
            <w:pStyle w:val="TOC1"/>
            <w:tabs>
              <w:tab w:val="right" w:leader="dot" w:pos="9019"/>
            </w:tabs>
            <w:rPr>
              <w:noProof/>
            </w:rPr>
          </w:pPr>
          <w:hyperlink w:anchor="_Toc236068261" w:history="1">
            <w:r w:rsidRPr="000F7F5F">
              <w:rPr>
                <w:rStyle w:val="Hyperlink"/>
                <w:noProof/>
              </w:rPr>
              <w:t>Summary</w:t>
            </w:r>
            <w:r>
              <w:rPr>
                <w:noProof/>
                <w:webHidden/>
              </w:rPr>
              <w:tab/>
            </w:r>
            <w:r>
              <w:rPr>
                <w:noProof/>
                <w:webHidden/>
              </w:rPr>
              <w:fldChar w:fldCharType="begin"/>
            </w:r>
            <w:r>
              <w:rPr>
                <w:noProof/>
                <w:webHidden/>
              </w:rPr>
              <w:instrText xml:space="preserve"> PAGEREF _Toc236068261 \h </w:instrText>
            </w:r>
            <w:r>
              <w:rPr>
                <w:noProof/>
                <w:webHidden/>
              </w:rPr>
            </w:r>
            <w:r>
              <w:rPr>
                <w:noProof/>
                <w:webHidden/>
              </w:rPr>
              <w:fldChar w:fldCharType="separate"/>
            </w:r>
            <w:r w:rsidR="00E22A6C">
              <w:rPr>
                <w:noProof/>
                <w:webHidden/>
              </w:rPr>
              <w:t>23</w:t>
            </w:r>
            <w:r>
              <w:rPr>
                <w:noProof/>
                <w:webHidden/>
              </w:rPr>
              <w:fldChar w:fldCharType="end"/>
            </w:r>
          </w:hyperlink>
        </w:p>
        <w:p w14:paraId="31489494" w14:textId="6C49414E" w:rsidR="00EC14AD" w:rsidRDefault="00EC14AD">
          <w:pPr>
            <w:pStyle w:val="TOC1"/>
            <w:tabs>
              <w:tab w:val="right" w:leader="dot" w:pos="9019"/>
            </w:tabs>
            <w:rPr>
              <w:noProof/>
            </w:rPr>
          </w:pPr>
          <w:hyperlink w:anchor="_Toc236068262" w:history="1">
            <w:r w:rsidRPr="000F7F5F">
              <w:rPr>
                <w:rStyle w:val="Hyperlink"/>
                <w:noProof/>
              </w:rPr>
              <w:t>Reference List</w:t>
            </w:r>
            <w:r>
              <w:rPr>
                <w:noProof/>
                <w:webHidden/>
              </w:rPr>
              <w:tab/>
            </w:r>
            <w:r>
              <w:rPr>
                <w:noProof/>
                <w:webHidden/>
              </w:rPr>
              <w:fldChar w:fldCharType="begin"/>
            </w:r>
            <w:r>
              <w:rPr>
                <w:noProof/>
                <w:webHidden/>
              </w:rPr>
              <w:instrText xml:space="preserve"> PAGEREF _Toc236068262 \h </w:instrText>
            </w:r>
            <w:r>
              <w:rPr>
                <w:noProof/>
                <w:webHidden/>
              </w:rPr>
            </w:r>
            <w:r>
              <w:rPr>
                <w:noProof/>
                <w:webHidden/>
              </w:rPr>
              <w:fldChar w:fldCharType="separate"/>
            </w:r>
            <w:r w:rsidR="00E22A6C">
              <w:rPr>
                <w:noProof/>
                <w:webHidden/>
              </w:rPr>
              <w:t>25</w:t>
            </w:r>
            <w:r>
              <w:rPr>
                <w:noProof/>
                <w:webHidden/>
              </w:rPr>
              <w:fldChar w:fldCharType="end"/>
            </w:r>
          </w:hyperlink>
        </w:p>
        <w:p w14:paraId="4878B008" w14:textId="77777777" w:rsidR="00EC14AD" w:rsidRDefault="00EC14AD">
          <w:r>
            <w:rPr>
              <w:b/>
              <w:bCs/>
              <w:noProof/>
            </w:rPr>
            <w:fldChar w:fldCharType="end"/>
          </w:r>
        </w:p>
      </w:sdtContent>
    </w:sdt>
    <w:p w14:paraId="5905FA92" w14:textId="77777777" w:rsidR="00641572" w:rsidRDefault="00641572"/>
    <w:p w14:paraId="556AA0CF" w14:textId="77777777" w:rsidR="00641572" w:rsidRPr="00E22A6C" w:rsidRDefault="001B57A1" w:rsidP="00E22A6C">
      <w:pPr>
        <w:pStyle w:val="Heading1"/>
        <w:rPr>
          <w:rFonts w:ascii="Arial" w:hAnsi="Arial" w:cs="Arial"/>
          <w:sz w:val="24"/>
          <w:szCs w:val="24"/>
        </w:rPr>
      </w:pPr>
      <w:bookmarkStart w:id="8" w:name="_ip35lvrlndgs" w:colFirst="0" w:colLast="0"/>
      <w:bookmarkStart w:id="9" w:name="_Toc236068239"/>
      <w:bookmarkEnd w:id="8"/>
      <w:r w:rsidRPr="00E22A6C">
        <w:rPr>
          <w:rFonts w:ascii="Arial" w:hAnsi="Arial" w:cs="Arial"/>
          <w:sz w:val="24"/>
          <w:szCs w:val="24"/>
        </w:rPr>
        <w:lastRenderedPageBreak/>
        <w:t>Introduction</w:t>
      </w:r>
      <w:bookmarkEnd w:id="9"/>
    </w:p>
    <w:p w14:paraId="76A80302" w14:textId="77777777" w:rsidR="00641572" w:rsidRPr="00E22A6C" w:rsidRDefault="001B57A1" w:rsidP="00E22A6C">
      <w:pPr>
        <w:rPr>
          <w:rFonts w:ascii="Arial" w:hAnsi="Arial" w:cs="Arial"/>
        </w:rPr>
      </w:pPr>
      <w:r w:rsidRPr="00E22A6C">
        <w:rPr>
          <w:rFonts w:ascii="Arial" w:hAnsi="Arial" w:cs="Arial"/>
        </w:rPr>
        <w:t>Strategic management is the way of helping organisations to react to market changes and maintain a competitive edge over the long-term (</w:t>
      </w:r>
      <w:proofErr w:type="spellStart"/>
      <w:r w:rsidRPr="00E22A6C">
        <w:rPr>
          <w:rFonts w:ascii="Arial" w:hAnsi="Arial" w:cs="Arial"/>
        </w:rPr>
        <w:t>Alkhodary</w:t>
      </w:r>
      <w:proofErr w:type="spellEnd"/>
      <w:r w:rsidRPr="00E22A6C">
        <w:rPr>
          <w:rFonts w:ascii="Arial" w:hAnsi="Arial" w:cs="Arial"/>
        </w:rPr>
        <w:t>, 2023). In very competitive consumer goods markets, appropriate strategies need to be based on a detailed understanding of the external business environment and internal organisation. The report aims to assess the strategic position of Unilever plc with a particular emphasis on Dove Beauty Bar in the United Kingdom based on the assessment requirements. The report has applied the well-known strategic management tools such as PESTEL, VRIO, SWOT, Balanced Scorecard and strategic choice models to analyse the product's strategic environment. The practical recommendations are made based on this analysis to improve the CS of Dove Beauty Bar in the UK market. The report ends with a reflective analysis and evaluation of the research and analytical process, following Gibbs' Reflective Cycle.</w:t>
      </w:r>
    </w:p>
    <w:p w14:paraId="26884D74" w14:textId="77777777" w:rsidR="00641572" w:rsidRPr="00E22A6C" w:rsidRDefault="001B57A1" w:rsidP="00E22A6C">
      <w:pPr>
        <w:pStyle w:val="Heading1"/>
        <w:rPr>
          <w:rFonts w:ascii="Arial" w:hAnsi="Arial" w:cs="Arial"/>
          <w:sz w:val="24"/>
          <w:szCs w:val="24"/>
        </w:rPr>
      </w:pPr>
      <w:bookmarkStart w:id="10" w:name="_ftlzlqcicsxp" w:colFirst="0" w:colLast="0"/>
      <w:bookmarkStart w:id="11" w:name="_Toc236068240"/>
      <w:bookmarkEnd w:id="10"/>
      <w:r w:rsidRPr="00E22A6C">
        <w:rPr>
          <w:rFonts w:ascii="Arial" w:hAnsi="Arial" w:cs="Arial"/>
          <w:sz w:val="24"/>
          <w:szCs w:val="24"/>
        </w:rPr>
        <w:t>Overview of the organisation</w:t>
      </w:r>
      <w:bookmarkEnd w:id="11"/>
      <w:r w:rsidRPr="00E22A6C">
        <w:rPr>
          <w:rFonts w:ascii="Arial" w:hAnsi="Arial" w:cs="Arial"/>
          <w:sz w:val="24"/>
          <w:szCs w:val="24"/>
        </w:rPr>
        <w:t xml:space="preserve"> </w:t>
      </w:r>
    </w:p>
    <w:p w14:paraId="56101A01" w14:textId="77777777" w:rsidR="00641572" w:rsidRPr="00E22A6C" w:rsidRDefault="001B57A1" w:rsidP="00E22A6C">
      <w:pPr>
        <w:pStyle w:val="Heading2"/>
        <w:rPr>
          <w:rFonts w:ascii="Arial" w:hAnsi="Arial" w:cs="Arial"/>
          <w:sz w:val="24"/>
          <w:szCs w:val="24"/>
        </w:rPr>
      </w:pPr>
      <w:bookmarkStart w:id="12" w:name="_iel1o7do5qra" w:colFirst="0" w:colLast="0"/>
      <w:bookmarkStart w:id="13" w:name="_Toc236068241"/>
      <w:bookmarkEnd w:id="12"/>
      <w:r w:rsidRPr="00E22A6C">
        <w:rPr>
          <w:rFonts w:ascii="Arial" w:hAnsi="Arial" w:cs="Arial"/>
          <w:sz w:val="24"/>
          <w:szCs w:val="24"/>
        </w:rPr>
        <w:t>Company Background</w:t>
      </w:r>
      <w:bookmarkEnd w:id="13"/>
    </w:p>
    <w:p w14:paraId="42C2816A" w14:textId="77777777" w:rsidR="00641572" w:rsidRPr="00E22A6C" w:rsidRDefault="001B57A1" w:rsidP="00E22A6C">
      <w:pPr>
        <w:rPr>
          <w:rFonts w:ascii="Arial" w:hAnsi="Arial" w:cs="Arial"/>
        </w:rPr>
      </w:pPr>
      <w:r w:rsidRPr="00E22A6C">
        <w:rPr>
          <w:rFonts w:ascii="Arial" w:hAnsi="Arial" w:cs="Arial"/>
        </w:rPr>
        <w:t xml:space="preserve">Unilever PLC was formed in 1929 when Lever Brothers of Britain and the Dutch company Margarine </w:t>
      </w:r>
      <w:proofErr w:type="spellStart"/>
      <w:r w:rsidRPr="00E22A6C">
        <w:rPr>
          <w:rFonts w:ascii="Arial" w:hAnsi="Arial" w:cs="Arial"/>
        </w:rPr>
        <w:t>Unie</w:t>
      </w:r>
      <w:proofErr w:type="spellEnd"/>
      <w:r w:rsidRPr="00E22A6C">
        <w:rPr>
          <w:rFonts w:ascii="Arial" w:hAnsi="Arial" w:cs="Arial"/>
        </w:rPr>
        <w:t xml:space="preserve"> merged and is one of the world's biggest fast-moving consumer goods (FMCG) companies (UNILEVER, 2026b). It is a company with more than 400 brands in the beauty and wellbeing, personal care, home care, nutrition and ice cream sectors, and has operations in more than 190 countries (UNILEVER, 2026b). The Dove Beauty Bar is a specific case study in this report, since it is one of Unilever's best-known personal care brands that is well recognised on the market and has a long history of providing skincare benefits and ethical branding. The UK has been chosen as the market for </w:t>
      </w:r>
      <w:r w:rsidR="004A503C" w:rsidRPr="00E22A6C">
        <w:rPr>
          <w:rFonts w:ascii="Arial" w:hAnsi="Arial" w:cs="Arial"/>
        </w:rPr>
        <w:t>analysis,</w:t>
      </w:r>
      <w:r w:rsidRPr="00E22A6C">
        <w:rPr>
          <w:rFonts w:ascii="Arial" w:hAnsi="Arial" w:cs="Arial"/>
        </w:rPr>
        <w:t xml:space="preserve"> as it is Dove's home market, which has high consumer awareness levels, fierce competition and high growth in demand for sustainable personal care products.</w:t>
      </w:r>
    </w:p>
    <w:p w14:paraId="3AEB8C4F" w14:textId="77777777" w:rsidR="00641572" w:rsidRPr="00E22A6C" w:rsidRDefault="001B57A1" w:rsidP="00E22A6C">
      <w:pPr>
        <w:pStyle w:val="Heading2"/>
        <w:rPr>
          <w:rFonts w:ascii="Arial" w:hAnsi="Arial" w:cs="Arial"/>
          <w:sz w:val="24"/>
          <w:szCs w:val="24"/>
        </w:rPr>
      </w:pPr>
      <w:bookmarkStart w:id="14" w:name="_6ktnpxj855cz" w:colFirst="0" w:colLast="0"/>
      <w:bookmarkStart w:id="15" w:name="_Toc236068242"/>
      <w:bookmarkEnd w:id="14"/>
      <w:r w:rsidRPr="00E22A6C">
        <w:rPr>
          <w:rFonts w:ascii="Arial" w:hAnsi="Arial" w:cs="Arial"/>
          <w:sz w:val="24"/>
          <w:szCs w:val="24"/>
        </w:rPr>
        <w:t>Mission</w:t>
      </w:r>
      <w:bookmarkEnd w:id="15"/>
    </w:p>
    <w:p w14:paraId="79729381" w14:textId="77777777" w:rsidR="00641572" w:rsidRPr="00E22A6C" w:rsidRDefault="001B57A1" w:rsidP="00E22A6C">
      <w:pPr>
        <w:rPr>
          <w:rFonts w:ascii="Arial" w:hAnsi="Arial" w:cs="Arial"/>
        </w:rPr>
      </w:pPr>
      <w:r w:rsidRPr="00E22A6C">
        <w:rPr>
          <w:rFonts w:ascii="Arial" w:hAnsi="Arial" w:cs="Arial"/>
        </w:rPr>
        <w:t>Unilever's purpose is: “To make sustainable living commonplace” (UNILEVER, 2026). The mission is reflected in Dove Beauty Bar in their attention to gentle skin care formulations, responsible sourcing, their reduced environmental impact and campaigns to promote positive body confidence. Dove not only offers a product with a function, but also a product with a value, a sustainable value, a social value, which in the long run allows for positioning the brand as different.</w:t>
      </w:r>
    </w:p>
    <w:p w14:paraId="3B91AFC7" w14:textId="77777777" w:rsidR="00641572" w:rsidRPr="00E22A6C" w:rsidRDefault="001B57A1" w:rsidP="00E22A6C">
      <w:pPr>
        <w:pStyle w:val="Heading2"/>
        <w:rPr>
          <w:rFonts w:ascii="Arial" w:hAnsi="Arial" w:cs="Arial"/>
          <w:sz w:val="24"/>
          <w:szCs w:val="24"/>
        </w:rPr>
      </w:pPr>
      <w:bookmarkStart w:id="16" w:name="_nnnnddp33r86" w:colFirst="0" w:colLast="0"/>
      <w:bookmarkStart w:id="17" w:name="_Toc236068243"/>
      <w:bookmarkEnd w:id="16"/>
      <w:r w:rsidRPr="00E22A6C">
        <w:rPr>
          <w:rFonts w:ascii="Arial" w:hAnsi="Arial" w:cs="Arial"/>
          <w:sz w:val="24"/>
          <w:szCs w:val="24"/>
        </w:rPr>
        <w:lastRenderedPageBreak/>
        <w:t>Vision</w:t>
      </w:r>
      <w:bookmarkEnd w:id="17"/>
    </w:p>
    <w:p w14:paraId="5F113F21" w14:textId="77777777" w:rsidR="00641572" w:rsidRPr="00E22A6C" w:rsidRDefault="001B57A1" w:rsidP="00E22A6C">
      <w:pPr>
        <w:rPr>
          <w:rFonts w:ascii="Arial" w:hAnsi="Arial" w:cs="Arial"/>
        </w:rPr>
      </w:pPr>
      <w:r w:rsidRPr="00E22A6C">
        <w:rPr>
          <w:rFonts w:ascii="Arial" w:hAnsi="Arial" w:cs="Arial"/>
        </w:rPr>
        <w:t>The vision of Unilever is to be the world leader in sustainable business in delivering superior product performance with positive environmental and social impact. Continuous reformulation, recyclable packaging, and campaigns promoting responsible consumer behaviour are all part of this vision for Dove Beauty Bar in the UK (UNILEVER, 2026a). This type of activity helps to build customer trust and helps to maintain the brand's competitive edge in the long run.</w:t>
      </w:r>
    </w:p>
    <w:p w14:paraId="33AFCD06" w14:textId="77777777" w:rsidR="00641572" w:rsidRPr="00E22A6C" w:rsidRDefault="001B57A1" w:rsidP="00E22A6C">
      <w:pPr>
        <w:pStyle w:val="Heading2"/>
        <w:rPr>
          <w:rFonts w:ascii="Arial" w:hAnsi="Arial" w:cs="Arial"/>
          <w:sz w:val="24"/>
          <w:szCs w:val="24"/>
        </w:rPr>
      </w:pPr>
      <w:bookmarkStart w:id="18" w:name="_upihjenvjpda" w:colFirst="0" w:colLast="0"/>
      <w:bookmarkStart w:id="19" w:name="_Toc236068244"/>
      <w:bookmarkEnd w:id="18"/>
      <w:r w:rsidRPr="00E22A6C">
        <w:rPr>
          <w:rFonts w:ascii="Arial" w:hAnsi="Arial" w:cs="Arial"/>
          <w:sz w:val="24"/>
          <w:szCs w:val="24"/>
        </w:rPr>
        <w:t>Business Model</w:t>
      </w:r>
      <w:bookmarkEnd w:id="19"/>
    </w:p>
    <w:p w14:paraId="7A593891" w14:textId="77777777" w:rsidR="00641572" w:rsidRPr="00E22A6C" w:rsidRDefault="001B57A1" w:rsidP="00E22A6C">
      <w:pPr>
        <w:rPr>
          <w:rFonts w:ascii="Arial" w:hAnsi="Arial" w:cs="Arial"/>
        </w:rPr>
      </w:pPr>
      <w:r w:rsidRPr="00E22A6C">
        <w:rPr>
          <w:rFonts w:ascii="Arial" w:hAnsi="Arial" w:cs="Arial"/>
        </w:rPr>
        <w:t xml:space="preserve">Unilever is a consumer-led company with never-ending product development, effective brand management, extensive research and development and a global supply chain (Haase </w:t>
      </w:r>
      <w:r w:rsidRPr="00E22A6C">
        <w:rPr>
          <w:rFonts w:ascii="Arial" w:hAnsi="Arial" w:cs="Arial"/>
          <w:i/>
          <w:iCs/>
        </w:rPr>
        <w:t>et al</w:t>
      </w:r>
      <w:r w:rsidRPr="00E22A6C">
        <w:rPr>
          <w:rFonts w:ascii="Arial" w:hAnsi="Arial" w:cs="Arial"/>
        </w:rPr>
        <w:t>. 2024). Dove Beauty Bar is able to create value through providing a superior cleansing tool with moisturising properties in a mild cleansing technology. The brand's strategy of distribution in supermarkets, pharmacies, convenience stores, and digital platforms ensures market reach, while enabling a swift response to consumer preferences.</w:t>
      </w:r>
    </w:p>
    <w:p w14:paraId="4BDC0744" w14:textId="77777777" w:rsidR="00641572" w:rsidRPr="00E22A6C" w:rsidRDefault="001B57A1" w:rsidP="00E22A6C">
      <w:pPr>
        <w:pStyle w:val="Heading2"/>
        <w:rPr>
          <w:rFonts w:ascii="Arial" w:hAnsi="Arial" w:cs="Arial"/>
          <w:sz w:val="24"/>
          <w:szCs w:val="24"/>
        </w:rPr>
      </w:pPr>
      <w:bookmarkStart w:id="20" w:name="_xmjod88p9wut" w:colFirst="0" w:colLast="0"/>
      <w:bookmarkStart w:id="21" w:name="_Toc236068245"/>
      <w:bookmarkEnd w:id="20"/>
      <w:r w:rsidRPr="00E22A6C">
        <w:rPr>
          <w:rFonts w:ascii="Arial" w:hAnsi="Arial" w:cs="Arial"/>
          <w:sz w:val="24"/>
          <w:szCs w:val="24"/>
        </w:rPr>
        <w:t>Industry, Competitors and Market Position</w:t>
      </w:r>
      <w:bookmarkEnd w:id="21"/>
    </w:p>
    <w:p w14:paraId="530F8774" w14:textId="77777777" w:rsidR="00641572" w:rsidRPr="00E22A6C" w:rsidRDefault="001B57A1" w:rsidP="00E22A6C">
      <w:pPr>
        <w:rPr>
          <w:rFonts w:ascii="Arial" w:hAnsi="Arial" w:cs="Arial"/>
        </w:rPr>
      </w:pPr>
      <w:r w:rsidRPr="00E22A6C">
        <w:rPr>
          <w:rFonts w:ascii="Arial" w:hAnsi="Arial" w:cs="Arial"/>
        </w:rPr>
        <w:t>Dove Beauty Bar exists in a highly competitive personal care industry in the UK, with Innovation, Sustainability, and Reputation playing a major role in customer decision-making. It is the main competitor of Nivea Creme Soft Soap (Beiersdorf), Lux (Unilever's portfolio in selected channels), Imperial Leather (PZ Cussons), Original Source (PZ Cussons) and private label supermarket brands. As competition grows, Dove Beauty Bar retains its premium status with consumers, supported by its dermatologically proven formula, purposeful marketing and alignment with new consumer values around health, inclusiveness and environmental responsibility.</w:t>
      </w:r>
    </w:p>
    <w:p w14:paraId="15CC5F7C" w14:textId="77777777" w:rsidR="00641572" w:rsidRPr="00E22A6C" w:rsidRDefault="001B57A1" w:rsidP="00E22A6C">
      <w:pPr>
        <w:pStyle w:val="Heading1"/>
        <w:rPr>
          <w:rFonts w:ascii="Arial" w:hAnsi="Arial" w:cs="Arial"/>
          <w:sz w:val="24"/>
          <w:szCs w:val="24"/>
        </w:rPr>
      </w:pPr>
      <w:bookmarkStart w:id="22" w:name="_vesf0f1opxva" w:colFirst="0" w:colLast="0"/>
      <w:bookmarkStart w:id="23" w:name="_Toc236068246"/>
      <w:bookmarkEnd w:id="22"/>
      <w:r w:rsidRPr="00E22A6C">
        <w:rPr>
          <w:rFonts w:ascii="Arial" w:hAnsi="Arial" w:cs="Arial"/>
          <w:sz w:val="24"/>
          <w:szCs w:val="24"/>
        </w:rPr>
        <w:t>External and Internal Analysis</w:t>
      </w:r>
      <w:bookmarkEnd w:id="23"/>
    </w:p>
    <w:p w14:paraId="5C77D291" w14:textId="77777777" w:rsidR="00641572" w:rsidRPr="00E22A6C" w:rsidRDefault="001B57A1" w:rsidP="00E22A6C">
      <w:pPr>
        <w:pStyle w:val="Heading2"/>
        <w:rPr>
          <w:rFonts w:ascii="Arial" w:hAnsi="Arial" w:cs="Arial"/>
          <w:sz w:val="24"/>
          <w:szCs w:val="24"/>
        </w:rPr>
      </w:pPr>
      <w:bookmarkStart w:id="24" w:name="_f9kwimfzyei9" w:colFirst="0" w:colLast="0"/>
      <w:bookmarkStart w:id="25" w:name="_Toc236068247"/>
      <w:bookmarkEnd w:id="24"/>
      <w:r w:rsidRPr="00E22A6C">
        <w:rPr>
          <w:rFonts w:ascii="Arial" w:hAnsi="Arial" w:cs="Arial"/>
          <w:sz w:val="24"/>
          <w:szCs w:val="24"/>
        </w:rPr>
        <w:t>PESTEL Analysis</w:t>
      </w:r>
      <w:bookmarkEnd w:id="25"/>
    </w:p>
    <w:p w14:paraId="7BD5D931" w14:textId="77777777" w:rsidR="00641572" w:rsidRPr="00E22A6C" w:rsidRDefault="001B57A1" w:rsidP="00E22A6C">
      <w:pPr>
        <w:jc w:val="center"/>
        <w:rPr>
          <w:rFonts w:ascii="Arial" w:hAnsi="Arial" w:cs="Arial"/>
        </w:rPr>
      </w:pPr>
      <w:r w:rsidRPr="00E22A6C">
        <w:rPr>
          <w:rFonts w:ascii="Arial" w:hAnsi="Arial" w:cs="Arial"/>
          <w:noProof/>
        </w:rPr>
        <w:drawing>
          <wp:inline distT="114300" distB="114300" distL="114300" distR="114300" wp14:anchorId="2426988B" wp14:editId="77B6C13E">
            <wp:extent cx="5734050" cy="1435987"/>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4050" cy="1435987"/>
                    </a:xfrm>
                    <a:prstGeom prst="rect">
                      <a:avLst/>
                    </a:prstGeom>
                    <a:ln w="25400">
                      <a:solidFill>
                        <a:srgbClr val="000000"/>
                      </a:solidFill>
                      <a:prstDash val="solid"/>
                    </a:ln>
                  </pic:spPr>
                </pic:pic>
              </a:graphicData>
            </a:graphic>
          </wp:inline>
        </w:drawing>
      </w:r>
    </w:p>
    <w:p w14:paraId="55FA28CE" w14:textId="77777777" w:rsidR="00641572" w:rsidRPr="00E22A6C" w:rsidRDefault="001B57A1" w:rsidP="00E22A6C">
      <w:pPr>
        <w:jc w:val="center"/>
        <w:rPr>
          <w:rFonts w:ascii="Arial" w:hAnsi="Arial" w:cs="Arial"/>
          <w:b/>
          <w:bCs/>
        </w:rPr>
      </w:pPr>
      <w:r w:rsidRPr="00E22A6C">
        <w:rPr>
          <w:rFonts w:ascii="Arial" w:hAnsi="Arial" w:cs="Arial"/>
          <w:b/>
          <w:bCs/>
        </w:rPr>
        <w:t>Figure 1: PESTEL Analysis</w:t>
      </w:r>
    </w:p>
    <w:p w14:paraId="78FC5859" w14:textId="77777777" w:rsidR="00641572" w:rsidRPr="00E22A6C" w:rsidRDefault="001B57A1" w:rsidP="00E22A6C">
      <w:pPr>
        <w:jc w:val="center"/>
        <w:rPr>
          <w:rFonts w:ascii="Arial" w:hAnsi="Arial" w:cs="Arial"/>
        </w:rPr>
      </w:pPr>
      <w:r w:rsidRPr="00E22A6C">
        <w:rPr>
          <w:rFonts w:ascii="Arial" w:hAnsi="Arial" w:cs="Arial"/>
        </w:rPr>
        <w:t>(Source: Self-created)</w:t>
      </w:r>
    </w:p>
    <w:p w14:paraId="03D655A8" w14:textId="77777777" w:rsidR="00641572" w:rsidRPr="00E22A6C" w:rsidRDefault="001B57A1" w:rsidP="00E22A6C">
      <w:pPr>
        <w:rPr>
          <w:rFonts w:ascii="Arial" w:hAnsi="Arial" w:cs="Arial"/>
          <w:b/>
          <w:bCs/>
          <w:i/>
          <w:iCs/>
        </w:rPr>
      </w:pPr>
      <w:r w:rsidRPr="00E22A6C">
        <w:rPr>
          <w:rFonts w:ascii="Arial" w:hAnsi="Arial" w:cs="Arial"/>
          <w:b/>
          <w:bCs/>
          <w:i/>
          <w:iCs/>
        </w:rPr>
        <w:lastRenderedPageBreak/>
        <w:t xml:space="preserve">Political Factors </w:t>
      </w:r>
    </w:p>
    <w:p w14:paraId="50A0C34E" w14:textId="77777777" w:rsidR="00641572" w:rsidRPr="00E22A6C" w:rsidRDefault="001B57A1" w:rsidP="00E22A6C">
      <w:pPr>
        <w:rPr>
          <w:rFonts w:ascii="Arial" w:hAnsi="Arial" w:cs="Arial"/>
        </w:rPr>
      </w:pPr>
      <w:r w:rsidRPr="00E22A6C">
        <w:rPr>
          <w:rFonts w:ascii="Arial" w:hAnsi="Arial" w:cs="Arial"/>
        </w:rPr>
        <w:t xml:space="preserve">Multinational companies like Unilever have regulatory certainty because the political situation in the UK is stable (Rose, 2025). </w:t>
      </w:r>
      <w:r w:rsidR="004A503C" w:rsidRPr="00E22A6C">
        <w:rPr>
          <w:rFonts w:ascii="Arial" w:hAnsi="Arial" w:cs="Arial"/>
        </w:rPr>
        <w:t>However,</w:t>
      </w:r>
      <w:r w:rsidRPr="00E22A6C">
        <w:rPr>
          <w:rFonts w:ascii="Arial" w:hAnsi="Arial" w:cs="Arial"/>
        </w:rPr>
        <w:t xml:space="preserve"> the complexities of trade after Brexit are continuing to add to the complexity of supply chains, with customs requirements, regulatory differences and greater costs in the procurement process. Moreover, the UK's net zero emissions goal has led to more stringent sustainable packaging and responsible manufacturing rules (Shahzad </w:t>
      </w:r>
      <w:r w:rsidRPr="00E22A6C">
        <w:rPr>
          <w:rFonts w:ascii="Arial" w:hAnsi="Arial" w:cs="Arial"/>
          <w:i/>
          <w:iCs/>
        </w:rPr>
        <w:t>et al</w:t>
      </w:r>
      <w:r w:rsidRPr="00E22A6C">
        <w:rPr>
          <w:rFonts w:ascii="Arial" w:hAnsi="Arial" w:cs="Arial"/>
        </w:rPr>
        <w:t>. 2024). The changes are a threat as well as an opportunity to Dove Beauty Bar. The stricter compliance regulations could lead to higher operational costs, but Unilever's work around sustainable sourcing and recyclable packaging has put Dove in a more favourable position than those companies that are lagging in their transition. Political developments further underscore sustainability as a strategic capability, in support of regulatory compliance, and enhancing competitive differentiations in the UK personal care market.</w:t>
      </w:r>
    </w:p>
    <w:p w14:paraId="427166CB" w14:textId="77777777" w:rsidR="00641572" w:rsidRPr="00E22A6C" w:rsidRDefault="001B57A1" w:rsidP="00E22A6C">
      <w:pPr>
        <w:rPr>
          <w:rFonts w:ascii="Arial" w:hAnsi="Arial" w:cs="Arial"/>
          <w:b/>
          <w:bCs/>
          <w:i/>
          <w:iCs/>
        </w:rPr>
      </w:pPr>
      <w:r w:rsidRPr="00E22A6C">
        <w:rPr>
          <w:rFonts w:ascii="Arial" w:hAnsi="Arial" w:cs="Arial"/>
          <w:b/>
          <w:bCs/>
          <w:i/>
          <w:iCs/>
        </w:rPr>
        <w:t xml:space="preserve">Economic Factors </w:t>
      </w:r>
    </w:p>
    <w:p w14:paraId="13816353" w14:textId="77777777" w:rsidR="00641572" w:rsidRPr="00E22A6C" w:rsidRDefault="001B57A1" w:rsidP="00E22A6C">
      <w:pPr>
        <w:rPr>
          <w:rFonts w:ascii="Arial" w:hAnsi="Arial" w:cs="Arial"/>
        </w:rPr>
      </w:pPr>
      <w:r w:rsidRPr="00E22A6C">
        <w:rPr>
          <w:rFonts w:ascii="Arial" w:hAnsi="Arial" w:cs="Arial"/>
        </w:rPr>
        <w:t>Like the global market, in the UK personal care market, inflation, energy costs and manufacturing expenses remain to have an impact on purchase behaviour (Salah, 2025). More money has driven consumers to look at alternatives, which has added a level of competition between the premium brands and their retailer counterparts. However, Dove Beauty Bar has a differentiated value proposition, offered by providing better benefits to skin care products and building brand credibility, not just through price (</w:t>
      </w:r>
      <w:proofErr w:type="spellStart"/>
      <w:r w:rsidRPr="00E22A6C">
        <w:rPr>
          <w:rFonts w:ascii="Arial" w:hAnsi="Arial" w:cs="Arial"/>
        </w:rPr>
        <w:t>Tserenbat</w:t>
      </w:r>
      <w:proofErr w:type="spellEnd"/>
      <w:r w:rsidRPr="00E22A6C">
        <w:rPr>
          <w:rFonts w:ascii="Arial" w:hAnsi="Arial" w:cs="Arial"/>
        </w:rPr>
        <w:t xml:space="preserve"> </w:t>
      </w:r>
      <w:r w:rsidRPr="00E22A6C">
        <w:rPr>
          <w:rFonts w:ascii="Arial" w:hAnsi="Arial" w:cs="Arial"/>
          <w:i/>
          <w:iCs/>
        </w:rPr>
        <w:t>et al</w:t>
      </w:r>
      <w:r w:rsidRPr="00E22A6C">
        <w:rPr>
          <w:rFonts w:ascii="Arial" w:hAnsi="Arial" w:cs="Arial"/>
        </w:rPr>
        <w:t>. 2024). However, consumers may be tempted to opt for lower quality alternatives during a long time of economic uncertainty. Operational efficiency coupled with product quality will be key to maintaining profitability and the premium positioning of Dove, the study indicates.</w:t>
      </w:r>
    </w:p>
    <w:p w14:paraId="65CC1801" w14:textId="77777777" w:rsidR="00641572" w:rsidRPr="00E22A6C" w:rsidRDefault="001B57A1" w:rsidP="00E22A6C">
      <w:pPr>
        <w:rPr>
          <w:rFonts w:ascii="Arial" w:hAnsi="Arial" w:cs="Arial"/>
          <w:b/>
          <w:bCs/>
          <w:i/>
          <w:iCs/>
        </w:rPr>
      </w:pPr>
      <w:r w:rsidRPr="00E22A6C">
        <w:rPr>
          <w:rFonts w:ascii="Arial" w:hAnsi="Arial" w:cs="Arial"/>
          <w:b/>
          <w:bCs/>
          <w:i/>
          <w:iCs/>
        </w:rPr>
        <w:t xml:space="preserve">Social Factors </w:t>
      </w:r>
    </w:p>
    <w:p w14:paraId="61C1C8AF" w14:textId="77777777" w:rsidR="00641572" w:rsidRPr="00E22A6C" w:rsidRDefault="00315A5E" w:rsidP="00E22A6C">
      <w:pPr>
        <w:rPr>
          <w:rFonts w:ascii="Arial" w:hAnsi="Arial" w:cs="Arial"/>
          <w:color w:val="000000" w:themeColor="text1"/>
        </w:rPr>
      </w:pPr>
      <w:r w:rsidRPr="00E22A6C">
        <w:rPr>
          <w:rFonts w:ascii="Arial" w:hAnsi="Arial" w:cs="Arial"/>
          <w:color w:val="000000" w:themeColor="text1"/>
        </w:rPr>
        <w:t xml:space="preserve">It is found that social factors are the most influential factors on Dove Beauty Bar in the UK market. Today, consumers are increasingly seeking products that will benefit their skin health, inclusiveness, ethical sourcing and environmental responsibility (Ajayi </w:t>
      </w:r>
      <w:r w:rsidRPr="00E22A6C">
        <w:rPr>
          <w:rFonts w:ascii="Arial" w:hAnsi="Arial" w:cs="Arial"/>
          <w:i/>
          <w:iCs/>
          <w:color w:val="000000" w:themeColor="text1"/>
        </w:rPr>
        <w:t>et al</w:t>
      </w:r>
      <w:r w:rsidRPr="00E22A6C">
        <w:rPr>
          <w:rFonts w:ascii="Arial" w:hAnsi="Arial" w:cs="Arial"/>
          <w:color w:val="000000" w:themeColor="text1"/>
        </w:rPr>
        <w:t xml:space="preserve">. 2024). Dove has managed to establish emotional linkages and catch our attention with these preferences, which has helped to differentiate the brand. However, as always, consumers' tastes are shifting to include transparency on ingredients, cruelty-free products and sustainable packaging (Santoro, 2022). This is because Dove will not be able to start with a clean slate. Investment in the social mission and tangible </w:t>
      </w:r>
      <w:r w:rsidRPr="00E22A6C">
        <w:rPr>
          <w:rFonts w:ascii="Arial" w:hAnsi="Arial" w:cs="Arial"/>
          <w:color w:val="000000" w:themeColor="text1"/>
        </w:rPr>
        <w:lastRenderedPageBreak/>
        <w:t>sustainability gains remain very important to ensure consumer confidence and a competitive advantage</w:t>
      </w:r>
      <w:r w:rsidR="001B57A1" w:rsidRPr="00E22A6C">
        <w:rPr>
          <w:rFonts w:ascii="Arial" w:hAnsi="Arial" w:cs="Arial"/>
          <w:color w:val="000000" w:themeColor="text1"/>
        </w:rPr>
        <w:t>.</w:t>
      </w:r>
    </w:p>
    <w:p w14:paraId="623CD81C" w14:textId="77777777" w:rsidR="00641572" w:rsidRPr="00E22A6C" w:rsidRDefault="001B57A1" w:rsidP="00E22A6C">
      <w:pPr>
        <w:rPr>
          <w:rFonts w:ascii="Arial" w:hAnsi="Arial" w:cs="Arial"/>
          <w:b/>
          <w:bCs/>
          <w:i/>
          <w:iCs/>
        </w:rPr>
      </w:pPr>
      <w:r w:rsidRPr="00E22A6C">
        <w:rPr>
          <w:rFonts w:ascii="Arial" w:hAnsi="Arial" w:cs="Arial"/>
          <w:b/>
          <w:bCs/>
          <w:i/>
          <w:iCs/>
        </w:rPr>
        <w:t>Technological Factors</w:t>
      </w:r>
    </w:p>
    <w:p w14:paraId="533B91A6" w14:textId="77777777" w:rsidR="00641572" w:rsidRPr="00E22A6C" w:rsidRDefault="00315A5E" w:rsidP="00E22A6C">
      <w:pPr>
        <w:rPr>
          <w:rFonts w:ascii="Arial" w:hAnsi="Arial" w:cs="Arial"/>
          <w:color w:val="000000" w:themeColor="text1"/>
        </w:rPr>
      </w:pPr>
      <w:r w:rsidRPr="00E22A6C">
        <w:rPr>
          <w:rFonts w:ascii="Arial" w:hAnsi="Arial" w:cs="Arial"/>
          <w:color w:val="000000" w:themeColor="text1"/>
        </w:rPr>
        <w:t>The UK personal care industry is transforming because of technological innovation, impacting product development, digital marketing and consumer analytics. Unilever can invest in AI, research, development, and data-driven decision-making, which will help it quickly adapt to consumer preferences and optimise operations with Dove Beauty Bar. In the meantime, e-commerce and social media have boosted the competition so that new skin care companies can directly address consumers (Turcu and Brancu, 2025). Thus, Dove needs to innovate and engage with the market virtually, maintaining its brand reputation to gain a competitive advantage</w:t>
      </w:r>
      <w:r w:rsidR="001B57A1" w:rsidRPr="00E22A6C">
        <w:rPr>
          <w:rFonts w:ascii="Arial" w:hAnsi="Arial" w:cs="Arial"/>
          <w:color w:val="000000" w:themeColor="text1"/>
        </w:rPr>
        <w:t>.</w:t>
      </w:r>
    </w:p>
    <w:p w14:paraId="2F4F613A" w14:textId="77777777" w:rsidR="00641572" w:rsidRPr="00E22A6C" w:rsidRDefault="001B57A1" w:rsidP="00E22A6C">
      <w:pPr>
        <w:rPr>
          <w:rFonts w:ascii="Arial" w:hAnsi="Arial" w:cs="Arial"/>
          <w:b/>
          <w:bCs/>
          <w:i/>
          <w:iCs/>
        </w:rPr>
      </w:pPr>
      <w:r w:rsidRPr="00E22A6C">
        <w:rPr>
          <w:rFonts w:ascii="Arial" w:hAnsi="Arial" w:cs="Arial"/>
          <w:b/>
          <w:bCs/>
          <w:i/>
          <w:iCs/>
        </w:rPr>
        <w:t xml:space="preserve">Environmental Factors </w:t>
      </w:r>
    </w:p>
    <w:p w14:paraId="1351B255" w14:textId="77777777" w:rsidR="00641572" w:rsidRPr="00E22A6C" w:rsidRDefault="00315A5E" w:rsidP="00E22A6C">
      <w:pPr>
        <w:rPr>
          <w:rFonts w:ascii="Arial" w:hAnsi="Arial" w:cs="Arial"/>
          <w:color w:val="000000" w:themeColor="text1"/>
        </w:rPr>
      </w:pPr>
      <w:r w:rsidRPr="00E22A6C">
        <w:rPr>
          <w:rFonts w:ascii="Arial" w:hAnsi="Arial" w:cs="Arial"/>
          <w:color w:val="000000" w:themeColor="text1"/>
        </w:rPr>
        <w:t>One of the factors that matters to the UK's personal care business is environmental sustainability (</w:t>
      </w:r>
      <w:proofErr w:type="spellStart"/>
      <w:r w:rsidRPr="00E22A6C">
        <w:rPr>
          <w:rFonts w:ascii="Arial" w:hAnsi="Arial" w:cs="Arial"/>
          <w:color w:val="000000" w:themeColor="text1"/>
        </w:rPr>
        <w:t>Nwori</w:t>
      </w:r>
      <w:proofErr w:type="spellEnd"/>
      <w:r w:rsidRPr="00E22A6C">
        <w:rPr>
          <w:rFonts w:ascii="Arial" w:hAnsi="Arial" w:cs="Arial"/>
          <w:color w:val="000000" w:themeColor="text1"/>
        </w:rPr>
        <w:t xml:space="preserve"> and </w:t>
      </w:r>
      <w:proofErr w:type="spellStart"/>
      <w:r w:rsidRPr="00E22A6C">
        <w:rPr>
          <w:rFonts w:ascii="Arial" w:hAnsi="Arial" w:cs="Arial"/>
          <w:color w:val="000000" w:themeColor="text1"/>
        </w:rPr>
        <w:t>Uchegbulam</w:t>
      </w:r>
      <w:proofErr w:type="spellEnd"/>
      <w:r w:rsidRPr="00E22A6C">
        <w:rPr>
          <w:rFonts w:ascii="Arial" w:hAnsi="Arial" w:cs="Arial"/>
          <w:color w:val="000000" w:themeColor="text1"/>
        </w:rPr>
        <w:t>, 2025). Consumers are more than ever before seeking brands that minimise plastic waste and carbon emissions, and that are accountable for the ingredients. Dove's response is both in the form of recycling programs and responsible sourcing best practices, all aimed at improving Dove's sustainability profile. However, they do require continual investment and raising the profile of the brand regarding the sustainability of their environmental advantages. Therefore, sustainability must be seen as a strategic competency that will create consumer confidence and competitive differentiation, and not just due to regulatory requirements (Hamoudi, 2023)</w:t>
      </w:r>
      <w:r w:rsidR="001B57A1" w:rsidRPr="00E22A6C">
        <w:rPr>
          <w:rFonts w:ascii="Arial" w:hAnsi="Arial" w:cs="Arial"/>
          <w:color w:val="000000" w:themeColor="text1"/>
        </w:rPr>
        <w:t>.</w:t>
      </w:r>
    </w:p>
    <w:p w14:paraId="40332C90" w14:textId="77777777" w:rsidR="00641572" w:rsidRPr="00E22A6C" w:rsidRDefault="001B57A1" w:rsidP="00E22A6C">
      <w:pPr>
        <w:rPr>
          <w:rFonts w:ascii="Arial" w:hAnsi="Arial" w:cs="Arial"/>
          <w:b/>
          <w:bCs/>
          <w:i/>
          <w:iCs/>
        </w:rPr>
      </w:pPr>
      <w:r w:rsidRPr="00E22A6C">
        <w:rPr>
          <w:rFonts w:ascii="Arial" w:hAnsi="Arial" w:cs="Arial"/>
          <w:b/>
          <w:bCs/>
          <w:i/>
          <w:iCs/>
        </w:rPr>
        <w:t xml:space="preserve">Legal Factors </w:t>
      </w:r>
    </w:p>
    <w:p w14:paraId="0641674F" w14:textId="77777777" w:rsidR="00641572" w:rsidRPr="00E22A6C" w:rsidRDefault="001B57A1" w:rsidP="00E22A6C">
      <w:pPr>
        <w:rPr>
          <w:rFonts w:ascii="Arial" w:hAnsi="Arial" w:cs="Arial"/>
        </w:rPr>
      </w:pPr>
      <w:r w:rsidRPr="00E22A6C">
        <w:rPr>
          <w:rFonts w:ascii="Arial" w:hAnsi="Arial" w:cs="Arial"/>
        </w:rPr>
        <w:t xml:space="preserve">Dove Beauty Bar will be subject to a strict legal regime in the UK regarding product safety, advertising, consumer protection, environmental compliance and data privacy (Olteanu, 2025). Adhering to these rules is crucial for building consumer trust and safeguarding the reputation of the brand. </w:t>
      </w:r>
      <w:r w:rsidR="00A86784" w:rsidRPr="00E22A6C">
        <w:rPr>
          <w:rFonts w:ascii="Arial" w:hAnsi="Arial" w:cs="Arial"/>
        </w:rPr>
        <w:t>However,</w:t>
      </w:r>
      <w:r w:rsidRPr="00E22A6C">
        <w:rPr>
          <w:rFonts w:ascii="Arial" w:hAnsi="Arial" w:cs="Arial"/>
        </w:rPr>
        <w:t xml:space="preserve"> with the rising vigilance in environmental claims and product transparency, organisations </w:t>
      </w:r>
      <w:r w:rsidR="00AF5784" w:rsidRPr="00E22A6C">
        <w:rPr>
          <w:rFonts w:ascii="Arial" w:hAnsi="Arial" w:cs="Arial"/>
        </w:rPr>
        <w:t>have</w:t>
      </w:r>
      <w:r w:rsidRPr="00E22A6C">
        <w:rPr>
          <w:rFonts w:ascii="Arial" w:hAnsi="Arial" w:cs="Arial"/>
        </w:rPr>
        <w:t xml:space="preserve"> to go beyond the legal minimum (Schilling-Vacaflor and Gustafsson, 2024). Seeking to comply in advance of the legislation and regulation helps Dove minimise the legal and reputational danger and builds trust over the long term. Effective legal governance thus enables a sustainable competitive advantage and is not just a compliance need.</w:t>
      </w:r>
    </w:p>
    <w:p w14:paraId="1624F0C2" w14:textId="77777777" w:rsidR="00641572" w:rsidRPr="00E22A6C" w:rsidRDefault="001B57A1" w:rsidP="00E22A6C">
      <w:pPr>
        <w:rPr>
          <w:rFonts w:ascii="Arial" w:hAnsi="Arial" w:cs="Arial"/>
        </w:rPr>
      </w:pPr>
      <w:r w:rsidRPr="00E22A6C">
        <w:rPr>
          <w:rFonts w:ascii="Arial" w:hAnsi="Arial" w:cs="Arial"/>
        </w:rPr>
        <w:t xml:space="preserve">The PESTEL analysis reveals that the social, environmental and technological influences have the greatest impact on Dove Beauty Bar's competitive positioning in </w:t>
      </w:r>
      <w:r w:rsidRPr="00E22A6C">
        <w:rPr>
          <w:rFonts w:ascii="Arial" w:hAnsi="Arial" w:cs="Arial"/>
        </w:rPr>
        <w:lastRenderedPageBreak/>
        <w:t xml:space="preserve">the UK market today. Political, economic and legal changes pose operational challenges in terms of increased compliance burdens and market volatility but also stimulate innovation and sustainable business. However, the main drawback of PESTEL is that it focuses on macro-environmental factors and fails to analyse the organisation's capacity and explain whether Dove has adequate resources to take advantage of the opportunities in the market. Hence, an in-depth internal investigation is </w:t>
      </w:r>
      <w:r w:rsidR="00A86784" w:rsidRPr="00E22A6C">
        <w:rPr>
          <w:rFonts w:ascii="Arial" w:hAnsi="Arial" w:cs="Arial"/>
        </w:rPr>
        <w:t>necessary</w:t>
      </w:r>
      <w:r w:rsidRPr="00E22A6C">
        <w:rPr>
          <w:rFonts w:ascii="Arial" w:hAnsi="Arial" w:cs="Arial"/>
        </w:rPr>
        <w:t xml:space="preserve"> to assess if Unilever has a sustainable competitive advantage for Dove Beauty Bar by leveraging its strategic resources. This is done with the VRIO framework.</w:t>
      </w:r>
    </w:p>
    <w:p w14:paraId="2234F8A7" w14:textId="77777777" w:rsidR="00641572" w:rsidRPr="00E22A6C" w:rsidRDefault="001B57A1" w:rsidP="00E22A6C">
      <w:pPr>
        <w:pStyle w:val="Heading2"/>
        <w:rPr>
          <w:rFonts w:ascii="Arial" w:hAnsi="Arial" w:cs="Arial"/>
          <w:sz w:val="24"/>
          <w:szCs w:val="24"/>
        </w:rPr>
      </w:pPr>
      <w:bookmarkStart w:id="26" w:name="_24x3eot8xpz3" w:colFirst="0" w:colLast="0"/>
      <w:bookmarkStart w:id="27" w:name="_Toc236068248"/>
      <w:bookmarkEnd w:id="26"/>
      <w:r w:rsidRPr="00E22A6C">
        <w:rPr>
          <w:rFonts w:ascii="Arial" w:hAnsi="Arial" w:cs="Arial"/>
          <w:sz w:val="24"/>
          <w:szCs w:val="24"/>
        </w:rPr>
        <w:t>VRIO Analysis</w:t>
      </w:r>
      <w:bookmarkEnd w:id="27"/>
    </w:p>
    <w:tbl>
      <w:tblPr>
        <w:tblStyle w:val="GridTable5Dark-Accent1"/>
        <w:tblW w:w="5000" w:type="pct"/>
        <w:jc w:val="center"/>
        <w:tblLook w:val="0600" w:firstRow="0" w:lastRow="0" w:firstColumn="0" w:lastColumn="0" w:noHBand="1" w:noVBand="1"/>
      </w:tblPr>
      <w:tblGrid>
        <w:gridCol w:w="2014"/>
        <w:gridCol w:w="1204"/>
        <w:gridCol w:w="1404"/>
        <w:gridCol w:w="1404"/>
        <w:gridCol w:w="1403"/>
        <w:gridCol w:w="1590"/>
      </w:tblGrid>
      <w:tr w:rsidR="00641572" w:rsidRPr="00E22A6C" w14:paraId="1E8ADED3" w14:textId="77777777" w:rsidTr="00A86784">
        <w:trPr>
          <w:jc w:val="center"/>
        </w:trPr>
        <w:tc>
          <w:tcPr>
            <w:tcW w:w="1300" w:type="pct"/>
          </w:tcPr>
          <w:p w14:paraId="6533DEA8"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b/>
                <w:bCs/>
              </w:rPr>
            </w:pPr>
            <w:r w:rsidRPr="00E22A6C">
              <w:rPr>
                <w:rFonts w:ascii="Arial" w:hAnsi="Arial" w:cs="Arial"/>
                <w:b/>
                <w:bCs/>
              </w:rPr>
              <w:t>Capability</w:t>
            </w:r>
          </w:p>
        </w:tc>
        <w:tc>
          <w:tcPr>
            <w:tcW w:w="625" w:type="pct"/>
          </w:tcPr>
          <w:p w14:paraId="11F1B185"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b/>
                <w:bCs/>
              </w:rPr>
            </w:pPr>
            <w:r w:rsidRPr="00E22A6C">
              <w:rPr>
                <w:rFonts w:ascii="Arial" w:hAnsi="Arial" w:cs="Arial"/>
                <w:b/>
                <w:bCs/>
              </w:rPr>
              <w:t>Valuable</w:t>
            </w:r>
          </w:p>
        </w:tc>
        <w:tc>
          <w:tcPr>
            <w:tcW w:w="733" w:type="pct"/>
          </w:tcPr>
          <w:p w14:paraId="0033F0AB"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b/>
                <w:bCs/>
              </w:rPr>
            </w:pPr>
            <w:r w:rsidRPr="00E22A6C">
              <w:rPr>
                <w:rFonts w:ascii="Arial" w:hAnsi="Arial" w:cs="Arial"/>
                <w:b/>
                <w:bCs/>
              </w:rPr>
              <w:t>Rare</w:t>
            </w:r>
          </w:p>
        </w:tc>
        <w:tc>
          <w:tcPr>
            <w:tcW w:w="733" w:type="pct"/>
          </w:tcPr>
          <w:p w14:paraId="63A4902F"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b/>
                <w:bCs/>
              </w:rPr>
            </w:pPr>
            <w:r w:rsidRPr="00E22A6C">
              <w:rPr>
                <w:rFonts w:ascii="Arial" w:hAnsi="Arial" w:cs="Arial"/>
                <w:b/>
                <w:bCs/>
              </w:rPr>
              <w:t>Inimitable</w:t>
            </w:r>
          </w:p>
        </w:tc>
        <w:tc>
          <w:tcPr>
            <w:tcW w:w="717" w:type="pct"/>
          </w:tcPr>
          <w:p w14:paraId="3B3C4087"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b/>
                <w:bCs/>
              </w:rPr>
            </w:pPr>
            <w:r w:rsidRPr="00E22A6C">
              <w:rPr>
                <w:rFonts w:ascii="Arial" w:hAnsi="Arial" w:cs="Arial"/>
                <w:b/>
                <w:bCs/>
              </w:rPr>
              <w:t>Organised</w:t>
            </w:r>
          </w:p>
        </w:tc>
        <w:tc>
          <w:tcPr>
            <w:tcW w:w="892" w:type="pct"/>
          </w:tcPr>
          <w:p w14:paraId="11846106"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b/>
                <w:bCs/>
              </w:rPr>
            </w:pPr>
            <w:r w:rsidRPr="00E22A6C">
              <w:rPr>
                <w:rFonts w:ascii="Arial" w:hAnsi="Arial" w:cs="Arial"/>
                <w:b/>
                <w:bCs/>
              </w:rPr>
              <w:t>Competitive Implication</w:t>
            </w:r>
          </w:p>
        </w:tc>
      </w:tr>
      <w:tr w:rsidR="00641572" w:rsidRPr="00E22A6C" w14:paraId="653E41F4" w14:textId="77777777" w:rsidTr="00A86784">
        <w:trPr>
          <w:jc w:val="center"/>
        </w:trPr>
        <w:tc>
          <w:tcPr>
            <w:tcW w:w="1300" w:type="pct"/>
          </w:tcPr>
          <w:p w14:paraId="50930E9B" w14:textId="77777777" w:rsidR="00641572" w:rsidRPr="00E22A6C" w:rsidRDefault="001B57A1" w:rsidP="00E22A6C">
            <w:pPr>
              <w:widowControl w:val="0"/>
              <w:pBdr>
                <w:top w:val="nil"/>
                <w:left w:val="nil"/>
                <w:bottom w:val="nil"/>
                <w:right w:val="nil"/>
                <w:between w:val="nil"/>
              </w:pBdr>
              <w:spacing w:line="360" w:lineRule="auto"/>
              <w:jc w:val="left"/>
              <w:rPr>
                <w:rFonts w:ascii="Arial" w:hAnsi="Arial" w:cs="Arial"/>
              </w:rPr>
            </w:pPr>
            <w:r w:rsidRPr="00E22A6C">
              <w:rPr>
                <w:rFonts w:ascii="Arial" w:hAnsi="Arial" w:cs="Arial"/>
              </w:rPr>
              <w:t>Consumer trust and Brand Reputation</w:t>
            </w:r>
          </w:p>
        </w:tc>
        <w:tc>
          <w:tcPr>
            <w:tcW w:w="625" w:type="pct"/>
          </w:tcPr>
          <w:p w14:paraId="34A434DD"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rPr>
            </w:pPr>
            <w:r w:rsidRPr="00E22A6C">
              <w:rPr>
                <w:rFonts w:ascii="Segoe UI Symbol" w:eastAsia="Arial Unicode MS" w:hAnsi="Segoe UI Symbol" w:cs="Segoe UI Symbol"/>
              </w:rPr>
              <w:t>✓</w:t>
            </w:r>
          </w:p>
        </w:tc>
        <w:tc>
          <w:tcPr>
            <w:tcW w:w="733" w:type="pct"/>
          </w:tcPr>
          <w:p w14:paraId="1A8CD2FC"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rPr>
            </w:pPr>
            <w:r w:rsidRPr="00E22A6C">
              <w:rPr>
                <w:rFonts w:ascii="Segoe UI Symbol" w:eastAsia="Arial Unicode MS" w:hAnsi="Segoe UI Symbol" w:cs="Segoe UI Symbol"/>
              </w:rPr>
              <w:t>✓</w:t>
            </w:r>
          </w:p>
        </w:tc>
        <w:tc>
          <w:tcPr>
            <w:tcW w:w="733" w:type="pct"/>
          </w:tcPr>
          <w:p w14:paraId="2786D914"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rPr>
            </w:pPr>
            <w:r w:rsidRPr="00E22A6C">
              <w:rPr>
                <w:rFonts w:ascii="Segoe UI Symbol" w:eastAsia="Arial Unicode MS" w:hAnsi="Segoe UI Symbol" w:cs="Segoe UI Symbol"/>
              </w:rPr>
              <w:t>✓</w:t>
            </w:r>
          </w:p>
        </w:tc>
        <w:tc>
          <w:tcPr>
            <w:tcW w:w="717" w:type="pct"/>
          </w:tcPr>
          <w:p w14:paraId="7B428B56"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rPr>
            </w:pPr>
            <w:r w:rsidRPr="00E22A6C">
              <w:rPr>
                <w:rFonts w:ascii="Segoe UI Symbol" w:eastAsia="Arial Unicode MS" w:hAnsi="Segoe UI Symbol" w:cs="Segoe UI Symbol"/>
              </w:rPr>
              <w:t>✓</w:t>
            </w:r>
          </w:p>
        </w:tc>
        <w:tc>
          <w:tcPr>
            <w:tcW w:w="892" w:type="pct"/>
          </w:tcPr>
          <w:p w14:paraId="42E84F7D" w14:textId="77777777" w:rsidR="00641572" w:rsidRPr="00E22A6C" w:rsidRDefault="001B57A1" w:rsidP="00E22A6C">
            <w:pPr>
              <w:widowControl w:val="0"/>
              <w:pBdr>
                <w:top w:val="nil"/>
                <w:left w:val="nil"/>
                <w:bottom w:val="nil"/>
                <w:right w:val="nil"/>
                <w:between w:val="nil"/>
              </w:pBdr>
              <w:spacing w:line="360" w:lineRule="auto"/>
              <w:jc w:val="left"/>
              <w:rPr>
                <w:rFonts w:ascii="Arial" w:hAnsi="Arial" w:cs="Arial"/>
              </w:rPr>
            </w:pPr>
            <w:r w:rsidRPr="00E22A6C">
              <w:rPr>
                <w:rFonts w:ascii="Arial" w:hAnsi="Arial" w:cs="Arial"/>
              </w:rPr>
              <w:t>Sustained competitive advantage</w:t>
            </w:r>
          </w:p>
        </w:tc>
      </w:tr>
      <w:tr w:rsidR="00641572" w:rsidRPr="00E22A6C" w14:paraId="0D798729" w14:textId="77777777" w:rsidTr="00A86784">
        <w:trPr>
          <w:jc w:val="center"/>
        </w:trPr>
        <w:tc>
          <w:tcPr>
            <w:tcW w:w="1300" w:type="pct"/>
          </w:tcPr>
          <w:p w14:paraId="20751BCA" w14:textId="77777777" w:rsidR="00641572" w:rsidRPr="00E22A6C" w:rsidRDefault="001B57A1" w:rsidP="00E22A6C">
            <w:pPr>
              <w:widowControl w:val="0"/>
              <w:pBdr>
                <w:top w:val="nil"/>
                <w:left w:val="nil"/>
                <w:bottom w:val="nil"/>
                <w:right w:val="nil"/>
                <w:between w:val="nil"/>
              </w:pBdr>
              <w:spacing w:line="360" w:lineRule="auto"/>
              <w:jc w:val="left"/>
              <w:rPr>
                <w:rFonts w:ascii="Arial" w:hAnsi="Arial" w:cs="Arial"/>
              </w:rPr>
            </w:pPr>
            <w:r w:rsidRPr="00E22A6C">
              <w:rPr>
                <w:rFonts w:ascii="Arial" w:hAnsi="Arial" w:cs="Arial"/>
              </w:rPr>
              <w:t>R&amp;D of Unilever</w:t>
            </w:r>
          </w:p>
        </w:tc>
        <w:tc>
          <w:tcPr>
            <w:tcW w:w="625" w:type="pct"/>
          </w:tcPr>
          <w:p w14:paraId="47B7C84F"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rPr>
            </w:pPr>
            <w:r w:rsidRPr="00E22A6C">
              <w:rPr>
                <w:rFonts w:ascii="Segoe UI Symbol" w:eastAsia="Arial Unicode MS" w:hAnsi="Segoe UI Symbol" w:cs="Segoe UI Symbol"/>
              </w:rPr>
              <w:t>✓</w:t>
            </w:r>
          </w:p>
        </w:tc>
        <w:tc>
          <w:tcPr>
            <w:tcW w:w="733" w:type="pct"/>
          </w:tcPr>
          <w:p w14:paraId="708C53D1"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rPr>
            </w:pPr>
            <w:r w:rsidRPr="00E22A6C">
              <w:rPr>
                <w:rFonts w:ascii="Segoe UI Symbol" w:eastAsia="Arial Unicode MS" w:hAnsi="Segoe UI Symbol" w:cs="Segoe UI Symbol"/>
              </w:rPr>
              <w:t>✓</w:t>
            </w:r>
          </w:p>
        </w:tc>
        <w:tc>
          <w:tcPr>
            <w:tcW w:w="733" w:type="pct"/>
          </w:tcPr>
          <w:p w14:paraId="52785FF4"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rPr>
            </w:pPr>
            <w:r w:rsidRPr="00E22A6C">
              <w:rPr>
                <w:rFonts w:ascii="Segoe UI Symbol" w:eastAsia="Arial Unicode MS" w:hAnsi="Segoe UI Symbol" w:cs="Segoe UI Symbol"/>
              </w:rPr>
              <w:t>✓</w:t>
            </w:r>
          </w:p>
        </w:tc>
        <w:tc>
          <w:tcPr>
            <w:tcW w:w="717" w:type="pct"/>
          </w:tcPr>
          <w:p w14:paraId="6F05E430"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rPr>
            </w:pPr>
            <w:r w:rsidRPr="00E22A6C">
              <w:rPr>
                <w:rFonts w:ascii="Segoe UI Symbol" w:eastAsia="Arial Unicode MS" w:hAnsi="Segoe UI Symbol" w:cs="Segoe UI Symbol"/>
              </w:rPr>
              <w:t>✓</w:t>
            </w:r>
          </w:p>
        </w:tc>
        <w:tc>
          <w:tcPr>
            <w:tcW w:w="892" w:type="pct"/>
          </w:tcPr>
          <w:p w14:paraId="500FE964" w14:textId="77777777" w:rsidR="00641572" w:rsidRPr="00E22A6C" w:rsidRDefault="001B57A1" w:rsidP="00E22A6C">
            <w:pPr>
              <w:widowControl w:val="0"/>
              <w:pBdr>
                <w:top w:val="nil"/>
                <w:left w:val="nil"/>
                <w:bottom w:val="nil"/>
                <w:right w:val="nil"/>
                <w:between w:val="nil"/>
              </w:pBdr>
              <w:spacing w:line="360" w:lineRule="auto"/>
              <w:jc w:val="left"/>
              <w:rPr>
                <w:rFonts w:ascii="Arial" w:hAnsi="Arial" w:cs="Arial"/>
              </w:rPr>
            </w:pPr>
            <w:r w:rsidRPr="00E22A6C">
              <w:rPr>
                <w:rFonts w:ascii="Arial" w:hAnsi="Arial" w:cs="Arial"/>
              </w:rPr>
              <w:t>Sustained competitive advantage</w:t>
            </w:r>
          </w:p>
        </w:tc>
      </w:tr>
      <w:tr w:rsidR="00641572" w:rsidRPr="00E22A6C" w14:paraId="5435A0B4" w14:textId="77777777" w:rsidTr="00A86784">
        <w:trPr>
          <w:jc w:val="center"/>
        </w:trPr>
        <w:tc>
          <w:tcPr>
            <w:tcW w:w="1300" w:type="pct"/>
          </w:tcPr>
          <w:p w14:paraId="0A42DD9B" w14:textId="77777777" w:rsidR="00641572" w:rsidRPr="00E22A6C" w:rsidRDefault="001B57A1" w:rsidP="00E22A6C">
            <w:pPr>
              <w:widowControl w:val="0"/>
              <w:pBdr>
                <w:top w:val="nil"/>
                <w:left w:val="nil"/>
                <w:bottom w:val="nil"/>
                <w:right w:val="nil"/>
                <w:between w:val="nil"/>
              </w:pBdr>
              <w:spacing w:line="360" w:lineRule="auto"/>
              <w:jc w:val="left"/>
              <w:rPr>
                <w:rFonts w:ascii="Arial" w:hAnsi="Arial" w:cs="Arial"/>
              </w:rPr>
            </w:pPr>
            <w:r w:rsidRPr="00E22A6C">
              <w:rPr>
                <w:rFonts w:ascii="Arial" w:hAnsi="Arial" w:cs="Arial"/>
              </w:rPr>
              <w:t>ESG and Sustainable Sourcing</w:t>
            </w:r>
          </w:p>
        </w:tc>
        <w:tc>
          <w:tcPr>
            <w:tcW w:w="625" w:type="pct"/>
          </w:tcPr>
          <w:p w14:paraId="423C2F24"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rPr>
            </w:pPr>
            <w:r w:rsidRPr="00E22A6C">
              <w:rPr>
                <w:rFonts w:ascii="Segoe UI Symbol" w:eastAsia="Arial Unicode MS" w:hAnsi="Segoe UI Symbol" w:cs="Segoe UI Symbol"/>
              </w:rPr>
              <w:t>✓</w:t>
            </w:r>
          </w:p>
        </w:tc>
        <w:tc>
          <w:tcPr>
            <w:tcW w:w="733" w:type="pct"/>
          </w:tcPr>
          <w:p w14:paraId="19E95BE3" w14:textId="77777777" w:rsidR="00641572" w:rsidRPr="00E22A6C" w:rsidRDefault="001B57A1" w:rsidP="00E22A6C">
            <w:pPr>
              <w:widowControl w:val="0"/>
              <w:pBdr>
                <w:top w:val="nil"/>
                <w:left w:val="nil"/>
                <w:bottom w:val="nil"/>
                <w:right w:val="nil"/>
                <w:between w:val="nil"/>
              </w:pBdr>
              <w:spacing w:line="360" w:lineRule="auto"/>
              <w:jc w:val="left"/>
              <w:rPr>
                <w:rFonts w:ascii="Arial" w:hAnsi="Arial" w:cs="Arial"/>
              </w:rPr>
            </w:pPr>
            <w:r w:rsidRPr="00E22A6C">
              <w:rPr>
                <w:rFonts w:ascii="Arial" w:hAnsi="Arial" w:cs="Arial"/>
              </w:rPr>
              <w:t>Moderately</w:t>
            </w:r>
          </w:p>
        </w:tc>
        <w:tc>
          <w:tcPr>
            <w:tcW w:w="733" w:type="pct"/>
          </w:tcPr>
          <w:p w14:paraId="2876C4D8" w14:textId="77777777" w:rsidR="00641572" w:rsidRPr="00E22A6C" w:rsidRDefault="001B57A1" w:rsidP="00E22A6C">
            <w:pPr>
              <w:widowControl w:val="0"/>
              <w:pBdr>
                <w:top w:val="nil"/>
                <w:left w:val="nil"/>
                <w:bottom w:val="nil"/>
                <w:right w:val="nil"/>
                <w:between w:val="nil"/>
              </w:pBdr>
              <w:spacing w:line="360" w:lineRule="auto"/>
              <w:jc w:val="left"/>
              <w:rPr>
                <w:rFonts w:ascii="Arial" w:hAnsi="Arial" w:cs="Arial"/>
              </w:rPr>
            </w:pPr>
            <w:r w:rsidRPr="00E22A6C">
              <w:rPr>
                <w:rFonts w:ascii="Arial" w:hAnsi="Arial" w:cs="Arial"/>
              </w:rPr>
              <w:t>Moderately</w:t>
            </w:r>
          </w:p>
        </w:tc>
        <w:tc>
          <w:tcPr>
            <w:tcW w:w="717" w:type="pct"/>
          </w:tcPr>
          <w:p w14:paraId="6F6A60D7"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rPr>
            </w:pPr>
            <w:r w:rsidRPr="00E22A6C">
              <w:rPr>
                <w:rFonts w:ascii="Segoe UI Symbol" w:eastAsia="Arial Unicode MS" w:hAnsi="Segoe UI Symbol" w:cs="Segoe UI Symbol"/>
              </w:rPr>
              <w:t>✓</w:t>
            </w:r>
          </w:p>
        </w:tc>
        <w:tc>
          <w:tcPr>
            <w:tcW w:w="892" w:type="pct"/>
          </w:tcPr>
          <w:p w14:paraId="5F121828" w14:textId="77777777" w:rsidR="00641572" w:rsidRPr="00E22A6C" w:rsidRDefault="001B57A1" w:rsidP="00E22A6C">
            <w:pPr>
              <w:widowControl w:val="0"/>
              <w:pBdr>
                <w:top w:val="nil"/>
                <w:left w:val="nil"/>
                <w:bottom w:val="nil"/>
                <w:right w:val="nil"/>
                <w:between w:val="nil"/>
              </w:pBdr>
              <w:spacing w:line="360" w:lineRule="auto"/>
              <w:jc w:val="left"/>
              <w:rPr>
                <w:rFonts w:ascii="Arial" w:hAnsi="Arial" w:cs="Arial"/>
              </w:rPr>
            </w:pPr>
            <w:r w:rsidRPr="00E22A6C">
              <w:rPr>
                <w:rFonts w:ascii="Arial" w:hAnsi="Arial" w:cs="Arial"/>
              </w:rPr>
              <w:t>Sustained competitive advantage (temporary)</w:t>
            </w:r>
          </w:p>
        </w:tc>
      </w:tr>
      <w:tr w:rsidR="00641572" w:rsidRPr="00E22A6C" w14:paraId="225437D8" w14:textId="77777777" w:rsidTr="00A86784">
        <w:trPr>
          <w:jc w:val="center"/>
        </w:trPr>
        <w:tc>
          <w:tcPr>
            <w:tcW w:w="1300" w:type="pct"/>
          </w:tcPr>
          <w:p w14:paraId="286301FE" w14:textId="77777777" w:rsidR="00641572" w:rsidRPr="00E22A6C" w:rsidRDefault="001B57A1" w:rsidP="00E22A6C">
            <w:pPr>
              <w:widowControl w:val="0"/>
              <w:pBdr>
                <w:top w:val="nil"/>
                <w:left w:val="nil"/>
                <w:bottom w:val="nil"/>
                <w:right w:val="nil"/>
                <w:between w:val="nil"/>
              </w:pBdr>
              <w:spacing w:line="360" w:lineRule="auto"/>
              <w:jc w:val="left"/>
              <w:rPr>
                <w:rFonts w:ascii="Arial" w:hAnsi="Arial" w:cs="Arial"/>
              </w:rPr>
            </w:pPr>
            <w:r w:rsidRPr="00E22A6C">
              <w:rPr>
                <w:rFonts w:ascii="Arial" w:hAnsi="Arial" w:cs="Arial"/>
              </w:rPr>
              <w:t>Supply Chain Network</w:t>
            </w:r>
          </w:p>
        </w:tc>
        <w:tc>
          <w:tcPr>
            <w:tcW w:w="625" w:type="pct"/>
          </w:tcPr>
          <w:p w14:paraId="795036A0"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rPr>
            </w:pPr>
            <w:r w:rsidRPr="00E22A6C">
              <w:rPr>
                <w:rFonts w:ascii="Segoe UI Symbol" w:eastAsia="Arial Unicode MS" w:hAnsi="Segoe UI Symbol" w:cs="Segoe UI Symbol"/>
              </w:rPr>
              <w:t>✓</w:t>
            </w:r>
          </w:p>
        </w:tc>
        <w:tc>
          <w:tcPr>
            <w:tcW w:w="733" w:type="pct"/>
          </w:tcPr>
          <w:p w14:paraId="154C91A9"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rPr>
            </w:pPr>
            <w:r w:rsidRPr="00E22A6C">
              <w:rPr>
                <w:rFonts w:ascii="Segoe UI Symbol" w:eastAsia="MS Mincho" w:hAnsi="Segoe UI Symbol" w:cs="Segoe UI Symbol"/>
              </w:rPr>
              <w:t>╳</w:t>
            </w:r>
          </w:p>
        </w:tc>
        <w:tc>
          <w:tcPr>
            <w:tcW w:w="733" w:type="pct"/>
          </w:tcPr>
          <w:p w14:paraId="357CCBD9"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rPr>
            </w:pPr>
            <w:r w:rsidRPr="00E22A6C">
              <w:rPr>
                <w:rFonts w:ascii="Segoe UI Symbol" w:eastAsia="MS Mincho" w:hAnsi="Segoe UI Symbol" w:cs="Segoe UI Symbol"/>
              </w:rPr>
              <w:t>╳</w:t>
            </w:r>
          </w:p>
        </w:tc>
        <w:tc>
          <w:tcPr>
            <w:tcW w:w="717" w:type="pct"/>
          </w:tcPr>
          <w:p w14:paraId="0FA51A4D"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rPr>
            </w:pPr>
            <w:r w:rsidRPr="00E22A6C">
              <w:rPr>
                <w:rFonts w:ascii="Segoe UI Symbol" w:eastAsia="Arial Unicode MS" w:hAnsi="Segoe UI Symbol" w:cs="Segoe UI Symbol"/>
              </w:rPr>
              <w:t>✓</w:t>
            </w:r>
          </w:p>
        </w:tc>
        <w:tc>
          <w:tcPr>
            <w:tcW w:w="892" w:type="pct"/>
          </w:tcPr>
          <w:p w14:paraId="4BEEC6FA" w14:textId="77777777" w:rsidR="00641572" w:rsidRPr="00E22A6C" w:rsidRDefault="001B57A1" w:rsidP="00E22A6C">
            <w:pPr>
              <w:widowControl w:val="0"/>
              <w:pBdr>
                <w:top w:val="nil"/>
                <w:left w:val="nil"/>
                <w:bottom w:val="nil"/>
                <w:right w:val="nil"/>
                <w:between w:val="nil"/>
              </w:pBdr>
              <w:spacing w:line="360" w:lineRule="auto"/>
              <w:jc w:val="left"/>
              <w:rPr>
                <w:rFonts w:ascii="Arial" w:hAnsi="Arial" w:cs="Arial"/>
              </w:rPr>
            </w:pPr>
            <w:r w:rsidRPr="00E22A6C">
              <w:rPr>
                <w:rFonts w:ascii="Arial" w:hAnsi="Arial" w:cs="Arial"/>
              </w:rPr>
              <w:t>Competitive parity</w:t>
            </w:r>
          </w:p>
        </w:tc>
      </w:tr>
      <w:tr w:rsidR="00641572" w:rsidRPr="00E22A6C" w14:paraId="611D0044" w14:textId="77777777" w:rsidTr="00A86784">
        <w:trPr>
          <w:jc w:val="center"/>
        </w:trPr>
        <w:tc>
          <w:tcPr>
            <w:tcW w:w="1300" w:type="pct"/>
          </w:tcPr>
          <w:p w14:paraId="13EF16D7" w14:textId="77777777" w:rsidR="00641572" w:rsidRPr="00E22A6C" w:rsidRDefault="001B57A1" w:rsidP="00E22A6C">
            <w:pPr>
              <w:widowControl w:val="0"/>
              <w:pBdr>
                <w:top w:val="nil"/>
                <w:left w:val="nil"/>
                <w:bottom w:val="nil"/>
                <w:right w:val="nil"/>
                <w:between w:val="nil"/>
              </w:pBdr>
              <w:spacing w:line="360" w:lineRule="auto"/>
              <w:jc w:val="left"/>
              <w:rPr>
                <w:rFonts w:ascii="Arial" w:hAnsi="Arial" w:cs="Arial"/>
              </w:rPr>
            </w:pPr>
            <w:r w:rsidRPr="00E22A6C">
              <w:rPr>
                <w:rFonts w:ascii="Arial" w:hAnsi="Arial" w:cs="Arial"/>
              </w:rPr>
              <w:t>Finance and Investment</w:t>
            </w:r>
          </w:p>
        </w:tc>
        <w:tc>
          <w:tcPr>
            <w:tcW w:w="625" w:type="pct"/>
          </w:tcPr>
          <w:p w14:paraId="564BE084"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rPr>
            </w:pPr>
            <w:r w:rsidRPr="00E22A6C">
              <w:rPr>
                <w:rFonts w:ascii="Segoe UI Symbol" w:eastAsia="Arial Unicode MS" w:hAnsi="Segoe UI Symbol" w:cs="Segoe UI Symbol"/>
              </w:rPr>
              <w:t>✓</w:t>
            </w:r>
          </w:p>
        </w:tc>
        <w:tc>
          <w:tcPr>
            <w:tcW w:w="733" w:type="pct"/>
          </w:tcPr>
          <w:p w14:paraId="37F0FA73"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rPr>
            </w:pPr>
            <w:r w:rsidRPr="00E22A6C">
              <w:rPr>
                <w:rFonts w:ascii="Segoe UI Symbol" w:eastAsia="MS Mincho" w:hAnsi="Segoe UI Symbol" w:cs="Segoe UI Symbol"/>
              </w:rPr>
              <w:t>╳</w:t>
            </w:r>
          </w:p>
        </w:tc>
        <w:tc>
          <w:tcPr>
            <w:tcW w:w="733" w:type="pct"/>
          </w:tcPr>
          <w:p w14:paraId="32C4E718"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rPr>
            </w:pPr>
            <w:r w:rsidRPr="00E22A6C">
              <w:rPr>
                <w:rFonts w:ascii="Segoe UI Symbol" w:eastAsia="MS Mincho" w:hAnsi="Segoe UI Symbol" w:cs="Segoe UI Symbol"/>
              </w:rPr>
              <w:t>╳</w:t>
            </w:r>
          </w:p>
        </w:tc>
        <w:tc>
          <w:tcPr>
            <w:tcW w:w="717" w:type="pct"/>
          </w:tcPr>
          <w:p w14:paraId="46E24AFA"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rPr>
            </w:pPr>
            <w:r w:rsidRPr="00E22A6C">
              <w:rPr>
                <w:rFonts w:ascii="Segoe UI Symbol" w:eastAsia="Arial Unicode MS" w:hAnsi="Segoe UI Symbol" w:cs="Segoe UI Symbol"/>
              </w:rPr>
              <w:t>✓</w:t>
            </w:r>
          </w:p>
        </w:tc>
        <w:tc>
          <w:tcPr>
            <w:tcW w:w="892" w:type="pct"/>
          </w:tcPr>
          <w:p w14:paraId="726328B1" w14:textId="77777777" w:rsidR="00641572" w:rsidRPr="00E22A6C" w:rsidRDefault="001B57A1" w:rsidP="00E22A6C">
            <w:pPr>
              <w:widowControl w:val="0"/>
              <w:pBdr>
                <w:top w:val="nil"/>
                <w:left w:val="nil"/>
                <w:bottom w:val="nil"/>
                <w:right w:val="nil"/>
                <w:between w:val="nil"/>
              </w:pBdr>
              <w:spacing w:line="360" w:lineRule="auto"/>
              <w:jc w:val="left"/>
              <w:rPr>
                <w:rFonts w:ascii="Arial" w:hAnsi="Arial" w:cs="Arial"/>
              </w:rPr>
            </w:pPr>
            <w:r w:rsidRPr="00E22A6C">
              <w:rPr>
                <w:rFonts w:ascii="Arial" w:hAnsi="Arial" w:cs="Arial"/>
              </w:rPr>
              <w:t>Competitive parity</w:t>
            </w:r>
          </w:p>
        </w:tc>
      </w:tr>
      <w:tr w:rsidR="00641572" w:rsidRPr="00E22A6C" w14:paraId="544B6989" w14:textId="77777777" w:rsidTr="00A86784">
        <w:trPr>
          <w:jc w:val="center"/>
        </w:trPr>
        <w:tc>
          <w:tcPr>
            <w:tcW w:w="1300" w:type="pct"/>
          </w:tcPr>
          <w:p w14:paraId="30A0152F" w14:textId="77777777" w:rsidR="00641572" w:rsidRPr="00E22A6C" w:rsidRDefault="001B57A1" w:rsidP="00E22A6C">
            <w:pPr>
              <w:widowControl w:val="0"/>
              <w:pBdr>
                <w:top w:val="nil"/>
                <w:left w:val="nil"/>
                <w:bottom w:val="nil"/>
                <w:right w:val="nil"/>
                <w:between w:val="nil"/>
              </w:pBdr>
              <w:spacing w:line="360" w:lineRule="auto"/>
              <w:jc w:val="left"/>
              <w:rPr>
                <w:rFonts w:ascii="Arial" w:hAnsi="Arial" w:cs="Arial"/>
              </w:rPr>
            </w:pPr>
            <w:r w:rsidRPr="00E22A6C">
              <w:rPr>
                <w:rFonts w:ascii="Arial" w:hAnsi="Arial" w:cs="Arial"/>
              </w:rPr>
              <w:t>Purpose-driven marketing</w:t>
            </w:r>
          </w:p>
        </w:tc>
        <w:tc>
          <w:tcPr>
            <w:tcW w:w="625" w:type="pct"/>
          </w:tcPr>
          <w:p w14:paraId="085975CF"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rPr>
            </w:pPr>
            <w:r w:rsidRPr="00E22A6C">
              <w:rPr>
                <w:rFonts w:ascii="Segoe UI Symbol" w:eastAsia="Arial Unicode MS" w:hAnsi="Segoe UI Symbol" w:cs="Segoe UI Symbol"/>
              </w:rPr>
              <w:t>✓</w:t>
            </w:r>
          </w:p>
        </w:tc>
        <w:tc>
          <w:tcPr>
            <w:tcW w:w="733" w:type="pct"/>
          </w:tcPr>
          <w:p w14:paraId="6B092F7B"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rPr>
            </w:pPr>
            <w:r w:rsidRPr="00E22A6C">
              <w:rPr>
                <w:rFonts w:ascii="Segoe UI Symbol" w:eastAsia="Arial Unicode MS" w:hAnsi="Segoe UI Symbol" w:cs="Segoe UI Symbol"/>
              </w:rPr>
              <w:t>✓</w:t>
            </w:r>
          </w:p>
        </w:tc>
        <w:tc>
          <w:tcPr>
            <w:tcW w:w="733" w:type="pct"/>
          </w:tcPr>
          <w:p w14:paraId="5A6F851B"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rPr>
            </w:pPr>
            <w:r w:rsidRPr="00E22A6C">
              <w:rPr>
                <w:rFonts w:ascii="Segoe UI Symbol" w:eastAsia="Arial Unicode MS" w:hAnsi="Segoe UI Symbol" w:cs="Segoe UI Symbol"/>
              </w:rPr>
              <w:t>✓</w:t>
            </w:r>
          </w:p>
        </w:tc>
        <w:tc>
          <w:tcPr>
            <w:tcW w:w="717" w:type="pct"/>
          </w:tcPr>
          <w:p w14:paraId="03524DBB" w14:textId="77777777" w:rsidR="00641572" w:rsidRPr="00E22A6C" w:rsidRDefault="001B57A1" w:rsidP="00E22A6C">
            <w:pPr>
              <w:widowControl w:val="0"/>
              <w:pBdr>
                <w:top w:val="nil"/>
                <w:left w:val="nil"/>
                <w:bottom w:val="nil"/>
                <w:right w:val="nil"/>
                <w:between w:val="nil"/>
              </w:pBdr>
              <w:spacing w:line="360" w:lineRule="auto"/>
              <w:jc w:val="center"/>
              <w:rPr>
                <w:rFonts w:ascii="Arial" w:hAnsi="Arial" w:cs="Arial"/>
              </w:rPr>
            </w:pPr>
            <w:r w:rsidRPr="00E22A6C">
              <w:rPr>
                <w:rFonts w:ascii="Segoe UI Symbol" w:eastAsia="Arial Unicode MS" w:hAnsi="Segoe UI Symbol" w:cs="Segoe UI Symbol"/>
              </w:rPr>
              <w:t>✓</w:t>
            </w:r>
          </w:p>
        </w:tc>
        <w:tc>
          <w:tcPr>
            <w:tcW w:w="892" w:type="pct"/>
          </w:tcPr>
          <w:p w14:paraId="077CA826" w14:textId="77777777" w:rsidR="00641572" w:rsidRPr="00E22A6C" w:rsidRDefault="001B57A1" w:rsidP="00E22A6C">
            <w:pPr>
              <w:widowControl w:val="0"/>
              <w:pBdr>
                <w:top w:val="nil"/>
                <w:left w:val="nil"/>
                <w:bottom w:val="nil"/>
                <w:right w:val="nil"/>
                <w:between w:val="nil"/>
              </w:pBdr>
              <w:spacing w:line="360" w:lineRule="auto"/>
              <w:jc w:val="left"/>
              <w:rPr>
                <w:rFonts w:ascii="Arial" w:hAnsi="Arial" w:cs="Arial"/>
              </w:rPr>
            </w:pPr>
            <w:r w:rsidRPr="00E22A6C">
              <w:rPr>
                <w:rFonts w:ascii="Arial" w:hAnsi="Arial" w:cs="Arial"/>
              </w:rPr>
              <w:t>Sustained competitive advantage</w:t>
            </w:r>
          </w:p>
        </w:tc>
      </w:tr>
    </w:tbl>
    <w:p w14:paraId="6C1C9249" w14:textId="77777777" w:rsidR="00641572" w:rsidRPr="00E22A6C" w:rsidRDefault="001B57A1" w:rsidP="00E22A6C">
      <w:pPr>
        <w:jc w:val="center"/>
        <w:rPr>
          <w:rFonts w:ascii="Arial" w:hAnsi="Arial" w:cs="Arial"/>
          <w:b/>
          <w:bCs/>
        </w:rPr>
      </w:pPr>
      <w:r w:rsidRPr="00E22A6C">
        <w:rPr>
          <w:rFonts w:ascii="Arial" w:hAnsi="Arial" w:cs="Arial"/>
          <w:b/>
          <w:bCs/>
        </w:rPr>
        <w:t>Table 1: VRIO Analysis</w:t>
      </w:r>
    </w:p>
    <w:p w14:paraId="1F24F029" w14:textId="77777777" w:rsidR="00641572" w:rsidRPr="00E22A6C" w:rsidRDefault="001B57A1" w:rsidP="00E22A6C">
      <w:pPr>
        <w:jc w:val="center"/>
        <w:rPr>
          <w:rFonts w:ascii="Arial" w:hAnsi="Arial" w:cs="Arial"/>
        </w:rPr>
      </w:pPr>
      <w:r w:rsidRPr="00E22A6C">
        <w:rPr>
          <w:rFonts w:ascii="Arial" w:hAnsi="Arial" w:cs="Arial"/>
        </w:rPr>
        <w:t>(Source: Self-created)</w:t>
      </w:r>
    </w:p>
    <w:p w14:paraId="671E0F43" w14:textId="77777777" w:rsidR="00641572" w:rsidRPr="00E22A6C" w:rsidRDefault="001B57A1" w:rsidP="00E22A6C">
      <w:pPr>
        <w:rPr>
          <w:rFonts w:ascii="Arial" w:hAnsi="Arial" w:cs="Arial"/>
        </w:rPr>
      </w:pPr>
      <w:r w:rsidRPr="00E22A6C">
        <w:rPr>
          <w:rFonts w:ascii="Arial" w:hAnsi="Arial" w:cs="Arial"/>
          <w:b/>
          <w:bCs/>
          <w:i/>
          <w:iCs/>
        </w:rPr>
        <w:t>Consumer Trust and Brand Reputation</w:t>
      </w:r>
    </w:p>
    <w:p w14:paraId="073C6A4A" w14:textId="77777777" w:rsidR="00641572" w:rsidRPr="00E22A6C" w:rsidRDefault="001B57A1" w:rsidP="00E22A6C">
      <w:pPr>
        <w:rPr>
          <w:rFonts w:ascii="Arial" w:hAnsi="Arial" w:cs="Arial"/>
        </w:rPr>
      </w:pPr>
      <w:r w:rsidRPr="00E22A6C">
        <w:rPr>
          <w:rFonts w:ascii="Arial" w:hAnsi="Arial" w:cs="Arial"/>
        </w:rPr>
        <w:lastRenderedPageBreak/>
        <w:t xml:space="preserve">Dove's most powerful asset is its brand that has been established over many decades with consistent quality and clear messages around purpose and values. In the UK market, Dove Beauty Bar is considered to be a moisturising skin care, dermatologically safe and a true social responsibility (Friedman, 2024). While similar cleansing products may be offered by competitors, </w:t>
      </w:r>
      <w:r w:rsidR="00A86784" w:rsidRPr="00E22A6C">
        <w:rPr>
          <w:rFonts w:ascii="Arial" w:hAnsi="Arial" w:cs="Arial"/>
        </w:rPr>
        <w:t>it is</w:t>
      </w:r>
      <w:r w:rsidRPr="00E22A6C">
        <w:rPr>
          <w:rFonts w:ascii="Arial" w:hAnsi="Arial" w:cs="Arial"/>
        </w:rPr>
        <w:t xml:space="preserve"> much harder to build up decades of consumer trust and emotional connection. This suggests that Dove's brand equity fulfils all four VRIO conditions and offers a long-term competitive advantage that allows the company to charge premium prices and retain its customers for a period.</w:t>
      </w:r>
    </w:p>
    <w:p w14:paraId="33C65068" w14:textId="77777777" w:rsidR="00641572" w:rsidRPr="00E22A6C" w:rsidRDefault="001B57A1" w:rsidP="00E22A6C">
      <w:pPr>
        <w:rPr>
          <w:rFonts w:ascii="Arial" w:hAnsi="Arial" w:cs="Arial"/>
        </w:rPr>
      </w:pPr>
      <w:r w:rsidRPr="00E22A6C">
        <w:rPr>
          <w:rFonts w:ascii="Arial" w:hAnsi="Arial" w:cs="Arial"/>
          <w:b/>
          <w:bCs/>
          <w:i/>
          <w:iCs/>
        </w:rPr>
        <w:t>The capability to research and develop</w:t>
      </w:r>
    </w:p>
    <w:p w14:paraId="5A07701C" w14:textId="77777777" w:rsidR="00641572" w:rsidRPr="00E22A6C" w:rsidRDefault="001B57A1" w:rsidP="00E22A6C">
      <w:pPr>
        <w:rPr>
          <w:rFonts w:ascii="Arial" w:hAnsi="Arial" w:cs="Arial"/>
        </w:rPr>
      </w:pPr>
      <w:r w:rsidRPr="00E22A6C">
        <w:rPr>
          <w:rFonts w:ascii="Arial" w:hAnsi="Arial" w:cs="Arial"/>
        </w:rPr>
        <w:t>Unilever has a strong focus on research and development, with a commitment to developing new products, enhancing product formulations, and creating innovative packaging solutions, as well as gathering consumer insight (Akter and Kabir, 2025). This function allows Dove Beauty Bar to be responsive to skin care trends and ensure product quality. Larger competitors are unlikely to be able to integrate scientific expertise, innovation infrastructure and knowledge sharing from around the world. Moreover, Unilever's structure provides a good environment for commercialisation of innovation, enabling the potential to convert research into competitive market products (Laursen and Andersen, 2023). Thus, R&amp;D is yet another continuous competitive edge.</w:t>
      </w:r>
    </w:p>
    <w:p w14:paraId="6A64C334" w14:textId="77777777" w:rsidR="00641572" w:rsidRPr="00E22A6C" w:rsidRDefault="001B57A1" w:rsidP="00E22A6C">
      <w:pPr>
        <w:rPr>
          <w:rFonts w:ascii="Arial" w:hAnsi="Arial" w:cs="Arial"/>
        </w:rPr>
      </w:pPr>
      <w:r w:rsidRPr="00E22A6C">
        <w:rPr>
          <w:rFonts w:ascii="Arial" w:hAnsi="Arial" w:cs="Arial"/>
          <w:b/>
          <w:bCs/>
          <w:i/>
          <w:iCs/>
        </w:rPr>
        <w:t>The sustainability and purpose-driven marketing</w:t>
      </w:r>
    </w:p>
    <w:p w14:paraId="36A18459" w14:textId="77777777" w:rsidR="00641572" w:rsidRPr="00E22A6C" w:rsidRDefault="001B57A1" w:rsidP="00E22A6C">
      <w:pPr>
        <w:rPr>
          <w:rFonts w:ascii="Arial" w:hAnsi="Arial" w:cs="Arial"/>
        </w:rPr>
      </w:pPr>
      <w:r w:rsidRPr="00E22A6C">
        <w:rPr>
          <w:rFonts w:ascii="Arial" w:hAnsi="Arial" w:cs="Arial"/>
        </w:rPr>
        <w:t>Dove's sustainability efforts and the global, award-winning Real Beauty Campaign further reinforce a differentiation strategy by connecting the brand to consumer shifts in perception on inclusivity, wellbeing and responsible business practices. Many competitors have made efforts to be sustainable, but Dove has gone so far as to make social purpose a component of its long-term brand DNA, and not a short-term marketing campaign (</w:t>
      </w:r>
      <w:proofErr w:type="spellStart"/>
      <w:r w:rsidRPr="00E22A6C">
        <w:rPr>
          <w:rFonts w:ascii="Arial" w:hAnsi="Arial" w:cs="Arial"/>
        </w:rPr>
        <w:t>Tserenbat</w:t>
      </w:r>
      <w:proofErr w:type="spellEnd"/>
      <w:r w:rsidRPr="00E22A6C">
        <w:rPr>
          <w:rFonts w:ascii="Arial" w:hAnsi="Arial" w:cs="Arial"/>
        </w:rPr>
        <w:t xml:space="preserve"> </w:t>
      </w:r>
      <w:r w:rsidRPr="00E22A6C">
        <w:rPr>
          <w:rFonts w:ascii="Arial" w:hAnsi="Arial" w:cs="Arial"/>
          <w:i/>
          <w:iCs/>
        </w:rPr>
        <w:t>et al</w:t>
      </w:r>
      <w:r w:rsidRPr="00E22A6C">
        <w:rPr>
          <w:rFonts w:ascii="Arial" w:hAnsi="Arial" w:cs="Arial"/>
        </w:rPr>
        <w:t>. 2024). However, as the industry adopts ESG more and more, it may be possible to make sustainability less rare over time. Thus, it is essential that Dove continually prove themselves to show measurable environmental and social impacts, and not just because of their current reputation.</w:t>
      </w:r>
    </w:p>
    <w:p w14:paraId="6D5F17BB" w14:textId="77777777" w:rsidR="00641572" w:rsidRPr="00E22A6C" w:rsidRDefault="001B57A1" w:rsidP="00E22A6C">
      <w:pPr>
        <w:rPr>
          <w:rFonts w:ascii="Arial" w:hAnsi="Arial" w:cs="Arial"/>
        </w:rPr>
      </w:pPr>
      <w:r w:rsidRPr="00E22A6C">
        <w:rPr>
          <w:rFonts w:ascii="Arial" w:hAnsi="Arial" w:cs="Arial"/>
          <w:b/>
          <w:bCs/>
          <w:i/>
          <w:iCs/>
        </w:rPr>
        <w:t>Conducting business with suppliers and financial resources</w:t>
      </w:r>
    </w:p>
    <w:p w14:paraId="741E531F" w14:textId="77777777" w:rsidR="00641572" w:rsidRPr="00E22A6C" w:rsidRDefault="001B57A1" w:rsidP="00E22A6C">
      <w:pPr>
        <w:rPr>
          <w:rFonts w:ascii="Arial" w:hAnsi="Arial" w:cs="Arial"/>
        </w:rPr>
      </w:pPr>
      <w:r w:rsidRPr="00E22A6C">
        <w:rPr>
          <w:rFonts w:ascii="Arial" w:hAnsi="Arial" w:cs="Arial"/>
        </w:rPr>
        <w:t xml:space="preserve">With a vast global supply chain and a significant financial footing, Unilever operates with financial efficiency, market power and resilience to market volatility (Sanni, 2024). </w:t>
      </w:r>
      <w:r w:rsidR="00AF5784" w:rsidRPr="00E22A6C">
        <w:rPr>
          <w:rFonts w:ascii="Arial" w:hAnsi="Arial" w:cs="Arial"/>
        </w:rPr>
        <w:t>However,</w:t>
      </w:r>
      <w:r w:rsidRPr="00E22A6C">
        <w:rPr>
          <w:rFonts w:ascii="Arial" w:hAnsi="Arial" w:cs="Arial"/>
        </w:rPr>
        <w:t xml:space="preserve"> such capabilities are becoming more prevalent at multinational FMCG companies like Procter &amp; Gamble, L'Oréal and Beiersdorf. While these resources can </w:t>
      </w:r>
      <w:r w:rsidRPr="00E22A6C">
        <w:rPr>
          <w:rFonts w:ascii="Arial" w:hAnsi="Arial" w:cs="Arial"/>
        </w:rPr>
        <w:lastRenderedPageBreak/>
        <w:t xml:space="preserve">be important in sustaining operations, they are not enough to develop a distinct competitive advantage (Alfano, 2025). </w:t>
      </w:r>
      <w:r w:rsidR="00A86784" w:rsidRPr="00E22A6C">
        <w:rPr>
          <w:rFonts w:ascii="Arial" w:hAnsi="Arial" w:cs="Arial"/>
        </w:rPr>
        <w:t>However,</w:t>
      </w:r>
      <w:r w:rsidRPr="00E22A6C">
        <w:rPr>
          <w:rFonts w:ascii="Arial" w:hAnsi="Arial" w:cs="Arial"/>
        </w:rPr>
        <w:t xml:space="preserve"> most notably, they help Dove Beauty Bar support and expand its </w:t>
      </w:r>
      <w:r w:rsidR="00AF5784" w:rsidRPr="00E22A6C">
        <w:rPr>
          <w:rFonts w:ascii="Arial" w:hAnsi="Arial" w:cs="Arial"/>
        </w:rPr>
        <w:t>unique</w:t>
      </w:r>
      <w:r w:rsidRPr="00E22A6C">
        <w:rPr>
          <w:rFonts w:ascii="Arial" w:hAnsi="Arial" w:cs="Arial"/>
        </w:rPr>
        <w:t xml:space="preserve"> strategic capabilities.</w:t>
      </w:r>
    </w:p>
    <w:p w14:paraId="4A67C592" w14:textId="77777777" w:rsidR="00641572" w:rsidRPr="00E22A6C" w:rsidRDefault="001B57A1" w:rsidP="00E22A6C">
      <w:pPr>
        <w:rPr>
          <w:rFonts w:ascii="Arial" w:hAnsi="Arial" w:cs="Arial"/>
        </w:rPr>
      </w:pPr>
      <w:r w:rsidRPr="00E22A6C">
        <w:rPr>
          <w:rFonts w:ascii="Arial" w:hAnsi="Arial" w:cs="Arial"/>
        </w:rPr>
        <w:t xml:space="preserve">The VRIO analysis findings prove that Dove Beauty Bar can gain a competitive advantage from intangible resources, such as brand equity, the capability of research capabilities, and marketing that has a purpose. It is hard for competitors to match these resources and makes differentiation in the marketplace </w:t>
      </w:r>
      <w:r w:rsidR="00A86784" w:rsidRPr="00E22A6C">
        <w:rPr>
          <w:rFonts w:ascii="Arial" w:hAnsi="Arial" w:cs="Arial"/>
        </w:rPr>
        <w:t>long lasting</w:t>
      </w:r>
      <w:r w:rsidRPr="00E22A6C">
        <w:rPr>
          <w:rFonts w:ascii="Arial" w:hAnsi="Arial" w:cs="Arial"/>
        </w:rPr>
        <w:t xml:space="preserve">. If this advantage is to be maintained, however, it is necessary to invest </w:t>
      </w:r>
      <w:r w:rsidR="00AF5784" w:rsidRPr="00E22A6C">
        <w:rPr>
          <w:rFonts w:ascii="Arial" w:hAnsi="Arial" w:cs="Arial"/>
        </w:rPr>
        <w:t xml:space="preserve">constantly </w:t>
      </w:r>
      <w:r w:rsidRPr="00E22A6C">
        <w:rPr>
          <w:rFonts w:ascii="Arial" w:hAnsi="Arial" w:cs="Arial"/>
        </w:rPr>
        <w:t>in it since innovations and consumer trend expectations may eventually decrease the scarcity of resources. The results of these analyses serve as a basis for the next SWOT analysis to integrate the inside and outside analyses.</w:t>
      </w:r>
    </w:p>
    <w:p w14:paraId="0A134EE1" w14:textId="77777777" w:rsidR="00641572" w:rsidRPr="00E22A6C" w:rsidRDefault="001B57A1" w:rsidP="00E22A6C">
      <w:pPr>
        <w:pStyle w:val="Heading2"/>
        <w:rPr>
          <w:rFonts w:ascii="Arial" w:hAnsi="Arial" w:cs="Arial"/>
          <w:b w:val="0"/>
          <w:bCs w:val="0"/>
          <w:sz w:val="24"/>
          <w:szCs w:val="24"/>
        </w:rPr>
      </w:pPr>
      <w:bookmarkStart w:id="28" w:name="_ixztpfkl30sk" w:colFirst="0" w:colLast="0"/>
      <w:bookmarkStart w:id="29" w:name="_Toc236068249"/>
      <w:bookmarkEnd w:id="28"/>
      <w:r w:rsidRPr="00E22A6C">
        <w:rPr>
          <w:rFonts w:ascii="Arial" w:hAnsi="Arial" w:cs="Arial"/>
          <w:sz w:val="24"/>
          <w:szCs w:val="24"/>
        </w:rPr>
        <w:t>SWOT Analysis</w:t>
      </w:r>
      <w:bookmarkEnd w:id="29"/>
    </w:p>
    <w:tbl>
      <w:tblPr>
        <w:tblStyle w:val="a0"/>
        <w:tblW w:w="5000" w:type="pct"/>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504"/>
        <w:gridCol w:w="4505"/>
      </w:tblGrid>
      <w:tr w:rsidR="00641572" w:rsidRPr="00E22A6C" w14:paraId="3635071B" w14:textId="77777777" w:rsidTr="00A86784">
        <w:trPr>
          <w:jc w:val="center"/>
        </w:trPr>
        <w:tc>
          <w:tcPr>
            <w:tcW w:w="2500" w:type="pct"/>
            <w:shd w:val="clear" w:color="auto" w:fill="EAF1DD" w:themeFill="accent3" w:themeFillTint="33"/>
            <w:tcMar>
              <w:top w:w="100" w:type="dxa"/>
              <w:left w:w="100" w:type="dxa"/>
              <w:bottom w:w="100" w:type="dxa"/>
              <w:right w:w="100" w:type="dxa"/>
            </w:tcMar>
          </w:tcPr>
          <w:p w14:paraId="21C5C33D" w14:textId="77777777" w:rsidR="00641572" w:rsidRPr="00E22A6C" w:rsidRDefault="001B57A1" w:rsidP="00E22A6C">
            <w:pPr>
              <w:widowControl w:val="0"/>
              <w:pBdr>
                <w:top w:val="nil"/>
                <w:left w:val="nil"/>
                <w:bottom w:val="nil"/>
                <w:right w:val="nil"/>
                <w:between w:val="nil"/>
              </w:pBdr>
              <w:jc w:val="center"/>
              <w:rPr>
                <w:rFonts w:ascii="Arial" w:hAnsi="Arial" w:cs="Arial"/>
                <w:b/>
                <w:bCs/>
              </w:rPr>
            </w:pPr>
            <w:r w:rsidRPr="00E22A6C">
              <w:rPr>
                <w:rFonts w:ascii="Arial" w:hAnsi="Arial" w:cs="Arial"/>
                <w:b/>
                <w:bCs/>
              </w:rPr>
              <w:t>Strengths</w:t>
            </w:r>
          </w:p>
        </w:tc>
        <w:tc>
          <w:tcPr>
            <w:tcW w:w="2500" w:type="pct"/>
            <w:shd w:val="clear" w:color="auto" w:fill="EAF1DD" w:themeFill="accent3" w:themeFillTint="33"/>
            <w:tcMar>
              <w:top w:w="100" w:type="dxa"/>
              <w:left w:w="100" w:type="dxa"/>
              <w:bottom w:w="100" w:type="dxa"/>
              <w:right w:w="100" w:type="dxa"/>
            </w:tcMar>
          </w:tcPr>
          <w:p w14:paraId="3ADFC929" w14:textId="77777777" w:rsidR="00641572" w:rsidRPr="00E22A6C" w:rsidRDefault="001B57A1" w:rsidP="00E22A6C">
            <w:pPr>
              <w:widowControl w:val="0"/>
              <w:pBdr>
                <w:top w:val="nil"/>
                <w:left w:val="nil"/>
                <w:bottom w:val="nil"/>
                <w:right w:val="nil"/>
                <w:between w:val="nil"/>
              </w:pBdr>
              <w:jc w:val="center"/>
              <w:rPr>
                <w:rFonts w:ascii="Arial" w:hAnsi="Arial" w:cs="Arial"/>
                <w:b/>
                <w:bCs/>
              </w:rPr>
            </w:pPr>
            <w:r w:rsidRPr="00E22A6C">
              <w:rPr>
                <w:rFonts w:ascii="Arial" w:hAnsi="Arial" w:cs="Arial"/>
                <w:b/>
                <w:bCs/>
              </w:rPr>
              <w:t>Weaknesses</w:t>
            </w:r>
          </w:p>
        </w:tc>
      </w:tr>
      <w:tr w:rsidR="00641572" w:rsidRPr="00E22A6C" w14:paraId="5431E584" w14:textId="77777777" w:rsidTr="00A86784">
        <w:trPr>
          <w:jc w:val="center"/>
        </w:trPr>
        <w:tc>
          <w:tcPr>
            <w:tcW w:w="2500" w:type="pct"/>
            <w:shd w:val="clear" w:color="auto" w:fill="DBE5F1" w:themeFill="accent1" w:themeFillTint="33"/>
            <w:tcMar>
              <w:top w:w="100" w:type="dxa"/>
              <w:left w:w="100" w:type="dxa"/>
              <w:bottom w:w="100" w:type="dxa"/>
              <w:right w:w="100" w:type="dxa"/>
            </w:tcMar>
          </w:tcPr>
          <w:p w14:paraId="2B5E6F27" w14:textId="77777777" w:rsidR="00641572" w:rsidRPr="00E22A6C" w:rsidRDefault="001B57A1" w:rsidP="00E22A6C">
            <w:pPr>
              <w:pStyle w:val="ListParagraph"/>
              <w:numPr>
                <w:ilvl w:val="0"/>
                <w:numId w:val="1"/>
              </w:numPr>
              <w:rPr>
                <w:rFonts w:ascii="Arial" w:hAnsi="Arial" w:cs="Arial"/>
              </w:rPr>
            </w:pPr>
            <w:r w:rsidRPr="00E22A6C">
              <w:rPr>
                <w:rFonts w:ascii="Arial" w:hAnsi="Arial" w:cs="Arial"/>
              </w:rPr>
              <w:t>An international brand reputation and trust from consumers</w:t>
            </w:r>
          </w:p>
          <w:p w14:paraId="60DAE490" w14:textId="77777777" w:rsidR="00641572" w:rsidRPr="00E22A6C" w:rsidRDefault="001B57A1" w:rsidP="00E22A6C">
            <w:pPr>
              <w:pStyle w:val="ListParagraph"/>
              <w:numPr>
                <w:ilvl w:val="0"/>
                <w:numId w:val="1"/>
              </w:numPr>
              <w:rPr>
                <w:rFonts w:ascii="Arial" w:hAnsi="Arial" w:cs="Arial"/>
              </w:rPr>
            </w:pPr>
            <w:r w:rsidRPr="00E22A6C">
              <w:rPr>
                <w:rFonts w:ascii="Arial" w:hAnsi="Arial" w:cs="Arial"/>
              </w:rPr>
              <w:t>R&amp;D support for continuous product innovation</w:t>
            </w:r>
          </w:p>
          <w:p w14:paraId="487F4765" w14:textId="77777777" w:rsidR="00641572" w:rsidRPr="00E22A6C" w:rsidRDefault="001B57A1" w:rsidP="00E22A6C">
            <w:pPr>
              <w:pStyle w:val="ListParagraph"/>
              <w:numPr>
                <w:ilvl w:val="0"/>
                <w:numId w:val="1"/>
              </w:numPr>
              <w:rPr>
                <w:rFonts w:ascii="Arial" w:hAnsi="Arial" w:cs="Arial"/>
              </w:rPr>
            </w:pPr>
            <w:r w:rsidRPr="00E22A6C">
              <w:rPr>
                <w:rFonts w:ascii="Arial" w:hAnsi="Arial" w:cs="Arial"/>
              </w:rPr>
              <w:t>The brand's marketing efforts are purposeful, and they have a solid sustainability foundation</w:t>
            </w:r>
          </w:p>
        </w:tc>
        <w:tc>
          <w:tcPr>
            <w:tcW w:w="2500" w:type="pct"/>
            <w:shd w:val="clear" w:color="auto" w:fill="DBE5F1" w:themeFill="accent1" w:themeFillTint="33"/>
            <w:tcMar>
              <w:top w:w="100" w:type="dxa"/>
              <w:left w:w="100" w:type="dxa"/>
              <w:bottom w:w="100" w:type="dxa"/>
              <w:right w:w="100" w:type="dxa"/>
            </w:tcMar>
          </w:tcPr>
          <w:p w14:paraId="55E2DAC9" w14:textId="77777777" w:rsidR="00641572" w:rsidRPr="00E22A6C" w:rsidRDefault="001B57A1" w:rsidP="00E22A6C">
            <w:pPr>
              <w:pStyle w:val="ListParagraph"/>
              <w:numPr>
                <w:ilvl w:val="0"/>
                <w:numId w:val="1"/>
              </w:numPr>
              <w:rPr>
                <w:rFonts w:ascii="Arial" w:hAnsi="Arial" w:cs="Arial"/>
              </w:rPr>
            </w:pPr>
            <w:r w:rsidRPr="00E22A6C">
              <w:rPr>
                <w:rFonts w:ascii="Arial" w:hAnsi="Arial" w:cs="Arial"/>
              </w:rPr>
              <w:t>High cost may prevent some consumers from being able to afford the premium price</w:t>
            </w:r>
          </w:p>
          <w:p w14:paraId="7AF03CD7" w14:textId="77777777" w:rsidR="00641572" w:rsidRPr="00E22A6C" w:rsidRDefault="001B57A1" w:rsidP="00E22A6C">
            <w:pPr>
              <w:pStyle w:val="ListParagraph"/>
              <w:numPr>
                <w:ilvl w:val="0"/>
                <w:numId w:val="1"/>
              </w:numPr>
              <w:rPr>
                <w:rFonts w:ascii="Arial" w:hAnsi="Arial" w:cs="Arial"/>
              </w:rPr>
            </w:pPr>
            <w:r w:rsidRPr="00E22A6C">
              <w:rPr>
                <w:rFonts w:ascii="Arial" w:hAnsi="Arial" w:cs="Arial"/>
              </w:rPr>
              <w:t>Overreliance on the company's overall corporate goals and resources</w:t>
            </w:r>
          </w:p>
          <w:p w14:paraId="6D5AEC8E" w14:textId="77777777" w:rsidR="00641572" w:rsidRPr="00E22A6C" w:rsidRDefault="001B57A1" w:rsidP="00E22A6C">
            <w:pPr>
              <w:pStyle w:val="ListParagraph"/>
              <w:numPr>
                <w:ilvl w:val="0"/>
                <w:numId w:val="1"/>
              </w:numPr>
              <w:rPr>
                <w:rFonts w:ascii="Arial" w:hAnsi="Arial" w:cs="Arial"/>
              </w:rPr>
            </w:pPr>
            <w:r w:rsidRPr="00E22A6C">
              <w:rPr>
                <w:rFonts w:ascii="Arial" w:hAnsi="Arial" w:cs="Arial"/>
              </w:rPr>
              <w:t>Mature UK market limits opportunities for rapid organic growth</w:t>
            </w:r>
          </w:p>
        </w:tc>
      </w:tr>
      <w:tr w:rsidR="00641572" w:rsidRPr="00E22A6C" w14:paraId="5F72F684" w14:textId="77777777" w:rsidTr="00A86784">
        <w:trPr>
          <w:jc w:val="center"/>
        </w:trPr>
        <w:tc>
          <w:tcPr>
            <w:tcW w:w="2500" w:type="pct"/>
            <w:shd w:val="clear" w:color="auto" w:fill="E5B8B7" w:themeFill="accent2" w:themeFillTint="66"/>
            <w:tcMar>
              <w:top w:w="100" w:type="dxa"/>
              <w:left w:w="100" w:type="dxa"/>
              <w:bottom w:w="100" w:type="dxa"/>
              <w:right w:w="100" w:type="dxa"/>
            </w:tcMar>
          </w:tcPr>
          <w:p w14:paraId="193EE261" w14:textId="77777777" w:rsidR="00641572" w:rsidRPr="00E22A6C" w:rsidRDefault="00A86784" w:rsidP="00E22A6C">
            <w:pPr>
              <w:widowControl w:val="0"/>
              <w:pBdr>
                <w:top w:val="nil"/>
                <w:left w:val="nil"/>
                <w:bottom w:val="nil"/>
                <w:right w:val="nil"/>
                <w:between w:val="nil"/>
              </w:pBdr>
              <w:jc w:val="center"/>
              <w:rPr>
                <w:rFonts w:ascii="Arial" w:hAnsi="Arial" w:cs="Arial"/>
                <w:b/>
                <w:bCs/>
              </w:rPr>
            </w:pPr>
            <w:r w:rsidRPr="00E22A6C">
              <w:rPr>
                <w:rFonts w:ascii="Arial" w:hAnsi="Arial" w:cs="Arial"/>
                <w:b/>
                <w:bCs/>
              </w:rPr>
              <w:t>Opportunities</w:t>
            </w:r>
          </w:p>
        </w:tc>
        <w:tc>
          <w:tcPr>
            <w:tcW w:w="2500" w:type="pct"/>
            <w:shd w:val="clear" w:color="auto" w:fill="E5B8B7" w:themeFill="accent2" w:themeFillTint="66"/>
            <w:tcMar>
              <w:top w:w="100" w:type="dxa"/>
              <w:left w:w="100" w:type="dxa"/>
              <w:bottom w:w="100" w:type="dxa"/>
              <w:right w:w="100" w:type="dxa"/>
            </w:tcMar>
          </w:tcPr>
          <w:p w14:paraId="1C7F6C85" w14:textId="77777777" w:rsidR="00641572" w:rsidRPr="00E22A6C" w:rsidRDefault="001B57A1" w:rsidP="00E22A6C">
            <w:pPr>
              <w:widowControl w:val="0"/>
              <w:pBdr>
                <w:top w:val="nil"/>
                <w:left w:val="nil"/>
                <w:bottom w:val="nil"/>
                <w:right w:val="nil"/>
                <w:between w:val="nil"/>
              </w:pBdr>
              <w:jc w:val="center"/>
              <w:rPr>
                <w:rFonts w:ascii="Arial" w:hAnsi="Arial" w:cs="Arial"/>
                <w:b/>
                <w:bCs/>
              </w:rPr>
            </w:pPr>
            <w:r w:rsidRPr="00E22A6C">
              <w:rPr>
                <w:rFonts w:ascii="Arial" w:hAnsi="Arial" w:cs="Arial"/>
                <w:b/>
                <w:bCs/>
              </w:rPr>
              <w:t>Threats</w:t>
            </w:r>
          </w:p>
        </w:tc>
      </w:tr>
      <w:tr w:rsidR="00641572" w:rsidRPr="00E22A6C" w14:paraId="4B82ECAF" w14:textId="77777777" w:rsidTr="00A86784">
        <w:trPr>
          <w:jc w:val="center"/>
        </w:trPr>
        <w:tc>
          <w:tcPr>
            <w:tcW w:w="2500" w:type="pct"/>
            <w:shd w:val="clear" w:color="auto" w:fill="DBE5F1" w:themeFill="accent1" w:themeFillTint="33"/>
            <w:tcMar>
              <w:top w:w="100" w:type="dxa"/>
              <w:left w:w="100" w:type="dxa"/>
              <w:bottom w:w="100" w:type="dxa"/>
              <w:right w:w="100" w:type="dxa"/>
            </w:tcMar>
          </w:tcPr>
          <w:p w14:paraId="58681BBD" w14:textId="77777777" w:rsidR="00641572" w:rsidRPr="00E22A6C" w:rsidRDefault="001B57A1" w:rsidP="00E22A6C">
            <w:pPr>
              <w:pStyle w:val="ListParagraph"/>
              <w:numPr>
                <w:ilvl w:val="0"/>
                <w:numId w:val="2"/>
              </w:numPr>
              <w:rPr>
                <w:rFonts w:ascii="Arial" w:hAnsi="Arial" w:cs="Arial"/>
              </w:rPr>
            </w:pPr>
            <w:r w:rsidRPr="00E22A6C">
              <w:rPr>
                <w:rFonts w:ascii="Arial" w:hAnsi="Arial" w:cs="Arial"/>
              </w:rPr>
              <w:t>An increasing demand for sustainable and ethically crafted skin care products</w:t>
            </w:r>
          </w:p>
          <w:p w14:paraId="2CFD102E" w14:textId="77777777" w:rsidR="00641572" w:rsidRPr="00E22A6C" w:rsidRDefault="001B57A1" w:rsidP="00E22A6C">
            <w:pPr>
              <w:pStyle w:val="ListParagraph"/>
              <w:numPr>
                <w:ilvl w:val="0"/>
                <w:numId w:val="2"/>
              </w:numPr>
              <w:rPr>
                <w:rFonts w:ascii="Arial" w:hAnsi="Arial" w:cs="Arial"/>
              </w:rPr>
            </w:pPr>
            <w:r w:rsidRPr="00E22A6C">
              <w:rPr>
                <w:rFonts w:ascii="Arial" w:hAnsi="Arial" w:cs="Arial"/>
              </w:rPr>
              <w:t>Increased growth of digital retailing and personalised engagement with consumers</w:t>
            </w:r>
          </w:p>
          <w:p w14:paraId="03628B7B" w14:textId="77777777" w:rsidR="00641572" w:rsidRPr="00E22A6C" w:rsidRDefault="001B57A1" w:rsidP="00E22A6C">
            <w:pPr>
              <w:pStyle w:val="ListParagraph"/>
              <w:numPr>
                <w:ilvl w:val="0"/>
                <w:numId w:val="2"/>
              </w:numPr>
              <w:rPr>
                <w:rFonts w:ascii="Arial" w:hAnsi="Arial" w:cs="Arial"/>
              </w:rPr>
            </w:pPr>
            <w:r w:rsidRPr="00E22A6C">
              <w:rPr>
                <w:rFonts w:ascii="Arial" w:hAnsi="Arial" w:cs="Arial"/>
              </w:rPr>
              <w:lastRenderedPageBreak/>
              <w:t>Product innovation based on environmentally friendly ingredients and packaging</w:t>
            </w:r>
          </w:p>
        </w:tc>
        <w:tc>
          <w:tcPr>
            <w:tcW w:w="2500" w:type="pct"/>
            <w:shd w:val="clear" w:color="auto" w:fill="DBE5F1" w:themeFill="accent1" w:themeFillTint="33"/>
            <w:tcMar>
              <w:top w:w="100" w:type="dxa"/>
              <w:left w:w="100" w:type="dxa"/>
              <w:bottom w:w="100" w:type="dxa"/>
              <w:right w:w="100" w:type="dxa"/>
            </w:tcMar>
          </w:tcPr>
          <w:p w14:paraId="768DAE32" w14:textId="77777777" w:rsidR="00641572" w:rsidRPr="00E22A6C" w:rsidRDefault="001B57A1" w:rsidP="00E22A6C">
            <w:pPr>
              <w:pStyle w:val="ListParagraph"/>
              <w:numPr>
                <w:ilvl w:val="0"/>
                <w:numId w:val="2"/>
              </w:numPr>
              <w:rPr>
                <w:rFonts w:ascii="Arial" w:hAnsi="Arial" w:cs="Arial"/>
              </w:rPr>
            </w:pPr>
            <w:r w:rsidRPr="00E22A6C">
              <w:rPr>
                <w:rFonts w:ascii="Arial" w:hAnsi="Arial" w:cs="Arial"/>
              </w:rPr>
              <w:lastRenderedPageBreak/>
              <w:t>Competition from multinationals and retailer own-label products</w:t>
            </w:r>
          </w:p>
          <w:p w14:paraId="34609D11" w14:textId="77777777" w:rsidR="00641572" w:rsidRPr="00E22A6C" w:rsidRDefault="001B57A1" w:rsidP="00E22A6C">
            <w:pPr>
              <w:pStyle w:val="ListParagraph"/>
              <w:numPr>
                <w:ilvl w:val="0"/>
                <w:numId w:val="2"/>
              </w:numPr>
              <w:rPr>
                <w:rFonts w:ascii="Arial" w:hAnsi="Arial" w:cs="Arial"/>
              </w:rPr>
            </w:pPr>
            <w:r w:rsidRPr="00E22A6C">
              <w:rPr>
                <w:rFonts w:ascii="Arial" w:hAnsi="Arial" w:cs="Arial"/>
              </w:rPr>
              <w:t>Rising production costs and inflation, which are taking a bite into consumer purchasing power</w:t>
            </w:r>
          </w:p>
          <w:p w14:paraId="7976540A" w14:textId="77777777" w:rsidR="00641572" w:rsidRPr="00E22A6C" w:rsidRDefault="001B57A1" w:rsidP="00E22A6C">
            <w:pPr>
              <w:pStyle w:val="ListParagraph"/>
              <w:numPr>
                <w:ilvl w:val="0"/>
                <w:numId w:val="2"/>
              </w:numPr>
              <w:rPr>
                <w:rFonts w:ascii="Arial" w:hAnsi="Arial" w:cs="Arial"/>
              </w:rPr>
            </w:pPr>
            <w:r w:rsidRPr="00E22A6C">
              <w:rPr>
                <w:rFonts w:ascii="Arial" w:hAnsi="Arial" w:cs="Arial"/>
              </w:rPr>
              <w:t>Strengthening environmental and product compliance requirements</w:t>
            </w:r>
          </w:p>
        </w:tc>
      </w:tr>
    </w:tbl>
    <w:p w14:paraId="78BEC286" w14:textId="77777777" w:rsidR="00641572" w:rsidRPr="00E22A6C" w:rsidRDefault="001B57A1" w:rsidP="00E22A6C">
      <w:pPr>
        <w:pStyle w:val="Heading2"/>
        <w:jc w:val="center"/>
        <w:rPr>
          <w:rFonts w:ascii="Arial" w:hAnsi="Arial" w:cs="Arial"/>
          <w:sz w:val="24"/>
          <w:szCs w:val="24"/>
        </w:rPr>
      </w:pPr>
      <w:bookmarkStart w:id="30" w:name="_wmlfx2worsja" w:colFirst="0" w:colLast="0"/>
      <w:bookmarkStart w:id="31" w:name="_Toc236068250"/>
      <w:bookmarkEnd w:id="30"/>
      <w:r w:rsidRPr="00E22A6C">
        <w:rPr>
          <w:rFonts w:ascii="Arial" w:hAnsi="Arial" w:cs="Arial"/>
          <w:sz w:val="24"/>
          <w:szCs w:val="24"/>
        </w:rPr>
        <w:t>Table 2: SWOT Analysis</w:t>
      </w:r>
      <w:bookmarkEnd w:id="31"/>
    </w:p>
    <w:p w14:paraId="49397D6C" w14:textId="77777777" w:rsidR="00641572" w:rsidRPr="00E22A6C" w:rsidRDefault="001B57A1" w:rsidP="00E22A6C">
      <w:pPr>
        <w:pStyle w:val="Heading2"/>
        <w:jc w:val="center"/>
        <w:rPr>
          <w:rFonts w:ascii="Arial" w:hAnsi="Arial" w:cs="Arial"/>
          <w:sz w:val="24"/>
          <w:szCs w:val="24"/>
        </w:rPr>
      </w:pPr>
      <w:bookmarkStart w:id="32" w:name="_ofs7f7rf3o4j" w:colFirst="0" w:colLast="0"/>
      <w:bookmarkStart w:id="33" w:name="_Toc236068251"/>
      <w:bookmarkEnd w:id="32"/>
      <w:r w:rsidRPr="00E22A6C">
        <w:rPr>
          <w:rFonts w:ascii="Arial" w:hAnsi="Arial" w:cs="Arial"/>
          <w:b w:val="0"/>
          <w:bCs w:val="0"/>
          <w:sz w:val="24"/>
          <w:szCs w:val="24"/>
        </w:rPr>
        <w:t>(Source: Self-created)</w:t>
      </w:r>
      <w:bookmarkEnd w:id="33"/>
      <w:r w:rsidRPr="00E22A6C">
        <w:rPr>
          <w:rFonts w:ascii="Arial" w:hAnsi="Arial" w:cs="Arial"/>
          <w:sz w:val="24"/>
          <w:szCs w:val="24"/>
        </w:rPr>
        <w:tab/>
      </w:r>
    </w:p>
    <w:p w14:paraId="3D8D840F" w14:textId="77777777" w:rsidR="00641572" w:rsidRPr="00E22A6C" w:rsidRDefault="001B57A1" w:rsidP="00E22A6C">
      <w:pPr>
        <w:rPr>
          <w:rFonts w:ascii="Arial" w:hAnsi="Arial" w:cs="Arial"/>
        </w:rPr>
      </w:pPr>
      <w:r w:rsidRPr="00E22A6C">
        <w:rPr>
          <w:rFonts w:ascii="Arial" w:hAnsi="Arial" w:cs="Arial"/>
        </w:rPr>
        <w:t xml:space="preserve">The SWOT analysis reveals that Dove Beauty Bar's strengths correspond significantly with the opportunities it is likely to exploit in the UK personal care market, such as the trend for sustainable and ethical skincare options (Confetto </w:t>
      </w:r>
      <w:r w:rsidRPr="00E22A6C">
        <w:rPr>
          <w:rFonts w:ascii="Arial" w:hAnsi="Arial" w:cs="Arial"/>
          <w:i/>
          <w:iCs/>
        </w:rPr>
        <w:t>et al</w:t>
      </w:r>
      <w:r w:rsidRPr="00E22A6C">
        <w:rPr>
          <w:rFonts w:ascii="Arial" w:hAnsi="Arial" w:cs="Arial"/>
        </w:rPr>
        <w:t xml:space="preserve">. 2023). </w:t>
      </w:r>
      <w:r w:rsidR="00A86784" w:rsidRPr="00E22A6C">
        <w:rPr>
          <w:rFonts w:ascii="Arial" w:hAnsi="Arial" w:cs="Arial"/>
        </w:rPr>
        <w:t>However,</w:t>
      </w:r>
      <w:r w:rsidRPr="00E22A6C">
        <w:rPr>
          <w:rFonts w:ascii="Arial" w:hAnsi="Arial" w:cs="Arial"/>
        </w:rPr>
        <w:t xml:space="preserve"> the pressure of rising inflation, tougher competition and stringent environmental laws remains a risk to profitability and market share. Based on the results, Dove's operational efficiency needs to be improved, and its brand reputation and innovations need to be capitalised on to maintain the competitive edge (</w:t>
      </w:r>
      <w:proofErr w:type="spellStart"/>
      <w:r w:rsidRPr="00E22A6C">
        <w:rPr>
          <w:rFonts w:ascii="Arial" w:hAnsi="Arial" w:cs="Arial"/>
        </w:rPr>
        <w:t>Tserenbat</w:t>
      </w:r>
      <w:proofErr w:type="spellEnd"/>
      <w:r w:rsidRPr="00E22A6C">
        <w:rPr>
          <w:rFonts w:ascii="Arial" w:hAnsi="Arial" w:cs="Arial"/>
        </w:rPr>
        <w:t xml:space="preserve"> </w:t>
      </w:r>
      <w:r w:rsidRPr="00E22A6C">
        <w:rPr>
          <w:rFonts w:ascii="Arial" w:hAnsi="Arial" w:cs="Arial"/>
          <w:i/>
          <w:iCs/>
        </w:rPr>
        <w:t>et al</w:t>
      </w:r>
      <w:r w:rsidRPr="00E22A6C">
        <w:rPr>
          <w:rFonts w:ascii="Arial" w:hAnsi="Arial" w:cs="Arial"/>
        </w:rPr>
        <w:t>. 2024). The analysis then gives an unequivocal strategic foundation for assessing appropriate business-level strategies in the following section.</w:t>
      </w:r>
    </w:p>
    <w:p w14:paraId="790FF588" w14:textId="77777777" w:rsidR="00641572" w:rsidRPr="00E22A6C" w:rsidRDefault="001B57A1" w:rsidP="00E22A6C">
      <w:pPr>
        <w:pStyle w:val="Heading1"/>
        <w:rPr>
          <w:rFonts w:ascii="Arial" w:hAnsi="Arial" w:cs="Arial"/>
          <w:sz w:val="24"/>
          <w:szCs w:val="24"/>
        </w:rPr>
      </w:pPr>
      <w:bookmarkStart w:id="34" w:name="_7003rp9ulbmw" w:colFirst="0" w:colLast="0"/>
      <w:bookmarkStart w:id="35" w:name="_Toc236068252"/>
      <w:bookmarkEnd w:id="34"/>
      <w:r w:rsidRPr="00E22A6C">
        <w:rPr>
          <w:rFonts w:ascii="Arial" w:hAnsi="Arial" w:cs="Arial"/>
          <w:sz w:val="24"/>
          <w:szCs w:val="24"/>
        </w:rPr>
        <w:t>Comprehensive and holistic view of the organisation</w:t>
      </w:r>
      <w:bookmarkEnd w:id="35"/>
    </w:p>
    <w:p w14:paraId="744B6A8C" w14:textId="77777777" w:rsidR="00641572" w:rsidRPr="00E22A6C" w:rsidRDefault="001B57A1" w:rsidP="00E22A6C">
      <w:pPr>
        <w:pStyle w:val="Heading2"/>
        <w:rPr>
          <w:rFonts w:ascii="Arial" w:hAnsi="Arial" w:cs="Arial"/>
          <w:sz w:val="24"/>
          <w:szCs w:val="24"/>
        </w:rPr>
      </w:pPr>
      <w:bookmarkStart w:id="36" w:name="_hmsy4ap11g98" w:colFirst="0" w:colLast="0"/>
      <w:bookmarkStart w:id="37" w:name="_Toc236068253"/>
      <w:bookmarkEnd w:id="36"/>
      <w:r w:rsidRPr="00E22A6C">
        <w:rPr>
          <w:rFonts w:ascii="Arial" w:hAnsi="Arial" w:cs="Arial"/>
          <w:sz w:val="24"/>
          <w:szCs w:val="24"/>
        </w:rPr>
        <w:t>Corporate Social Responsibility (CSR) Strategy</w:t>
      </w:r>
      <w:bookmarkEnd w:id="37"/>
      <w:r w:rsidRPr="00E22A6C">
        <w:rPr>
          <w:rFonts w:ascii="Arial" w:hAnsi="Arial" w:cs="Arial"/>
          <w:sz w:val="24"/>
          <w:szCs w:val="24"/>
        </w:rPr>
        <w:t xml:space="preserve"> </w:t>
      </w:r>
    </w:p>
    <w:p w14:paraId="0C437EB7" w14:textId="77777777" w:rsidR="00315A5E" w:rsidRPr="00E22A6C" w:rsidRDefault="00315A5E" w:rsidP="00E22A6C">
      <w:pPr>
        <w:rPr>
          <w:rFonts w:ascii="Arial" w:hAnsi="Arial" w:cs="Arial"/>
          <w:color w:val="000000" w:themeColor="text1"/>
        </w:rPr>
      </w:pPr>
      <w:r w:rsidRPr="00E22A6C">
        <w:rPr>
          <w:rFonts w:ascii="Arial" w:hAnsi="Arial" w:cs="Arial"/>
          <w:color w:val="000000" w:themeColor="text1"/>
        </w:rPr>
        <w:t>In the UK personal care market, the launch of Dove Beauty Bar is a key part of Unilever's Corporate Social Responsibility (CSR) strategy, which is crucial to achieve strong market positioning. For Unilever, CSR is not a one-off project, but it is permanently integrated into its long-term business plan, whereby environmental sustainability, responsible sourcing, ethical business practices and social impact are all a part of it (Samans and Nelson, 2022). For Dove, it is seen in initiatives such as the Real Beauty Campaign, campaigns for positive body confidence, the ability to source ingredients sustainably, and promises on packaging, just to mention a few (DOVE, 2026). These initiatives help to enhance the brand's reputation and respond to changing consumer expectations for social accountability when choosing and consuming products. From a strategic management perspective, Dove's CSR activities create value in the business other than its reputation. Increasing numbers of UK consumers put sustainability, ethical production and corporate values into account when making buying decisions (</w:t>
      </w:r>
      <w:proofErr w:type="spellStart"/>
      <w:r w:rsidRPr="00E22A6C">
        <w:rPr>
          <w:rFonts w:ascii="Arial" w:hAnsi="Arial" w:cs="Arial"/>
          <w:color w:val="000000" w:themeColor="text1"/>
        </w:rPr>
        <w:t>Tserenbat</w:t>
      </w:r>
      <w:proofErr w:type="spellEnd"/>
      <w:r w:rsidRPr="00E22A6C">
        <w:rPr>
          <w:rFonts w:ascii="Arial" w:hAnsi="Arial" w:cs="Arial"/>
          <w:color w:val="000000" w:themeColor="text1"/>
        </w:rPr>
        <w:t xml:space="preserve"> </w:t>
      </w:r>
      <w:r w:rsidRPr="00E22A6C">
        <w:rPr>
          <w:rFonts w:ascii="Arial" w:hAnsi="Arial" w:cs="Arial"/>
          <w:i/>
          <w:iCs/>
          <w:color w:val="000000" w:themeColor="text1"/>
        </w:rPr>
        <w:t>et al</w:t>
      </w:r>
      <w:r w:rsidRPr="00E22A6C">
        <w:rPr>
          <w:rFonts w:ascii="Arial" w:hAnsi="Arial" w:cs="Arial"/>
          <w:color w:val="000000" w:themeColor="text1"/>
        </w:rPr>
        <w:t>. 2024).</w:t>
      </w:r>
    </w:p>
    <w:p w14:paraId="1460DDB8" w14:textId="77777777" w:rsidR="00315A5E" w:rsidRPr="00E22A6C" w:rsidRDefault="00315A5E" w:rsidP="00E22A6C">
      <w:pPr>
        <w:rPr>
          <w:rFonts w:ascii="Arial" w:hAnsi="Arial" w:cs="Arial"/>
          <w:color w:val="000000" w:themeColor="text1"/>
        </w:rPr>
      </w:pPr>
      <w:r w:rsidRPr="00E22A6C">
        <w:rPr>
          <w:rFonts w:ascii="Arial" w:hAnsi="Arial" w:cs="Arial"/>
          <w:color w:val="000000" w:themeColor="text1"/>
        </w:rPr>
        <w:t xml:space="preserve">This translates to Dove's commitment to responsible business practices creating greater customer trust, brand loyalty and helping differentiate it from its competitors who only focus on price or functional product features. Furthermore, by focusing on </w:t>
      </w:r>
      <w:r w:rsidRPr="00E22A6C">
        <w:rPr>
          <w:rFonts w:ascii="Arial" w:hAnsi="Arial" w:cs="Arial"/>
          <w:color w:val="000000" w:themeColor="text1"/>
        </w:rPr>
        <w:lastRenderedPageBreak/>
        <w:t>these activities as part of Unilever's broader sustainability efforts, it is easier to ensure that Unilever continues to comply with increasing environmental legislation and regulations, and reduce the risk of future operational implications due to resource depletion and climate change. Nevertheless, CSR is not enough to ensure a sustainable competitive advantage (Kim and Kim, 2025). There is now a greater expectation by consumers that organisations can demonstrate results and rely less on promotion for their sustainability claims. Not meeting environmental or social goals may result in reputational damage and greenwashing allegations towards Dove (</w:t>
      </w:r>
      <w:proofErr w:type="spellStart"/>
      <w:r w:rsidRPr="00E22A6C">
        <w:rPr>
          <w:rFonts w:ascii="Arial" w:hAnsi="Arial" w:cs="Arial"/>
          <w:color w:val="000000" w:themeColor="text1"/>
        </w:rPr>
        <w:t>Rochayatun</w:t>
      </w:r>
      <w:proofErr w:type="spellEnd"/>
      <w:r w:rsidRPr="00E22A6C">
        <w:rPr>
          <w:rFonts w:ascii="Arial" w:hAnsi="Arial" w:cs="Arial"/>
          <w:color w:val="000000" w:themeColor="text1"/>
        </w:rPr>
        <w:t xml:space="preserve"> </w:t>
      </w:r>
      <w:r w:rsidRPr="00E22A6C">
        <w:rPr>
          <w:rFonts w:ascii="Arial" w:hAnsi="Arial" w:cs="Arial"/>
          <w:i/>
          <w:iCs/>
          <w:color w:val="000000" w:themeColor="text1"/>
        </w:rPr>
        <w:t>et al</w:t>
      </w:r>
      <w:r w:rsidRPr="00E22A6C">
        <w:rPr>
          <w:rFonts w:ascii="Arial" w:hAnsi="Arial" w:cs="Arial"/>
          <w:color w:val="000000" w:themeColor="text1"/>
        </w:rPr>
        <w:t xml:space="preserve">. 2023). Keeping transparency high, with measurable sustainability targets, reporting and innovation every so often, is therefore important, so that the stakeholders will still keep their faith in the company (Abubakar </w:t>
      </w:r>
      <w:r w:rsidRPr="00E22A6C">
        <w:rPr>
          <w:rFonts w:ascii="Arial" w:hAnsi="Arial" w:cs="Arial"/>
          <w:i/>
          <w:iCs/>
          <w:color w:val="000000" w:themeColor="text1"/>
        </w:rPr>
        <w:t xml:space="preserve">et al. </w:t>
      </w:r>
      <w:r w:rsidRPr="00E22A6C">
        <w:rPr>
          <w:rFonts w:ascii="Arial" w:hAnsi="Arial" w:cs="Arial"/>
          <w:color w:val="000000" w:themeColor="text1"/>
        </w:rPr>
        <w:t>2022).</w:t>
      </w:r>
    </w:p>
    <w:p w14:paraId="632687E6" w14:textId="77777777" w:rsidR="00641572" w:rsidRPr="00E22A6C" w:rsidRDefault="00315A5E" w:rsidP="00E22A6C">
      <w:pPr>
        <w:rPr>
          <w:rFonts w:ascii="Arial" w:hAnsi="Arial" w:cs="Arial"/>
          <w:color w:val="000000" w:themeColor="text1"/>
        </w:rPr>
      </w:pPr>
      <w:r w:rsidRPr="00E22A6C">
        <w:rPr>
          <w:rFonts w:ascii="Arial" w:hAnsi="Arial" w:cs="Arial"/>
          <w:color w:val="000000" w:themeColor="text1"/>
        </w:rPr>
        <w:t>Overall, Dove's CSR strategy is a social responsibility programme as well as a capacity of the business. Dove enhances its long-term competitiveness by connecting its business goals with creating environmental and social value and promotes sustainable growth in the personal care market in the UK.</w:t>
      </w:r>
    </w:p>
    <w:p w14:paraId="58387B43" w14:textId="77777777" w:rsidR="00641572" w:rsidRPr="00E22A6C" w:rsidRDefault="001B57A1" w:rsidP="00E22A6C">
      <w:pPr>
        <w:pStyle w:val="Heading2"/>
        <w:rPr>
          <w:rFonts w:ascii="Arial" w:hAnsi="Arial" w:cs="Arial"/>
          <w:sz w:val="24"/>
          <w:szCs w:val="24"/>
        </w:rPr>
      </w:pPr>
      <w:bookmarkStart w:id="38" w:name="_5ko3301ua6rw" w:colFirst="0" w:colLast="0"/>
      <w:bookmarkStart w:id="39" w:name="_Toc236068254"/>
      <w:bookmarkEnd w:id="38"/>
      <w:r w:rsidRPr="00E22A6C">
        <w:rPr>
          <w:rFonts w:ascii="Arial" w:hAnsi="Arial" w:cs="Arial"/>
          <w:sz w:val="24"/>
          <w:szCs w:val="24"/>
        </w:rPr>
        <w:t>Balanced Scorecard Analysis</w:t>
      </w:r>
      <w:bookmarkEnd w:id="39"/>
    </w:p>
    <w:tbl>
      <w:tblPr>
        <w:tblStyle w:val="a1"/>
        <w:tblW w:w="5000" w:type="pct"/>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DE9D9" w:themeFill="accent6" w:themeFillTint="33"/>
        <w:tblLook w:val="0600" w:firstRow="0" w:lastRow="0" w:firstColumn="0" w:lastColumn="0" w:noHBand="1" w:noVBand="1"/>
      </w:tblPr>
      <w:tblGrid>
        <w:gridCol w:w="1798"/>
        <w:gridCol w:w="1798"/>
        <w:gridCol w:w="1799"/>
        <w:gridCol w:w="1799"/>
        <w:gridCol w:w="1815"/>
      </w:tblGrid>
      <w:tr w:rsidR="00641572" w:rsidRPr="00E22A6C" w14:paraId="26445DBF" w14:textId="77777777" w:rsidTr="00A86784">
        <w:trPr>
          <w:jc w:val="center"/>
        </w:trPr>
        <w:tc>
          <w:tcPr>
            <w:tcW w:w="1000" w:type="pct"/>
            <w:shd w:val="clear" w:color="auto" w:fill="FDE9D9" w:themeFill="accent6" w:themeFillTint="33"/>
            <w:tcMar>
              <w:top w:w="100" w:type="dxa"/>
              <w:left w:w="100" w:type="dxa"/>
              <w:bottom w:w="100" w:type="dxa"/>
              <w:right w:w="100" w:type="dxa"/>
            </w:tcMar>
          </w:tcPr>
          <w:p w14:paraId="09DDAB16" w14:textId="77777777" w:rsidR="00641572" w:rsidRPr="00E22A6C" w:rsidRDefault="001B57A1" w:rsidP="00E22A6C">
            <w:pPr>
              <w:widowControl w:val="0"/>
              <w:pBdr>
                <w:top w:val="nil"/>
                <w:left w:val="nil"/>
                <w:bottom w:val="nil"/>
                <w:right w:val="nil"/>
                <w:between w:val="nil"/>
              </w:pBdr>
              <w:jc w:val="center"/>
              <w:rPr>
                <w:rFonts w:ascii="Arial" w:hAnsi="Arial" w:cs="Arial"/>
                <w:b/>
                <w:bCs/>
              </w:rPr>
            </w:pPr>
            <w:r w:rsidRPr="00E22A6C">
              <w:rPr>
                <w:rFonts w:ascii="Arial" w:hAnsi="Arial" w:cs="Arial"/>
                <w:b/>
                <w:bCs/>
              </w:rPr>
              <w:t>Perspective</w:t>
            </w:r>
          </w:p>
        </w:tc>
        <w:tc>
          <w:tcPr>
            <w:tcW w:w="1000" w:type="pct"/>
            <w:shd w:val="clear" w:color="auto" w:fill="FDE9D9" w:themeFill="accent6" w:themeFillTint="33"/>
            <w:tcMar>
              <w:top w:w="100" w:type="dxa"/>
              <w:left w:w="100" w:type="dxa"/>
              <w:bottom w:w="100" w:type="dxa"/>
              <w:right w:w="100" w:type="dxa"/>
            </w:tcMar>
          </w:tcPr>
          <w:p w14:paraId="17F91421" w14:textId="77777777" w:rsidR="00641572" w:rsidRPr="00E22A6C" w:rsidRDefault="001B57A1" w:rsidP="00E22A6C">
            <w:pPr>
              <w:widowControl w:val="0"/>
              <w:pBdr>
                <w:top w:val="nil"/>
                <w:left w:val="nil"/>
                <w:bottom w:val="nil"/>
                <w:right w:val="nil"/>
                <w:between w:val="nil"/>
              </w:pBdr>
              <w:jc w:val="center"/>
              <w:rPr>
                <w:rFonts w:ascii="Arial" w:hAnsi="Arial" w:cs="Arial"/>
                <w:b/>
                <w:bCs/>
              </w:rPr>
            </w:pPr>
            <w:r w:rsidRPr="00E22A6C">
              <w:rPr>
                <w:rFonts w:ascii="Arial" w:hAnsi="Arial" w:cs="Arial"/>
                <w:b/>
                <w:bCs/>
              </w:rPr>
              <w:t>Objective</w:t>
            </w:r>
          </w:p>
        </w:tc>
        <w:tc>
          <w:tcPr>
            <w:tcW w:w="1000" w:type="pct"/>
            <w:shd w:val="clear" w:color="auto" w:fill="FDE9D9" w:themeFill="accent6" w:themeFillTint="33"/>
            <w:tcMar>
              <w:top w:w="100" w:type="dxa"/>
              <w:left w:w="100" w:type="dxa"/>
              <w:bottom w:w="100" w:type="dxa"/>
              <w:right w:w="100" w:type="dxa"/>
            </w:tcMar>
          </w:tcPr>
          <w:p w14:paraId="4986051D" w14:textId="77777777" w:rsidR="00641572" w:rsidRPr="00E22A6C" w:rsidRDefault="001B57A1" w:rsidP="00E22A6C">
            <w:pPr>
              <w:widowControl w:val="0"/>
              <w:pBdr>
                <w:top w:val="nil"/>
                <w:left w:val="nil"/>
                <w:bottom w:val="nil"/>
                <w:right w:val="nil"/>
                <w:between w:val="nil"/>
              </w:pBdr>
              <w:jc w:val="center"/>
              <w:rPr>
                <w:rFonts w:ascii="Arial" w:hAnsi="Arial" w:cs="Arial"/>
                <w:b/>
                <w:bCs/>
              </w:rPr>
            </w:pPr>
            <w:r w:rsidRPr="00E22A6C">
              <w:rPr>
                <w:rFonts w:ascii="Arial" w:hAnsi="Arial" w:cs="Arial"/>
                <w:b/>
                <w:bCs/>
              </w:rPr>
              <w:t>KPIs</w:t>
            </w:r>
          </w:p>
        </w:tc>
        <w:tc>
          <w:tcPr>
            <w:tcW w:w="1000" w:type="pct"/>
            <w:shd w:val="clear" w:color="auto" w:fill="FDE9D9" w:themeFill="accent6" w:themeFillTint="33"/>
            <w:tcMar>
              <w:top w:w="100" w:type="dxa"/>
              <w:left w:w="100" w:type="dxa"/>
              <w:bottom w:w="100" w:type="dxa"/>
              <w:right w:w="100" w:type="dxa"/>
            </w:tcMar>
          </w:tcPr>
          <w:p w14:paraId="357EFC2F" w14:textId="77777777" w:rsidR="00641572" w:rsidRPr="00E22A6C" w:rsidRDefault="001B57A1" w:rsidP="00E22A6C">
            <w:pPr>
              <w:widowControl w:val="0"/>
              <w:pBdr>
                <w:top w:val="nil"/>
                <w:left w:val="nil"/>
                <w:bottom w:val="nil"/>
                <w:right w:val="nil"/>
                <w:between w:val="nil"/>
              </w:pBdr>
              <w:jc w:val="center"/>
              <w:rPr>
                <w:rFonts w:ascii="Arial" w:hAnsi="Arial" w:cs="Arial"/>
                <w:b/>
                <w:bCs/>
              </w:rPr>
            </w:pPr>
            <w:r w:rsidRPr="00E22A6C">
              <w:rPr>
                <w:rFonts w:ascii="Arial" w:hAnsi="Arial" w:cs="Arial"/>
                <w:b/>
                <w:bCs/>
              </w:rPr>
              <w:t>Target</w:t>
            </w:r>
          </w:p>
        </w:tc>
        <w:tc>
          <w:tcPr>
            <w:tcW w:w="1000" w:type="pct"/>
            <w:shd w:val="clear" w:color="auto" w:fill="FDE9D9" w:themeFill="accent6" w:themeFillTint="33"/>
            <w:tcMar>
              <w:top w:w="100" w:type="dxa"/>
              <w:left w:w="100" w:type="dxa"/>
              <w:bottom w:w="100" w:type="dxa"/>
              <w:right w:w="100" w:type="dxa"/>
            </w:tcMar>
          </w:tcPr>
          <w:p w14:paraId="639D57F6" w14:textId="77777777" w:rsidR="00641572" w:rsidRPr="00E22A6C" w:rsidRDefault="001B57A1" w:rsidP="00E22A6C">
            <w:pPr>
              <w:widowControl w:val="0"/>
              <w:pBdr>
                <w:top w:val="nil"/>
                <w:left w:val="nil"/>
                <w:bottom w:val="nil"/>
                <w:right w:val="nil"/>
                <w:between w:val="nil"/>
              </w:pBdr>
              <w:jc w:val="center"/>
              <w:rPr>
                <w:rFonts w:ascii="Arial" w:hAnsi="Arial" w:cs="Arial"/>
                <w:b/>
                <w:bCs/>
              </w:rPr>
            </w:pPr>
            <w:r w:rsidRPr="00E22A6C">
              <w:rPr>
                <w:rFonts w:ascii="Arial" w:hAnsi="Arial" w:cs="Arial"/>
                <w:b/>
                <w:bCs/>
              </w:rPr>
              <w:t>Initiatives</w:t>
            </w:r>
          </w:p>
        </w:tc>
      </w:tr>
      <w:tr w:rsidR="00641572" w:rsidRPr="00E22A6C" w14:paraId="674EB735" w14:textId="77777777" w:rsidTr="00A86784">
        <w:trPr>
          <w:jc w:val="center"/>
        </w:trPr>
        <w:tc>
          <w:tcPr>
            <w:tcW w:w="1000" w:type="pct"/>
            <w:shd w:val="clear" w:color="auto" w:fill="FDE9D9" w:themeFill="accent6" w:themeFillTint="33"/>
            <w:tcMar>
              <w:top w:w="100" w:type="dxa"/>
              <w:left w:w="100" w:type="dxa"/>
              <w:bottom w:w="100" w:type="dxa"/>
              <w:right w:w="100" w:type="dxa"/>
            </w:tcMar>
          </w:tcPr>
          <w:p w14:paraId="27CD3903"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Financial</w:t>
            </w:r>
          </w:p>
        </w:tc>
        <w:tc>
          <w:tcPr>
            <w:tcW w:w="1000" w:type="pct"/>
            <w:shd w:val="clear" w:color="auto" w:fill="FDE9D9" w:themeFill="accent6" w:themeFillTint="33"/>
            <w:tcMar>
              <w:top w:w="100" w:type="dxa"/>
              <w:left w:w="100" w:type="dxa"/>
              <w:bottom w:w="100" w:type="dxa"/>
              <w:right w:w="100" w:type="dxa"/>
            </w:tcMar>
          </w:tcPr>
          <w:p w14:paraId="0710ECA7"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Enhance revenue improvement and profitability</w:t>
            </w:r>
          </w:p>
        </w:tc>
        <w:tc>
          <w:tcPr>
            <w:tcW w:w="1000" w:type="pct"/>
            <w:shd w:val="clear" w:color="auto" w:fill="FDE9D9" w:themeFill="accent6" w:themeFillTint="33"/>
            <w:tcMar>
              <w:top w:w="100" w:type="dxa"/>
              <w:left w:w="100" w:type="dxa"/>
              <w:bottom w:w="100" w:type="dxa"/>
              <w:right w:w="100" w:type="dxa"/>
            </w:tcMar>
          </w:tcPr>
          <w:p w14:paraId="2F537DDD"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The numbers of sales revenue, operating margin and market share</w:t>
            </w:r>
          </w:p>
        </w:tc>
        <w:tc>
          <w:tcPr>
            <w:tcW w:w="1000" w:type="pct"/>
            <w:shd w:val="clear" w:color="auto" w:fill="FDE9D9" w:themeFill="accent6" w:themeFillTint="33"/>
            <w:tcMar>
              <w:top w:w="100" w:type="dxa"/>
              <w:left w:w="100" w:type="dxa"/>
              <w:bottom w:w="100" w:type="dxa"/>
              <w:right w:w="100" w:type="dxa"/>
            </w:tcMar>
          </w:tcPr>
          <w:p w14:paraId="31104DCB"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Boost sales and profitability in the UK</w:t>
            </w:r>
          </w:p>
        </w:tc>
        <w:tc>
          <w:tcPr>
            <w:tcW w:w="1000" w:type="pct"/>
            <w:shd w:val="clear" w:color="auto" w:fill="FDE9D9" w:themeFill="accent6" w:themeFillTint="33"/>
            <w:tcMar>
              <w:top w:w="100" w:type="dxa"/>
              <w:left w:w="100" w:type="dxa"/>
              <w:bottom w:w="100" w:type="dxa"/>
              <w:right w:w="100" w:type="dxa"/>
            </w:tcMar>
          </w:tcPr>
          <w:p w14:paraId="59853BA9"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Increase the premium product mix, enhance supply chain efficiency and cost management</w:t>
            </w:r>
          </w:p>
        </w:tc>
      </w:tr>
      <w:tr w:rsidR="00641572" w:rsidRPr="00E22A6C" w14:paraId="31CE2195" w14:textId="77777777" w:rsidTr="00A86784">
        <w:trPr>
          <w:jc w:val="center"/>
        </w:trPr>
        <w:tc>
          <w:tcPr>
            <w:tcW w:w="1000" w:type="pct"/>
            <w:shd w:val="clear" w:color="auto" w:fill="FDE9D9" w:themeFill="accent6" w:themeFillTint="33"/>
            <w:tcMar>
              <w:top w:w="100" w:type="dxa"/>
              <w:left w:w="100" w:type="dxa"/>
              <w:bottom w:w="100" w:type="dxa"/>
              <w:right w:w="100" w:type="dxa"/>
            </w:tcMar>
          </w:tcPr>
          <w:p w14:paraId="51D74CE9"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Customer</w:t>
            </w:r>
          </w:p>
        </w:tc>
        <w:tc>
          <w:tcPr>
            <w:tcW w:w="1000" w:type="pct"/>
            <w:shd w:val="clear" w:color="auto" w:fill="FDE9D9" w:themeFill="accent6" w:themeFillTint="33"/>
            <w:tcMar>
              <w:top w:w="100" w:type="dxa"/>
              <w:left w:w="100" w:type="dxa"/>
              <w:bottom w:w="100" w:type="dxa"/>
              <w:right w:w="100" w:type="dxa"/>
            </w:tcMar>
          </w:tcPr>
          <w:p w14:paraId="4BAE6C9F"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Improve customer satisfaction and brand loyalty</w:t>
            </w:r>
          </w:p>
        </w:tc>
        <w:tc>
          <w:tcPr>
            <w:tcW w:w="1000" w:type="pct"/>
            <w:shd w:val="clear" w:color="auto" w:fill="FDE9D9" w:themeFill="accent6" w:themeFillTint="33"/>
            <w:tcMar>
              <w:top w:w="100" w:type="dxa"/>
              <w:left w:w="100" w:type="dxa"/>
              <w:bottom w:w="100" w:type="dxa"/>
              <w:right w:w="100" w:type="dxa"/>
            </w:tcMar>
          </w:tcPr>
          <w:p w14:paraId="7D89F1C4"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Customer Satisfaction Score, repeat Purchase rate, Brand awareness</w:t>
            </w:r>
          </w:p>
        </w:tc>
        <w:tc>
          <w:tcPr>
            <w:tcW w:w="1000" w:type="pct"/>
            <w:shd w:val="clear" w:color="auto" w:fill="FDE9D9" w:themeFill="accent6" w:themeFillTint="33"/>
            <w:tcMar>
              <w:top w:w="100" w:type="dxa"/>
              <w:left w:w="100" w:type="dxa"/>
              <w:bottom w:w="100" w:type="dxa"/>
              <w:right w:w="100" w:type="dxa"/>
            </w:tcMar>
          </w:tcPr>
          <w:p w14:paraId="300CDC86"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Drive up customer loyalty and consumer confidence</w:t>
            </w:r>
          </w:p>
        </w:tc>
        <w:tc>
          <w:tcPr>
            <w:tcW w:w="1000" w:type="pct"/>
            <w:shd w:val="clear" w:color="auto" w:fill="FDE9D9" w:themeFill="accent6" w:themeFillTint="33"/>
            <w:tcMar>
              <w:top w:w="100" w:type="dxa"/>
              <w:left w:w="100" w:type="dxa"/>
              <w:bottom w:w="100" w:type="dxa"/>
              <w:right w:w="100" w:type="dxa"/>
            </w:tcMar>
          </w:tcPr>
          <w:p w14:paraId="7874BEF1"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 xml:space="preserve">Enhance digital engagement, sustainability communication and personalised </w:t>
            </w:r>
            <w:r w:rsidRPr="00E22A6C">
              <w:rPr>
                <w:rFonts w:ascii="Arial" w:hAnsi="Arial" w:cs="Arial"/>
              </w:rPr>
              <w:lastRenderedPageBreak/>
              <w:t>marketing</w:t>
            </w:r>
          </w:p>
        </w:tc>
      </w:tr>
      <w:tr w:rsidR="00641572" w:rsidRPr="00E22A6C" w14:paraId="04B91781" w14:textId="77777777" w:rsidTr="00A86784">
        <w:trPr>
          <w:jc w:val="center"/>
        </w:trPr>
        <w:tc>
          <w:tcPr>
            <w:tcW w:w="1000" w:type="pct"/>
            <w:shd w:val="clear" w:color="auto" w:fill="FDE9D9" w:themeFill="accent6" w:themeFillTint="33"/>
            <w:tcMar>
              <w:top w:w="100" w:type="dxa"/>
              <w:left w:w="100" w:type="dxa"/>
              <w:bottom w:w="100" w:type="dxa"/>
              <w:right w:w="100" w:type="dxa"/>
            </w:tcMar>
          </w:tcPr>
          <w:p w14:paraId="4BEB18AF"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lastRenderedPageBreak/>
              <w:t>Business Processes (Internal)</w:t>
            </w:r>
          </w:p>
        </w:tc>
        <w:tc>
          <w:tcPr>
            <w:tcW w:w="1000" w:type="pct"/>
            <w:shd w:val="clear" w:color="auto" w:fill="FDE9D9" w:themeFill="accent6" w:themeFillTint="33"/>
            <w:tcMar>
              <w:top w:w="100" w:type="dxa"/>
              <w:left w:w="100" w:type="dxa"/>
              <w:bottom w:w="100" w:type="dxa"/>
              <w:right w:w="100" w:type="dxa"/>
            </w:tcMar>
          </w:tcPr>
          <w:p w14:paraId="151EDD53"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Enhance the efficiency of operations and sustainable production</w:t>
            </w:r>
          </w:p>
        </w:tc>
        <w:tc>
          <w:tcPr>
            <w:tcW w:w="1000" w:type="pct"/>
            <w:shd w:val="clear" w:color="auto" w:fill="FDE9D9" w:themeFill="accent6" w:themeFillTint="33"/>
            <w:tcMar>
              <w:top w:w="100" w:type="dxa"/>
              <w:left w:w="100" w:type="dxa"/>
              <w:bottom w:w="100" w:type="dxa"/>
              <w:right w:w="100" w:type="dxa"/>
            </w:tcMar>
          </w:tcPr>
          <w:p w14:paraId="5C1D7445"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Production efficiency, rate of reusable packaging, product quality measures</w:t>
            </w:r>
          </w:p>
        </w:tc>
        <w:tc>
          <w:tcPr>
            <w:tcW w:w="1000" w:type="pct"/>
            <w:shd w:val="clear" w:color="auto" w:fill="FDE9D9" w:themeFill="accent6" w:themeFillTint="33"/>
            <w:tcMar>
              <w:top w:w="100" w:type="dxa"/>
              <w:left w:w="100" w:type="dxa"/>
              <w:bottom w:w="100" w:type="dxa"/>
              <w:right w:w="100" w:type="dxa"/>
            </w:tcMar>
          </w:tcPr>
          <w:p w14:paraId="710260F7"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Minimise waste in operations and enhance manufacturing productivity</w:t>
            </w:r>
          </w:p>
        </w:tc>
        <w:tc>
          <w:tcPr>
            <w:tcW w:w="1000" w:type="pct"/>
            <w:shd w:val="clear" w:color="auto" w:fill="FDE9D9" w:themeFill="accent6" w:themeFillTint="33"/>
            <w:tcMar>
              <w:top w:w="100" w:type="dxa"/>
              <w:left w:w="100" w:type="dxa"/>
              <w:bottom w:w="100" w:type="dxa"/>
              <w:right w:w="100" w:type="dxa"/>
            </w:tcMar>
          </w:tcPr>
          <w:p w14:paraId="034EE523"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Practice sustainable packaging, responsible sourcing, and process innovations</w:t>
            </w:r>
          </w:p>
        </w:tc>
      </w:tr>
      <w:tr w:rsidR="00641572" w:rsidRPr="00E22A6C" w14:paraId="0320BD39" w14:textId="77777777" w:rsidTr="00A86784">
        <w:trPr>
          <w:jc w:val="center"/>
        </w:trPr>
        <w:tc>
          <w:tcPr>
            <w:tcW w:w="1000" w:type="pct"/>
            <w:shd w:val="clear" w:color="auto" w:fill="FDE9D9" w:themeFill="accent6" w:themeFillTint="33"/>
            <w:tcMar>
              <w:top w:w="100" w:type="dxa"/>
              <w:left w:w="100" w:type="dxa"/>
              <w:bottom w:w="100" w:type="dxa"/>
              <w:right w:w="100" w:type="dxa"/>
            </w:tcMar>
          </w:tcPr>
          <w:p w14:paraId="4BC774A6"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Learning and Growth</w:t>
            </w:r>
          </w:p>
        </w:tc>
        <w:tc>
          <w:tcPr>
            <w:tcW w:w="1000" w:type="pct"/>
            <w:shd w:val="clear" w:color="auto" w:fill="FDE9D9" w:themeFill="accent6" w:themeFillTint="33"/>
            <w:tcMar>
              <w:top w:w="100" w:type="dxa"/>
              <w:left w:w="100" w:type="dxa"/>
              <w:bottom w:w="100" w:type="dxa"/>
              <w:right w:w="100" w:type="dxa"/>
            </w:tcMar>
          </w:tcPr>
          <w:p w14:paraId="3DD2EB66"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Improve innovation ability and employee training</w:t>
            </w:r>
          </w:p>
        </w:tc>
        <w:tc>
          <w:tcPr>
            <w:tcW w:w="1000" w:type="pct"/>
            <w:shd w:val="clear" w:color="auto" w:fill="FDE9D9" w:themeFill="accent6" w:themeFillTint="33"/>
            <w:tcMar>
              <w:top w:w="100" w:type="dxa"/>
              <w:left w:w="100" w:type="dxa"/>
              <w:bottom w:w="100" w:type="dxa"/>
              <w:right w:w="100" w:type="dxa"/>
            </w:tcMar>
          </w:tcPr>
          <w:p w14:paraId="5F9D7036"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New product introduction, staff training, R&amp;D spending</w:t>
            </w:r>
          </w:p>
        </w:tc>
        <w:tc>
          <w:tcPr>
            <w:tcW w:w="1000" w:type="pct"/>
            <w:shd w:val="clear" w:color="auto" w:fill="FDE9D9" w:themeFill="accent6" w:themeFillTint="33"/>
            <w:tcMar>
              <w:top w:w="100" w:type="dxa"/>
              <w:left w:w="100" w:type="dxa"/>
              <w:bottom w:w="100" w:type="dxa"/>
              <w:right w:w="100" w:type="dxa"/>
            </w:tcMar>
          </w:tcPr>
          <w:p w14:paraId="35E69E63"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Promote innovation and skills in the workforce</w:t>
            </w:r>
          </w:p>
        </w:tc>
        <w:tc>
          <w:tcPr>
            <w:tcW w:w="1000" w:type="pct"/>
            <w:shd w:val="clear" w:color="auto" w:fill="FDE9D9" w:themeFill="accent6" w:themeFillTint="33"/>
            <w:tcMar>
              <w:top w:w="100" w:type="dxa"/>
              <w:left w:w="100" w:type="dxa"/>
              <w:bottom w:w="100" w:type="dxa"/>
              <w:right w:w="100" w:type="dxa"/>
            </w:tcMar>
          </w:tcPr>
          <w:p w14:paraId="6B56FC7A"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Boost research, digital and sustainability training investments</w:t>
            </w:r>
          </w:p>
        </w:tc>
      </w:tr>
    </w:tbl>
    <w:p w14:paraId="1A07F293" w14:textId="77777777" w:rsidR="00641572" w:rsidRPr="00E22A6C" w:rsidRDefault="001B57A1" w:rsidP="00E22A6C">
      <w:pPr>
        <w:jc w:val="center"/>
        <w:rPr>
          <w:rFonts w:ascii="Arial" w:hAnsi="Arial" w:cs="Arial"/>
          <w:b/>
          <w:bCs/>
        </w:rPr>
      </w:pPr>
      <w:r w:rsidRPr="00E22A6C">
        <w:rPr>
          <w:rFonts w:ascii="Arial" w:hAnsi="Arial" w:cs="Arial"/>
          <w:b/>
          <w:bCs/>
        </w:rPr>
        <w:t>Table 3: Balanced Scorecard Analysis</w:t>
      </w:r>
    </w:p>
    <w:p w14:paraId="3DF1B417" w14:textId="77777777" w:rsidR="00641572" w:rsidRPr="00E22A6C" w:rsidRDefault="001B57A1" w:rsidP="00E22A6C">
      <w:pPr>
        <w:jc w:val="center"/>
        <w:rPr>
          <w:rFonts w:ascii="Arial" w:hAnsi="Arial" w:cs="Arial"/>
        </w:rPr>
      </w:pPr>
      <w:r w:rsidRPr="00E22A6C">
        <w:rPr>
          <w:rFonts w:ascii="Arial" w:hAnsi="Arial" w:cs="Arial"/>
        </w:rPr>
        <w:t>(Source: Self-created)</w:t>
      </w:r>
    </w:p>
    <w:p w14:paraId="7C96BA28" w14:textId="77777777" w:rsidR="00315A5E" w:rsidRPr="00E22A6C" w:rsidRDefault="00315A5E" w:rsidP="00E22A6C">
      <w:pPr>
        <w:rPr>
          <w:rFonts w:ascii="Arial" w:hAnsi="Arial" w:cs="Arial"/>
          <w:color w:val="000000" w:themeColor="text1"/>
        </w:rPr>
      </w:pPr>
      <w:r w:rsidRPr="00E22A6C">
        <w:rPr>
          <w:rFonts w:ascii="Arial" w:hAnsi="Arial" w:cs="Arial"/>
          <w:color w:val="000000" w:themeColor="text1"/>
        </w:rPr>
        <w:t xml:space="preserve">The Balanced Scorecard is a cohesive tool that allows the goals of the strategic plan of Dove Beauty Bar to become quantifiable organisational performance. Unlike conventional financial reporting, it introduces non-financial elements as well as financial ones, providing managers with an opportunity to monitor the creation of long-term value in all business activities and remain focused on business issues (Kumar </w:t>
      </w:r>
      <w:r w:rsidRPr="00E22A6C">
        <w:rPr>
          <w:rFonts w:ascii="Arial" w:hAnsi="Arial" w:cs="Arial"/>
          <w:i/>
          <w:iCs/>
          <w:color w:val="000000" w:themeColor="text1"/>
        </w:rPr>
        <w:t>et al</w:t>
      </w:r>
      <w:r w:rsidRPr="00E22A6C">
        <w:rPr>
          <w:rFonts w:ascii="Arial" w:hAnsi="Arial" w:cs="Arial"/>
          <w:color w:val="000000" w:themeColor="text1"/>
        </w:rPr>
        <w:t>. 2024). In addition to growth in sales, sustainable growth in revenue needs to be profitable despite inflation and rising production costs. It is not necessary to sacrifice price to improve efficiency and increase premium product offerings to improve long-term profits (</w:t>
      </w:r>
      <w:proofErr w:type="spellStart"/>
      <w:r w:rsidRPr="00E22A6C">
        <w:rPr>
          <w:rFonts w:ascii="Arial" w:hAnsi="Arial" w:cs="Arial"/>
          <w:color w:val="000000" w:themeColor="text1"/>
        </w:rPr>
        <w:t>Girdzijauskas</w:t>
      </w:r>
      <w:proofErr w:type="spellEnd"/>
      <w:r w:rsidRPr="00E22A6C">
        <w:rPr>
          <w:rFonts w:ascii="Arial" w:hAnsi="Arial" w:cs="Arial"/>
          <w:color w:val="000000" w:themeColor="text1"/>
        </w:rPr>
        <w:t xml:space="preserve"> </w:t>
      </w:r>
      <w:r w:rsidRPr="00E22A6C">
        <w:rPr>
          <w:rFonts w:ascii="Arial" w:hAnsi="Arial" w:cs="Arial"/>
          <w:i/>
          <w:iCs/>
          <w:color w:val="000000" w:themeColor="text1"/>
        </w:rPr>
        <w:t>et al</w:t>
      </w:r>
      <w:r w:rsidRPr="00E22A6C">
        <w:rPr>
          <w:rFonts w:ascii="Arial" w:hAnsi="Arial" w:cs="Arial"/>
          <w:color w:val="000000" w:themeColor="text1"/>
        </w:rPr>
        <w:t xml:space="preserve">. 2022). The customer perspective is an indication of Dove's niche in the UK personal care market. Consumer trust, brand loyalty and satisfaction are essential; consumers have become more aware of sustainability, ethical business practices and product quality when buying products (Agu </w:t>
      </w:r>
      <w:r w:rsidRPr="00E22A6C">
        <w:rPr>
          <w:rFonts w:ascii="Arial" w:hAnsi="Arial" w:cs="Arial"/>
          <w:i/>
          <w:iCs/>
          <w:color w:val="000000" w:themeColor="text1"/>
        </w:rPr>
        <w:t>et al</w:t>
      </w:r>
      <w:r w:rsidRPr="00E22A6C">
        <w:rPr>
          <w:rFonts w:ascii="Arial" w:hAnsi="Arial" w:cs="Arial"/>
          <w:color w:val="000000" w:themeColor="text1"/>
        </w:rPr>
        <w:t>. 2024). As a result, a more robust digital presence and clear communication can help to foster lasting customer relationships and build brand equity.</w:t>
      </w:r>
    </w:p>
    <w:p w14:paraId="3D708EA3" w14:textId="77777777" w:rsidR="00641572" w:rsidRPr="00E22A6C" w:rsidRDefault="00315A5E" w:rsidP="00E22A6C">
      <w:pPr>
        <w:rPr>
          <w:rFonts w:ascii="Arial" w:hAnsi="Arial" w:cs="Arial"/>
          <w:color w:val="000000" w:themeColor="text1"/>
        </w:rPr>
      </w:pPr>
      <w:r w:rsidRPr="00E22A6C">
        <w:rPr>
          <w:rFonts w:ascii="Arial" w:hAnsi="Arial" w:cs="Arial"/>
          <w:color w:val="000000" w:themeColor="text1"/>
        </w:rPr>
        <w:t xml:space="preserve">Internal business processes are concerned with the excellence of operations (Patil </w:t>
      </w:r>
      <w:r w:rsidRPr="00E22A6C">
        <w:rPr>
          <w:rFonts w:ascii="Arial" w:hAnsi="Arial" w:cs="Arial"/>
          <w:i/>
          <w:iCs/>
          <w:color w:val="000000" w:themeColor="text1"/>
        </w:rPr>
        <w:t>et al</w:t>
      </w:r>
      <w:r w:rsidRPr="00E22A6C">
        <w:rPr>
          <w:rFonts w:ascii="Arial" w:hAnsi="Arial" w:cs="Arial"/>
          <w:color w:val="000000" w:themeColor="text1"/>
        </w:rPr>
        <w:t xml:space="preserve">. 2025). Dove continues to invest in sustainable sourcing, recyclable packaging and </w:t>
      </w:r>
      <w:r w:rsidRPr="00E22A6C">
        <w:rPr>
          <w:rFonts w:ascii="Arial" w:hAnsi="Arial" w:cs="Arial"/>
          <w:color w:val="000000" w:themeColor="text1"/>
        </w:rPr>
        <w:lastRenderedPageBreak/>
        <w:t xml:space="preserve">factory efficiencies, ensuring it is able to meet the needs of environmental regulators and consumers. All of these improvements also contribute to cost reduction and minimising the supply chain's impact on the organisation and reinforce its competitiveness. Lastly, the learning and growth perspective acknowledges the need for ongoing innovation and organisational capability for sustaining competitive advantage (Khemraj </w:t>
      </w:r>
      <w:r w:rsidRPr="00E22A6C">
        <w:rPr>
          <w:rFonts w:ascii="Arial" w:hAnsi="Arial" w:cs="Arial"/>
          <w:i/>
          <w:iCs/>
          <w:color w:val="000000" w:themeColor="text1"/>
        </w:rPr>
        <w:t>et al</w:t>
      </w:r>
      <w:r w:rsidRPr="00E22A6C">
        <w:rPr>
          <w:rFonts w:ascii="Arial" w:hAnsi="Arial" w:cs="Arial"/>
          <w:color w:val="000000" w:themeColor="text1"/>
        </w:rPr>
        <w:t>. 2023). Research and development, employee training, and investment in digital technologies also enable Dove to adapt to evolving market trends and develop new, eco-friendly skin care products. This is also a reflection of the valuable, hard-to-imitate capabilities identified in the previous VRIO analysis. Overall, the Balanced Scorecard shows that Dove's long-term success is dependent on having a balance between financial, customer value, operational excellence and continuous organisational learning. The framework, therefore, offers a feasible way to strategy, performance monitoring and sustainable competitive advantage in the UK personal care market.</w:t>
      </w:r>
    </w:p>
    <w:p w14:paraId="221CD1AB" w14:textId="77777777" w:rsidR="00641572" w:rsidRPr="00E22A6C" w:rsidRDefault="001B57A1" w:rsidP="00E22A6C">
      <w:pPr>
        <w:pStyle w:val="Heading1"/>
        <w:rPr>
          <w:rFonts w:ascii="Arial" w:hAnsi="Arial" w:cs="Arial"/>
          <w:sz w:val="24"/>
          <w:szCs w:val="24"/>
        </w:rPr>
      </w:pPr>
      <w:bookmarkStart w:id="40" w:name="_k4jusku80mtt" w:colFirst="0" w:colLast="0"/>
      <w:bookmarkStart w:id="41" w:name="_Toc236068255"/>
      <w:bookmarkEnd w:id="40"/>
      <w:r w:rsidRPr="00E22A6C">
        <w:rPr>
          <w:rFonts w:ascii="Arial" w:hAnsi="Arial" w:cs="Arial"/>
          <w:sz w:val="24"/>
          <w:szCs w:val="24"/>
        </w:rPr>
        <w:t>The strategic choices and implementation</w:t>
      </w:r>
      <w:bookmarkEnd w:id="41"/>
    </w:p>
    <w:p w14:paraId="46A4476A" w14:textId="77777777" w:rsidR="00641572" w:rsidRPr="00E22A6C" w:rsidRDefault="001B57A1" w:rsidP="00E22A6C">
      <w:pPr>
        <w:pStyle w:val="Heading2"/>
        <w:rPr>
          <w:rFonts w:ascii="Arial" w:hAnsi="Arial" w:cs="Arial"/>
          <w:sz w:val="24"/>
          <w:szCs w:val="24"/>
        </w:rPr>
      </w:pPr>
      <w:bookmarkStart w:id="42" w:name="_fq1b5wam8ej9" w:colFirst="0" w:colLast="0"/>
      <w:bookmarkStart w:id="43" w:name="_Toc236068256"/>
      <w:bookmarkEnd w:id="42"/>
      <w:r w:rsidRPr="00E22A6C">
        <w:rPr>
          <w:rFonts w:ascii="Arial" w:hAnsi="Arial" w:cs="Arial"/>
          <w:sz w:val="24"/>
          <w:szCs w:val="24"/>
        </w:rPr>
        <w:t>Business-Level Strategy</w:t>
      </w:r>
      <w:bookmarkEnd w:id="43"/>
      <w:r w:rsidRPr="00E22A6C">
        <w:rPr>
          <w:rFonts w:ascii="Arial" w:hAnsi="Arial" w:cs="Arial"/>
          <w:sz w:val="24"/>
          <w:szCs w:val="24"/>
        </w:rPr>
        <w:t xml:space="preserve"> </w:t>
      </w:r>
    </w:p>
    <w:p w14:paraId="2754937D" w14:textId="77777777" w:rsidR="00641572" w:rsidRPr="00E22A6C" w:rsidRDefault="001B57A1" w:rsidP="00E22A6C">
      <w:pPr>
        <w:rPr>
          <w:rFonts w:ascii="Arial" w:hAnsi="Arial" w:cs="Arial"/>
          <w:color w:val="000000" w:themeColor="text1"/>
        </w:rPr>
      </w:pPr>
      <w:r w:rsidRPr="00E22A6C">
        <w:rPr>
          <w:rFonts w:ascii="Arial" w:hAnsi="Arial" w:cs="Arial"/>
        </w:rPr>
        <w:t xml:space="preserve">Dove Beauty Bar uses a differentiation strategy and competes with other brands based on their superior product quality, moisturising features and brand identity. This is complemented by the Real Beauty Campaign, sustainable product development and ongoing product innovation, which allow Dove to offer value to customers </w:t>
      </w:r>
      <w:r w:rsidR="00A86784" w:rsidRPr="00E22A6C">
        <w:rPr>
          <w:rFonts w:ascii="Arial" w:hAnsi="Arial" w:cs="Arial"/>
        </w:rPr>
        <w:t>that,</w:t>
      </w:r>
      <w:r w:rsidRPr="00E22A6C">
        <w:rPr>
          <w:rFonts w:ascii="Arial" w:hAnsi="Arial" w:cs="Arial"/>
        </w:rPr>
        <w:t xml:space="preserve"> goes beyond product functionality. Ethical values and environmental issues have become a key influence in consumers' buying habits, and purpose-driven branding offers an opportunity to differentiate, thus gaining a competitive advantage in the UK market (Kalogeras and Mejri, 2025). On a strategic level, differentiation is not just about brand reputation; it is about innovation- continuous innovation. As the market grows, sustainable packaging, cruelty-free ingredients and eco-friendly production methods are becoming more common and are making these capabilities less distinctive (Jani </w:t>
      </w:r>
      <w:r w:rsidRPr="00E22A6C">
        <w:rPr>
          <w:rFonts w:ascii="Arial" w:hAnsi="Arial" w:cs="Arial"/>
          <w:i/>
          <w:iCs/>
        </w:rPr>
        <w:t>et al</w:t>
      </w:r>
      <w:r w:rsidRPr="00E22A6C">
        <w:rPr>
          <w:rFonts w:ascii="Arial" w:hAnsi="Arial" w:cs="Arial"/>
        </w:rPr>
        <w:t xml:space="preserve">. 2026). Therefore, Dove's ability to be a stronger competitor depends on the increased innovation of sustainable ingredients, sustainable packaging, and digital consumer interaction. </w:t>
      </w:r>
      <w:r w:rsidR="00956138" w:rsidRPr="00E22A6C">
        <w:rPr>
          <w:rFonts w:ascii="Arial" w:hAnsi="Arial" w:cs="Arial"/>
          <w:color w:val="000000" w:themeColor="text1"/>
        </w:rPr>
        <w:t>These programs will enable them to lock in customer loyalty and support premium pricing even in the presence of inflation</w:t>
      </w:r>
      <w:r w:rsidRPr="00E22A6C">
        <w:rPr>
          <w:rFonts w:ascii="Arial" w:hAnsi="Arial" w:cs="Arial"/>
          <w:color w:val="000000" w:themeColor="text1"/>
        </w:rPr>
        <w:t>.</w:t>
      </w:r>
    </w:p>
    <w:p w14:paraId="72AADE0D" w14:textId="77777777" w:rsidR="00641572" w:rsidRPr="00E22A6C" w:rsidRDefault="001B57A1" w:rsidP="00E22A6C">
      <w:pPr>
        <w:rPr>
          <w:rFonts w:ascii="Arial" w:hAnsi="Arial" w:cs="Arial"/>
        </w:rPr>
      </w:pPr>
      <w:r w:rsidRPr="00E22A6C">
        <w:rPr>
          <w:rFonts w:ascii="Arial" w:hAnsi="Arial" w:cs="Arial"/>
        </w:rPr>
        <w:t xml:space="preserve">Moreover, operational efficiency must be coupled with differentiation; it must aim at controlling the cost of production without compromising the product or its quality (Liu and Zhao, 2022). With this balance, Dove will maintain profitability while also investing </w:t>
      </w:r>
      <w:r w:rsidRPr="00E22A6C">
        <w:rPr>
          <w:rFonts w:ascii="Arial" w:hAnsi="Arial" w:cs="Arial"/>
        </w:rPr>
        <w:lastRenderedPageBreak/>
        <w:t>in R&amp;D, sustainability and marketing efforts that will further enhance its competitive edge over time.</w:t>
      </w:r>
    </w:p>
    <w:p w14:paraId="2015890B" w14:textId="77777777" w:rsidR="00641572" w:rsidRPr="00E22A6C" w:rsidRDefault="001B57A1" w:rsidP="00E22A6C">
      <w:pPr>
        <w:pStyle w:val="Heading2"/>
        <w:rPr>
          <w:rFonts w:ascii="Arial" w:hAnsi="Arial" w:cs="Arial"/>
          <w:sz w:val="24"/>
          <w:szCs w:val="24"/>
        </w:rPr>
      </w:pPr>
      <w:bookmarkStart w:id="44" w:name="_86ep0mxjtv5c" w:colFirst="0" w:colLast="0"/>
      <w:bookmarkStart w:id="45" w:name="_Toc236068257"/>
      <w:bookmarkEnd w:id="44"/>
      <w:r w:rsidRPr="00E22A6C">
        <w:rPr>
          <w:rFonts w:ascii="Arial" w:hAnsi="Arial" w:cs="Arial"/>
          <w:sz w:val="24"/>
          <w:szCs w:val="24"/>
        </w:rPr>
        <w:t>Porter's Five Forces Analysis</w:t>
      </w:r>
      <w:bookmarkEnd w:id="45"/>
    </w:p>
    <w:tbl>
      <w:tblPr>
        <w:tblStyle w:val="a2"/>
        <w:tblW w:w="5000" w:type="pct"/>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6DDE8" w:themeFill="accent5" w:themeFillTint="66"/>
        <w:tblLook w:val="0600" w:firstRow="0" w:lastRow="0" w:firstColumn="0" w:lastColumn="0" w:noHBand="1" w:noVBand="1"/>
      </w:tblPr>
      <w:tblGrid>
        <w:gridCol w:w="3078"/>
        <w:gridCol w:w="1787"/>
        <w:gridCol w:w="4144"/>
      </w:tblGrid>
      <w:tr w:rsidR="00641572" w:rsidRPr="00E22A6C" w14:paraId="54BD38E7" w14:textId="77777777" w:rsidTr="00A86784">
        <w:trPr>
          <w:jc w:val="center"/>
        </w:trPr>
        <w:tc>
          <w:tcPr>
            <w:tcW w:w="1708" w:type="pct"/>
            <w:shd w:val="clear" w:color="auto" w:fill="B6DDE8" w:themeFill="accent5" w:themeFillTint="66"/>
            <w:tcMar>
              <w:top w:w="100" w:type="dxa"/>
              <w:left w:w="100" w:type="dxa"/>
              <w:bottom w:w="100" w:type="dxa"/>
              <w:right w:w="100" w:type="dxa"/>
            </w:tcMar>
          </w:tcPr>
          <w:p w14:paraId="75372942" w14:textId="77777777" w:rsidR="00641572" w:rsidRPr="00E22A6C" w:rsidRDefault="001B57A1" w:rsidP="00E22A6C">
            <w:pPr>
              <w:widowControl w:val="0"/>
              <w:pBdr>
                <w:top w:val="nil"/>
                <w:left w:val="nil"/>
                <w:bottom w:val="nil"/>
                <w:right w:val="nil"/>
                <w:between w:val="nil"/>
              </w:pBdr>
              <w:jc w:val="center"/>
              <w:rPr>
                <w:rFonts w:ascii="Arial" w:hAnsi="Arial" w:cs="Arial"/>
                <w:b/>
                <w:bCs/>
              </w:rPr>
            </w:pPr>
            <w:r w:rsidRPr="00E22A6C">
              <w:rPr>
                <w:rFonts w:ascii="Arial" w:hAnsi="Arial" w:cs="Arial"/>
                <w:b/>
                <w:bCs/>
              </w:rPr>
              <w:t>Force</w:t>
            </w:r>
          </w:p>
        </w:tc>
        <w:tc>
          <w:tcPr>
            <w:tcW w:w="992" w:type="pct"/>
            <w:shd w:val="clear" w:color="auto" w:fill="B6DDE8" w:themeFill="accent5" w:themeFillTint="66"/>
            <w:tcMar>
              <w:top w:w="100" w:type="dxa"/>
              <w:left w:w="100" w:type="dxa"/>
              <w:bottom w:w="100" w:type="dxa"/>
              <w:right w:w="100" w:type="dxa"/>
            </w:tcMar>
          </w:tcPr>
          <w:p w14:paraId="6036C701" w14:textId="77777777" w:rsidR="00641572" w:rsidRPr="00E22A6C" w:rsidRDefault="001B57A1" w:rsidP="00E22A6C">
            <w:pPr>
              <w:widowControl w:val="0"/>
              <w:pBdr>
                <w:top w:val="nil"/>
                <w:left w:val="nil"/>
                <w:bottom w:val="nil"/>
                <w:right w:val="nil"/>
                <w:between w:val="nil"/>
              </w:pBdr>
              <w:jc w:val="center"/>
              <w:rPr>
                <w:rFonts w:ascii="Arial" w:hAnsi="Arial" w:cs="Arial"/>
                <w:b/>
                <w:bCs/>
              </w:rPr>
            </w:pPr>
            <w:r w:rsidRPr="00E22A6C">
              <w:rPr>
                <w:rFonts w:ascii="Arial" w:hAnsi="Arial" w:cs="Arial"/>
                <w:b/>
                <w:bCs/>
              </w:rPr>
              <w:t>Impact</w:t>
            </w:r>
          </w:p>
        </w:tc>
        <w:tc>
          <w:tcPr>
            <w:tcW w:w="2300" w:type="pct"/>
            <w:shd w:val="clear" w:color="auto" w:fill="B6DDE8" w:themeFill="accent5" w:themeFillTint="66"/>
            <w:tcMar>
              <w:top w:w="100" w:type="dxa"/>
              <w:left w:w="100" w:type="dxa"/>
              <w:bottom w:w="100" w:type="dxa"/>
              <w:right w:w="100" w:type="dxa"/>
            </w:tcMar>
          </w:tcPr>
          <w:p w14:paraId="307D5F49" w14:textId="77777777" w:rsidR="00641572" w:rsidRPr="00E22A6C" w:rsidRDefault="001B57A1" w:rsidP="00E22A6C">
            <w:pPr>
              <w:widowControl w:val="0"/>
              <w:pBdr>
                <w:top w:val="nil"/>
                <w:left w:val="nil"/>
                <w:bottom w:val="nil"/>
                <w:right w:val="nil"/>
                <w:between w:val="nil"/>
              </w:pBdr>
              <w:jc w:val="center"/>
              <w:rPr>
                <w:rFonts w:ascii="Arial" w:hAnsi="Arial" w:cs="Arial"/>
                <w:b/>
                <w:bCs/>
              </w:rPr>
            </w:pPr>
            <w:r w:rsidRPr="00E22A6C">
              <w:rPr>
                <w:rFonts w:ascii="Arial" w:hAnsi="Arial" w:cs="Arial"/>
                <w:b/>
                <w:bCs/>
              </w:rPr>
              <w:t>Strategic Implication</w:t>
            </w:r>
          </w:p>
        </w:tc>
      </w:tr>
      <w:tr w:rsidR="00641572" w:rsidRPr="00E22A6C" w14:paraId="60FACF12" w14:textId="77777777" w:rsidTr="00A86784">
        <w:trPr>
          <w:jc w:val="center"/>
        </w:trPr>
        <w:tc>
          <w:tcPr>
            <w:tcW w:w="1708" w:type="pct"/>
            <w:shd w:val="clear" w:color="auto" w:fill="B6DDE8" w:themeFill="accent5" w:themeFillTint="66"/>
            <w:tcMar>
              <w:top w:w="100" w:type="dxa"/>
              <w:left w:w="100" w:type="dxa"/>
              <w:bottom w:w="100" w:type="dxa"/>
              <w:right w:w="100" w:type="dxa"/>
            </w:tcMar>
          </w:tcPr>
          <w:p w14:paraId="7A3CD765"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Threat of New Entrants</w:t>
            </w:r>
          </w:p>
        </w:tc>
        <w:tc>
          <w:tcPr>
            <w:tcW w:w="992" w:type="pct"/>
            <w:shd w:val="clear" w:color="auto" w:fill="B6DDE8" w:themeFill="accent5" w:themeFillTint="66"/>
            <w:tcMar>
              <w:top w:w="100" w:type="dxa"/>
              <w:left w:w="100" w:type="dxa"/>
              <w:bottom w:w="100" w:type="dxa"/>
              <w:right w:w="100" w:type="dxa"/>
            </w:tcMar>
          </w:tcPr>
          <w:p w14:paraId="0B2049F6"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Low–Moderate</w:t>
            </w:r>
          </w:p>
        </w:tc>
        <w:tc>
          <w:tcPr>
            <w:tcW w:w="2300" w:type="pct"/>
            <w:shd w:val="clear" w:color="auto" w:fill="B6DDE8" w:themeFill="accent5" w:themeFillTint="66"/>
            <w:tcMar>
              <w:top w:w="100" w:type="dxa"/>
              <w:left w:w="100" w:type="dxa"/>
              <w:bottom w:w="100" w:type="dxa"/>
              <w:right w:w="100" w:type="dxa"/>
            </w:tcMar>
          </w:tcPr>
          <w:p w14:paraId="70C2170A"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Entry barriers are based on strong brand reputation and distribution network</w:t>
            </w:r>
          </w:p>
        </w:tc>
      </w:tr>
      <w:tr w:rsidR="00641572" w:rsidRPr="00E22A6C" w14:paraId="06E19CE3" w14:textId="77777777" w:rsidTr="00A86784">
        <w:trPr>
          <w:jc w:val="center"/>
        </w:trPr>
        <w:tc>
          <w:tcPr>
            <w:tcW w:w="1708" w:type="pct"/>
            <w:shd w:val="clear" w:color="auto" w:fill="B6DDE8" w:themeFill="accent5" w:themeFillTint="66"/>
            <w:tcMar>
              <w:top w:w="100" w:type="dxa"/>
              <w:left w:w="100" w:type="dxa"/>
              <w:bottom w:w="100" w:type="dxa"/>
              <w:right w:w="100" w:type="dxa"/>
            </w:tcMar>
          </w:tcPr>
          <w:p w14:paraId="10E6C9DF"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Bargaining Power of Suppliers</w:t>
            </w:r>
          </w:p>
        </w:tc>
        <w:tc>
          <w:tcPr>
            <w:tcW w:w="992" w:type="pct"/>
            <w:shd w:val="clear" w:color="auto" w:fill="B6DDE8" w:themeFill="accent5" w:themeFillTint="66"/>
            <w:tcMar>
              <w:top w:w="100" w:type="dxa"/>
              <w:left w:w="100" w:type="dxa"/>
              <w:bottom w:w="100" w:type="dxa"/>
              <w:right w:w="100" w:type="dxa"/>
            </w:tcMar>
          </w:tcPr>
          <w:p w14:paraId="00DB2BCF"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Moderate</w:t>
            </w:r>
          </w:p>
        </w:tc>
        <w:tc>
          <w:tcPr>
            <w:tcW w:w="2300" w:type="pct"/>
            <w:shd w:val="clear" w:color="auto" w:fill="B6DDE8" w:themeFill="accent5" w:themeFillTint="66"/>
            <w:tcMar>
              <w:top w:w="100" w:type="dxa"/>
              <w:left w:w="100" w:type="dxa"/>
              <w:bottom w:w="100" w:type="dxa"/>
              <w:right w:w="100" w:type="dxa"/>
            </w:tcMar>
          </w:tcPr>
          <w:p w14:paraId="732C55B9"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The responsible sourcing and diversified sourcing practices decrease dependency risks</w:t>
            </w:r>
          </w:p>
        </w:tc>
      </w:tr>
      <w:tr w:rsidR="00641572" w:rsidRPr="00E22A6C" w14:paraId="33E79FD3" w14:textId="77777777" w:rsidTr="00A86784">
        <w:trPr>
          <w:jc w:val="center"/>
        </w:trPr>
        <w:tc>
          <w:tcPr>
            <w:tcW w:w="1708" w:type="pct"/>
            <w:shd w:val="clear" w:color="auto" w:fill="B6DDE8" w:themeFill="accent5" w:themeFillTint="66"/>
            <w:tcMar>
              <w:top w:w="100" w:type="dxa"/>
              <w:left w:w="100" w:type="dxa"/>
              <w:bottom w:w="100" w:type="dxa"/>
              <w:right w:w="100" w:type="dxa"/>
            </w:tcMar>
          </w:tcPr>
          <w:p w14:paraId="184C6717"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Bargaining Power of Buyers</w:t>
            </w:r>
          </w:p>
        </w:tc>
        <w:tc>
          <w:tcPr>
            <w:tcW w:w="992" w:type="pct"/>
            <w:shd w:val="clear" w:color="auto" w:fill="B6DDE8" w:themeFill="accent5" w:themeFillTint="66"/>
            <w:tcMar>
              <w:top w:w="100" w:type="dxa"/>
              <w:left w:w="100" w:type="dxa"/>
              <w:bottom w:w="100" w:type="dxa"/>
              <w:right w:w="100" w:type="dxa"/>
            </w:tcMar>
          </w:tcPr>
          <w:p w14:paraId="461BA0CA"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High</w:t>
            </w:r>
          </w:p>
        </w:tc>
        <w:tc>
          <w:tcPr>
            <w:tcW w:w="2300" w:type="pct"/>
            <w:shd w:val="clear" w:color="auto" w:fill="B6DDE8" w:themeFill="accent5" w:themeFillTint="66"/>
            <w:tcMar>
              <w:top w:w="100" w:type="dxa"/>
              <w:left w:w="100" w:type="dxa"/>
              <w:bottom w:w="100" w:type="dxa"/>
              <w:right w:w="100" w:type="dxa"/>
            </w:tcMar>
          </w:tcPr>
          <w:p w14:paraId="2CF45181"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There are many choices available for consumers, and they are more conscious of their prices</w:t>
            </w:r>
          </w:p>
        </w:tc>
      </w:tr>
      <w:tr w:rsidR="00641572" w:rsidRPr="00E22A6C" w14:paraId="4D1E1E05" w14:textId="77777777" w:rsidTr="00A86784">
        <w:trPr>
          <w:jc w:val="center"/>
        </w:trPr>
        <w:tc>
          <w:tcPr>
            <w:tcW w:w="1708" w:type="pct"/>
            <w:shd w:val="clear" w:color="auto" w:fill="B6DDE8" w:themeFill="accent5" w:themeFillTint="66"/>
            <w:tcMar>
              <w:top w:w="100" w:type="dxa"/>
              <w:left w:w="100" w:type="dxa"/>
              <w:bottom w:w="100" w:type="dxa"/>
              <w:right w:w="100" w:type="dxa"/>
            </w:tcMar>
          </w:tcPr>
          <w:p w14:paraId="57EB32F3"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Threat of Substitutes</w:t>
            </w:r>
          </w:p>
        </w:tc>
        <w:tc>
          <w:tcPr>
            <w:tcW w:w="992" w:type="pct"/>
            <w:shd w:val="clear" w:color="auto" w:fill="B6DDE8" w:themeFill="accent5" w:themeFillTint="66"/>
            <w:tcMar>
              <w:top w:w="100" w:type="dxa"/>
              <w:left w:w="100" w:type="dxa"/>
              <w:bottom w:w="100" w:type="dxa"/>
              <w:right w:w="100" w:type="dxa"/>
            </w:tcMar>
          </w:tcPr>
          <w:p w14:paraId="750E712F"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 xml:space="preserve">High </w:t>
            </w:r>
          </w:p>
        </w:tc>
        <w:tc>
          <w:tcPr>
            <w:tcW w:w="2300" w:type="pct"/>
            <w:shd w:val="clear" w:color="auto" w:fill="B6DDE8" w:themeFill="accent5" w:themeFillTint="66"/>
            <w:tcMar>
              <w:top w:w="100" w:type="dxa"/>
              <w:left w:w="100" w:type="dxa"/>
              <w:bottom w:w="100" w:type="dxa"/>
              <w:right w:w="100" w:type="dxa"/>
            </w:tcMar>
          </w:tcPr>
          <w:p w14:paraId="46192145"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There is added competition from alternative skincare products and retailer own-brand soaps.</w:t>
            </w:r>
          </w:p>
        </w:tc>
      </w:tr>
      <w:tr w:rsidR="00641572" w:rsidRPr="00E22A6C" w14:paraId="2E3DC6E1" w14:textId="77777777" w:rsidTr="00A86784">
        <w:trPr>
          <w:jc w:val="center"/>
        </w:trPr>
        <w:tc>
          <w:tcPr>
            <w:tcW w:w="1708" w:type="pct"/>
            <w:shd w:val="clear" w:color="auto" w:fill="B6DDE8" w:themeFill="accent5" w:themeFillTint="66"/>
            <w:tcMar>
              <w:top w:w="100" w:type="dxa"/>
              <w:left w:w="100" w:type="dxa"/>
              <w:bottom w:w="100" w:type="dxa"/>
              <w:right w:w="100" w:type="dxa"/>
            </w:tcMar>
          </w:tcPr>
          <w:p w14:paraId="17728A5F"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Competitive Rivalry</w:t>
            </w:r>
          </w:p>
        </w:tc>
        <w:tc>
          <w:tcPr>
            <w:tcW w:w="992" w:type="pct"/>
            <w:shd w:val="clear" w:color="auto" w:fill="B6DDE8" w:themeFill="accent5" w:themeFillTint="66"/>
            <w:tcMar>
              <w:top w:w="100" w:type="dxa"/>
              <w:left w:w="100" w:type="dxa"/>
              <w:bottom w:w="100" w:type="dxa"/>
              <w:right w:w="100" w:type="dxa"/>
            </w:tcMar>
          </w:tcPr>
          <w:p w14:paraId="20332F36"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High</w:t>
            </w:r>
          </w:p>
        </w:tc>
        <w:tc>
          <w:tcPr>
            <w:tcW w:w="2300" w:type="pct"/>
            <w:shd w:val="clear" w:color="auto" w:fill="B6DDE8" w:themeFill="accent5" w:themeFillTint="66"/>
            <w:tcMar>
              <w:top w:w="100" w:type="dxa"/>
              <w:left w:w="100" w:type="dxa"/>
              <w:bottom w:w="100" w:type="dxa"/>
              <w:right w:w="100" w:type="dxa"/>
            </w:tcMar>
          </w:tcPr>
          <w:p w14:paraId="66A6F625"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Multinational brands and private-label products compete, and innovation is continuous</w:t>
            </w:r>
          </w:p>
        </w:tc>
      </w:tr>
    </w:tbl>
    <w:p w14:paraId="13036CA0" w14:textId="77777777" w:rsidR="00641572" w:rsidRPr="00E22A6C" w:rsidRDefault="001B57A1" w:rsidP="00E22A6C">
      <w:pPr>
        <w:jc w:val="center"/>
        <w:rPr>
          <w:rFonts w:ascii="Arial" w:hAnsi="Arial" w:cs="Arial"/>
          <w:b/>
          <w:bCs/>
        </w:rPr>
      </w:pPr>
      <w:r w:rsidRPr="00E22A6C">
        <w:rPr>
          <w:rFonts w:ascii="Arial" w:hAnsi="Arial" w:cs="Arial"/>
          <w:b/>
          <w:bCs/>
        </w:rPr>
        <w:t>Table 4: Porter's Five Forces</w:t>
      </w:r>
    </w:p>
    <w:p w14:paraId="056AE329" w14:textId="77777777" w:rsidR="00641572" w:rsidRPr="00E22A6C" w:rsidRDefault="001B57A1" w:rsidP="00E22A6C">
      <w:pPr>
        <w:jc w:val="center"/>
        <w:rPr>
          <w:rFonts w:ascii="Arial" w:hAnsi="Arial" w:cs="Arial"/>
          <w:b/>
          <w:bCs/>
        </w:rPr>
      </w:pPr>
      <w:r w:rsidRPr="00E22A6C">
        <w:rPr>
          <w:rFonts w:ascii="Arial" w:hAnsi="Arial" w:cs="Arial"/>
          <w:b/>
          <w:bCs/>
        </w:rPr>
        <w:t>(Source: Self-created)</w:t>
      </w:r>
    </w:p>
    <w:p w14:paraId="709955BD" w14:textId="77777777" w:rsidR="00641572" w:rsidRPr="00E22A6C" w:rsidRDefault="001B57A1" w:rsidP="00E22A6C">
      <w:pPr>
        <w:rPr>
          <w:rFonts w:ascii="Arial" w:hAnsi="Arial" w:cs="Arial"/>
        </w:rPr>
      </w:pPr>
      <w:r w:rsidRPr="00E22A6C">
        <w:rPr>
          <w:rFonts w:ascii="Arial" w:hAnsi="Arial" w:cs="Arial"/>
        </w:rPr>
        <w:t xml:space="preserve">The competitive rivalry and buyer power are the most significant factors within Dove Beauty Bar's positioning in the UK personal care market according to Porter's Five Forces analysis. There is a wide range of products available to consumers, who can compare the quality, sustainability and price of products from better-known brands and retailer own-label products (Sharma, 2025). Therefore, continuous product innovation and effective communication are essential to keep customers loyal (Bing </w:t>
      </w:r>
      <w:r w:rsidRPr="00E22A6C">
        <w:rPr>
          <w:rFonts w:ascii="Arial" w:hAnsi="Arial" w:cs="Arial"/>
          <w:i/>
          <w:iCs/>
        </w:rPr>
        <w:t>et al</w:t>
      </w:r>
      <w:r w:rsidRPr="00E22A6C">
        <w:rPr>
          <w:rFonts w:ascii="Arial" w:hAnsi="Arial" w:cs="Arial"/>
        </w:rPr>
        <w:t xml:space="preserve">. 2024). The risk from products that could substitute for these is still a threat because consumers can purchase different products with similar functional benefits, such as soaps, body wash, and skin care products. </w:t>
      </w:r>
      <w:r w:rsidR="00A86784" w:rsidRPr="00E22A6C">
        <w:rPr>
          <w:rFonts w:ascii="Arial" w:hAnsi="Arial" w:cs="Arial"/>
        </w:rPr>
        <w:t>Nevertheless</w:t>
      </w:r>
      <w:r w:rsidRPr="00E22A6C">
        <w:rPr>
          <w:rFonts w:ascii="Arial" w:hAnsi="Arial" w:cs="Arial"/>
        </w:rPr>
        <w:t xml:space="preserve">, as Dove has been </w:t>
      </w:r>
      <w:r w:rsidR="00A86784" w:rsidRPr="00E22A6C">
        <w:rPr>
          <w:rFonts w:ascii="Arial" w:hAnsi="Arial" w:cs="Arial"/>
        </w:rPr>
        <w:t xml:space="preserve">well </w:t>
      </w:r>
      <w:r w:rsidR="00A86784" w:rsidRPr="00E22A6C">
        <w:rPr>
          <w:rFonts w:ascii="Arial" w:hAnsi="Arial" w:cs="Arial"/>
        </w:rPr>
        <w:lastRenderedPageBreak/>
        <w:t>established</w:t>
      </w:r>
      <w:r w:rsidRPr="00E22A6C">
        <w:rPr>
          <w:rFonts w:ascii="Arial" w:hAnsi="Arial" w:cs="Arial"/>
        </w:rPr>
        <w:t xml:space="preserve"> with a great reputation, its product quality is trusted by customers, and its emotional brand positioning makes the likelihood of switching lower when compared to less famous brands. Unilever's global procurement power and diverse sourcing base help to moderate supplier power, but can also limit the flexibility of suppliers and the cost of procurement due to rising expectations for sustainability (</w:t>
      </w:r>
      <w:proofErr w:type="spellStart"/>
      <w:r w:rsidRPr="00E22A6C">
        <w:rPr>
          <w:rFonts w:ascii="Arial" w:hAnsi="Arial" w:cs="Arial"/>
        </w:rPr>
        <w:t>Shaoping</w:t>
      </w:r>
      <w:proofErr w:type="spellEnd"/>
      <w:r w:rsidRPr="00E22A6C">
        <w:rPr>
          <w:rFonts w:ascii="Arial" w:hAnsi="Arial" w:cs="Arial"/>
        </w:rPr>
        <w:t>, 2023).</w:t>
      </w:r>
    </w:p>
    <w:p w14:paraId="457B1631" w14:textId="77777777" w:rsidR="00641572" w:rsidRPr="00E22A6C" w:rsidRDefault="001B57A1" w:rsidP="00E22A6C">
      <w:pPr>
        <w:rPr>
          <w:rFonts w:ascii="Arial" w:hAnsi="Arial" w:cs="Arial"/>
        </w:rPr>
      </w:pPr>
      <w:r w:rsidRPr="00E22A6C">
        <w:rPr>
          <w:rFonts w:ascii="Arial" w:hAnsi="Arial" w:cs="Arial"/>
        </w:rPr>
        <w:t>At the same time, barriers to market entry are relatively high since it takes significant time and financial resources to build their own brand equity, distribution networks, and consumer confidence. Overall, the Five Forces analysis highlights the importance for Dove to differentiate its offerings, remain efficient and continue to innovate to maintain its competitive edge in the increasingly competitive UK market.</w:t>
      </w:r>
    </w:p>
    <w:p w14:paraId="1E0F2A3F" w14:textId="77777777" w:rsidR="00641572" w:rsidRPr="00E22A6C" w:rsidRDefault="001B57A1" w:rsidP="00E22A6C">
      <w:pPr>
        <w:pStyle w:val="Heading2"/>
        <w:rPr>
          <w:rFonts w:ascii="Arial" w:hAnsi="Arial" w:cs="Arial"/>
          <w:sz w:val="24"/>
          <w:szCs w:val="24"/>
        </w:rPr>
      </w:pPr>
      <w:bookmarkStart w:id="46" w:name="_1vcmmia6a6w8" w:colFirst="0" w:colLast="0"/>
      <w:bookmarkStart w:id="47" w:name="_Toc236068258"/>
      <w:bookmarkEnd w:id="46"/>
      <w:r w:rsidRPr="00E22A6C">
        <w:rPr>
          <w:rFonts w:ascii="Arial" w:hAnsi="Arial" w:cs="Arial"/>
          <w:sz w:val="24"/>
          <w:szCs w:val="24"/>
        </w:rPr>
        <w:t>Strategic Growth Option (Ansoff Matrix)</w:t>
      </w:r>
      <w:bookmarkEnd w:id="47"/>
    </w:p>
    <w:p w14:paraId="46D48190" w14:textId="77777777" w:rsidR="00641572" w:rsidRPr="00E22A6C" w:rsidRDefault="001B57A1" w:rsidP="00E22A6C">
      <w:pPr>
        <w:jc w:val="center"/>
        <w:rPr>
          <w:rFonts w:ascii="Arial" w:hAnsi="Arial" w:cs="Arial"/>
        </w:rPr>
      </w:pPr>
      <w:r w:rsidRPr="00E22A6C">
        <w:rPr>
          <w:rFonts w:ascii="Arial" w:hAnsi="Arial" w:cs="Arial"/>
          <w:noProof/>
        </w:rPr>
        <w:drawing>
          <wp:inline distT="114300" distB="114300" distL="114300" distR="114300" wp14:anchorId="392062EE" wp14:editId="2A802498">
            <wp:extent cx="5731200" cy="51816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5181600"/>
                    </a:xfrm>
                    <a:prstGeom prst="rect">
                      <a:avLst/>
                    </a:prstGeom>
                    <a:ln w="25400">
                      <a:solidFill>
                        <a:srgbClr val="000000"/>
                      </a:solidFill>
                      <a:prstDash val="solid"/>
                    </a:ln>
                  </pic:spPr>
                </pic:pic>
              </a:graphicData>
            </a:graphic>
          </wp:inline>
        </w:drawing>
      </w:r>
    </w:p>
    <w:p w14:paraId="617B4083" w14:textId="77777777" w:rsidR="00641572" w:rsidRPr="00E22A6C" w:rsidRDefault="001B57A1" w:rsidP="00E22A6C">
      <w:pPr>
        <w:jc w:val="center"/>
        <w:rPr>
          <w:rFonts w:ascii="Arial" w:hAnsi="Arial" w:cs="Arial"/>
          <w:b/>
          <w:bCs/>
        </w:rPr>
      </w:pPr>
      <w:r w:rsidRPr="00E22A6C">
        <w:rPr>
          <w:rFonts w:ascii="Arial" w:hAnsi="Arial" w:cs="Arial"/>
          <w:b/>
          <w:bCs/>
        </w:rPr>
        <w:t>Figure 2: Ansoff Matrix</w:t>
      </w:r>
    </w:p>
    <w:p w14:paraId="5066BB34" w14:textId="77777777" w:rsidR="00641572" w:rsidRPr="00E22A6C" w:rsidRDefault="001B57A1" w:rsidP="00E22A6C">
      <w:pPr>
        <w:jc w:val="center"/>
        <w:rPr>
          <w:rFonts w:ascii="Arial" w:hAnsi="Arial" w:cs="Arial"/>
        </w:rPr>
      </w:pPr>
      <w:r w:rsidRPr="00E22A6C">
        <w:rPr>
          <w:rFonts w:ascii="Arial" w:hAnsi="Arial" w:cs="Arial"/>
        </w:rPr>
        <w:t>(Source: Self-created)</w:t>
      </w:r>
    </w:p>
    <w:p w14:paraId="10289D06" w14:textId="77777777" w:rsidR="00641572" w:rsidRPr="00E22A6C" w:rsidRDefault="001B57A1" w:rsidP="00E22A6C">
      <w:pPr>
        <w:rPr>
          <w:rFonts w:ascii="Arial" w:hAnsi="Arial" w:cs="Arial"/>
        </w:rPr>
      </w:pPr>
      <w:r w:rsidRPr="00E22A6C">
        <w:rPr>
          <w:rFonts w:ascii="Arial" w:hAnsi="Arial" w:cs="Arial"/>
        </w:rPr>
        <w:lastRenderedPageBreak/>
        <w:t xml:space="preserve">According to the Ansoff growth matrix, product development is the most suitable growth strategy for Dove Beauty Bar in the UK. The personal care market in the UK is relatively mature, and so the potential for market growth with current products </w:t>
      </w:r>
      <w:r w:rsidR="00A86784" w:rsidRPr="00E22A6C">
        <w:rPr>
          <w:rFonts w:ascii="Arial" w:hAnsi="Arial" w:cs="Arial"/>
        </w:rPr>
        <w:t>is</w:t>
      </w:r>
      <w:r w:rsidRPr="00E22A6C">
        <w:rPr>
          <w:rFonts w:ascii="Arial" w:hAnsi="Arial" w:cs="Arial"/>
        </w:rPr>
        <w:t xml:space="preserve"> limited. Rather, creating better product variants that are in tune with consumers' tastes and preferences has a better long-term growth potential (Ramasamy </w:t>
      </w:r>
      <w:r w:rsidRPr="00E22A6C">
        <w:rPr>
          <w:rFonts w:ascii="Arial" w:hAnsi="Arial" w:cs="Arial"/>
          <w:i/>
          <w:iCs/>
        </w:rPr>
        <w:t>et al</w:t>
      </w:r>
      <w:r w:rsidRPr="00E22A6C">
        <w:rPr>
          <w:rFonts w:ascii="Arial" w:hAnsi="Arial" w:cs="Arial"/>
        </w:rPr>
        <w:t xml:space="preserve">. 2024). Future avenues for development may be looking to </w:t>
      </w:r>
      <w:r w:rsidR="00A86784" w:rsidRPr="00E22A6C">
        <w:rPr>
          <w:rFonts w:ascii="Arial" w:hAnsi="Arial" w:cs="Arial"/>
        </w:rPr>
        <w:t>ingredients that are more natural</w:t>
      </w:r>
      <w:r w:rsidRPr="00E22A6C">
        <w:rPr>
          <w:rFonts w:ascii="Arial" w:hAnsi="Arial" w:cs="Arial"/>
        </w:rPr>
        <w:t xml:space="preserve">, more biodegradable packaging, and new skin types or eco-friendly consumers. These innovations would help Dove to further differentiate its product offering and meet the growing consumer demand for sustainable and high-quality skin care products. While market development into new geographical areas is an important corporate agenda item for Unilever, this consultancy report concentrates solely on the UK market (Knudsen </w:t>
      </w:r>
      <w:r w:rsidRPr="00E22A6C">
        <w:rPr>
          <w:rFonts w:ascii="Arial" w:hAnsi="Arial" w:cs="Arial"/>
          <w:i/>
          <w:iCs/>
        </w:rPr>
        <w:t>et al</w:t>
      </w:r>
      <w:r w:rsidRPr="00E22A6C">
        <w:rPr>
          <w:rFonts w:ascii="Arial" w:hAnsi="Arial" w:cs="Arial"/>
        </w:rPr>
        <w:t>. 2023). Thus, product development is of the greatest strategic importance as it builds on Dove's brand reputation, customer loyalty, and research identified during the VRIO analysis.</w:t>
      </w:r>
    </w:p>
    <w:p w14:paraId="011CAE93" w14:textId="77777777" w:rsidR="00641572" w:rsidRPr="00E22A6C" w:rsidRDefault="001B57A1" w:rsidP="00E22A6C">
      <w:pPr>
        <w:rPr>
          <w:rFonts w:ascii="Arial" w:hAnsi="Arial" w:cs="Arial"/>
        </w:rPr>
      </w:pPr>
      <w:r w:rsidRPr="00E22A6C">
        <w:rPr>
          <w:rFonts w:ascii="Arial" w:hAnsi="Arial" w:cs="Arial"/>
        </w:rPr>
        <w:t>This will demand ongoing investment in research and development, an eye on consumer trends and cooperation within the various marketing, manufacturing and supply chain functions. The strategy would allow Dove to maintain its market relevance and add sales to an increasingly competitive market.</w:t>
      </w:r>
    </w:p>
    <w:p w14:paraId="4461E424" w14:textId="77777777" w:rsidR="00641572" w:rsidRPr="00E22A6C" w:rsidRDefault="001B57A1" w:rsidP="00E22A6C">
      <w:pPr>
        <w:pStyle w:val="Heading2"/>
        <w:rPr>
          <w:rFonts w:ascii="Arial" w:hAnsi="Arial" w:cs="Arial"/>
          <w:sz w:val="24"/>
          <w:szCs w:val="24"/>
        </w:rPr>
      </w:pPr>
      <w:bookmarkStart w:id="48" w:name="_b774todb72as" w:colFirst="0" w:colLast="0"/>
      <w:bookmarkStart w:id="49" w:name="_Toc236068259"/>
      <w:bookmarkEnd w:id="48"/>
      <w:r w:rsidRPr="00E22A6C">
        <w:rPr>
          <w:rFonts w:ascii="Arial" w:hAnsi="Arial" w:cs="Arial"/>
          <w:sz w:val="24"/>
          <w:szCs w:val="24"/>
        </w:rPr>
        <w:t>Implementation Challenges and Mitigation</w:t>
      </w:r>
      <w:bookmarkEnd w:id="49"/>
    </w:p>
    <w:tbl>
      <w:tblPr>
        <w:tblStyle w:val="a3"/>
        <w:tblW w:w="5000" w:type="pct"/>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ook w:val="0600" w:firstRow="0" w:lastRow="0" w:firstColumn="0" w:lastColumn="0" w:noHBand="1" w:noVBand="1"/>
      </w:tblPr>
      <w:tblGrid>
        <w:gridCol w:w="2627"/>
        <w:gridCol w:w="2463"/>
        <w:gridCol w:w="3919"/>
      </w:tblGrid>
      <w:tr w:rsidR="00641572" w:rsidRPr="00E22A6C" w14:paraId="021AC1EF" w14:textId="77777777" w:rsidTr="00A86784">
        <w:trPr>
          <w:jc w:val="center"/>
        </w:trPr>
        <w:tc>
          <w:tcPr>
            <w:tcW w:w="1458" w:type="pct"/>
            <w:shd w:val="clear" w:color="auto" w:fill="D9D9D9" w:themeFill="background1" w:themeFillShade="D9"/>
            <w:tcMar>
              <w:top w:w="100" w:type="dxa"/>
              <w:left w:w="100" w:type="dxa"/>
              <w:bottom w:w="100" w:type="dxa"/>
              <w:right w:w="100" w:type="dxa"/>
            </w:tcMar>
          </w:tcPr>
          <w:p w14:paraId="7A7A0F65" w14:textId="77777777" w:rsidR="00641572" w:rsidRPr="00E22A6C" w:rsidRDefault="001B57A1" w:rsidP="00E22A6C">
            <w:pPr>
              <w:widowControl w:val="0"/>
              <w:pBdr>
                <w:top w:val="nil"/>
                <w:left w:val="nil"/>
                <w:bottom w:val="nil"/>
                <w:right w:val="nil"/>
                <w:between w:val="nil"/>
              </w:pBdr>
              <w:jc w:val="center"/>
              <w:rPr>
                <w:rFonts w:ascii="Arial" w:hAnsi="Arial" w:cs="Arial"/>
                <w:b/>
                <w:bCs/>
              </w:rPr>
            </w:pPr>
            <w:r w:rsidRPr="00E22A6C">
              <w:rPr>
                <w:rFonts w:ascii="Arial" w:hAnsi="Arial" w:cs="Arial"/>
                <w:b/>
                <w:bCs/>
              </w:rPr>
              <w:t>Challenge</w:t>
            </w:r>
          </w:p>
        </w:tc>
        <w:tc>
          <w:tcPr>
            <w:tcW w:w="1367" w:type="pct"/>
            <w:shd w:val="clear" w:color="auto" w:fill="D9D9D9" w:themeFill="background1" w:themeFillShade="D9"/>
            <w:tcMar>
              <w:top w:w="100" w:type="dxa"/>
              <w:left w:w="100" w:type="dxa"/>
              <w:bottom w:w="100" w:type="dxa"/>
              <w:right w:w="100" w:type="dxa"/>
            </w:tcMar>
          </w:tcPr>
          <w:p w14:paraId="37AD8496" w14:textId="77777777" w:rsidR="00641572" w:rsidRPr="00E22A6C" w:rsidRDefault="001B57A1" w:rsidP="00E22A6C">
            <w:pPr>
              <w:widowControl w:val="0"/>
              <w:pBdr>
                <w:top w:val="nil"/>
                <w:left w:val="nil"/>
                <w:bottom w:val="nil"/>
                <w:right w:val="nil"/>
                <w:between w:val="nil"/>
              </w:pBdr>
              <w:jc w:val="center"/>
              <w:rPr>
                <w:rFonts w:ascii="Arial" w:hAnsi="Arial" w:cs="Arial"/>
                <w:b/>
                <w:bCs/>
              </w:rPr>
            </w:pPr>
            <w:r w:rsidRPr="00E22A6C">
              <w:rPr>
                <w:rFonts w:ascii="Arial" w:hAnsi="Arial" w:cs="Arial"/>
                <w:b/>
                <w:bCs/>
              </w:rPr>
              <w:t>Impact</w:t>
            </w:r>
          </w:p>
        </w:tc>
        <w:tc>
          <w:tcPr>
            <w:tcW w:w="2175" w:type="pct"/>
            <w:shd w:val="clear" w:color="auto" w:fill="D9D9D9" w:themeFill="background1" w:themeFillShade="D9"/>
            <w:tcMar>
              <w:top w:w="100" w:type="dxa"/>
              <w:left w:w="100" w:type="dxa"/>
              <w:bottom w:w="100" w:type="dxa"/>
              <w:right w:w="100" w:type="dxa"/>
            </w:tcMar>
          </w:tcPr>
          <w:p w14:paraId="16C441BE" w14:textId="77777777" w:rsidR="00641572" w:rsidRPr="00E22A6C" w:rsidRDefault="001B57A1" w:rsidP="00E22A6C">
            <w:pPr>
              <w:widowControl w:val="0"/>
              <w:pBdr>
                <w:top w:val="nil"/>
                <w:left w:val="nil"/>
                <w:bottom w:val="nil"/>
                <w:right w:val="nil"/>
                <w:between w:val="nil"/>
              </w:pBdr>
              <w:jc w:val="center"/>
              <w:rPr>
                <w:rFonts w:ascii="Arial" w:hAnsi="Arial" w:cs="Arial"/>
                <w:b/>
                <w:bCs/>
              </w:rPr>
            </w:pPr>
            <w:r w:rsidRPr="00E22A6C">
              <w:rPr>
                <w:rFonts w:ascii="Arial" w:hAnsi="Arial" w:cs="Arial"/>
                <w:b/>
                <w:bCs/>
              </w:rPr>
              <w:t>Mitigation</w:t>
            </w:r>
          </w:p>
        </w:tc>
      </w:tr>
      <w:tr w:rsidR="00641572" w:rsidRPr="00E22A6C" w14:paraId="7542D039" w14:textId="77777777" w:rsidTr="00A86784">
        <w:trPr>
          <w:jc w:val="center"/>
        </w:trPr>
        <w:tc>
          <w:tcPr>
            <w:tcW w:w="1458" w:type="pct"/>
            <w:shd w:val="clear" w:color="auto" w:fill="D9D9D9" w:themeFill="background1" w:themeFillShade="D9"/>
            <w:tcMar>
              <w:top w:w="100" w:type="dxa"/>
              <w:left w:w="100" w:type="dxa"/>
              <w:bottom w:w="100" w:type="dxa"/>
              <w:right w:w="100" w:type="dxa"/>
            </w:tcMar>
          </w:tcPr>
          <w:p w14:paraId="578EB23C"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Rising production costs</w:t>
            </w:r>
          </w:p>
        </w:tc>
        <w:tc>
          <w:tcPr>
            <w:tcW w:w="1367" w:type="pct"/>
            <w:shd w:val="clear" w:color="auto" w:fill="D9D9D9" w:themeFill="background1" w:themeFillShade="D9"/>
            <w:tcMar>
              <w:top w:w="100" w:type="dxa"/>
              <w:left w:w="100" w:type="dxa"/>
              <w:bottom w:w="100" w:type="dxa"/>
              <w:right w:w="100" w:type="dxa"/>
            </w:tcMar>
          </w:tcPr>
          <w:p w14:paraId="18587B6C"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Reduced profitability</w:t>
            </w:r>
          </w:p>
        </w:tc>
        <w:tc>
          <w:tcPr>
            <w:tcW w:w="2175" w:type="pct"/>
            <w:shd w:val="clear" w:color="auto" w:fill="D9D9D9" w:themeFill="background1" w:themeFillShade="D9"/>
            <w:tcMar>
              <w:top w:w="100" w:type="dxa"/>
              <w:left w:w="100" w:type="dxa"/>
              <w:bottom w:w="100" w:type="dxa"/>
              <w:right w:w="100" w:type="dxa"/>
            </w:tcMar>
          </w:tcPr>
          <w:p w14:paraId="15839DA0"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Optimise and streamline Supply Chain Management</w:t>
            </w:r>
          </w:p>
        </w:tc>
      </w:tr>
      <w:tr w:rsidR="00641572" w:rsidRPr="00E22A6C" w14:paraId="1E6310A0" w14:textId="77777777" w:rsidTr="00A86784">
        <w:trPr>
          <w:jc w:val="center"/>
        </w:trPr>
        <w:tc>
          <w:tcPr>
            <w:tcW w:w="1458" w:type="pct"/>
            <w:shd w:val="clear" w:color="auto" w:fill="D9D9D9" w:themeFill="background1" w:themeFillShade="D9"/>
            <w:tcMar>
              <w:top w:w="100" w:type="dxa"/>
              <w:left w:w="100" w:type="dxa"/>
              <w:bottom w:w="100" w:type="dxa"/>
              <w:right w:w="100" w:type="dxa"/>
            </w:tcMar>
          </w:tcPr>
          <w:p w14:paraId="1F3B1764"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Consumer scepticism towards sustainability claims</w:t>
            </w:r>
          </w:p>
        </w:tc>
        <w:tc>
          <w:tcPr>
            <w:tcW w:w="1367" w:type="pct"/>
            <w:shd w:val="clear" w:color="auto" w:fill="D9D9D9" w:themeFill="background1" w:themeFillShade="D9"/>
            <w:tcMar>
              <w:top w:w="100" w:type="dxa"/>
              <w:left w:w="100" w:type="dxa"/>
              <w:bottom w:w="100" w:type="dxa"/>
              <w:right w:w="100" w:type="dxa"/>
            </w:tcMar>
          </w:tcPr>
          <w:p w14:paraId="38FD1465"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Destruction of trust in the brand</w:t>
            </w:r>
          </w:p>
        </w:tc>
        <w:tc>
          <w:tcPr>
            <w:tcW w:w="2175" w:type="pct"/>
            <w:shd w:val="clear" w:color="auto" w:fill="D9D9D9" w:themeFill="background1" w:themeFillShade="D9"/>
            <w:tcMar>
              <w:top w:w="100" w:type="dxa"/>
              <w:left w:w="100" w:type="dxa"/>
              <w:bottom w:w="100" w:type="dxa"/>
              <w:right w:w="100" w:type="dxa"/>
            </w:tcMar>
          </w:tcPr>
          <w:p w14:paraId="600441F4"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Share clear sustainability reporting and measurable sustainability criteria</w:t>
            </w:r>
          </w:p>
        </w:tc>
      </w:tr>
      <w:tr w:rsidR="00641572" w:rsidRPr="00E22A6C" w14:paraId="24B68A23" w14:textId="77777777" w:rsidTr="00A86784">
        <w:trPr>
          <w:jc w:val="center"/>
        </w:trPr>
        <w:tc>
          <w:tcPr>
            <w:tcW w:w="1458" w:type="pct"/>
            <w:shd w:val="clear" w:color="auto" w:fill="D9D9D9" w:themeFill="background1" w:themeFillShade="D9"/>
            <w:tcMar>
              <w:top w:w="100" w:type="dxa"/>
              <w:left w:w="100" w:type="dxa"/>
              <w:bottom w:w="100" w:type="dxa"/>
              <w:right w:w="100" w:type="dxa"/>
            </w:tcMar>
          </w:tcPr>
          <w:p w14:paraId="59817B94" w14:textId="77777777" w:rsidR="00641572" w:rsidRPr="00E22A6C" w:rsidRDefault="001B57A1" w:rsidP="00E22A6C">
            <w:pPr>
              <w:widowControl w:val="0"/>
              <w:spacing w:after="160"/>
              <w:jc w:val="left"/>
              <w:rPr>
                <w:rFonts w:ascii="Arial" w:hAnsi="Arial" w:cs="Arial"/>
              </w:rPr>
            </w:pPr>
            <w:r w:rsidRPr="00E22A6C">
              <w:rPr>
                <w:rFonts w:ascii="Arial" w:hAnsi="Arial" w:cs="Arial"/>
              </w:rPr>
              <w:t>Rapid competitor innovation</w:t>
            </w:r>
          </w:p>
        </w:tc>
        <w:tc>
          <w:tcPr>
            <w:tcW w:w="1367" w:type="pct"/>
            <w:shd w:val="clear" w:color="auto" w:fill="D9D9D9" w:themeFill="background1" w:themeFillShade="D9"/>
            <w:tcMar>
              <w:top w:w="100" w:type="dxa"/>
              <w:left w:w="100" w:type="dxa"/>
              <w:bottom w:w="100" w:type="dxa"/>
              <w:right w:w="100" w:type="dxa"/>
            </w:tcMar>
          </w:tcPr>
          <w:p w14:paraId="576EB21C"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Loss of market share</w:t>
            </w:r>
          </w:p>
        </w:tc>
        <w:tc>
          <w:tcPr>
            <w:tcW w:w="2175" w:type="pct"/>
            <w:shd w:val="clear" w:color="auto" w:fill="D9D9D9" w:themeFill="background1" w:themeFillShade="D9"/>
            <w:tcMar>
              <w:top w:w="100" w:type="dxa"/>
              <w:left w:w="100" w:type="dxa"/>
              <w:bottom w:w="100" w:type="dxa"/>
              <w:right w:w="100" w:type="dxa"/>
            </w:tcMar>
          </w:tcPr>
          <w:p w14:paraId="4CB3B1BD"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Focus on research and product development, as well as digital marketing, to be more aggressive</w:t>
            </w:r>
          </w:p>
        </w:tc>
      </w:tr>
      <w:tr w:rsidR="00641572" w:rsidRPr="00E22A6C" w14:paraId="33AAC41E" w14:textId="77777777" w:rsidTr="00A86784">
        <w:trPr>
          <w:jc w:val="center"/>
        </w:trPr>
        <w:tc>
          <w:tcPr>
            <w:tcW w:w="1458" w:type="pct"/>
            <w:shd w:val="clear" w:color="auto" w:fill="D9D9D9" w:themeFill="background1" w:themeFillShade="D9"/>
            <w:tcMar>
              <w:top w:w="100" w:type="dxa"/>
              <w:left w:w="100" w:type="dxa"/>
              <w:bottom w:w="100" w:type="dxa"/>
              <w:right w:w="100" w:type="dxa"/>
            </w:tcMar>
          </w:tcPr>
          <w:p w14:paraId="09DE1877"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Regulatory changes</w:t>
            </w:r>
          </w:p>
        </w:tc>
        <w:tc>
          <w:tcPr>
            <w:tcW w:w="1367" w:type="pct"/>
            <w:shd w:val="clear" w:color="auto" w:fill="D9D9D9" w:themeFill="background1" w:themeFillShade="D9"/>
            <w:tcMar>
              <w:top w:w="100" w:type="dxa"/>
              <w:left w:w="100" w:type="dxa"/>
              <w:bottom w:w="100" w:type="dxa"/>
              <w:right w:w="100" w:type="dxa"/>
            </w:tcMar>
          </w:tcPr>
          <w:p w14:paraId="285D461A"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Higher compliance costs</w:t>
            </w:r>
          </w:p>
        </w:tc>
        <w:tc>
          <w:tcPr>
            <w:tcW w:w="2175" w:type="pct"/>
            <w:shd w:val="clear" w:color="auto" w:fill="D9D9D9" w:themeFill="background1" w:themeFillShade="D9"/>
            <w:tcMar>
              <w:top w:w="100" w:type="dxa"/>
              <w:left w:w="100" w:type="dxa"/>
              <w:bottom w:w="100" w:type="dxa"/>
              <w:right w:w="100" w:type="dxa"/>
            </w:tcMar>
          </w:tcPr>
          <w:p w14:paraId="1D57281E" w14:textId="77777777" w:rsidR="00641572" w:rsidRPr="00E22A6C" w:rsidRDefault="001B57A1" w:rsidP="00E22A6C">
            <w:pPr>
              <w:widowControl w:val="0"/>
              <w:pBdr>
                <w:top w:val="nil"/>
                <w:left w:val="nil"/>
                <w:bottom w:val="nil"/>
                <w:right w:val="nil"/>
                <w:between w:val="nil"/>
              </w:pBdr>
              <w:jc w:val="left"/>
              <w:rPr>
                <w:rFonts w:ascii="Arial" w:hAnsi="Arial" w:cs="Arial"/>
              </w:rPr>
            </w:pPr>
            <w:r w:rsidRPr="00E22A6C">
              <w:rPr>
                <w:rFonts w:ascii="Arial" w:hAnsi="Arial" w:cs="Arial"/>
              </w:rPr>
              <w:t>Tighten up regulatory oversight and ensure compliance systems are robust and proactive.</w:t>
            </w:r>
          </w:p>
        </w:tc>
      </w:tr>
    </w:tbl>
    <w:p w14:paraId="393275BC" w14:textId="77777777" w:rsidR="00641572" w:rsidRPr="00E22A6C" w:rsidRDefault="001B57A1" w:rsidP="00E22A6C">
      <w:pPr>
        <w:jc w:val="center"/>
        <w:rPr>
          <w:rFonts w:ascii="Arial" w:hAnsi="Arial" w:cs="Arial"/>
          <w:b/>
          <w:bCs/>
        </w:rPr>
      </w:pPr>
      <w:r w:rsidRPr="00E22A6C">
        <w:rPr>
          <w:rFonts w:ascii="Arial" w:hAnsi="Arial" w:cs="Arial"/>
          <w:b/>
          <w:bCs/>
        </w:rPr>
        <w:lastRenderedPageBreak/>
        <w:t>Table 5: Challenges and Recommendations</w:t>
      </w:r>
    </w:p>
    <w:p w14:paraId="5FDB8809" w14:textId="77777777" w:rsidR="00641572" w:rsidRPr="00E22A6C" w:rsidRDefault="001B57A1" w:rsidP="00E22A6C">
      <w:pPr>
        <w:jc w:val="center"/>
        <w:rPr>
          <w:rFonts w:ascii="Arial" w:hAnsi="Arial" w:cs="Arial"/>
        </w:rPr>
      </w:pPr>
      <w:r w:rsidRPr="00E22A6C">
        <w:rPr>
          <w:rFonts w:ascii="Arial" w:hAnsi="Arial" w:cs="Arial"/>
        </w:rPr>
        <w:t>(Source: Self-created)</w:t>
      </w:r>
    </w:p>
    <w:p w14:paraId="03FE99D7" w14:textId="77777777" w:rsidR="00641572" w:rsidRPr="00E22A6C" w:rsidRDefault="001B57A1" w:rsidP="00E22A6C">
      <w:pPr>
        <w:rPr>
          <w:rFonts w:ascii="Arial" w:hAnsi="Arial" w:cs="Arial"/>
          <w:color w:val="FF0000"/>
        </w:rPr>
      </w:pPr>
      <w:r w:rsidRPr="00E22A6C">
        <w:rPr>
          <w:rFonts w:ascii="Arial" w:hAnsi="Arial" w:cs="Arial"/>
        </w:rPr>
        <w:t xml:space="preserve">Effective risk management is essential for the successful implementation of the proposed strategy. However, strategic actions will be less successful if these issues are not dealt with proactively, including operational issues, evolving consumer expectations, and regulatory changes (Holloway, 2024). Therefore, Dove should implement continuous performance monitoring, enhance communication with stakeholders, and maintain organisational flexibility to react quickly to the dynamic market conditions. </w:t>
      </w:r>
      <w:r w:rsidR="00956138" w:rsidRPr="00E22A6C">
        <w:rPr>
          <w:rFonts w:ascii="Arial" w:hAnsi="Arial" w:cs="Arial"/>
          <w:color w:val="000000" w:themeColor="text1"/>
        </w:rPr>
        <w:t>These would have boosted implementation efficacy and given a competitive edge in the long term in the UK personal care market</w:t>
      </w:r>
      <w:r w:rsidRPr="00E22A6C">
        <w:rPr>
          <w:rFonts w:ascii="Arial" w:hAnsi="Arial" w:cs="Arial"/>
          <w:color w:val="000000" w:themeColor="text1"/>
        </w:rPr>
        <w:t>.</w:t>
      </w:r>
    </w:p>
    <w:p w14:paraId="5960750B" w14:textId="77777777" w:rsidR="00641572" w:rsidRPr="00E22A6C" w:rsidRDefault="001B57A1" w:rsidP="00E22A6C">
      <w:pPr>
        <w:pStyle w:val="Heading1"/>
        <w:rPr>
          <w:rFonts w:ascii="Arial" w:hAnsi="Arial" w:cs="Arial"/>
          <w:sz w:val="24"/>
          <w:szCs w:val="24"/>
        </w:rPr>
      </w:pPr>
      <w:bookmarkStart w:id="50" w:name="_rr9zu33j6jek" w:colFirst="0" w:colLast="0"/>
      <w:bookmarkStart w:id="51" w:name="_Toc236068260"/>
      <w:bookmarkEnd w:id="50"/>
      <w:r w:rsidRPr="00E22A6C">
        <w:rPr>
          <w:rFonts w:ascii="Arial" w:hAnsi="Arial" w:cs="Arial"/>
          <w:sz w:val="24"/>
          <w:szCs w:val="24"/>
        </w:rPr>
        <w:t>Reflection</w:t>
      </w:r>
      <w:bookmarkEnd w:id="51"/>
    </w:p>
    <w:p w14:paraId="6476F9B7" w14:textId="77777777" w:rsidR="00641572" w:rsidRPr="00E22A6C" w:rsidRDefault="001B57A1" w:rsidP="00E22A6C">
      <w:pPr>
        <w:rPr>
          <w:rFonts w:ascii="Arial" w:hAnsi="Arial" w:cs="Arial"/>
          <w:b/>
          <w:bCs/>
          <w:i/>
          <w:iCs/>
        </w:rPr>
      </w:pPr>
      <w:r w:rsidRPr="00E22A6C">
        <w:rPr>
          <w:rFonts w:ascii="Arial" w:hAnsi="Arial" w:cs="Arial"/>
          <w:b/>
          <w:bCs/>
          <w:i/>
          <w:iCs/>
        </w:rPr>
        <w:t>Description</w:t>
      </w:r>
    </w:p>
    <w:p w14:paraId="4356CFB3" w14:textId="77777777" w:rsidR="00641572" w:rsidRPr="00E22A6C" w:rsidRDefault="00956138" w:rsidP="00E22A6C">
      <w:pPr>
        <w:rPr>
          <w:rFonts w:ascii="Arial" w:hAnsi="Arial" w:cs="Arial"/>
          <w:color w:val="000000" w:themeColor="text1"/>
        </w:rPr>
      </w:pPr>
      <w:r w:rsidRPr="00E22A6C">
        <w:rPr>
          <w:rFonts w:ascii="Arial" w:hAnsi="Arial" w:cs="Arial"/>
          <w:color w:val="000000" w:themeColor="text1"/>
        </w:rPr>
        <w:t xml:space="preserve">This consultancy project allowed a critical strategic assessment of Dove Beauty Bar's strategic position in the personal care market in the UK </w:t>
      </w:r>
      <w:r w:rsidR="00AF5784" w:rsidRPr="00E22A6C">
        <w:rPr>
          <w:rFonts w:ascii="Arial" w:hAnsi="Arial" w:cs="Arial"/>
          <w:color w:val="000000" w:themeColor="text1"/>
        </w:rPr>
        <w:t>with</w:t>
      </w:r>
      <w:r w:rsidRPr="00E22A6C">
        <w:rPr>
          <w:rFonts w:ascii="Arial" w:hAnsi="Arial" w:cs="Arial"/>
          <w:color w:val="000000" w:themeColor="text1"/>
        </w:rPr>
        <w:t xml:space="preserve"> strategic management theories and analysis. The PESTEL, VRIO, SWOT, Porter's 5 Forces, Balanced Scorecard and Ansoff Matrix models were used to assess the internal capability and external business environment in this report. The corporate reporting was also interpreted, and the academic literature and industry evidence were explored, which resulted in the development of clear strategic recommendations. The task was not only theoretical but also </w:t>
      </w:r>
      <w:r w:rsidR="00AF5784" w:rsidRPr="00E22A6C">
        <w:rPr>
          <w:rFonts w:ascii="Arial" w:hAnsi="Arial" w:cs="Arial"/>
          <w:color w:val="000000" w:themeColor="text1"/>
        </w:rPr>
        <w:t>needed</w:t>
      </w:r>
      <w:r w:rsidRPr="00E22A6C">
        <w:rPr>
          <w:rFonts w:ascii="Arial" w:hAnsi="Arial" w:cs="Arial"/>
          <w:color w:val="000000" w:themeColor="text1"/>
        </w:rPr>
        <w:t xml:space="preserve"> students </w:t>
      </w:r>
      <w:r w:rsidR="00AF5784" w:rsidRPr="00E22A6C">
        <w:rPr>
          <w:rFonts w:ascii="Arial" w:hAnsi="Arial" w:cs="Arial"/>
          <w:color w:val="000000" w:themeColor="text1"/>
        </w:rPr>
        <w:t xml:space="preserve">to </w:t>
      </w:r>
      <w:r w:rsidRPr="00E22A6C">
        <w:rPr>
          <w:rFonts w:ascii="Arial" w:hAnsi="Arial" w:cs="Arial"/>
          <w:color w:val="000000" w:themeColor="text1"/>
        </w:rPr>
        <w:t>apply the concepts of strategic management to a business situation to strengthen the connection between theory and business decision-making</w:t>
      </w:r>
      <w:r w:rsidR="001B57A1" w:rsidRPr="00E22A6C">
        <w:rPr>
          <w:rFonts w:ascii="Arial" w:hAnsi="Arial" w:cs="Arial"/>
          <w:color w:val="000000" w:themeColor="text1"/>
        </w:rPr>
        <w:t>.</w:t>
      </w:r>
    </w:p>
    <w:p w14:paraId="746AE748" w14:textId="77777777" w:rsidR="00641572" w:rsidRPr="00E22A6C" w:rsidRDefault="001B57A1" w:rsidP="00E22A6C">
      <w:pPr>
        <w:rPr>
          <w:rFonts w:ascii="Arial" w:hAnsi="Arial" w:cs="Arial"/>
          <w:b/>
          <w:bCs/>
          <w:i/>
          <w:iCs/>
        </w:rPr>
      </w:pPr>
      <w:r w:rsidRPr="00E22A6C">
        <w:rPr>
          <w:rFonts w:ascii="Arial" w:hAnsi="Arial" w:cs="Arial"/>
          <w:b/>
          <w:bCs/>
          <w:i/>
          <w:iCs/>
        </w:rPr>
        <w:t>Feelings</w:t>
      </w:r>
    </w:p>
    <w:p w14:paraId="4437AC84" w14:textId="77777777" w:rsidR="00641572" w:rsidRPr="00E22A6C" w:rsidRDefault="00956138" w:rsidP="00E22A6C">
      <w:pPr>
        <w:rPr>
          <w:rFonts w:ascii="Arial" w:hAnsi="Arial" w:cs="Arial"/>
          <w:color w:val="000000" w:themeColor="text1"/>
        </w:rPr>
      </w:pPr>
      <w:r w:rsidRPr="00E22A6C">
        <w:rPr>
          <w:rFonts w:ascii="Arial" w:hAnsi="Arial" w:cs="Arial"/>
          <w:color w:val="000000" w:themeColor="text1"/>
        </w:rPr>
        <w:t xml:space="preserve">At this initial stage of the project, it was challenging to use several strategic management frameworks in one analysis. By grasping individual models, I was able to see how these models could be used together in an evaluation of organisational strategy. While reading the report, I got more confident and started to understand how external opportunities and threats impact internal resources and how this will influence strategic decision-making. I also knew that, for arguments to be </w:t>
      </w:r>
      <w:r w:rsidR="00AF5784" w:rsidRPr="00E22A6C">
        <w:rPr>
          <w:rFonts w:ascii="Arial" w:hAnsi="Arial" w:cs="Arial"/>
          <w:color w:val="000000" w:themeColor="text1"/>
        </w:rPr>
        <w:t>strong</w:t>
      </w:r>
      <w:r w:rsidRPr="00E22A6C">
        <w:rPr>
          <w:rFonts w:ascii="Arial" w:hAnsi="Arial" w:cs="Arial"/>
          <w:color w:val="000000" w:themeColor="text1"/>
        </w:rPr>
        <w:t>, they need</w:t>
      </w:r>
      <w:r w:rsidR="00AF5784" w:rsidRPr="00E22A6C">
        <w:rPr>
          <w:rFonts w:ascii="Arial" w:hAnsi="Arial" w:cs="Arial"/>
          <w:color w:val="000000" w:themeColor="text1"/>
        </w:rPr>
        <w:t>ed</w:t>
      </w:r>
      <w:r w:rsidRPr="00E22A6C">
        <w:rPr>
          <w:rFonts w:ascii="Arial" w:hAnsi="Arial" w:cs="Arial"/>
          <w:color w:val="000000" w:themeColor="text1"/>
        </w:rPr>
        <w:t xml:space="preserve"> to be supported by valid evidence, not opinions. After completing the report, I am more confident in my ability to be analytical in complicated business situations and use a structured and evidence-based approach</w:t>
      </w:r>
      <w:r w:rsidR="001B57A1" w:rsidRPr="00E22A6C">
        <w:rPr>
          <w:rFonts w:ascii="Arial" w:hAnsi="Arial" w:cs="Arial"/>
          <w:color w:val="000000" w:themeColor="text1"/>
        </w:rPr>
        <w:t>.</w:t>
      </w:r>
    </w:p>
    <w:p w14:paraId="26E22B6E" w14:textId="77777777" w:rsidR="00641572" w:rsidRPr="00E22A6C" w:rsidRDefault="001B57A1" w:rsidP="00E22A6C">
      <w:pPr>
        <w:rPr>
          <w:rFonts w:ascii="Arial" w:hAnsi="Arial" w:cs="Arial"/>
          <w:b/>
          <w:bCs/>
          <w:i/>
          <w:iCs/>
        </w:rPr>
      </w:pPr>
      <w:r w:rsidRPr="00E22A6C">
        <w:rPr>
          <w:rFonts w:ascii="Arial" w:hAnsi="Arial" w:cs="Arial"/>
          <w:b/>
          <w:bCs/>
          <w:i/>
          <w:iCs/>
        </w:rPr>
        <w:t>Evaluation</w:t>
      </w:r>
    </w:p>
    <w:p w14:paraId="4DA8EEE1" w14:textId="77777777" w:rsidR="00641572" w:rsidRPr="00E22A6C" w:rsidRDefault="001B57A1" w:rsidP="00E22A6C">
      <w:pPr>
        <w:rPr>
          <w:rFonts w:ascii="Arial" w:hAnsi="Arial" w:cs="Arial"/>
        </w:rPr>
      </w:pPr>
      <w:r w:rsidRPr="00E22A6C">
        <w:rPr>
          <w:rFonts w:ascii="Arial" w:hAnsi="Arial" w:cs="Arial"/>
        </w:rPr>
        <w:lastRenderedPageBreak/>
        <w:t xml:space="preserve">An upside of this project was that it was an opportunity to transfer strategic management theories to a well-known organisation worldwide. The use of real company accounts and research from academic sources is useful to reinforce the analysis and critical evaluation of business decisions. Multiple frameworks were also </w:t>
      </w:r>
      <w:r w:rsidR="00A86784" w:rsidRPr="00E22A6C">
        <w:rPr>
          <w:rFonts w:ascii="Arial" w:hAnsi="Arial" w:cs="Arial"/>
        </w:rPr>
        <w:t>integrated;</w:t>
      </w:r>
      <w:r w:rsidRPr="00E22A6C">
        <w:rPr>
          <w:rFonts w:ascii="Arial" w:hAnsi="Arial" w:cs="Arial"/>
        </w:rPr>
        <w:t xml:space="preserve"> showing organisational success does not rely on just one of the strategies but on the interplay between internal capacity and external conditions.</w:t>
      </w:r>
    </w:p>
    <w:p w14:paraId="64E1185C" w14:textId="77777777" w:rsidR="00641572" w:rsidRPr="00E22A6C" w:rsidRDefault="00AF5784" w:rsidP="00E22A6C">
      <w:pPr>
        <w:rPr>
          <w:rFonts w:ascii="Arial" w:hAnsi="Arial" w:cs="Arial"/>
        </w:rPr>
      </w:pPr>
      <w:r w:rsidRPr="00E22A6C">
        <w:rPr>
          <w:rFonts w:ascii="Arial" w:hAnsi="Arial" w:cs="Arial"/>
        </w:rPr>
        <w:t>However,</w:t>
      </w:r>
      <w:r w:rsidR="001B57A1" w:rsidRPr="00E22A6C">
        <w:rPr>
          <w:rFonts w:ascii="Arial" w:hAnsi="Arial" w:cs="Arial"/>
        </w:rPr>
        <w:t xml:space="preserve"> there were some problems in the project too. It took great care for the writer to differentiate between descriptive information and critical analysis throughout the writing process. Creating focus on Dove Beauty Bar with the use of corporate information published at the Unilever level was also challenging. To meet this challenge, evidence was identified that was directly relevant to the product and the UK market. Overall, the challenges helped me to better analyse strategic information and to develop more targeted recommendations for consultancy.</w:t>
      </w:r>
    </w:p>
    <w:p w14:paraId="2A706D78" w14:textId="77777777" w:rsidR="00641572" w:rsidRPr="00E22A6C" w:rsidRDefault="001B57A1" w:rsidP="00E22A6C">
      <w:pPr>
        <w:rPr>
          <w:rFonts w:ascii="Arial" w:hAnsi="Arial" w:cs="Arial"/>
          <w:b/>
          <w:bCs/>
          <w:i/>
          <w:iCs/>
        </w:rPr>
      </w:pPr>
      <w:r w:rsidRPr="00E22A6C">
        <w:rPr>
          <w:rFonts w:ascii="Arial" w:hAnsi="Arial" w:cs="Arial"/>
          <w:b/>
          <w:bCs/>
          <w:i/>
          <w:iCs/>
        </w:rPr>
        <w:t xml:space="preserve">Analysis </w:t>
      </w:r>
    </w:p>
    <w:p w14:paraId="36246B96" w14:textId="77777777" w:rsidR="00641572" w:rsidRPr="00E22A6C" w:rsidRDefault="001B57A1" w:rsidP="00E22A6C">
      <w:pPr>
        <w:rPr>
          <w:rFonts w:ascii="Arial" w:hAnsi="Arial" w:cs="Arial"/>
        </w:rPr>
      </w:pPr>
      <w:r w:rsidRPr="00E22A6C">
        <w:rPr>
          <w:rFonts w:ascii="Arial" w:hAnsi="Arial" w:cs="Arial"/>
        </w:rPr>
        <w:t xml:space="preserve">The project has proved the necessity for organisations to make a compromise between operations and competition, while managing the project strategically. The use of PESTEL and Porter's Five Forces also provided a good indication of the impact of changes in the external environment on strategic opportunities and risks, and VRIO and The Balanced </w:t>
      </w:r>
      <w:r w:rsidR="00AF5784" w:rsidRPr="00E22A6C">
        <w:rPr>
          <w:rFonts w:ascii="Arial" w:hAnsi="Arial" w:cs="Arial"/>
        </w:rPr>
        <w:t>Scorecard</w:t>
      </w:r>
      <w:r w:rsidRPr="00E22A6C">
        <w:rPr>
          <w:rFonts w:ascii="Arial" w:hAnsi="Arial" w:cs="Arial"/>
        </w:rPr>
        <w:t xml:space="preserve"> emphasised the need for internal capabilities and performance measurements. These two frameworks gave a complete picture of the mechanisms of creating and sustaining sustainable competitive advantage.</w:t>
      </w:r>
    </w:p>
    <w:p w14:paraId="2E402EE9" w14:textId="77777777" w:rsidR="00641572" w:rsidRPr="00E22A6C" w:rsidRDefault="001B57A1" w:rsidP="00E22A6C">
      <w:pPr>
        <w:rPr>
          <w:rFonts w:ascii="Arial" w:hAnsi="Arial" w:cs="Arial"/>
        </w:rPr>
      </w:pPr>
      <w:r w:rsidRPr="00E22A6C">
        <w:rPr>
          <w:rFonts w:ascii="Arial" w:hAnsi="Arial" w:cs="Arial"/>
        </w:rPr>
        <w:t xml:space="preserve">It was also an eye-opening experience for the importance of evidence-based decision-making. Financial reports, market evidence and academic literature make strategic recommendations more believable, as opposed to assumptions (Yahaya, 2024). Moreover, Dove's sustainability efforts were examined, and it was found that CSR </w:t>
      </w:r>
      <w:r w:rsidR="00A86784" w:rsidRPr="00E22A6C">
        <w:rPr>
          <w:rFonts w:ascii="Arial" w:hAnsi="Arial" w:cs="Arial"/>
        </w:rPr>
        <w:t>could</w:t>
      </w:r>
      <w:r w:rsidRPr="00E22A6C">
        <w:rPr>
          <w:rFonts w:ascii="Arial" w:hAnsi="Arial" w:cs="Arial"/>
        </w:rPr>
        <w:t xml:space="preserve"> directly drive competitive advantage when it is part of an organisation's strategy rather than an isolated effort. This learning has reinforced my appreciation of the importance of making financial decisions between stakeholders' expectations, innovation, and long-term organisational resiliency.</w:t>
      </w:r>
    </w:p>
    <w:p w14:paraId="6F547D2E" w14:textId="77777777" w:rsidR="00641572" w:rsidRPr="00E22A6C" w:rsidRDefault="001B57A1" w:rsidP="00E22A6C">
      <w:pPr>
        <w:rPr>
          <w:rFonts w:ascii="Arial" w:hAnsi="Arial" w:cs="Arial"/>
          <w:b/>
          <w:bCs/>
          <w:i/>
          <w:iCs/>
        </w:rPr>
      </w:pPr>
      <w:r w:rsidRPr="00E22A6C">
        <w:rPr>
          <w:rFonts w:ascii="Arial" w:hAnsi="Arial" w:cs="Arial"/>
          <w:b/>
          <w:bCs/>
          <w:i/>
          <w:iCs/>
        </w:rPr>
        <w:t xml:space="preserve">Conclusion </w:t>
      </w:r>
    </w:p>
    <w:p w14:paraId="17533411" w14:textId="77777777" w:rsidR="00641572" w:rsidRPr="00E22A6C" w:rsidRDefault="001B57A1" w:rsidP="00E22A6C">
      <w:pPr>
        <w:rPr>
          <w:rFonts w:ascii="Arial" w:hAnsi="Arial" w:cs="Arial"/>
        </w:rPr>
      </w:pPr>
      <w:r w:rsidRPr="00E22A6C">
        <w:rPr>
          <w:rFonts w:ascii="Arial" w:hAnsi="Arial" w:cs="Arial"/>
        </w:rPr>
        <w:t>In retrospect, this project has helped my understanding of strategic management</w:t>
      </w:r>
      <w:r w:rsidR="00A86784" w:rsidRPr="00E22A6C">
        <w:rPr>
          <w:rFonts w:ascii="Arial" w:hAnsi="Arial" w:cs="Arial"/>
        </w:rPr>
        <w:t xml:space="preserve"> along with</w:t>
      </w:r>
      <w:r w:rsidRPr="00E22A6C">
        <w:rPr>
          <w:rFonts w:ascii="Arial" w:hAnsi="Arial" w:cs="Arial"/>
        </w:rPr>
        <w:t xml:space="preserve"> how it can be applied in a multinational organisation. This assignment helped me to develop my skills in analysing the business environment, understanding the abilities of the organisation and providing strategic recommendations based on the data. It also </w:t>
      </w:r>
      <w:r w:rsidRPr="00E22A6C">
        <w:rPr>
          <w:rFonts w:ascii="Arial" w:hAnsi="Arial" w:cs="Arial"/>
        </w:rPr>
        <w:lastRenderedPageBreak/>
        <w:t>emphasised the need for using several analysis tools to facilitate decision-making. Overall, I feel more confident about using the concepts of strategic management in real-life situations with organisations and</w:t>
      </w:r>
      <w:r w:rsidR="00A86784" w:rsidRPr="00E22A6C">
        <w:rPr>
          <w:rFonts w:ascii="Arial" w:hAnsi="Arial" w:cs="Arial"/>
        </w:rPr>
        <w:t xml:space="preserve"> it would support</w:t>
      </w:r>
      <w:r w:rsidRPr="00E22A6C">
        <w:rPr>
          <w:rFonts w:ascii="Arial" w:hAnsi="Arial" w:cs="Arial"/>
        </w:rPr>
        <w:t xml:space="preserve"> my academic and professional growth.</w:t>
      </w:r>
    </w:p>
    <w:p w14:paraId="6E012872" w14:textId="77777777" w:rsidR="00641572" w:rsidRPr="00E22A6C" w:rsidRDefault="001B57A1" w:rsidP="00E22A6C">
      <w:pPr>
        <w:rPr>
          <w:rFonts w:ascii="Arial" w:hAnsi="Arial" w:cs="Arial"/>
          <w:b/>
          <w:bCs/>
          <w:i/>
          <w:iCs/>
        </w:rPr>
      </w:pPr>
      <w:r w:rsidRPr="00E22A6C">
        <w:rPr>
          <w:rFonts w:ascii="Arial" w:hAnsi="Arial" w:cs="Arial"/>
          <w:b/>
          <w:bCs/>
          <w:i/>
          <w:iCs/>
        </w:rPr>
        <w:t xml:space="preserve">Action Plan </w:t>
      </w:r>
    </w:p>
    <w:p w14:paraId="3D798710" w14:textId="77777777" w:rsidR="00641572" w:rsidRPr="00E22A6C" w:rsidRDefault="001B57A1" w:rsidP="00E22A6C">
      <w:pPr>
        <w:rPr>
          <w:rFonts w:ascii="Arial" w:hAnsi="Arial" w:cs="Arial"/>
        </w:rPr>
      </w:pPr>
      <w:r w:rsidRPr="00E22A6C">
        <w:rPr>
          <w:rFonts w:ascii="Arial" w:hAnsi="Arial" w:cs="Arial"/>
        </w:rPr>
        <w:t xml:space="preserve">For future strategic management projects, I want to be able to look at more of the academic literature and industry reports before creating recommendations, as this will help to build my analytical skills. In addition, I would like to develop my skills in understanding the information provided in an organisation, especially the financial and sustainability reporting indicators, to be able to draw more evidence-based conclusions. The ability to produce </w:t>
      </w:r>
      <w:r w:rsidR="00A86784" w:rsidRPr="00E22A6C">
        <w:rPr>
          <w:rFonts w:ascii="Arial" w:hAnsi="Arial" w:cs="Arial"/>
        </w:rPr>
        <w:t>writing that is more critical</w:t>
      </w:r>
      <w:r w:rsidRPr="00E22A6C">
        <w:rPr>
          <w:rFonts w:ascii="Arial" w:hAnsi="Arial" w:cs="Arial"/>
        </w:rPr>
        <w:t xml:space="preserve"> will continue to be developed and achieved through emphasis on understanding the implications of evidence rather than describing activities of the organisation (Csaszar </w:t>
      </w:r>
      <w:r w:rsidRPr="00E22A6C">
        <w:rPr>
          <w:rFonts w:ascii="Arial" w:hAnsi="Arial" w:cs="Arial"/>
          <w:i/>
          <w:iCs/>
        </w:rPr>
        <w:t>et al</w:t>
      </w:r>
      <w:r w:rsidRPr="00E22A6C">
        <w:rPr>
          <w:rFonts w:ascii="Arial" w:hAnsi="Arial" w:cs="Arial"/>
        </w:rPr>
        <w:t>. 2024). Moreover, I will keep acquiring more knowledge on strategic management frameworks and their application in various industries. The actions will allow me to generate more effective consultancy reports and to make a greater contribution to strategic decision-making at the highest level in my future academic course of study and professional life.</w:t>
      </w:r>
    </w:p>
    <w:p w14:paraId="7A3F4F25" w14:textId="77777777" w:rsidR="00641572" w:rsidRPr="00E22A6C" w:rsidRDefault="001B57A1" w:rsidP="00E22A6C">
      <w:pPr>
        <w:pStyle w:val="Heading1"/>
        <w:rPr>
          <w:rFonts w:ascii="Arial" w:hAnsi="Arial" w:cs="Arial"/>
          <w:sz w:val="24"/>
          <w:szCs w:val="24"/>
        </w:rPr>
      </w:pPr>
      <w:bookmarkStart w:id="52" w:name="_dg9i6qjsktzc" w:colFirst="0" w:colLast="0"/>
      <w:bookmarkStart w:id="53" w:name="_Toc236068261"/>
      <w:bookmarkEnd w:id="52"/>
      <w:r w:rsidRPr="00E22A6C">
        <w:rPr>
          <w:rFonts w:ascii="Arial" w:hAnsi="Arial" w:cs="Arial"/>
          <w:sz w:val="24"/>
          <w:szCs w:val="24"/>
        </w:rPr>
        <w:t>Summary</w:t>
      </w:r>
      <w:bookmarkEnd w:id="53"/>
      <w:r w:rsidRPr="00E22A6C">
        <w:rPr>
          <w:rFonts w:ascii="Arial" w:hAnsi="Arial" w:cs="Arial"/>
          <w:sz w:val="24"/>
          <w:szCs w:val="24"/>
        </w:rPr>
        <w:t xml:space="preserve"> </w:t>
      </w:r>
    </w:p>
    <w:p w14:paraId="69CC3294" w14:textId="77777777" w:rsidR="00641572" w:rsidRPr="00E22A6C" w:rsidRDefault="00956138" w:rsidP="00E22A6C">
      <w:pPr>
        <w:rPr>
          <w:rFonts w:ascii="Arial" w:hAnsi="Arial" w:cs="Arial"/>
          <w:color w:val="FF0000"/>
        </w:rPr>
      </w:pPr>
      <w:r w:rsidRPr="00E22A6C">
        <w:rPr>
          <w:rFonts w:ascii="Arial" w:hAnsi="Arial" w:cs="Arial"/>
          <w:color w:val="000000" w:themeColor="text1"/>
        </w:rPr>
        <w:t xml:space="preserve">This task proved to be a success as it utilised strategic analysis and reflective learning methods, and therefore came up with a wide-ranging analysis of Dove Beauty Bar's competitive position in the personal care market in the UK. The consultancy report identified numerous strengths of Dove's strategy, including strong brand equity, continuous innovation, a sustainable approach and a marketing strategy of “purpose” not “products”, which all aid towards sustaining the company's competitive advantage. Some of the key challenges were also identified </w:t>
      </w:r>
      <w:r w:rsidR="00AF5784" w:rsidRPr="00E22A6C">
        <w:rPr>
          <w:rFonts w:ascii="Arial" w:hAnsi="Arial" w:cs="Arial"/>
          <w:color w:val="000000" w:themeColor="text1"/>
        </w:rPr>
        <w:t>based on</w:t>
      </w:r>
      <w:r w:rsidRPr="00E22A6C">
        <w:rPr>
          <w:rFonts w:ascii="Arial" w:hAnsi="Arial" w:cs="Arial"/>
          <w:color w:val="000000" w:themeColor="text1"/>
        </w:rPr>
        <w:t xml:space="preserve"> the analysis of the market competitiveness, growing customer demands, inflation and increasingly stringent environmental requirements. The assignment has resulted in a product development strategy being the most appropriate way for the business to move forward, with sustainable innovation, business efficiency and increased digital engagement assisting. Furthermore, the reflective aspect highlighted the benefits of incorporating such structures within the real business context, developing my strategic management and critical thinking, evidence-based decision-making and consultancy reporting skills. In general, this assignment created an action plan that will help Dove Beauty Bar's </w:t>
      </w:r>
      <w:r w:rsidRPr="00E22A6C">
        <w:rPr>
          <w:rFonts w:ascii="Arial" w:hAnsi="Arial" w:cs="Arial"/>
          <w:color w:val="000000" w:themeColor="text1"/>
        </w:rPr>
        <w:lastRenderedPageBreak/>
        <w:t>sustainable growth and competitive performance, as well as gave me valuable learning experiences both academically and professionally to tackle complex strategic questions and make well-informed managerial decisions</w:t>
      </w:r>
      <w:r w:rsidR="001B57A1" w:rsidRPr="00E22A6C">
        <w:rPr>
          <w:rFonts w:ascii="Arial" w:hAnsi="Arial" w:cs="Arial"/>
          <w:color w:val="000000" w:themeColor="text1"/>
        </w:rPr>
        <w:t>.</w:t>
      </w:r>
      <w:r w:rsidR="001B57A1" w:rsidRPr="00E22A6C">
        <w:rPr>
          <w:rFonts w:ascii="Arial" w:hAnsi="Arial" w:cs="Arial"/>
          <w:color w:val="FF0000"/>
        </w:rPr>
        <w:br w:type="page"/>
      </w:r>
    </w:p>
    <w:p w14:paraId="59BD4695" w14:textId="77777777" w:rsidR="00641572" w:rsidRDefault="001B57A1">
      <w:pPr>
        <w:pStyle w:val="Heading1"/>
      </w:pPr>
      <w:bookmarkStart w:id="54" w:name="_jsr9a3722kvi" w:colFirst="0" w:colLast="0"/>
      <w:bookmarkStart w:id="55" w:name="_Toc236068262"/>
      <w:bookmarkEnd w:id="54"/>
      <w:r>
        <w:lastRenderedPageBreak/>
        <w:t>Reference List</w:t>
      </w:r>
      <w:bookmarkEnd w:id="55"/>
    </w:p>
    <w:p w14:paraId="4D49B4C5" w14:textId="77777777" w:rsidR="00641572" w:rsidRDefault="001B57A1" w:rsidP="00E22A6C">
      <w:pPr>
        <w:spacing w:after="160"/>
        <w:jc w:val="left"/>
        <w:rPr>
          <w:color w:val="1155CC"/>
          <w:u w:val="single"/>
        </w:rPr>
      </w:pPr>
      <w:r>
        <w:t xml:space="preserve">Abubakar, A., </w:t>
      </w:r>
      <w:proofErr w:type="spellStart"/>
      <w:r>
        <w:t>Belwal</w:t>
      </w:r>
      <w:proofErr w:type="spellEnd"/>
      <w:r>
        <w:t xml:space="preserve">, S., Mohammed, N. and Mohammed, U.D., 2022. Sustainable competitive advantage through corporate social responsibility (CSR) and green </w:t>
      </w:r>
      <w:proofErr w:type="spellStart"/>
      <w:r>
        <w:t>behavior</w:t>
      </w:r>
      <w:proofErr w:type="spellEnd"/>
      <w:r>
        <w:t xml:space="preserve"> strategies. </w:t>
      </w:r>
      <w:r>
        <w:rPr>
          <w:i/>
          <w:iCs/>
        </w:rPr>
        <w:t>Discrete Dynamics in Nature and Society</w:t>
      </w:r>
      <w:r>
        <w:t xml:space="preserve">, </w:t>
      </w:r>
      <w:r>
        <w:rPr>
          <w:i/>
          <w:iCs/>
        </w:rPr>
        <w:t>2022</w:t>
      </w:r>
      <w:r>
        <w:t>(1), p.3734707.</w:t>
      </w:r>
      <w:hyperlink r:id="rId12">
        <w:r>
          <w:t xml:space="preserve"> </w:t>
        </w:r>
      </w:hyperlink>
      <w:hyperlink r:id="rId13">
        <w:r>
          <w:rPr>
            <w:color w:val="1155CC"/>
            <w:u w:val="single"/>
          </w:rPr>
          <w:t>https://onlinelibrary.wiley.com/doi/pdf/10.1155/2022/3734707</w:t>
        </w:r>
      </w:hyperlink>
    </w:p>
    <w:p w14:paraId="1FA8BFF6" w14:textId="77777777" w:rsidR="00641572" w:rsidRDefault="001B57A1" w:rsidP="00E22A6C">
      <w:pPr>
        <w:spacing w:after="160"/>
        <w:jc w:val="left"/>
        <w:rPr>
          <w:color w:val="1155CC"/>
          <w:u w:val="single"/>
        </w:rPr>
      </w:pPr>
      <w:r>
        <w:t xml:space="preserve">Agu, E.E., </w:t>
      </w:r>
      <w:proofErr w:type="spellStart"/>
      <w:r>
        <w:t>Iyelolu</w:t>
      </w:r>
      <w:proofErr w:type="spellEnd"/>
      <w:r>
        <w:t xml:space="preserve">, T.V., Idemudia, C. and </w:t>
      </w:r>
      <w:proofErr w:type="spellStart"/>
      <w:r>
        <w:t>Ijomah</w:t>
      </w:r>
      <w:proofErr w:type="spellEnd"/>
      <w:r>
        <w:t xml:space="preserve">, T.I., 2024. Exploring the relationship between sustainable business practices and increased brand loyalty. </w:t>
      </w:r>
      <w:r>
        <w:rPr>
          <w:i/>
          <w:iCs/>
        </w:rPr>
        <w:t>International Journal of Management &amp; Entrepreneurship Research</w:t>
      </w:r>
      <w:r>
        <w:t xml:space="preserve">, </w:t>
      </w:r>
      <w:r>
        <w:rPr>
          <w:i/>
          <w:iCs/>
        </w:rPr>
        <w:t>6</w:t>
      </w:r>
      <w:r>
        <w:t>(8), pp.2463-2475.</w:t>
      </w:r>
      <w:hyperlink r:id="rId14">
        <w:r>
          <w:t xml:space="preserve"> </w:t>
        </w:r>
      </w:hyperlink>
      <w:hyperlink r:id="rId15">
        <w:r>
          <w:rPr>
            <w:color w:val="1155CC"/>
            <w:u w:val="single"/>
          </w:rPr>
          <w:t>https://www.researchgate.net/profile/Tochukwu-Ijomah-2/publication/383847817_Exploring_the_relationship_between_sustainable_business_practices_and_increased_brand_loyalty/links/66dc447d2390e50b2c7212e7/Exploring-the-relationship-between-sustainable-business-practices-and-increased-brand-loyalty.pdf</w:t>
        </w:r>
      </w:hyperlink>
    </w:p>
    <w:p w14:paraId="27D90467" w14:textId="77777777" w:rsidR="00641572" w:rsidRDefault="001B57A1" w:rsidP="00E22A6C">
      <w:pPr>
        <w:spacing w:after="160"/>
        <w:jc w:val="left"/>
      </w:pPr>
      <w:r>
        <w:t xml:space="preserve">Ajayi, S.A., Olaniyi, O.O., Oladoyinbo, T.O., Ajayi, N.D. and Olaniyi, F.G., 2024. Sustainable sourcing of organic skincare ingredients: A critical analysis of ethical concerns and environmental implications. </w:t>
      </w:r>
      <w:r>
        <w:rPr>
          <w:i/>
          <w:iCs/>
        </w:rPr>
        <w:t>Asian Journal of Advanced Research and Reports</w:t>
      </w:r>
      <w:r>
        <w:t xml:space="preserve">, </w:t>
      </w:r>
      <w:r>
        <w:rPr>
          <w:i/>
          <w:iCs/>
        </w:rPr>
        <w:t>18</w:t>
      </w:r>
      <w:r>
        <w:t>(1), pp.65-91.</w:t>
      </w:r>
      <w:hyperlink r:id="rId16">
        <w:r>
          <w:t xml:space="preserve"> </w:t>
        </w:r>
      </w:hyperlink>
      <w:hyperlink r:id="rId17">
        <w:r>
          <w:rPr>
            <w:color w:val="1155CC"/>
            <w:u w:val="single"/>
          </w:rPr>
          <w:t>https://papers.ssrn.com/sol3/Delivery.cfm?abstractid=4691856</w:t>
        </w:r>
      </w:hyperlink>
      <w:r>
        <w:t xml:space="preserve">  </w:t>
      </w:r>
    </w:p>
    <w:p w14:paraId="4B8ABA8F" w14:textId="77777777" w:rsidR="00641572" w:rsidRDefault="001B57A1" w:rsidP="00E22A6C">
      <w:pPr>
        <w:spacing w:after="160"/>
        <w:jc w:val="left"/>
        <w:rPr>
          <w:color w:val="1155CC"/>
          <w:u w:val="single"/>
        </w:rPr>
      </w:pPr>
      <w:r>
        <w:t>Akter, M.S.B. and Kabir, T., 2025. Exploring the Impact of Sustainable Packaging on Brand Value and Consumer Loyalty FMCG Sector: Insights from Unilever.</w:t>
      </w:r>
      <w:hyperlink r:id="rId18">
        <w:r>
          <w:t xml:space="preserve"> </w:t>
        </w:r>
      </w:hyperlink>
      <w:hyperlink r:id="rId19">
        <w:r>
          <w:rPr>
            <w:color w:val="1155CC"/>
            <w:u w:val="single"/>
          </w:rPr>
          <w:t>https://www.theseus.fi/bitstream/handle/10024/886161/Akter_Kabir.pdf?sequence=2</w:t>
        </w:r>
      </w:hyperlink>
    </w:p>
    <w:p w14:paraId="2423E34E" w14:textId="77777777" w:rsidR="00641572" w:rsidRDefault="001B57A1" w:rsidP="00E22A6C">
      <w:pPr>
        <w:spacing w:after="160"/>
        <w:jc w:val="left"/>
        <w:rPr>
          <w:color w:val="1155CC"/>
          <w:u w:val="single"/>
        </w:rPr>
      </w:pPr>
      <w:r>
        <w:t>Alfano, G., 2025. The Capabilities That Determine Whether Multinational Enterprises (MNEs) Stay or Leave: A Case Study of Unilever's Sustained Commitment to Emerging Markets.</w:t>
      </w:r>
      <w:hyperlink r:id="rId20">
        <w:r>
          <w:t xml:space="preserve"> </w:t>
        </w:r>
      </w:hyperlink>
      <w:hyperlink r:id="rId21">
        <w:r>
          <w:rPr>
            <w:color w:val="1155CC"/>
            <w:u w:val="single"/>
          </w:rPr>
          <w:t>https://archive.johncabot.edu/bitstreams/dfb6d4ff-36a7-4638-bc1a-6c934f21145d/download</w:t>
        </w:r>
      </w:hyperlink>
    </w:p>
    <w:p w14:paraId="0FD3FBA2" w14:textId="77777777" w:rsidR="00641572" w:rsidRDefault="001B57A1" w:rsidP="00E22A6C">
      <w:pPr>
        <w:spacing w:after="160"/>
        <w:jc w:val="left"/>
        <w:rPr>
          <w:color w:val="1155CC"/>
          <w:u w:val="single"/>
        </w:rPr>
      </w:pPr>
      <w:proofErr w:type="spellStart"/>
      <w:r>
        <w:t>Alkhodary</w:t>
      </w:r>
      <w:proofErr w:type="spellEnd"/>
      <w:r>
        <w:t xml:space="preserve">, D., 2023. Integrating sustainability into strategic management: A path towards long-term business success. </w:t>
      </w:r>
      <w:r>
        <w:rPr>
          <w:i/>
          <w:iCs/>
        </w:rPr>
        <w:t>International Journal of Professional Business Review: Int. J. Prof. Bus. Rev.</w:t>
      </w:r>
      <w:r>
        <w:t xml:space="preserve">, </w:t>
      </w:r>
      <w:r>
        <w:rPr>
          <w:i/>
          <w:iCs/>
        </w:rPr>
        <w:t>8</w:t>
      </w:r>
      <w:r>
        <w:t>(4), p.39.</w:t>
      </w:r>
      <w:hyperlink r:id="rId22">
        <w:r>
          <w:t xml:space="preserve"> </w:t>
        </w:r>
      </w:hyperlink>
      <w:hyperlink r:id="rId23">
        <w:r>
          <w:rPr>
            <w:color w:val="1155CC"/>
            <w:u w:val="single"/>
          </w:rPr>
          <w:t>https://dialnet.unirioja.es/descarga/articulo/8956100.pdf</w:t>
        </w:r>
      </w:hyperlink>
    </w:p>
    <w:p w14:paraId="52693697" w14:textId="77777777" w:rsidR="00641572" w:rsidRDefault="001B57A1" w:rsidP="00E22A6C">
      <w:pPr>
        <w:spacing w:after="160"/>
        <w:jc w:val="left"/>
        <w:rPr>
          <w:color w:val="1155CC"/>
          <w:u w:val="single"/>
        </w:rPr>
      </w:pPr>
      <w:r>
        <w:t xml:space="preserve">Bing, G., Al Mughairi, B., Karim, A.M. and Karim, A.M., 2024. Study on importance of brand loyalty for customer retention for consumer durable products: New era viewpoint. </w:t>
      </w:r>
      <w:r>
        <w:rPr>
          <w:i/>
          <w:iCs/>
        </w:rPr>
        <w:t>International Journal of Academic Research in Business and Social Sciences</w:t>
      </w:r>
      <w:r>
        <w:t xml:space="preserve">, </w:t>
      </w:r>
      <w:r>
        <w:rPr>
          <w:i/>
          <w:iCs/>
        </w:rPr>
        <w:t>14</w:t>
      </w:r>
      <w:r>
        <w:t>(1), pp.453-464.</w:t>
      </w:r>
      <w:hyperlink r:id="rId24">
        <w:r>
          <w:t xml:space="preserve"> </w:t>
        </w:r>
      </w:hyperlink>
      <w:hyperlink r:id="rId25">
        <w:r>
          <w:rPr>
            <w:color w:val="1155CC"/>
            <w:u w:val="single"/>
          </w:rPr>
          <w:t>https://pdfs.semanticscholar.org/7be0/c1d3580a29809570725983617bfde572b5d7.pdf</w:t>
        </w:r>
      </w:hyperlink>
    </w:p>
    <w:p w14:paraId="2960164C" w14:textId="77777777" w:rsidR="00641572" w:rsidRDefault="001B57A1" w:rsidP="00E22A6C">
      <w:pPr>
        <w:spacing w:after="160"/>
        <w:jc w:val="left"/>
        <w:rPr>
          <w:color w:val="1155CC"/>
          <w:u w:val="single"/>
        </w:rPr>
      </w:pPr>
      <w:r>
        <w:lastRenderedPageBreak/>
        <w:t xml:space="preserve">Confetto, M.G., Palazzo, M., Ferri, M.A. and Normando, M., 2023. Brand activism for sustainable development goals: A comparative analysis in the beauty and personal care industry. </w:t>
      </w:r>
      <w:r>
        <w:rPr>
          <w:i/>
          <w:iCs/>
        </w:rPr>
        <w:t>Sustainability</w:t>
      </w:r>
      <w:r>
        <w:t xml:space="preserve">, </w:t>
      </w:r>
      <w:r>
        <w:rPr>
          <w:i/>
          <w:iCs/>
        </w:rPr>
        <w:t>15</w:t>
      </w:r>
      <w:r>
        <w:t>(7), p.6245.</w:t>
      </w:r>
      <w:hyperlink r:id="rId26">
        <w:r>
          <w:t xml:space="preserve"> </w:t>
        </w:r>
      </w:hyperlink>
      <w:hyperlink r:id="rId27">
        <w:r>
          <w:rPr>
            <w:color w:val="1155CC"/>
            <w:u w:val="single"/>
          </w:rPr>
          <w:t>https://www.mdpi.com/2071-1050/15/7/6245</w:t>
        </w:r>
      </w:hyperlink>
    </w:p>
    <w:p w14:paraId="66443A79" w14:textId="77777777" w:rsidR="00641572" w:rsidRDefault="001B57A1" w:rsidP="00E22A6C">
      <w:pPr>
        <w:spacing w:after="160"/>
        <w:jc w:val="left"/>
        <w:rPr>
          <w:color w:val="1155CC"/>
          <w:u w:val="single"/>
        </w:rPr>
      </w:pPr>
      <w:r>
        <w:t xml:space="preserve">Csaszar, F.A., Ketkar, H. and Kim, H., 2024. Artificial intelligence and strategic decision-making: Evidence from entrepreneurs and investors. </w:t>
      </w:r>
      <w:r>
        <w:rPr>
          <w:i/>
          <w:iCs/>
        </w:rPr>
        <w:t>Strategy Science</w:t>
      </w:r>
      <w:r>
        <w:t xml:space="preserve">, </w:t>
      </w:r>
      <w:r>
        <w:rPr>
          <w:i/>
          <w:iCs/>
        </w:rPr>
        <w:t>9</w:t>
      </w:r>
      <w:r>
        <w:t>(4), pp.322-345.</w:t>
      </w:r>
      <w:hyperlink r:id="rId28">
        <w:r>
          <w:t xml:space="preserve"> </w:t>
        </w:r>
      </w:hyperlink>
      <w:hyperlink r:id="rId29">
        <w:r>
          <w:rPr>
            <w:color w:val="1155CC"/>
            <w:u w:val="single"/>
          </w:rPr>
          <w:t>https://pubsonline.informs.org/doi/full/10.1287/stsc.2024.0190?trk=public_post_comment-text</w:t>
        </w:r>
      </w:hyperlink>
    </w:p>
    <w:p w14:paraId="62841E21" w14:textId="77777777" w:rsidR="00641572" w:rsidRDefault="001B57A1" w:rsidP="00E22A6C">
      <w:pPr>
        <w:spacing w:after="160"/>
        <w:jc w:val="left"/>
        <w:rPr>
          <w:color w:val="1155CC"/>
          <w:u w:val="single"/>
        </w:rPr>
      </w:pPr>
      <w:r>
        <w:t xml:space="preserve">DOVE, (2026). </w:t>
      </w:r>
      <w:r>
        <w:rPr>
          <w:i/>
          <w:iCs/>
        </w:rPr>
        <w:t>Dove Campaigns</w:t>
      </w:r>
      <w:hyperlink r:id="rId30">
        <w:r>
          <w:t xml:space="preserve"> </w:t>
        </w:r>
      </w:hyperlink>
      <w:hyperlink r:id="rId31">
        <w:r>
          <w:rPr>
            <w:color w:val="1155CC"/>
            <w:u w:val="single"/>
          </w:rPr>
          <w:t>https://www.dove.com/ph/stories/campaigns.html</w:t>
        </w:r>
      </w:hyperlink>
    </w:p>
    <w:p w14:paraId="0184C098" w14:textId="77777777" w:rsidR="00641572" w:rsidRPr="00987E9D" w:rsidRDefault="001B57A1" w:rsidP="00E22A6C">
      <w:pPr>
        <w:spacing w:after="160"/>
        <w:jc w:val="left"/>
        <w:rPr>
          <w:color w:val="1155CC"/>
          <w:u w:val="single"/>
          <w:lang w:val="nl-NL"/>
        </w:rPr>
      </w:pPr>
      <w:r>
        <w:t>Friedman, N., 2024. Selling Beauty: Ethical Implications of Skincare and Cosmetic Advertising.</w:t>
      </w:r>
      <w:hyperlink r:id="rId32">
        <w:r>
          <w:t xml:space="preserve"> </w:t>
        </w:r>
      </w:hyperlink>
      <w:hyperlink r:id="rId33">
        <w:r w:rsidRPr="00987E9D">
          <w:rPr>
            <w:color w:val="1155CC"/>
            <w:u w:val="single"/>
            <w:lang w:val="nl-NL"/>
          </w:rPr>
          <w:t>https://scholarsbank.uoregon.edu/bitstreams/5eaf8daf-2700-4212-b792-f1889851fa32/download</w:t>
        </w:r>
      </w:hyperlink>
    </w:p>
    <w:p w14:paraId="5CDD2A35" w14:textId="77777777" w:rsidR="00641572" w:rsidRDefault="001B57A1" w:rsidP="00E22A6C">
      <w:pPr>
        <w:spacing w:after="160"/>
        <w:jc w:val="left"/>
        <w:rPr>
          <w:color w:val="1155CC"/>
          <w:u w:val="single"/>
        </w:rPr>
      </w:pPr>
      <w:r w:rsidRPr="00987E9D">
        <w:rPr>
          <w:lang w:val="nl-NL"/>
        </w:rPr>
        <w:t xml:space="preserve">Girdzijauskas, S., Streimikiene, D., Griesiene, I., Mikalauskiene, A. and Kyriakopoulos, G.L., 2022. </w:t>
      </w:r>
      <w:r>
        <w:t xml:space="preserve">New approach to inflation phenomena to ensure sustainable economic growth. </w:t>
      </w:r>
      <w:r>
        <w:rPr>
          <w:i/>
          <w:iCs/>
        </w:rPr>
        <w:t>Sustainability</w:t>
      </w:r>
      <w:r>
        <w:t xml:space="preserve">, </w:t>
      </w:r>
      <w:r>
        <w:rPr>
          <w:i/>
          <w:iCs/>
        </w:rPr>
        <w:t>14</w:t>
      </w:r>
      <w:r>
        <w:t>(1), p.518.</w:t>
      </w:r>
      <w:hyperlink r:id="rId34">
        <w:r>
          <w:t xml:space="preserve"> </w:t>
        </w:r>
      </w:hyperlink>
      <w:hyperlink r:id="rId35">
        <w:r>
          <w:rPr>
            <w:color w:val="1155CC"/>
            <w:u w:val="single"/>
          </w:rPr>
          <w:t>https://www.mdpi.com/2071-1050/14/1/518</w:t>
        </w:r>
      </w:hyperlink>
    </w:p>
    <w:p w14:paraId="2BA92CCA" w14:textId="77777777" w:rsidR="00641572" w:rsidRDefault="001B57A1" w:rsidP="00E22A6C">
      <w:pPr>
        <w:spacing w:after="160"/>
        <w:jc w:val="left"/>
        <w:rPr>
          <w:color w:val="1155CC"/>
          <w:u w:val="single"/>
        </w:rPr>
      </w:pPr>
      <w:r>
        <w:t xml:space="preserve">Haase, M., Bernegger, H. and </w:t>
      </w:r>
      <w:proofErr w:type="spellStart"/>
      <w:r>
        <w:t>Meslec</w:t>
      </w:r>
      <w:proofErr w:type="spellEnd"/>
      <w:r>
        <w:t xml:space="preserve">, M., 2024, May. Stakeholder mapping for value creation of new circular business models. In </w:t>
      </w:r>
      <w:r>
        <w:rPr>
          <w:i/>
          <w:iCs/>
        </w:rPr>
        <w:t>International Conference" Coordinating Engineering for Sustainability and Resilience"</w:t>
      </w:r>
      <w:r>
        <w:t xml:space="preserve"> (pp. 325-334). Cham: Springer Nature Switzerland.</w:t>
      </w:r>
      <w:hyperlink r:id="rId36">
        <w:r>
          <w:t xml:space="preserve"> </w:t>
        </w:r>
      </w:hyperlink>
      <w:hyperlink r:id="rId37">
        <w:r>
          <w:rPr>
            <w:color w:val="1155CC"/>
            <w:u w:val="single"/>
          </w:rPr>
          <w:t>https://link.springer.com/content/pdf/10.1007/978-3-031-57800-7_30.pdf</w:t>
        </w:r>
      </w:hyperlink>
    </w:p>
    <w:p w14:paraId="14281827" w14:textId="77777777" w:rsidR="00641572" w:rsidRDefault="001B57A1" w:rsidP="00E22A6C">
      <w:pPr>
        <w:spacing w:after="160"/>
        <w:jc w:val="left"/>
        <w:rPr>
          <w:color w:val="1155CC"/>
          <w:u w:val="single"/>
        </w:rPr>
      </w:pPr>
      <w:r>
        <w:t xml:space="preserve">Hamoudi, H., 2023. Product sustainability and consumer environmental awareness in differentiated markets. </w:t>
      </w:r>
      <w:r>
        <w:rPr>
          <w:i/>
          <w:iCs/>
        </w:rPr>
        <w:t>International Advances in Economic Research</w:t>
      </w:r>
      <w:r>
        <w:t>.</w:t>
      </w:r>
      <w:hyperlink r:id="rId38">
        <w:r>
          <w:t xml:space="preserve"> </w:t>
        </w:r>
      </w:hyperlink>
      <w:hyperlink r:id="rId39">
        <w:r>
          <w:rPr>
            <w:color w:val="1155CC"/>
            <w:u w:val="single"/>
          </w:rPr>
          <w:t>https://www.academia.edu/download/117867036/s11294-023-09881-y.pdf</w:t>
        </w:r>
      </w:hyperlink>
    </w:p>
    <w:p w14:paraId="613350AE" w14:textId="77777777" w:rsidR="00641572" w:rsidRDefault="001B57A1" w:rsidP="00E22A6C">
      <w:pPr>
        <w:spacing w:after="160"/>
        <w:jc w:val="left"/>
        <w:rPr>
          <w:color w:val="1155CC"/>
          <w:u w:val="single"/>
        </w:rPr>
      </w:pPr>
      <w:r>
        <w:t>Holloway, S., 2024. The Role of Supply Chain Flexibility in Adapting Marketing Strategies to Changing Consumer Preferences.</w:t>
      </w:r>
      <w:hyperlink r:id="rId40">
        <w:r>
          <w:t xml:space="preserve"> </w:t>
        </w:r>
      </w:hyperlink>
      <w:hyperlink r:id="rId41">
        <w:r>
          <w:rPr>
            <w:color w:val="1155CC"/>
            <w:u w:val="single"/>
          </w:rPr>
          <w:t>https://www.preprints.org/frontend/manuscript/b068d03893100d14018aa62f43037ff9/download_pub</w:t>
        </w:r>
      </w:hyperlink>
    </w:p>
    <w:p w14:paraId="08AB0C1D" w14:textId="77777777" w:rsidR="00641572" w:rsidRDefault="001B57A1" w:rsidP="00E22A6C">
      <w:pPr>
        <w:spacing w:after="160"/>
        <w:jc w:val="left"/>
        <w:rPr>
          <w:color w:val="1155CC"/>
          <w:u w:val="single"/>
        </w:rPr>
      </w:pPr>
      <w:r>
        <w:t xml:space="preserve">Jani, N.L., Balakrishnan, B.K. and Wibowo, S.F., 2026. Responsible Consumption in the Eco-Friendly Skincare Market. In </w:t>
      </w:r>
      <w:r>
        <w:rPr>
          <w:i/>
          <w:iCs/>
        </w:rPr>
        <w:t>Green To Gold: Marketing Strategies for a Sustainable Future</w:t>
      </w:r>
      <w:r>
        <w:t xml:space="preserve"> (pp. 575-594). Cham: Springer Nature Switzerland.</w:t>
      </w:r>
      <w:hyperlink r:id="rId42" w:anchor="page=572">
        <w:r>
          <w:t xml:space="preserve"> </w:t>
        </w:r>
      </w:hyperlink>
      <w:hyperlink r:id="rId43" w:anchor="page=572">
        <w:r>
          <w:rPr>
            <w:color w:val="1155CC"/>
            <w:u w:val="single"/>
          </w:rPr>
          <w:t>https://www.researchgate.net/profile/Sundeep-Kumar-20/publication/400341370_Exploring_the_Level_of_Sustainability_Awareness_among_Cons</w:t>
        </w:r>
        <w:r>
          <w:rPr>
            <w:color w:val="1155CC"/>
            <w:u w:val="single"/>
          </w:rPr>
          <w:lastRenderedPageBreak/>
          <w:t>umers_in_the_Indian_Fast-Fashion_Clothing_IndustryA_Consumer_Perspective/links/69803ae142f94d1212a5c267/Exploring-the-Level-of-Sustainability-Awareness-among-Consumers-in-the-Indian-Fast-Fashion-Clothing-IndustryA-Consumer-Perspective.pdf#page=572</w:t>
        </w:r>
      </w:hyperlink>
    </w:p>
    <w:p w14:paraId="24FC7367" w14:textId="77777777" w:rsidR="00641572" w:rsidRDefault="001B57A1" w:rsidP="00E22A6C">
      <w:pPr>
        <w:spacing w:after="160"/>
        <w:jc w:val="left"/>
        <w:rPr>
          <w:color w:val="1155CC"/>
          <w:u w:val="single"/>
        </w:rPr>
      </w:pPr>
      <w:r>
        <w:t xml:space="preserve">Kalogeras, S. and Mejri, S., 2025. Socially responsible purpose-driven brands in the digital era: a brand-consumer-value perspective for social learning and well-being. </w:t>
      </w:r>
      <w:r>
        <w:rPr>
          <w:i/>
          <w:iCs/>
        </w:rPr>
        <w:t>Social Responsibility Journal</w:t>
      </w:r>
      <w:r>
        <w:t xml:space="preserve">, </w:t>
      </w:r>
      <w:r>
        <w:rPr>
          <w:i/>
          <w:iCs/>
        </w:rPr>
        <w:t>21</w:t>
      </w:r>
      <w:r>
        <w:t>(8), pp.1630-1656.</w:t>
      </w:r>
      <w:hyperlink r:id="rId44">
        <w:r>
          <w:t xml:space="preserve"> </w:t>
        </w:r>
      </w:hyperlink>
      <w:hyperlink r:id="rId45">
        <w:r>
          <w:rPr>
            <w:color w:val="1155CC"/>
            <w:u w:val="single"/>
          </w:rPr>
          <w:t>https://researchportal.hw.ac.uk/files/150303602/2_Published_Final.pdf</w:t>
        </w:r>
      </w:hyperlink>
    </w:p>
    <w:p w14:paraId="03E3F91C" w14:textId="77777777" w:rsidR="00641572" w:rsidRDefault="001B57A1" w:rsidP="00E22A6C">
      <w:pPr>
        <w:spacing w:after="160"/>
        <w:jc w:val="left"/>
        <w:rPr>
          <w:color w:val="1155CC"/>
          <w:u w:val="single"/>
        </w:rPr>
      </w:pPr>
      <w:r>
        <w:t xml:space="preserve">Khemraj, S., Wu, W.Y. and Chi, H., 2023. Enhancing Competitive Advantage through Learning Capabilities and Innovative Human Resource Management. </w:t>
      </w:r>
      <w:proofErr w:type="spellStart"/>
      <w:r>
        <w:rPr>
          <w:i/>
          <w:iCs/>
        </w:rPr>
        <w:t>Intersecta</w:t>
      </w:r>
      <w:proofErr w:type="spellEnd"/>
      <w:r>
        <w:rPr>
          <w:i/>
          <w:iCs/>
        </w:rPr>
        <w:t xml:space="preserve"> Minds Journal</w:t>
      </w:r>
      <w:r>
        <w:t xml:space="preserve">, </w:t>
      </w:r>
      <w:r>
        <w:rPr>
          <w:i/>
          <w:iCs/>
        </w:rPr>
        <w:t>2</w:t>
      </w:r>
      <w:r>
        <w:t>(1), pp.28-44.</w:t>
      </w:r>
      <w:hyperlink r:id="rId46" w:anchor="page=41">
        <w:r>
          <w:t xml:space="preserve"> </w:t>
        </w:r>
      </w:hyperlink>
      <w:hyperlink r:id="rId47" w:anchor="page=41">
        <w:r>
          <w:rPr>
            <w:color w:val="1155CC"/>
            <w:u w:val="single"/>
          </w:rPr>
          <w:t>https://so13.tci-thaijo.org/index.php/IMJ/issue/download/146/316#page=41</w:t>
        </w:r>
      </w:hyperlink>
    </w:p>
    <w:p w14:paraId="5BD84D9C" w14:textId="77777777" w:rsidR="00641572" w:rsidRDefault="001B57A1" w:rsidP="00E22A6C">
      <w:pPr>
        <w:spacing w:after="160"/>
        <w:jc w:val="left"/>
        <w:rPr>
          <w:color w:val="1155CC"/>
          <w:u w:val="single"/>
        </w:rPr>
      </w:pPr>
      <w:r>
        <w:t xml:space="preserve">Kim, J. and Kim, M., 2025. From Comparison to Confidence: The Dove Self-Esteem Project and the Transformation of Beauty Perceptions on Social Media. </w:t>
      </w:r>
      <w:proofErr w:type="spellStart"/>
      <w:r>
        <w:rPr>
          <w:i/>
          <w:iCs/>
        </w:rPr>
        <w:t>Behavioral</w:t>
      </w:r>
      <w:proofErr w:type="spellEnd"/>
      <w:r>
        <w:rPr>
          <w:i/>
          <w:iCs/>
        </w:rPr>
        <w:t xml:space="preserve"> Sciences</w:t>
      </w:r>
      <w:r>
        <w:t xml:space="preserve">, </w:t>
      </w:r>
      <w:r>
        <w:rPr>
          <w:i/>
          <w:iCs/>
        </w:rPr>
        <w:t>15</w:t>
      </w:r>
      <w:r>
        <w:t>(4), p.414.</w:t>
      </w:r>
      <w:hyperlink r:id="rId48">
        <w:r>
          <w:t xml:space="preserve"> </w:t>
        </w:r>
      </w:hyperlink>
      <w:hyperlink r:id="rId49">
        <w:r>
          <w:rPr>
            <w:color w:val="1155CC"/>
            <w:u w:val="single"/>
          </w:rPr>
          <w:t>https://www.mdpi.com/2076-328X/15/4/414</w:t>
        </w:r>
      </w:hyperlink>
    </w:p>
    <w:p w14:paraId="14263A7B" w14:textId="77777777" w:rsidR="00641572" w:rsidRDefault="001B57A1" w:rsidP="00E22A6C">
      <w:pPr>
        <w:spacing w:after="160"/>
        <w:jc w:val="left"/>
        <w:rPr>
          <w:color w:val="1155CC"/>
          <w:u w:val="single"/>
        </w:rPr>
      </w:pPr>
      <w:r>
        <w:t xml:space="preserve">Knudsen, M.P., Von Zedtwitz, M., Griffin, A. and Barczak, G., 2023. Best practices in new product development and innovation: Results from PDMA's 2021 global survey. </w:t>
      </w:r>
      <w:r>
        <w:rPr>
          <w:i/>
          <w:iCs/>
        </w:rPr>
        <w:t>Journal of Product Innovation Management</w:t>
      </w:r>
      <w:r>
        <w:t xml:space="preserve">, </w:t>
      </w:r>
      <w:r>
        <w:rPr>
          <w:i/>
          <w:iCs/>
        </w:rPr>
        <w:t>40</w:t>
      </w:r>
      <w:r>
        <w:t>(3), pp.257-275.</w:t>
      </w:r>
      <w:hyperlink r:id="rId50">
        <w:r>
          <w:t xml:space="preserve"> </w:t>
        </w:r>
      </w:hyperlink>
      <w:hyperlink r:id="rId51">
        <w:r>
          <w:rPr>
            <w:color w:val="1155CC"/>
            <w:u w:val="single"/>
          </w:rPr>
          <w:t>https://onlinelibrary.wiley.com/doi/pdfdirect/10.1111/jpim.12663</w:t>
        </w:r>
      </w:hyperlink>
    </w:p>
    <w:p w14:paraId="199E4E3D" w14:textId="77777777" w:rsidR="00641572" w:rsidRDefault="001B57A1" w:rsidP="00E22A6C">
      <w:pPr>
        <w:spacing w:after="160"/>
        <w:jc w:val="left"/>
        <w:rPr>
          <w:color w:val="1155CC"/>
          <w:u w:val="single"/>
        </w:rPr>
      </w:pPr>
      <w:r>
        <w:t xml:space="preserve">Kumar, S., Lim, W.M., Sureka, R., Jabbour, C.J.C. and </w:t>
      </w:r>
      <w:proofErr w:type="spellStart"/>
      <w:r>
        <w:t>Bamel</w:t>
      </w:r>
      <w:proofErr w:type="spellEnd"/>
      <w:r>
        <w:t xml:space="preserve">, U., 2024. Balanced scorecard: trends, developments, and future directions. </w:t>
      </w:r>
      <w:r>
        <w:rPr>
          <w:i/>
          <w:iCs/>
        </w:rPr>
        <w:t>Review of managerial science</w:t>
      </w:r>
      <w:r>
        <w:t xml:space="preserve">, </w:t>
      </w:r>
      <w:r>
        <w:rPr>
          <w:i/>
          <w:iCs/>
        </w:rPr>
        <w:t>18</w:t>
      </w:r>
      <w:r>
        <w:t>(8), pp.2397-2439.</w:t>
      </w:r>
      <w:hyperlink r:id="rId52">
        <w:r>
          <w:t xml:space="preserve"> </w:t>
        </w:r>
      </w:hyperlink>
      <w:hyperlink r:id="rId53">
        <w:r>
          <w:rPr>
            <w:color w:val="1155CC"/>
            <w:u w:val="single"/>
          </w:rPr>
          <w:t>https://link.springer.com/content/pdf/10.1007/s11846-023-00700-6.pdf</w:t>
        </w:r>
      </w:hyperlink>
    </w:p>
    <w:p w14:paraId="692C2D8F" w14:textId="77777777" w:rsidR="00641572" w:rsidRDefault="001B57A1" w:rsidP="00E22A6C">
      <w:pPr>
        <w:spacing w:after="160"/>
        <w:jc w:val="left"/>
        <w:rPr>
          <w:color w:val="1155CC"/>
          <w:u w:val="single"/>
        </w:rPr>
      </w:pPr>
      <w:r>
        <w:t xml:space="preserve">Laursen, L.N. and Andersen, P.H., 2023. Resource and supplier interaction in network innovation governance: the case of innovating at Unilever. </w:t>
      </w:r>
      <w:r>
        <w:rPr>
          <w:i/>
          <w:iCs/>
        </w:rPr>
        <w:t>Journal of business research</w:t>
      </w:r>
      <w:r>
        <w:t xml:space="preserve">, </w:t>
      </w:r>
      <w:r>
        <w:rPr>
          <w:i/>
          <w:iCs/>
        </w:rPr>
        <w:t>156</w:t>
      </w:r>
      <w:r>
        <w:t>, p.113465.</w:t>
      </w:r>
      <w:hyperlink r:id="rId54">
        <w:r>
          <w:t xml:space="preserve"> </w:t>
        </w:r>
      </w:hyperlink>
      <w:hyperlink r:id="rId55">
        <w:r>
          <w:rPr>
            <w:color w:val="1155CC"/>
            <w:u w:val="single"/>
          </w:rPr>
          <w:t>https://www.sciencedirect.com/science/article/pii/S0148296322009304</w:t>
        </w:r>
      </w:hyperlink>
    </w:p>
    <w:p w14:paraId="5EDCB804" w14:textId="77777777" w:rsidR="00641572" w:rsidRDefault="001B57A1" w:rsidP="00E22A6C">
      <w:pPr>
        <w:spacing w:after="160"/>
        <w:jc w:val="left"/>
        <w:rPr>
          <w:color w:val="1155CC"/>
          <w:u w:val="single"/>
        </w:rPr>
      </w:pPr>
      <w:r>
        <w:t xml:space="preserve">Liu, H. and Zhao, H., 2022. Upgrading models, evolutionary mechanisms and vertical cases of service-oriented manufacturing in SVC leading enterprises: Product-development and service-innovation for industry 4.0. </w:t>
      </w:r>
      <w:r>
        <w:rPr>
          <w:i/>
          <w:iCs/>
        </w:rPr>
        <w:t>Humanities and Social Sciences Communications</w:t>
      </w:r>
      <w:r>
        <w:t xml:space="preserve">, </w:t>
      </w:r>
      <w:r>
        <w:rPr>
          <w:i/>
          <w:iCs/>
        </w:rPr>
        <w:t>9</w:t>
      </w:r>
      <w:r>
        <w:t>(1), p.387.</w:t>
      </w:r>
      <w:hyperlink r:id="rId56">
        <w:r>
          <w:t xml:space="preserve"> </w:t>
        </w:r>
      </w:hyperlink>
      <w:hyperlink r:id="rId57">
        <w:r>
          <w:rPr>
            <w:color w:val="1155CC"/>
            <w:u w:val="single"/>
          </w:rPr>
          <w:t>https://www.nature.com/articles/s41599-022-01409-9.pdf</w:t>
        </w:r>
      </w:hyperlink>
    </w:p>
    <w:p w14:paraId="548C4EF6" w14:textId="77777777" w:rsidR="00641572" w:rsidRDefault="001B57A1" w:rsidP="00E22A6C">
      <w:pPr>
        <w:spacing w:after="160"/>
        <w:jc w:val="left"/>
        <w:rPr>
          <w:color w:val="1155CC"/>
          <w:u w:val="single"/>
        </w:rPr>
      </w:pPr>
      <w:proofErr w:type="spellStart"/>
      <w:r>
        <w:lastRenderedPageBreak/>
        <w:t>Nwori</w:t>
      </w:r>
      <w:proofErr w:type="spellEnd"/>
      <w:r>
        <w:t xml:space="preserve">, B.O. and </w:t>
      </w:r>
      <w:proofErr w:type="spellStart"/>
      <w:r>
        <w:t>Uchegbulam</w:t>
      </w:r>
      <w:proofErr w:type="spellEnd"/>
      <w:r>
        <w:t xml:space="preserve">, J.C., 2025. A Comparative Study on the Influence of Social Media on Consumer Purchase </w:t>
      </w:r>
      <w:proofErr w:type="spellStart"/>
      <w:r>
        <w:t>Behavior</w:t>
      </w:r>
      <w:proofErr w:type="spellEnd"/>
      <w:r>
        <w:t xml:space="preserve"> in the Fashion, Beauty and Personal Care Sector of the United Kingdom and Nigeria. </w:t>
      </w:r>
      <w:r>
        <w:rPr>
          <w:i/>
          <w:iCs/>
        </w:rPr>
        <w:t>Saudi J Bus Manag Stud</w:t>
      </w:r>
      <w:r>
        <w:t xml:space="preserve">, </w:t>
      </w:r>
      <w:r>
        <w:rPr>
          <w:i/>
          <w:iCs/>
        </w:rPr>
        <w:t>10</w:t>
      </w:r>
      <w:r>
        <w:t>(9), pp.446-460.</w:t>
      </w:r>
      <w:hyperlink r:id="rId58">
        <w:r>
          <w:t xml:space="preserve"> </w:t>
        </w:r>
      </w:hyperlink>
      <w:hyperlink r:id="rId59">
        <w:r>
          <w:rPr>
            <w:color w:val="1155CC"/>
            <w:u w:val="single"/>
          </w:rPr>
          <w:t>https://saudijournals.com/media/articles/SJBMS_109_446-460c.pdf</w:t>
        </w:r>
      </w:hyperlink>
    </w:p>
    <w:p w14:paraId="25BE2795" w14:textId="77777777" w:rsidR="00641572" w:rsidRDefault="001B57A1" w:rsidP="00E22A6C">
      <w:pPr>
        <w:spacing w:after="160"/>
        <w:jc w:val="left"/>
        <w:rPr>
          <w:color w:val="1155CC"/>
          <w:u w:val="single"/>
        </w:rPr>
      </w:pPr>
      <w:r>
        <w:t xml:space="preserve">Olteanu, L., 2025. Profitable insecurities: trade mark law, misleading advertising, and body image perceptions in the United Kingdom. </w:t>
      </w:r>
      <w:r>
        <w:rPr>
          <w:i/>
          <w:iCs/>
        </w:rPr>
        <w:t>Journal of Law and Society</w:t>
      </w:r>
      <w:r>
        <w:t xml:space="preserve">, </w:t>
      </w:r>
      <w:r>
        <w:rPr>
          <w:i/>
          <w:iCs/>
        </w:rPr>
        <w:t>52</w:t>
      </w:r>
      <w:r>
        <w:t>(4), pp.705-729.</w:t>
      </w:r>
      <w:hyperlink r:id="rId60">
        <w:r>
          <w:t xml:space="preserve"> </w:t>
        </w:r>
      </w:hyperlink>
      <w:hyperlink r:id="rId61">
        <w:r>
          <w:rPr>
            <w:color w:val="1155CC"/>
            <w:u w:val="single"/>
          </w:rPr>
          <w:t>https://onlinelibrary.wiley.com/doi/pdf/10.1111/jols.70025</w:t>
        </w:r>
      </w:hyperlink>
    </w:p>
    <w:p w14:paraId="0B014E68" w14:textId="77777777" w:rsidR="00641572" w:rsidRDefault="001B57A1" w:rsidP="00E22A6C">
      <w:pPr>
        <w:spacing w:after="160"/>
        <w:jc w:val="left"/>
        <w:rPr>
          <w:color w:val="1155CC"/>
          <w:u w:val="single"/>
        </w:rPr>
      </w:pPr>
      <w:r>
        <w:t xml:space="preserve">Patil, P., Naik, B.K.R., Dwivedi, R. and Yoshikuni, A.C., 2025. Industry 4.0, Business Process Management, and Lean Six Sigma for Achieving Business Excellence through Operational Excellence. </w:t>
      </w:r>
      <w:r>
        <w:rPr>
          <w:i/>
          <w:iCs/>
        </w:rPr>
        <w:t>Business Systems Research: International journal of the Society for Advancing Innovation and Research in Economy</w:t>
      </w:r>
      <w:r>
        <w:t xml:space="preserve">, </w:t>
      </w:r>
      <w:r>
        <w:rPr>
          <w:i/>
          <w:iCs/>
        </w:rPr>
        <w:t>16</w:t>
      </w:r>
      <w:r>
        <w:t>(2), pp.1-19.</w:t>
      </w:r>
      <w:hyperlink r:id="rId62">
        <w:r>
          <w:t xml:space="preserve"> </w:t>
        </w:r>
      </w:hyperlink>
      <w:hyperlink r:id="rId63">
        <w:r>
          <w:rPr>
            <w:color w:val="1155CC"/>
            <w:u w:val="single"/>
          </w:rPr>
          <w:t>https://hrcak.srce.hr/file/491754</w:t>
        </w:r>
      </w:hyperlink>
    </w:p>
    <w:p w14:paraId="4C29A600" w14:textId="77777777" w:rsidR="00641572" w:rsidRDefault="001B57A1" w:rsidP="00E22A6C">
      <w:pPr>
        <w:spacing w:after="160"/>
        <w:jc w:val="left"/>
        <w:rPr>
          <w:color w:val="1155CC"/>
          <w:u w:val="single"/>
        </w:rPr>
      </w:pPr>
      <w:r>
        <w:t xml:space="preserve">Ramasamy, G., Ramasamy, G.D. and Ramasamy, P., 2024. Conceptual review of consumer satisfaction theories with expectation-confirmation and disconfirmation paradigm for business sustainable growth and decision making. </w:t>
      </w:r>
      <w:r>
        <w:rPr>
          <w:i/>
          <w:iCs/>
        </w:rPr>
        <w:t>F1000Research</w:t>
      </w:r>
      <w:r>
        <w:t xml:space="preserve">, </w:t>
      </w:r>
      <w:r>
        <w:rPr>
          <w:i/>
          <w:iCs/>
        </w:rPr>
        <w:t>13</w:t>
      </w:r>
      <w:r>
        <w:t>, p.1399.</w:t>
      </w:r>
      <w:hyperlink r:id="rId64">
        <w:r>
          <w:t xml:space="preserve"> </w:t>
        </w:r>
      </w:hyperlink>
      <w:hyperlink r:id="rId65">
        <w:r>
          <w:rPr>
            <w:color w:val="1155CC"/>
            <w:u w:val="single"/>
          </w:rPr>
          <w:t>https://f1000research.com/articles/13-1399/pdf</w:t>
        </w:r>
      </w:hyperlink>
    </w:p>
    <w:p w14:paraId="74D22D02" w14:textId="77777777" w:rsidR="00641572" w:rsidRDefault="001B57A1" w:rsidP="00E22A6C">
      <w:pPr>
        <w:spacing w:after="160"/>
        <w:jc w:val="left"/>
        <w:rPr>
          <w:color w:val="1155CC"/>
          <w:u w:val="single"/>
        </w:rPr>
      </w:pPr>
      <w:proofErr w:type="spellStart"/>
      <w:r>
        <w:t>Rochayatun</w:t>
      </w:r>
      <w:proofErr w:type="spellEnd"/>
      <w:r>
        <w:t xml:space="preserve">, S., </w:t>
      </w:r>
      <w:proofErr w:type="spellStart"/>
      <w:r>
        <w:t>Praktikto</w:t>
      </w:r>
      <w:proofErr w:type="spellEnd"/>
      <w:r>
        <w:t xml:space="preserve">, H., Wardoyo, C. and </w:t>
      </w:r>
      <w:proofErr w:type="spellStart"/>
      <w:r>
        <w:t>Handayati</w:t>
      </w:r>
      <w:proofErr w:type="spellEnd"/>
      <w:r>
        <w:t xml:space="preserve">, P., 2023. Competitive advantage as a mediating variable of corporate social responsibility programs’ effect on SME sustainability. </w:t>
      </w:r>
      <w:r>
        <w:rPr>
          <w:i/>
          <w:iCs/>
        </w:rPr>
        <w:t>Journal of Social Economics Research</w:t>
      </w:r>
      <w:r>
        <w:t xml:space="preserve">, </w:t>
      </w:r>
      <w:r>
        <w:rPr>
          <w:i/>
          <w:iCs/>
        </w:rPr>
        <w:t>10</w:t>
      </w:r>
      <w:r>
        <w:t>(2), pp.34-46.</w:t>
      </w:r>
      <w:hyperlink r:id="rId66">
        <w:r>
          <w:t xml:space="preserve"> </w:t>
        </w:r>
      </w:hyperlink>
      <w:hyperlink r:id="rId67">
        <w:r>
          <w:rPr>
            <w:color w:val="1155CC"/>
            <w:u w:val="single"/>
          </w:rPr>
          <w:t>http://repository.uin-malang.ac.id/14606/7/14606.pdf</w:t>
        </w:r>
      </w:hyperlink>
    </w:p>
    <w:p w14:paraId="3E158BDB" w14:textId="77777777" w:rsidR="00641572" w:rsidRDefault="001B57A1" w:rsidP="00E22A6C">
      <w:pPr>
        <w:spacing w:after="160"/>
        <w:jc w:val="left"/>
        <w:rPr>
          <w:color w:val="1155CC"/>
          <w:u w:val="single"/>
        </w:rPr>
      </w:pPr>
      <w:r>
        <w:t xml:space="preserve">Rose, R., 2025. Political Stability, Equilibrium and Disruption: The Dynamics of the British Party System. </w:t>
      </w:r>
      <w:r>
        <w:rPr>
          <w:i/>
          <w:iCs/>
        </w:rPr>
        <w:t xml:space="preserve">Revue Française de Civilisation </w:t>
      </w:r>
      <w:proofErr w:type="spellStart"/>
      <w:r>
        <w:rPr>
          <w:i/>
          <w:iCs/>
        </w:rPr>
        <w:t>Britannique</w:t>
      </w:r>
      <w:proofErr w:type="spellEnd"/>
      <w:r>
        <w:rPr>
          <w:i/>
          <w:iCs/>
        </w:rPr>
        <w:t>. French Journal of British Studies</w:t>
      </w:r>
      <w:r>
        <w:t>, (XXX-3).</w:t>
      </w:r>
      <w:hyperlink r:id="rId68">
        <w:r>
          <w:t xml:space="preserve"> </w:t>
        </w:r>
      </w:hyperlink>
      <w:hyperlink r:id="rId69">
        <w:r>
          <w:rPr>
            <w:color w:val="1155CC"/>
            <w:u w:val="single"/>
          </w:rPr>
          <w:t>https://journals.openedition.org/rfcb/pdf/13996</w:t>
        </w:r>
      </w:hyperlink>
    </w:p>
    <w:p w14:paraId="5BA31A36" w14:textId="77777777" w:rsidR="00641572" w:rsidRDefault="001B57A1" w:rsidP="00E22A6C">
      <w:pPr>
        <w:spacing w:after="160"/>
        <w:jc w:val="left"/>
        <w:rPr>
          <w:color w:val="1155CC"/>
          <w:u w:val="single"/>
        </w:rPr>
      </w:pPr>
      <w:r>
        <w:t>Salah, A.R.M., 2025. The Impact of Inflation on Purchasing Power and Living Standards.</w:t>
      </w:r>
      <w:hyperlink r:id="rId70">
        <w:r>
          <w:t xml:space="preserve"> </w:t>
        </w:r>
      </w:hyperlink>
      <w:hyperlink r:id="rId71">
        <w:r>
          <w:rPr>
            <w:color w:val="1155CC"/>
            <w:u w:val="single"/>
          </w:rPr>
          <w:t>https://www.researchgate.net/profile/Ahmed-Ragab-Mahmoud/publication/397859712_The_Impact_of_Inflation_on_Purchasing_Power_and_Living_Standards/links/692101b1abe27c41e514501d/The-Impact-of-Inflation-on-Purchasing-Power-and-Living-Standards.pdf</w:t>
        </w:r>
      </w:hyperlink>
    </w:p>
    <w:p w14:paraId="1B3178AA" w14:textId="77777777" w:rsidR="00641572" w:rsidRDefault="001B57A1" w:rsidP="00E22A6C">
      <w:pPr>
        <w:spacing w:after="160"/>
        <w:jc w:val="left"/>
        <w:rPr>
          <w:color w:val="1155CC"/>
          <w:u w:val="single"/>
        </w:rPr>
      </w:pPr>
      <w:r>
        <w:t xml:space="preserve">Samans, R. and Nelson, J., 2022. Corporate strategy and implementation. In </w:t>
      </w:r>
      <w:r>
        <w:rPr>
          <w:i/>
          <w:iCs/>
        </w:rPr>
        <w:t>Sustainable enterprise value creation: implementing stakeholder capitalism through full ESG integration</w:t>
      </w:r>
      <w:r>
        <w:t xml:space="preserve"> </w:t>
      </w:r>
      <w:r>
        <w:lastRenderedPageBreak/>
        <w:t>(pp. 141-186). Cham: Springer International Publishing.</w:t>
      </w:r>
      <w:hyperlink r:id="rId72">
        <w:r>
          <w:t xml:space="preserve"> </w:t>
        </w:r>
      </w:hyperlink>
      <w:hyperlink r:id="rId73">
        <w:r>
          <w:rPr>
            <w:color w:val="1155CC"/>
            <w:u w:val="single"/>
          </w:rPr>
          <w:t>https://link.springer.com/content/pdf/10.1007/978-3-030-93560-3_5.pdf</w:t>
        </w:r>
      </w:hyperlink>
    </w:p>
    <w:p w14:paraId="53EECC93" w14:textId="77777777" w:rsidR="00641572" w:rsidRDefault="001B57A1" w:rsidP="00E22A6C">
      <w:pPr>
        <w:spacing w:after="160"/>
        <w:jc w:val="left"/>
        <w:rPr>
          <w:color w:val="1155CC"/>
          <w:u w:val="single"/>
        </w:rPr>
      </w:pPr>
      <w:r>
        <w:t>Sanni, B., 2024. Risk and Resilience in Entrepreneurial Supply Chains: Preparing for Disruptions and Ensuring Continuity.</w:t>
      </w:r>
      <w:hyperlink r:id="rId74">
        <w:r>
          <w:t xml:space="preserve"> </w:t>
        </w:r>
      </w:hyperlink>
      <w:hyperlink r:id="rId75">
        <w:r>
          <w:rPr>
            <w:color w:val="1155CC"/>
            <w:u w:val="single"/>
          </w:rPr>
          <w:t>https://www.researchgate.net/profile/Babatunde-Sanni-2/publication/386171862_Risk_and_Resilience_in_Entrepreneurial_Supply_Chains_Preparing_for_Disruptions_and_Ensuring_Continuity/links/67473395876bd1777827fd86/Risk-and-Resilience-in-Entrepreneurial-Supply-Chains-Preparing-for-Disruptions-and-Ensuring-Continuity.pdf</w:t>
        </w:r>
      </w:hyperlink>
    </w:p>
    <w:p w14:paraId="0B2B13CC" w14:textId="77777777" w:rsidR="00641572" w:rsidRDefault="001B57A1" w:rsidP="00E22A6C">
      <w:pPr>
        <w:spacing w:after="160"/>
        <w:jc w:val="left"/>
        <w:rPr>
          <w:color w:val="1155CC"/>
          <w:u w:val="single"/>
        </w:rPr>
      </w:pPr>
      <w:r>
        <w:t>Santoro, C., 2022. Sustainability and transparency in the cosmetic industry: the clean beauty movement and consumers’ consciousness.</w:t>
      </w:r>
      <w:hyperlink r:id="rId76">
        <w:r>
          <w:t xml:space="preserve"> </w:t>
        </w:r>
      </w:hyperlink>
      <w:hyperlink r:id="rId77">
        <w:r>
          <w:rPr>
            <w:color w:val="1155CC"/>
            <w:u w:val="single"/>
          </w:rPr>
          <w:t>https://unitesi.unive.it/bitstream/20.500.14247/11811/1/862381-1255073.pdf</w:t>
        </w:r>
      </w:hyperlink>
    </w:p>
    <w:p w14:paraId="0EA33E46" w14:textId="77777777" w:rsidR="00641572" w:rsidRDefault="001B57A1" w:rsidP="00E22A6C">
      <w:pPr>
        <w:spacing w:after="160"/>
        <w:jc w:val="left"/>
        <w:rPr>
          <w:color w:val="1155CC"/>
          <w:u w:val="single"/>
        </w:rPr>
      </w:pPr>
      <w:r>
        <w:t xml:space="preserve">Schilling-Vacaflor, A. and Gustafsson, M.T., 2024. Towards more sustainable global supply chains? Company compliance with new human rights and environmental due diligence laws. </w:t>
      </w:r>
      <w:r>
        <w:rPr>
          <w:i/>
          <w:iCs/>
        </w:rPr>
        <w:t>Environmental Politics</w:t>
      </w:r>
      <w:r>
        <w:t xml:space="preserve">, </w:t>
      </w:r>
      <w:r>
        <w:rPr>
          <w:i/>
          <w:iCs/>
        </w:rPr>
        <w:t>33</w:t>
      </w:r>
      <w:r>
        <w:t>(3), pp.422-443.</w:t>
      </w:r>
      <w:hyperlink r:id="rId78">
        <w:r>
          <w:t xml:space="preserve"> </w:t>
        </w:r>
      </w:hyperlink>
      <w:hyperlink r:id="rId79">
        <w:r>
          <w:rPr>
            <w:color w:val="1155CC"/>
            <w:u w:val="single"/>
          </w:rPr>
          <w:t>https://www.tandfonline.com/doi/pdf/10.1080/09644016.2023.2221983</w:t>
        </w:r>
      </w:hyperlink>
    </w:p>
    <w:p w14:paraId="2798A9A5" w14:textId="77777777" w:rsidR="00641572" w:rsidRPr="00987E9D" w:rsidRDefault="001B57A1" w:rsidP="00E22A6C">
      <w:pPr>
        <w:spacing w:after="160"/>
        <w:jc w:val="left"/>
        <w:rPr>
          <w:color w:val="1155CC"/>
          <w:u w:val="single"/>
          <w:lang w:val="nl-NL"/>
        </w:rPr>
      </w:pPr>
      <w:r>
        <w:t xml:space="preserve">Shahzad, S., Faheem, M., Muqeet, H.A. and Waseem, M., 2024. Charting the UK's path to net zero emissions by 2050: Challenges, strategies, and future directions. </w:t>
      </w:r>
      <w:r w:rsidRPr="00987E9D">
        <w:rPr>
          <w:i/>
          <w:iCs/>
          <w:lang w:val="nl-NL"/>
        </w:rPr>
        <w:t>IET Smart Grid</w:t>
      </w:r>
      <w:r w:rsidRPr="00987E9D">
        <w:rPr>
          <w:lang w:val="nl-NL"/>
        </w:rPr>
        <w:t xml:space="preserve">, </w:t>
      </w:r>
      <w:r w:rsidRPr="00987E9D">
        <w:rPr>
          <w:i/>
          <w:iCs/>
          <w:lang w:val="nl-NL"/>
        </w:rPr>
        <w:t>7</w:t>
      </w:r>
      <w:r w:rsidRPr="00987E9D">
        <w:rPr>
          <w:lang w:val="nl-NL"/>
        </w:rPr>
        <w:t>(6), pp.716-736.</w:t>
      </w:r>
      <w:r>
        <w:fldChar w:fldCharType="begin"/>
      </w:r>
      <w:r w:rsidRPr="00987E9D">
        <w:rPr>
          <w:lang w:val="nl-NL"/>
        </w:rPr>
        <w:instrText>HYPERLINK "https://ietresearch.onlinelibrary.wiley.com/doi/pdf/10.1049/stg2.12185" \h</w:instrText>
      </w:r>
      <w:r>
        <w:fldChar w:fldCharType="separate"/>
      </w:r>
      <w:r w:rsidRPr="00987E9D">
        <w:rPr>
          <w:lang w:val="nl-NL"/>
        </w:rPr>
        <w:t xml:space="preserve"> </w:t>
      </w:r>
      <w:r>
        <w:fldChar w:fldCharType="end"/>
      </w:r>
      <w:hyperlink r:id="rId80">
        <w:r w:rsidRPr="00987E9D">
          <w:rPr>
            <w:color w:val="1155CC"/>
            <w:u w:val="single"/>
            <w:lang w:val="nl-NL"/>
          </w:rPr>
          <w:t>https://ietresearch.onlinelibrary.wiley.com/doi/pdf/10.1049/stg2.12185</w:t>
        </w:r>
      </w:hyperlink>
    </w:p>
    <w:p w14:paraId="26B0EAD8" w14:textId="77777777" w:rsidR="00641572" w:rsidRDefault="001B57A1" w:rsidP="00E22A6C">
      <w:pPr>
        <w:spacing w:after="160"/>
        <w:jc w:val="left"/>
        <w:rPr>
          <w:color w:val="1155CC"/>
          <w:u w:val="single"/>
        </w:rPr>
      </w:pPr>
      <w:proofErr w:type="spellStart"/>
      <w:r>
        <w:t>Shaoping</w:t>
      </w:r>
      <w:proofErr w:type="spellEnd"/>
      <w:r>
        <w:t xml:space="preserve">, L., 2023. Unilever Global Sourcing and Purchasing Strategies: A Case Study of Trade and Logistics between the EU and UK Post-Brexit. </w:t>
      </w:r>
      <w:r>
        <w:rPr>
          <w:i/>
          <w:iCs/>
        </w:rPr>
        <w:t>Industrial Engineering and Innovation Management</w:t>
      </w:r>
      <w:r>
        <w:t xml:space="preserve">, </w:t>
      </w:r>
      <w:r>
        <w:rPr>
          <w:i/>
          <w:iCs/>
        </w:rPr>
        <w:t>6</w:t>
      </w:r>
      <w:r>
        <w:t>(10), pp.124-131.</w:t>
      </w:r>
      <w:hyperlink r:id="rId81">
        <w:r>
          <w:t xml:space="preserve"> </w:t>
        </w:r>
      </w:hyperlink>
      <w:hyperlink r:id="rId82">
        <w:r>
          <w:rPr>
            <w:color w:val="1155CC"/>
            <w:u w:val="single"/>
          </w:rPr>
          <w:t>http://166.62.7.99/assets/default/article/2023/11/29/article_1701253431.pdf</w:t>
        </w:r>
      </w:hyperlink>
    </w:p>
    <w:p w14:paraId="6C2E3A61" w14:textId="77777777" w:rsidR="00641572" w:rsidRDefault="001B57A1" w:rsidP="00E22A6C">
      <w:pPr>
        <w:spacing w:after="160"/>
        <w:jc w:val="left"/>
        <w:rPr>
          <w:color w:val="1155CC"/>
          <w:u w:val="single"/>
        </w:rPr>
      </w:pPr>
      <w:r>
        <w:t xml:space="preserve">Sharma, M.N., 2025. </w:t>
      </w:r>
      <w:r>
        <w:rPr>
          <w:i/>
          <w:iCs/>
        </w:rPr>
        <w:t>A Study of Changing Scenario of Beauty and Personal Care Industry</w:t>
      </w:r>
      <w:r>
        <w:t xml:space="preserve"> [online]</w:t>
      </w:r>
      <w:hyperlink r:id="rId83">
        <w:r>
          <w:t xml:space="preserve"> </w:t>
        </w:r>
      </w:hyperlink>
      <w:hyperlink r:id="rId84">
        <w:r>
          <w:rPr>
            <w:color w:val="1155CC"/>
            <w:u w:val="single"/>
          </w:rPr>
          <w:t>https://edusanchar.com/wp-content/uploads/2020/08/IJCRI-Neha-Sharma-A-STUDY-OF-CHANGING-SCENARIO-OF-BEAUTY-AND-PERSONAL-CARE-INDUSTRY.pdf</w:t>
        </w:r>
      </w:hyperlink>
    </w:p>
    <w:p w14:paraId="44829A3E" w14:textId="77777777" w:rsidR="00641572" w:rsidRDefault="001B57A1" w:rsidP="00E22A6C">
      <w:pPr>
        <w:spacing w:after="160"/>
        <w:jc w:val="left"/>
        <w:rPr>
          <w:color w:val="1155CC"/>
          <w:u w:val="single"/>
        </w:rPr>
      </w:pPr>
      <w:r w:rsidRPr="00987E9D">
        <w:rPr>
          <w:lang w:val="nl-NL"/>
        </w:rPr>
        <w:t xml:space="preserve">Tserenbat, U., Lee Alm, D. and Kusche, F., 2024. </w:t>
      </w:r>
      <w:r>
        <w:t xml:space="preserve">Why Longevity Wins-The Dove Blueprint for Long-Term Marketing Success. </w:t>
      </w:r>
      <w:r>
        <w:rPr>
          <w:i/>
          <w:iCs/>
        </w:rPr>
        <w:t>LBMG Strategic Brand Management-Masters Paper Series</w:t>
      </w:r>
      <w:r>
        <w:t>.</w:t>
      </w:r>
      <w:hyperlink r:id="rId85">
        <w:r>
          <w:t xml:space="preserve"> </w:t>
        </w:r>
      </w:hyperlink>
      <w:hyperlink r:id="rId86">
        <w:r>
          <w:rPr>
            <w:color w:val="1155CC"/>
            <w:u w:val="single"/>
          </w:rPr>
          <w:t>https://lup.lub.lu.se/luur/download?func=downloadFile&amp;recordOId=9177705&amp;fileOId=9177774</w:t>
        </w:r>
      </w:hyperlink>
    </w:p>
    <w:p w14:paraId="616411DD" w14:textId="77777777" w:rsidR="00641572" w:rsidRDefault="001B57A1" w:rsidP="00E22A6C">
      <w:pPr>
        <w:spacing w:after="160"/>
        <w:jc w:val="left"/>
        <w:rPr>
          <w:color w:val="1155CC"/>
          <w:u w:val="single"/>
        </w:rPr>
      </w:pPr>
      <w:r w:rsidRPr="00987E9D">
        <w:rPr>
          <w:lang w:val="nl-NL"/>
        </w:rPr>
        <w:lastRenderedPageBreak/>
        <w:t xml:space="preserve">Tserenbat, U., Lee Alm, D. and Kusche, F., 2024. </w:t>
      </w:r>
      <w:r>
        <w:t xml:space="preserve">Why Longevity Wins-The Dove Blueprint for Long-Term Marketing Success. </w:t>
      </w:r>
      <w:r>
        <w:rPr>
          <w:i/>
          <w:iCs/>
        </w:rPr>
        <w:t>LBMG Strategic Brand Management-Masters Paper Series</w:t>
      </w:r>
      <w:r>
        <w:t>.</w:t>
      </w:r>
      <w:hyperlink r:id="rId87">
        <w:r>
          <w:t xml:space="preserve"> </w:t>
        </w:r>
      </w:hyperlink>
      <w:hyperlink r:id="rId88">
        <w:r>
          <w:rPr>
            <w:color w:val="1155CC"/>
            <w:u w:val="single"/>
          </w:rPr>
          <w:t>https://lup.lub.lu.se/luur/download?func=downloadFile&amp;recordOId=9177705&amp;fileOId=9177774</w:t>
        </w:r>
      </w:hyperlink>
    </w:p>
    <w:p w14:paraId="570E4737" w14:textId="77777777" w:rsidR="00641572" w:rsidRDefault="001B57A1" w:rsidP="00E22A6C">
      <w:pPr>
        <w:spacing w:after="160"/>
        <w:jc w:val="left"/>
        <w:rPr>
          <w:color w:val="1155CC"/>
          <w:u w:val="single"/>
        </w:rPr>
      </w:pPr>
      <w:r>
        <w:t xml:space="preserve">Turcu, O. and Brancu, C., 2025. Cosmetics industry performance in the </w:t>
      </w:r>
      <w:proofErr w:type="spellStart"/>
      <w:r>
        <w:t>european</w:t>
      </w:r>
      <w:proofErr w:type="spellEnd"/>
      <w:r>
        <w:t xml:space="preserve"> union: a comparative analysis. In </w:t>
      </w:r>
      <w:r>
        <w:rPr>
          <w:i/>
          <w:iCs/>
        </w:rPr>
        <w:t>Proceedings of the international conference on business excellence</w:t>
      </w:r>
      <w:r>
        <w:t xml:space="preserve"> (pp. 2267-2276).</w:t>
      </w:r>
      <w:hyperlink r:id="rId89">
        <w:r>
          <w:t xml:space="preserve"> </w:t>
        </w:r>
      </w:hyperlink>
      <w:hyperlink r:id="rId90">
        <w:r>
          <w:rPr>
            <w:color w:val="1155CC"/>
            <w:u w:val="single"/>
          </w:rPr>
          <w:t>https://sciendo.com/2/v2/download/article/10.2478/picbe-2025-0175.pdf</w:t>
        </w:r>
      </w:hyperlink>
    </w:p>
    <w:p w14:paraId="59CEF374" w14:textId="77777777" w:rsidR="00641572" w:rsidRDefault="001B57A1" w:rsidP="00E22A6C">
      <w:pPr>
        <w:spacing w:after="160"/>
        <w:jc w:val="left"/>
        <w:rPr>
          <w:color w:val="1155CC"/>
          <w:u w:val="single"/>
        </w:rPr>
      </w:pPr>
      <w:r>
        <w:t xml:space="preserve">UNILEVER, (2026). </w:t>
      </w:r>
      <w:r>
        <w:rPr>
          <w:i/>
          <w:iCs/>
        </w:rPr>
        <w:t>Why is sustainability important for business?</w:t>
      </w:r>
      <w:hyperlink r:id="rId91">
        <w:r>
          <w:t xml:space="preserve"> </w:t>
        </w:r>
      </w:hyperlink>
      <w:hyperlink r:id="rId92">
        <w:r>
          <w:rPr>
            <w:color w:val="1155CC"/>
            <w:u w:val="single"/>
          </w:rPr>
          <w:t>https://www.unilever.com/news/news-search/2023/why-is-sustainability-important-for-business/</w:t>
        </w:r>
      </w:hyperlink>
    </w:p>
    <w:p w14:paraId="735E873F" w14:textId="77777777" w:rsidR="00641572" w:rsidRDefault="001B57A1" w:rsidP="00E22A6C">
      <w:pPr>
        <w:spacing w:after="160"/>
        <w:jc w:val="left"/>
        <w:rPr>
          <w:color w:val="1155CC"/>
          <w:u w:val="single"/>
        </w:rPr>
      </w:pPr>
      <w:r>
        <w:t xml:space="preserve">UNILEVER, (2026a). </w:t>
      </w:r>
      <w:r>
        <w:rPr>
          <w:i/>
          <w:iCs/>
        </w:rPr>
        <w:t>We are Unilever.</w:t>
      </w:r>
      <w:hyperlink r:id="rId93">
        <w:r>
          <w:rPr>
            <w:i/>
            <w:iCs/>
          </w:rPr>
          <w:t xml:space="preserve"> </w:t>
        </w:r>
      </w:hyperlink>
      <w:hyperlink r:id="rId94">
        <w:r>
          <w:rPr>
            <w:color w:val="1155CC"/>
            <w:u w:val="single"/>
          </w:rPr>
          <w:t>https://www.unilever.com/our-company/</w:t>
        </w:r>
      </w:hyperlink>
    </w:p>
    <w:p w14:paraId="0C77817D" w14:textId="77777777" w:rsidR="00641572" w:rsidRDefault="001B57A1" w:rsidP="00E22A6C">
      <w:pPr>
        <w:spacing w:after="160"/>
        <w:jc w:val="left"/>
        <w:rPr>
          <w:color w:val="1155CC"/>
          <w:u w:val="single"/>
        </w:rPr>
      </w:pPr>
      <w:r>
        <w:t xml:space="preserve">UNILEVER, (2026b). </w:t>
      </w:r>
      <w:r>
        <w:rPr>
          <w:i/>
          <w:iCs/>
        </w:rPr>
        <w:t>Joining forces, Unilever comes to life.</w:t>
      </w:r>
      <w:hyperlink r:id="rId95">
        <w:r>
          <w:t xml:space="preserve"> </w:t>
        </w:r>
      </w:hyperlink>
      <w:hyperlink r:id="rId96">
        <w:r>
          <w:rPr>
            <w:color w:val="1155CC"/>
            <w:u w:val="single"/>
          </w:rPr>
          <w:t>https://www.unilever.com/our-company/our-history-and-archives/1900-1950/</w:t>
        </w:r>
      </w:hyperlink>
    </w:p>
    <w:p w14:paraId="5FAF46CA" w14:textId="77777777" w:rsidR="00641572" w:rsidRDefault="001B57A1" w:rsidP="00E22A6C">
      <w:pPr>
        <w:spacing w:after="160"/>
        <w:jc w:val="left"/>
        <w:rPr>
          <w:color w:val="1155CC"/>
          <w:u w:val="single"/>
        </w:rPr>
      </w:pPr>
      <w:r>
        <w:t xml:space="preserve">Yahaya, O.A., 2024. Could financial reporting quality be enhanced by frequent board meetings?. </w:t>
      </w:r>
      <w:r>
        <w:rPr>
          <w:i/>
          <w:iCs/>
        </w:rPr>
        <w:t>Available at SSRN 5040977</w:t>
      </w:r>
      <w:r>
        <w:t>.</w:t>
      </w:r>
      <w:hyperlink r:id="rId97">
        <w:r>
          <w:t xml:space="preserve"> </w:t>
        </w:r>
      </w:hyperlink>
      <w:hyperlink r:id="rId98">
        <w:r>
          <w:rPr>
            <w:color w:val="1155CC"/>
            <w:u w:val="single"/>
          </w:rPr>
          <w:t>https://papers.ssrn.com/sol3/Delivery.cfm?abstractid=5040977</w:t>
        </w:r>
      </w:hyperlink>
    </w:p>
    <w:p w14:paraId="623B9DEE" w14:textId="77777777" w:rsidR="00641572" w:rsidRDefault="00641572"/>
    <w:sectPr w:rsidR="00641572" w:rsidSect="00E22A6C">
      <w:footerReference w:type="default" r:id="rId99"/>
      <w:pgSz w:w="11909" w:h="16834"/>
      <w:pgMar w:top="1440" w:right="1440" w:bottom="1440" w:left="1440" w:header="720" w:footer="720" w:gutter="0"/>
      <w:pgBorders w:offsetFrom="page">
        <w:top w:val="thinThickThinSmallGap" w:sz="24" w:space="24" w:color="auto" w:shadow="1"/>
        <w:left w:val="thinThickThinSmallGap" w:sz="24" w:space="24" w:color="auto" w:shadow="1"/>
        <w:bottom w:val="thinThickThinSmallGap" w:sz="24" w:space="24" w:color="auto" w:shadow="1"/>
        <w:right w:val="thinThickThinSmallGap" w:sz="24" w:space="24" w:color="auto" w:shadow="1"/>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EAC27" w14:textId="77777777" w:rsidR="00A44586" w:rsidRDefault="00A44586">
      <w:pPr>
        <w:spacing w:line="240" w:lineRule="auto"/>
      </w:pPr>
      <w:r>
        <w:separator/>
      </w:r>
    </w:p>
  </w:endnote>
  <w:endnote w:type="continuationSeparator" w:id="0">
    <w:p w14:paraId="1E8F86A3" w14:textId="77777777" w:rsidR="00A44586" w:rsidRDefault="00A445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577ECF2-169D-43EB-852D-F2538F422943}"/>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SimSun-ExtB">
    <w:panose1 w:val="02010609060101010101"/>
    <w:charset w:val="86"/>
    <w:family w:val="modern"/>
    <w:pitch w:val="fixed"/>
    <w:sig w:usb0="00000003" w:usb1="0A0E0000" w:usb2="00000010" w:usb3="00000000" w:csb0="00040001" w:csb1="00000000"/>
  </w:font>
  <w:font w:name="Segoe UI Symbol">
    <w:panose1 w:val="020B0502040204020203"/>
    <w:charset w:val="00"/>
    <w:family w:val="swiss"/>
    <w:pitch w:val="variable"/>
    <w:sig w:usb0="800001E3" w:usb1="1200FFEF" w:usb2="00040000" w:usb3="00000000" w:csb0="00000001" w:csb1="00000000"/>
    <w:embedRegular r:id="rId2" w:fontKey="{725CBA1C-C844-4FE1-97AC-63B78096E48A}"/>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3" w:fontKey="{200FADC5-93E4-4442-9B81-D13FF0322A3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3516071"/>
      <w:docPartObj>
        <w:docPartGallery w:val="Page Numbers (Bottom of Page)"/>
        <w:docPartUnique/>
      </w:docPartObj>
    </w:sdtPr>
    <w:sdtContent>
      <w:p w14:paraId="378046C9" w14:textId="6F4BA4CF" w:rsidR="00E22A6C" w:rsidRDefault="00E22A6C">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7AC8A6F" w14:textId="77777777" w:rsidR="00EC14AD" w:rsidRDefault="00EC14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FE02E" w14:textId="77777777" w:rsidR="00A44586" w:rsidRDefault="00A44586">
      <w:pPr>
        <w:spacing w:line="240" w:lineRule="auto"/>
      </w:pPr>
      <w:r>
        <w:separator/>
      </w:r>
    </w:p>
  </w:footnote>
  <w:footnote w:type="continuationSeparator" w:id="0">
    <w:p w14:paraId="2455F907" w14:textId="77777777" w:rsidR="00A44586" w:rsidRDefault="00A4458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2967B6"/>
    <w:multiLevelType w:val="hybridMultilevel"/>
    <w:tmpl w:val="04A47F4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6677276D"/>
    <w:multiLevelType w:val="hybridMultilevel"/>
    <w:tmpl w:val="98C2C49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64880056">
    <w:abstractNumId w:val="1"/>
  </w:num>
  <w:num w:numId="2" w16cid:durableId="5289557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572"/>
    <w:rsid w:val="00080F46"/>
    <w:rsid w:val="001B57A1"/>
    <w:rsid w:val="00257BAB"/>
    <w:rsid w:val="00315A5E"/>
    <w:rsid w:val="0046666E"/>
    <w:rsid w:val="004941C1"/>
    <w:rsid w:val="004A503C"/>
    <w:rsid w:val="00527792"/>
    <w:rsid w:val="00641572"/>
    <w:rsid w:val="006E1866"/>
    <w:rsid w:val="007A6DCA"/>
    <w:rsid w:val="00956138"/>
    <w:rsid w:val="00987E9D"/>
    <w:rsid w:val="009B2E9D"/>
    <w:rsid w:val="00A272A0"/>
    <w:rsid w:val="00A44586"/>
    <w:rsid w:val="00A86784"/>
    <w:rsid w:val="00AD456E"/>
    <w:rsid w:val="00AF5784"/>
    <w:rsid w:val="00BB447F"/>
    <w:rsid w:val="00D06BF1"/>
    <w:rsid w:val="00D64D20"/>
    <w:rsid w:val="00D82CEF"/>
    <w:rsid w:val="00E22A6C"/>
    <w:rsid w:val="00E52D29"/>
    <w:rsid w:val="00EC14AD"/>
    <w:rsid w:val="00F5301F"/>
    <w:rsid w:val="00FD0271"/>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8E8ED"/>
  <w15:docId w15:val="{688282D0-3962-4B66-8832-30BF10AFF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sz w:val="26"/>
      <w:szCs w:val="26"/>
    </w:rPr>
  </w:style>
  <w:style w:type="paragraph" w:styleId="Heading3">
    <w:name w:val="heading 3"/>
    <w:basedOn w:val="Normal"/>
    <w:next w:val="Normal"/>
    <w:pPr>
      <w:keepNext/>
      <w:keepLines/>
      <w:outlineLvl w:val="2"/>
    </w:pPr>
    <w:rPr>
      <w:b/>
      <w:b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jc w:val="center"/>
    </w:pPr>
    <w:rPr>
      <w:b/>
      <w:bCs/>
      <w:sz w:val="32"/>
      <w:szCs w:val="3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paragraph" w:styleId="Header">
    <w:name w:val="header"/>
    <w:basedOn w:val="Normal"/>
    <w:link w:val="HeaderChar"/>
    <w:uiPriority w:val="99"/>
    <w:unhideWhenUsed/>
    <w:rsid w:val="00EC14AD"/>
    <w:pPr>
      <w:tabs>
        <w:tab w:val="center" w:pos="4513"/>
        <w:tab w:val="right" w:pos="9026"/>
      </w:tabs>
      <w:spacing w:line="240" w:lineRule="auto"/>
    </w:pPr>
  </w:style>
  <w:style w:type="character" w:customStyle="1" w:styleId="HeaderChar">
    <w:name w:val="Header Char"/>
    <w:basedOn w:val="DefaultParagraphFont"/>
    <w:link w:val="Header"/>
    <w:uiPriority w:val="99"/>
    <w:rsid w:val="00EC14AD"/>
  </w:style>
  <w:style w:type="paragraph" w:styleId="Footer">
    <w:name w:val="footer"/>
    <w:basedOn w:val="Normal"/>
    <w:link w:val="FooterChar"/>
    <w:uiPriority w:val="99"/>
    <w:unhideWhenUsed/>
    <w:rsid w:val="00EC14AD"/>
    <w:pPr>
      <w:tabs>
        <w:tab w:val="center" w:pos="4513"/>
        <w:tab w:val="right" w:pos="9026"/>
      </w:tabs>
      <w:spacing w:line="240" w:lineRule="auto"/>
    </w:pPr>
  </w:style>
  <w:style w:type="character" w:customStyle="1" w:styleId="FooterChar">
    <w:name w:val="Footer Char"/>
    <w:basedOn w:val="DefaultParagraphFont"/>
    <w:link w:val="Footer"/>
    <w:uiPriority w:val="99"/>
    <w:rsid w:val="00EC14AD"/>
  </w:style>
  <w:style w:type="paragraph" w:styleId="TOCHeading">
    <w:name w:val="TOC Heading"/>
    <w:basedOn w:val="Heading1"/>
    <w:next w:val="Normal"/>
    <w:uiPriority w:val="39"/>
    <w:unhideWhenUsed/>
    <w:qFormat/>
    <w:rsid w:val="00EC14AD"/>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EC14AD"/>
    <w:pPr>
      <w:spacing w:after="100"/>
    </w:pPr>
  </w:style>
  <w:style w:type="paragraph" w:styleId="TOC2">
    <w:name w:val="toc 2"/>
    <w:basedOn w:val="Normal"/>
    <w:next w:val="Normal"/>
    <w:autoRedefine/>
    <w:uiPriority w:val="39"/>
    <w:unhideWhenUsed/>
    <w:rsid w:val="00EC14AD"/>
    <w:pPr>
      <w:spacing w:after="100"/>
      <w:ind w:left="240"/>
    </w:pPr>
  </w:style>
  <w:style w:type="character" w:styleId="Hyperlink">
    <w:name w:val="Hyperlink"/>
    <w:basedOn w:val="DefaultParagraphFont"/>
    <w:uiPriority w:val="99"/>
    <w:unhideWhenUsed/>
    <w:rsid w:val="00EC14AD"/>
    <w:rPr>
      <w:color w:val="0000FF" w:themeColor="hyperlink"/>
      <w:u w:val="single"/>
    </w:rPr>
  </w:style>
  <w:style w:type="table" w:styleId="GridTable5Dark-Accent1">
    <w:name w:val="Grid Table 5 Dark Accent 1"/>
    <w:basedOn w:val="TableNormal"/>
    <w:uiPriority w:val="50"/>
    <w:rsid w:val="00A86784"/>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ListParagraph">
    <w:name w:val="List Paragraph"/>
    <w:basedOn w:val="Normal"/>
    <w:uiPriority w:val="34"/>
    <w:qFormat/>
    <w:rsid w:val="00A86784"/>
    <w:pPr>
      <w:ind w:left="720"/>
      <w:contextualSpacing/>
    </w:pPr>
  </w:style>
  <w:style w:type="paragraph" w:styleId="NormalWeb">
    <w:name w:val="Normal (Web)"/>
    <w:basedOn w:val="Normal"/>
    <w:uiPriority w:val="99"/>
    <w:semiHidden/>
    <w:unhideWhenUsed/>
    <w:rsid w:val="00956138"/>
  </w:style>
  <w:style w:type="character" w:styleId="UnresolvedMention">
    <w:name w:val="Unresolved Mention"/>
    <w:basedOn w:val="DefaultParagraphFont"/>
    <w:uiPriority w:val="99"/>
    <w:semiHidden/>
    <w:unhideWhenUsed/>
    <w:rsid w:val="006E1866"/>
    <w:rPr>
      <w:color w:val="605E5C"/>
      <w:shd w:val="clear" w:color="auto" w:fill="E1DFDD"/>
    </w:rPr>
  </w:style>
  <w:style w:type="paragraph" w:customStyle="1" w:styleId="TableParagraph">
    <w:name w:val="Table Paragraph"/>
    <w:basedOn w:val="Normal"/>
    <w:uiPriority w:val="1"/>
    <w:qFormat/>
    <w:rsid w:val="00E22A6C"/>
    <w:pPr>
      <w:widowControl w:val="0"/>
      <w:autoSpaceDE w:val="0"/>
      <w:autoSpaceDN w:val="0"/>
      <w:spacing w:line="240" w:lineRule="auto"/>
      <w:ind w:left="108"/>
      <w:jc w:val="left"/>
    </w:pPr>
    <w:rPr>
      <w:rFonts w:ascii="Arial MT" w:eastAsia="Arial MT" w:hAnsi="Arial MT" w:cs="Arial MT"/>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274369">
      <w:bodyDiv w:val="1"/>
      <w:marLeft w:val="0"/>
      <w:marRight w:val="0"/>
      <w:marTop w:val="0"/>
      <w:marBottom w:val="0"/>
      <w:divBdr>
        <w:top w:val="none" w:sz="0" w:space="0" w:color="auto"/>
        <w:left w:val="none" w:sz="0" w:space="0" w:color="auto"/>
        <w:bottom w:val="none" w:sz="0" w:space="0" w:color="auto"/>
        <w:right w:val="none" w:sz="0" w:space="0" w:color="auto"/>
      </w:divBdr>
    </w:div>
    <w:div w:id="349719164">
      <w:bodyDiv w:val="1"/>
      <w:marLeft w:val="0"/>
      <w:marRight w:val="0"/>
      <w:marTop w:val="0"/>
      <w:marBottom w:val="0"/>
      <w:divBdr>
        <w:top w:val="none" w:sz="0" w:space="0" w:color="auto"/>
        <w:left w:val="none" w:sz="0" w:space="0" w:color="auto"/>
        <w:bottom w:val="none" w:sz="0" w:space="0" w:color="auto"/>
        <w:right w:val="none" w:sz="0" w:space="0" w:color="auto"/>
      </w:divBdr>
    </w:div>
    <w:div w:id="440149232">
      <w:bodyDiv w:val="1"/>
      <w:marLeft w:val="0"/>
      <w:marRight w:val="0"/>
      <w:marTop w:val="0"/>
      <w:marBottom w:val="0"/>
      <w:divBdr>
        <w:top w:val="none" w:sz="0" w:space="0" w:color="auto"/>
        <w:left w:val="none" w:sz="0" w:space="0" w:color="auto"/>
        <w:bottom w:val="none" w:sz="0" w:space="0" w:color="auto"/>
        <w:right w:val="none" w:sz="0" w:space="0" w:color="auto"/>
      </w:divBdr>
    </w:div>
    <w:div w:id="459298308">
      <w:bodyDiv w:val="1"/>
      <w:marLeft w:val="0"/>
      <w:marRight w:val="0"/>
      <w:marTop w:val="0"/>
      <w:marBottom w:val="0"/>
      <w:divBdr>
        <w:top w:val="none" w:sz="0" w:space="0" w:color="auto"/>
        <w:left w:val="none" w:sz="0" w:space="0" w:color="auto"/>
        <w:bottom w:val="none" w:sz="0" w:space="0" w:color="auto"/>
        <w:right w:val="none" w:sz="0" w:space="0" w:color="auto"/>
      </w:divBdr>
    </w:div>
    <w:div w:id="462574958">
      <w:bodyDiv w:val="1"/>
      <w:marLeft w:val="0"/>
      <w:marRight w:val="0"/>
      <w:marTop w:val="0"/>
      <w:marBottom w:val="0"/>
      <w:divBdr>
        <w:top w:val="none" w:sz="0" w:space="0" w:color="auto"/>
        <w:left w:val="none" w:sz="0" w:space="0" w:color="auto"/>
        <w:bottom w:val="none" w:sz="0" w:space="0" w:color="auto"/>
        <w:right w:val="none" w:sz="0" w:space="0" w:color="auto"/>
      </w:divBdr>
    </w:div>
    <w:div w:id="499009305">
      <w:bodyDiv w:val="1"/>
      <w:marLeft w:val="0"/>
      <w:marRight w:val="0"/>
      <w:marTop w:val="0"/>
      <w:marBottom w:val="0"/>
      <w:divBdr>
        <w:top w:val="none" w:sz="0" w:space="0" w:color="auto"/>
        <w:left w:val="none" w:sz="0" w:space="0" w:color="auto"/>
        <w:bottom w:val="none" w:sz="0" w:space="0" w:color="auto"/>
        <w:right w:val="none" w:sz="0" w:space="0" w:color="auto"/>
      </w:divBdr>
    </w:div>
    <w:div w:id="805899081">
      <w:bodyDiv w:val="1"/>
      <w:marLeft w:val="0"/>
      <w:marRight w:val="0"/>
      <w:marTop w:val="0"/>
      <w:marBottom w:val="0"/>
      <w:divBdr>
        <w:top w:val="none" w:sz="0" w:space="0" w:color="auto"/>
        <w:left w:val="none" w:sz="0" w:space="0" w:color="auto"/>
        <w:bottom w:val="none" w:sz="0" w:space="0" w:color="auto"/>
        <w:right w:val="none" w:sz="0" w:space="0" w:color="auto"/>
      </w:divBdr>
    </w:div>
    <w:div w:id="809519845">
      <w:bodyDiv w:val="1"/>
      <w:marLeft w:val="0"/>
      <w:marRight w:val="0"/>
      <w:marTop w:val="0"/>
      <w:marBottom w:val="0"/>
      <w:divBdr>
        <w:top w:val="none" w:sz="0" w:space="0" w:color="auto"/>
        <w:left w:val="none" w:sz="0" w:space="0" w:color="auto"/>
        <w:bottom w:val="none" w:sz="0" w:space="0" w:color="auto"/>
        <w:right w:val="none" w:sz="0" w:space="0" w:color="auto"/>
      </w:divBdr>
    </w:div>
    <w:div w:id="963467309">
      <w:bodyDiv w:val="1"/>
      <w:marLeft w:val="0"/>
      <w:marRight w:val="0"/>
      <w:marTop w:val="0"/>
      <w:marBottom w:val="0"/>
      <w:divBdr>
        <w:top w:val="none" w:sz="0" w:space="0" w:color="auto"/>
        <w:left w:val="none" w:sz="0" w:space="0" w:color="auto"/>
        <w:bottom w:val="none" w:sz="0" w:space="0" w:color="auto"/>
        <w:right w:val="none" w:sz="0" w:space="0" w:color="auto"/>
      </w:divBdr>
    </w:div>
    <w:div w:id="1007908315">
      <w:bodyDiv w:val="1"/>
      <w:marLeft w:val="0"/>
      <w:marRight w:val="0"/>
      <w:marTop w:val="0"/>
      <w:marBottom w:val="0"/>
      <w:divBdr>
        <w:top w:val="none" w:sz="0" w:space="0" w:color="auto"/>
        <w:left w:val="none" w:sz="0" w:space="0" w:color="auto"/>
        <w:bottom w:val="none" w:sz="0" w:space="0" w:color="auto"/>
        <w:right w:val="none" w:sz="0" w:space="0" w:color="auto"/>
      </w:divBdr>
    </w:div>
    <w:div w:id="1112868547">
      <w:bodyDiv w:val="1"/>
      <w:marLeft w:val="0"/>
      <w:marRight w:val="0"/>
      <w:marTop w:val="0"/>
      <w:marBottom w:val="0"/>
      <w:divBdr>
        <w:top w:val="none" w:sz="0" w:space="0" w:color="auto"/>
        <w:left w:val="none" w:sz="0" w:space="0" w:color="auto"/>
        <w:bottom w:val="none" w:sz="0" w:space="0" w:color="auto"/>
        <w:right w:val="none" w:sz="0" w:space="0" w:color="auto"/>
      </w:divBdr>
    </w:div>
    <w:div w:id="1149983415">
      <w:bodyDiv w:val="1"/>
      <w:marLeft w:val="0"/>
      <w:marRight w:val="0"/>
      <w:marTop w:val="0"/>
      <w:marBottom w:val="0"/>
      <w:divBdr>
        <w:top w:val="none" w:sz="0" w:space="0" w:color="auto"/>
        <w:left w:val="none" w:sz="0" w:space="0" w:color="auto"/>
        <w:bottom w:val="none" w:sz="0" w:space="0" w:color="auto"/>
        <w:right w:val="none" w:sz="0" w:space="0" w:color="auto"/>
      </w:divBdr>
    </w:div>
    <w:div w:id="1747648838">
      <w:bodyDiv w:val="1"/>
      <w:marLeft w:val="0"/>
      <w:marRight w:val="0"/>
      <w:marTop w:val="0"/>
      <w:marBottom w:val="0"/>
      <w:divBdr>
        <w:top w:val="none" w:sz="0" w:space="0" w:color="auto"/>
        <w:left w:val="none" w:sz="0" w:space="0" w:color="auto"/>
        <w:bottom w:val="none" w:sz="0" w:space="0" w:color="auto"/>
        <w:right w:val="none" w:sz="0" w:space="0" w:color="auto"/>
      </w:divBdr>
    </w:div>
    <w:div w:id="1786850911">
      <w:bodyDiv w:val="1"/>
      <w:marLeft w:val="0"/>
      <w:marRight w:val="0"/>
      <w:marTop w:val="0"/>
      <w:marBottom w:val="0"/>
      <w:divBdr>
        <w:top w:val="none" w:sz="0" w:space="0" w:color="auto"/>
        <w:left w:val="none" w:sz="0" w:space="0" w:color="auto"/>
        <w:bottom w:val="none" w:sz="0" w:space="0" w:color="auto"/>
        <w:right w:val="none" w:sz="0" w:space="0" w:color="auto"/>
      </w:divBdr>
    </w:div>
    <w:div w:id="1806698007">
      <w:bodyDiv w:val="1"/>
      <w:marLeft w:val="0"/>
      <w:marRight w:val="0"/>
      <w:marTop w:val="0"/>
      <w:marBottom w:val="0"/>
      <w:divBdr>
        <w:top w:val="none" w:sz="0" w:space="0" w:color="auto"/>
        <w:left w:val="none" w:sz="0" w:space="0" w:color="auto"/>
        <w:bottom w:val="none" w:sz="0" w:space="0" w:color="auto"/>
        <w:right w:val="none" w:sz="0" w:space="0" w:color="auto"/>
      </w:divBdr>
    </w:div>
    <w:div w:id="1815372732">
      <w:bodyDiv w:val="1"/>
      <w:marLeft w:val="0"/>
      <w:marRight w:val="0"/>
      <w:marTop w:val="0"/>
      <w:marBottom w:val="0"/>
      <w:divBdr>
        <w:top w:val="none" w:sz="0" w:space="0" w:color="auto"/>
        <w:left w:val="none" w:sz="0" w:space="0" w:color="auto"/>
        <w:bottom w:val="none" w:sz="0" w:space="0" w:color="auto"/>
        <w:right w:val="none" w:sz="0" w:space="0" w:color="auto"/>
      </w:divBdr>
    </w:div>
    <w:div w:id="2016495954">
      <w:bodyDiv w:val="1"/>
      <w:marLeft w:val="0"/>
      <w:marRight w:val="0"/>
      <w:marTop w:val="0"/>
      <w:marBottom w:val="0"/>
      <w:divBdr>
        <w:top w:val="none" w:sz="0" w:space="0" w:color="auto"/>
        <w:left w:val="none" w:sz="0" w:space="0" w:color="auto"/>
        <w:bottom w:val="none" w:sz="0" w:space="0" w:color="auto"/>
        <w:right w:val="none" w:sz="0" w:space="0" w:color="auto"/>
      </w:divBdr>
    </w:div>
    <w:div w:id="20748888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mdpi.com/2071-1050/15/7/6245" TargetMode="External"/><Relationship Id="rId21" Type="http://schemas.openxmlformats.org/officeDocument/2006/relationships/hyperlink" Target="https://archive.johncabot.edu/bitstreams/dfb6d4ff-36a7-4638-bc1a-6c934f21145d/download" TargetMode="External"/><Relationship Id="rId42" Type="http://schemas.openxmlformats.org/officeDocument/2006/relationships/hyperlink" Target="https://www.researchgate.net/profile/Sundeep-Kumar-20/publication/400341370_Exploring_the_Level_of_Sustainability_Awareness_among_Consumers_in_the_Indian_Fast-Fashion_Clothing_IndustryA_Consumer_Perspective/links/69803ae142f94d1212a5c267/Exploring-the-Level-of-Sustainability-Awareness-among-Consumers-in-the-Indian-Fast-Fashion-Clothing-IndustryA-Consumer-Perspective.pdf" TargetMode="External"/><Relationship Id="rId47" Type="http://schemas.openxmlformats.org/officeDocument/2006/relationships/hyperlink" Target="https://so13.tci-thaijo.org/index.php/IMJ/issue/download/146/316" TargetMode="External"/><Relationship Id="rId63" Type="http://schemas.openxmlformats.org/officeDocument/2006/relationships/hyperlink" Target="https://hrcak.srce.hr/file/491754" TargetMode="External"/><Relationship Id="rId68" Type="http://schemas.openxmlformats.org/officeDocument/2006/relationships/hyperlink" Target="https://journals.openedition.org/rfcb/pdf/13996" TargetMode="External"/><Relationship Id="rId84" Type="http://schemas.openxmlformats.org/officeDocument/2006/relationships/hyperlink" Target="https://edusanchar.com/wp-content/uploads/2020/08/IJCRI-Neha-Sharma-A-STUDY-OF-CHANGING-SCENARIO-OF-BEAUTY-AND-PERSONAL-CARE-INDUSTRY.pdf" TargetMode="External"/><Relationship Id="rId89" Type="http://schemas.openxmlformats.org/officeDocument/2006/relationships/hyperlink" Target="https://sciendo.com/2/v2/download/article/10.2478/picbe-2025-0175.pdf" TargetMode="External"/><Relationship Id="rId16" Type="http://schemas.openxmlformats.org/officeDocument/2006/relationships/hyperlink" Target="https://papers.ssrn.com/sol3/Delivery.cfm?abstractid=4691856" TargetMode="External"/><Relationship Id="rId11" Type="http://schemas.openxmlformats.org/officeDocument/2006/relationships/image" Target="media/image3.png"/><Relationship Id="rId32" Type="http://schemas.openxmlformats.org/officeDocument/2006/relationships/hyperlink" Target="https://scholarsbank.uoregon.edu/bitstreams/5eaf8daf-2700-4212-b792-f1889851fa32/download" TargetMode="External"/><Relationship Id="rId37" Type="http://schemas.openxmlformats.org/officeDocument/2006/relationships/hyperlink" Target="https://link.springer.com/content/pdf/10.1007/978-3-031-57800-7_30.pdf" TargetMode="External"/><Relationship Id="rId53" Type="http://schemas.openxmlformats.org/officeDocument/2006/relationships/hyperlink" Target="https://link.springer.com/content/pdf/10.1007/s11846-023-00700-6.pdf" TargetMode="External"/><Relationship Id="rId58" Type="http://schemas.openxmlformats.org/officeDocument/2006/relationships/hyperlink" Target="https://saudijournals.com/media/articles/SJBMS_109_446-460c.pdf" TargetMode="External"/><Relationship Id="rId74" Type="http://schemas.openxmlformats.org/officeDocument/2006/relationships/hyperlink" Target="https://www.researchgate.net/profile/Babatunde-Sanni-2/publication/386171862_Risk_and_Resilience_in_Entrepreneurial_Supply_Chains_Preparing_for_Disruptions_and_Ensuring_Continuity/links/67473395876bd1777827fd86/Risk-and-Resilience-in-Entrepreneurial-Supply-Chains-Preparing-for-Disruptions-and-Ensuring-Continuity.pdf" TargetMode="External"/><Relationship Id="rId79" Type="http://schemas.openxmlformats.org/officeDocument/2006/relationships/hyperlink" Target="https://www.tandfonline.com/doi/pdf/10.1080/09644016.2023.2221983" TargetMode="External"/><Relationship Id="rId5" Type="http://schemas.openxmlformats.org/officeDocument/2006/relationships/webSettings" Target="webSettings.xml"/><Relationship Id="rId90" Type="http://schemas.openxmlformats.org/officeDocument/2006/relationships/hyperlink" Target="https://sciendo.com/2/v2/download/article/10.2478/picbe-2025-0175.pdf" TargetMode="External"/><Relationship Id="rId95" Type="http://schemas.openxmlformats.org/officeDocument/2006/relationships/hyperlink" Target="https://www.unilever.com/our-company/our-history-and-archives/1900-1950/" TargetMode="External"/><Relationship Id="rId22" Type="http://schemas.openxmlformats.org/officeDocument/2006/relationships/hyperlink" Target="https://dialnet.unirioja.es/descarga/articulo/8956100.pdf" TargetMode="External"/><Relationship Id="rId27" Type="http://schemas.openxmlformats.org/officeDocument/2006/relationships/hyperlink" Target="https://www.mdpi.com/2071-1050/15/7/6245" TargetMode="External"/><Relationship Id="rId43" Type="http://schemas.openxmlformats.org/officeDocument/2006/relationships/hyperlink" Target="https://www.researchgate.net/profile/Sundeep-Kumar-20/publication/400341370_Exploring_the_Level_of_Sustainability_Awareness_among_Consumers_in_the_Indian_Fast-Fashion_Clothing_IndustryA_Consumer_Perspective/links/69803ae142f94d1212a5c267/Exploring-the-Level-of-Sustainability-Awareness-among-Consumers-in-the-Indian-Fast-Fashion-Clothing-IndustryA-Consumer-Perspective.pdf" TargetMode="External"/><Relationship Id="rId48" Type="http://schemas.openxmlformats.org/officeDocument/2006/relationships/hyperlink" Target="https://www.mdpi.com/2076-328X/15/4/414" TargetMode="External"/><Relationship Id="rId64" Type="http://schemas.openxmlformats.org/officeDocument/2006/relationships/hyperlink" Target="https://f1000research.com/articles/13-1399/pdf" TargetMode="External"/><Relationship Id="rId69" Type="http://schemas.openxmlformats.org/officeDocument/2006/relationships/hyperlink" Target="https://journals.openedition.org/rfcb/pdf/13996" TargetMode="External"/><Relationship Id="rId80" Type="http://schemas.openxmlformats.org/officeDocument/2006/relationships/hyperlink" Target="https://ietresearch.onlinelibrary.wiley.com/doi/pdf/10.1049/stg2.12185" TargetMode="External"/><Relationship Id="rId85" Type="http://schemas.openxmlformats.org/officeDocument/2006/relationships/hyperlink" Target="https://lup.lub.lu.se/luur/download?func=downloadFile&amp;recordOId=9177705&amp;fileOId=9177774" TargetMode="External"/><Relationship Id="rId12" Type="http://schemas.openxmlformats.org/officeDocument/2006/relationships/hyperlink" Target="https://onlinelibrary.wiley.com/doi/pdf/10.1155/2022/3734707" TargetMode="External"/><Relationship Id="rId17" Type="http://schemas.openxmlformats.org/officeDocument/2006/relationships/hyperlink" Target="https://papers.ssrn.com/sol3/Delivery.cfm?abstractid=4691856" TargetMode="External"/><Relationship Id="rId25" Type="http://schemas.openxmlformats.org/officeDocument/2006/relationships/hyperlink" Target="https://pdfs.semanticscholar.org/7be0/c1d3580a29809570725983617bfde572b5d7.pdf" TargetMode="External"/><Relationship Id="rId33" Type="http://schemas.openxmlformats.org/officeDocument/2006/relationships/hyperlink" Target="https://scholarsbank.uoregon.edu/bitstreams/5eaf8daf-2700-4212-b792-f1889851fa32/download" TargetMode="External"/><Relationship Id="rId38" Type="http://schemas.openxmlformats.org/officeDocument/2006/relationships/hyperlink" Target="https://www.academia.edu/download/117867036/s11294-023-09881-y.pdf" TargetMode="External"/><Relationship Id="rId46" Type="http://schemas.openxmlformats.org/officeDocument/2006/relationships/hyperlink" Target="https://so13.tci-thaijo.org/index.php/IMJ/issue/download/146/316" TargetMode="External"/><Relationship Id="rId59" Type="http://schemas.openxmlformats.org/officeDocument/2006/relationships/hyperlink" Target="https://saudijournals.com/media/articles/SJBMS_109_446-460c.pdf" TargetMode="External"/><Relationship Id="rId67" Type="http://schemas.openxmlformats.org/officeDocument/2006/relationships/hyperlink" Target="http://repository.uin-malang.ac.id/14606/7/14606.pdf" TargetMode="External"/><Relationship Id="rId20" Type="http://schemas.openxmlformats.org/officeDocument/2006/relationships/hyperlink" Target="https://archive.johncabot.edu/bitstreams/dfb6d4ff-36a7-4638-bc1a-6c934f21145d/download" TargetMode="External"/><Relationship Id="rId41" Type="http://schemas.openxmlformats.org/officeDocument/2006/relationships/hyperlink" Target="https://www.preprints.org/frontend/manuscript/b068d03893100d14018aa62f43037ff9/download_pub" TargetMode="External"/><Relationship Id="rId54" Type="http://schemas.openxmlformats.org/officeDocument/2006/relationships/hyperlink" Target="https://www.sciencedirect.com/science/article/pii/S0148296322009304" TargetMode="External"/><Relationship Id="rId62" Type="http://schemas.openxmlformats.org/officeDocument/2006/relationships/hyperlink" Target="https://hrcak.srce.hr/file/491754" TargetMode="External"/><Relationship Id="rId70" Type="http://schemas.openxmlformats.org/officeDocument/2006/relationships/hyperlink" Target="https://www.researchgate.net/profile/Ahmed-Ragab-Mahmoud/publication/397859712_The_Impact_of_Inflation_on_Purchasing_Power_and_Living_Standards/links/692101b1abe27c41e514501d/The-Impact-of-Inflation-on-Purchasing-Power-and-Living-Standards.pdf" TargetMode="External"/><Relationship Id="rId75" Type="http://schemas.openxmlformats.org/officeDocument/2006/relationships/hyperlink" Target="https://www.researchgate.net/profile/Babatunde-Sanni-2/publication/386171862_Risk_and_Resilience_in_Entrepreneurial_Supply_Chains_Preparing_for_Disruptions_and_Ensuring_Continuity/links/67473395876bd1777827fd86/Risk-and-Resilience-in-Entrepreneurial-Supply-Chains-Preparing-for-Disruptions-and-Ensuring-Continuity.pdf" TargetMode="External"/><Relationship Id="rId83" Type="http://schemas.openxmlformats.org/officeDocument/2006/relationships/hyperlink" Target="https://edusanchar.com/wp-content/uploads/2020/08/IJCRI-Neha-Sharma-A-STUDY-OF-CHANGING-SCENARIO-OF-BEAUTY-AND-PERSONAL-CARE-INDUSTRY.pdf" TargetMode="External"/><Relationship Id="rId88" Type="http://schemas.openxmlformats.org/officeDocument/2006/relationships/hyperlink" Target="https://lup.lub.lu.se/luur/download?func=downloadFile&amp;recordOId=9177705&amp;fileOId=9177774" TargetMode="External"/><Relationship Id="rId91" Type="http://schemas.openxmlformats.org/officeDocument/2006/relationships/hyperlink" Target="https://www.unilever.com/news/news-search/2023/why-is-sustainability-important-for-business/" TargetMode="External"/><Relationship Id="rId96" Type="http://schemas.openxmlformats.org/officeDocument/2006/relationships/hyperlink" Target="https://www.unilever.com/our-company/our-history-and-archives/1900-195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researchgate.net/profile/Tochukwu-Ijomah-2/publication/383847817_Exploring_the_relationship_between_sustainable_business_practices_and_increased_brand_loyalty/links/66dc447d2390e50b2c7212e7/Exploring-the-relationship-between-sustainable-business-practices-and-increased-brand-loyalty.pdf" TargetMode="External"/><Relationship Id="rId23" Type="http://schemas.openxmlformats.org/officeDocument/2006/relationships/hyperlink" Target="https://dialnet.unirioja.es/descarga/articulo/8956100.pdf" TargetMode="External"/><Relationship Id="rId28" Type="http://schemas.openxmlformats.org/officeDocument/2006/relationships/hyperlink" Target="https://pubsonline.informs.org/doi/full/10.1287/stsc.2024.0190?trk=public_post_comment-text" TargetMode="External"/><Relationship Id="rId36" Type="http://schemas.openxmlformats.org/officeDocument/2006/relationships/hyperlink" Target="https://link.springer.com/content/pdf/10.1007/978-3-031-57800-7_30.pdf" TargetMode="External"/><Relationship Id="rId49" Type="http://schemas.openxmlformats.org/officeDocument/2006/relationships/hyperlink" Target="https://www.mdpi.com/2076-328X/15/4/414" TargetMode="External"/><Relationship Id="rId57" Type="http://schemas.openxmlformats.org/officeDocument/2006/relationships/hyperlink" Target="https://www.nature.com/articles/s41599-022-01409-9.pdf" TargetMode="External"/><Relationship Id="rId10" Type="http://schemas.openxmlformats.org/officeDocument/2006/relationships/image" Target="media/image2.png"/><Relationship Id="rId31" Type="http://schemas.openxmlformats.org/officeDocument/2006/relationships/hyperlink" Target="https://www.dove.com/ph/stories/campaigns.html" TargetMode="External"/><Relationship Id="rId44" Type="http://schemas.openxmlformats.org/officeDocument/2006/relationships/hyperlink" Target="https://researchportal.hw.ac.uk/files/150303602/2_Published_Final.pdf" TargetMode="External"/><Relationship Id="rId52" Type="http://schemas.openxmlformats.org/officeDocument/2006/relationships/hyperlink" Target="https://link.springer.com/content/pdf/10.1007/s11846-023-00700-6.pdf" TargetMode="External"/><Relationship Id="rId60" Type="http://schemas.openxmlformats.org/officeDocument/2006/relationships/hyperlink" Target="https://onlinelibrary.wiley.com/doi/pdf/10.1111/jols.70025" TargetMode="External"/><Relationship Id="rId65" Type="http://schemas.openxmlformats.org/officeDocument/2006/relationships/hyperlink" Target="https://f1000research.com/articles/13-1399/pdf" TargetMode="External"/><Relationship Id="rId73" Type="http://schemas.openxmlformats.org/officeDocument/2006/relationships/hyperlink" Target="https://link.springer.com/content/pdf/10.1007/978-3-030-93560-3_5.pdf" TargetMode="External"/><Relationship Id="rId78" Type="http://schemas.openxmlformats.org/officeDocument/2006/relationships/hyperlink" Target="https://www.tandfonline.com/doi/pdf/10.1080/09644016.2023.2221983" TargetMode="External"/><Relationship Id="rId81" Type="http://schemas.openxmlformats.org/officeDocument/2006/relationships/hyperlink" Target="http://166.62.7.99/assets/default/article/2023/11/29/article_1701253431.pdf" TargetMode="External"/><Relationship Id="rId86" Type="http://schemas.openxmlformats.org/officeDocument/2006/relationships/hyperlink" Target="https://lup.lub.lu.se/luur/download?func=downloadFile&amp;recordOId=9177705&amp;fileOId=9177774" TargetMode="External"/><Relationship Id="rId94" Type="http://schemas.openxmlformats.org/officeDocument/2006/relationships/hyperlink" Target="https://www.unilever.com/our-company/" TargetMode="External"/><Relationship Id="rId99" Type="http://schemas.openxmlformats.org/officeDocument/2006/relationships/footer" Target="footer1.xm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rammarly.com/" TargetMode="External"/><Relationship Id="rId13" Type="http://schemas.openxmlformats.org/officeDocument/2006/relationships/hyperlink" Target="https://onlinelibrary.wiley.com/doi/pdf/10.1155/2022/3734707" TargetMode="External"/><Relationship Id="rId18" Type="http://schemas.openxmlformats.org/officeDocument/2006/relationships/hyperlink" Target="https://www.theseus.fi/bitstream/handle/10024/886161/Akter_Kabir.pdf?sequence=2" TargetMode="External"/><Relationship Id="rId39" Type="http://schemas.openxmlformats.org/officeDocument/2006/relationships/hyperlink" Target="https://www.academia.edu/download/117867036/s11294-023-09881-y.pdf" TargetMode="External"/><Relationship Id="rId34" Type="http://schemas.openxmlformats.org/officeDocument/2006/relationships/hyperlink" Target="https://www.mdpi.com/2071-1050/14/1/518" TargetMode="External"/><Relationship Id="rId50" Type="http://schemas.openxmlformats.org/officeDocument/2006/relationships/hyperlink" Target="https://onlinelibrary.wiley.com/doi/pdfdirect/10.1111/jpim.12663" TargetMode="External"/><Relationship Id="rId55" Type="http://schemas.openxmlformats.org/officeDocument/2006/relationships/hyperlink" Target="https://www.sciencedirect.com/science/article/pii/S0148296322009304" TargetMode="External"/><Relationship Id="rId76" Type="http://schemas.openxmlformats.org/officeDocument/2006/relationships/hyperlink" Target="https://unitesi.unive.it/bitstream/20.500.14247/11811/1/862381-1255073.pdf" TargetMode="External"/><Relationship Id="rId97" Type="http://schemas.openxmlformats.org/officeDocument/2006/relationships/hyperlink" Target="https://papers.ssrn.com/sol3/Delivery.cfm?abstractid=5040977" TargetMode="External"/><Relationship Id="rId7" Type="http://schemas.openxmlformats.org/officeDocument/2006/relationships/endnotes" Target="endnotes.xml"/><Relationship Id="rId71" Type="http://schemas.openxmlformats.org/officeDocument/2006/relationships/hyperlink" Target="https://www.researchgate.net/profile/Ahmed-Ragab-Mahmoud/publication/397859712_The_Impact_of_Inflation_on_Purchasing_Power_and_Living_Standards/links/692101b1abe27c41e514501d/The-Impact-of-Inflation-on-Purchasing-Power-and-Living-Standards.pdf" TargetMode="External"/><Relationship Id="rId92" Type="http://schemas.openxmlformats.org/officeDocument/2006/relationships/hyperlink" Target="https://www.unilever.com/news/news-search/2023/why-is-sustainability-important-for-business/" TargetMode="External"/><Relationship Id="rId2" Type="http://schemas.openxmlformats.org/officeDocument/2006/relationships/numbering" Target="numbering.xml"/><Relationship Id="rId29" Type="http://schemas.openxmlformats.org/officeDocument/2006/relationships/hyperlink" Target="https://pubsonline.informs.org/doi/full/10.1287/stsc.2024.0190?trk=public_post_comment-text" TargetMode="External"/><Relationship Id="rId24" Type="http://schemas.openxmlformats.org/officeDocument/2006/relationships/hyperlink" Target="https://pdfs.semanticscholar.org/7be0/c1d3580a29809570725983617bfde572b5d7.pdf" TargetMode="External"/><Relationship Id="rId40" Type="http://schemas.openxmlformats.org/officeDocument/2006/relationships/hyperlink" Target="https://www.preprints.org/frontend/manuscript/b068d03893100d14018aa62f43037ff9/download_pub" TargetMode="External"/><Relationship Id="rId45" Type="http://schemas.openxmlformats.org/officeDocument/2006/relationships/hyperlink" Target="https://researchportal.hw.ac.uk/files/150303602/2_Published_Final.pdf" TargetMode="External"/><Relationship Id="rId66" Type="http://schemas.openxmlformats.org/officeDocument/2006/relationships/hyperlink" Target="http://repository.uin-malang.ac.id/14606/7/14606.pdf" TargetMode="External"/><Relationship Id="rId87" Type="http://schemas.openxmlformats.org/officeDocument/2006/relationships/hyperlink" Target="https://lup.lub.lu.se/luur/download?func=downloadFile&amp;recordOId=9177705&amp;fileOId=9177774" TargetMode="External"/><Relationship Id="rId61" Type="http://schemas.openxmlformats.org/officeDocument/2006/relationships/hyperlink" Target="https://onlinelibrary.wiley.com/doi/pdf/10.1111/jols.70025" TargetMode="External"/><Relationship Id="rId82" Type="http://schemas.openxmlformats.org/officeDocument/2006/relationships/hyperlink" Target="http://166.62.7.99/assets/default/article/2023/11/29/article_1701253431.pdf" TargetMode="External"/><Relationship Id="rId19" Type="http://schemas.openxmlformats.org/officeDocument/2006/relationships/hyperlink" Target="https://www.theseus.fi/bitstream/handle/10024/886161/Akter_Kabir.pdf?sequence=2" TargetMode="External"/><Relationship Id="rId14" Type="http://schemas.openxmlformats.org/officeDocument/2006/relationships/hyperlink" Target="https://www.researchgate.net/profile/Tochukwu-Ijomah-2/publication/383847817_Exploring_the_relationship_between_sustainable_business_practices_and_increased_brand_loyalty/links/66dc447d2390e50b2c7212e7/Exploring-the-relationship-between-sustainable-business-practices-and-increased-brand-loyalty.pdf" TargetMode="External"/><Relationship Id="rId30" Type="http://schemas.openxmlformats.org/officeDocument/2006/relationships/hyperlink" Target="https://www.dove.com/ph/stories/campaigns.html" TargetMode="External"/><Relationship Id="rId35" Type="http://schemas.openxmlformats.org/officeDocument/2006/relationships/hyperlink" Target="https://www.mdpi.com/2071-1050/14/1/518" TargetMode="External"/><Relationship Id="rId56" Type="http://schemas.openxmlformats.org/officeDocument/2006/relationships/hyperlink" Target="https://www.nature.com/articles/s41599-022-01409-9.pdf" TargetMode="External"/><Relationship Id="rId77" Type="http://schemas.openxmlformats.org/officeDocument/2006/relationships/hyperlink" Target="https://unitesi.unive.it/bitstream/20.500.14247/11811/1/862381-1255073.pdf" TargetMode="External"/><Relationship Id="rId100"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s://onlinelibrary.wiley.com/doi/pdfdirect/10.1111/jpim.12663" TargetMode="External"/><Relationship Id="rId72" Type="http://schemas.openxmlformats.org/officeDocument/2006/relationships/hyperlink" Target="https://link.springer.com/content/pdf/10.1007/978-3-030-93560-3_5.pdf" TargetMode="External"/><Relationship Id="rId93" Type="http://schemas.openxmlformats.org/officeDocument/2006/relationships/hyperlink" Target="https://www.unilever.com/our-company/" TargetMode="External"/><Relationship Id="rId98" Type="http://schemas.openxmlformats.org/officeDocument/2006/relationships/hyperlink" Target="https://papers.ssrn.com/sol3/Delivery.cfm?abstractid=5040977" TargetMode="External"/><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CC35882E-7C0E-4528-AD15-9AE0D32D9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30</Pages>
  <Words>9568</Words>
  <Characters>54542</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Ranjit Keahvala</cp:lastModifiedBy>
  <cp:revision>2</cp:revision>
  <dcterms:created xsi:type="dcterms:W3CDTF">2026-07-27T12:37:00Z</dcterms:created>
  <dcterms:modified xsi:type="dcterms:W3CDTF">2026-08-11T21:58:00Z</dcterms:modified>
</cp:coreProperties>
</file>