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3E770" w14:textId="774664B4" w:rsidR="00276182" w:rsidRPr="00017EF4" w:rsidRDefault="00276182" w:rsidP="00017EF4">
      <w:r>
        <w:t xml:space="preserve"> </w:t>
      </w:r>
      <w:r w:rsidR="00017EF4">
        <w:rPr>
          <w:noProof/>
          <w:sz w:val="32"/>
          <w:szCs w:val="32"/>
        </w:rPr>
        <w:drawing>
          <wp:inline distT="0" distB="0" distL="0" distR="0" wp14:anchorId="10E054C1" wp14:editId="09203460">
            <wp:extent cx="5659075" cy="2668409"/>
            <wp:effectExtent l="0" t="0" r="0" b="0"/>
            <wp:docPr id="37246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4425" cy="2670931"/>
                    </a:xfrm>
                    <a:prstGeom prst="rect">
                      <a:avLst/>
                    </a:prstGeom>
                    <a:noFill/>
                    <a:ln>
                      <a:noFill/>
                    </a:ln>
                  </pic:spPr>
                </pic:pic>
              </a:graphicData>
            </a:graphic>
          </wp:inline>
        </w:drawing>
      </w:r>
      <w:r>
        <w:rPr>
          <w:b/>
          <w:bCs/>
          <w:sz w:val="32"/>
          <w:szCs w:val="32"/>
        </w:rPr>
        <w:t>Student Name: Neboh Celsius</w:t>
      </w:r>
    </w:p>
    <w:p w14:paraId="2DA5D3BD" w14:textId="77777777" w:rsidR="00F85872" w:rsidRDefault="00276182" w:rsidP="00017EF4">
      <w:pPr>
        <w:jc w:val="both"/>
        <w:rPr>
          <w:b/>
          <w:bCs/>
          <w:sz w:val="32"/>
          <w:szCs w:val="32"/>
        </w:rPr>
      </w:pPr>
      <w:r>
        <w:rPr>
          <w:b/>
          <w:bCs/>
          <w:sz w:val="32"/>
          <w:szCs w:val="32"/>
        </w:rPr>
        <w:t>Student Number: 2434221</w:t>
      </w:r>
    </w:p>
    <w:p w14:paraId="0851456D" w14:textId="0E664A86" w:rsidR="00276182" w:rsidRDefault="00276182" w:rsidP="00017EF4">
      <w:pPr>
        <w:jc w:val="both"/>
        <w:rPr>
          <w:b/>
          <w:bCs/>
          <w:sz w:val="32"/>
          <w:szCs w:val="32"/>
        </w:rPr>
      </w:pPr>
      <w:r>
        <w:rPr>
          <w:b/>
          <w:bCs/>
          <w:sz w:val="32"/>
          <w:szCs w:val="32"/>
        </w:rPr>
        <w:t>Module: Principles of Health &amp; S</w:t>
      </w:r>
      <w:r w:rsidR="0091597F">
        <w:rPr>
          <w:b/>
          <w:bCs/>
          <w:sz w:val="32"/>
          <w:szCs w:val="32"/>
        </w:rPr>
        <w:t xml:space="preserve"> C</w:t>
      </w:r>
      <w:r>
        <w:rPr>
          <w:b/>
          <w:bCs/>
          <w:sz w:val="32"/>
          <w:szCs w:val="32"/>
        </w:rPr>
        <w:t xml:space="preserve"> Practice</w:t>
      </w:r>
    </w:p>
    <w:p w14:paraId="44F79C4F" w14:textId="675B4249" w:rsidR="00276182" w:rsidRDefault="00276182" w:rsidP="00017EF4">
      <w:pPr>
        <w:jc w:val="both"/>
        <w:rPr>
          <w:b/>
          <w:bCs/>
          <w:sz w:val="32"/>
          <w:szCs w:val="32"/>
        </w:rPr>
      </w:pPr>
      <w:r>
        <w:rPr>
          <w:b/>
          <w:bCs/>
          <w:sz w:val="32"/>
          <w:szCs w:val="32"/>
        </w:rPr>
        <w:t>Module Code: BMPH5016</w:t>
      </w:r>
    </w:p>
    <w:p w14:paraId="3F668BBB" w14:textId="5C5D3FB6" w:rsidR="00276182" w:rsidRDefault="00276182" w:rsidP="00017EF4">
      <w:pPr>
        <w:jc w:val="both"/>
        <w:rPr>
          <w:b/>
          <w:bCs/>
          <w:sz w:val="32"/>
          <w:szCs w:val="32"/>
        </w:rPr>
      </w:pPr>
      <w:r>
        <w:rPr>
          <w:b/>
          <w:bCs/>
          <w:sz w:val="32"/>
          <w:szCs w:val="32"/>
        </w:rPr>
        <w:t>Assignment title: Written (Reflective Report)</w:t>
      </w:r>
    </w:p>
    <w:p w14:paraId="4C267685" w14:textId="52E16F5A" w:rsidR="00276182" w:rsidRDefault="00276182" w:rsidP="00017EF4">
      <w:pPr>
        <w:jc w:val="both"/>
        <w:rPr>
          <w:b/>
          <w:bCs/>
          <w:sz w:val="32"/>
          <w:szCs w:val="32"/>
        </w:rPr>
      </w:pPr>
      <w:r>
        <w:rPr>
          <w:b/>
          <w:bCs/>
          <w:sz w:val="32"/>
          <w:szCs w:val="32"/>
        </w:rPr>
        <w:t>Lecturer: Azida Zainol</w:t>
      </w:r>
    </w:p>
    <w:p w14:paraId="772943BE" w14:textId="77777777" w:rsidR="00F85872" w:rsidRDefault="00276182" w:rsidP="00017EF4">
      <w:pPr>
        <w:jc w:val="both"/>
        <w:rPr>
          <w:b/>
          <w:bCs/>
          <w:sz w:val="32"/>
          <w:szCs w:val="32"/>
        </w:rPr>
      </w:pPr>
      <w:r>
        <w:rPr>
          <w:b/>
          <w:bCs/>
          <w:sz w:val="32"/>
          <w:szCs w:val="32"/>
        </w:rPr>
        <w:t>Date: Sunday 5</w:t>
      </w:r>
      <w:r w:rsidRPr="00276182">
        <w:rPr>
          <w:b/>
          <w:bCs/>
          <w:sz w:val="32"/>
          <w:szCs w:val="32"/>
          <w:vertAlign w:val="superscript"/>
        </w:rPr>
        <w:t>th</w:t>
      </w:r>
      <w:r>
        <w:rPr>
          <w:b/>
          <w:bCs/>
          <w:sz w:val="32"/>
          <w:szCs w:val="32"/>
        </w:rPr>
        <w:t xml:space="preserve"> July 2026</w:t>
      </w:r>
    </w:p>
    <w:p w14:paraId="706E330D" w14:textId="05DFC3FB" w:rsidR="00276182" w:rsidRDefault="00276182" w:rsidP="00017EF4">
      <w:pPr>
        <w:jc w:val="both"/>
        <w:rPr>
          <w:b/>
          <w:bCs/>
          <w:sz w:val="32"/>
          <w:szCs w:val="32"/>
        </w:rPr>
      </w:pPr>
      <w:r>
        <w:rPr>
          <w:b/>
          <w:bCs/>
          <w:sz w:val="32"/>
          <w:szCs w:val="32"/>
        </w:rPr>
        <w:t>Word count:</w:t>
      </w:r>
      <w:r w:rsidR="00F85872">
        <w:rPr>
          <w:b/>
          <w:bCs/>
          <w:sz w:val="32"/>
          <w:szCs w:val="32"/>
        </w:rPr>
        <w:t xml:space="preserve">  </w:t>
      </w:r>
      <w:r>
        <w:rPr>
          <w:b/>
          <w:bCs/>
          <w:sz w:val="32"/>
          <w:szCs w:val="32"/>
        </w:rPr>
        <w:t xml:space="preserve"> </w:t>
      </w:r>
      <w:r w:rsidR="002B6EF0">
        <w:rPr>
          <w:b/>
          <w:bCs/>
          <w:sz w:val="32"/>
          <w:szCs w:val="32"/>
        </w:rPr>
        <w:t>2</w:t>
      </w:r>
      <w:r w:rsidR="009D0D19">
        <w:rPr>
          <w:b/>
          <w:bCs/>
          <w:sz w:val="32"/>
          <w:szCs w:val="32"/>
        </w:rPr>
        <w:t>160</w:t>
      </w:r>
    </w:p>
    <w:p w14:paraId="2291C30F" w14:textId="77777777" w:rsidR="00F85872" w:rsidRDefault="00F85872" w:rsidP="00017EF4">
      <w:pPr>
        <w:jc w:val="both"/>
        <w:rPr>
          <w:b/>
          <w:bCs/>
          <w:sz w:val="32"/>
          <w:szCs w:val="32"/>
        </w:rPr>
      </w:pPr>
    </w:p>
    <w:p w14:paraId="6A6E472B" w14:textId="77777777" w:rsidR="00F85872" w:rsidRDefault="00F85872" w:rsidP="00017EF4">
      <w:pPr>
        <w:jc w:val="both"/>
        <w:rPr>
          <w:b/>
          <w:bCs/>
          <w:sz w:val="32"/>
          <w:szCs w:val="32"/>
        </w:rPr>
      </w:pPr>
    </w:p>
    <w:p w14:paraId="42FE5622" w14:textId="77777777" w:rsidR="00F85872" w:rsidRDefault="00F85872" w:rsidP="00017EF4">
      <w:pPr>
        <w:jc w:val="both"/>
        <w:rPr>
          <w:b/>
          <w:bCs/>
          <w:sz w:val="32"/>
          <w:szCs w:val="32"/>
        </w:rPr>
      </w:pPr>
    </w:p>
    <w:p w14:paraId="23BD3916" w14:textId="77777777" w:rsidR="00F85872" w:rsidRDefault="00F85872" w:rsidP="00017EF4">
      <w:pPr>
        <w:jc w:val="both"/>
        <w:rPr>
          <w:b/>
          <w:bCs/>
          <w:sz w:val="32"/>
          <w:szCs w:val="32"/>
        </w:rPr>
      </w:pPr>
    </w:p>
    <w:p w14:paraId="1D43652B" w14:textId="77777777" w:rsidR="00F85872" w:rsidRDefault="00F85872" w:rsidP="00017EF4">
      <w:pPr>
        <w:jc w:val="both"/>
        <w:rPr>
          <w:b/>
          <w:bCs/>
          <w:sz w:val="32"/>
          <w:szCs w:val="32"/>
        </w:rPr>
      </w:pPr>
    </w:p>
    <w:p w14:paraId="610C5716" w14:textId="77777777" w:rsidR="00F85872" w:rsidRDefault="00F85872" w:rsidP="00017EF4">
      <w:pPr>
        <w:jc w:val="both"/>
        <w:rPr>
          <w:b/>
          <w:bCs/>
          <w:sz w:val="32"/>
          <w:szCs w:val="32"/>
        </w:rPr>
      </w:pPr>
    </w:p>
    <w:p w14:paraId="0F594733" w14:textId="77777777" w:rsidR="00F85872" w:rsidRDefault="00F85872" w:rsidP="00017EF4">
      <w:pPr>
        <w:jc w:val="both"/>
        <w:rPr>
          <w:b/>
          <w:bCs/>
          <w:sz w:val="32"/>
          <w:szCs w:val="32"/>
        </w:rPr>
      </w:pPr>
    </w:p>
    <w:p w14:paraId="57403216" w14:textId="02EDEB39" w:rsidR="00F85872" w:rsidRDefault="00F85872" w:rsidP="00017EF4">
      <w:pPr>
        <w:jc w:val="both"/>
        <w:rPr>
          <w:b/>
          <w:bCs/>
          <w:sz w:val="32"/>
          <w:szCs w:val="32"/>
        </w:rPr>
      </w:pPr>
    </w:p>
    <w:sdt>
      <w:sdtPr>
        <w:rPr>
          <w:rFonts w:asciiTheme="minorHAnsi" w:eastAsiaTheme="minorHAnsi" w:hAnsiTheme="minorHAnsi" w:cstheme="minorBidi"/>
          <w:color w:val="auto"/>
          <w:kern w:val="2"/>
          <w:sz w:val="24"/>
          <w:szCs w:val="24"/>
          <w:lang w:eastAsia="en-US"/>
          <w14:ligatures w14:val="standardContextual"/>
        </w:rPr>
        <w:id w:val="-650524432"/>
        <w:docPartObj>
          <w:docPartGallery w:val="Table of Contents"/>
          <w:docPartUnique/>
        </w:docPartObj>
      </w:sdtPr>
      <w:sdtEndPr>
        <w:rPr>
          <w:b/>
          <w:bCs/>
        </w:rPr>
      </w:sdtEndPr>
      <w:sdtContent>
        <w:p w14:paraId="556550E9" w14:textId="750C1C0E" w:rsidR="0071676C" w:rsidRPr="00F20273" w:rsidRDefault="0071676C">
          <w:pPr>
            <w:pStyle w:val="TOCHeading"/>
          </w:pPr>
          <w:r w:rsidRPr="00F20273">
            <w:t>Table of Contents</w:t>
          </w:r>
        </w:p>
        <w:p w14:paraId="326AB908" w14:textId="24343B12" w:rsidR="00733FCB" w:rsidRDefault="007167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965056" w:history="1">
            <w:r w:rsidR="00733FCB" w:rsidRPr="00CA411A">
              <w:rPr>
                <w:rStyle w:val="Hyperlink"/>
                <w:noProof/>
              </w:rPr>
              <w:t>Introduction</w:t>
            </w:r>
            <w:r w:rsidR="00733FCB">
              <w:rPr>
                <w:noProof/>
                <w:webHidden/>
              </w:rPr>
              <w:tab/>
            </w:r>
            <w:r w:rsidR="00733FCB">
              <w:rPr>
                <w:noProof/>
                <w:webHidden/>
              </w:rPr>
              <w:fldChar w:fldCharType="begin"/>
            </w:r>
            <w:r w:rsidR="00733FCB">
              <w:rPr>
                <w:noProof/>
                <w:webHidden/>
              </w:rPr>
              <w:instrText xml:space="preserve"> PAGEREF _Toc233965056 \h </w:instrText>
            </w:r>
            <w:r w:rsidR="00733FCB">
              <w:rPr>
                <w:noProof/>
                <w:webHidden/>
              </w:rPr>
            </w:r>
            <w:r w:rsidR="00733FCB">
              <w:rPr>
                <w:noProof/>
                <w:webHidden/>
              </w:rPr>
              <w:fldChar w:fldCharType="separate"/>
            </w:r>
            <w:r w:rsidR="00733FCB">
              <w:rPr>
                <w:noProof/>
                <w:webHidden/>
              </w:rPr>
              <w:t>3</w:t>
            </w:r>
            <w:r w:rsidR="00733FCB">
              <w:rPr>
                <w:noProof/>
                <w:webHidden/>
              </w:rPr>
              <w:fldChar w:fldCharType="end"/>
            </w:r>
          </w:hyperlink>
        </w:p>
        <w:p w14:paraId="43493130" w14:textId="3CA251DF" w:rsidR="00733FCB" w:rsidRDefault="00733FCB">
          <w:pPr>
            <w:pStyle w:val="TOC2"/>
            <w:tabs>
              <w:tab w:val="right" w:leader="dot" w:pos="9016"/>
            </w:tabs>
            <w:rPr>
              <w:rFonts w:eastAsiaTheme="minorEastAsia"/>
              <w:noProof/>
              <w:lang w:eastAsia="en-GB"/>
            </w:rPr>
          </w:pPr>
          <w:hyperlink w:anchor="_Toc233965057" w:history="1">
            <w:r w:rsidRPr="00CA411A">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_Toc233965057 \h </w:instrText>
            </w:r>
            <w:r>
              <w:rPr>
                <w:noProof/>
                <w:webHidden/>
              </w:rPr>
            </w:r>
            <w:r>
              <w:rPr>
                <w:noProof/>
                <w:webHidden/>
              </w:rPr>
              <w:fldChar w:fldCharType="separate"/>
            </w:r>
            <w:r>
              <w:rPr>
                <w:noProof/>
                <w:webHidden/>
              </w:rPr>
              <w:t>3</w:t>
            </w:r>
            <w:r>
              <w:rPr>
                <w:noProof/>
                <w:webHidden/>
              </w:rPr>
              <w:fldChar w:fldCharType="end"/>
            </w:r>
          </w:hyperlink>
        </w:p>
        <w:p w14:paraId="69F0CAA3" w14:textId="3A5E34D8" w:rsidR="00733FCB" w:rsidRDefault="00733FCB">
          <w:pPr>
            <w:pStyle w:val="TOC2"/>
            <w:tabs>
              <w:tab w:val="right" w:leader="dot" w:pos="9016"/>
            </w:tabs>
            <w:rPr>
              <w:rFonts w:eastAsiaTheme="minorEastAsia"/>
              <w:noProof/>
              <w:lang w:eastAsia="en-GB"/>
            </w:rPr>
          </w:pPr>
          <w:hyperlink w:anchor="_Toc233965058" w:history="1">
            <w:r w:rsidRPr="00CA411A">
              <w:rPr>
                <w:rStyle w:val="Hyperlink"/>
                <w:noProof/>
              </w:rPr>
              <w:t>Task 2: Practical Examples of Concepts in Practice – Joan's Story</w:t>
            </w:r>
            <w:r>
              <w:rPr>
                <w:noProof/>
                <w:webHidden/>
              </w:rPr>
              <w:tab/>
            </w:r>
            <w:r>
              <w:rPr>
                <w:noProof/>
                <w:webHidden/>
              </w:rPr>
              <w:fldChar w:fldCharType="begin"/>
            </w:r>
            <w:r>
              <w:rPr>
                <w:noProof/>
                <w:webHidden/>
              </w:rPr>
              <w:instrText xml:space="preserve"> PAGEREF _Toc233965058 \h </w:instrText>
            </w:r>
            <w:r>
              <w:rPr>
                <w:noProof/>
                <w:webHidden/>
              </w:rPr>
            </w:r>
            <w:r>
              <w:rPr>
                <w:noProof/>
                <w:webHidden/>
              </w:rPr>
              <w:fldChar w:fldCharType="separate"/>
            </w:r>
            <w:r>
              <w:rPr>
                <w:noProof/>
                <w:webHidden/>
              </w:rPr>
              <w:t>4</w:t>
            </w:r>
            <w:r>
              <w:rPr>
                <w:noProof/>
                <w:webHidden/>
              </w:rPr>
              <w:fldChar w:fldCharType="end"/>
            </w:r>
          </w:hyperlink>
        </w:p>
        <w:p w14:paraId="559AC500" w14:textId="5BD22426" w:rsidR="00733FCB" w:rsidRDefault="00733FCB">
          <w:pPr>
            <w:pStyle w:val="TOC2"/>
            <w:tabs>
              <w:tab w:val="right" w:leader="dot" w:pos="9016"/>
            </w:tabs>
            <w:rPr>
              <w:rFonts w:eastAsiaTheme="minorEastAsia"/>
              <w:noProof/>
              <w:lang w:eastAsia="en-GB"/>
            </w:rPr>
          </w:pPr>
          <w:hyperlink w:anchor="_Toc233965059" w:history="1">
            <w:r w:rsidRPr="00CA411A">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_Toc233965059 \h </w:instrText>
            </w:r>
            <w:r>
              <w:rPr>
                <w:noProof/>
                <w:webHidden/>
              </w:rPr>
            </w:r>
            <w:r>
              <w:rPr>
                <w:noProof/>
                <w:webHidden/>
              </w:rPr>
              <w:fldChar w:fldCharType="separate"/>
            </w:r>
            <w:r>
              <w:rPr>
                <w:noProof/>
                <w:webHidden/>
              </w:rPr>
              <w:t>6</w:t>
            </w:r>
            <w:r>
              <w:rPr>
                <w:noProof/>
                <w:webHidden/>
              </w:rPr>
              <w:fldChar w:fldCharType="end"/>
            </w:r>
          </w:hyperlink>
        </w:p>
        <w:p w14:paraId="2D847F85" w14:textId="4AA04868" w:rsidR="00733FCB" w:rsidRDefault="00733FCB">
          <w:pPr>
            <w:pStyle w:val="TOC2"/>
            <w:tabs>
              <w:tab w:val="right" w:leader="dot" w:pos="9016"/>
            </w:tabs>
            <w:rPr>
              <w:rFonts w:eastAsiaTheme="minorEastAsia"/>
              <w:noProof/>
              <w:lang w:eastAsia="en-GB"/>
            </w:rPr>
          </w:pPr>
          <w:hyperlink w:anchor="_Toc233965060" w:history="1">
            <w:r w:rsidRPr="00CA411A">
              <w:rPr>
                <w:rStyle w:val="Hyperlink"/>
                <w:noProof/>
              </w:rPr>
              <w:t>Conclusion</w:t>
            </w:r>
            <w:r>
              <w:rPr>
                <w:noProof/>
                <w:webHidden/>
              </w:rPr>
              <w:tab/>
            </w:r>
            <w:r>
              <w:rPr>
                <w:noProof/>
                <w:webHidden/>
              </w:rPr>
              <w:fldChar w:fldCharType="begin"/>
            </w:r>
            <w:r>
              <w:rPr>
                <w:noProof/>
                <w:webHidden/>
              </w:rPr>
              <w:instrText xml:space="preserve"> PAGEREF _Toc233965060 \h </w:instrText>
            </w:r>
            <w:r>
              <w:rPr>
                <w:noProof/>
                <w:webHidden/>
              </w:rPr>
            </w:r>
            <w:r>
              <w:rPr>
                <w:noProof/>
                <w:webHidden/>
              </w:rPr>
              <w:fldChar w:fldCharType="separate"/>
            </w:r>
            <w:r>
              <w:rPr>
                <w:noProof/>
                <w:webHidden/>
              </w:rPr>
              <w:t>8</w:t>
            </w:r>
            <w:r>
              <w:rPr>
                <w:noProof/>
                <w:webHidden/>
              </w:rPr>
              <w:fldChar w:fldCharType="end"/>
            </w:r>
          </w:hyperlink>
        </w:p>
        <w:p w14:paraId="4F1CE815" w14:textId="50FC4B8E" w:rsidR="00733FCB" w:rsidRDefault="00733FCB">
          <w:pPr>
            <w:pStyle w:val="TOC2"/>
            <w:tabs>
              <w:tab w:val="right" w:leader="dot" w:pos="9016"/>
            </w:tabs>
            <w:rPr>
              <w:rFonts w:eastAsiaTheme="minorEastAsia"/>
              <w:noProof/>
              <w:lang w:eastAsia="en-GB"/>
            </w:rPr>
          </w:pPr>
          <w:hyperlink w:anchor="_Toc233965061" w:history="1">
            <w:r w:rsidRPr="00CA411A">
              <w:rPr>
                <w:rStyle w:val="Hyperlink"/>
                <w:noProof/>
              </w:rPr>
              <w:t>References</w:t>
            </w:r>
            <w:r>
              <w:rPr>
                <w:noProof/>
                <w:webHidden/>
              </w:rPr>
              <w:tab/>
            </w:r>
            <w:r>
              <w:rPr>
                <w:noProof/>
                <w:webHidden/>
              </w:rPr>
              <w:fldChar w:fldCharType="begin"/>
            </w:r>
            <w:r>
              <w:rPr>
                <w:noProof/>
                <w:webHidden/>
              </w:rPr>
              <w:instrText xml:space="preserve"> PAGEREF _Toc233965061 \h </w:instrText>
            </w:r>
            <w:r>
              <w:rPr>
                <w:noProof/>
                <w:webHidden/>
              </w:rPr>
            </w:r>
            <w:r>
              <w:rPr>
                <w:noProof/>
                <w:webHidden/>
              </w:rPr>
              <w:fldChar w:fldCharType="separate"/>
            </w:r>
            <w:r>
              <w:rPr>
                <w:noProof/>
                <w:webHidden/>
              </w:rPr>
              <w:t>9</w:t>
            </w:r>
            <w:r>
              <w:rPr>
                <w:noProof/>
                <w:webHidden/>
              </w:rPr>
              <w:fldChar w:fldCharType="end"/>
            </w:r>
          </w:hyperlink>
        </w:p>
        <w:p w14:paraId="2ADDE2CC" w14:textId="23005482" w:rsidR="0071676C" w:rsidRDefault="0071676C">
          <w:r>
            <w:rPr>
              <w:b/>
              <w:bCs/>
            </w:rPr>
            <w:fldChar w:fldCharType="end"/>
          </w:r>
        </w:p>
      </w:sdtContent>
    </w:sdt>
    <w:p w14:paraId="40DD0554" w14:textId="77777777" w:rsidR="00ED08F6" w:rsidRPr="00ED08F6" w:rsidRDefault="00ED08F6" w:rsidP="00ED08F6">
      <w:pPr>
        <w:jc w:val="both"/>
        <w:rPr>
          <w:sz w:val="22"/>
          <w:szCs w:val="22"/>
        </w:rPr>
      </w:pPr>
      <w:r w:rsidRPr="00ED08F6">
        <w:rPr>
          <w:sz w:val="22"/>
          <w:szCs w:val="22"/>
        </w:rPr>
        <w:br w:type="page"/>
      </w:r>
    </w:p>
    <w:p w14:paraId="67BE2A00" w14:textId="77777777" w:rsidR="00B64C62" w:rsidRPr="00733FCB" w:rsidRDefault="00B64C62" w:rsidP="00733FCB">
      <w:pPr>
        <w:pStyle w:val="Heading1"/>
      </w:pPr>
      <w:bookmarkStart w:id="0" w:name="_Toc233965056"/>
      <w:r w:rsidRPr="00733FCB">
        <w:lastRenderedPageBreak/>
        <w:t>Introduction</w:t>
      </w:r>
      <w:bookmarkEnd w:id="0"/>
    </w:p>
    <w:p w14:paraId="7D56CEBD" w14:textId="5C0BE7BB" w:rsidR="008D2D64" w:rsidRPr="00733FCB" w:rsidRDefault="00B64C62" w:rsidP="00733FCB">
      <w:pPr>
        <w:spacing w:line="360" w:lineRule="auto"/>
        <w:jc w:val="both"/>
        <w:rPr>
          <w:rFonts w:ascii="Arial" w:hAnsi="Arial" w:cs="Arial"/>
          <w:sz w:val="22"/>
          <w:szCs w:val="22"/>
        </w:rPr>
      </w:pPr>
      <w:r w:rsidRPr="00733FCB">
        <w:rPr>
          <w:rFonts w:ascii="Arial" w:hAnsi="Arial" w:cs="Arial"/>
          <w:sz w:val="22"/>
          <w:szCs w:val="22"/>
        </w:rPr>
        <w:t>Health and Social Care (HSC) is delivered under a multitude of policy frameworks and legislative provisions that interact with each other. Three core elements of HSC delivery have been established and are central to providing high-quality HSC services. These include person-</w:t>
      </w:r>
      <w:r w:rsidR="007A16FD" w:rsidRPr="00733FCB">
        <w:rPr>
          <w:rFonts w:ascii="Arial" w:hAnsi="Arial" w:cs="Arial"/>
          <w:sz w:val="22"/>
          <w:szCs w:val="22"/>
        </w:rPr>
        <w:t>centred</w:t>
      </w:r>
      <w:r w:rsidRPr="00733FCB">
        <w:rPr>
          <w:rFonts w:ascii="Arial" w:hAnsi="Arial" w:cs="Arial"/>
          <w:sz w:val="22"/>
          <w:szCs w:val="22"/>
        </w:rPr>
        <w:t xml:space="preserve"> care, partnership working, and ethics. All three elements contribute to the overall quality of HSC service provided for users of the HSC system. The purpose of this reflective report is to evaluate these three elements of HSC delivery via three related activities, exploring how person-centred care, partnership working and ethics are applied together in real-life practice. First, this report critically examines why these elements are theoretically important. Second, it assesses the practical application of these concepts through a real-world UK case study, Joan's Story (NHS England, 2023). Third, it reflects on how they may affect the future development of a practicing HSC professional. In addition to drawing upon current statutory provision in England, i.e., the Care Act 2014; the Health and Care Act 2022; the Mental Capacity Act 2005; this report also draws upon contemporary theory, academic research and literature that has been peer-reviewed since January 1st, 2020</w:t>
      </w:r>
      <w:r w:rsidR="009B536C" w:rsidRPr="00733FCB">
        <w:rPr>
          <w:rFonts w:ascii="Arial" w:hAnsi="Arial" w:cs="Arial"/>
          <w:sz w:val="22"/>
          <w:szCs w:val="22"/>
        </w:rPr>
        <w:t>.</w:t>
      </w:r>
    </w:p>
    <w:p w14:paraId="3EC98907" w14:textId="77777777" w:rsidR="009D0D19" w:rsidRPr="00733FCB" w:rsidRDefault="009D0D19" w:rsidP="00733FCB">
      <w:pPr>
        <w:spacing w:line="360" w:lineRule="auto"/>
        <w:jc w:val="both"/>
        <w:rPr>
          <w:rFonts w:ascii="Arial" w:hAnsi="Arial" w:cs="Arial"/>
          <w:b/>
          <w:bCs/>
          <w:sz w:val="22"/>
          <w:szCs w:val="22"/>
        </w:rPr>
      </w:pPr>
    </w:p>
    <w:p w14:paraId="1A42AAE4" w14:textId="746E1932" w:rsidR="00B53940" w:rsidRPr="00733FCB" w:rsidRDefault="00B53940" w:rsidP="00733FCB">
      <w:pPr>
        <w:pStyle w:val="Heading2"/>
      </w:pPr>
      <w:bookmarkStart w:id="1" w:name="_Toc233965057"/>
      <w:r w:rsidRPr="00733FCB">
        <w:t>Task 1: Reflection on the Importance of Principles of Health and Social Care</w:t>
      </w:r>
      <w:bookmarkEnd w:id="1"/>
    </w:p>
    <w:p w14:paraId="0AA2A7E0"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sz w:val="22"/>
          <w:szCs w:val="22"/>
        </w:rPr>
        <w:t>This task reflects on why person-centred care, partnership working and ethics are regarded as the foundational principles of health and social care in the UK. To provide a clear structure, Gibbs' Reflective Cycle (Gibbs, 1988) has been applied through its six stages: description, feelings, evaluation, analysis, conclusion and action plan.</w:t>
      </w:r>
    </w:p>
    <w:p w14:paraId="1D0EF4F3"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Description.</w:t>
      </w:r>
      <w:r w:rsidRPr="00733FCB">
        <w:rPr>
          <w:rFonts w:ascii="Arial" w:hAnsi="Arial" w:cs="Arial"/>
          <w:sz w:val="22"/>
          <w:szCs w:val="22"/>
        </w:rPr>
        <w:t xml:space="preserve"> Throughout this module, I explored the three core principles of health and social care through lectures, seminar discussions and independent reading. This included examining how person-centred care recognises each individual as having their own values, preferences and life history rather than being defined only by a diagnosis; how partnership working brings organisations, professionals and service users together in collaborative practice; and how ethical principles guide everyday decision-making. I also studied the legislative framework supporting these principles, including the Care Act 2014, the Health and Care Act 2022 and the Mental Capacity Act 2005.</w:t>
      </w:r>
    </w:p>
    <w:p w14:paraId="61D7C712" w14:textId="71A3FF7B"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Feelings.</w:t>
      </w:r>
      <w:r w:rsidRPr="00733FCB">
        <w:rPr>
          <w:rFonts w:ascii="Arial" w:hAnsi="Arial" w:cs="Arial"/>
          <w:sz w:val="22"/>
          <w:szCs w:val="22"/>
        </w:rPr>
        <w:t xml:space="preserve"> At the beginning of the module, I believed these principles were mainly based on common sense and professional courtesy. I was surprised to discover how strongly they are supported by UK legislation. For example, the Health and Care Act 2022 </w:t>
      </w:r>
      <w:r w:rsidR="006D317D" w:rsidRPr="00733FCB">
        <w:rPr>
          <w:rFonts w:ascii="Arial" w:hAnsi="Arial" w:cs="Arial"/>
          <w:sz w:val="22"/>
          <w:szCs w:val="22"/>
        </w:rPr>
        <w:t>require</w:t>
      </w:r>
      <w:r w:rsidRPr="00733FCB">
        <w:rPr>
          <w:rFonts w:ascii="Arial" w:hAnsi="Arial" w:cs="Arial"/>
          <w:sz w:val="22"/>
          <w:szCs w:val="22"/>
        </w:rPr>
        <w:t xml:space="preserve"> Integrated Care Systems (ICSs) to engage with communities when making decisions about health and </w:t>
      </w:r>
      <w:r w:rsidRPr="00733FCB">
        <w:rPr>
          <w:rFonts w:ascii="Arial" w:hAnsi="Arial" w:cs="Arial"/>
          <w:sz w:val="22"/>
          <w:szCs w:val="22"/>
        </w:rPr>
        <w:lastRenderedPageBreak/>
        <w:t>care services (UK Government, 2022). Learning that person-centred care is a legal responsibility rather than simply good practice increased my sense of professional responsibility and reassured me that care is expected to be built around the individual.</w:t>
      </w:r>
    </w:p>
    <w:p w14:paraId="2DFCF19B"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Evaluation.</w:t>
      </w:r>
      <w:r w:rsidRPr="00733FCB">
        <w:rPr>
          <w:rFonts w:ascii="Arial" w:hAnsi="Arial" w:cs="Arial"/>
          <w:sz w:val="22"/>
          <w:szCs w:val="22"/>
        </w:rPr>
        <w:t xml:space="preserve"> One of the most valuable parts of this learning was discovering theories that provided structure to ideas I had previously understood only in general terms. Abraham Maslow's Hierarchy of Needs (Maslow, 1943) helped me understand that effective care should meet not only physical needs but also safety, belonging, esteem and self-actualisation. Baillie et al. (2020) support this view by showing that meeting a person's wider needs improves outcomes, particularly for people with long-term or complex conditions. I also learned that poor partnership working can leave people with complex needs without coordinated support, affecting their health and wellbeing (Dickinson and O'Flynn, 2022).</w:t>
      </w:r>
    </w:p>
    <w:p w14:paraId="5BCD88A5"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Analysis.</w:t>
      </w:r>
      <w:r w:rsidRPr="00733FCB">
        <w:rPr>
          <w:rFonts w:ascii="Arial" w:hAnsi="Arial" w:cs="Arial"/>
          <w:sz w:val="22"/>
          <w:szCs w:val="22"/>
        </w:rPr>
        <w:t xml:space="preserve"> Reflecting on this learning, I now understand that person-centred care, partnership working and ethics are closely linked rather than separate principles. Person-centred care cannot be delivered by one organisation alone, which is why the Health and Care Act 2022 introduced Integrated Care Systems to strengthen collaboration across health and social care (UK Government, 2022). Dickinson and O'Flynn (2022) explain that effective partnership working improves communication, reduces duplication and provides more coordinated support. Ethical principles underpin both approaches by guiding practitioners to make fair, respectful and responsible decisions.</w:t>
      </w:r>
    </w:p>
    <w:p w14:paraId="77000AC3"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Conclusion.</w:t>
      </w:r>
      <w:r w:rsidRPr="00733FCB">
        <w:rPr>
          <w:rFonts w:ascii="Arial" w:hAnsi="Arial" w:cs="Arial"/>
          <w:sz w:val="22"/>
          <w:szCs w:val="22"/>
        </w:rPr>
        <w:t xml:space="preserve"> This reflection has shown me that person-centred care, partnership working and ethics are not only professional values but also legal and ethical foundations of high-quality care. The most important lesson I have learned is that these principles depend on one another. Care cannot be truly person-centred without effective collaboration, and neither is meaningful unless it is guided by ethical principles such as autonomy, beneficence, non-maleficence and justice.</w:t>
      </w:r>
    </w:p>
    <w:p w14:paraId="6FF5FBEF" w14:textId="3B0C8A95" w:rsidR="003E08A5"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Action Plan.</w:t>
      </w:r>
      <w:r w:rsidRPr="00733FCB">
        <w:rPr>
          <w:rFonts w:ascii="Arial" w:hAnsi="Arial" w:cs="Arial"/>
          <w:sz w:val="22"/>
          <w:szCs w:val="22"/>
        </w:rPr>
        <w:t xml:space="preserve"> Moving forward, I will apply this knowledge during future learning and practice by placing individuals at the centre of care, working effectively with others and following ethical principles. I will also continue to engage with current legislation and research to ensure my understanding remains accurate and up to date. Task 2 will apply these principles to </w:t>
      </w:r>
      <w:r w:rsidRPr="00733FCB">
        <w:rPr>
          <w:rFonts w:ascii="Arial" w:hAnsi="Arial" w:cs="Arial"/>
          <w:i/>
          <w:iCs/>
          <w:sz w:val="22"/>
          <w:szCs w:val="22"/>
        </w:rPr>
        <w:t>Joan's Story</w:t>
      </w:r>
      <w:r w:rsidRPr="00733FCB">
        <w:rPr>
          <w:rFonts w:ascii="Arial" w:hAnsi="Arial" w:cs="Arial"/>
          <w:sz w:val="22"/>
          <w:szCs w:val="22"/>
        </w:rPr>
        <w:t xml:space="preserve"> to examine how they influence care in a real-life setting.</w:t>
      </w:r>
    </w:p>
    <w:p w14:paraId="5888A7B8" w14:textId="77777777" w:rsidR="009D0D19" w:rsidRPr="00733FCB" w:rsidRDefault="009D0D19" w:rsidP="00733FCB">
      <w:pPr>
        <w:spacing w:line="360" w:lineRule="auto"/>
        <w:jc w:val="both"/>
        <w:rPr>
          <w:rFonts w:ascii="Arial" w:hAnsi="Arial" w:cs="Arial"/>
          <w:sz w:val="22"/>
          <w:szCs w:val="22"/>
        </w:rPr>
      </w:pPr>
    </w:p>
    <w:p w14:paraId="1AC9ACE7" w14:textId="10DBBA59" w:rsidR="00B75C26" w:rsidRPr="00733FCB" w:rsidRDefault="00B75C26" w:rsidP="00733FCB">
      <w:pPr>
        <w:pStyle w:val="Heading2"/>
      </w:pPr>
      <w:bookmarkStart w:id="2" w:name="_Toc233965058"/>
      <w:r w:rsidRPr="00733FCB">
        <w:t>Task 2: Practical Examples of Concepts in Practice – Joan's Story</w:t>
      </w:r>
      <w:bookmarkEnd w:id="2"/>
    </w:p>
    <w:p w14:paraId="45FAE9B7" w14:textId="5F7E5C58"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Joan's Story, based upon NHS England's Personalized Care case study examples, is an excellent example of person-</w:t>
      </w:r>
      <w:r w:rsidR="000A6548" w:rsidRPr="00733FCB">
        <w:rPr>
          <w:rFonts w:ascii="Arial" w:hAnsi="Arial" w:cs="Arial"/>
          <w:sz w:val="22"/>
          <w:szCs w:val="22"/>
        </w:rPr>
        <w:t>centred</w:t>
      </w:r>
      <w:r w:rsidRPr="00733FCB">
        <w:rPr>
          <w:rFonts w:ascii="Arial" w:hAnsi="Arial" w:cs="Arial"/>
          <w:sz w:val="22"/>
          <w:szCs w:val="22"/>
        </w:rPr>
        <w:t xml:space="preserve"> care, partnership working and ethical practice in a true </w:t>
      </w:r>
      <w:r w:rsidRPr="00733FCB">
        <w:rPr>
          <w:rFonts w:ascii="Arial" w:hAnsi="Arial" w:cs="Arial"/>
          <w:sz w:val="22"/>
          <w:szCs w:val="22"/>
        </w:rPr>
        <w:lastRenderedPageBreak/>
        <w:t xml:space="preserve">UK healthcare and social care context. Joan has chronic obstructive pulmonary disease (COPD) and uncontrolled </w:t>
      </w:r>
      <w:r w:rsidR="00423723" w:rsidRPr="00733FCB">
        <w:rPr>
          <w:rFonts w:ascii="Arial" w:hAnsi="Arial" w:cs="Arial"/>
          <w:sz w:val="22"/>
          <w:szCs w:val="22"/>
        </w:rPr>
        <w:t>Crohn’s</w:t>
      </w:r>
      <w:r w:rsidRPr="00733FCB">
        <w:rPr>
          <w:rFonts w:ascii="Arial" w:hAnsi="Arial" w:cs="Arial"/>
          <w:sz w:val="22"/>
          <w:szCs w:val="22"/>
        </w:rPr>
        <w:t xml:space="preserve"> disease. Although she was referred to pulmonary rehabilitation by her specialist physiotherapist, Joan often failed to keep scheduled appointments and fail to follow clinical recommendations resulting in frequent emergency hospitalizations. Joan's situation is reflective of larger issue in UK healthcare: when care is developed and implemented through clinical pathways instead of the individual, compliance with prescribed care plans and outcomes are typically suboptimal (NHS England, 2023).</w:t>
      </w:r>
    </w:p>
    <w:p w14:paraId="45E4FC7A" w14:textId="3C7A90F2"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When the therapy team in Joan's care transitioned to a clear person-</w:t>
      </w:r>
      <w:r w:rsidR="00423723" w:rsidRPr="00733FCB">
        <w:rPr>
          <w:rFonts w:ascii="Arial" w:hAnsi="Arial" w:cs="Arial"/>
          <w:sz w:val="22"/>
          <w:szCs w:val="22"/>
        </w:rPr>
        <w:t>centred</w:t>
      </w:r>
      <w:r w:rsidRPr="00733FCB">
        <w:rPr>
          <w:rFonts w:ascii="Arial" w:hAnsi="Arial" w:cs="Arial"/>
          <w:sz w:val="22"/>
          <w:szCs w:val="22"/>
        </w:rPr>
        <w:t xml:space="preserve"> approach, Joan's care underwent significant changes. Instead of merely modifying her treatment plan alone, the therapist requested that Joan completed a Patient Activation Measure (PAM) assessment. A PAM measures a patients' level of confidence, knowledge and capability for managing their health. </w:t>
      </w:r>
    </w:p>
    <w:p w14:paraId="7CB6BCD8" w14:textId="1108A7F5"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The weekly sessions that occurred after Joan completed the assessment provide an exemplary demonstration of what is meant by person-</w:t>
      </w:r>
      <w:r w:rsidR="00423723" w:rsidRPr="00733FCB">
        <w:rPr>
          <w:rFonts w:ascii="Arial" w:hAnsi="Arial" w:cs="Arial"/>
          <w:sz w:val="22"/>
          <w:szCs w:val="22"/>
        </w:rPr>
        <w:t>centred</w:t>
      </w:r>
      <w:r w:rsidRPr="00733FCB">
        <w:rPr>
          <w:rFonts w:ascii="Arial" w:hAnsi="Arial" w:cs="Arial"/>
          <w:sz w:val="22"/>
          <w:szCs w:val="22"/>
        </w:rPr>
        <w:t xml:space="preserve"> care at its highest degree. It was during these meetings where Joan was empowered to identify potential barriers to keeping scheduled appointments and take responsibility for her health. Working together with her therapy team, they identified the primary reason why Joan could not leave her house to attend appointments -- her unmanaged </w:t>
      </w:r>
      <w:r w:rsidR="00423723" w:rsidRPr="00733FCB">
        <w:rPr>
          <w:rFonts w:ascii="Arial" w:hAnsi="Arial" w:cs="Arial"/>
          <w:sz w:val="22"/>
          <w:szCs w:val="22"/>
        </w:rPr>
        <w:t>Crohn’s</w:t>
      </w:r>
      <w:r w:rsidRPr="00733FCB">
        <w:rPr>
          <w:rFonts w:ascii="Arial" w:hAnsi="Arial" w:cs="Arial"/>
          <w:sz w:val="22"/>
          <w:szCs w:val="22"/>
        </w:rPr>
        <w:t xml:space="preserve"> disease and subsequent gastrointestinal symptoms. As a result of this discovery, all aspects of Joan's care were modified. </w:t>
      </w:r>
    </w:p>
    <w:p w14:paraId="09779339" w14:textId="6CF8D458"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 xml:space="preserve">Ethical considerations regarding Joan's care are present throughout. By providing Joan with a legitimate voice in making decisions concerning her care plan, the team provided her with respect for her autonomy. Instead of forcing a care plan onto Joan, the team worked with her to develop an action plan that she would be willing to follow. This aligns with the autonomy principle established in the Mental Capacity Act 2005, as well as the ethical obligation to recognize and empower individuals as active participants in their own care versus passive recipients of medical treatment. The principle of beneficence is also evidenced in the </w:t>
      </w:r>
      <w:r w:rsidR="007A16FD" w:rsidRPr="00733FCB">
        <w:rPr>
          <w:rFonts w:ascii="Arial" w:hAnsi="Arial" w:cs="Arial"/>
          <w:sz w:val="22"/>
          <w:szCs w:val="22"/>
        </w:rPr>
        <w:t>team’s</w:t>
      </w:r>
      <w:r w:rsidRPr="00733FCB">
        <w:rPr>
          <w:rFonts w:ascii="Arial" w:hAnsi="Arial" w:cs="Arial"/>
          <w:sz w:val="22"/>
          <w:szCs w:val="22"/>
        </w:rPr>
        <w:t xml:space="preserve"> actions; by addressing the fundamental obstacle (management of </w:t>
      </w:r>
      <w:r w:rsidR="00AE658E" w:rsidRPr="00733FCB">
        <w:rPr>
          <w:rFonts w:ascii="Arial" w:hAnsi="Arial" w:cs="Arial"/>
          <w:sz w:val="22"/>
          <w:szCs w:val="22"/>
        </w:rPr>
        <w:t>Crohn’s</w:t>
      </w:r>
      <w:r w:rsidRPr="00733FCB">
        <w:rPr>
          <w:rFonts w:ascii="Arial" w:hAnsi="Arial" w:cs="Arial"/>
          <w:sz w:val="22"/>
          <w:szCs w:val="22"/>
        </w:rPr>
        <w:t xml:space="preserve"> disease) hindering Joan's ability to adhere to recommended treatments, the team took actions that were truly in her best interests.</w:t>
      </w:r>
    </w:p>
    <w:p w14:paraId="4B57A2C9" w14:textId="77777777"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 xml:space="preserve">Applying these principles in Joan's case was not without challenges. Coordinating support across pulmonary rehabilitation and gastroenterology services required professionals to look beyond their own specialisms and communicate effectively, while Joan's initial reluctance to disclose the barriers she faced made the underlying issue difficult to identify. These challenges were overcome through the therapy team's sustained, person-centred communication, which built the trust needed for Joan to speak openly about her Crohn's disease, and through closer </w:t>
      </w:r>
      <w:r w:rsidRPr="00733FCB">
        <w:rPr>
          <w:rFonts w:ascii="Arial" w:hAnsi="Arial" w:cs="Arial"/>
          <w:sz w:val="22"/>
          <w:szCs w:val="22"/>
        </w:rPr>
        <w:lastRenderedPageBreak/>
        <w:t>collaboration between services once this barrier was identified, enabling a more coordinated and holistic response to her care.</w:t>
      </w:r>
    </w:p>
    <w:p w14:paraId="7C0CD1E2" w14:textId="447D9CE3"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The outcome(s) of this person-</w:t>
      </w:r>
      <w:r w:rsidR="00AE658E" w:rsidRPr="00733FCB">
        <w:rPr>
          <w:rFonts w:ascii="Arial" w:hAnsi="Arial" w:cs="Arial"/>
          <w:sz w:val="22"/>
          <w:szCs w:val="22"/>
        </w:rPr>
        <w:t>centred</w:t>
      </w:r>
      <w:r w:rsidRPr="00733FCB">
        <w:rPr>
          <w:rFonts w:ascii="Arial" w:hAnsi="Arial" w:cs="Arial"/>
          <w:sz w:val="22"/>
          <w:szCs w:val="22"/>
        </w:rPr>
        <w:t xml:space="preserve"> and partnership-driven approach resulted in transformational effects. Within seven months of completing the PAM assessment, Joan had increased her PAM score by over forty percent -- indicative of enhanced levels of confidence and self-management capabilities. Additionally, she was able to accompany her daughter to Christmas shopping for the first time in many years and attended pulmonary rehabilitation on a regular basis independent of any direct supervision. Furthermore, emergency hospital admission decreased dramatically while attendance at scheduled appointments increased substantially.</w:t>
      </w:r>
    </w:p>
    <w:p w14:paraId="198F702D" w14:textId="77777777" w:rsidR="000470D7" w:rsidRPr="00733FCB" w:rsidRDefault="000470D7" w:rsidP="00733FCB">
      <w:pPr>
        <w:spacing w:line="360" w:lineRule="auto"/>
        <w:jc w:val="both"/>
        <w:rPr>
          <w:rFonts w:ascii="Arial" w:hAnsi="Arial" w:cs="Arial"/>
          <w:sz w:val="22"/>
          <w:szCs w:val="22"/>
        </w:rPr>
      </w:pPr>
    </w:p>
    <w:p w14:paraId="266D5A35" w14:textId="4E5E7A87" w:rsidR="00F93F5F" w:rsidRPr="00733FCB" w:rsidRDefault="00F93F5F" w:rsidP="00733FCB">
      <w:pPr>
        <w:pStyle w:val="Heading2"/>
      </w:pPr>
      <w:bookmarkStart w:id="3" w:name="_Toc233965059"/>
      <w:r w:rsidRPr="00733FCB">
        <w:t>Task 3: Self-Reflection as a Health and Social Care Professional</w:t>
      </w:r>
      <w:bookmarkEnd w:id="3"/>
    </w:p>
    <w:p w14:paraId="4C2A7B98" w14:textId="77777777"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Engaging with the principles of person-centred care, partnership working, and ethics throughout this module has significantly deepened my understanding of what it means to be a health and social care professional in the UK. As a care worker beginning my journey into this field, I recognise that these principles are not simply academic concepts to be studied; they are the values and behaviours that will define the kind of practitioner I aspire to become. In this section, I use Gibbs' Reflective Cycle (1988) as a framework to structure my reflections on what I have learned, how it connects to practice, and the steps I will take to develop further.</w:t>
      </w:r>
    </w:p>
    <w:p w14:paraId="14D455FB" w14:textId="77777777"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 xml:space="preserve">Reflecting on person-centred care, I initially understood it broadly as simply 'treating people with respect.' However, my engagement with case studies like Joan's Story has taught me that it is far more nuanced than this. True person-centredness requires listening deeply, understanding the whole person beyond their diagnosis, and actively involving individuals in every stage of decision-making. Thinking about my future role in health and social care, I recognise that I will regularly encounter individuals who, like Joan, face complex barriers to engagement that are not immediately visible. </w:t>
      </w:r>
    </w:p>
    <w:p w14:paraId="30F336E8" w14:textId="77777777"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 xml:space="preserve">In terms of partnership working, I feel I have a good conceptual understanding of why collaboration is essential. The Care Act 2014 established a statutory duty for local authorities and NHS bodies to cooperate in meeting the needs of adults requiring care and support (UK Government, 2014). In practice, however, I recognise that effective partnership working requires more than compliance with legislation; it demands active communication, mutual respect between professionals, and a shared focus on the individual. One area I identify for improvement is my confidence in communicating across professional boundaries. </w:t>
      </w:r>
    </w:p>
    <w:p w14:paraId="7D8E2903" w14:textId="5D1A78C3"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lastRenderedPageBreak/>
        <w:t xml:space="preserve">Ethics presents perhaps the most complex dimension of professional practice because it requires ongoing critical reflection rather than simply following rules. I am aware that I will inevitably face situations where ethical principles come into tension with each other – for example, when respecting a person's autonomy conflicts with the duty of beneficence, or when limited resources raise questions of justice and fairness. The Mental Capacity Act 2005 provides an important legal framework for decisions involving individuals who may lack </w:t>
      </w:r>
      <w:r w:rsidR="000470D7" w:rsidRPr="00733FCB">
        <w:rPr>
          <w:rFonts w:ascii="Arial" w:hAnsi="Arial" w:cs="Arial"/>
          <w:sz w:val="22"/>
          <w:szCs w:val="22"/>
        </w:rPr>
        <w:t>capacity but</w:t>
      </w:r>
      <w:r w:rsidRPr="00733FCB">
        <w:rPr>
          <w:rFonts w:ascii="Arial" w:hAnsi="Arial" w:cs="Arial"/>
          <w:sz w:val="22"/>
          <w:szCs w:val="22"/>
        </w:rPr>
        <w:t xml:space="preserve"> applying it sensitively and appropriately in real situations requires both knowledge and judgment (Social Care Institute for Excellence, 2022). </w:t>
      </w:r>
    </w:p>
    <w:p w14:paraId="51C843E9" w14:textId="77777777"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Regarding my current strengths, I believe I bring empathy, a genuine commitment to the dignity of the people I work with, and a strong desire to learn. For example, while supporting a service user with advanced dementia who was often reluctant to accept personal care, I found that taking the time to learn her preferred routines and involving her family in decisions about her day-to-day support helped her feel more at ease and reduced her distress, reinforcing for me how central genuine person-centred care is to good outcomes. This experience also highlighted an area for improvement: I was not always confident raising concerns with the wider care team, such as flagging changes in her behaviour to the nurse in charge, which has shown me the importance of developing my assertiveness and communication skills when working in partnership with other professionals. Baxter and Shenton (2022) argue that self-awareness is the foundation of effective reflective practice, and I consider my willingness to critically examine my own assumptions and biases to be an important starting point. I am also committed to evidence-based practice, which means I will continue to engage with current legislation, guidelines, and research to ensure that my practice remains informed and up to date.</w:t>
      </w:r>
    </w:p>
    <w:p w14:paraId="7AC01637" w14:textId="5E03A8C5" w:rsidR="00294C60"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Looking to the future, I have identified three specific development goals. First, I will deepen my knowledge of the personalised care agenda, particularly the NHS England framework for personalised care and how tools such as the PAM survey can be used to support self-management (NHS England, 2023). Second, I will focus on developing my skills in active listening and shared decision-making, which are central to person-centred practice. Third, I will seek to understand the ethical frameworks and professional codes that govern practice in my field – including the HCPC Standards of Conduct, Performance and Ethics (2023) – so that I am equipped to navigate complex situations with integrity and professionalism.</w:t>
      </w:r>
    </w:p>
    <w:p w14:paraId="04F96933" w14:textId="77777777" w:rsidR="00E451AF" w:rsidRPr="00733FCB" w:rsidRDefault="00E451AF" w:rsidP="00733FCB">
      <w:pPr>
        <w:spacing w:line="360" w:lineRule="auto"/>
        <w:jc w:val="both"/>
        <w:rPr>
          <w:rFonts w:ascii="Arial" w:hAnsi="Arial" w:cs="Arial"/>
          <w:b/>
          <w:bCs/>
          <w:sz w:val="22"/>
          <w:szCs w:val="22"/>
        </w:rPr>
      </w:pPr>
    </w:p>
    <w:p w14:paraId="591B528D" w14:textId="77777777" w:rsidR="00E451AF" w:rsidRPr="00733FCB" w:rsidRDefault="00E451AF" w:rsidP="00733FCB">
      <w:pPr>
        <w:spacing w:line="360" w:lineRule="auto"/>
        <w:jc w:val="both"/>
        <w:rPr>
          <w:rFonts w:ascii="Arial" w:hAnsi="Arial" w:cs="Arial"/>
          <w:b/>
          <w:bCs/>
          <w:sz w:val="22"/>
          <w:szCs w:val="22"/>
        </w:rPr>
      </w:pPr>
    </w:p>
    <w:p w14:paraId="7D5EEAAF" w14:textId="77777777" w:rsidR="00E451AF" w:rsidRPr="00733FCB" w:rsidRDefault="00E451AF" w:rsidP="00733FCB">
      <w:pPr>
        <w:spacing w:line="360" w:lineRule="auto"/>
        <w:jc w:val="both"/>
        <w:rPr>
          <w:rFonts w:ascii="Arial" w:hAnsi="Arial" w:cs="Arial"/>
          <w:b/>
          <w:bCs/>
          <w:sz w:val="22"/>
          <w:szCs w:val="22"/>
        </w:rPr>
      </w:pPr>
    </w:p>
    <w:p w14:paraId="2A2E9AC8" w14:textId="2307CD62" w:rsidR="00D43FE8" w:rsidRPr="00733FCB" w:rsidRDefault="00D43FE8" w:rsidP="00733FCB">
      <w:pPr>
        <w:pStyle w:val="Heading2"/>
      </w:pPr>
      <w:bookmarkStart w:id="4" w:name="_Toc233965060"/>
      <w:r w:rsidRPr="00733FCB">
        <w:lastRenderedPageBreak/>
        <w:t>Conclusion</w:t>
      </w:r>
      <w:bookmarkEnd w:id="4"/>
    </w:p>
    <w:p w14:paraId="40C711F2" w14:textId="57C48C8D" w:rsidR="00D43FE8" w:rsidRPr="00733FCB" w:rsidRDefault="00D43FE8" w:rsidP="00733FCB">
      <w:pPr>
        <w:spacing w:line="360" w:lineRule="auto"/>
        <w:jc w:val="both"/>
        <w:rPr>
          <w:rFonts w:ascii="Arial" w:hAnsi="Arial" w:cs="Arial"/>
          <w:sz w:val="22"/>
          <w:szCs w:val="22"/>
        </w:rPr>
      </w:pPr>
      <w:r w:rsidRPr="00733FCB">
        <w:rPr>
          <w:rFonts w:ascii="Arial" w:hAnsi="Arial" w:cs="Arial"/>
          <w:sz w:val="22"/>
          <w:szCs w:val="22"/>
        </w:rPr>
        <w:t>This reflective report has examined the principles of person-centred care, partnership working, and ethics across three interconnected tasks. Task 1 established the theoretical and legislative foundations of these principles, drawing on Maslow's Hierarchy of Needs, the Care Act 2014, the Health and Care Act 2022, and the core bioethical principles of autonomy, beneficence, non-maleficence, and justice. Task 2 demonstrated their practical application through Joan's Story, illustrating how a genuinely person-centred and collaborative approach transformed care outcomes for a woman with complex, long-term conditions. Task 3 provided a personal self-reflection, identifying current strengths as a developing professional and setting out a clear plan for growth in person-centred practice, partnership skills, and ethical decision-making.</w:t>
      </w:r>
      <w:r w:rsidRPr="00733FCB">
        <w:rPr>
          <w:rFonts w:ascii="Arial" w:hAnsi="Arial" w:cs="Arial"/>
          <w:sz w:val="22"/>
          <w:szCs w:val="22"/>
        </w:rPr>
        <w:br w:type="page"/>
      </w:r>
    </w:p>
    <w:p w14:paraId="040DEA3E" w14:textId="77777777" w:rsidR="004821F1" w:rsidRPr="00733FCB" w:rsidRDefault="004821F1" w:rsidP="00733FCB">
      <w:pPr>
        <w:spacing w:line="360" w:lineRule="auto"/>
        <w:jc w:val="both"/>
        <w:rPr>
          <w:rFonts w:ascii="Arial" w:hAnsi="Arial" w:cs="Arial"/>
          <w:sz w:val="22"/>
          <w:szCs w:val="22"/>
        </w:rPr>
      </w:pPr>
    </w:p>
    <w:p w14:paraId="7FCEF37F" w14:textId="77777777" w:rsidR="00F82543" w:rsidRPr="00733FCB" w:rsidRDefault="00F82543" w:rsidP="00733FCB">
      <w:pPr>
        <w:spacing w:line="360" w:lineRule="auto"/>
        <w:jc w:val="both"/>
        <w:rPr>
          <w:rFonts w:ascii="Arial" w:hAnsi="Arial" w:cs="Arial"/>
          <w:b/>
          <w:bCs/>
          <w:sz w:val="22"/>
          <w:szCs w:val="22"/>
        </w:rPr>
      </w:pPr>
    </w:p>
    <w:p w14:paraId="7383FB11" w14:textId="77777777" w:rsidR="00DB430F" w:rsidRPr="00733FCB" w:rsidRDefault="00DB430F" w:rsidP="00733FCB">
      <w:pPr>
        <w:pStyle w:val="Heading2"/>
      </w:pPr>
      <w:bookmarkStart w:id="5" w:name="_Toc233965061"/>
      <w:r w:rsidRPr="00733FCB">
        <w:t>References</w:t>
      </w:r>
      <w:bookmarkEnd w:id="5"/>
    </w:p>
    <w:p w14:paraId="2943BB88"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Baillie, L., Gallini, A., Corser, R., Elworthy, G., Scotcher, A. and Barrand, A. (2020) 'Person-centred care in acute hospital settings: a systematic review', International Journal of Nursing Practice, 26(3), pp. 1–12. doi:10.1111/ijn.12815.</w:t>
      </w:r>
    </w:p>
    <w:p w14:paraId="267E09BA"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Baxter, J. and Shenton, A. (2022) 'Developing reflective practitioners in health and social care education', Reflective Practice, 23(1), pp. 45–57. doi:10.1080/14623943.2021.1994462.</w:t>
      </w:r>
    </w:p>
    <w:p w14:paraId="4C47FCB0"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Care Act 2014. Available at: https://www.legislation.gov.uk/ukpga/2014/23/contents (Accessed: 24 June 2026).</w:t>
      </w:r>
    </w:p>
    <w:p w14:paraId="00B5B6CC"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Dickinson, H. and O'Flynn, J. (2022) Putting the public interest first: partnership working in health and social care. London: Red Globe Press.</w:t>
      </w:r>
    </w:p>
    <w:p w14:paraId="56324ED4"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Gibbs, G. (1988) Learning by doing: a guide to teaching and learning methods. Oxford: Further Education Unit, Oxford Polytechnic.</w:t>
      </w:r>
    </w:p>
    <w:p w14:paraId="630706FD"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Health and Care Act 2022. Available at: https://www.legislation.gov.uk/ukpga/2022/31/contents (Accessed: 24 June 2026).</w:t>
      </w:r>
    </w:p>
    <w:p w14:paraId="1FA3F366"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Health and Care Professions Council (HCPC) (2023) Standards of conduct, performance and ethics. London: HCPC. Available at: https://www.hcpc-uk.org/standards/standards-of-conduct-performance-and-ethics/ (Accessed: 24 June 2026).</w:t>
      </w:r>
    </w:p>
    <w:p w14:paraId="6FBD6193"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Kangasniemi, M., Kohonen, M. and Voutilainen, P. (2021) 'Ethical principles in nursing and their evaluation: an integrative review', Nursing Ethics, 28(6), pp. 887–901. doi:10.1177/0969733020956194.</w:t>
      </w:r>
    </w:p>
    <w:p w14:paraId="4F553638"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McLeod, S. (2020) Maslow's hierarchy of needs. Simply Psychology. Available at: https://www.simplypsychology.org/maslow.html (Accessed: 24 June 2026).</w:t>
      </w:r>
    </w:p>
    <w:p w14:paraId="130DD8E4"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Mental Capacity Act 2005. Available at: https://www.legislation.gov.uk/ukpga/2005/9/contents (Accessed: 24 June 2026).</w:t>
      </w:r>
    </w:p>
    <w:p w14:paraId="15464E70"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NHS England (2023) Personalised care: Joan's story. Available at: https://www.england.nhs.uk/personalisedcare/comprehensive-model/case-studies/ (Accessed: 24 June 2026).</w:t>
      </w:r>
    </w:p>
    <w:p w14:paraId="453BED96"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lastRenderedPageBreak/>
        <w:t>Packer, R., Noonan, R., Burnside, G., Qualter, P. and French, D.P. (2021) 'Sociodemographic inequalities in patient activation in people with chronic conditions: findings from a UK survey', Patient Education and Counselling, 104(9), pp. 2189–2196. doi:10.1016/j.pec.2021.02.025.</w:t>
      </w:r>
    </w:p>
    <w:p w14:paraId="27167799"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Social Care Institute for Excellence (SCIE) (2022) Mental Capacity Act 2005 at a glance. London: SCIE. Available at: https://www.scie.org.uk/mca/introduction/mental-capacity-act-2005-at-a-glance (Accessed: 24 June 2026).</w:t>
      </w:r>
    </w:p>
    <w:p w14:paraId="23F6F5D6"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UK Government (2014) Care Act 2014: statutory guidance. London: HMSO. Available at: https://www.gov.uk/government/publications/care-act-statutory-guidance/care-and-support-statutory-guidance (Accessed: 24 June 2026).</w:t>
      </w:r>
    </w:p>
    <w:p w14:paraId="259FDC10" w14:textId="3FECD242" w:rsidR="00F82543"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UK Government (2022) Health and Care Act 2022: overview. London: HMSO. Available at: https://www.gov.uk/government/publications/health-and-care-act-2022-overview (Accessed: 24 June 2026).</w:t>
      </w:r>
    </w:p>
    <w:sectPr w:rsidR="00F82543" w:rsidRPr="00733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182"/>
    <w:rsid w:val="00007149"/>
    <w:rsid w:val="00016A16"/>
    <w:rsid w:val="00017EF4"/>
    <w:rsid w:val="00024BFD"/>
    <w:rsid w:val="00045908"/>
    <w:rsid w:val="000470D7"/>
    <w:rsid w:val="00053F7B"/>
    <w:rsid w:val="000A30D0"/>
    <w:rsid w:val="000A6548"/>
    <w:rsid w:val="000A7DBA"/>
    <w:rsid w:val="000B4AB4"/>
    <w:rsid w:val="000D178D"/>
    <w:rsid w:val="000F2007"/>
    <w:rsid w:val="001011CD"/>
    <w:rsid w:val="00113D25"/>
    <w:rsid w:val="001179F5"/>
    <w:rsid w:val="00131E5E"/>
    <w:rsid w:val="00132BB4"/>
    <w:rsid w:val="00133604"/>
    <w:rsid w:val="00135526"/>
    <w:rsid w:val="001434B9"/>
    <w:rsid w:val="0015510F"/>
    <w:rsid w:val="00157FDA"/>
    <w:rsid w:val="00173F6E"/>
    <w:rsid w:val="00182828"/>
    <w:rsid w:val="001A1DB4"/>
    <w:rsid w:val="001A5CAE"/>
    <w:rsid w:val="001A6307"/>
    <w:rsid w:val="001D388D"/>
    <w:rsid w:val="001D4970"/>
    <w:rsid w:val="001E536D"/>
    <w:rsid w:val="001F0AD3"/>
    <w:rsid w:val="00217BCC"/>
    <w:rsid w:val="00220E02"/>
    <w:rsid w:val="00240011"/>
    <w:rsid w:val="00246A5A"/>
    <w:rsid w:val="002759D4"/>
    <w:rsid w:val="00276182"/>
    <w:rsid w:val="00287AE7"/>
    <w:rsid w:val="00294C60"/>
    <w:rsid w:val="00295389"/>
    <w:rsid w:val="002A766D"/>
    <w:rsid w:val="002B6EF0"/>
    <w:rsid w:val="002D7A63"/>
    <w:rsid w:val="002E3F55"/>
    <w:rsid w:val="00325BDF"/>
    <w:rsid w:val="0034008B"/>
    <w:rsid w:val="003963A2"/>
    <w:rsid w:val="003E08A5"/>
    <w:rsid w:val="00423723"/>
    <w:rsid w:val="004316ED"/>
    <w:rsid w:val="00442861"/>
    <w:rsid w:val="00442EB6"/>
    <w:rsid w:val="004821F1"/>
    <w:rsid w:val="004851D2"/>
    <w:rsid w:val="00490E9B"/>
    <w:rsid w:val="005318ED"/>
    <w:rsid w:val="00540AA8"/>
    <w:rsid w:val="005451C1"/>
    <w:rsid w:val="005563AE"/>
    <w:rsid w:val="00565EE0"/>
    <w:rsid w:val="005A1327"/>
    <w:rsid w:val="005A4B7D"/>
    <w:rsid w:val="005B610F"/>
    <w:rsid w:val="005C6EBF"/>
    <w:rsid w:val="005F348A"/>
    <w:rsid w:val="005F4E88"/>
    <w:rsid w:val="00624642"/>
    <w:rsid w:val="00625EEC"/>
    <w:rsid w:val="00633694"/>
    <w:rsid w:val="00636896"/>
    <w:rsid w:val="00656F5D"/>
    <w:rsid w:val="006A4909"/>
    <w:rsid w:val="006D317D"/>
    <w:rsid w:val="006D7840"/>
    <w:rsid w:val="006F16A7"/>
    <w:rsid w:val="006F431F"/>
    <w:rsid w:val="0071676C"/>
    <w:rsid w:val="00733FCB"/>
    <w:rsid w:val="007511B9"/>
    <w:rsid w:val="007633A1"/>
    <w:rsid w:val="00767404"/>
    <w:rsid w:val="00780C7D"/>
    <w:rsid w:val="00784353"/>
    <w:rsid w:val="007A06CD"/>
    <w:rsid w:val="007A16FD"/>
    <w:rsid w:val="007A3031"/>
    <w:rsid w:val="007B3EF0"/>
    <w:rsid w:val="007D588B"/>
    <w:rsid w:val="00800CE3"/>
    <w:rsid w:val="00802D2F"/>
    <w:rsid w:val="00814AFC"/>
    <w:rsid w:val="008200CF"/>
    <w:rsid w:val="008233E1"/>
    <w:rsid w:val="00830343"/>
    <w:rsid w:val="00847E6D"/>
    <w:rsid w:val="0085619E"/>
    <w:rsid w:val="008572CE"/>
    <w:rsid w:val="00871F07"/>
    <w:rsid w:val="00874B19"/>
    <w:rsid w:val="00874EF5"/>
    <w:rsid w:val="008A6FF3"/>
    <w:rsid w:val="008B142C"/>
    <w:rsid w:val="008B6073"/>
    <w:rsid w:val="008D2D64"/>
    <w:rsid w:val="0091597F"/>
    <w:rsid w:val="00934457"/>
    <w:rsid w:val="009374BE"/>
    <w:rsid w:val="00964CD3"/>
    <w:rsid w:val="009A0074"/>
    <w:rsid w:val="009B536C"/>
    <w:rsid w:val="009D0D19"/>
    <w:rsid w:val="009E2F93"/>
    <w:rsid w:val="009F19D7"/>
    <w:rsid w:val="00A00B13"/>
    <w:rsid w:val="00A52F57"/>
    <w:rsid w:val="00A56CBE"/>
    <w:rsid w:val="00A912D6"/>
    <w:rsid w:val="00A91E01"/>
    <w:rsid w:val="00AA2162"/>
    <w:rsid w:val="00AA2B6B"/>
    <w:rsid w:val="00AA6A55"/>
    <w:rsid w:val="00AC1E9E"/>
    <w:rsid w:val="00AD109E"/>
    <w:rsid w:val="00AD2B1D"/>
    <w:rsid w:val="00AE2FB2"/>
    <w:rsid w:val="00AE658E"/>
    <w:rsid w:val="00AF0867"/>
    <w:rsid w:val="00B1583C"/>
    <w:rsid w:val="00B46421"/>
    <w:rsid w:val="00B46ECA"/>
    <w:rsid w:val="00B535AA"/>
    <w:rsid w:val="00B53940"/>
    <w:rsid w:val="00B60982"/>
    <w:rsid w:val="00B64C62"/>
    <w:rsid w:val="00B65AB3"/>
    <w:rsid w:val="00B74732"/>
    <w:rsid w:val="00B75C26"/>
    <w:rsid w:val="00C045FB"/>
    <w:rsid w:val="00C201F6"/>
    <w:rsid w:val="00C31775"/>
    <w:rsid w:val="00C538BB"/>
    <w:rsid w:val="00C53C55"/>
    <w:rsid w:val="00C649EB"/>
    <w:rsid w:val="00C930C0"/>
    <w:rsid w:val="00CA0BA9"/>
    <w:rsid w:val="00CD488A"/>
    <w:rsid w:val="00CE6294"/>
    <w:rsid w:val="00CE7BEB"/>
    <w:rsid w:val="00D0096F"/>
    <w:rsid w:val="00D04D37"/>
    <w:rsid w:val="00D07C3F"/>
    <w:rsid w:val="00D22AAD"/>
    <w:rsid w:val="00D43FE8"/>
    <w:rsid w:val="00D44A3E"/>
    <w:rsid w:val="00D47336"/>
    <w:rsid w:val="00D47F32"/>
    <w:rsid w:val="00D70AC5"/>
    <w:rsid w:val="00DA0E6E"/>
    <w:rsid w:val="00DB430F"/>
    <w:rsid w:val="00DB5C36"/>
    <w:rsid w:val="00DE0843"/>
    <w:rsid w:val="00E01A40"/>
    <w:rsid w:val="00E159CD"/>
    <w:rsid w:val="00E220E7"/>
    <w:rsid w:val="00E2681C"/>
    <w:rsid w:val="00E33FFA"/>
    <w:rsid w:val="00E451AF"/>
    <w:rsid w:val="00E472DC"/>
    <w:rsid w:val="00E61BA4"/>
    <w:rsid w:val="00E64F08"/>
    <w:rsid w:val="00E65E85"/>
    <w:rsid w:val="00E676BC"/>
    <w:rsid w:val="00E77344"/>
    <w:rsid w:val="00E824D2"/>
    <w:rsid w:val="00E83869"/>
    <w:rsid w:val="00E84327"/>
    <w:rsid w:val="00E925D0"/>
    <w:rsid w:val="00EA40E9"/>
    <w:rsid w:val="00EA6062"/>
    <w:rsid w:val="00EA7523"/>
    <w:rsid w:val="00EB353B"/>
    <w:rsid w:val="00EB6DC4"/>
    <w:rsid w:val="00EC71AE"/>
    <w:rsid w:val="00ED08F6"/>
    <w:rsid w:val="00ED4F80"/>
    <w:rsid w:val="00EE0D2B"/>
    <w:rsid w:val="00F00A8B"/>
    <w:rsid w:val="00F0370E"/>
    <w:rsid w:val="00F03719"/>
    <w:rsid w:val="00F1048B"/>
    <w:rsid w:val="00F1415B"/>
    <w:rsid w:val="00F20273"/>
    <w:rsid w:val="00F31D91"/>
    <w:rsid w:val="00F43082"/>
    <w:rsid w:val="00F50C7A"/>
    <w:rsid w:val="00F60F2E"/>
    <w:rsid w:val="00F66147"/>
    <w:rsid w:val="00F82543"/>
    <w:rsid w:val="00F85872"/>
    <w:rsid w:val="00F93F5F"/>
    <w:rsid w:val="00FA0145"/>
    <w:rsid w:val="00FA6ED0"/>
    <w:rsid w:val="00FB5848"/>
    <w:rsid w:val="00FC7CC4"/>
    <w:rsid w:val="00FE136E"/>
    <w:rsid w:val="00FF7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EC182"/>
  <w15:chartTrackingRefBased/>
  <w15:docId w15:val="{61FF0337-EEB2-45DA-B9C0-908ED24C6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1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61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1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1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1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1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1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1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1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1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61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1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1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1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1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1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1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182"/>
    <w:rPr>
      <w:rFonts w:eastAsiaTheme="majorEastAsia" w:cstheme="majorBidi"/>
      <w:color w:val="272727" w:themeColor="text1" w:themeTint="D8"/>
    </w:rPr>
  </w:style>
  <w:style w:type="paragraph" w:styleId="Title">
    <w:name w:val="Title"/>
    <w:basedOn w:val="Normal"/>
    <w:next w:val="Normal"/>
    <w:link w:val="TitleChar"/>
    <w:uiPriority w:val="10"/>
    <w:qFormat/>
    <w:rsid w:val="002761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1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1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1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182"/>
    <w:pPr>
      <w:spacing w:before="160"/>
      <w:jc w:val="center"/>
    </w:pPr>
    <w:rPr>
      <w:i/>
      <w:iCs/>
      <w:color w:val="404040" w:themeColor="text1" w:themeTint="BF"/>
    </w:rPr>
  </w:style>
  <w:style w:type="character" w:customStyle="1" w:styleId="QuoteChar">
    <w:name w:val="Quote Char"/>
    <w:basedOn w:val="DefaultParagraphFont"/>
    <w:link w:val="Quote"/>
    <w:uiPriority w:val="29"/>
    <w:rsid w:val="00276182"/>
    <w:rPr>
      <w:i/>
      <w:iCs/>
      <w:color w:val="404040" w:themeColor="text1" w:themeTint="BF"/>
    </w:rPr>
  </w:style>
  <w:style w:type="paragraph" w:styleId="ListParagraph">
    <w:name w:val="List Paragraph"/>
    <w:basedOn w:val="Normal"/>
    <w:uiPriority w:val="34"/>
    <w:qFormat/>
    <w:rsid w:val="00276182"/>
    <w:pPr>
      <w:ind w:left="720"/>
      <w:contextualSpacing/>
    </w:pPr>
  </w:style>
  <w:style w:type="character" w:styleId="IntenseEmphasis">
    <w:name w:val="Intense Emphasis"/>
    <w:basedOn w:val="DefaultParagraphFont"/>
    <w:uiPriority w:val="21"/>
    <w:qFormat/>
    <w:rsid w:val="00276182"/>
    <w:rPr>
      <w:i/>
      <w:iCs/>
      <w:color w:val="0F4761" w:themeColor="accent1" w:themeShade="BF"/>
    </w:rPr>
  </w:style>
  <w:style w:type="paragraph" w:styleId="IntenseQuote">
    <w:name w:val="Intense Quote"/>
    <w:basedOn w:val="Normal"/>
    <w:next w:val="Normal"/>
    <w:link w:val="IntenseQuoteChar"/>
    <w:uiPriority w:val="30"/>
    <w:qFormat/>
    <w:rsid w:val="002761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182"/>
    <w:rPr>
      <w:i/>
      <w:iCs/>
      <w:color w:val="0F4761" w:themeColor="accent1" w:themeShade="BF"/>
    </w:rPr>
  </w:style>
  <w:style w:type="character" w:styleId="IntenseReference">
    <w:name w:val="Intense Reference"/>
    <w:basedOn w:val="DefaultParagraphFont"/>
    <w:uiPriority w:val="32"/>
    <w:qFormat/>
    <w:rsid w:val="00276182"/>
    <w:rPr>
      <w:b/>
      <w:bCs/>
      <w:smallCaps/>
      <w:color w:val="0F4761" w:themeColor="accent1" w:themeShade="BF"/>
      <w:spacing w:val="5"/>
    </w:rPr>
  </w:style>
  <w:style w:type="paragraph" w:styleId="TOCHeading">
    <w:name w:val="TOC Heading"/>
    <w:basedOn w:val="Heading1"/>
    <w:next w:val="Normal"/>
    <w:uiPriority w:val="39"/>
    <w:unhideWhenUsed/>
    <w:qFormat/>
    <w:rsid w:val="0071676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1676C"/>
    <w:pPr>
      <w:spacing w:after="100"/>
    </w:pPr>
  </w:style>
  <w:style w:type="paragraph" w:styleId="TOC2">
    <w:name w:val="toc 2"/>
    <w:basedOn w:val="Normal"/>
    <w:next w:val="Normal"/>
    <w:autoRedefine/>
    <w:uiPriority w:val="39"/>
    <w:unhideWhenUsed/>
    <w:rsid w:val="0071676C"/>
    <w:pPr>
      <w:spacing w:after="100"/>
      <w:ind w:left="240"/>
    </w:pPr>
  </w:style>
  <w:style w:type="character" w:styleId="Hyperlink">
    <w:name w:val="Hyperlink"/>
    <w:basedOn w:val="DefaultParagraphFont"/>
    <w:uiPriority w:val="99"/>
    <w:unhideWhenUsed/>
    <w:rsid w:val="0071676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C36D9-45DB-4D6A-A33C-B283F213B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10</Pages>
  <Words>2748</Words>
  <Characters>15669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Celsius Neboh (2434221)</dc:creator>
  <cp:keywords/>
  <dc:description/>
  <cp:lastModifiedBy>Celsius Neboh (2434221)</cp:lastModifiedBy>
  <cp:revision>191</cp:revision>
  <dcterms:created xsi:type="dcterms:W3CDTF">2026-07-01T10:07:00Z</dcterms:created>
  <dcterms:modified xsi:type="dcterms:W3CDTF">2026-07-03T09:26:00Z</dcterms:modified>
</cp:coreProperties>
</file>