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000BC0" w14:textId="4CCB881E" w:rsidR="00851D95" w:rsidRDefault="00CB1E87" w:rsidP="00A348A7">
      <w:pPr>
        <w:spacing w:line="360" w:lineRule="auto"/>
        <w:jc w:val="both"/>
      </w:pPr>
      <w:r>
        <w:rPr>
          <w:sz w:val="40"/>
          <w:szCs w:val="40"/>
        </w:rPr>
        <w:t xml:space="preserve">                                                                        </w:t>
      </w:r>
      <w:r w:rsidR="00851D95">
        <w:rPr>
          <w:noProof/>
        </w:rPr>
        <w:drawing>
          <wp:inline distT="0" distB="0" distL="0" distR="0" wp14:anchorId="48EF54F5" wp14:editId="39EDAFC2">
            <wp:extent cx="1409700" cy="1409700"/>
            <wp:effectExtent l="0" t="0" r="0" b="0"/>
            <wp:docPr id="1858519189" name="picture"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409700" cy="1409700"/>
                    </a:xfrm>
                    <a:prstGeom prst="rect">
                      <a:avLst/>
                    </a:prstGeom>
                  </pic:spPr>
                </pic:pic>
              </a:graphicData>
            </a:graphic>
          </wp:inline>
        </w:drawing>
      </w:r>
    </w:p>
    <w:p w14:paraId="434E33C8" w14:textId="6A8AFA49" w:rsidR="00851D95" w:rsidRDefault="59D53E22" w:rsidP="00A348A7">
      <w:pPr>
        <w:spacing w:line="360" w:lineRule="auto"/>
        <w:jc w:val="right"/>
        <w:rPr>
          <w:rFonts w:ascii="Arial" w:hAnsi="Arial" w:cs="Arial"/>
          <w:sz w:val="24"/>
          <w:szCs w:val="24"/>
        </w:rPr>
      </w:pPr>
      <w:r w:rsidRPr="59D53E22">
        <w:rPr>
          <w:rFonts w:ascii="Arial" w:hAnsi="Arial" w:cs="Arial"/>
          <w:b/>
          <w:bCs/>
          <w:sz w:val="32"/>
          <w:szCs w:val="32"/>
        </w:rPr>
        <w:t xml:space="preserve">                    </w:t>
      </w:r>
      <w:r w:rsidRPr="59D53E22">
        <w:rPr>
          <w:rFonts w:ascii="Arial" w:hAnsi="Arial" w:cs="Arial"/>
          <w:sz w:val="16"/>
          <w:szCs w:val="16"/>
        </w:rPr>
        <w:t>(Anon, 2018)</w:t>
      </w:r>
    </w:p>
    <w:p w14:paraId="2310C6FD" w14:textId="283FAD60" w:rsidR="00851D95" w:rsidRDefault="00851D95" w:rsidP="00A348A7">
      <w:pPr>
        <w:spacing w:line="360" w:lineRule="auto"/>
        <w:jc w:val="both"/>
        <w:rPr>
          <w:rFonts w:ascii="Arial" w:hAnsi="Arial" w:cs="Arial"/>
          <w:b/>
          <w:bCs/>
          <w:sz w:val="32"/>
          <w:szCs w:val="32"/>
        </w:rPr>
      </w:pPr>
    </w:p>
    <w:p w14:paraId="7E40A746" w14:textId="4B767885" w:rsidR="00851D95" w:rsidRDefault="59D53E22" w:rsidP="00A348A7">
      <w:pPr>
        <w:spacing w:line="360" w:lineRule="auto"/>
        <w:jc w:val="both"/>
        <w:rPr>
          <w:rFonts w:ascii="Arial" w:hAnsi="Arial" w:cs="Arial"/>
          <w:sz w:val="24"/>
          <w:szCs w:val="24"/>
        </w:rPr>
      </w:pPr>
      <w:r w:rsidRPr="59D53E22">
        <w:rPr>
          <w:rFonts w:ascii="Arial" w:hAnsi="Arial" w:cs="Arial"/>
          <w:b/>
          <w:bCs/>
          <w:sz w:val="32"/>
          <w:szCs w:val="32"/>
        </w:rPr>
        <w:t>Embedding Sustainability in Early Years</w:t>
      </w:r>
      <w:r w:rsidRPr="59D53E22">
        <w:rPr>
          <w:rFonts w:ascii="Arial" w:hAnsi="Arial" w:cs="Arial"/>
          <w:b/>
          <w:bCs/>
          <w:sz w:val="24"/>
          <w:szCs w:val="24"/>
        </w:rPr>
        <w:t xml:space="preserve">                         </w:t>
      </w:r>
      <w:r w:rsidRPr="59D53E22">
        <w:rPr>
          <w:rFonts w:ascii="Arial" w:hAnsi="Arial" w:cs="Arial"/>
          <w:sz w:val="24"/>
          <w:szCs w:val="24"/>
        </w:rPr>
        <w:t xml:space="preserve"> </w:t>
      </w:r>
    </w:p>
    <w:p w14:paraId="672A6659" w14:textId="77777777" w:rsidR="00851D95" w:rsidRPr="005A0B6C" w:rsidRDefault="00851D95" w:rsidP="00A348A7">
      <w:pPr>
        <w:spacing w:line="360" w:lineRule="auto"/>
        <w:jc w:val="both"/>
        <w:rPr>
          <w:rFonts w:ascii="Arial" w:hAnsi="Arial" w:cs="Arial"/>
          <w:b/>
          <w:sz w:val="24"/>
          <w:szCs w:val="24"/>
        </w:rPr>
      </w:pPr>
    </w:p>
    <w:p w14:paraId="3E7A9F1C" w14:textId="77777777" w:rsidR="00851D95" w:rsidRPr="00A348A7" w:rsidRDefault="0F10FA01" w:rsidP="00A348A7">
      <w:pPr>
        <w:spacing w:line="360" w:lineRule="auto"/>
        <w:jc w:val="both"/>
        <w:rPr>
          <w:rFonts w:ascii="Arial" w:hAnsi="Arial" w:cs="Arial"/>
          <w:b/>
          <w:bCs/>
          <w:sz w:val="24"/>
          <w:szCs w:val="24"/>
        </w:rPr>
      </w:pPr>
      <w:r w:rsidRPr="00A348A7">
        <w:rPr>
          <w:rFonts w:ascii="Arial" w:hAnsi="Arial" w:cs="Arial"/>
          <w:b/>
          <w:bCs/>
          <w:sz w:val="24"/>
          <w:szCs w:val="24"/>
        </w:rPr>
        <w:t>Introduction</w:t>
      </w:r>
    </w:p>
    <w:p w14:paraId="25CE7E23" w14:textId="2170124F" w:rsidR="00851D95" w:rsidRPr="00A348A7" w:rsidRDefault="0F10FA01" w:rsidP="00A348A7">
      <w:pPr>
        <w:spacing w:after="0" w:line="360" w:lineRule="auto"/>
        <w:jc w:val="both"/>
        <w:rPr>
          <w:rFonts w:ascii="Arial" w:eastAsia="Times New Roman" w:hAnsi="Arial" w:cs="Arial"/>
          <w:sz w:val="24"/>
          <w:szCs w:val="24"/>
          <w:lang w:eastAsia="en-GB"/>
        </w:rPr>
      </w:pPr>
      <w:r w:rsidRPr="00A348A7">
        <w:rPr>
          <w:rFonts w:ascii="Arial" w:eastAsia="Times New Roman" w:hAnsi="Arial" w:cs="Arial"/>
          <w:sz w:val="24"/>
          <w:szCs w:val="24"/>
          <w:lang w:eastAsia="en-GB"/>
        </w:rPr>
        <w:t xml:space="preserve">Children of today are our next generation therefore it is considered important for us to educate children and young people to look after the environment from a young age to help them develop values and skills needed to nurture and care for the environment now and in the future (Siraj-Blatchford and Huggins, 2015). </w:t>
      </w:r>
    </w:p>
    <w:p w14:paraId="0A37501D" w14:textId="77777777" w:rsidR="00851D95" w:rsidRPr="00A348A7" w:rsidRDefault="00851D95" w:rsidP="00A348A7">
      <w:pPr>
        <w:spacing w:after="0" w:line="360" w:lineRule="auto"/>
        <w:jc w:val="both"/>
        <w:rPr>
          <w:rFonts w:ascii="Arial" w:eastAsia="Times New Roman" w:hAnsi="Arial" w:cs="Arial"/>
          <w:sz w:val="24"/>
          <w:szCs w:val="24"/>
          <w:lang w:eastAsia="en-GB"/>
        </w:rPr>
      </w:pPr>
    </w:p>
    <w:p w14:paraId="0C47D197" w14:textId="104BFE57" w:rsidR="00851D95" w:rsidRPr="00A348A7" w:rsidRDefault="0F10FA01" w:rsidP="00A348A7">
      <w:pPr>
        <w:spacing w:after="0" w:line="360" w:lineRule="auto"/>
        <w:jc w:val="both"/>
        <w:rPr>
          <w:rFonts w:ascii="Arial" w:eastAsia="Times New Roman" w:hAnsi="Arial" w:cs="Arial"/>
          <w:sz w:val="24"/>
          <w:szCs w:val="24"/>
          <w:lang w:eastAsia="en-GB"/>
        </w:rPr>
      </w:pPr>
      <w:r w:rsidRPr="00A348A7">
        <w:rPr>
          <w:rFonts w:ascii="Arial" w:eastAsia="Times New Roman" w:hAnsi="Arial" w:cs="Arial"/>
          <w:sz w:val="24"/>
          <w:szCs w:val="24"/>
          <w:lang w:eastAsia="en-GB"/>
        </w:rPr>
        <w:t xml:space="preserve">With the basis of providing information to practitioners and people with an interest in the Early Years of why and how to implement ESDGC (Education for Sustainable Development and Global Citizenship) within Early Years education, this article will explore what constitutes sustainability and sustainability development, the opportunities and challenges it brings, the links it has with Wales, particularly the Foundation Phase curriculum and Early Years theory and pedagogy (DCELLS, 2008b). </w:t>
      </w:r>
      <w:bookmarkStart w:id="0" w:name="_GoBack"/>
      <w:bookmarkEnd w:id="0"/>
    </w:p>
    <w:p w14:paraId="5DAB6C7B" w14:textId="77777777" w:rsidR="00851D95" w:rsidRPr="00A348A7" w:rsidRDefault="00851D95" w:rsidP="00A348A7">
      <w:pPr>
        <w:spacing w:after="0" w:line="360" w:lineRule="auto"/>
        <w:jc w:val="both"/>
        <w:rPr>
          <w:rFonts w:ascii="Arial" w:eastAsia="Times New Roman" w:hAnsi="Arial" w:cs="Arial"/>
          <w:sz w:val="24"/>
          <w:szCs w:val="24"/>
          <w:lang w:eastAsia="en-GB"/>
        </w:rPr>
      </w:pPr>
    </w:p>
    <w:p w14:paraId="1CE2E696" w14:textId="77777777" w:rsidR="00CB1E87" w:rsidRPr="00A348A7" w:rsidRDefault="0F10FA01" w:rsidP="00A348A7">
      <w:pPr>
        <w:spacing w:line="360" w:lineRule="auto"/>
        <w:jc w:val="both"/>
        <w:rPr>
          <w:rFonts w:ascii="Arial" w:hAnsi="Arial" w:cs="Arial"/>
          <w:sz w:val="24"/>
          <w:szCs w:val="24"/>
        </w:rPr>
      </w:pPr>
      <w:r w:rsidRPr="00A348A7">
        <w:rPr>
          <w:rFonts w:ascii="Arial" w:hAnsi="Arial" w:cs="Arial"/>
          <w:b/>
          <w:bCs/>
          <w:sz w:val="24"/>
          <w:szCs w:val="24"/>
        </w:rPr>
        <w:t>What is Sustainability?</w:t>
      </w:r>
    </w:p>
    <w:p w14:paraId="1159A7FD" w14:textId="29FB682B" w:rsidR="00851D95" w:rsidRPr="00A348A7" w:rsidRDefault="0F10FA01" w:rsidP="00A348A7">
      <w:pPr>
        <w:spacing w:line="360" w:lineRule="auto"/>
        <w:jc w:val="both"/>
        <w:rPr>
          <w:rFonts w:ascii="Arial" w:hAnsi="Arial" w:cs="Arial"/>
          <w:sz w:val="24"/>
          <w:szCs w:val="24"/>
        </w:rPr>
      </w:pPr>
      <w:r w:rsidRPr="00A348A7">
        <w:rPr>
          <w:rFonts w:ascii="Arial" w:hAnsi="Arial" w:cs="Arial"/>
          <w:sz w:val="24"/>
          <w:szCs w:val="24"/>
        </w:rPr>
        <w:t>Sustainability is often considered as being linked solely to environmental issues for example; recycling and waste disposal, protecting and conserving wildlife and natural habitats (Davis, 2010). Warwick and Warwick (2015) suggest although these are all important aspects, sustainability consists of broader concepts surrounding fairness and equity with the basis of thinking about the impact our actions and behaviour will have on future generations.</w:t>
      </w:r>
    </w:p>
    <w:p w14:paraId="6ED073C5" w14:textId="5AFA13FB" w:rsidR="00851D95" w:rsidRPr="00A348A7" w:rsidRDefault="0F10FA01" w:rsidP="00A348A7">
      <w:pPr>
        <w:spacing w:line="360" w:lineRule="auto"/>
        <w:jc w:val="both"/>
        <w:rPr>
          <w:rFonts w:ascii="Arial" w:hAnsi="Arial" w:cs="Arial"/>
          <w:sz w:val="24"/>
          <w:szCs w:val="24"/>
        </w:rPr>
      </w:pPr>
      <w:r w:rsidRPr="00A348A7">
        <w:rPr>
          <w:rFonts w:ascii="Arial" w:hAnsi="Arial" w:cs="Arial"/>
          <w:sz w:val="24"/>
          <w:szCs w:val="24"/>
        </w:rPr>
        <w:lastRenderedPageBreak/>
        <w:t xml:space="preserve">As stated in the </w:t>
      </w:r>
      <w:proofErr w:type="spellStart"/>
      <w:r w:rsidRPr="00A348A7">
        <w:rPr>
          <w:rFonts w:ascii="Arial" w:hAnsi="Arial" w:cs="Arial"/>
          <w:sz w:val="24"/>
          <w:szCs w:val="24"/>
        </w:rPr>
        <w:t>Bruntland</w:t>
      </w:r>
      <w:proofErr w:type="spellEnd"/>
      <w:r w:rsidRPr="00A348A7">
        <w:rPr>
          <w:rFonts w:ascii="Arial" w:hAnsi="Arial" w:cs="Arial"/>
          <w:sz w:val="24"/>
          <w:szCs w:val="24"/>
        </w:rPr>
        <w:t xml:space="preserve"> Report (1987) “Sustainability or sustainable development is development that meets the needs of the present, without compromising the ability of future generations to meet their own needs.” (</w:t>
      </w:r>
      <w:proofErr w:type="spellStart"/>
      <w:r w:rsidRPr="00A348A7">
        <w:rPr>
          <w:rFonts w:ascii="Arial" w:hAnsi="Arial" w:cs="Arial"/>
          <w:sz w:val="24"/>
          <w:szCs w:val="24"/>
        </w:rPr>
        <w:t>Unicef</w:t>
      </w:r>
      <w:proofErr w:type="spellEnd"/>
      <w:r w:rsidRPr="00A348A7">
        <w:rPr>
          <w:rFonts w:ascii="Arial" w:hAnsi="Arial" w:cs="Arial"/>
          <w:sz w:val="24"/>
          <w:szCs w:val="24"/>
        </w:rPr>
        <w:t>, 2018).</w:t>
      </w:r>
    </w:p>
    <w:p w14:paraId="294C8045" w14:textId="75B90464" w:rsidR="00851D95" w:rsidRPr="00A348A7" w:rsidRDefault="59D53E22" w:rsidP="00A348A7">
      <w:pPr>
        <w:spacing w:line="360" w:lineRule="auto"/>
        <w:jc w:val="both"/>
        <w:rPr>
          <w:rStyle w:val="smallgrn"/>
          <w:rFonts w:ascii="Arial" w:hAnsi="Arial" w:cs="Arial"/>
          <w:sz w:val="24"/>
          <w:szCs w:val="24"/>
        </w:rPr>
      </w:pPr>
      <w:r w:rsidRPr="00A348A7">
        <w:rPr>
          <w:rFonts w:ascii="Arial" w:hAnsi="Arial" w:cs="Arial"/>
          <w:sz w:val="24"/>
          <w:szCs w:val="24"/>
        </w:rPr>
        <w:t xml:space="preserve">The three pillars of sustainability </w:t>
      </w:r>
      <w:proofErr w:type="gramStart"/>
      <w:r w:rsidRPr="00A348A7">
        <w:rPr>
          <w:rFonts w:ascii="Arial" w:hAnsi="Arial" w:cs="Arial"/>
          <w:sz w:val="24"/>
          <w:szCs w:val="24"/>
        </w:rPr>
        <w:t>is</w:t>
      </w:r>
      <w:proofErr w:type="gramEnd"/>
      <w:r w:rsidRPr="00A348A7">
        <w:rPr>
          <w:rFonts w:ascii="Arial" w:hAnsi="Arial" w:cs="Arial"/>
          <w:sz w:val="24"/>
          <w:szCs w:val="24"/>
        </w:rPr>
        <w:t xml:space="preserve"> a tool used to define sustainability, it is separated into three concepts, environmental sustainability, social sustainability and economic sustainability. To reach sustainable development all three areas must be considered, without social and economic sustainability, environmental sustainability cannot be obtained as the environment relies on social and economic aspects to be sustainable (</w:t>
      </w:r>
      <w:proofErr w:type="spellStart"/>
      <w:r w:rsidRPr="00A348A7">
        <w:rPr>
          <w:rFonts w:ascii="Arial" w:hAnsi="Arial" w:cs="Arial"/>
          <w:sz w:val="24"/>
          <w:szCs w:val="24"/>
        </w:rPr>
        <w:t>Thwink</w:t>
      </w:r>
      <w:proofErr w:type="spellEnd"/>
      <w:r w:rsidRPr="00A348A7">
        <w:rPr>
          <w:rFonts w:ascii="Arial" w:hAnsi="Arial" w:cs="Arial"/>
          <w:sz w:val="24"/>
          <w:szCs w:val="24"/>
        </w:rPr>
        <w:t>, 2018).</w:t>
      </w:r>
    </w:p>
    <w:p w14:paraId="05E484AC" w14:textId="1498519B" w:rsidR="59D53E22" w:rsidRPr="00A348A7" w:rsidRDefault="59D53E22" w:rsidP="00A348A7">
      <w:pPr>
        <w:spacing w:line="360" w:lineRule="auto"/>
        <w:jc w:val="both"/>
        <w:rPr>
          <w:rFonts w:ascii="Arial" w:hAnsi="Arial" w:cs="Arial"/>
          <w:sz w:val="24"/>
          <w:szCs w:val="24"/>
        </w:rPr>
      </w:pPr>
    </w:p>
    <w:p w14:paraId="52E31D09" w14:textId="77777777" w:rsidR="00851D95" w:rsidRPr="00A348A7" w:rsidRDefault="00851D95" w:rsidP="00A348A7">
      <w:pPr>
        <w:spacing w:line="360" w:lineRule="auto"/>
        <w:jc w:val="both"/>
        <w:rPr>
          <w:rStyle w:val="smallgrn"/>
          <w:rFonts w:ascii="Arial" w:hAnsi="Arial" w:cs="Arial"/>
          <w:sz w:val="24"/>
          <w:szCs w:val="24"/>
        </w:rPr>
      </w:pPr>
      <w:r w:rsidRPr="00A348A7">
        <w:rPr>
          <w:rFonts w:ascii="Arial" w:hAnsi="Arial" w:cs="Arial"/>
          <w:noProof/>
          <w:sz w:val="24"/>
          <w:szCs w:val="24"/>
        </w:rPr>
        <w:drawing>
          <wp:inline distT="0" distB="0" distL="0" distR="0" wp14:anchorId="37EE6A22" wp14:editId="7AB75153">
            <wp:extent cx="2085975" cy="1694355"/>
            <wp:effectExtent l="0" t="0" r="0" b="1270"/>
            <wp:docPr id="2143399525" name="picture" descr="http://ejopa.missouristate.edu/index.php/ejournal/article/viewFile/41/55/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8">
                      <a:extLst>
                        <a:ext uri="{28A0092B-C50C-407E-A947-70E740481C1C}">
                          <a14:useLocalDpi xmlns:a14="http://schemas.microsoft.com/office/drawing/2010/main" val="0"/>
                        </a:ext>
                      </a:extLst>
                    </a:blip>
                    <a:stretch>
                      <a:fillRect/>
                    </a:stretch>
                  </pic:blipFill>
                  <pic:spPr>
                    <a:xfrm>
                      <a:off x="0" y="0"/>
                      <a:ext cx="2085975" cy="1694355"/>
                    </a:xfrm>
                    <a:prstGeom prst="rect">
                      <a:avLst/>
                    </a:prstGeom>
                  </pic:spPr>
                </pic:pic>
              </a:graphicData>
            </a:graphic>
          </wp:inline>
        </w:drawing>
      </w:r>
      <w:r w:rsidR="0F10FA01" w:rsidRPr="00A348A7">
        <w:rPr>
          <w:rStyle w:val="smallgrn"/>
          <w:rFonts w:ascii="Arial" w:hAnsi="Arial" w:cs="Arial"/>
          <w:sz w:val="24"/>
          <w:szCs w:val="24"/>
        </w:rPr>
        <w:t xml:space="preserve">  (</w:t>
      </w:r>
      <w:proofErr w:type="spellStart"/>
      <w:r w:rsidR="0F10FA01" w:rsidRPr="00A348A7">
        <w:rPr>
          <w:rStyle w:val="smallgrn"/>
          <w:rFonts w:ascii="Arial" w:hAnsi="Arial" w:cs="Arial"/>
          <w:sz w:val="24"/>
          <w:szCs w:val="24"/>
        </w:rPr>
        <w:t>Ejopa</w:t>
      </w:r>
      <w:proofErr w:type="spellEnd"/>
      <w:r w:rsidR="0F10FA01" w:rsidRPr="00A348A7">
        <w:rPr>
          <w:rStyle w:val="smallgrn"/>
          <w:rFonts w:ascii="Arial" w:hAnsi="Arial" w:cs="Arial"/>
          <w:sz w:val="24"/>
          <w:szCs w:val="24"/>
        </w:rPr>
        <w:t>, 2017)</w:t>
      </w:r>
    </w:p>
    <w:p w14:paraId="08729EE7" w14:textId="7A2B2AE5" w:rsidR="0F10FA01" w:rsidRPr="00A348A7" w:rsidRDefault="0F10FA01" w:rsidP="00A348A7">
      <w:pPr>
        <w:spacing w:line="360" w:lineRule="auto"/>
        <w:jc w:val="both"/>
        <w:rPr>
          <w:rFonts w:ascii="Arial" w:eastAsia="Times New Roman" w:hAnsi="Arial" w:cs="Arial"/>
          <w:b/>
          <w:bCs/>
          <w:color w:val="FF0000"/>
          <w:sz w:val="24"/>
          <w:szCs w:val="24"/>
          <w:u w:val="single"/>
          <w:lang w:eastAsia="en-GB"/>
        </w:rPr>
      </w:pPr>
    </w:p>
    <w:p w14:paraId="4FC9D068" w14:textId="77777777" w:rsidR="00851D95" w:rsidRPr="00A348A7" w:rsidRDefault="0F10FA01" w:rsidP="00A348A7">
      <w:pPr>
        <w:spacing w:line="360" w:lineRule="auto"/>
        <w:jc w:val="both"/>
        <w:rPr>
          <w:rFonts w:ascii="Arial" w:hAnsi="Arial" w:cs="Arial"/>
          <w:b/>
          <w:bCs/>
          <w:sz w:val="24"/>
          <w:szCs w:val="24"/>
        </w:rPr>
      </w:pPr>
      <w:r w:rsidRPr="00A348A7">
        <w:rPr>
          <w:rFonts w:ascii="Arial" w:eastAsia="Times New Roman" w:hAnsi="Arial" w:cs="Arial"/>
          <w:b/>
          <w:bCs/>
          <w:sz w:val="24"/>
          <w:szCs w:val="24"/>
          <w:lang w:eastAsia="en-GB"/>
        </w:rPr>
        <w:t>Opportunities &amp; Challenges</w:t>
      </w:r>
    </w:p>
    <w:p w14:paraId="1C28DE45" w14:textId="7CCCA6AB" w:rsidR="00851D95" w:rsidRPr="00A348A7" w:rsidRDefault="0F10FA01" w:rsidP="00A348A7">
      <w:pPr>
        <w:spacing w:after="0" w:line="360" w:lineRule="auto"/>
        <w:jc w:val="both"/>
        <w:rPr>
          <w:rFonts w:ascii="Arial" w:eastAsia="Times New Roman" w:hAnsi="Arial" w:cs="Arial"/>
          <w:sz w:val="24"/>
          <w:szCs w:val="24"/>
          <w:lang w:eastAsia="en-GB"/>
        </w:rPr>
      </w:pPr>
      <w:r w:rsidRPr="00A348A7">
        <w:rPr>
          <w:rFonts w:ascii="Arial" w:eastAsia="Times New Roman" w:hAnsi="Arial" w:cs="Arial"/>
          <w:sz w:val="24"/>
          <w:szCs w:val="24"/>
          <w:lang w:eastAsia="en-GB"/>
        </w:rPr>
        <w:t xml:space="preserve">Small scale qualitative research carried out by </w:t>
      </w:r>
      <w:proofErr w:type="spellStart"/>
      <w:r w:rsidRPr="00A348A7">
        <w:rPr>
          <w:rFonts w:ascii="Arial" w:eastAsia="Times New Roman" w:hAnsi="Arial" w:cs="Arial"/>
          <w:sz w:val="24"/>
          <w:szCs w:val="24"/>
          <w:lang w:eastAsia="en-GB"/>
        </w:rPr>
        <w:t>Tinney</w:t>
      </w:r>
      <w:proofErr w:type="spellEnd"/>
      <w:r w:rsidRPr="00A348A7">
        <w:rPr>
          <w:rFonts w:ascii="Arial" w:eastAsia="Times New Roman" w:hAnsi="Arial" w:cs="Arial"/>
          <w:sz w:val="24"/>
          <w:szCs w:val="24"/>
          <w:lang w:eastAsia="en-GB"/>
        </w:rPr>
        <w:t xml:space="preserve"> and Hurst (2018) involving teacher trainees and those already working within early years revealed challenges of implementing ESDGC into Early Years practice, these were;</w:t>
      </w:r>
    </w:p>
    <w:p w14:paraId="26BAC1A0" w14:textId="77777777" w:rsidR="00851D95" w:rsidRPr="00A348A7" w:rsidRDefault="0F10FA01" w:rsidP="00A348A7">
      <w:pPr>
        <w:pStyle w:val="ListParagraph"/>
        <w:numPr>
          <w:ilvl w:val="0"/>
          <w:numId w:val="6"/>
        </w:numPr>
        <w:spacing w:after="0" w:line="360" w:lineRule="auto"/>
        <w:jc w:val="both"/>
        <w:rPr>
          <w:rFonts w:ascii="Arial" w:eastAsia="Times New Roman" w:hAnsi="Arial" w:cs="Arial"/>
          <w:sz w:val="24"/>
          <w:szCs w:val="24"/>
          <w:lang w:eastAsia="en-GB"/>
        </w:rPr>
      </w:pPr>
      <w:r w:rsidRPr="00A348A7">
        <w:rPr>
          <w:rFonts w:ascii="Arial" w:eastAsia="Times New Roman" w:hAnsi="Arial" w:cs="Arial"/>
          <w:sz w:val="24"/>
          <w:szCs w:val="24"/>
          <w:lang w:eastAsia="en-GB"/>
        </w:rPr>
        <w:t>Time - practitioners believed it was difficult to integrate ESD into practice with their already growing workload</w:t>
      </w:r>
    </w:p>
    <w:p w14:paraId="4D51D316" w14:textId="77777777" w:rsidR="00851D95" w:rsidRPr="00A348A7" w:rsidRDefault="0F10FA01" w:rsidP="00A348A7">
      <w:pPr>
        <w:pStyle w:val="ListParagraph"/>
        <w:numPr>
          <w:ilvl w:val="0"/>
          <w:numId w:val="6"/>
        </w:numPr>
        <w:spacing w:after="0" w:line="360" w:lineRule="auto"/>
        <w:jc w:val="both"/>
        <w:rPr>
          <w:rFonts w:ascii="Arial" w:eastAsia="Times New Roman" w:hAnsi="Arial" w:cs="Arial"/>
          <w:sz w:val="24"/>
          <w:szCs w:val="24"/>
          <w:lang w:eastAsia="en-GB"/>
        </w:rPr>
      </w:pPr>
      <w:r w:rsidRPr="00A348A7">
        <w:rPr>
          <w:rFonts w:ascii="Arial" w:eastAsia="Times New Roman" w:hAnsi="Arial" w:cs="Arial"/>
          <w:sz w:val="24"/>
          <w:szCs w:val="24"/>
          <w:lang w:eastAsia="en-GB"/>
        </w:rPr>
        <w:t>ESDGC perceived as an additional subject</w:t>
      </w:r>
    </w:p>
    <w:p w14:paraId="01403B10" w14:textId="26BA0D49" w:rsidR="005A0B6C" w:rsidRPr="00A348A7" w:rsidRDefault="59D53E22" w:rsidP="00A348A7">
      <w:pPr>
        <w:pStyle w:val="ListParagraph"/>
        <w:numPr>
          <w:ilvl w:val="0"/>
          <w:numId w:val="6"/>
        </w:numPr>
        <w:spacing w:after="0" w:line="360" w:lineRule="auto"/>
        <w:jc w:val="both"/>
        <w:rPr>
          <w:rFonts w:ascii="Arial" w:eastAsia="Times New Roman" w:hAnsi="Arial" w:cs="Arial"/>
          <w:sz w:val="24"/>
          <w:szCs w:val="24"/>
          <w:lang w:eastAsia="en-GB"/>
        </w:rPr>
      </w:pPr>
      <w:r w:rsidRPr="00A348A7">
        <w:rPr>
          <w:rFonts w:ascii="Arial" w:eastAsia="Times New Roman" w:hAnsi="Arial" w:cs="Arial"/>
          <w:sz w:val="24"/>
          <w:szCs w:val="24"/>
          <w:lang w:eastAsia="en-GB"/>
        </w:rPr>
        <w:t xml:space="preserve">Complexity – practitioners agreed it was a complex subject that young children would not be able to understand  </w:t>
      </w:r>
    </w:p>
    <w:p w14:paraId="1CB221E7" w14:textId="78453BAF" w:rsidR="005A0B6C" w:rsidRPr="00A348A7" w:rsidRDefault="59D53E22" w:rsidP="00A348A7">
      <w:pPr>
        <w:spacing w:after="0" w:line="360" w:lineRule="auto"/>
        <w:jc w:val="both"/>
        <w:rPr>
          <w:rFonts w:ascii="Arial" w:eastAsia="Times New Roman" w:hAnsi="Arial" w:cs="Arial"/>
          <w:sz w:val="24"/>
          <w:szCs w:val="24"/>
          <w:lang w:eastAsia="en-GB"/>
        </w:rPr>
      </w:pPr>
      <w:r w:rsidRPr="00A348A7">
        <w:rPr>
          <w:rFonts w:ascii="Arial" w:eastAsia="Times New Roman" w:hAnsi="Arial" w:cs="Arial"/>
          <w:sz w:val="24"/>
          <w:szCs w:val="24"/>
          <w:lang w:eastAsia="en-GB"/>
        </w:rPr>
        <w:t xml:space="preserve">                                                                                                            (</w:t>
      </w:r>
      <w:proofErr w:type="spellStart"/>
      <w:r w:rsidRPr="00A348A7">
        <w:rPr>
          <w:rFonts w:ascii="Arial" w:eastAsia="Times New Roman" w:hAnsi="Arial" w:cs="Arial"/>
          <w:sz w:val="24"/>
          <w:szCs w:val="24"/>
          <w:lang w:eastAsia="en-GB"/>
        </w:rPr>
        <w:t>Tinney</w:t>
      </w:r>
      <w:proofErr w:type="spellEnd"/>
      <w:r w:rsidRPr="00A348A7">
        <w:rPr>
          <w:rFonts w:ascii="Arial" w:eastAsia="Times New Roman" w:hAnsi="Arial" w:cs="Arial"/>
          <w:sz w:val="24"/>
          <w:szCs w:val="24"/>
          <w:lang w:eastAsia="en-GB"/>
        </w:rPr>
        <w:t>, 2014)</w:t>
      </w:r>
    </w:p>
    <w:p w14:paraId="6A05A809" w14:textId="77777777" w:rsidR="005A0B6C" w:rsidRPr="00A348A7" w:rsidRDefault="005A0B6C" w:rsidP="00A348A7">
      <w:pPr>
        <w:spacing w:after="0" w:line="360" w:lineRule="auto"/>
        <w:jc w:val="both"/>
        <w:rPr>
          <w:rFonts w:ascii="Arial" w:eastAsia="Times New Roman" w:hAnsi="Arial" w:cs="Arial"/>
          <w:sz w:val="24"/>
          <w:szCs w:val="24"/>
          <w:lang w:eastAsia="en-GB"/>
        </w:rPr>
      </w:pPr>
    </w:p>
    <w:p w14:paraId="7F91A566" w14:textId="2B2D2579" w:rsidR="005A0B6C" w:rsidRPr="00A348A7" w:rsidRDefault="0F10FA01" w:rsidP="00A348A7">
      <w:pPr>
        <w:spacing w:after="0" w:line="360" w:lineRule="auto"/>
        <w:jc w:val="both"/>
        <w:rPr>
          <w:rFonts w:ascii="Arial" w:eastAsia="Times New Roman" w:hAnsi="Arial" w:cs="Arial"/>
          <w:sz w:val="24"/>
          <w:szCs w:val="24"/>
          <w:lang w:eastAsia="en-GB"/>
        </w:rPr>
      </w:pPr>
      <w:r w:rsidRPr="00A348A7">
        <w:rPr>
          <w:rFonts w:ascii="Arial" w:eastAsia="Times New Roman" w:hAnsi="Arial" w:cs="Arial"/>
          <w:sz w:val="24"/>
          <w:szCs w:val="24"/>
          <w:lang w:eastAsia="en-GB"/>
        </w:rPr>
        <w:lastRenderedPageBreak/>
        <w:t xml:space="preserve">Elliot and Davies (2014) support this by stating practitioners lack confidence and knowledge in terms of education for sustainable development, they highlight practitioners need training opportunities along with the willingness to learn what constitutes sustainable development and how it can be embedded into early years daily practice to educate our young children of today to obtain a more sustainable future. </w:t>
      </w:r>
    </w:p>
    <w:p w14:paraId="4C0FD32C" w14:textId="0FB5777D" w:rsidR="005A0B6C" w:rsidRPr="00A348A7" w:rsidRDefault="005A0B6C" w:rsidP="00A348A7">
      <w:pPr>
        <w:spacing w:after="0" w:line="360" w:lineRule="auto"/>
        <w:jc w:val="both"/>
        <w:rPr>
          <w:rFonts w:ascii="Arial" w:eastAsia="Times New Roman" w:hAnsi="Arial" w:cs="Arial"/>
          <w:sz w:val="24"/>
          <w:szCs w:val="24"/>
          <w:lang w:eastAsia="en-GB"/>
        </w:rPr>
      </w:pPr>
    </w:p>
    <w:p w14:paraId="64CAB61F" w14:textId="183FD0CD" w:rsidR="005A0B6C" w:rsidRPr="00A348A7" w:rsidRDefault="59D53E22" w:rsidP="00A348A7">
      <w:pPr>
        <w:spacing w:after="0" w:line="360" w:lineRule="auto"/>
        <w:jc w:val="both"/>
        <w:rPr>
          <w:rFonts w:ascii="Arial" w:eastAsia="Times New Roman" w:hAnsi="Arial" w:cs="Arial"/>
          <w:sz w:val="24"/>
          <w:szCs w:val="24"/>
          <w:lang w:eastAsia="en-GB"/>
        </w:rPr>
      </w:pPr>
      <w:r w:rsidRPr="00A348A7">
        <w:rPr>
          <w:rFonts w:ascii="Arial" w:eastAsia="Times New Roman" w:hAnsi="Arial" w:cs="Arial"/>
          <w:sz w:val="24"/>
          <w:szCs w:val="24"/>
          <w:lang w:eastAsia="en-GB"/>
        </w:rPr>
        <w:t>Organisations such as Oxfam (2018) and Amnesty (2018) provide information, support and advice on sustainability. Practitioners can access a range of resources to aid the delivery of ESDGC (DCELLS, 2008b) throughout their settings.</w:t>
      </w:r>
    </w:p>
    <w:p w14:paraId="5E6DF31E" w14:textId="40C117DE" w:rsidR="005A0B6C" w:rsidRPr="00A348A7" w:rsidRDefault="005A0B6C" w:rsidP="00A348A7">
      <w:pPr>
        <w:spacing w:after="0" w:line="360" w:lineRule="auto"/>
        <w:jc w:val="both"/>
        <w:rPr>
          <w:rFonts w:ascii="Arial" w:eastAsia="Times New Roman" w:hAnsi="Arial" w:cs="Arial"/>
          <w:sz w:val="24"/>
          <w:szCs w:val="24"/>
          <w:lang w:eastAsia="en-GB"/>
        </w:rPr>
      </w:pPr>
    </w:p>
    <w:p w14:paraId="250F3881" w14:textId="20D10782" w:rsidR="005A0B6C" w:rsidRPr="00A348A7" w:rsidRDefault="59D53E22" w:rsidP="00A348A7">
      <w:pPr>
        <w:spacing w:after="0" w:line="360" w:lineRule="auto"/>
        <w:jc w:val="both"/>
        <w:rPr>
          <w:rFonts w:ascii="Arial" w:eastAsia="Times New Roman" w:hAnsi="Arial" w:cs="Arial"/>
          <w:sz w:val="24"/>
          <w:szCs w:val="24"/>
          <w:lang w:eastAsia="en-GB"/>
        </w:rPr>
      </w:pPr>
      <w:r w:rsidRPr="00A348A7">
        <w:rPr>
          <w:rFonts w:ascii="Arial" w:eastAsia="Times New Roman" w:hAnsi="Arial" w:cs="Arial"/>
          <w:sz w:val="24"/>
          <w:szCs w:val="24"/>
          <w:lang w:eastAsia="en-GB"/>
        </w:rPr>
        <w:t>DCELLS (2008a) suggests sustainable development can be embedded across the curriculum by altering daily practice to meet the needs of being sustainable. Foundation Years (no date) agrees that this can be done by making simple changes such as erecting a composting area or worm farm for food waste and having separate waste disposal areas to separate materials for recycling. Early Childhood Australia (2018) believes making simple changes whereby children can make choices and decisions about their waste, along with the adult as the facilitator helping them to understand the effects of waste disposal on the environment, can provide them with the skills and values needed to contribute to a sustainable future (Siraj-Blatchford and Higgins, 2015).</w:t>
      </w:r>
    </w:p>
    <w:p w14:paraId="5388A21C" w14:textId="165F9760" w:rsidR="0F10FA01" w:rsidRPr="00A348A7" w:rsidRDefault="0F10FA01" w:rsidP="00A348A7">
      <w:pPr>
        <w:spacing w:after="0" w:line="360" w:lineRule="auto"/>
        <w:jc w:val="both"/>
        <w:rPr>
          <w:rFonts w:ascii="Arial" w:eastAsia="Times New Roman" w:hAnsi="Arial" w:cs="Arial"/>
          <w:sz w:val="24"/>
          <w:szCs w:val="24"/>
          <w:lang w:eastAsia="en-GB"/>
        </w:rPr>
      </w:pPr>
    </w:p>
    <w:p w14:paraId="6D7C53EC" w14:textId="013CBBCF" w:rsidR="00AA4BD9" w:rsidRPr="00A348A7" w:rsidRDefault="59D53E22" w:rsidP="00A348A7">
      <w:pPr>
        <w:spacing w:after="0" w:line="360" w:lineRule="auto"/>
        <w:jc w:val="both"/>
        <w:rPr>
          <w:rFonts w:ascii="Arial" w:eastAsia="Times New Roman" w:hAnsi="Arial" w:cs="Arial"/>
          <w:sz w:val="24"/>
          <w:szCs w:val="24"/>
          <w:lang w:eastAsia="en-GB"/>
        </w:rPr>
      </w:pPr>
      <w:r w:rsidRPr="00A348A7">
        <w:rPr>
          <w:rFonts w:ascii="Arial" w:eastAsia="Times New Roman" w:hAnsi="Arial" w:cs="Arial"/>
          <w:sz w:val="24"/>
          <w:szCs w:val="24"/>
          <w:lang w:eastAsia="en-GB"/>
        </w:rPr>
        <w:t xml:space="preserve">Furthermore, the abovementioned research by </w:t>
      </w:r>
      <w:proofErr w:type="spellStart"/>
      <w:r w:rsidRPr="00A348A7">
        <w:rPr>
          <w:rFonts w:ascii="Arial" w:eastAsia="Times New Roman" w:hAnsi="Arial" w:cs="Arial"/>
          <w:sz w:val="24"/>
          <w:szCs w:val="24"/>
          <w:lang w:eastAsia="en-GB"/>
        </w:rPr>
        <w:t>Tinney</w:t>
      </w:r>
      <w:proofErr w:type="spellEnd"/>
      <w:r w:rsidRPr="00A348A7">
        <w:rPr>
          <w:rFonts w:ascii="Arial" w:eastAsia="Times New Roman" w:hAnsi="Arial" w:cs="Arial"/>
          <w:sz w:val="24"/>
          <w:szCs w:val="24"/>
          <w:lang w:eastAsia="en-GB"/>
        </w:rPr>
        <w:t xml:space="preserve"> and Hurst (2018) revealed practitioners perceived ESD as being too complex for young children to understand, however in contrast, Psychology.org.au (2018) states children can successfully develop skills and values to care for others and their environment providing they are educated by practitioners at a level that they understand. </w:t>
      </w:r>
    </w:p>
    <w:p w14:paraId="6EEEB370" w14:textId="1F818017" w:rsidR="00AA4BD9" w:rsidRPr="00A348A7" w:rsidRDefault="00E145A2" w:rsidP="00A348A7">
      <w:pPr>
        <w:tabs>
          <w:tab w:val="left" w:pos="6090"/>
        </w:tabs>
        <w:spacing w:after="0" w:line="360" w:lineRule="auto"/>
        <w:jc w:val="both"/>
        <w:rPr>
          <w:rFonts w:ascii="Arial" w:eastAsia="Times New Roman" w:hAnsi="Arial" w:cs="Arial"/>
          <w:sz w:val="24"/>
          <w:szCs w:val="24"/>
          <w:lang w:eastAsia="en-GB"/>
        </w:rPr>
      </w:pPr>
      <w:r w:rsidRPr="00A348A7">
        <w:rPr>
          <w:rFonts w:ascii="Arial" w:hAnsi="Arial" w:cs="Arial"/>
          <w:noProof/>
          <w:sz w:val="24"/>
          <w:szCs w:val="24"/>
        </w:rPr>
        <w:lastRenderedPageBreak/>
        <w:drawing>
          <wp:inline distT="0" distB="0" distL="0" distR="0" wp14:anchorId="3AF1DBBD" wp14:editId="2F9231E5">
            <wp:extent cx="4276725" cy="2149037"/>
            <wp:effectExtent l="0" t="0" r="0" b="3810"/>
            <wp:docPr id="1420297712"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9">
                      <a:extLst>
                        <a:ext uri="{28A0092B-C50C-407E-A947-70E740481C1C}">
                          <a14:useLocalDpi xmlns:a14="http://schemas.microsoft.com/office/drawing/2010/main" val="0"/>
                        </a:ext>
                      </a:extLst>
                    </a:blip>
                    <a:stretch>
                      <a:fillRect/>
                    </a:stretch>
                  </pic:blipFill>
                  <pic:spPr>
                    <a:xfrm>
                      <a:off x="0" y="0"/>
                      <a:ext cx="4295551" cy="2158497"/>
                    </a:xfrm>
                    <a:prstGeom prst="rect">
                      <a:avLst/>
                    </a:prstGeom>
                  </pic:spPr>
                </pic:pic>
              </a:graphicData>
            </a:graphic>
          </wp:inline>
        </w:drawing>
      </w:r>
      <w:r w:rsidRPr="00A348A7">
        <w:rPr>
          <w:rFonts w:ascii="Arial" w:eastAsia="Times New Roman" w:hAnsi="Arial" w:cs="Arial"/>
          <w:b/>
          <w:sz w:val="24"/>
          <w:szCs w:val="24"/>
          <w:lang w:eastAsia="en-GB"/>
        </w:rPr>
        <w:tab/>
      </w:r>
      <w:r w:rsidRPr="00A348A7">
        <w:rPr>
          <w:rFonts w:ascii="Arial" w:eastAsia="Times New Roman" w:hAnsi="Arial" w:cs="Arial"/>
          <w:b/>
          <w:bCs/>
          <w:sz w:val="24"/>
          <w:szCs w:val="24"/>
          <w:lang w:eastAsia="en-GB"/>
        </w:rPr>
        <w:t xml:space="preserve">                                                                                        </w:t>
      </w:r>
      <w:r w:rsidR="00B5799D" w:rsidRPr="00A348A7">
        <w:rPr>
          <w:rFonts w:ascii="Arial" w:eastAsia="Times New Roman" w:hAnsi="Arial" w:cs="Arial"/>
          <w:b/>
          <w:bCs/>
          <w:sz w:val="24"/>
          <w:szCs w:val="24"/>
          <w:lang w:eastAsia="en-GB"/>
        </w:rPr>
        <w:t xml:space="preserve">                                     </w:t>
      </w:r>
      <w:r w:rsidRPr="00A348A7">
        <w:rPr>
          <w:rFonts w:ascii="Arial" w:eastAsia="Times New Roman" w:hAnsi="Arial" w:cs="Arial"/>
          <w:sz w:val="24"/>
          <w:szCs w:val="24"/>
          <w:lang w:eastAsia="en-GB"/>
        </w:rPr>
        <w:t>(Glow Scotland, 2015)</w:t>
      </w:r>
    </w:p>
    <w:p w14:paraId="3656B9AB" w14:textId="2B0C4849" w:rsidR="005A0B6C" w:rsidRPr="00A348A7" w:rsidRDefault="005A0B6C" w:rsidP="00A348A7">
      <w:pPr>
        <w:spacing w:after="0" w:line="360" w:lineRule="auto"/>
        <w:jc w:val="both"/>
        <w:rPr>
          <w:rFonts w:ascii="Arial" w:eastAsia="Times New Roman" w:hAnsi="Arial" w:cs="Arial"/>
          <w:b/>
          <w:bCs/>
          <w:sz w:val="24"/>
          <w:szCs w:val="24"/>
          <w:lang w:eastAsia="en-GB"/>
        </w:rPr>
      </w:pPr>
    </w:p>
    <w:p w14:paraId="646635DC" w14:textId="375E2878" w:rsidR="0F10FA01" w:rsidRPr="00A348A7" w:rsidRDefault="0F10FA01" w:rsidP="00A348A7">
      <w:pPr>
        <w:spacing w:after="0" w:line="360" w:lineRule="auto"/>
        <w:jc w:val="both"/>
        <w:rPr>
          <w:rFonts w:ascii="Arial" w:eastAsia="Times New Roman" w:hAnsi="Arial" w:cs="Arial"/>
          <w:b/>
          <w:bCs/>
          <w:color w:val="FF0000"/>
          <w:sz w:val="24"/>
          <w:szCs w:val="24"/>
          <w:lang w:eastAsia="en-GB"/>
        </w:rPr>
      </w:pPr>
    </w:p>
    <w:p w14:paraId="661DAB4E" w14:textId="55A49AAC" w:rsidR="00851D95" w:rsidRPr="00A348A7" w:rsidRDefault="59D53E22" w:rsidP="00A348A7">
      <w:pPr>
        <w:spacing w:after="0" w:line="360" w:lineRule="auto"/>
        <w:jc w:val="both"/>
        <w:rPr>
          <w:rFonts w:ascii="Arial" w:eastAsia="Times New Roman" w:hAnsi="Arial" w:cs="Arial"/>
          <w:b/>
          <w:bCs/>
          <w:sz w:val="24"/>
          <w:szCs w:val="24"/>
          <w:u w:val="single"/>
          <w:lang w:eastAsia="en-GB"/>
        </w:rPr>
      </w:pPr>
      <w:r w:rsidRPr="00A348A7">
        <w:rPr>
          <w:rFonts w:ascii="Arial" w:eastAsia="Times New Roman" w:hAnsi="Arial" w:cs="Arial"/>
          <w:b/>
          <w:bCs/>
          <w:sz w:val="24"/>
          <w:szCs w:val="24"/>
          <w:lang w:eastAsia="en-GB"/>
        </w:rPr>
        <w:t>ESDGC &amp; Foundation Phase Framework in Wales</w:t>
      </w:r>
    </w:p>
    <w:p w14:paraId="769B3C22" w14:textId="54A46FF0" w:rsidR="00851D95" w:rsidRPr="00A348A7" w:rsidRDefault="00851D95" w:rsidP="00A348A7">
      <w:pPr>
        <w:spacing w:after="0" w:line="360" w:lineRule="auto"/>
        <w:jc w:val="both"/>
        <w:rPr>
          <w:rFonts w:ascii="Arial" w:eastAsia="Times New Roman" w:hAnsi="Arial" w:cs="Arial"/>
          <w:b/>
          <w:bCs/>
          <w:sz w:val="24"/>
          <w:szCs w:val="24"/>
          <w:u w:val="single"/>
          <w:lang w:eastAsia="en-GB"/>
        </w:rPr>
      </w:pPr>
    </w:p>
    <w:p w14:paraId="04891394" w14:textId="2FECCF64" w:rsidR="00851D95" w:rsidRPr="00A348A7" w:rsidRDefault="59D53E22" w:rsidP="00A348A7">
      <w:pPr>
        <w:spacing w:after="0" w:line="360" w:lineRule="auto"/>
        <w:jc w:val="both"/>
        <w:rPr>
          <w:rFonts w:ascii="Arial" w:eastAsia="Arial" w:hAnsi="Arial" w:cs="Arial"/>
          <w:sz w:val="24"/>
          <w:szCs w:val="24"/>
        </w:rPr>
      </w:pPr>
      <w:r w:rsidRPr="00A348A7">
        <w:rPr>
          <w:rFonts w:ascii="Arial" w:hAnsi="Arial" w:cs="Arial"/>
          <w:i/>
          <w:iCs/>
          <w:sz w:val="24"/>
          <w:szCs w:val="24"/>
        </w:rPr>
        <w:t>'</w:t>
      </w:r>
      <w:r w:rsidRPr="00A348A7">
        <w:rPr>
          <w:rFonts w:ascii="Arial" w:eastAsia="Arial" w:hAnsi="Arial" w:cs="Arial"/>
          <w:i/>
          <w:iCs/>
          <w:sz w:val="24"/>
          <w:szCs w:val="24"/>
        </w:rPr>
        <w:t xml:space="preserve">ESDGC is inherent from Foundation Phase, where the emphasis is on experiential learning activities both indoors and outdoors and developing an awareness of the environment and the diversity of the people who live there' </w:t>
      </w:r>
      <w:r w:rsidRPr="00A348A7">
        <w:rPr>
          <w:rFonts w:ascii="Arial" w:eastAsia="Arial" w:hAnsi="Arial" w:cs="Arial"/>
          <w:sz w:val="24"/>
          <w:szCs w:val="24"/>
        </w:rPr>
        <w:t>(DCELLS, 2008b)</w:t>
      </w:r>
    </w:p>
    <w:p w14:paraId="55B496FC" w14:textId="0745E706" w:rsidR="00851D95" w:rsidRPr="00A348A7" w:rsidRDefault="00851D95" w:rsidP="00A348A7">
      <w:pPr>
        <w:spacing w:after="0" w:line="360" w:lineRule="auto"/>
        <w:jc w:val="both"/>
        <w:rPr>
          <w:rFonts w:ascii="Arial" w:eastAsia="Times New Roman" w:hAnsi="Arial" w:cs="Arial"/>
          <w:b/>
          <w:bCs/>
          <w:sz w:val="24"/>
          <w:szCs w:val="24"/>
          <w:u w:val="single"/>
          <w:lang w:eastAsia="en-GB"/>
        </w:rPr>
      </w:pPr>
    </w:p>
    <w:p w14:paraId="10585C93" w14:textId="73CF9209" w:rsidR="00851D95" w:rsidRPr="00A348A7" w:rsidRDefault="59D53E22" w:rsidP="00A348A7">
      <w:pPr>
        <w:spacing w:after="0" w:line="360" w:lineRule="auto"/>
        <w:jc w:val="both"/>
        <w:rPr>
          <w:rFonts w:ascii="Arial" w:eastAsia="Arial" w:hAnsi="Arial" w:cs="Arial"/>
          <w:sz w:val="24"/>
          <w:szCs w:val="24"/>
        </w:rPr>
      </w:pPr>
      <w:r w:rsidRPr="00A348A7">
        <w:rPr>
          <w:rFonts w:ascii="Arial" w:eastAsia="Times New Roman" w:hAnsi="Arial" w:cs="Arial"/>
          <w:sz w:val="24"/>
          <w:szCs w:val="24"/>
          <w:lang w:eastAsia="en-GB"/>
        </w:rPr>
        <w:t xml:space="preserve">Warwick and Warwick (2015) discuss how ESDGC and the Foundation Phase Framework (DCELLS, 2008a) have a very similar ethos; with the principles of both underpinned by a desire for children to have the </w:t>
      </w:r>
      <w:r w:rsidRPr="00A348A7">
        <w:rPr>
          <w:rFonts w:ascii="Arial" w:eastAsia="Arial" w:hAnsi="Arial" w:cs="Arial"/>
          <w:sz w:val="24"/>
          <w:szCs w:val="24"/>
        </w:rPr>
        <w:t>best possible basis for their future growth and development. Both promote a cross curricular approach, with many of the ESDGC themes being current threads running through the Foundation Phase seven areas of learning (2008). This is most evident in the areas of 'P</w:t>
      </w:r>
      <w:r w:rsidRPr="00A348A7">
        <w:rPr>
          <w:rFonts w:ascii="Arial" w:eastAsia="Arial" w:hAnsi="Arial" w:cs="Arial"/>
          <w:color w:val="333333"/>
          <w:sz w:val="24"/>
          <w:szCs w:val="24"/>
        </w:rPr>
        <w:t>ersonal and social development, well-being and cultural diversity' and 'Knowledge and Understand of the World' within the Foundation Phase Framework (2008). The ESDGC themes; c</w:t>
      </w:r>
      <w:r w:rsidRPr="00A348A7">
        <w:rPr>
          <w:rFonts w:ascii="Arial" w:eastAsia="Times New Roman" w:hAnsi="Arial" w:cs="Arial"/>
          <w:sz w:val="24"/>
          <w:szCs w:val="24"/>
          <w:lang w:eastAsia="en-GB"/>
        </w:rPr>
        <w:t xml:space="preserve">hoices and decisions, health, identity and culture, wealth and poverty, consumption and waste, climate change, health, identity and culture, wealth and poverty and the natural environment are all elements of learning covered within these two areas of learning. </w:t>
      </w:r>
    </w:p>
    <w:p w14:paraId="77A6C5F5" w14:textId="708BF5EF" w:rsidR="00851D95" w:rsidRPr="00A348A7" w:rsidRDefault="00851D95" w:rsidP="00A348A7">
      <w:pPr>
        <w:spacing w:after="0" w:line="360" w:lineRule="auto"/>
        <w:jc w:val="both"/>
        <w:rPr>
          <w:rFonts w:ascii="Arial" w:eastAsia="Times New Roman" w:hAnsi="Arial" w:cs="Arial"/>
          <w:sz w:val="24"/>
          <w:szCs w:val="24"/>
          <w:lang w:eastAsia="en-GB"/>
        </w:rPr>
      </w:pPr>
    </w:p>
    <w:p w14:paraId="68DE06FD" w14:textId="2575D591" w:rsidR="00851D95" w:rsidRPr="00A348A7" w:rsidRDefault="59D53E22" w:rsidP="00A348A7">
      <w:pPr>
        <w:spacing w:after="0" w:line="360" w:lineRule="auto"/>
        <w:jc w:val="both"/>
        <w:rPr>
          <w:rFonts w:ascii="Arial" w:eastAsia="Arial" w:hAnsi="Arial" w:cs="Arial"/>
          <w:sz w:val="24"/>
          <w:szCs w:val="24"/>
        </w:rPr>
      </w:pPr>
      <w:r w:rsidRPr="00A348A7">
        <w:rPr>
          <w:rFonts w:ascii="Arial" w:eastAsia="Times New Roman" w:hAnsi="Arial" w:cs="Arial"/>
          <w:sz w:val="24"/>
          <w:szCs w:val="24"/>
          <w:lang w:eastAsia="en-GB"/>
        </w:rPr>
        <w:t xml:space="preserve">As stated by the Welsh Government (2008) </w:t>
      </w:r>
      <w:r w:rsidRPr="00A348A7">
        <w:rPr>
          <w:rFonts w:ascii="Arial" w:eastAsia="Arial" w:hAnsi="Arial" w:cs="Arial"/>
          <w:sz w:val="24"/>
          <w:szCs w:val="24"/>
        </w:rPr>
        <w:t xml:space="preserve">'ESDGC should not </w:t>
      </w:r>
      <w:proofErr w:type="gramStart"/>
      <w:r w:rsidRPr="00A348A7">
        <w:rPr>
          <w:rFonts w:ascii="Arial" w:eastAsia="Arial" w:hAnsi="Arial" w:cs="Arial"/>
          <w:sz w:val="24"/>
          <w:szCs w:val="24"/>
        </w:rPr>
        <w:t>be seen as</w:t>
      </w:r>
      <w:proofErr w:type="gramEnd"/>
      <w:r w:rsidRPr="00A348A7">
        <w:rPr>
          <w:rFonts w:ascii="Arial" w:eastAsia="Arial" w:hAnsi="Arial" w:cs="Arial"/>
          <w:sz w:val="24"/>
          <w:szCs w:val="24"/>
        </w:rPr>
        <w:t xml:space="preserve"> an additional subject...It is an ethos that can be embedded throughout schools, an attitude to be adopted, a value system and a way of life'. ESDGC: A Common Understanding for Schools (2008) suggests that, to effectively incorporate ESDGC into teaching and </w:t>
      </w:r>
      <w:r w:rsidRPr="00A348A7">
        <w:rPr>
          <w:rFonts w:ascii="Arial" w:eastAsia="Arial" w:hAnsi="Arial" w:cs="Arial"/>
          <w:sz w:val="24"/>
          <w:szCs w:val="24"/>
        </w:rPr>
        <w:lastRenderedPageBreak/>
        <w:t>learning; it needs to be relatable to young people and a commonality in their daily lives. Also, that incorporating ESDGC as an underpinning theme or value in teaching and the learning environment will help to provide the knowledge they require to make informed decisions on their lifestyle choices and in turn, have a positive impact on the environmental challenges that we face globally in the long term.</w:t>
      </w:r>
    </w:p>
    <w:p w14:paraId="536D817D" w14:textId="4AF53AD6" w:rsidR="00851D95" w:rsidRPr="00A348A7" w:rsidRDefault="00851D95" w:rsidP="00A348A7">
      <w:pPr>
        <w:spacing w:after="0" w:line="360" w:lineRule="auto"/>
        <w:jc w:val="both"/>
        <w:rPr>
          <w:rFonts w:ascii="Arial" w:eastAsia="Arial" w:hAnsi="Arial" w:cs="Arial"/>
          <w:sz w:val="24"/>
          <w:szCs w:val="24"/>
        </w:rPr>
      </w:pPr>
    </w:p>
    <w:p w14:paraId="0B336FA5" w14:textId="7775A7AF" w:rsidR="00851D95" w:rsidRPr="00A348A7" w:rsidRDefault="59D53E22" w:rsidP="00A348A7">
      <w:pPr>
        <w:spacing w:after="0" w:line="360" w:lineRule="auto"/>
        <w:jc w:val="both"/>
        <w:rPr>
          <w:rFonts w:ascii="Arial" w:eastAsia="Arial" w:hAnsi="Arial" w:cs="Arial"/>
          <w:i/>
          <w:iCs/>
          <w:sz w:val="24"/>
          <w:szCs w:val="24"/>
        </w:rPr>
      </w:pPr>
      <w:r w:rsidRPr="00A348A7">
        <w:rPr>
          <w:rFonts w:ascii="Arial" w:eastAsia="Arial" w:hAnsi="Arial" w:cs="Arial"/>
          <w:i/>
          <w:iCs/>
          <w:sz w:val="24"/>
          <w:szCs w:val="24"/>
        </w:rPr>
        <w:t xml:space="preserve">'Not all learning takes place in the classroom. There are many opportunities to enhance ESDGC through learning outside of the classroom and this can provide a vital link between the theoretical aspects of ESDGC and the reality of the issues that affect our future lifestyles and the world around us' </w:t>
      </w:r>
      <w:r w:rsidRPr="00A348A7">
        <w:rPr>
          <w:rFonts w:ascii="Arial" w:eastAsia="Arial" w:hAnsi="Arial" w:cs="Arial"/>
          <w:sz w:val="24"/>
          <w:szCs w:val="24"/>
        </w:rPr>
        <w:t>(DCELLS, 2008c)</w:t>
      </w:r>
    </w:p>
    <w:p w14:paraId="2EDF3B06" w14:textId="78DF1247" w:rsidR="00851D95" w:rsidRPr="00A348A7" w:rsidRDefault="00851D95" w:rsidP="00A348A7">
      <w:pPr>
        <w:spacing w:after="0" w:line="360" w:lineRule="auto"/>
        <w:jc w:val="both"/>
        <w:rPr>
          <w:rFonts w:ascii="Arial" w:eastAsia="Arial" w:hAnsi="Arial" w:cs="Arial"/>
          <w:sz w:val="24"/>
          <w:szCs w:val="24"/>
        </w:rPr>
      </w:pPr>
    </w:p>
    <w:p w14:paraId="16EF09DD" w14:textId="433DBAF6" w:rsidR="00851D95" w:rsidRPr="00A348A7" w:rsidRDefault="59D53E22" w:rsidP="00A348A7">
      <w:pPr>
        <w:spacing w:after="0" w:line="360" w:lineRule="auto"/>
        <w:jc w:val="both"/>
        <w:rPr>
          <w:rFonts w:ascii="Arial" w:hAnsi="Arial" w:cs="Arial"/>
          <w:sz w:val="24"/>
          <w:szCs w:val="24"/>
        </w:rPr>
      </w:pPr>
      <w:r w:rsidRPr="00A348A7">
        <w:rPr>
          <w:rFonts w:ascii="Arial" w:eastAsia="Arial" w:hAnsi="Arial" w:cs="Arial"/>
          <w:sz w:val="24"/>
          <w:szCs w:val="24"/>
        </w:rPr>
        <w:t xml:space="preserve">The Welsh Government (2008) suggest that a Foundation Phase environment should promote discovery and independence and a greater emphasis on using the outdoor environment as a resource for children’s learning. </w:t>
      </w:r>
      <w:proofErr w:type="spellStart"/>
      <w:r w:rsidRPr="00A348A7">
        <w:rPr>
          <w:rFonts w:ascii="Arial" w:hAnsi="Arial" w:cs="Arial"/>
          <w:sz w:val="24"/>
          <w:szCs w:val="24"/>
        </w:rPr>
        <w:t>Bilton</w:t>
      </w:r>
      <w:proofErr w:type="spellEnd"/>
      <w:r w:rsidRPr="00A348A7">
        <w:rPr>
          <w:rFonts w:ascii="Arial" w:hAnsi="Arial" w:cs="Arial"/>
          <w:sz w:val="24"/>
          <w:szCs w:val="24"/>
        </w:rPr>
        <w:t xml:space="preserve"> (2010) supports this, she continues by discussing how an outdoor area enhances children’s co-operative play skills by encouraging communication, negotiation and sharing. The Welsh Government’s Foundation Phase Framework (2008) also promotes the importance of outdoor play for children’s health and wellbeing. It suggests, like many experts (such as Froebel and Reggio Emilia), that the outdoor environment provides children with the freedom and the ability to explore their natural surroundings, letting their imagination take over and their learning flourish (Foundation Phase, 2008). In support of this idea, the Steiner philosophy ensures 'every kindergarten has a protected and safe natural outdoor area...many kindergartens...spend all day in the woods or outdoors' (Steinerwaldorf.org, 2013). </w:t>
      </w:r>
      <w:proofErr w:type="spellStart"/>
      <w:r w:rsidRPr="00A348A7">
        <w:rPr>
          <w:rFonts w:ascii="Arial" w:hAnsi="Arial" w:cs="Arial"/>
          <w:sz w:val="24"/>
          <w:szCs w:val="24"/>
        </w:rPr>
        <w:t>Bilton</w:t>
      </w:r>
      <w:proofErr w:type="spellEnd"/>
      <w:r w:rsidRPr="00A348A7">
        <w:rPr>
          <w:rFonts w:ascii="Arial" w:hAnsi="Arial" w:cs="Arial"/>
          <w:sz w:val="24"/>
          <w:szCs w:val="24"/>
        </w:rPr>
        <w:t xml:space="preserve"> (2010) believes that a designated outdoor play area provides space for children to have alone time, experimenting with imagination and natural resources. ESDGC: A common Understanding for Schools (2008) highligh</w:t>
      </w:r>
      <w:r w:rsidR="00A348A7" w:rsidRPr="00A348A7">
        <w:rPr>
          <w:rFonts w:ascii="Arial" w:hAnsi="Arial" w:cs="Arial"/>
          <w:sz w:val="24"/>
          <w:szCs w:val="24"/>
        </w:rPr>
        <w:t xml:space="preserve">ts the importance of children’s </w:t>
      </w:r>
      <w:r w:rsidRPr="00A348A7">
        <w:rPr>
          <w:rFonts w:ascii="Arial" w:hAnsi="Arial" w:cs="Arial"/>
          <w:sz w:val="24"/>
          <w:szCs w:val="24"/>
        </w:rPr>
        <w:t xml:space="preserve">experiences in the natural environment, enabling them to engage with their surroundings, look at the world and understand the ways in which all living things relate to each other. Froebel (no date), supports the use of outdoor areas in his child-led, holistic approach to learning theory. He highlights the importance of children discovering a sense of belonging whilst being outdoors and connecting with nature during </w:t>
      </w:r>
      <w:proofErr w:type="gramStart"/>
      <w:r w:rsidRPr="00A348A7">
        <w:rPr>
          <w:rFonts w:ascii="Arial" w:hAnsi="Arial" w:cs="Arial"/>
          <w:sz w:val="24"/>
          <w:szCs w:val="24"/>
        </w:rPr>
        <w:t>hand's</w:t>
      </w:r>
      <w:proofErr w:type="gramEnd"/>
      <w:r w:rsidRPr="00A348A7">
        <w:rPr>
          <w:rFonts w:ascii="Arial" w:hAnsi="Arial" w:cs="Arial"/>
          <w:sz w:val="24"/>
          <w:szCs w:val="24"/>
        </w:rPr>
        <w:t xml:space="preserve"> on experiences in real life activities (Robinson, no date). </w:t>
      </w:r>
    </w:p>
    <w:p w14:paraId="4013770A" w14:textId="7EF4A4B2" w:rsidR="59D53E22" w:rsidRPr="00A348A7" w:rsidRDefault="59D53E22" w:rsidP="00A348A7">
      <w:pPr>
        <w:spacing w:after="0" w:line="360" w:lineRule="auto"/>
        <w:jc w:val="both"/>
        <w:rPr>
          <w:rFonts w:ascii="Arial" w:hAnsi="Arial" w:cs="Arial"/>
          <w:sz w:val="24"/>
          <w:szCs w:val="24"/>
        </w:rPr>
      </w:pPr>
    </w:p>
    <w:p w14:paraId="6F85447D" w14:textId="3DB11490" w:rsidR="00851D95" w:rsidRPr="00A348A7" w:rsidRDefault="59D53E22" w:rsidP="00A348A7">
      <w:pPr>
        <w:spacing w:after="0" w:line="360" w:lineRule="auto"/>
        <w:jc w:val="both"/>
        <w:rPr>
          <w:rFonts w:ascii="Arial" w:eastAsia="Arial" w:hAnsi="Arial" w:cs="Arial"/>
          <w:sz w:val="24"/>
          <w:szCs w:val="24"/>
        </w:rPr>
      </w:pPr>
      <w:r w:rsidRPr="00A348A7">
        <w:rPr>
          <w:rFonts w:ascii="Arial" w:hAnsi="Arial" w:cs="Arial"/>
          <w:sz w:val="24"/>
          <w:szCs w:val="24"/>
        </w:rPr>
        <w:lastRenderedPageBreak/>
        <w:t xml:space="preserve">In support of Froebel’s principles, Montessori (no date) believes that ‘children should be in touch with the substance of their world, encouraging work with clay, gardening and growing activities, even building little houses’. The Welsh Government (2008c) discusses how activities such as these provide opportunity to promote elements of ESDGC. Gardening and growing activities; not only meet requirements of the 'Knowledge and Understanding of the World' (DCELLS, 2008a) area of learning but also offer opportunity for links to ESDGC themes such as; health, wealth and poverty, consumption and waste, climate change and the natural environment. Furthermore, activities based around 'building houses' or 'working with clay' not only meet the requirements of the 'Creative Development' and 'Personal and Social Development' (DCELLS, 2008a) areas of learning but encourage opportunities for promotion of the ESDGC theme 'Choices and Decisions' through problem solving, working in partnership and/or experiencing consequences. </w:t>
      </w:r>
      <w:r w:rsidRPr="00A348A7">
        <w:rPr>
          <w:rFonts w:ascii="Arial" w:eastAsia="Arial" w:hAnsi="Arial" w:cs="Arial"/>
          <w:sz w:val="24"/>
          <w:szCs w:val="24"/>
        </w:rPr>
        <w:t xml:space="preserve">The document Out of Classroom Learning (DCELLS, 2007) points to the many opportunities to enhance ESDGC through studying the natural environment. Activities or provision in the outdoors, enables children to explore living things in their environment; they begin to 'understand how the natural world actually works, and how materials are produced from it, and they can develop the attitudes, values and commitment needed to support popular and sustainable change' (DCELLS, 2008c). </w:t>
      </w:r>
    </w:p>
    <w:p w14:paraId="120EED0E" w14:textId="0C2C730A" w:rsidR="00851D95" w:rsidRPr="00A348A7" w:rsidRDefault="00851D95" w:rsidP="00A348A7">
      <w:pPr>
        <w:spacing w:after="0" w:line="360" w:lineRule="auto"/>
        <w:jc w:val="both"/>
        <w:rPr>
          <w:rFonts w:ascii="Arial" w:hAnsi="Arial" w:cs="Arial"/>
          <w:sz w:val="24"/>
          <w:szCs w:val="24"/>
        </w:rPr>
      </w:pPr>
    </w:p>
    <w:p w14:paraId="307AEFEF" w14:textId="628D728A" w:rsidR="00851D95" w:rsidRPr="00A348A7" w:rsidRDefault="00851D95" w:rsidP="00A348A7">
      <w:pPr>
        <w:spacing w:after="0" w:line="360" w:lineRule="auto"/>
        <w:jc w:val="both"/>
        <w:rPr>
          <w:rFonts w:ascii="Arial" w:eastAsia="Times New Roman" w:hAnsi="Arial" w:cs="Arial"/>
          <w:color w:val="FF0000"/>
          <w:sz w:val="24"/>
          <w:szCs w:val="24"/>
          <w:lang w:eastAsia="en-GB"/>
        </w:rPr>
      </w:pPr>
    </w:p>
    <w:p w14:paraId="24488F08" w14:textId="45949084" w:rsidR="00851D95" w:rsidRPr="00A348A7" w:rsidRDefault="59D53E22" w:rsidP="00A348A7">
      <w:pPr>
        <w:spacing w:after="0" w:line="360" w:lineRule="auto"/>
        <w:jc w:val="both"/>
        <w:rPr>
          <w:rFonts w:ascii="Arial" w:eastAsia="Times New Roman" w:hAnsi="Arial" w:cs="Arial"/>
          <w:color w:val="FF0000"/>
          <w:sz w:val="24"/>
          <w:szCs w:val="24"/>
          <w:lang w:eastAsia="en-GB"/>
        </w:rPr>
      </w:pPr>
      <w:r w:rsidRPr="00A348A7">
        <w:rPr>
          <w:rFonts w:ascii="Arial" w:eastAsia="Times New Roman" w:hAnsi="Arial" w:cs="Arial"/>
          <w:b/>
          <w:bCs/>
          <w:sz w:val="24"/>
          <w:szCs w:val="24"/>
          <w:lang w:eastAsia="en-GB"/>
        </w:rPr>
        <w:t>Suggestions for practitioners</w:t>
      </w:r>
    </w:p>
    <w:p w14:paraId="5F22924D" w14:textId="29BE9326" w:rsidR="59D53E22" w:rsidRPr="00A348A7" w:rsidRDefault="59D53E22" w:rsidP="00A348A7">
      <w:pPr>
        <w:spacing w:after="0" w:line="360" w:lineRule="auto"/>
        <w:jc w:val="both"/>
        <w:rPr>
          <w:rFonts w:ascii="Arial" w:eastAsia="Times New Roman" w:hAnsi="Arial" w:cs="Arial"/>
          <w:b/>
          <w:bCs/>
          <w:sz w:val="24"/>
          <w:szCs w:val="24"/>
          <w:lang w:eastAsia="en-GB"/>
        </w:rPr>
      </w:pPr>
    </w:p>
    <w:p w14:paraId="5E0DFA7A" w14:textId="548D0E0E" w:rsidR="59D53E22" w:rsidRPr="00A348A7" w:rsidRDefault="59D53E22" w:rsidP="00A348A7">
      <w:pPr>
        <w:spacing w:after="0" w:line="360" w:lineRule="auto"/>
        <w:jc w:val="both"/>
        <w:rPr>
          <w:rFonts w:ascii="Arial" w:eastAsia="Arial" w:hAnsi="Arial" w:cs="Arial"/>
          <w:i/>
          <w:iCs/>
          <w:sz w:val="24"/>
          <w:szCs w:val="24"/>
        </w:rPr>
      </w:pPr>
      <w:r w:rsidRPr="00A348A7">
        <w:rPr>
          <w:rFonts w:ascii="Arial" w:eastAsia="Arial" w:hAnsi="Arial" w:cs="Arial"/>
          <w:i/>
          <w:iCs/>
          <w:sz w:val="24"/>
          <w:szCs w:val="24"/>
        </w:rPr>
        <w:t xml:space="preserve">'Teaching and learning environments play a vital role in the delivery of ESDGC and in the pupil’s understanding of ESDGC issues. For </w:t>
      </w:r>
      <w:proofErr w:type="gramStart"/>
      <w:r w:rsidRPr="00A348A7">
        <w:rPr>
          <w:rFonts w:ascii="Arial" w:eastAsia="Arial" w:hAnsi="Arial" w:cs="Arial"/>
          <w:i/>
          <w:iCs/>
          <w:sz w:val="24"/>
          <w:szCs w:val="24"/>
        </w:rPr>
        <w:t>example</w:t>
      </w:r>
      <w:proofErr w:type="gramEnd"/>
      <w:r w:rsidRPr="00A348A7">
        <w:rPr>
          <w:rFonts w:ascii="Arial" w:eastAsia="Arial" w:hAnsi="Arial" w:cs="Arial"/>
          <w:i/>
          <w:iCs/>
          <w:sz w:val="24"/>
          <w:szCs w:val="24"/>
        </w:rPr>
        <w:t xml:space="preserve"> teachers act as role models in the way they refer to other countries, races or religions' (WAG, 2006)</w:t>
      </w:r>
    </w:p>
    <w:p w14:paraId="018563EC" w14:textId="489EBADD" w:rsidR="59D53E22" w:rsidRPr="00A348A7" w:rsidRDefault="59D53E22" w:rsidP="00A348A7">
      <w:pPr>
        <w:spacing w:after="0" w:line="360" w:lineRule="auto"/>
        <w:jc w:val="both"/>
        <w:rPr>
          <w:rFonts w:ascii="Arial" w:eastAsia="Times New Roman" w:hAnsi="Arial" w:cs="Arial"/>
          <w:b/>
          <w:bCs/>
          <w:sz w:val="24"/>
          <w:szCs w:val="24"/>
          <w:lang w:eastAsia="en-GB"/>
        </w:rPr>
      </w:pPr>
    </w:p>
    <w:p w14:paraId="2DBF0D7D" w14:textId="38FF85C5" w:rsidR="00851D95" w:rsidRPr="00A348A7" w:rsidRDefault="59D53E22" w:rsidP="00A348A7">
      <w:pPr>
        <w:spacing w:after="0" w:line="360" w:lineRule="auto"/>
        <w:jc w:val="both"/>
        <w:rPr>
          <w:rFonts w:ascii="Arial" w:eastAsia="Times New Roman" w:hAnsi="Arial" w:cs="Arial"/>
          <w:sz w:val="24"/>
          <w:szCs w:val="24"/>
          <w:lang w:eastAsia="en-GB"/>
        </w:rPr>
      </w:pPr>
      <w:r w:rsidRPr="00A348A7">
        <w:rPr>
          <w:rFonts w:ascii="Arial" w:eastAsia="Times New Roman" w:hAnsi="Arial" w:cs="Arial"/>
          <w:sz w:val="24"/>
          <w:szCs w:val="24"/>
          <w:lang w:eastAsia="en-GB"/>
        </w:rPr>
        <w:t>An important aspect of delivering ESDGC agenda throughout your setting is to ensure it is a whole setting approach whereby everybody is on board to aim to achieve sustainability goals effectively (DCELLS, 2008b).</w:t>
      </w:r>
    </w:p>
    <w:p w14:paraId="30C594BC" w14:textId="132B1662" w:rsidR="59D53E22" w:rsidRPr="00A348A7" w:rsidRDefault="59D53E22" w:rsidP="00A348A7">
      <w:pPr>
        <w:spacing w:after="0" w:line="360" w:lineRule="auto"/>
        <w:jc w:val="both"/>
        <w:rPr>
          <w:rFonts w:ascii="Arial" w:eastAsia="Times New Roman" w:hAnsi="Arial" w:cs="Arial"/>
          <w:sz w:val="24"/>
          <w:szCs w:val="24"/>
          <w:lang w:eastAsia="en-GB"/>
        </w:rPr>
      </w:pPr>
      <w:r w:rsidRPr="00A348A7">
        <w:rPr>
          <w:rFonts w:ascii="Arial" w:eastAsia="Times New Roman" w:hAnsi="Arial" w:cs="Arial"/>
          <w:sz w:val="24"/>
          <w:szCs w:val="24"/>
          <w:lang w:eastAsia="en-GB"/>
        </w:rPr>
        <w:t xml:space="preserve">As suggested by </w:t>
      </w:r>
      <w:proofErr w:type="spellStart"/>
      <w:r w:rsidRPr="00A348A7">
        <w:rPr>
          <w:rFonts w:ascii="Arial" w:eastAsia="Times New Roman" w:hAnsi="Arial" w:cs="Arial"/>
          <w:sz w:val="24"/>
          <w:szCs w:val="24"/>
          <w:lang w:eastAsia="en-GB"/>
        </w:rPr>
        <w:t>Bilton</w:t>
      </w:r>
      <w:proofErr w:type="spellEnd"/>
      <w:r w:rsidRPr="00A348A7">
        <w:rPr>
          <w:rFonts w:ascii="Arial" w:eastAsia="Times New Roman" w:hAnsi="Arial" w:cs="Arial"/>
          <w:sz w:val="24"/>
          <w:szCs w:val="24"/>
          <w:lang w:eastAsia="en-GB"/>
        </w:rPr>
        <w:t xml:space="preserve"> (2016) to achieve such goals it is recommended that you encourage support from parents and people from your local communities who are often multi skilled and can offer help and support to achieve a more sustainable future for your setting. Consider the following questions;</w:t>
      </w:r>
    </w:p>
    <w:p w14:paraId="69601D3B" w14:textId="68C6F8F7" w:rsidR="00851D95" w:rsidRPr="00A348A7" w:rsidRDefault="59D53E22" w:rsidP="00A348A7">
      <w:pPr>
        <w:spacing w:after="0" w:line="360" w:lineRule="auto"/>
        <w:jc w:val="both"/>
        <w:rPr>
          <w:rFonts w:ascii="Arial" w:eastAsia="Times New Roman" w:hAnsi="Arial" w:cs="Arial"/>
          <w:sz w:val="24"/>
          <w:szCs w:val="24"/>
          <w:lang w:eastAsia="en-GB"/>
        </w:rPr>
      </w:pPr>
      <w:r w:rsidRPr="00A348A7">
        <w:rPr>
          <w:rFonts w:ascii="Arial" w:eastAsia="Times New Roman" w:hAnsi="Arial" w:cs="Arial"/>
          <w:sz w:val="24"/>
          <w:szCs w:val="24"/>
          <w:lang w:eastAsia="en-GB"/>
        </w:rPr>
        <w:lastRenderedPageBreak/>
        <w:t xml:space="preserve">What does sustainability mean for your setting? </w:t>
      </w:r>
    </w:p>
    <w:p w14:paraId="57595C54" w14:textId="4EC79B64" w:rsidR="00851D95" w:rsidRPr="00A348A7" w:rsidRDefault="59D53E22" w:rsidP="00A348A7">
      <w:pPr>
        <w:spacing w:after="0" w:line="360" w:lineRule="auto"/>
        <w:jc w:val="both"/>
        <w:rPr>
          <w:rFonts w:ascii="Arial" w:eastAsia="Times New Roman" w:hAnsi="Arial" w:cs="Arial"/>
          <w:sz w:val="24"/>
          <w:szCs w:val="24"/>
          <w:lang w:eastAsia="en-GB"/>
        </w:rPr>
      </w:pPr>
      <w:r w:rsidRPr="00A348A7">
        <w:rPr>
          <w:rFonts w:ascii="Arial" w:eastAsia="Times New Roman" w:hAnsi="Arial" w:cs="Arial"/>
          <w:sz w:val="24"/>
          <w:szCs w:val="24"/>
          <w:lang w:eastAsia="en-GB"/>
        </w:rPr>
        <w:t xml:space="preserve">Reflect on your service, where are you located? </w:t>
      </w:r>
    </w:p>
    <w:p w14:paraId="37B97463" w14:textId="7557FBBA" w:rsidR="00851D95" w:rsidRPr="00A348A7" w:rsidRDefault="59D53E22" w:rsidP="00A348A7">
      <w:pPr>
        <w:spacing w:after="0" w:line="360" w:lineRule="auto"/>
        <w:jc w:val="both"/>
        <w:rPr>
          <w:rFonts w:ascii="Arial" w:eastAsia="Times New Roman" w:hAnsi="Arial" w:cs="Arial"/>
          <w:sz w:val="24"/>
          <w:szCs w:val="24"/>
          <w:lang w:eastAsia="en-GB"/>
        </w:rPr>
      </w:pPr>
      <w:r w:rsidRPr="00A348A7">
        <w:rPr>
          <w:rFonts w:ascii="Arial" w:eastAsia="Times New Roman" w:hAnsi="Arial" w:cs="Arial"/>
          <w:sz w:val="24"/>
          <w:szCs w:val="24"/>
          <w:lang w:eastAsia="en-GB"/>
        </w:rPr>
        <w:t xml:space="preserve">Who are your children and families? </w:t>
      </w:r>
    </w:p>
    <w:p w14:paraId="62A8E69D" w14:textId="7716265E" w:rsidR="00851D95" w:rsidRPr="00A348A7" w:rsidRDefault="00851D95" w:rsidP="00A348A7">
      <w:pPr>
        <w:spacing w:after="0" w:line="360" w:lineRule="auto"/>
        <w:jc w:val="both"/>
        <w:rPr>
          <w:rFonts w:ascii="Arial" w:eastAsia="Times New Roman" w:hAnsi="Arial" w:cs="Arial"/>
          <w:sz w:val="24"/>
          <w:szCs w:val="24"/>
          <w:lang w:eastAsia="en-GB"/>
        </w:rPr>
      </w:pPr>
    </w:p>
    <w:p w14:paraId="7BDFB884" w14:textId="06C23E26" w:rsidR="00851D95" w:rsidRPr="00A348A7" w:rsidRDefault="59D53E22" w:rsidP="00A348A7">
      <w:pPr>
        <w:spacing w:after="0" w:line="360" w:lineRule="auto"/>
        <w:jc w:val="both"/>
        <w:rPr>
          <w:rFonts w:ascii="Arial" w:eastAsia="Times New Roman" w:hAnsi="Arial" w:cs="Arial"/>
          <w:sz w:val="24"/>
          <w:szCs w:val="24"/>
          <w:lang w:eastAsia="en-GB"/>
        </w:rPr>
      </w:pPr>
      <w:r w:rsidRPr="00A348A7">
        <w:rPr>
          <w:rFonts w:ascii="Arial" w:eastAsia="Times New Roman" w:hAnsi="Arial" w:cs="Arial"/>
          <w:sz w:val="24"/>
          <w:szCs w:val="24"/>
          <w:lang w:eastAsia="en-GB"/>
        </w:rPr>
        <w:t>Examples of adapting early years practice to achieve sustainability development goals:</w:t>
      </w:r>
    </w:p>
    <w:p w14:paraId="2D36CB83" w14:textId="6A91D7A3" w:rsidR="00851D95" w:rsidRPr="00A348A7" w:rsidRDefault="59D53E22" w:rsidP="00A348A7">
      <w:pPr>
        <w:spacing w:after="0" w:line="360" w:lineRule="auto"/>
        <w:jc w:val="both"/>
        <w:rPr>
          <w:rFonts w:ascii="Arial" w:eastAsia="Times New Roman" w:hAnsi="Arial" w:cs="Arial"/>
          <w:i/>
          <w:iCs/>
          <w:sz w:val="24"/>
          <w:szCs w:val="24"/>
          <w:lang w:eastAsia="en-GB"/>
        </w:rPr>
      </w:pPr>
      <w:r w:rsidRPr="00A348A7">
        <w:rPr>
          <w:rFonts w:ascii="Arial" w:eastAsia="Times New Roman" w:hAnsi="Arial" w:cs="Arial"/>
          <w:i/>
          <w:iCs/>
          <w:sz w:val="24"/>
          <w:szCs w:val="24"/>
          <w:lang w:eastAsia="en-GB"/>
        </w:rPr>
        <w:t xml:space="preserve">Recycling – use separate bins  </w:t>
      </w:r>
    </w:p>
    <w:p w14:paraId="3ECF7DCD" w14:textId="670E30AA" w:rsidR="59D53E22" w:rsidRPr="00A348A7" w:rsidRDefault="59D53E22" w:rsidP="00A348A7">
      <w:pPr>
        <w:spacing w:after="0" w:line="360" w:lineRule="auto"/>
        <w:jc w:val="both"/>
        <w:rPr>
          <w:rFonts w:ascii="Arial" w:eastAsia="Times New Roman" w:hAnsi="Arial" w:cs="Arial"/>
          <w:i/>
          <w:iCs/>
          <w:sz w:val="24"/>
          <w:szCs w:val="24"/>
          <w:lang w:eastAsia="en-GB"/>
        </w:rPr>
      </w:pPr>
      <w:r w:rsidRPr="00A348A7">
        <w:rPr>
          <w:rFonts w:ascii="Arial" w:eastAsia="Times New Roman" w:hAnsi="Arial" w:cs="Arial"/>
          <w:i/>
          <w:iCs/>
          <w:sz w:val="24"/>
          <w:szCs w:val="24"/>
          <w:lang w:eastAsia="en-GB"/>
        </w:rPr>
        <w:t>Transport – encourage children and their families to walk or cycle</w:t>
      </w:r>
    </w:p>
    <w:p w14:paraId="4C71B871" w14:textId="0758C0C0" w:rsidR="00851D95" w:rsidRPr="00A348A7" w:rsidRDefault="59D53E22" w:rsidP="00A348A7">
      <w:pPr>
        <w:spacing w:after="0" w:line="360" w:lineRule="auto"/>
        <w:jc w:val="both"/>
        <w:rPr>
          <w:rFonts w:ascii="Arial" w:eastAsia="Times New Roman" w:hAnsi="Arial" w:cs="Arial"/>
          <w:i/>
          <w:iCs/>
          <w:sz w:val="24"/>
          <w:szCs w:val="24"/>
          <w:lang w:eastAsia="en-GB"/>
        </w:rPr>
      </w:pPr>
      <w:r w:rsidRPr="00A348A7">
        <w:rPr>
          <w:rFonts w:ascii="Arial" w:eastAsia="Times New Roman" w:hAnsi="Arial" w:cs="Arial"/>
          <w:i/>
          <w:iCs/>
          <w:sz w:val="24"/>
          <w:szCs w:val="24"/>
          <w:lang w:eastAsia="en-GB"/>
        </w:rPr>
        <w:t>Water – everything needs water to live, display posters to remind children to turn off taps and save water</w:t>
      </w:r>
    </w:p>
    <w:p w14:paraId="75D45045" w14:textId="3E3BC79F" w:rsidR="00851D95" w:rsidRPr="00A348A7" w:rsidRDefault="59D53E22" w:rsidP="00A348A7">
      <w:pPr>
        <w:spacing w:after="0" w:line="360" w:lineRule="auto"/>
        <w:jc w:val="both"/>
        <w:rPr>
          <w:rFonts w:ascii="Arial" w:eastAsia="Times New Roman" w:hAnsi="Arial" w:cs="Arial"/>
          <w:i/>
          <w:iCs/>
          <w:sz w:val="24"/>
          <w:szCs w:val="24"/>
          <w:lang w:eastAsia="en-GB"/>
        </w:rPr>
      </w:pPr>
      <w:r w:rsidRPr="00A348A7">
        <w:rPr>
          <w:rFonts w:ascii="Arial" w:eastAsia="Times New Roman" w:hAnsi="Arial" w:cs="Arial"/>
          <w:i/>
          <w:iCs/>
          <w:sz w:val="24"/>
          <w:szCs w:val="24"/>
          <w:lang w:eastAsia="en-GB"/>
        </w:rPr>
        <w:t>Plastic bags – no plastic bag policy, bags for life</w:t>
      </w:r>
    </w:p>
    <w:p w14:paraId="63D46380" w14:textId="16FC16A2" w:rsidR="00851D95" w:rsidRPr="00A348A7" w:rsidRDefault="59D53E22" w:rsidP="00A348A7">
      <w:pPr>
        <w:spacing w:after="0" w:line="360" w:lineRule="auto"/>
        <w:jc w:val="both"/>
        <w:rPr>
          <w:rFonts w:ascii="Arial" w:eastAsia="Times New Roman" w:hAnsi="Arial" w:cs="Arial"/>
          <w:i/>
          <w:iCs/>
          <w:sz w:val="24"/>
          <w:szCs w:val="24"/>
          <w:lang w:eastAsia="en-GB"/>
        </w:rPr>
      </w:pPr>
      <w:r w:rsidRPr="00A348A7">
        <w:rPr>
          <w:rFonts w:ascii="Arial" w:eastAsia="Times New Roman" w:hAnsi="Arial" w:cs="Arial"/>
          <w:i/>
          <w:iCs/>
          <w:sz w:val="24"/>
          <w:szCs w:val="24"/>
          <w:lang w:eastAsia="en-GB"/>
        </w:rPr>
        <w:t>Food waste – construct compost/worm farm to improve soil and reduce landfill</w:t>
      </w:r>
    </w:p>
    <w:p w14:paraId="36FEB5B0" w14:textId="77777777" w:rsidR="00851D95" w:rsidRPr="00A348A7" w:rsidRDefault="00851D95" w:rsidP="00A348A7">
      <w:pPr>
        <w:spacing w:after="0" w:line="360" w:lineRule="auto"/>
        <w:jc w:val="both"/>
        <w:rPr>
          <w:rFonts w:ascii="Arial" w:eastAsia="Times New Roman" w:hAnsi="Arial" w:cs="Arial"/>
          <w:sz w:val="24"/>
          <w:szCs w:val="24"/>
          <w:lang w:eastAsia="en-GB"/>
        </w:rPr>
      </w:pPr>
    </w:p>
    <w:p w14:paraId="4F150173" w14:textId="04719AFF" w:rsidR="59D53E22" w:rsidRPr="00A348A7" w:rsidRDefault="59D53E22" w:rsidP="00A348A7">
      <w:pPr>
        <w:spacing w:after="0" w:line="360" w:lineRule="auto"/>
        <w:jc w:val="both"/>
        <w:rPr>
          <w:rFonts w:ascii="Arial" w:eastAsia="Times New Roman" w:hAnsi="Arial" w:cs="Arial"/>
          <w:sz w:val="24"/>
          <w:szCs w:val="24"/>
          <w:lang w:eastAsia="en-GB"/>
        </w:rPr>
      </w:pPr>
    </w:p>
    <w:p w14:paraId="7A9637BF" w14:textId="79D54179" w:rsidR="59D53E22" w:rsidRPr="00A348A7" w:rsidRDefault="59D53E22" w:rsidP="00A348A7">
      <w:pPr>
        <w:spacing w:after="0" w:line="360" w:lineRule="auto"/>
        <w:jc w:val="both"/>
        <w:rPr>
          <w:rFonts w:ascii="Arial" w:eastAsia="Times New Roman" w:hAnsi="Arial" w:cs="Arial"/>
          <w:b/>
          <w:bCs/>
          <w:sz w:val="24"/>
          <w:szCs w:val="24"/>
          <w:u w:val="single"/>
          <w:lang w:eastAsia="en-GB"/>
        </w:rPr>
      </w:pPr>
      <w:r w:rsidRPr="00A348A7">
        <w:rPr>
          <w:rFonts w:ascii="Arial" w:eastAsia="Times New Roman" w:hAnsi="Arial" w:cs="Arial"/>
          <w:b/>
          <w:bCs/>
          <w:sz w:val="24"/>
          <w:szCs w:val="24"/>
          <w:u w:val="single"/>
          <w:lang w:eastAsia="en-GB"/>
        </w:rPr>
        <w:t>Policies &amp; Legislation</w:t>
      </w:r>
    </w:p>
    <w:p w14:paraId="5C5CB527" w14:textId="31A57EF2" w:rsidR="59D53E22" w:rsidRPr="00A348A7" w:rsidRDefault="59D53E22" w:rsidP="00A348A7">
      <w:pPr>
        <w:spacing w:after="0" w:line="360" w:lineRule="auto"/>
        <w:jc w:val="both"/>
        <w:rPr>
          <w:rFonts w:ascii="Arial" w:eastAsia="Times New Roman" w:hAnsi="Arial" w:cs="Arial"/>
          <w:b/>
          <w:bCs/>
          <w:sz w:val="24"/>
          <w:szCs w:val="24"/>
          <w:u w:val="single"/>
          <w:lang w:eastAsia="en-GB"/>
        </w:rPr>
      </w:pPr>
    </w:p>
    <w:p w14:paraId="0ED27996" w14:textId="77777777" w:rsidR="00B5799D" w:rsidRPr="00A348A7" w:rsidRDefault="59D53E22" w:rsidP="00A348A7">
      <w:pPr>
        <w:pStyle w:val="ListParagraph"/>
        <w:numPr>
          <w:ilvl w:val="0"/>
          <w:numId w:val="4"/>
        </w:numPr>
        <w:spacing w:after="0" w:line="360" w:lineRule="auto"/>
        <w:jc w:val="both"/>
        <w:rPr>
          <w:rFonts w:ascii="Arial" w:hAnsi="Arial" w:cs="Arial"/>
          <w:sz w:val="24"/>
          <w:szCs w:val="24"/>
        </w:rPr>
      </w:pPr>
      <w:r w:rsidRPr="00A348A7">
        <w:rPr>
          <w:rFonts w:ascii="Arial" w:eastAsia="Arial" w:hAnsi="Arial" w:cs="Arial"/>
          <w:sz w:val="24"/>
          <w:szCs w:val="24"/>
          <w:lang w:eastAsia="en-GB"/>
        </w:rPr>
        <w:t>Article 29 of the UNCRC (United Nations Convention on the Rights of the Child) states '</w:t>
      </w:r>
      <w:r w:rsidRPr="00A348A7">
        <w:rPr>
          <w:rFonts w:ascii="Arial" w:eastAsia="Arial" w:hAnsi="Arial" w:cs="Arial"/>
          <w:sz w:val="24"/>
          <w:szCs w:val="24"/>
        </w:rPr>
        <w:t>You have the right to education which develops your personality, respect for other’s rights and the environment</w:t>
      </w:r>
      <w:proofErr w:type="gramStart"/>
      <w:r w:rsidRPr="00A348A7">
        <w:rPr>
          <w:rFonts w:ascii="Arial" w:eastAsia="Arial" w:hAnsi="Arial" w:cs="Arial"/>
          <w:sz w:val="24"/>
          <w:szCs w:val="24"/>
        </w:rPr>
        <w:t>' ,</w:t>
      </w:r>
      <w:proofErr w:type="gramEnd"/>
      <w:r w:rsidRPr="00A348A7">
        <w:rPr>
          <w:rFonts w:ascii="Arial" w:eastAsia="Arial" w:hAnsi="Arial" w:cs="Arial"/>
          <w:sz w:val="24"/>
          <w:szCs w:val="24"/>
        </w:rPr>
        <w:t xml:space="preserve"> therefore the UNCRC as an organisation is in support of the ethos and values of the ESDGC (Scotland, 2018).</w:t>
      </w:r>
    </w:p>
    <w:p w14:paraId="22262EEF" w14:textId="7972A462" w:rsidR="00B5799D" w:rsidRPr="00A348A7" w:rsidRDefault="00B5799D" w:rsidP="00A348A7">
      <w:pPr>
        <w:pStyle w:val="ListParagraph"/>
        <w:numPr>
          <w:ilvl w:val="0"/>
          <w:numId w:val="4"/>
        </w:numPr>
        <w:spacing w:after="0" w:line="360" w:lineRule="auto"/>
        <w:jc w:val="both"/>
        <w:rPr>
          <w:rStyle w:val="eop"/>
          <w:rFonts w:ascii="Arial" w:hAnsi="Arial" w:cs="Arial"/>
          <w:sz w:val="24"/>
          <w:szCs w:val="24"/>
        </w:rPr>
      </w:pPr>
      <w:r w:rsidRPr="00A348A7">
        <w:rPr>
          <w:rStyle w:val="normaltextrun"/>
          <w:rFonts w:ascii="Arial" w:hAnsi="Arial" w:cs="Arial"/>
          <w:sz w:val="24"/>
          <w:szCs w:val="24"/>
        </w:rPr>
        <w:t>The Education for Sustainable Development and Global Citizenship: A Common Understanding for schools (DCELLS, 2008) has a school audit tool which enables the school to monitor its ESDGC development in relation to Commitment and leadership, Teaching and Learning, School management, Partnerships and Community and Research and monitoring.</w:t>
      </w:r>
      <w:r w:rsidRPr="00A348A7">
        <w:rPr>
          <w:rStyle w:val="eop"/>
          <w:rFonts w:ascii="Arial" w:hAnsi="Arial" w:cs="Arial"/>
          <w:sz w:val="24"/>
          <w:szCs w:val="24"/>
          <w:lang w:val="en-US"/>
        </w:rPr>
        <w:t> </w:t>
      </w:r>
    </w:p>
    <w:p w14:paraId="3E1939B0" w14:textId="77777777" w:rsidR="00B5799D" w:rsidRPr="00A348A7" w:rsidRDefault="00B5799D" w:rsidP="00A348A7">
      <w:pPr>
        <w:pStyle w:val="ListParagraph"/>
        <w:spacing w:after="0" w:line="360" w:lineRule="auto"/>
        <w:jc w:val="both"/>
        <w:rPr>
          <w:rStyle w:val="eop"/>
          <w:rFonts w:ascii="Arial" w:hAnsi="Arial" w:cs="Arial"/>
          <w:sz w:val="24"/>
          <w:szCs w:val="24"/>
        </w:rPr>
      </w:pPr>
    </w:p>
    <w:p w14:paraId="1DF263BE" w14:textId="421BEFCD" w:rsidR="00B5799D" w:rsidRPr="00A348A7" w:rsidRDefault="00B5799D" w:rsidP="00A348A7">
      <w:pPr>
        <w:spacing w:after="0" w:line="360" w:lineRule="auto"/>
        <w:jc w:val="both"/>
        <w:rPr>
          <w:rFonts w:ascii="Arial" w:hAnsi="Arial" w:cs="Arial"/>
          <w:sz w:val="24"/>
          <w:szCs w:val="24"/>
        </w:rPr>
      </w:pPr>
      <w:r w:rsidRPr="00A348A7">
        <w:rPr>
          <w:rFonts w:ascii="Arial" w:hAnsi="Arial" w:cs="Arial"/>
          <w:sz w:val="24"/>
          <w:szCs w:val="24"/>
        </w:rPr>
        <w:t>Further reading can be found within;</w:t>
      </w:r>
    </w:p>
    <w:p w14:paraId="58118B3F" w14:textId="77777777" w:rsidR="00B5799D" w:rsidRPr="00A348A7" w:rsidRDefault="00B5799D" w:rsidP="00A348A7">
      <w:pPr>
        <w:spacing w:after="0" w:line="360" w:lineRule="auto"/>
        <w:jc w:val="both"/>
        <w:rPr>
          <w:rFonts w:ascii="Arial" w:eastAsia="Times New Roman" w:hAnsi="Arial" w:cs="Arial"/>
          <w:sz w:val="24"/>
          <w:szCs w:val="24"/>
          <w:lang w:eastAsia="en-GB"/>
        </w:rPr>
      </w:pPr>
    </w:p>
    <w:p w14:paraId="02294EAD" w14:textId="2C1C6313" w:rsidR="00B5799D" w:rsidRPr="00A348A7" w:rsidRDefault="00B5799D" w:rsidP="00A348A7">
      <w:pPr>
        <w:spacing w:after="0" w:line="360" w:lineRule="auto"/>
        <w:jc w:val="both"/>
        <w:rPr>
          <w:rFonts w:ascii="Arial" w:eastAsia="Times New Roman" w:hAnsi="Arial" w:cs="Arial"/>
          <w:sz w:val="24"/>
          <w:szCs w:val="24"/>
          <w:lang w:eastAsia="en-GB"/>
        </w:rPr>
      </w:pPr>
      <w:r w:rsidRPr="00A348A7">
        <w:rPr>
          <w:rFonts w:ascii="Arial" w:eastAsia="Times New Roman" w:hAnsi="Arial" w:cs="Arial"/>
          <w:sz w:val="24"/>
          <w:szCs w:val="24"/>
          <w:lang w:eastAsia="en-GB"/>
        </w:rPr>
        <w:t>ESDGC Action Plan 2006</w:t>
      </w:r>
    </w:p>
    <w:p w14:paraId="3C1FAF55" w14:textId="6040AC3C" w:rsidR="59D53E22" w:rsidRPr="00A348A7" w:rsidRDefault="59D53E22" w:rsidP="00A348A7">
      <w:pPr>
        <w:spacing w:after="0" w:line="360" w:lineRule="auto"/>
        <w:jc w:val="both"/>
        <w:rPr>
          <w:rFonts w:ascii="Arial" w:eastAsia="Times New Roman" w:hAnsi="Arial" w:cs="Arial"/>
          <w:sz w:val="24"/>
          <w:szCs w:val="24"/>
          <w:lang w:eastAsia="en-GB"/>
        </w:rPr>
      </w:pPr>
      <w:r w:rsidRPr="00A348A7">
        <w:rPr>
          <w:rFonts w:ascii="Arial" w:eastAsia="Times New Roman" w:hAnsi="Arial" w:cs="Arial"/>
          <w:sz w:val="24"/>
          <w:szCs w:val="24"/>
          <w:lang w:eastAsia="en-GB"/>
        </w:rPr>
        <w:t>Estyn Baseline report 2006</w:t>
      </w:r>
    </w:p>
    <w:p w14:paraId="3955F640" w14:textId="77777777" w:rsidR="59D53E22" w:rsidRPr="00A348A7" w:rsidRDefault="59D53E22" w:rsidP="00A348A7">
      <w:pPr>
        <w:spacing w:after="0" w:line="360" w:lineRule="auto"/>
        <w:jc w:val="both"/>
        <w:rPr>
          <w:rFonts w:ascii="Arial" w:eastAsia="Times New Roman" w:hAnsi="Arial" w:cs="Arial"/>
          <w:sz w:val="24"/>
          <w:szCs w:val="24"/>
          <w:lang w:eastAsia="en-GB"/>
        </w:rPr>
      </w:pPr>
      <w:r w:rsidRPr="00A348A7">
        <w:rPr>
          <w:rFonts w:ascii="Arial" w:eastAsia="Times New Roman" w:hAnsi="Arial" w:cs="Arial"/>
          <w:sz w:val="24"/>
          <w:szCs w:val="24"/>
          <w:lang w:eastAsia="en-GB"/>
        </w:rPr>
        <w:t>ESDGC Common understanding for schools</w:t>
      </w:r>
    </w:p>
    <w:p w14:paraId="0A57DC0B" w14:textId="512D5333" w:rsidR="59D53E22" w:rsidRPr="00A348A7" w:rsidRDefault="00B5799D" w:rsidP="00A348A7">
      <w:pPr>
        <w:spacing w:after="0" w:line="360" w:lineRule="auto"/>
        <w:jc w:val="both"/>
        <w:rPr>
          <w:rFonts w:ascii="Arial" w:hAnsi="Arial" w:cs="Arial"/>
          <w:sz w:val="24"/>
          <w:szCs w:val="24"/>
        </w:rPr>
      </w:pPr>
      <w:r w:rsidRPr="00A348A7">
        <w:rPr>
          <w:rFonts w:ascii="Arial" w:eastAsia="Times New Roman" w:hAnsi="Arial" w:cs="Arial"/>
          <w:sz w:val="24"/>
          <w:szCs w:val="24"/>
          <w:lang w:eastAsia="en-GB"/>
        </w:rPr>
        <w:t xml:space="preserve">Estyn report 2014 </w:t>
      </w:r>
    </w:p>
    <w:p w14:paraId="071E4E01" w14:textId="149DFAFC" w:rsidR="006031D3" w:rsidRPr="00A348A7" w:rsidRDefault="0F10FA01" w:rsidP="00A348A7">
      <w:pPr>
        <w:spacing w:line="360" w:lineRule="auto"/>
        <w:jc w:val="both"/>
        <w:rPr>
          <w:rFonts w:ascii="Arial" w:hAnsi="Arial" w:cs="Arial"/>
          <w:sz w:val="24"/>
          <w:szCs w:val="24"/>
        </w:rPr>
      </w:pPr>
      <w:r w:rsidRPr="00A348A7">
        <w:rPr>
          <w:rFonts w:ascii="Arial" w:hAnsi="Arial" w:cs="Arial"/>
          <w:b/>
          <w:bCs/>
          <w:sz w:val="24"/>
          <w:szCs w:val="24"/>
        </w:rPr>
        <w:lastRenderedPageBreak/>
        <w:t>References</w:t>
      </w:r>
    </w:p>
    <w:p w14:paraId="3973BB78" w14:textId="77777777" w:rsidR="00A348A7" w:rsidRPr="00A348A7" w:rsidRDefault="00A348A7" w:rsidP="00A348A7">
      <w:pPr>
        <w:pStyle w:val="Heading2"/>
        <w:spacing w:line="360" w:lineRule="auto"/>
        <w:jc w:val="both"/>
        <w:rPr>
          <w:rFonts w:ascii="Arial" w:hAnsi="Arial" w:cs="Arial"/>
          <w:sz w:val="24"/>
          <w:szCs w:val="24"/>
        </w:rPr>
      </w:pPr>
    </w:p>
    <w:p w14:paraId="6C21286D" w14:textId="1E8C5564" w:rsidR="00A348A7" w:rsidRPr="00A348A7" w:rsidRDefault="00A348A7" w:rsidP="00A348A7">
      <w:pPr>
        <w:spacing w:line="360" w:lineRule="auto"/>
        <w:jc w:val="both"/>
        <w:rPr>
          <w:rFonts w:ascii="Arial" w:hAnsi="Arial" w:cs="Arial"/>
          <w:sz w:val="24"/>
          <w:szCs w:val="24"/>
        </w:rPr>
      </w:pPr>
      <w:proofErr w:type="spellStart"/>
      <w:r w:rsidRPr="00A348A7">
        <w:rPr>
          <w:rFonts w:ascii="Arial" w:hAnsi="Arial" w:cs="Arial"/>
          <w:sz w:val="24"/>
          <w:szCs w:val="24"/>
        </w:rPr>
        <w:t>Bilton</w:t>
      </w:r>
      <w:proofErr w:type="spellEnd"/>
      <w:r w:rsidRPr="00A348A7">
        <w:rPr>
          <w:rFonts w:ascii="Arial" w:hAnsi="Arial" w:cs="Arial"/>
          <w:sz w:val="24"/>
          <w:szCs w:val="24"/>
        </w:rPr>
        <w:t xml:space="preserve">, H. (2010) </w:t>
      </w:r>
      <w:r w:rsidRPr="00A348A7">
        <w:rPr>
          <w:rFonts w:ascii="Arial" w:hAnsi="Arial" w:cs="Arial"/>
          <w:i/>
          <w:iCs/>
          <w:sz w:val="24"/>
          <w:szCs w:val="24"/>
        </w:rPr>
        <w:t>Outdoor Learning in the Early Years: Management and Innovation.</w:t>
      </w:r>
      <w:r w:rsidRPr="00A348A7">
        <w:rPr>
          <w:rFonts w:ascii="Arial" w:hAnsi="Arial" w:cs="Arial"/>
          <w:sz w:val="24"/>
          <w:szCs w:val="24"/>
        </w:rPr>
        <w:t xml:space="preserve"> 3</w:t>
      </w:r>
      <w:r w:rsidRPr="00A348A7">
        <w:rPr>
          <w:rFonts w:ascii="Arial" w:hAnsi="Arial" w:cs="Arial"/>
          <w:sz w:val="24"/>
          <w:szCs w:val="24"/>
          <w:vertAlign w:val="superscript"/>
        </w:rPr>
        <w:t>rd</w:t>
      </w:r>
      <w:r w:rsidRPr="00A348A7">
        <w:rPr>
          <w:rFonts w:ascii="Arial" w:hAnsi="Arial" w:cs="Arial"/>
          <w:sz w:val="24"/>
          <w:szCs w:val="24"/>
        </w:rPr>
        <w:t xml:space="preserve"> Edition. London: David Fulton. </w:t>
      </w:r>
      <w:proofErr w:type="spellStart"/>
      <w:r w:rsidRPr="00A348A7">
        <w:rPr>
          <w:rFonts w:ascii="Arial" w:hAnsi="Arial" w:cs="Arial"/>
          <w:sz w:val="24"/>
          <w:szCs w:val="24"/>
        </w:rPr>
        <w:t>ebook</w:t>
      </w:r>
      <w:proofErr w:type="spellEnd"/>
    </w:p>
    <w:p w14:paraId="4F18D854" w14:textId="77777777" w:rsidR="00A348A7" w:rsidRPr="00A348A7" w:rsidRDefault="00A348A7" w:rsidP="00A348A7">
      <w:pPr>
        <w:spacing w:line="360" w:lineRule="auto"/>
        <w:jc w:val="both"/>
        <w:rPr>
          <w:rFonts w:ascii="Arial" w:hAnsi="Arial" w:cs="Arial"/>
          <w:sz w:val="24"/>
          <w:szCs w:val="24"/>
        </w:rPr>
      </w:pPr>
      <w:proofErr w:type="spellStart"/>
      <w:r w:rsidRPr="00A348A7">
        <w:rPr>
          <w:rFonts w:ascii="Arial" w:hAnsi="Arial" w:cs="Arial"/>
          <w:sz w:val="24"/>
          <w:szCs w:val="24"/>
        </w:rPr>
        <w:t>Bilton</w:t>
      </w:r>
      <w:proofErr w:type="spellEnd"/>
      <w:r w:rsidRPr="00A348A7">
        <w:rPr>
          <w:rFonts w:ascii="Arial" w:hAnsi="Arial" w:cs="Arial"/>
          <w:sz w:val="24"/>
          <w:szCs w:val="24"/>
        </w:rPr>
        <w:t xml:space="preserve">, H. Crook, A. (2016) ‘Co-Exploring’ Available at: </w:t>
      </w:r>
      <w:hyperlink r:id="rId10">
        <w:r w:rsidRPr="00A348A7">
          <w:rPr>
            <w:rStyle w:val="Hyperlink"/>
            <w:rFonts w:ascii="Arial" w:hAnsi="Arial" w:cs="Arial"/>
            <w:sz w:val="24"/>
            <w:szCs w:val="24"/>
          </w:rPr>
          <w:t>http://www.communityplaythings.co.uk/learning-library/articles/outdoor-exploration</w:t>
        </w:r>
      </w:hyperlink>
      <w:r w:rsidRPr="00A348A7">
        <w:rPr>
          <w:rFonts w:ascii="Arial" w:hAnsi="Arial" w:cs="Arial"/>
          <w:sz w:val="24"/>
          <w:szCs w:val="24"/>
        </w:rPr>
        <w:t xml:space="preserve"> [Accessed: 21</w:t>
      </w:r>
      <w:r w:rsidRPr="00A348A7">
        <w:rPr>
          <w:rFonts w:ascii="Arial" w:hAnsi="Arial" w:cs="Arial"/>
          <w:sz w:val="24"/>
          <w:szCs w:val="24"/>
          <w:vertAlign w:val="superscript"/>
        </w:rPr>
        <w:t>s</w:t>
      </w:r>
      <w:r w:rsidRPr="00A348A7">
        <w:rPr>
          <w:rFonts w:ascii="Arial" w:hAnsi="Arial" w:cs="Arial"/>
          <w:sz w:val="24"/>
          <w:szCs w:val="24"/>
        </w:rPr>
        <w:t xml:space="preserve"> November 2017]</w:t>
      </w:r>
    </w:p>
    <w:p w14:paraId="072FFCBD" w14:textId="77777777" w:rsidR="00A348A7" w:rsidRPr="00A348A7" w:rsidRDefault="00A348A7" w:rsidP="00A348A7">
      <w:pPr>
        <w:spacing w:line="360" w:lineRule="auto"/>
        <w:jc w:val="both"/>
        <w:rPr>
          <w:rFonts w:ascii="Arial" w:hAnsi="Arial" w:cs="Arial"/>
          <w:sz w:val="24"/>
          <w:szCs w:val="24"/>
        </w:rPr>
      </w:pPr>
      <w:r w:rsidRPr="00A348A7">
        <w:rPr>
          <w:rFonts w:ascii="Arial" w:eastAsia="Arial" w:hAnsi="Arial" w:cs="Arial"/>
          <w:sz w:val="24"/>
          <w:szCs w:val="24"/>
        </w:rPr>
        <w:t xml:space="preserve">Blogs.glowscotland.org.uk. (2018). </w:t>
      </w:r>
      <w:r w:rsidRPr="00A348A7">
        <w:rPr>
          <w:rFonts w:ascii="Arial" w:eastAsia="Arial" w:hAnsi="Arial" w:cs="Arial"/>
          <w:i/>
          <w:iCs/>
          <w:sz w:val="24"/>
          <w:szCs w:val="24"/>
        </w:rPr>
        <w:t>June « 2015 « Learning for Sustainability</w:t>
      </w:r>
      <w:r w:rsidRPr="00A348A7">
        <w:rPr>
          <w:rFonts w:ascii="Arial" w:eastAsia="Arial" w:hAnsi="Arial" w:cs="Arial"/>
          <w:sz w:val="24"/>
          <w:szCs w:val="24"/>
        </w:rPr>
        <w:t xml:space="preserve">. [online] Available at: </w:t>
      </w:r>
      <w:hyperlink r:id="rId11">
        <w:r w:rsidRPr="00A348A7">
          <w:rPr>
            <w:rStyle w:val="Hyperlink"/>
            <w:rFonts w:ascii="Arial" w:eastAsia="Arial" w:hAnsi="Arial" w:cs="Arial"/>
            <w:sz w:val="24"/>
            <w:szCs w:val="24"/>
          </w:rPr>
          <w:t>https://blogs.glowscotland.org.uk/glowblogs/lfsblog/2015/06/</w:t>
        </w:r>
      </w:hyperlink>
      <w:r w:rsidRPr="00A348A7">
        <w:rPr>
          <w:rFonts w:ascii="Arial" w:eastAsia="Arial" w:hAnsi="Arial" w:cs="Arial"/>
          <w:sz w:val="24"/>
          <w:szCs w:val="24"/>
        </w:rPr>
        <w:t xml:space="preserve"> [Accessed 24th April 2018].</w:t>
      </w:r>
    </w:p>
    <w:p w14:paraId="56FF998D" w14:textId="77777777" w:rsidR="00A348A7" w:rsidRPr="00A348A7" w:rsidRDefault="00A348A7" w:rsidP="00A348A7">
      <w:pPr>
        <w:spacing w:line="360" w:lineRule="auto"/>
        <w:jc w:val="both"/>
        <w:rPr>
          <w:rFonts w:ascii="Arial" w:hAnsi="Arial" w:cs="Arial"/>
          <w:sz w:val="24"/>
          <w:szCs w:val="24"/>
        </w:rPr>
      </w:pPr>
      <w:r w:rsidRPr="00A348A7">
        <w:rPr>
          <w:rFonts w:ascii="Arial" w:hAnsi="Arial" w:cs="Arial"/>
          <w:sz w:val="24"/>
          <w:szCs w:val="24"/>
        </w:rPr>
        <w:t xml:space="preserve">Bruce, T. (no date) ‘Learning through Play in the Early Years’ Available at: </w:t>
      </w:r>
      <w:hyperlink r:id="rId12">
        <w:r w:rsidRPr="00A348A7">
          <w:rPr>
            <w:rStyle w:val="Hyperlink"/>
            <w:rFonts w:ascii="Arial" w:hAnsi="Arial" w:cs="Arial"/>
            <w:sz w:val="24"/>
            <w:szCs w:val="24"/>
          </w:rPr>
          <w:t>http://www.nicurriculum.org.uk/docs/foundation_stage/learning_through_play_ey.pdf</w:t>
        </w:r>
      </w:hyperlink>
      <w:r w:rsidRPr="00A348A7">
        <w:rPr>
          <w:rFonts w:ascii="Arial" w:hAnsi="Arial" w:cs="Arial"/>
          <w:sz w:val="24"/>
          <w:szCs w:val="24"/>
        </w:rPr>
        <w:t xml:space="preserve"> [Accessed: 21</w:t>
      </w:r>
      <w:r w:rsidRPr="00A348A7">
        <w:rPr>
          <w:rFonts w:ascii="Arial" w:hAnsi="Arial" w:cs="Arial"/>
          <w:sz w:val="24"/>
          <w:szCs w:val="24"/>
          <w:vertAlign w:val="superscript"/>
        </w:rPr>
        <w:t>st</w:t>
      </w:r>
      <w:r w:rsidRPr="00A348A7">
        <w:rPr>
          <w:rFonts w:ascii="Arial" w:hAnsi="Arial" w:cs="Arial"/>
          <w:sz w:val="24"/>
          <w:szCs w:val="24"/>
        </w:rPr>
        <w:t xml:space="preserve"> November 2017]</w:t>
      </w:r>
    </w:p>
    <w:p w14:paraId="26B2AD96" w14:textId="77777777" w:rsidR="00A348A7" w:rsidRPr="00A348A7" w:rsidRDefault="00A348A7" w:rsidP="00A348A7">
      <w:pPr>
        <w:pStyle w:val="NormalWeb"/>
        <w:spacing w:line="360" w:lineRule="auto"/>
        <w:jc w:val="both"/>
        <w:rPr>
          <w:rFonts w:ascii="Arial" w:hAnsi="Arial" w:cs="Arial"/>
        </w:rPr>
      </w:pPr>
      <w:r w:rsidRPr="00A348A7">
        <w:rPr>
          <w:rFonts w:ascii="Arial" w:hAnsi="Arial" w:cs="Arial"/>
        </w:rPr>
        <w:t>Davis, J. M. (2010) ‘</w:t>
      </w:r>
      <w:r w:rsidRPr="00A348A7">
        <w:rPr>
          <w:rStyle w:val="Emphasis"/>
          <w:rFonts w:ascii="Arial" w:hAnsi="Arial" w:cs="Arial"/>
        </w:rPr>
        <w:t xml:space="preserve">Early </w:t>
      </w:r>
      <w:r w:rsidRPr="00A348A7">
        <w:rPr>
          <w:rFonts w:ascii="Arial" w:hAnsi="Arial" w:cs="Arial"/>
        </w:rPr>
        <w:t xml:space="preserve">childhood education for </w:t>
      </w:r>
      <w:proofErr w:type="gramStart"/>
      <w:r w:rsidRPr="00A348A7">
        <w:rPr>
          <w:rFonts w:ascii="Arial" w:hAnsi="Arial" w:cs="Arial"/>
        </w:rPr>
        <w:t>sustainability :</w:t>
      </w:r>
      <w:proofErr w:type="gramEnd"/>
      <w:r w:rsidRPr="00A348A7">
        <w:rPr>
          <w:rFonts w:ascii="Arial" w:hAnsi="Arial" w:cs="Arial"/>
        </w:rPr>
        <w:t xml:space="preserve"> why it matters, what it is, and how whole centre action research and systems</w:t>
      </w:r>
    </w:p>
    <w:p w14:paraId="2FBA1488" w14:textId="77777777" w:rsidR="00A348A7" w:rsidRPr="00A348A7" w:rsidRDefault="00A348A7" w:rsidP="00A348A7">
      <w:pPr>
        <w:pStyle w:val="NormalWeb"/>
        <w:spacing w:line="360" w:lineRule="auto"/>
        <w:jc w:val="both"/>
        <w:rPr>
          <w:rStyle w:val="Emphasis"/>
          <w:rFonts w:ascii="Arial" w:hAnsi="Arial" w:cs="Arial"/>
          <w:i w:val="0"/>
          <w:iCs w:val="0"/>
        </w:rPr>
      </w:pPr>
      <w:r w:rsidRPr="00A348A7">
        <w:rPr>
          <w:rStyle w:val="Emphasis"/>
          <w:rFonts w:ascii="Arial" w:hAnsi="Arial" w:cs="Arial"/>
          <w:i w:val="0"/>
          <w:iCs w:val="0"/>
        </w:rPr>
        <w:t xml:space="preserve">DCELLS (2007) </w:t>
      </w:r>
      <w:r w:rsidRPr="00A348A7">
        <w:rPr>
          <w:rStyle w:val="Emphasis"/>
          <w:rFonts w:ascii="Arial" w:hAnsi="Arial" w:cs="Arial"/>
        </w:rPr>
        <w:t xml:space="preserve">Out of Classroom learning: </w:t>
      </w:r>
      <w:r w:rsidRPr="00A348A7">
        <w:rPr>
          <w:rStyle w:val="Emphasis"/>
          <w:rFonts w:ascii="Arial" w:hAnsi="Arial" w:cs="Arial"/>
          <w:i w:val="0"/>
          <w:iCs w:val="0"/>
        </w:rPr>
        <w:t>Cardiff: Welsh Assembly Government</w:t>
      </w:r>
    </w:p>
    <w:p w14:paraId="10B2725C" w14:textId="77777777" w:rsidR="00A348A7" w:rsidRPr="00A348A7" w:rsidRDefault="00A348A7" w:rsidP="00A348A7">
      <w:pPr>
        <w:pStyle w:val="NormalWeb"/>
        <w:spacing w:line="360" w:lineRule="auto"/>
        <w:jc w:val="both"/>
        <w:rPr>
          <w:rFonts w:ascii="Arial" w:hAnsi="Arial" w:cs="Arial"/>
        </w:rPr>
      </w:pPr>
      <w:r w:rsidRPr="00A348A7">
        <w:rPr>
          <w:rFonts w:ascii="Arial" w:hAnsi="Arial" w:cs="Arial"/>
        </w:rPr>
        <w:t>DCELLS (2008a) Framework for Children’s Learning for 3 to 7-year-olds in Wales. Cardiff: Welsh Assembly Government.</w:t>
      </w:r>
    </w:p>
    <w:p w14:paraId="28D9FBCE" w14:textId="77777777" w:rsidR="00A348A7" w:rsidRPr="00A348A7" w:rsidRDefault="00A348A7" w:rsidP="00A348A7">
      <w:pPr>
        <w:pStyle w:val="NormalWeb"/>
        <w:spacing w:line="360" w:lineRule="auto"/>
        <w:jc w:val="both"/>
        <w:rPr>
          <w:rFonts w:ascii="Arial" w:hAnsi="Arial" w:cs="Arial"/>
        </w:rPr>
      </w:pPr>
      <w:r w:rsidRPr="00A348A7">
        <w:rPr>
          <w:rFonts w:ascii="Arial" w:hAnsi="Arial" w:cs="Arial"/>
        </w:rPr>
        <w:t xml:space="preserve">DCELLS (2008b) </w:t>
      </w:r>
      <w:r w:rsidRPr="00A348A7">
        <w:rPr>
          <w:rStyle w:val="Emphasis"/>
          <w:rFonts w:ascii="Arial" w:hAnsi="Arial" w:cs="Arial"/>
        </w:rPr>
        <w:t>Education for Sustainable Development and Global Citizenship: A Common Understanding for Schools January 2008</w:t>
      </w:r>
      <w:r w:rsidRPr="00A348A7">
        <w:rPr>
          <w:rFonts w:ascii="Arial" w:hAnsi="Arial" w:cs="Arial"/>
        </w:rPr>
        <w:t>. Cardiff: Welsh Assembly Government.</w:t>
      </w:r>
    </w:p>
    <w:p w14:paraId="4D9DD325" w14:textId="77777777" w:rsidR="00A348A7" w:rsidRPr="00A348A7" w:rsidRDefault="00A348A7" w:rsidP="00A348A7">
      <w:pPr>
        <w:pStyle w:val="NormalWeb"/>
        <w:spacing w:line="360" w:lineRule="auto"/>
        <w:jc w:val="both"/>
        <w:rPr>
          <w:rFonts w:ascii="Arial" w:hAnsi="Arial" w:cs="Arial"/>
        </w:rPr>
      </w:pPr>
      <w:r w:rsidRPr="00A348A7">
        <w:rPr>
          <w:rFonts w:ascii="Arial" w:hAnsi="Arial" w:cs="Arial"/>
        </w:rPr>
        <w:t xml:space="preserve">DCELLS (2008c) </w:t>
      </w:r>
      <w:r w:rsidRPr="00A348A7">
        <w:rPr>
          <w:rStyle w:val="Emphasis"/>
          <w:rFonts w:ascii="Arial" w:hAnsi="Arial" w:cs="Arial"/>
        </w:rPr>
        <w:t xml:space="preserve">Education for Sustainable Development and Global Citizenship: Information for Teacher Trainees and New Teachers in Wales 2008. </w:t>
      </w:r>
      <w:r w:rsidRPr="00A348A7">
        <w:rPr>
          <w:rStyle w:val="Emphasis"/>
          <w:rFonts w:ascii="Arial" w:hAnsi="Arial" w:cs="Arial"/>
          <w:i w:val="0"/>
          <w:iCs w:val="0"/>
        </w:rPr>
        <w:t>Cardiff: Welsh Assembly Government.</w:t>
      </w:r>
    </w:p>
    <w:p w14:paraId="3ABA0CF5" w14:textId="77777777" w:rsidR="00A348A7" w:rsidRPr="00A348A7" w:rsidRDefault="00A348A7" w:rsidP="00A348A7">
      <w:pPr>
        <w:spacing w:line="360" w:lineRule="auto"/>
        <w:jc w:val="both"/>
        <w:rPr>
          <w:rFonts w:ascii="Arial" w:hAnsi="Arial" w:cs="Arial"/>
          <w:sz w:val="24"/>
          <w:szCs w:val="24"/>
        </w:rPr>
      </w:pPr>
      <w:r w:rsidRPr="00A348A7">
        <w:rPr>
          <w:rFonts w:ascii="Arial" w:eastAsia="Arial" w:hAnsi="Arial" w:cs="Arial"/>
          <w:sz w:val="24"/>
          <w:szCs w:val="24"/>
        </w:rPr>
        <w:t xml:space="preserve">Early Childhood Australia. (2018). </w:t>
      </w:r>
      <w:r w:rsidRPr="00A348A7">
        <w:rPr>
          <w:rFonts w:ascii="Arial" w:eastAsia="Arial" w:hAnsi="Arial" w:cs="Arial"/>
          <w:i/>
          <w:iCs/>
          <w:sz w:val="24"/>
          <w:szCs w:val="24"/>
        </w:rPr>
        <w:t>Sustainability and intentional teaching in early childhood (free article) - Early Childhood Australia</w:t>
      </w:r>
      <w:r w:rsidRPr="00A348A7">
        <w:rPr>
          <w:rFonts w:ascii="Arial" w:eastAsia="Arial" w:hAnsi="Arial" w:cs="Arial"/>
          <w:sz w:val="24"/>
          <w:szCs w:val="24"/>
        </w:rPr>
        <w:t xml:space="preserve">. [online] Available at: </w:t>
      </w:r>
      <w:hyperlink r:id="rId13">
        <w:r w:rsidRPr="00A348A7">
          <w:rPr>
            <w:rStyle w:val="Hyperlink"/>
            <w:rFonts w:ascii="Arial" w:eastAsia="Arial" w:hAnsi="Arial" w:cs="Arial"/>
            <w:sz w:val="24"/>
            <w:szCs w:val="24"/>
          </w:rPr>
          <w:t>http://www.earlychildhoodaustralia.org.au/our-publications/every-child-</w:t>
        </w:r>
        <w:r w:rsidRPr="00A348A7">
          <w:rPr>
            <w:rStyle w:val="Hyperlink"/>
            <w:rFonts w:ascii="Arial" w:eastAsia="Arial" w:hAnsi="Arial" w:cs="Arial"/>
            <w:sz w:val="24"/>
            <w:szCs w:val="24"/>
          </w:rPr>
          <w:lastRenderedPageBreak/>
          <w:t>magazine/every-child-index/every-child-vol-18-3-2012/sustainability-intentional-teaching-early-childhood-free-article/</w:t>
        </w:r>
      </w:hyperlink>
      <w:r w:rsidRPr="00A348A7">
        <w:rPr>
          <w:rFonts w:ascii="Arial" w:eastAsia="Arial" w:hAnsi="Arial" w:cs="Arial"/>
          <w:sz w:val="24"/>
          <w:szCs w:val="24"/>
        </w:rPr>
        <w:t xml:space="preserve"> [Accessed 24th April 2018].</w:t>
      </w:r>
    </w:p>
    <w:p w14:paraId="0E8FD6AB" w14:textId="77777777" w:rsidR="00A348A7" w:rsidRPr="00A348A7" w:rsidRDefault="00A348A7" w:rsidP="00A348A7">
      <w:pPr>
        <w:spacing w:line="360" w:lineRule="auto"/>
        <w:jc w:val="both"/>
        <w:rPr>
          <w:rFonts w:ascii="Arial" w:hAnsi="Arial" w:cs="Arial"/>
          <w:sz w:val="24"/>
          <w:szCs w:val="24"/>
        </w:rPr>
      </w:pPr>
      <w:r w:rsidRPr="00A348A7">
        <w:rPr>
          <w:rFonts w:ascii="Arial" w:hAnsi="Arial" w:cs="Arial"/>
          <w:sz w:val="24"/>
          <w:szCs w:val="24"/>
        </w:rPr>
        <w:t xml:space="preserve">Edgington, M. (2014) </w:t>
      </w:r>
      <w:r w:rsidRPr="00A348A7">
        <w:rPr>
          <w:rFonts w:ascii="Arial" w:hAnsi="Arial" w:cs="Arial"/>
          <w:i/>
          <w:iCs/>
          <w:sz w:val="24"/>
          <w:szCs w:val="24"/>
        </w:rPr>
        <w:t>The Great Outdoors: developing children’s learning through outdoor provision.</w:t>
      </w:r>
      <w:r w:rsidRPr="00A348A7">
        <w:rPr>
          <w:rFonts w:ascii="Arial" w:hAnsi="Arial" w:cs="Arial"/>
          <w:sz w:val="24"/>
          <w:szCs w:val="24"/>
        </w:rPr>
        <w:t xml:space="preserve"> 2</w:t>
      </w:r>
      <w:r w:rsidRPr="00A348A7">
        <w:rPr>
          <w:rFonts w:ascii="Arial" w:hAnsi="Arial" w:cs="Arial"/>
          <w:sz w:val="24"/>
          <w:szCs w:val="24"/>
          <w:vertAlign w:val="superscript"/>
        </w:rPr>
        <w:t>nd</w:t>
      </w:r>
      <w:r w:rsidRPr="00A348A7">
        <w:rPr>
          <w:rFonts w:ascii="Arial" w:hAnsi="Arial" w:cs="Arial"/>
          <w:sz w:val="24"/>
          <w:szCs w:val="24"/>
        </w:rPr>
        <w:t xml:space="preserve"> Edition. London: British Association of Early Childhood Education.</w:t>
      </w:r>
    </w:p>
    <w:p w14:paraId="3F2B126C" w14:textId="77777777" w:rsidR="00A348A7" w:rsidRPr="00A348A7" w:rsidRDefault="00A348A7" w:rsidP="00A348A7">
      <w:pPr>
        <w:spacing w:line="360" w:lineRule="auto"/>
        <w:jc w:val="both"/>
        <w:rPr>
          <w:rFonts w:ascii="Arial" w:hAnsi="Arial" w:cs="Arial"/>
          <w:sz w:val="24"/>
          <w:szCs w:val="24"/>
        </w:rPr>
      </w:pPr>
      <w:r w:rsidRPr="00A348A7">
        <w:rPr>
          <w:rFonts w:ascii="Arial" w:eastAsia="Arial" w:hAnsi="Arial" w:cs="Arial"/>
          <w:sz w:val="24"/>
          <w:szCs w:val="24"/>
        </w:rPr>
        <w:t xml:space="preserve">Ejopa.missouristate.edu. (2018). [online] Available at: </w:t>
      </w:r>
      <w:hyperlink r:id="rId14">
        <w:r w:rsidRPr="00A348A7">
          <w:rPr>
            <w:rStyle w:val="Hyperlink"/>
            <w:rFonts w:ascii="Arial" w:eastAsia="Arial" w:hAnsi="Arial" w:cs="Arial"/>
            <w:sz w:val="24"/>
            <w:szCs w:val="24"/>
          </w:rPr>
          <w:t>http://ejopa.missouristate.edu/index.php/ejournal/article/viewFile/41/55/107</w:t>
        </w:r>
      </w:hyperlink>
      <w:r w:rsidRPr="00A348A7">
        <w:rPr>
          <w:rFonts w:ascii="Arial" w:eastAsia="Arial" w:hAnsi="Arial" w:cs="Arial"/>
          <w:sz w:val="24"/>
          <w:szCs w:val="24"/>
        </w:rPr>
        <w:t xml:space="preserve"> [Accessed 24th April 2018].</w:t>
      </w:r>
    </w:p>
    <w:p w14:paraId="726E8AD4" w14:textId="77777777" w:rsidR="00A348A7" w:rsidRPr="00A348A7" w:rsidRDefault="00A348A7" w:rsidP="00A348A7">
      <w:pPr>
        <w:pStyle w:val="NormalWeb"/>
        <w:spacing w:line="360" w:lineRule="auto"/>
        <w:jc w:val="both"/>
        <w:rPr>
          <w:rFonts w:ascii="Arial" w:hAnsi="Arial" w:cs="Arial"/>
        </w:rPr>
      </w:pPr>
      <w:r w:rsidRPr="00A348A7">
        <w:rPr>
          <w:rFonts w:ascii="Arial" w:hAnsi="Arial" w:cs="Arial"/>
        </w:rPr>
        <w:t>Elliott and Davis (2014) Research in Early Childhood Education for Sustainability: International Perspectives and Provocations. London: Taylor and Francis Ltd.</w:t>
      </w:r>
    </w:p>
    <w:p w14:paraId="15D0DFCE" w14:textId="77777777" w:rsidR="00A348A7" w:rsidRPr="00A348A7" w:rsidRDefault="00A348A7" w:rsidP="00A348A7">
      <w:pPr>
        <w:spacing w:line="360" w:lineRule="auto"/>
        <w:jc w:val="both"/>
        <w:rPr>
          <w:rFonts w:ascii="Arial" w:hAnsi="Arial" w:cs="Arial"/>
          <w:sz w:val="24"/>
          <w:szCs w:val="24"/>
        </w:rPr>
      </w:pPr>
      <w:r w:rsidRPr="00A348A7">
        <w:rPr>
          <w:rFonts w:ascii="Arial" w:eastAsia="Arial" w:hAnsi="Arial" w:cs="Arial"/>
          <w:sz w:val="24"/>
          <w:szCs w:val="24"/>
        </w:rPr>
        <w:t xml:space="preserve">Foundationyears.org.uk. (2018). </w:t>
      </w:r>
      <w:r w:rsidRPr="00A348A7">
        <w:rPr>
          <w:rFonts w:ascii="Arial" w:eastAsia="Arial" w:hAnsi="Arial" w:cs="Arial"/>
          <w:i/>
          <w:iCs/>
          <w:sz w:val="24"/>
          <w:szCs w:val="24"/>
        </w:rPr>
        <w:t>Sustainability | From pregnancy to children aged 5</w:t>
      </w:r>
      <w:r w:rsidRPr="00A348A7">
        <w:rPr>
          <w:rFonts w:ascii="Arial" w:eastAsia="Arial" w:hAnsi="Arial" w:cs="Arial"/>
          <w:sz w:val="24"/>
          <w:szCs w:val="24"/>
        </w:rPr>
        <w:t xml:space="preserve">. [online] Available at: </w:t>
      </w:r>
      <w:hyperlink r:id="rId15">
        <w:r w:rsidRPr="00A348A7">
          <w:rPr>
            <w:rStyle w:val="Hyperlink"/>
            <w:rFonts w:ascii="Arial" w:eastAsia="Arial" w:hAnsi="Arial" w:cs="Arial"/>
            <w:sz w:val="24"/>
            <w:szCs w:val="24"/>
          </w:rPr>
          <w:t>https://www.foundationyears.org.uk/childcare/sustainability/</w:t>
        </w:r>
      </w:hyperlink>
      <w:r w:rsidRPr="00A348A7">
        <w:rPr>
          <w:rFonts w:ascii="Arial" w:eastAsia="Arial" w:hAnsi="Arial" w:cs="Arial"/>
          <w:sz w:val="24"/>
          <w:szCs w:val="24"/>
        </w:rPr>
        <w:t xml:space="preserve"> [Accessed 22nd April 2018].</w:t>
      </w:r>
    </w:p>
    <w:p w14:paraId="09268DD3" w14:textId="77777777" w:rsidR="00A348A7" w:rsidRPr="00A348A7" w:rsidRDefault="00A348A7" w:rsidP="00A348A7">
      <w:pPr>
        <w:spacing w:line="360" w:lineRule="auto"/>
        <w:jc w:val="both"/>
        <w:rPr>
          <w:rFonts w:ascii="Arial" w:hAnsi="Arial" w:cs="Arial"/>
          <w:sz w:val="24"/>
          <w:szCs w:val="24"/>
        </w:rPr>
      </w:pPr>
      <w:r w:rsidRPr="00A348A7">
        <w:rPr>
          <w:rFonts w:ascii="Arial" w:hAnsi="Arial" w:cs="Arial"/>
          <w:sz w:val="24"/>
          <w:szCs w:val="24"/>
        </w:rPr>
        <w:t xml:space="preserve">Joyce, R. (2012) </w:t>
      </w:r>
      <w:r w:rsidRPr="00A348A7">
        <w:rPr>
          <w:rFonts w:ascii="Arial" w:hAnsi="Arial" w:cs="Arial"/>
          <w:i/>
          <w:iCs/>
          <w:sz w:val="24"/>
          <w:szCs w:val="24"/>
        </w:rPr>
        <w:t>Outdoor Learning: Past and Present</w:t>
      </w:r>
      <w:r w:rsidRPr="00A348A7">
        <w:rPr>
          <w:rFonts w:ascii="Arial" w:hAnsi="Arial" w:cs="Arial"/>
          <w:sz w:val="24"/>
          <w:szCs w:val="24"/>
        </w:rPr>
        <w:t xml:space="preserve">. UK: Open University Press. </w:t>
      </w:r>
      <w:proofErr w:type="spellStart"/>
      <w:r w:rsidRPr="00A348A7">
        <w:rPr>
          <w:rFonts w:ascii="Arial" w:hAnsi="Arial" w:cs="Arial"/>
          <w:sz w:val="24"/>
          <w:szCs w:val="24"/>
        </w:rPr>
        <w:t>Ebook</w:t>
      </w:r>
      <w:proofErr w:type="spellEnd"/>
    </w:p>
    <w:p w14:paraId="271B7CAB" w14:textId="77777777" w:rsidR="00A348A7" w:rsidRPr="00A348A7" w:rsidRDefault="00A348A7" w:rsidP="00A348A7">
      <w:pPr>
        <w:spacing w:line="360" w:lineRule="auto"/>
        <w:jc w:val="both"/>
        <w:rPr>
          <w:rFonts w:ascii="Arial" w:hAnsi="Arial" w:cs="Arial"/>
          <w:sz w:val="24"/>
          <w:szCs w:val="24"/>
        </w:rPr>
      </w:pPr>
      <w:r w:rsidRPr="00A348A7">
        <w:rPr>
          <w:rFonts w:ascii="Arial" w:hAnsi="Arial" w:cs="Arial"/>
          <w:sz w:val="24"/>
          <w:szCs w:val="24"/>
        </w:rPr>
        <w:t xml:space="preserve">Kalyan, C. (2013) ‘Wild Things’ Available at: </w:t>
      </w:r>
      <w:hyperlink r:id="rId16">
        <w:r w:rsidRPr="00A348A7">
          <w:rPr>
            <w:rStyle w:val="Hyperlink"/>
            <w:rFonts w:ascii="Arial" w:hAnsi="Arial" w:cs="Arial"/>
            <w:sz w:val="24"/>
            <w:szCs w:val="24"/>
          </w:rPr>
          <w:t>http://wildthings.org.uk/forest.html</w:t>
        </w:r>
      </w:hyperlink>
      <w:r w:rsidRPr="00A348A7">
        <w:rPr>
          <w:rFonts w:ascii="Arial" w:hAnsi="Arial" w:cs="Arial"/>
          <w:sz w:val="24"/>
          <w:szCs w:val="24"/>
        </w:rPr>
        <w:t xml:space="preserve"> [Accessed: 18</w:t>
      </w:r>
      <w:r w:rsidRPr="00A348A7">
        <w:rPr>
          <w:rFonts w:ascii="Arial" w:hAnsi="Arial" w:cs="Arial"/>
          <w:sz w:val="24"/>
          <w:szCs w:val="24"/>
          <w:vertAlign w:val="superscript"/>
        </w:rPr>
        <w:t>th</w:t>
      </w:r>
      <w:r w:rsidRPr="00A348A7">
        <w:rPr>
          <w:rFonts w:ascii="Arial" w:hAnsi="Arial" w:cs="Arial"/>
          <w:sz w:val="24"/>
          <w:szCs w:val="24"/>
        </w:rPr>
        <w:t xml:space="preserve"> November 2017]</w:t>
      </w:r>
    </w:p>
    <w:p w14:paraId="648A7B9E" w14:textId="77777777" w:rsidR="00A348A7" w:rsidRPr="00A348A7" w:rsidRDefault="00A348A7" w:rsidP="00A348A7">
      <w:pPr>
        <w:spacing w:line="360" w:lineRule="auto"/>
        <w:jc w:val="both"/>
        <w:rPr>
          <w:rFonts w:ascii="Arial" w:hAnsi="Arial" w:cs="Arial"/>
          <w:sz w:val="24"/>
          <w:szCs w:val="24"/>
        </w:rPr>
      </w:pPr>
      <w:r w:rsidRPr="00A348A7">
        <w:rPr>
          <w:rFonts w:ascii="Arial" w:hAnsi="Arial" w:cs="Arial"/>
          <w:sz w:val="24"/>
          <w:szCs w:val="24"/>
        </w:rPr>
        <w:t xml:space="preserve">Montessori, (no date) ‘The Environment’ </w:t>
      </w:r>
      <w:hyperlink r:id="rId17">
        <w:r w:rsidRPr="00A348A7">
          <w:rPr>
            <w:rStyle w:val="Hyperlink"/>
            <w:rFonts w:ascii="Arial" w:hAnsi="Arial" w:cs="Arial"/>
            <w:sz w:val="24"/>
            <w:szCs w:val="24"/>
          </w:rPr>
          <w:t>http://www.montessori.org.uk/what_is_montessori/the_environment</w:t>
        </w:r>
      </w:hyperlink>
      <w:r w:rsidRPr="00A348A7">
        <w:rPr>
          <w:rFonts w:ascii="Arial" w:hAnsi="Arial" w:cs="Arial"/>
          <w:sz w:val="24"/>
          <w:szCs w:val="24"/>
        </w:rPr>
        <w:t xml:space="preserve"> [Accessed: 19</w:t>
      </w:r>
      <w:r w:rsidRPr="00A348A7">
        <w:rPr>
          <w:rFonts w:ascii="Arial" w:hAnsi="Arial" w:cs="Arial"/>
          <w:sz w:val="24"/>
          <w:szCs w:val="24"/>
          <w:vertAlign w:val="superscript"/>
        </w:rPr>
        <w:t>th</w:t>
      </w:r>
      <w:r w:rsidRPr="00A348A7">
        <w:rPr>
          <w:rFonts w:ascii="Arial" w:hAnsi="Arial" w:cs="Arial"/>
          <w:sz w:val="24"/>
          <w:szCs w:val="24"/>
        </w:rPr>
        <w:t xml:space="preserve"> November 2017]</w:t>
      </w:r>
    </w:p>
    <w:p w14:paraId="2FB551E3" w14:textId="77777777" w:rsidR="00A348A7" w:rsidRPr="00A348A7" w:rsidRDefault="00A348A7" w:rsidP="00A348A7">
      <w:pPr>
        <w:spacing w:line="360" w:lineRule="auto"/>
        <w:jc w:val="both"/>
        <w:rPr>
          <w:rFonts w:ascii="Arial" w:hAnsi="Arial" w:cs="Arial"/>
          <w:sz w:val="24"/>
          <w:szCs w:val="24"/>
        </w:rPr>
      </w:pPr>
      <w:r w:rsidRPr="00A348A7">
        <w:rPr>
          <w:rFonts w:ascii="Arial" w:eastAsia="Times New Roman" w:hAnsi="Arial" w:cs="Arial"/>
          <w:sz w:val="24"/>
          <w:szCs w:val="24"/>
        </w:rPr>
        <w:t xml:space="preserve">Oxfam.org. (2018). </w:t>
      </w:r>
      <w:r w:rsidRPr="00A348A7">
        <w:rPr>
          <w:rFonts w:ascii="Arial" w:eastAsia="Times New Roman" w:hAnsi="Arial" w:cs="Arial"/>
          <w:i/>
          <w:iCs/>
          <w:sz w:val="24"/>
          <w:szCs w:val="24"/>
        </w:rPr>
        <w:t>sustainability | Oxfam International</w:t>
      </w:r>
      <w:r w:rsidRPr="00A348A7">
        <w:rPr>
          <w:rFonts w:ascii="Arial" w:eastAsia="Times New Roman" w:hAnsi="Arial" w:cs="Arial"/>
          <w:sz w:val="24"/>
          <w:szCs w:val="24"/>
        </w:rPr>
        <w:t xml:space="preserve">. [online] Available at: </w:t>
      </w:r>
      <w:hyperlink r:id="rId18">
        <w:r w:rsidRPr="00A348A7">
          <w:rPr>
            <w:rStyle w:val="Hyperlink"/>
            <w:rFonts w:ascii="Arial" w:eastAsia="Times New Roman" w:hAnsi="Arial" w:cs="Arial"/>
            <w:sz w:val="24"/>
            <w:szCs w:val="24"/>
          </w:rPr>
          <w:t>https://www.oxfam.org/en/tags/sustainability</w:t>
        </w:r>
      </w:hyperlink>
      <w:r w:rsidRPr="00A348A7">
        <w:rPr>
          <w:rFonts w:ascii="Arial" w:eastAsia="Times New Roman" w:hAnsi="Arial" w:cs="Arial"/>
          <w:sz w:val="24"/>
          <w:szCs w:val="24"/>
        </w:rPr>
        <w:t xml:space="preserve"> [Accessed 22nd April 2018].</w:t>
      </w:r>
    </w:p>
    <w:p w14:paraId="5A13441C" w14:textId="77777777" w:rsidR="00A348A7" w:rsidRPr="00A348A7" w:rsidRDefault="00A348A7" w:rsidP="00A348A7">
      <w:pPr>
        <w:spacing w:line="360" w:lineRule="auto"/>
        <w:jc w:val="both"/>
        <w:rPr>
          <w:rFonts w:ascii="Arial" w:hAnsi="Arial" w:cs="Arial"/>
          <w:sz w:val="24"/>
          <w:szCs w:val="24"/>
        </w:rPr>
      </w:pPr>
      <w:r w:rsidRPr="00A348A7">
        <w:rPr>
          <w:rFonts w:ascii="Arial" w:eastAsia="Arial" w:hAnsi="Arial" w:cs="Arial"/>
          <w:sz w:val="24"/>
          <w:szCs w:val="24"/>
        </w:rPr>
        <w:t xml:space="preserve">Psychology.org.au. (2018). </w:t>
      </w:r>
      <w:r w:rsidRPr="00A348A7">
        <w:rPr>
          <w:rFonts w:ascii="Arial" w:eastAsia="Arial" w:hAnsi="Arial" w:cs="Arial"/>
          <w:i/>
          <w:iCs/>
          <w:sz w:val="24"/>
          <w:szCs w:val="24"/>
        </w:rPr>
        <w:t>Talking with children about the environment | APS</w:t>
      </w:r>
      <w:r w:rsidRPr="00A348A7">
        <w:rPr>
          <w:rFonts w:ascii="Arial" w:eastAsia="Arial" w:hAnsi="Arial" w:cs="Arial"/>
          <w:sz w:val="24"/>
          <w:szCs w:val="24"/>
        </w:rPr>
        <w:t xml:space="preserve">. [online] Available at: </w:t>
      </w:r>
      <w:hyperlink r:id="rId19">
        <w:r w:rsidRPr="00A348A7">
          <w:rPr>
            <w:rStyle w:val="Hyperlink"/>
            <w:rFonts w:ascii="Arial" w:eastAsia="Arial" w:hAnsi="Arial" w:cs="Arial"/>
            <w:sz w:val="24"/>
            <w:szCs w:val="24"/>
          </w:rPr>
          <w:t>https://www.psychology.org.au/for-the-public/Psychology-Topics/Climate-change-psychology/Talking-with-children-about-the-environment</w:t>
        </w:r>
      </w:hyperlink>
      <w:r w:rsidRPr="00A348A7">
        <w:rPr>
          <w:rFonts w:ascii="Arial" w:eastAsia="Arial" w:hAnsi="Arial" w:cs="Arial"/>
          <w:sz w:val="24"/>
          <w:szCs w:val="24"/>
        </w:rPr>
        <w:t xml:space="preserve"> [Accessed 23rd April 2018].</w:t>
      </w:r>
    </w:p>
    <w:p w14:paraId="3028CD6D" w14:textId="77777777" w:rsidR="00A348A7" w:rsidRPr="00A348A7" w:rsidRDefault="00A348A7" w:rsidP="00A348A7">
      <w:pPr>
        <w:spacing w:line="360" w:lineRule="auto"/>
        <w:jc w:val="both"/>
        <w:rPr>
          <w:rFonts w:ascii="Arial" w:hAnsi="Arial" w:cs="Arial"/>
          <w:sz w:val="24"/>
          <w:szCs w:val="24"/>
        </w:rPr>
      </w:pPr>
      <w:r w:rsidRPr="00A348A7">
        <w:rPr>
          <w:rFonts w:ascii="Arial" w:hAnsi="Arial" w:cs="Arial"/>
          <w:sz w:val="24"/>
          <w:szCs w:val="24"/>
        </w:rPr>
        <w:t xml:space="preserve">Robinson, (no date) ‘Parenting Across Scotland’ Available at: </w:t>
      </w:r>
      <w:hyperlink r:id="rId20">
        <w:r w:rsidRPr="00A348A7">
          <w:rPr>
            <w:rStyle w:val="Hyperlink"/>
            <w:rFonts w:ascii="Arial" w:hAnsi="Arial" w:cs="Arial"/>
            <w:sz w:val="24"/>
            <w:szCs w:val="24"/>
          </w:rPr>
          <w:t>http://www.parentingacrossscotland.org/policy--research/good-practice/education,-childcare-and-play/natural-playgrounds.aspx</w:t>
        </w:r>
      </w:hyperlink>
      <w:r w:rsidRPr="00A348A7">
        <w:rPr>
          <w:rFonts w:ascii="Arial" w:hAnsi="Arial" w:cs="Arial"/>
          <w:sz w:val="24"/>
          <w:szCs w:val="24"/>
        </w:rPr>
        <w:t xml:space="preserve"> [Accessed: 18</w:t>
      </w:r>
      <w:r w:rsidRPr="00A348A7">
        <w:rPr>
          <w:rFonts w:ascii="Arial" w:hAnsi="Arial" w:cs="Arial"/>
          <w:sz w:val="24"/>
          <w:szCs w:val="24"/>
          <w:vertAlign w:val="superscript"/>
        </w:rPr>
        <w:t>th</w:t>
      </w:r>
      <w:r w:rsidRPr="00A348A7">
        <w:rPr>
          <w:rFonts w:ascii="Arial" w:hAnsi="Arial" w:cs="Arial"/>
          <w:sz w:val="24"/>
          <w:szCs w:val="24"/>
        </w:rPr>
        <w:t xml:space="preserve"> November 2017]</w:t>
      </w:r>
    </w:p>
    <w:p w14:paraId="285D8D9D" w14:textId="77777777" w:rsidR="00A348A7" w:rsidRPr="00A348A7" w:rsidRDefault="00A348A7" w:rsidP="00A348A7">
      <w:pPr>
        <w:pStyle w:val="NormalWeb"/>
        <w:spacing w:line="360" w:lineRule="auto"/>
        <w:jc w:val="both"/>
        <w:rPr>
          <w:rFonts w:ascii="Arial" w:hAnsi="Arial" w:cs="Arial"/>
        </w:rPr>
      </w:pPr>
      <w:r w:rsidRPr="00A348A7">
        <w:rPr>
          <w:rFonts w:ascii="Arial" w:hAnsi="Arial" w:cs="Arial"/>
        </w:rPr>
        <w:lastRenderedPageBreak/>
        <w:t>Siraj-Blatchford and Huggins, V. (2015) Sustainable development in early childhood care and education (SDECCE) Early Education Journal, 76, Summer, pp. 3-5.</w:t>
      </w:r>
    </w:p>
    <w:p w14:paraId="280E90A9" w14:textId="77777777" w:rsidR="00A348A7" w:rsidRPr="00A348A7" w:rsidRDefault="00A348A7" w:rsidP="00A348A7">
      <w:pPr>
        <w:spacing w:line="360" w:lineRule="auto"/>
        <w:jc w:val="both"/>
        <w:rPr>
          <w:rFonts w:ascii="Arial" w:hAnsi="Arial" w:cs="Arial"/>
          <w:sz w:val="24"/>
          <w:szCs w:val="24"/>
        </w:rPr>
      </w:pPr>
      <w:r w:rsidRPr="00A348A7">
        <w:rPr>
          <w:rFonts w:ascii="Arial" w:eastAsia="Arial" w:hAnsi="Arial" w:cs="Arial"/>
          <w:sz w:val="24"/>
          <w:szCs w:val="24"/>
        </w:rPr>
        <w:t xml:space="preserve">Thwink.org. (2018). </w:t>
      </w:r>
      <w:r w:rsidRPr="00A348A7">
        <w:rPr>
          <w:rFonts w:ascii="Arial" w:eastAsia="Arial" w:hAnsi="Arial" w:cs="Arial"/>
          <w:i/>
          <w:iCs/>
          <w:sz w:val="24"/>
          <w:szCs w:val="24"/>
        </w:rPr>
        <w:t>The Three Pillars of Sustainability</w:t>
      </w:r>
      <w:r w:rsidRPr="00A348A7">
        <w:rPr>
          <w:rFonts w:ascii="Arial" w:eastAsia="Arial" w:hAnsi="Arial" w:cs="Arial"/>
          <w:sz w:val="24"/>
          <w:szCs w:val="24"/>
        </w:rPr>
        <w:t xml:space="preserve">. [online] Available at: </w:t>
      </w:r>
      <w:hyperlink r:id="rId21">
        <w:r w:rsidRPr="00A348A7">
          <w:rPr>
            <w:rStyle w:val="Hyperlink"/>
            <w:rFonts w:ascii="Arial" w:eastAsia="Arial" w:hAnsi="Arial" w:cs="Arial"/>
            <w:sz w:val="24"/>
            <w:szCs w:val="24"/>
          </w:rPr>
          <w:t>http://www.thwink.org/sustain/glossary/ThreePillarsOfSustainability.htm</w:t>
        </w:r>
      </w:hyperlink>
      <w:r w:rsidRPr="00A348A7">
        <w:rPr>
          <w:rFonts w:ascii="Arial" w:eastAsia="Arial" w:hAnsi="Arial" w:cs="Arial"/>
          <w:sz w:val="24"/>
          <w:szCs w:val="24"/>
        </w:rPr>
        <w:t xml:space="preserve"> [Accessed 26th April 2018].</w:t>
      </w:r>
    </w:p>
    <w:p w14:paraId="51D067F4" w14:textId="77777777" w:rsidR="00A348A7" w:rsidRPr="00A348A7" w:rsidRDefault="00A348A7" w:rsidP="00A348A7">
      <w:pPr>
        <w:pStyle w:val="NormalWeb"/>
        <w:spacing w:line="360" w:lineRule="auto"/>
        <w:jc w:val="both"/>
        <w:rPr>
          <w:rFonts w:ascii="Arial" w:hAnsi="Arial" w:cs="Arial"/>
        </w:rPr>
      </w:pPr>
      <w:proofErr w:type="spellStart"/>
      <w:r w:rsidRPr="00A348A7">
        <w:rPr>
          <w:rFonts w:ascii="Arial" w:hAnsi="Arial" w:cs="Arial"/>
        </w:rPr>
        <w:t>Tinney</w:t>
      </w:r>
      <w:proofErr w:type="spellEnd"/>
      <w:r w:rsidRPr="00A348A7">
        <w:rPr>
          <w:rFonts w:ascii="Arial" w:hAnsi="Arial" w:cs="Arial"/>
        </w:rPr>
        <w:t xml:space="preserve">, G. (2014) </w:t>
      </w:r>
      <w:r w:rsidRPr="00A348A7">
        <w:rPr>
          <w:rStyle w:val="Emphasis"/>
          <w:rFonts w:ascii="Arial" w:hAnsi="Arial" w:cs="Arial"/>
        </w:rPr>
        <w:t xml:space="preserve">Perceptions and understanding of Education for Sustainable Development and Global Citizenship (ESDGC) by teachers and teacher trainees and the opportunities and challenges of integrating ESDGC into early childhood learning within the Foundation Phase. </w:t>
      </w:r>
      <w:r w:rsidRPr="00A348A7">
        <w:rPr>
          <w:rFonts w:ascii="Arial" w:hAnsi="Arial" w:cs="Arial"/>
        </w:rPr>
        <w:t>MA Early Childhood Research Thesis, Carmarthen, UWTSD.</w:t>
      </w:r>
    </w:p>
    <w:p w14:paraId="4330DD33" w14:textId="77777777" w:rsidR="00A348A7" w:rsidRPr="00A348A7" w:rsidRDefault="00A348A7" w:rsidP="00A348A7">
      <w:pPr>
        <w:spacing w:line="360" w:lineRule="auto"/>
        <w:jc w:val="both"/>
        <w:rPr>
          <w:rFonts w:ascii="Arial" w:hAnsi="Arial" w:cs="Arial"/>
          <w:sz w:val="24"/>
          <w:szCs w:val="24"/>
        </w:rPr>
      </w:pPr>
      <w:proofErr w:type="spellStart"/>
      <w:r w:rsidRPr="00A348A7">
        <w:rPr>
          <w:rFonts w:ascii="Arial" w:eastAsia="Arial" w:hAnsi="Arial" w:cs="Arial"/>
          <w:sz w:val="24"/>
          <w:szCs w:val="24"/>
        </w:rPr>
        <w:t>Unicef</w:t>
      </w:r>
      <w:proofErr w:type="spellEnd"/>
      <w:r w:rsidRPr="00A348A7">
        <w:rPr>
          <w:rFonts w:ascii="Arial" w:eastAsia="Arial" w:hAnsi="Arial" w:cs="Arial"/>
          <w:sz w:val="24"/>
          <w:szCs w:val="24"/>
        </w:rPr>
        <w:t xml:space="preserve"> UK. (2018). </w:t>
      </w:r>
      <w:r w:rsidRPr="00A348A7">
        <w:rPr>
          <w:rFonts w:ascii="Arial" w:eastAsia="Arial" w:hAnsi="Arial" w:cs="Arial"/>
          <w:i/>
          <w:iCs/>
          <w:sz w:val="24"/>
          <w:szCs w:val="24"/>
        </w:rPr>
        <w:t xml:space="preserve">What does sustainability mean for children? - </w:t>
      </w:r>
      <w:proofErr w:type="spellStart"/>
      <w:r w:rsidRPr="00A348A7">
        <w:rPr>
          <w:rFonts w:ascii="Arial" w:eastAsia="Arial" w:hAnsi="Arial" w:cs="Arial"/>
          <w:i/>
          <w:iCs/>
          <w:sz w:val="24"/>
          <w:szCs w:val="24"/>
        </w:rPr>
        <w:t>Unicef</w:t>
      </w:r>
      <w:proofErr w:type="spellEnd"/>
      <w:r w:rsidRPr="00A348A7">
        <w:rPr>
          <w:rFonts w:ascii="Arial" w:eastAsia="Arial" w:hAnsi="Arial" w:cs="Arial"/>
          <w:i/>
          <w:iCs/>
          <w:sz w:val="24"/>
          <w:szCs w:val="24"/>
        </w:rPr>
        <w:t xml:space="preserve"> UK</w:t>
      </w:r>
      <w:r w:rsidRPr="00A348A7">
        <w:rPr>
          <w:rFonts w:ascii="Arial" w:eastAsia="Arial" w:hAnsi="Arial" w:cs="Arial"/>
          <w:sz w:val="24"/>
          <w:szCs w:val="24"/>
        </w:rPr>
        <w:t xml:space="preserve">. [online] Available at: </w:t>
      </w:r>
      <w:hyperlink r:id="rId22">
        <w:r w:rsidRPr="00A348A7">
          <w:rPr>
            <w:rStyle w:val="Hyperlink"/>
            <w:rFonts w:ascii="Arial" w:eastAsia="Arial" w:hAnsi="Arial" w:cs="Arial"/>
            <w:sz w:val="24"/>
            <w:szCs w:val="24"/>
          </w:rPr>
          <w:t>https://www.unicef.org.uk/define-sustainability-children/</w:t>
        </w:r>
      </w:hyperlink>
      <w:r w:rsidRPr="00A348A7">
        <w:rPr>
          <w:rFonts w:ascii="Arial" w:eastAsia="Arial" w:hAnsi="Arial" w:cs="Arial"/>
          <w:sz w:val="24"/>
          <w:szCs w:val="24"/>
        </w:rPr>
        <w:t xml:space="preserve"> [Accessed 24th April 2018].</w:t>
      </w:r>
    </w:p>
    <w:p w14:paraId="44A2B409" w14:textId="77777777" w:rsidR="00A348A7" w:rsidRPr="00A348A7" w:rsidRDefault="00A348A7" w:rsidP="00A348A7">
      <w:pPr>
        <w:spacing w:line="360" w:lineRule="auto"/>
        <w:jc w:val="both"/>
        <w:rPr>
          <w:rFonts w:ascii="Arial" w:hAnsi="Arial" w:cs="Arial"/>
          <w:sz w:val="24"/>
          <w:szCs w:val="24"/>
        </w:rPr>
      </w:pPr>
      <w:r w:rsidRPr="00A348A7">
        <w:rPr>
          <w:rFonts w:ascii="Arial" w:eastAsia="Times New Roman" w:hAnsi="Arial" w:cs="Arial"/>
          <w:sz w:val="24"/>
          <w:szCs w:val="24"/>
        </w:rPr>
        <w:t xml:space="preserve">University of Southampton Students' Union. (2018). </w:t>
      </w:r>
      <w:r w:rsidRPr="00A348A7">
        <w:rPr>
          <w:rFonts w:ascii="Arial" w:eastAsia="Times New Roman" w:hAnsi="Arial" w:cs="Arial"/>
          <w:i/>
          <w:iCs/>
          <w:sz w:val="24"/>
          <w:szCs w:val="24"/>
        </w:rPr>
        <w:t>Amnesty International</w:t>
      </w:r>
      <w:r w:rsidRPr="00A348A7">
        <w:rPr>
          <w:rFonts w:ascii="Arial" w:eastAsia="Times New Roman" w:hAnsi="Arial" w:cs="Arial"/>
          <w:sz w:val="24"/>
          <w:szCs w:val="24"/>
        </w:rPr>
        <w:t xml:space="preserve">. [online] Available at: </w:t>
      </w:r>
      <w:hyperlink r:id="rId23">
        <w:r w:rsidRPr="00A348A7">
          <w:rPr>
            <w:rStyle w:val="Hyperlink"/>
            <w:rFonts w:ascii="Arial" w:eastAsia="Times New Roman" w:hAnsi="Arial" w:cs="Arial"/>
            <w:sz w:val="24"/>
            <w:szCs w:val="24"/>
          </w:rPr>
          <w:t>https://www.susu.org/groups/amnesty-international</w:t>
        </w:r>
      </w:hyperlink>
      <w:r w:rsidRPr="00A348A7">
        <w:rPr>
          <w:rFonts w:ascii="Arial" w:eastAsia="Times New Roman" w:hAnsi="Arial" w:cs="Arial"/>
          <w:sz w:val="24"/>
          <w:szCs w:val="24"/>
        </w:rPr>
        <w:t xml:space="preserve"> [Accessed 24th April 2018].</w:t>
      </w:r>
    </w:p>
    <w:p w14:paraId="30E19430" w14:textId="77777777" w:rsidR="00A348A7" w:rsidRPr="00A348A7" w:rsidRDefault="00A348A7" w:rsidP="00A348A7">
      <w:pPr>
        <w:pStyle w:val="NormalWeb"/>
        <w:spacing w:line="360" w:lineRule="auto"/>
        <w:jc w:val="both"/>
        <w:rPr>
          <w:rFonts w:ascii="Arial" w:hAnsi="Arial" w:cs="Arial"/>
        </w:rPr>
      </w:pPr>
      <w:r w:rsidRPr="00A348A7">
        <w:rPr>
          <w:rFonts w:ascii="Arial" w:hAnsi="Arial" w:cs="Arial"/>
        </w:rPr>
        <w:t>Warwick, A. and Warwick, P.</w:t>
      </w:r>
      <w:r w:rsidRPr="00A348A7">
        <w:rPr>
          <w:rStyle w:val="Emphasis"/>
          <w:rFonts w:ascii="Arial" w:hAnsi="Arial" w:cs="Arial"/>
        </w:rPr>
        <w:t xml:space="preserve"> (2015) ‘</w:t>
      </w:r>
      <w:r w:rsidRPr="00A348A7">
        <w:rPr>
          <w:rFonts w:ascii="Arial" w:hAnsi="Arial" w:cs="Arial"/>
        </w:rPr>
        <w:t>Towards a pedagogy of love: sustainability education in the early years’</w:t>
      </w:r>
      <w:r w:rsidRPr="00A348A7">
        <w:rPr>
          <w:rStyle w:val="Emphasis"/>
          <w:rFonts w:ascii="Arial" w:hAnsi="Arial" w:cs="Arial"/>
        </w:rPr>
        <w:t xml:space="preserve">. </w:t>
      </w:r>
      <w:r w:rsidRPr="00A348A7">
        <w:rPr>
          <w:rFonts w:ascii="Arial" w:hAnsi="Arial" w:cs="Arial"/>
        </w:rPr>
        <w:t>Early Education Journal, 76, Summer, pp. 6-8.</w:t>
      </w:r>
    </w:p>
    <w:sectPr w:rsidR="00A348A7" w:rsidRPr="00A348A7">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F3A277" w14:textId="77777777" w:rsidR="008A6901" w:rsidRDefault="008A6901" w:rsidP="00D40CEC">
      <w:pPr>
        <w:spacing w:after="0" w:line="240" w:lineRule="auto"/>
      </w:pPr>
      <w:r>
        <w:separator/>
      </w:r>
    </w:p>
  </w:endnote>
  <w:endnote w:type="continuationSeparator" w:id="0">
    <w:p w14:paraId="7374D94D" w14:textId="77777777" w:rsidR="008A6901" w:rsidRDefault="008A6901" w:rsidP="00D40C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7426265"/>
      <w:docPartObj>
        <w:docPartGallery w:val="Page Numbers (Bottom of Page)"/>
        <w:docPartUnique/>
      </w:docPartObj>
    </w:sdtPr>
    <w:sdtEndPr>
      <w:rPr>
        <w:noProof/>
      </w:rPr>
    </w:sdtEndPr>
    <w:sdtContent>
      <w:p w14:paraId="4E4FFF4D" w14:textId="6041DA6C" w:rsidR="00D56942" w:rsidRDefault="00D5694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F7300C" w14:textId="77777777" w:rsidR="00D56942" w:rsidRDefault="00D569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F9EA79" w14:textId="77777777" w:rsidR="008A6901" w:rsidRDefault="008A6901" w:rsidP="00D40CEC">
      <w:pPr>
        <w:spacing w:after="0" w:line="240" w:lineRule="auto"/>
      </w:pPr>
      <w:r>
        <w:separator/>
      </w:r>
    </w:p>
  </w:footnote>
  <w:footnote w:type="continuationSeparator" w:id="0">
    <w:p w14:paraId="77E015D5" w14:textId="77777777" w:rsidR="008A6901" w:rsidRDefault="008A6901" w:rsidP="00D40C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00EA96" w14:textId="198C4903" w:rsidR="00A348A7" w:rsidRDefault="00D56942">
    <w:pPr>
      <w:pStyle w:val="Header"/>
    </w:pPr>
    <w:r>
      <w:t>EAEC6010</w:t>
    </w:r>
    <w:r w:rsidR="00A348A7">
      <w:ptab w:relativeTo="margin" w:alignment="center" w:leader="none"/>
    </w:r>
    <w:r w:rsidR="00A348A7">
      <w:ptab w:relativeTo="margin" w:alignment="right" w:leader="none"/>
    </w:r>
    <w:r>
      <w:t>1402531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881D4C"/>
    <w:multiLevelType w:val="hybridMultilevel"/>
    <w:tmpl w:val="63B0D4F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42380F31"/>
    <w:multiLevelType w:val="hybridMultilevel"/>
    <w:tmpl w:val="EA5C8756"/>
    <w:lvl w:ilvl="0" w:tplc="617C5608">
      <w:start w:val="1"/>
      <w:numFmt w:val="bullet"/>
      <w:lvlText w:val=""/>
      <w:lvlJc w:val="left"/>
      <w:pPr>
        <w:ind w:left="720" w:hanging="360"/>
      </w:pPr>
      <w:rPr>
        <w:rFonts w:ascii="Symbol" w:hAnsi="Symbol" w:hint="default"/>
      </w:rPr>
    </w:lvl>
    <w:lvl w:ilvl="1" w:tplc="DE5AA900">
      <w:start w:val="1"/>
      <w:numFmt w:val="bullet"/>
      <w:lvlText w:val="o"/>
      <w:lvlJc w:val="left"/>
      <w:pPr>
        <w:ind w:left="1440" w:hanging="360"/>
      </w:pPr>
      <w:rPr>
        <w:rFonts w:ascii="Courier New" w:hAnsi="Courier New" w:hint="default"/>
      </w:rPr>
    </w:lvl>
    <w:lvl w:ilvl="2" w:tplc="F014D912">
      <w:start w:val="1"/>
      <w:numFmt w:val="bullet"/>
      <w:lvlText w:val=""/>
      <w:lvlJc w:val="left"/>
      <w:pPr>
        <w:ind w:left="2160" w:hanging="360"/>
      </w:pPr>
      <w:rPr>
        <w:rFonts w:ascii="Wingdings" w:hAnsi="Wingdings" w:hint="default"/>
      </w:rPr>
    </w:lvl>
    <w:lvl w:ilvl="3" w:tplc="25E4172C">
      <w:start w:val="1"/>
      <w:numFmt w:val="bullet"/>
      <w:lvlText w:val=""/>
      <w:lvlJc w:val="left"/>
      <w:pPr>
        <w:ind w:left="2880" w:hanging="360"/>
      </w:pPr>
      <w:rPr>
        <w:rFonts w:ascii="Symbol" w:hAnsi="Symbol" w:hint="default"/>
      </w:rPr>
    </w:lvl>
    <w:lvl w:ilvl="4" w:tplc="6C22B918">
      <w:start w:val="1"/>
      <w:numFmt w:val="bullet"/>
      <w:lvlText w:val="o"/>
      <w:lvlJc w:val="left"/>
      <w:pPr>
        <w:ind w:left="3600" w:hanging="360"/>
      </w:pPr>
      <w:rPr>
        <w:rFonts w:ascii="Courier New" w:hAnsi="Courier New" w:hint="default"/>
      </w:rPr>
    </w:lvl>
    <w:lvl w:ilvl="5" w:tplc="85FCA9FA">
      <w:start w:val="1"/>
      <w:numFmt w:val="bullet"/>
      <w:lvlText w:val=""/>
      <w:lvlJc w:val="left"/>
      <w:pPr>
        <w:ind w:left="4320" w:hanging="360"/>
      </w:pPr>
      <w:rPr>
        <w:rFonts w:ascii="Wingdings" w:hAnsi="Wingdings" w:hint="default"/>
      </w:rPr>
    </w:lvl>
    <w:lvl w:ilvl="6" w:tplc="615A27E4">
      <w:start w:val="1"/>
      <w:numFmt w:val="bullet"/>
      <w:lvlText w:val=""/>
      <w:lvlJc w:val="left"/>
      <w:pPr>
        <w:ind w:left="5040" w:hanging="360"/>
      </w:pPr>
      <w:rPr>
        <w:rFonts w:ascii="Symbol" w:hAnsi="Symbol" w:hint="default"/>
      </w:rPr>
    </w:lvl>
    <w:lvl w:ilvl="7" w:tplc="A1884C8C">
      <w:start w:val="1"/>
      <w:numFmt w:val="bullet"/>
      <w:lvlText w:val="o"/>
      <w:lvlJc w:val="left"/>
      <w:pPr>
        <w:ind w:left="5760" w:hanging="360"/>
      </w:pPr>
      <w:rPr>
        <w:rFonts w:ascii="Courier New" w:hAnsi="Courier New" w:hint="default"/>
      </w:rPr>
    </w:lvl>
    <w:lvl w:ilvl="8" w:tplc="0E2E5D68">
      <w:start w:val="1"/>
      <w:numFmt w:val="bullet"/>
      <w:lvlText w:val=""/>
      <w:lvlJc w:val="left"/>
      <w:pPr>
        <w:ind w:left="6480" w:hanging="360"/>
      </w:pPr>
      <w:rPr>
        <w:rFonts w:ascii="Wingdings" w:hAnsi="Wingdings" w:hint="default"/>
      </w:rPr>
    </w:lvl>
  </w:abstractNum>
  <w:abstractNum w:abstractNumId="2" w15:restartNumberingAfterBreak="0">
    <w:nsid w:val="472520DB"/>
    <w:multiLevelType w:val="hybridMultilevel"/>
    <w:tmpl w:val="42808DDA"/>
    <w:lvl w:ilvl="0" w:tplc="71CC3140">
      <w:start w:val="1"/>
      <w:numFmt w:val="bullet"/>
      <w:lvlText w:val=""/>
      <w:lvlJc w:val="left"/>
      <w:pPr>
        <w:ind w:left="720" w:hanging="360"/>
      </w:pPr>
      <w:rPr>
        <w:rFonts w:ascii="Symbol" w:hAnsi="Symbol" w:hint="default"/>
      </w:rPr>
    </w:lvl>
    <w:lvl w:ilvl="1" w:tplc="DEFE4BB8">
      <w:start w:val="1"/>
      <w:numFmt w:val="bullet"/>
      <w:lvlText w:val="o"/>
      <w:lvlJc w:val="left"/>
      <w:pPr>
        <w:ind w:left="1440" w:hanging="360"/>
      </w:pPr>
      <w:rPr>
        <w:rFonts w:ascii="Courier New" w:hAnsi="Courier New" w:hint="default"/>
      </w:rPr>
    </w:lvl>
    <w:lvl w:ilvl="2" w:tplc="5E1CB4D6">
      <w:start w:val="1"/>
      <w:numFmt w:val="bullet"/>
      <w:lvlText w:val=""/>
      <w:lvlJc w:val="left"/>
      <w:pPr>
        <w:ind w:left="2160" w:hanging="360"/>
      </w:pPr>
      <w:rPr>
        <w:rFonts w:ascii="Wingdings" w:hAnsi="Wingdings" w:hint="default"/>
      </w:rPr>
    </w:lvl>
    <w:lvl w:ilvl="3" w:tplc="E4D68A88">
      <w:start w:val="1"/>
      <w:numFmt w:val="bullet"/>
      <w:lvlText w:val=""/>
      <w:lvlJc w:val="left"/>
      <w:pPr>
        <w:ind w:left="2880" w:hanging="360"/>
      </w:pPr>
      <w:rPr>
        <w:rFonts w:ascii="Symbol" w:hAnsi="Symbol" w:hint="default"/>
      </w:rPr>
    </w:lvl>
    <w:lvl w:ilvl="4" w:tplc="F20A2AEE">
      <w:start w:val="1"/>
      <w:numFmt w:val="bullet"/>
      <w:lvlText w:val="o"/>
      <w:lvlJc w:val="left"/>
      <w:pPr>
        <w:ind w:left="3600" w:hanging="360"/>
      </w:pPr>
      <w:rPr>
        <w:rFonts w:ascii="Courier New" w:hAnsi="Courier New" w:hint="default"/>
      </w:rPr>
    </w:lvl>
    <w:lvl w:ilvl="5" w:tplc="56B0FAF2">
      <w:start w:val="1"/>
      <w:numFmt w:val="bullet"/>
      <w:lvlText w:val=""/>
      <w:lvlJc w:val="left"/>
      <w:pPr>
        <w:ind w:left="4320" w:hanging="360"/>
      </w:pPr>
      <w:rPr>
        <w:rFonts w:ascii="Wingdings" w:hAnsi="Wingdings" w:hint="default"/>
      </w:rPr>
    </w:lvl>
    <w:lvl w:ilvl="6" w:tplc="DD860776">
      <w:start w:val="1"/>
      <w:numFmt w:val="bullet"/>
      <w:lvlText w:val=""/>
      <w:lvlJc w:val="left"/>
      <w:pPr>
        <w:ind w:left="5040" w:hanging="360"/>
      </w:pPr>
      <w:rPr>
        <w:rFonts w:ascii="Symbol" w:hAnsi="Symbol" w:hint="default"/>
      </w:rPr>
    </w:lvl>
    <w:lvl w:ilvl="7" w:tplc="777E967A">
      <w:start w:val="1"/>
      <w:numFmt w:val="bullet"/>
      <w:lvlText w:val="o"/>
      <w:lvlJc w:val="left"/>
      <w:pPr>
        <w:ind w:left="5760" w:hanging="360"/>
      </w:pPr>
      <w:rPr>
        <w:rFonts w:ascii="Courier New" w:hAnsi="Courier New" w:hint="default"/>
      </w:rPr>
    </w:lvl>
    <w:lvl w:ilvl="8" w:tplc="32C89090">
      <w:start w:val="1"/>
      <w:numFmt w:val="bullet"/>
      <w:lvlText w:val=""/>
      <w:lvlJc w:val="left"/>
      <w:pPr>
        <w:ind w:left="6480" w:hanging="360"/>
      </w:pPr>
      <w:rPr>
        <w:rFonts w:ascii="Wingdings" w:hAnsi="Wingdings" w:hint="default"/>
      </w:rPr>
    </w:lvl>
  </w:abstractNum>
  <w:abstractNum w:abstractNumId="3" w15:restartNumberingAfterBreak="0">
    <w:nsid w:val="4A8E7246"/>
    <w:multiLevelType w:val="hybridMultilevel"/>
    <w:tmpl w:val="6BAAF846"/>
    <w:lvl w:ilvl="0" w:tplc="2FD20E42">
      <w:start w:val="1"/>
      <w:numFmt w:val="bullet"/>
      <w:lvlText w:val=""/>
      <w:lvlJc w:val="left"/>
      <w:pPr>
        <w:ind w:left="720" w:hanging="360"/>
      </w:pPr>
      <w:rPr>
        <w:rFonts w:ascii="Symbol" w:hAnsi="Symbol" w:hint="default"/>
      </w:rPr>
    </w:lvl>
    <w:lvl w:ilvl="1" w:tplc="4F54C034">
      <w:start w:val="1"/>
      <w:numFmt w:val="bullet"/>
      <w:lvlText w:val="o"/>
      <w:lvlJc w:val="left"/>
      <w:pPr>
        <w:ind w:left="1440" w:hanging="360"/>
      </w:pPr>
      <w:rPr>
        <w:rFonts w:ascii="Courier New" w:hAnsi="Courier New" w:hint="default"/>
      </w:rPr>
    </w:lvl>
    <w:lvl w:ilvl="2" w:tplc="FEA469A4">
      <w:start w:val="1"/>
      <w:numFmt w:val="bullet"/>
      <w:lvlText w:val=""/>
      <w:lvlJc w:val="left"/>
      <w:pPr>
        <w:ind w:left="2160" w:hanging="360"/>
      </w:pPr>
      <w:rPr>
        <w:rFonts w:ascii="Wingdings" w:hAnsi="Wingdings" w:hint="default"/>
      </w:rPr>
    </w:lvl>
    <w:lvl w:ilvl="3" w:tplc="45C271FC">
      <w:start w:val="1"/>
      <w:numFmt w:val="bullet"/>
      <w:lvlText w:val=""/>
      <w:lvlJc w:val="left"/>
      <w:pPr>
        <w:ind w:left="2880" w:hanging="360"/>
      </w:pPr>
      <w:rPr>
        <w:rFonts w:ascii="Symbol" w:hAnsi="Symbol" w:hint="default"/>
      </w:rPr>
    </w:lvl>
    <w:lvl w:ilvl="4" w:tplc="5C9099D0">
      <w:start w:val="1"/>
      <w:numFmt w:val="bullet"/>
      <w:lvlText w:val="o"/>
      <w:lvlJc w:val="left"/>
      <w:pPr>
        <w:ind w:left="3600" w:hanging="360"/>
      </w:pPr>
      <w:rPr>
        <w:rFonts w:ascii="Courier New" w:hAnsi="Courier New" w:hint="default"/>
      </w:rPr>
    </w:lvl>
    <w:lvl w:ilvl="5" w:tplc="5EB6E044">
      <w:start w:val="1"/>
      <w:numFmt w:val="bullet"/>
      <w:lvlText w:val=""/>
      <w:lvlJc w:val="left"/>
      <w:pPr>
        <w:ind w:left="4320" w:hanging="360"/>
      </w:pPr>
      <w:rPr>
        <w:rFonts w:ascii="Wingdings" w:hAnsi="Wingdings" w:hint="default"/>
      </w:rPr>
    </w:lvl>
    <w:lvl w:ilvl="6" w:tplc="0CBA8976">
      <w:start w:val="1"/>
      <w:numFmt w:val="bullet"/>
      <w:lvlText w:val=""/>
      <w:lvlJc w:val="left"/>
      <w:pPr>
        <w:ind w:left="5040" w:hanging="360"/>
      </w:pPr>
      <w:rPr>
        <w:rFonts w:ascii="Symbol" w:hAnsi="Symbol" w:hint="default"/>
      </w:rPr>
    </w:lvl>
    <w:lvl w:ilvl="7" w:tplc="DD5A72CA">
      <w:start w:val="1"/>
      <w:numFmt w:val="bullet"/>
      <w:lvlText w:val="o"/>
      <w:lvlJc w:val="left"/>
      <w:pPr>
        <w:ind w:left="5760" w:hanging="360"/>
      </w:pPr>
      <w:rPr>
        <w:rFonts w:ascii="Courier New" w:hAnsi="Courier New" w:hint="default"/>
      </w:rPr>
    </w:lvl>
    <w:lvl w:ilvl="8" w:tplc="53F0A086">
      <w:start w:val="1"/>
      <w:numFmt w:val="bullet"/>
      <w:lvlText w:val=""/>
      <w:lvlJc w:val="left"/>
      <w:pPr>
        <w:ind w:left="6480" w:hanging="360"/>
      </w:pPr>
      <w:rPr>
        <w:rFonts w:ascii="Wingdings" w:hAnsi="Wingdings" w:hint="default"/>
      </w:rPr>
    </w:lvl>
  </w:abstractNum>
  <w:abstractNum w:abstractNumId="4" w15:restartNumberingAfterBreak="0">
    <w:nsid w:val="62715608"/>
    <w:multiLevelType w:val="hybridMultilevel"/>
    <w:tmpl w:val="75FA938A"/>
    <w:lvl w:ilvl="0" w:tplc="BBDECE16">
      <w:start w:val="1"/>
      <w:numFmt w:val="bullet"/>
      <w:lvlText w:val=""/>
      <w:lvlJc w:val="left"/>
      <w:pPr>
        <w:ind w:left="720" w:hanging="360"/>
      </w:pPr>
      <w:rPr>
        <w:rFonts w:ascii="Symbol" w:hAnsi="Symbol" w:hint="default"/>
      </w:rPr>
    </w:lvl>
    <w:lvl w:ilvl="1" w:tplc="CF7AFBC8">
      <w:start w:val="1"/>
      <w:numFmt w:val="bullet"/>
      <w:lvlText w:val="o"/>
      <w:lvlJc w:val="left"/>
      <w:pPr>
        <w:ind w:left="1440" w:hanging="360"/>
      </w:pPr>
      <w:rPr>
        <w:rFonts w:ascii="Courier New" w:hAnsi="Courier New" w:hint="default"/>
      </w:rPr>
    </w:lvl>
    <w:lvl w:ilvl="2" w:tplc="DAD83B9A">
      <w:start w:val="1"/>
      <w:numFmt w:val="bullet"/>
      <w:lvlText w:val=""/>
      <w:lvlJc w:val="left"/>
      <w:pPr>
        <w:ind w:left="2160" w:hanging="360"/>
      </w:pPr>
      <w:rPr>
        <w:rFonts w:ascii="Wingdings" w:hAnsi="Wingdings" w:hint="default"/>
      </w:rPr>
    </w:lvl>
    <w:lvl w:ilvl="3" w:tplc="DB1E8BDE">
      <w:start w:val="1"/>
      <w:numFmt w:val="bullet"/>
      <w:lvlText w:val=""/>
      <w:lvlJc w:val="left"/>
      <w:pPr>
        <w:ind w:left="2880" w:hanging="360"/>
      </w:pPr>
      <w:rPr>
        <w:rFonts w:ascii="Symbol" w:hAnsi="Symbol" w:hint="default"/>
      </w:rPr>
    </w:lvl>
    <w:lvl w:ilvl="4" w:tplc="412247A4">
      <w:start w:val="1"/>
      <w:numFmt w:val="bullet"/>
      <w:lvlText w:val="o"/>
      <w:lvlJc w:val="left"/>
      <w:pPr>
        <w:ind w:left="3600" w:hanging="360"/>
      </w:pPr>
      <w:rPr>
        <w:rFonts w:ascii="Courier New" w:hAnsi="Courier New" w:hint="default"/>
      </w:rPr>
    </w:lvl>
    <w:lvl w:ilvl="5" w:tplc="C43A6204">
      <w:start w:val="1"/>
      <w:numFmt w:val="bullet"/>
      <w:lvlText w:val=""/>
      <w:lvlJc w:val="left"/>
      <w:pPr>
        <w:ind w:left="4320" w:hanging="360"/>
      </w:pPr>
      <w:rPr>
        <w:rFonts w:ascii="Wingdings" w:hAnsi="Wingdings" w:hint="default"/>
      </w:rPr>
    </w:lvl>
    <w:lvl w:ilvl="6" w:tplc="ABA8B5F0">
      <w:start w:val="1"/>
      <w:numFmt w:val="bullet"/>
      <w:lvlText w:val=""/>
      <w:lvlJc w:val="left"/>
      <w:pPr>
        <w:ind w:left="5040" w:hanging="360"/>
      </w:pPr>
      <w:rPr>
        <w:rFonts w:ascii="Symbol" w:hAnsi="Symbol" w:hint="default"/>
      </w:rPr>
    </w:lvl>
    <w:lvl w:ilvl="7" w:tplc="2BBE89FE">
      <w:start w:val="1"/>
      <w:numFmt w:val="bullet"/>
      <w:lvlText w:val="o"/>
      <w:lvlJc w:val="left"/>
      <w:pPr>
        <w:ind w:left="5760" w:hanging="360"/>
      </w:pPr>
      <w:rPr>
        <w:rFonts w:ascii="Courier New" w:hAnsi="Courier New" w:hint="default"/>
      </w:rPr>
    </w:lvl>
    <w:lvl w:ilvl="8" w:tplc="71EE5754">
      <w:start w:val="1"/>
      <w:numFmt w:val="bullet"/>
      <w:lvlText w:val=""/>
      <w:lvlJc w:val="left"/>
      <w:pPr>
        <w:ind w:left="6480" w:hanging="360"/>
      </w:pPr>
      <w:rPr>
        <w:rFonts w:ascii="Wingdings" w:hAnsi="Wingdings" w:hint="default"/>
      </w:rPr>
    </w:lvl>
  </w:abstractNum>
  <w:abstractNum w:abstractNumId="5" w15:restartNumberingAfterBreak="0">
    <w:nsid w:val="662D1630"/>
    <w:multiLevelType w:val="hybridMultilevel"/>
    <w:tmpl w:val="A4CC8ED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7BB06AA0"/>
    <w:multiLevelType w:val="multilevel"/>
    <w:tmpl w:val="AEF8F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4"/>
  </w:num>
  <w:num w:numId="4">
    <w:abstractNumId w:val="3"/>
  </w:num>
  <w:num w:numId="5">
    <w:abstractNumId w:val="0"/>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13B"/>
    <w:rsid w:val="0028613B"/>
    <w:rsid w:val="00377B4F"/>
    <w:rsid w:val="005169A4"/>
    <w:rsid w:val="005A0B6C"/>
    <w:rsid w:val="005E03E8"/>
    <w:rsid w:val="005E3614"/>
    <w:rsid w:val="005F00DF"/>
    <w:rsid w:val="006031D3"/>
    <w:rsid w:val="00660DF4"/>
    <w:rsid w:val="00732B73"/>
    <w:rsid w:val="007B5005"/>
    <w:rsid w:val="007C31E5"/>
    <w:rsid w:val="00851D95"/>
    <w:rsid w:val="008A6901"/>
    <w:rsid w:val="00996946"/>
    <w:rsid w:val="00A348A7"/>
    <w:rsid w:val="00A82791"/>
    <w:rsid w:val="00AA4BD9"/>
    <w:rsid w:val="00AB4F8D"/>
    <w:rsid w:val="00B5799D"/>
    <w:rsid w:val="00B71E49"/>
    <w:rsid w:val="00B745BD"/>
    <w:rsid w:val="00CB1E87"/>
    <w:rsid w:val="00CF4788"/>
    <w:rsid w:val="00D17246"/>
    <w:rsid w:val="00D36CF0"/>
    <w:rsid w:val="00D40CEC"/>
    <w:rsid w:val="00D56942"/>
    <w:rsid w:val="00E145A2"/>
    <w:rsid w:val="0F10FA01"/>
    <w:rsid w:val="59D53E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52F7A"/>
  <w15:chartTrackingRefBased/>
  <w15:docId w15:val="{CEB59698-D07F-4184-85AA-5818FD3BBD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40C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0CEC"/>
  </w:style>
  <w:style w:type="paragraph" w:styleId="Footer">
    <w:name w:val="footer"/>
    <w:basedOn w:val="Normal"/>
    <w:link w:val="FooterChar"/>
    <w:uiPriority w:val="99"/>
    <w:unhideWhenUsed/>
    <w:rsid w:val="00D40C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0CEC"/>
  </w:style>
  <w:style w:type="character" w:customStyle="1" w:styleId="smallgrn">
    <w:name w:val="smallgrn"/>
    <w:basedOn w:val="DefaultParagraphFont"/>
    <w:rsid w:val="00851D95"/>
  </w:style>
  <w:style w:type="paragraph" w:styleId="ListParagraph">
    <w:name w:val="List Paragraph"/>
    <w:basedOn w:val="Normal"/>
    <w:uiPriority w:val="34"/>
    <w:qFormat/>
    <w:rsid w:val="00851D95"/>
    <w:pPr>
      <w:ind w:left="720"/>
      <w:contextualSpacing/>
    </w:pPr>
  </w:style>
  <w:style w:type="paragraph" w:styleId="NormalWeb">
    <w:name w:val="Normal (Web)"/>
    <w:basedOn w:val="Normal"/>
    <w:uiPriority w:val="99"/>
    <w:semiHidden/>
    <w:unhideWhenUsed/>
    <w:rsid w:val="006031D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6031D3"/>
    <w:rPr>
      <w:i/>
      <w:iCs/>
    </w:rPr>
  </w:style>
  <w:style w:type="character" w:styleId="Hyperlink">
    <w:name w:val="Hyperlink"/>
    <w:basedOn w:val="DefaultParagraphFont"/>
    <w:uiPriority w:val="99"/>
    <w:unhideWhenUsed/>
    <w:rsid w:val="005A0B6C"/>
    <w:rPr>
      <w:color w:val="0563C1" w:themeColor="hyperlink"/>
      <w:u w:val="single"/>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customStyle="1" w:styleId="paragraph">
    <w:name w:val="paragraph"/>
    <w:basedOn w:val="Normal"/>
    <w:rsid w:val="00B5799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5799D"/>
  </w:style>
  <w:style w:type="character" w:customStyle="1" w:styleId="eop">
    <w:name w:val="eop"/>
    <w:basedOn w:val="DefaultParagraphFont"/>
    <w:rsid w:val="00B579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5212437">
      <w:bodyDiv w:val="1"/>
      <w:marLeft w:val="0"/>
      <w:marRight w:val="0"/>
      <w:marTop w:val="0"/>
      <w:marBottom w:val="0"/>
      <w:divBdr>
        <w:top w:val="none" w:sz="0" w:space="0" w:color="auto"/>
        <w:left w:val="none" w:sz="0" w:space="0" w:color="auto"/>
        <w:bottom w:val="none" w:sz="0" w:space="0" w:color="auto"/>
        <w:right w:val="none" w:sz="0" w:space="0" w:color="auto"/>
      </w:divBdr>
      <w:divsChild>
        <w:div w:id="7801730">
          <w:marLeft w:val="0"/>
          <w:marRight w:val="0"/>
          <w:marTop w:val="0"/>
          <w:marBottom w:val="0"/>
          <w:divBdr>
            <w:top w:val="none" w:sz="0" w:space="0" w:color="auto"/>
            <w:left w:val="none" w:sz="0" w:space="0" w:color="auto"/>
            <w:bottom w:val="none" w:sz="0" w:space="0" w:color="auto"/>
            <w:right w:val="none" w:sz="0" w:space="0" w:color="auto"/>
          </w:divBdr>
        </w:div>
        <w:div w:id="55709496">
          <w:marLeft w:val="0"/>
          <w:marRight w:val="0"/>
          <w:marTop w:val="0"/>
          <w:marBottom w:val="0"/>
          <w:divBdr>
            <w:top w:val="none" w:sz="0" w:space="0" w:color="auto"/>
            <w:left w:val="none" w:sz="0" w:space="0" w:color="auto"/>
            <w:bottom w:val="none" w:sz="0" w:space="0" w:color="auto"/>
            <w:right w:val="none" w:sz="0" w:space="0" w:color="auto"/>
          </w:divBdr>
        </w:div>
        <w:div w:id="56130545">
          <w:marLeft w:val="0"/>
          <w:marRight w:val="0"/>
          <w:marTop w:val="0"/>
          <w:marBottom w:val="0"/>
          <w:divBdr>
            <w:top w:val="none" w:sz="0" w:space="0" w:color="auto"/>
            <w:left w:val="none" w:sz="0" w:space="0" w:color="auto"/>
            <w:bottom w:val="none" w:sz="0" w:space="0" w:color="auto"/>
            <w:right w:val="none" w:sz="0" w:space="0" w:color="auto"/>
          </w:divBdr>
        </w:div>
        <w:div w:id="81266461">
          <w:marLeft w:val="0"/>
          <w:marRight w:val="0"/>
          <w:marTop w:val="0"/>
          <w:marBottom w:val="0"/>
          <w:divBdr>
            <w:top w:val="none" w:sz="0" w:space="0" w:color="auto"/>
            <w:left w:val="none" w:sz="0" w:space="0" w:color="auto"/>
            <w:bottom w:val="none" w:sz="0" w:space="0" w:color="auto"/>
            <w:right w:val="none" w:sz="0" w:space="0" w:color="auto"/>
          </w:divBdr>
        </w:div>
        <w:div w:id="122509115">
          <w:marLeft w:val="0"/>
          <w:marRight w:val="0"/>
          <w:marTop w:val="0"/>
          <w:marBottom w:val="0"/>
          <w:divBdr>
            <w:top w:val="none" w:sz="0" w:space="0" w:color="auto"/>
            <w:left w:val="none" w:sz="0" w:space="0" w:color="auto"/>
            <w:bottom w:val="none" w:sz="0" w:space="0" w:color="auto"/>
            <w:right w:val="none" w:sz="0" w:space="0" w:color="auto"/>
          </w:divBdr>
        </w:div>
        <w:div w:id="367340258">
          <w:marLeft w:val="0"/>
          <w:marRight w:val="0"/>
          <w:marTop w:val="0"/>
          <w:marBottom w:val="0"/>
          <w:divBdr>
            <w:top w:val="none" w:sz="0" w:space="0" w:color="auto"/>
            <w:left w:val="none" w:sz="0" w:space="0" w:color="auto"/>
            <w:bottom w:val="none" w:sz="0" w:space="0" w:color="auto"/>
            <w:right w:val="none" w:sz="0" w:space="0" w:color="auto"/>
          </w:divBdr>
        </w:div>
        <w:div w:id="367920984">
          <w:marLeft w:val="0"/>
          <w:marRight w:val="0"/>
          <w:marTop w:val="0"/>
          <w:marBottom w:val="0"/>
          <w:divBdr>
            <w:top w:val="none" w:sz="0" w:space="0" w:color="auto"/>
            <w:left w:val="none" w:sz="0" w:space="0" w:color="auto"/>
            <w:bottom w:val="none" w:sz="0" w:space="0" w:color="auto"/>
            <w:right w:val="none" w:sz="0" w:space="0" w:color="auto"/>
          </w:divBdr>
        </w:div>
        <w:div w:id="418674289">
          <w:marLeft w:val="0"/>
          <w:marRight w:val="0"/>
          <w:marTop w:val="0"/>
          <w:marBottom w:val="0"/>
          <w:divBdr>
            <w:top w:val="none" w:sz="0" w:space="0" w:color="auto"/>
            <w:left w:val="none" w:sz="0" w:space="0" w:color="auto"/>
            <w:bottom w:val="none" w:sz="0" w:space="0" w:color="auto"/>
            <w:right w:val="none" w:sz="0" w:space="0" w:color="auto"/>
          </w:divBdr>
        </w:div>
        <w:div w:id="518079065">
          <w:marLeft w:val="0"/>
          <w:marRight w:val="0"/>
          <w:marTop w:val="0"/>
          <w:marBottom w:val="0"/>
          <w:divBdr>
            <w:top w:val="none" w:sz="0" w:space="0" w:color="auto"/>
            <w:left w:val="none" w:sz="0" w:space="0" w:color="auto"/>
            <w:bottom w:val="none" w:sz="0" w:space="0" w:color="auto"/>
            <w:right w:val="none" w:sz="0" w:space="0" w:color="auto"/>
          </w:divBdr>
        </w:div>
        <w:div w:id="626811903">
          <w:marLeft w:val="0"/>
          <w:marRight w:val="0"/>
          <w:marTop w:val="0"/>
          <w:marBottom w:val="0"/>
          <w:divBdr>
            <w:top w:val="none" w:sz="0" w:space="0" w:color="auto"/>
            <w:left w:val="none" w:sz="0" w:space="0" w:color="auto"/>
            <w:bottom w:val="none" w:sz="0" w:space="0" w:color="auto"/>
            <w:right w:val="none" w:sz="0" w:space="0" w:color="auto"/>
          </w:divBdr>
        </w:div>
        <w:div w:id="654262269">
          <w:marLeft w:val="0"/>
          <w:marRight w:val="0"/>
          <w:marTop w:val="0"/>
          <w:marBottom w:val="0"/>
          <w:divBdr>
            <w:top w:val="none" w:sz="0" w:space="0" w:color="auto"/>
            <w:left w:val="none" w:sz="0" w:space="0" w:color="auto"/>
            <w:bottom w:val="none" w:sz="0" w:space="0" w:color="auto"/>
            <w:right w:val="none" w:sz="0" w:space="0" w:color="auto"/>
          </w:divBdr>
        </w:div>
        <w:div w:id="752623690">
          <w:marLeft w:val="0"/>
          <w:marRight w:val="0"/>
          <w:marTop w:val="0"/>
          <w:marBottom w:val="0"/>
          <w:divBdr>
            <w:top w:val="none" w:sz="0" w:space="0" w:color="auto"/>
            <w:left w:val="none" w:sz="0" w:space="0" w:color="auto"/>
            <w:bottom w:val="none" w:sz="0" w:space="0" w:color="auto"/>
            <w:right w:val="none" w:sz="0" w:space="0" w:color="auto"/>
          </w:divBdr>
        </w:div>
        <w:div w:id="839002741">
          <w:marLeft w:val="0"/>
          <w:marRight w:val="0"/>
          <w:marTop w:val="0"/>
          <w:marBottom w:val="0"/>
          <w:divBdr>
            <w:top w:val="none" w:sz="0" w:space="0" w:color="auto"/>
            <w:left w:val="none" w:sz="0" w:space="0" w:color="auto"/>
            <w:bottom w:val="none" w:sz="0" w:space="0" w:color="auto"/>
            <w:right w:val="none" w:sz="0" w:space="0" w:color="auto"/>
          </w:divBdr>
        </w:div>
        <w:div w:id="905259131">
          <w:marLeft w:val="0"/>
          <w:marRight w:val="0"/>
          <w:marTop w:val="0"/>
          <w:marBottom w:val="0"/>
          <w:divBdr>
            <w:top w:val="none" w:sz="0" w:space="0" w:color="auto"/>
            <w:left w:val="none" w:sz="0" w:space="0" w:color="auto"/>
            <w:bottom w:val="none" w:sz="0" w:space="0" w:color="auto"/>
            <w:right w:val="none" w:sz="0" w:space="0" w:color="auto"/>
          </w:divBdr>
        </w:div>
        <w:div w:id="918249906">
          <w:marLeft w:val="0"/>
          <w:marRight w:val="0"/>
          <w:marTop w:val="0"/>
          <w:marBottom w:val="0"/>
          <w:divBdr>
            <w:top w:val="none" w:sz="0" w:space="0" w:color="auto"/>
            <w:left w:val="none" w:sz="0" w:space="0" w:color="auto"/>
            <w:bottom w:val="none" w:sz="0" w:space="0" w:color="auto"/>
            <w:right w:val="none" w:sz="0" w:space="0" w:color="auto"/>
          </w:divBdr>
        </w:div>
        <w:div w:id="1038966086">
          <w:marLeft w:val="0"/>
          <w:marRight w:val="0"/>
          <w:marTop w:val="0"/>
          <w:marBottom w:val="0"/>
          <w:divBdr>
            <w:top w:val="none" w:sz="0" w:space="0" w:color="auto"/>
            <w:left w:val="none" w:sz="0" w:space="0" w:color="auto"/>
            <w:bottom w:val="none" w:sz="0" w:space="0" w:color="auto"/>
            <w:right w:val="none" w:sz="0" w:space="0" w:color="auto"/>
          </w:divBdr>
        </w:div>
        <w:div w:id="1067651450">
          <w:marLeft w:val="0"/>
          <w:marRight w:val="0"/>
          <w:marTop w:val="0"/>
          <w:marBottom w:val="0"/>
          <w:divBdr>
            <w:top w:val="none" w:sz="0" w:space="0" w:color="auto"/>
            <w:left w:val="none" w:sz="0" w:space="0" w:color="auto"/>
            <w:bottom w:val="none" w:sz="0" w:space="0" w:color="auto"/>
            <w:right w:val="none" w:sz="0" w:space="0" w:color="auto"/>
          </w:divBdr>
        </w:div>
        <w:div w:id="1301032091">
          <w:marLeft w:val="0"/>
          <w:marRight w:val="0"/>
          <w:marTop w:val="0"/>
          <w:marBottom w:val="0"/>
          <w:divBdr>
            <w:top w:val="none" w:sz="0" w:space="0" w:color="auto"/>
            <w:left w:val="none" w:sz="0" w:space="0" w:color="auto"/>
            <w:bottom w:val="none" w:sz="0" w:space="0" w:color="auto"/>
            <w:right w:val="none" w:sz="0" w:space="0" w:color="auto"/>
          </w:divBdr>
        </w:div>
        <w:div w:id="1458796287">
          <w:marLeft w:val="0"/>
          <w:marRight w:val="0"/>
          <w:marTop w:val="0"/>
          <w:marBottom w:val="0"/>
          <w:divBdr>
            <w:top w:val="none" w:sz="0" w:space="0" w:color="auto"/>
            <w:left w:val="none" w:sz="0" w:space="0" w:color="auto"/>
            <w:bottom w:val="none" w:sz="0" w:space="0" w:color="auto"/>
            <w:right w:val="none" w:sz="0" w:space="0" w:color="auto"/>
          </w:divBdr>
        </w:div>
        <w:div w:id="1466268974">
          <w:marLeft w:val="0"/>
          <w:marRight w:val="0"/>
          <w:marTop w:val="0"/>
          <w:marBottom w:val="0"/>
          <w:divBdr>
            <w:top w:val="none" w:sz="0" w:space="0" w:color="auto"/>
            <w:left w:val="none" w:sz="0" w:space="0" w:color="auto"/>
            <w:bottom w:val="none" w:sz="0" w:space="0" w:color="auto"/>
            <w:right w:val="none" w:sz="0" w:space="0" w:color="auto"/>
          </w:divBdr>
        </w:div>
        <w:div w:id="1592543868">
          <w:marLeft w:val="0"/>
          <w:marRight w:val="0"/>
          <w:marTop w:val="0"/>
          <w:marBottom w:val="0"/>
          <w:divBdr>
            <w:top w:val="none" w:sz="0" w:space="0" w:color="auto"/>
            <w:left w:val="none" w:sz="0" w:space="0" w:color="auto"/>
            <w:bottom w:val="none" w:sz="0" w:space="0" w:color="auto"/>
            <w:right w:val="none" w:sz="0" w:space="0" w:color="auto"/>
          </w:divBdr>
        </w:div>
        <w:div w:id="1623069183">
          <w:marLeft w:val="0"/>
          <w:marRight w:val="0"/>
          <w:marTop w:val="0"/>
          <w:marBottom w:val="0"/>
          <w:divBdr>
            <w:top w:val="none" w:sz="0" w:space="0" w:color="auto"/>
            <w:left w:val="none" w:sz="0" w:space="0" w:color="auto"/>
            <w:bottom w:val="none" w:sz="0" w:space="0" w:color="auto"/>
            <w:right w:val="none" w:sz="0" w:space="0" w:color="auto"/>
          </w:divBdr>
        </w:div>
        <w:div w:id="1697659065">
          <w:marLeft w:val="0"/>
          <w:marRight w:val="0"/>
          <w:marTop w:val="0"/>
          <w:marBottom w:val="0"/>
          <w:divBdr>
            <w:top w:val="none" w:sz="0" w:space="0" w:color="auto"/>
            <w:left w:val="none" w:sz="0" w:space="0" w:color="auto"/>
            <w:bottom w:val="none" w:sz="0" w:space="0" w:color="auto"/>
            <w:right w:val="none" w:sz="0" w:space="0" w:color="auto"/>
          </w:divBdr>
        </w:div>
        <w:div w:id="1740978007">
          <w:marLeft w:val="0"/>
          <w:marRight w:val="0"/>
          <w:marTop w:val="0"/>
          <w:marBottom w:val="0"/>
          <w:divBdr>
            <w:top w:val="none" w:sz="0" w:space="0" w:color="auto"/>
            <w:left w:val="none" w:sz="0" w:space="0" w:color="auto"/>
            <w:bottom w:val="none" w:sz="0" w:space="0" w:color="auto"/>
            <w:right w:val="none" w:sz="0" w:space="0" w:color="auto"/>
          </w:divBdr>
        </w:div>
        <w:div w:id="1744788659">
          <w:marLeft w:val="0"/>
          <w:marRight w:val="0"/>
          <w:marTop w:val="0"/>
          <w:marBottom w:val="0"/>
          <w:divBdr>
            <w:top w:val="none" w:sz="0" w:space="0" w:color="auto"/>
            <w:left w:val="none" w:sz="0" w:space="0" w:color="auto"/>
            <w:bottom w:val="none" w:sz="0" w:space="0" w:color="auto"/>
            <w:right w:val="none" w:sz="0" w:space="0" w:color="auto"/>
          </w:divBdr>
        </w:div>
        <w:div w:id="1796606732">
          <w:marLeft w:val="0"/>
          <w:marRight w:val="0"/>
          <w:marTop w:val="0"/>
          <w:marBottom w:val="0"/>
          <w:divBdr>
            <w:top w:val="none" w:sz="0" w:space="0" w:color="auto"/>
            <w:left w:val="none" w:sz="0" w:space="0" w:color="auto"/>
            <w:bottom w:val="none" w:sz="0" w:space="0" w:color="auto"/>
            <w:right w:val="none" w:sz="0" w:space="0" w:color="auto"/>
          </w:divBdr>
        </w:div>
        <w:div w:id="1872037918">
          <w:marLeft w:val="0"/>
          <w:marRight w:val="0"/>
          <w:marTop w:val="0"/>
          <w:marBottom w:val="0"/>
          <w:divBdr>
            <w:top w:val="none" w:sz="0" w:space="0" w:color="auto"/>
            <w:left w:val="none" w:sz="0" w:space="0" w:color="auto"/>
            <w:bottom w:val="none" w:sz="0" w:space="0" w:color="auto"/>
            <w:right w:val="none" w:sz="0" w:space="0" w:color="auto"/>
          </w:divBdr>
        </w:div>
        <w:div w:id="1940405877">
          <w:marLeft w:val="0"/>
          <w:marRight w:val="0"/>
          <w:marTop w:val="0"/>
          <w:marBottom w:val="0"/>
          <w:divBdr>
            <w:top w:val="none" w:sz="0" w:space="0" w:color="auto"/>
            <w:left w:val="none" w:sz="0" w:space="0" w:color="auto"/>
            <w:bottom w:val="none" w:sz="0" w:space="0" w:color="auto"/>
            <w:right w:val="none" w:sz="0" w:space="0" w:color="auto"/>
          </w:divBdr>
        </w:div>
        <w:div w:id="2019506497">
          <w:marLeft w:val="0"/>
          <w:marRight w:val="0"/>
          <w:marTop w:val="0"/>
          <w:marBottom w:val="0"/>
          <w:divBdr>
            <w:top w:val="none" w:sz="0" w:space="0" w:color="auto"/>
            <w:left w:val="none" w:sz="0" w:space="0" w:color="auto"/>
            <w:bottom w:val="none" w:sz="0" w:space="0" w:color="auto"/>
            <w:right w:val="none" w:sz="0" w:space="0" w:color="auto"/>
          </w:divBdr>
        </w:div>
        <w:div w:id="2041588156">
          <w:marLeft w:val="0"/>
          <w:marRight w:val="0"/>
          <w:marTop w:val="0"/>
          <w:marBottom w:val="0"/>
          <w:divBdr>
            <w:top w:val="none" w:sz="0" w:space="0" w:color="auto"/>
            <w:left w:val="none" w:sz="0" w:space="0" w:color="auto"/>
            <w:bottom w:val="none" w:sz="0" w:space="0" w:color="auto"/>
            <w:right w:val="none" w:sz="0" w:space="0" w:color="auto"/>
          </w:divBdr>
        </w:div>
        <w:div w:id="2051025974">
          <w:marLeft w:val="0"/>
          <w:marRight w:val="0"/>
          <w:marTop w:val="0"/>
          <w:marBottom w:val="0"/>
          <w:divBdr>
            <w:top w:val="none" w:sz="0" w:space="0" w:color="auto"/>
            <w:left w:val="none" w:sz="0" w:space="0" w:color="auto"/>
            <w:bottom w:val="none" w:sz="0" w:space="0" w:color="auto"/>
            <w:right w:val="none" w:sz="0" w:space="0" w:color="auto"/>
          </w:divBdr>
        </w:div>
        <w:div w:id="2076705035">
          <w:marLeft w:val="0"/>
          <w:marRight w:val="0"/>
          <w:marTop w:val="0"/>
          <w:marBottom w:val="0"/>
          <w:divBdr>
            <w:top w:val="none" w:sz="0" w:space="0" w:color="auto"/>
            <w:left w:val="none" w:sz="0" w:space="0" w:color="auto"/>
            <w:bottom w:val="none" w:sz="0" w:space="0" w:color="auto"/>
            <w:right w:val="none" w:sz="0" w:space="0" w:color="auto"/>
          </w:divBdr>
        </w:div>
        <w:div w:id="2092579229">
          <w:marLeft w:val="0"/>
          <w:marRight w:val="0"/>
          <w:marTop w:val="0"/>
          <w:marBottom w:val="0"/>
          <w:divBdr>
            <w:top w:val="none" w:sz="0" w:space="0" w:color="auto"/>
            <w:left w:val="none" w:sz="0" w:space="0" w:color="auto"/>
            <w:bottom w:val="none" w:sz="0" w:space="0" w:color="auto"/>
            <w:right w:val="none" w:sz="0" w:space="0" w:color="auto"/>
          </w:divBdr>
        </w:div>
        <w:div w:id="2124839772">
          <w:marLeft w:val="0"/>
          <w:marRight w:val="0"/>
          <w:marTop w:val="0"/>
          <w:marBottom w:val="0"/>
          <w:divBdr>
            <w:top w:val="none" w:sz="0" w:space="0" w:color="auto"/>
            <w:left w:val="none" w:sz="0" w:space="0" w:color="auto"/>
            <w:bottom w:val="none" w:sz="0" w:space="0" w:color="auto"/>
            <w:right w:val="none" w:sz="0" w:space="0" w:color="auto"/>
          </w:divBdr>
        </w:div>
      </w:divsChild>
    </w:div>
    <w:div w:id="814025232">
      <w:bodyDiv w:val="1"/>
      <w:marLeft w:val="0"/>
      <w:marRight w:val="0"/>
      <w:marTop w:val="0"/>
      <w:marBottom w:val="0"/>
      <w:divBdr>
        <w:top w:val="none" w:sz="0" w:space="0" w:color="auto"/>
        <w:left w:val="none" w:sz="0" w:space="0" w:color="auto"/>
        <w:bottom w:val="none" w:sz="0" w:space="0" w:color="auto"/>
        <w:right w:val="none" w:sz="0" w:space="0" w:color="auto"/>
      </w:divBdr>
    </w:div>
    <w:div w:id="1009985325">
      <w:bodyDiv w:val="1"/>
      <w:marLeft w:val="0"/>
      <w:marRight w:val="0"/>
      <w:marTop w:val="0"/>
      <w:marBottom w:val="0"/>
      <w:divBdr>
        <w:top w:val="none" w:sz="0" w:space="0" w:color="auto"/>
        <w:left w:val="none" w:sz="0" w:space="0" w:color="auto"/>
        <w:bottom w:val="none" w:sz="0" w:space="0" w:color="auto"/>
        <w:right w:val="none" w:sz="0" w:space="0" w:color="auto"/>
      </w:divBdr>
      <w:divsChild>
        <w:div w:id="160586326">
          <w:marLeft w:val="0"/>
          <w:marRight w:val="0"/>
          <w:marTop w:val="0"/>
          <w:marBottom w:val="0"/>
          <w:divBdr>
            <w:top w:val="none" w:sz="0" w:space="0" w:color="auto"/>
            <w:left w:val="none" w:sz="0" w:space="0" w:color="auto"/>
            <w:bottom w:val="none" w:sz="0" w:space="0" w:color="auto"/>
            <w:right w:val="none" w:sz="0" w:space="0" w:color="auto"/>
          </w:divBdr>
        </w:div>
      </w:divsChild>
    </w:div>
    <w:div w:id="1897545048">
      <w:bodyDiv w:val="1"/>
      <w:marLeft w:val="0"/>
      <w:marRight w:val="0"/>
      <w:marTop w:val="0"/>
      <w:marBottom w:val="0"/>
      <w:divBdr>
        <w:top w:val="none" w:sz="0" w:space="0" w:color="auto"/>
        <w:left w:val="none" w:sz="0" w:space="0" w:color="auto"/>
        <w:bottom w:val="none" w:sz="0" w:space="0" w:color="auto"/>
        <w:right w:val="none" w:sz="0" w:space="0" w:color="auto"/>
      </w:divBdr>
      <w:divsChild>
        <w:div w:id="1507671287">
          <w:marLeft w:val="0"/>
          <w:marRight w:val="0"/>
          <w:marTop w:val="0"/>
          <w:marBottom w:val="0"/>
          <w:divBdr>
            <w:top w:val="none" w:sz="0" w:space="0" w:color="auto"/>
            <w:left w:val="none" w:sz="0" w:space="0" w:color="auto"/>
            <w:bottom w:val="none" w:sz="0" w:space="0" w:color="auto"/>
            <w:right w:val="none" w:sz="0" w:space="0" w:color="auto"/>
          </w:divBdr>
          <w:divsChild>
            <w:div w:id="2105757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earlychildhoodaustralia.org.au/our-publications/every-child-magazine/every-child-index/every-child-vol-18-3-2012/sustainability-intentional-teaching-early-childhood-free-article/" TargetMode="External"/><Relationship Id="rId18" Type="http://schemas.openxmlformats.org/officeDocument/2006/relationships/hyperlink" Target="https://www.oxfam.org/en/tags/sustainability"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www.thwink.org/sustain/glossary/ThreePillarsOfSustainability.htm" TargetMode="External"/><Relationship Id="rId7" Type="http://schemas.openxmlformats.org/officeDocument/2006/relationships/image" Target="media/image1.png"/><Relationship Id="rId12" Type="http://schemas.openxmlformats.org/officeDocument/2006/relationships/hyperlink" Target="http://www.nicurriculum.org.uk/docs/foundation_stage/learning_through_play_ey.pdf" TargetMode="External"/><Relationship Id="rId17" Type="http://schemas.openxmlformats.org/officeDocument/2006/relationships/hyperlink" Target="http://www.montessori.org.uk/what_is_montessori/the_environment"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wildthings.org.uk/forest.html" TargetMode="External"/><Relationship Id="rId20" Type="http://schemas.openxmlformats.org/officeDocument/2006/relationships/hyperlink" Target="http://www.parentingacrossscotland.org/policy--research/good-practice/education,-childcare-and-play/natural-playgrounds.asp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logs.glowscotland.org.uk/glowblogs/lfsblog/2015/06/"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foundationyears.org.uk/childcare/sustainability/" TargetMode="External"/><Relationship Id="rId23" Type="http://schemas.openxmlformats.org/officeDocument/2006/relationships/hyperlink" Target="https://www.susu.org/groups/amnesty-international" TargetMode="External"/><Relationship Id="rId28" Type="http://schemas.openxmlformats.org/officeDocument/2006/relationships/theme" Target="theme/theme1.xml"/><Relationship Id="rId10" Type="http://schemas.openxmlformats.org/officeDocument/2006/relationships/hyperlink" Target="http://www.communityplaythings.co.uk/learning-library/articles/outdoor-exploration" TargetMode="External"/><Relationship Id="rId19" Type="http://schemas.openxmlformats.org/officeDocument/2006/relationships/hyperlink" Target="https://www.psychology.org.au/for-the-public/Psychology-Topics/Climate-change-psychology/Talking-with-children-about-the-environment"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ejopa.missouristate.edu/index.php/ejournal/article/viewFile/41/55/107" TargetMode="External"/><Relationship Id="rId22" Type="http://schemas.openxmlformats.org/officeDocument/2006/relationships/hyperlink" Target="https://www.unicef.org.uk/define-sustainability-children/"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E32"/>
    <w:rsid w:val="00C06821"/>
    <w:rsid w:val="00C32E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3FB5CC996234E57968BDD1029878D18">
    <w:name w:val="33FB5CC996234E57968BDD1029878D18"/>
    <w:rsid w:val="00C32E3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2745</Words>
  <Characters>15648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Evans</dc:creator>
  <cp:keywords/>
  <dc:description/>
  <cp:lastModifiedBy>Rebecca Evans</cp:lastModifiedBy>
  <cp:revision>2</cp:revision>
  <dcterms:created xsi:type="dcterms:W3CDTF">2018-04-27T00:52:00Z</dcterms:created>
  <dcterms:modified xsi:type="dcterms:W3CDTF">2018-04-27T00:52:00Z</dcterms:modified>
</cp:coreProperties>
</file>