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95C62" w:rsidRPr="00305881" w:rsidRDefault="00795C62" w:rsidP="00795C62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/>
        </w:rPr>
      </w:pPr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Merleau-Ponty, </w:t>
      </w:r>
      <w:r w:rsidRPr="00305881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>Phenomenology of Perception</w:t>
      </w:r>
      <w:r w:rsidR="001A57FA" w:rsidRPr="00305881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, Introduction chs 1 &amp; 2;  </w:t>
      </w:r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ch 3 pp 37-44 (Part II </w:t>
      </w:r>
      <w:r w:rsidR="001A57FA" w:rsidRPr="00305881">
        <w:rPr>
          <w:rFonts w:ascii="Times New Roman" w:eastAsia="MS ??" w:hAnsi="Times New Roman" w:cs="Times New Roman"/>
          <w:sz w:val="24"/>
          <w:szCs w:val="24"/>
          <w:lang w:val="en-US"/>
        </w:rPr>
        <w:br/>
        <w:t xml:space="preserve">   </w:t>
      </w:r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>chs 1 &amp; 3)</w:t>
      </w:r>
      <w:r w:rsidR="001A57FA" w:rsidRPr="00305881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 </w:t>
      </w:r>
      <w:hyperlink r:id="rId4" w:anchor="page/n13/mode/2up" w:history="1">
        <w:r w:rsidR="001A57FA" w:rsidRPr="00305881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https://archive.org/stream/phenomenologyofp00merl#page/n13/mode/2up</w:t>
        </w:r>
      </w:hyperlink>
      <w:r w:rsidR="001A57FA" w:rsidRPr="00305881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br/>
      </w:r>
      <w:r w:rsidRPr="00305881">
        <w:rPr>
          <w:rFonts w:ascii="Times New Roman" w:eastAsia="MS ??" w:hAnsi="Times New Roman" w:cs="Times New Roman"/>
          <w:sz w:val="24"/>
          <w:szCs w:val="24"/>
        </w:rPr>
        <w:t>Charles Taylor, ‘</w:t>
      </w:r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>Merleau-Ponty</w:t>
      </w:r>
      <w:r w:rsidRPr="00305881">
        <w:rPr>
          <w:rFonts w:ascii="Times New Roman" w:eastAsia="MS ??" w:hAnsi="Times New Roman" w:cs="Times New Roman"/>
          <w:sz w:val="24"/>
          <w:szCs w:val="24"/>
        </w:rPr>
        <w:t xml:space="preserve"> and the Epistemological Picture’, in Carman and Hansen </w:t>
      </w:r>
      <w:r w:rsidR="001A57FA" w:rsidRPr="00305881">
        <w:rPr>
          <w:rFonts w:ascii="Times New Roman" w:eastAsia="MS ??" w:hAnsi="Times New Roman" w:cs="Times New Roman"/>
          <w:sz w:val="24"/>
          <w:szCs w:val="24"/>
        </w:rPr>
        <w:br/>
        <w:t xml:space="preserve">   </w:t>
      </w:r>
      <w:r w:rsidRPr="00305881">
        <w:rPr>
          <w:rFonts w:ascii="Times New Roman" w:eastAsia="MS ??" w:hAnsi="Times New Roman" w:cs="Times New Roman"/>
          <w:sz w:val="24"/>
          <w:szCs w:val="24"/>
        </w:rPr>
        <w:t xml:space="preserve">(eds) </w:t>
      </w:r>
      <w:r w:rsidRPr="00305881">
        <w:rPr>
          <w:rFonts w:ascii="Times New Roman" w:eastAsia="MS ??" w:hAnsi="Times New Roman" w:cs="Times New Roman"/>
          <w:i/>
          <w:iCs/>
          <w:sz w:val="24"/>
          <w:szCs w:val="24"/>
        </w:rPr>
        <w:t xml:space="preserve">The Cambridge Companion to </w:t>
      </w:r>
      <w:r w:rsidR="001A57FA" w:rsidRPr="00305881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>Merleau-</w:t>
      </w:r>
      <w:r w:rsidRPr="00305881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>Ponty</w:t>
      </w:r>
      <w:r w:rsidRPr="00305881">
        <w:rPr>
          <w:rFonts w:ascii="Times New Roman" w:eastAsia="MS ??" w:hAnsi="Times New Roman" w:cs="Times New Roman"/>
          <w:i/>
          <w:iCs/>
          <w:sz w:val="24"/>
          <w:szCs w:val="24"/>
        </w:rPr>
        <w:t xml:space="preserve"> </w:t>
      </w:r>
    </w:p>
    <w:p w:rsidR="00795C62" w:rsidRPr="00305881" w:rsidRDefault="00795C62" w:rsidP="00795C62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/>
        </w:rPr>
      </w:pPr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Christopher Macann, </w:t>
      </w:r>
      <w:r w:rsidRPr="00305881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>Four Phenomenological Philosophers</w:t>
      </w:r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>, ‘Merleau-</w:t>
      </w:r>
      <w:r w:rsidR="001A57FA" w:rsidRPr="00305881">
        <w:rPr>
          <w:rFonts w:ascii="Times New Roman" w:eastAsia="MS ??" w:hAnsi="Times New Roman" w:cs="Times New Roman"/>
          <w:sz w:val="24"/>
          <w:szCs w:val="24"/>
          <w:lang w:val="en-US"/>
        </w:rPr>
        <w:t>P</w:t>
      </w:r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onty’ </w:t>
      </w:r>
    </w:p>
    <w:p w:rsidR="00795C62" w:rsidRPr="00305881" w:rsidRDefault="00795C62" w:rsidP="00795C62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/>
        </w:rPr>
      </w:pPr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Eric Matthews, </w:t>
      </w:r>
      <w:r w:rsidRPr="00305881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 xml:space="preserve">The Philosophy of Merleau-Ponty, </w:t>
      </w:r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>ch 3</w:t>
      </w:r>
    </w:p>
    <w:p w:rsidR="00795C62" w:rsidRPr="00305881" w:rsidRDefault="00795C62" w:rsidP="00795C62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</w:rPr>
      </w:pPr>
      <w:r w:rsidRPr="00305881">
        <w:rPr>
          <w:rFonts w:ascii="Times New Roman" w:eastAsia="MS ??" w:hAnsi="Times New Roman" w:cs="Times New Roman"/>
          <w:sz w:val="24"/>
          <w:szCs w:val="24"/>
        </w:rPr>
        <w:t xml:space="preserve">M. Hammond, Jane Howarth &amp; Russell Keat, </w:t>
      </w:r>
      <w:r w:rsidR="001A57FA" w:rsidRPr="00305881">
        <w:rPr>
          <w:rFonts w:ascii="Times New Roman" w:eastAsia="MS ??" w:hAnsi="Times New Roman" w:cs="Times New Roman"/>
          <w:i/>
          <w:iCs/>
          <w:sz w:val="24"/>
          <w:szCs w:val="24"/>
        </w:rPr>
        <w:t xml:space="preserve">Understanding </w:t>
      </w:r>
      <w:r w:rsidRPr="00305881">
        <w:rPr>
          <w:rFonts w:ascii="Times New Roman" w:eastAsia="MS ??" w:hAnsi="Times New Roman" w:cs="Times New Roman"/>
          <w:i/>
          <w:iCs/>
          <w:sz w:val="24"/>
          <w:szCs w:val="24"/>
        </w:rPr>
        <w:t>Phenomenology</w:t>
      </w:r>
      <w:r w:rsidRPr="00305881">
        <w:rPr>
          <w:rFonts w:ascii="Times New Roman" w:eastAsia="MS ??" w:hAnsi="Times New Roman" w:cs="Times New Roman"/>
          <w:sz w:val="24"/>
          <w:szCs w:val="24"/>
        </w:rPr>
        <w:t>, Ch 5</w:t>
      </w:r>
    </w:p>
    <w:p w:rsidR="00305881" w:rsidRPr="00305881" w:rsidRDefault="00305881" w:rsidP="00305881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/>
        </w:rPr>
      </w:pPr>
    </w:p>
    <w:p w:rsidR="00305881" w:rsidRDefault="00305881" w:rsidP="00305881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/>
        </w:rPr>
      </w:pPr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Wittgenstein, </w:t>
      </w:r>
      <w:r w:rsidRPr="00305881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>Philosophical Investigations</w:t>
      </w:r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, pp. 193-214 (See also sections 534-46; </w:t>
      </w:r>
      <w:r w:rsidRPr="00305881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>Zettel</w:t>
      </w:r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 </w:t>
      </w:r>
    </w:p>
    <w:p w:rsidR="00305881" w:rsidRPr="00305881" w:rsidRDefault="00305881" w:rsidP="00305881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/>
        </w:rPr>
      </w:pPr>
      <w:r>
        <w:rPr>
          <w:rFonts w:ascii="Times New Roman" w:eastAsia="MS ??" w:hAnsi="Times New Roman" w:cs="Times New Roman"/>
          <w:sz w:val="24"/>
          <w:szCs w:val="24"/>
          <w:lang w:val="en-US"/>
        </w:rPr>
        <w:t xml:space="preserve">   </w:t>
      </w:r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>204-35, 657-60)</w:t>
      </w:r>
    </w:p>
    <w:p w:rsidR="00305881" w:rsidRDefault="00305881" w:rsidP="00305881">
      <w:pPr>
        <w:spacing w:after="0" w:line="240" w:lineRule="auto"/>
        <w:rPr>
          <w:rFonts w:ascii="Times New Roman" w:eastAsia="MS ??" w:hAnsi="Times New Roman" w:cs="Times New Roman"/>
          <w:i/>
          <w:iCs/>
          <w:sz w:val="24"/>
          <w:szCs w:val="24"/>
        </w:rPr>
      </w:pPr>
      <w:r w:rsidRPr="00305881">
        <w:rPr>
          <w:rFonts w:ascii="Times New Roman" w:eastAsia="MS ??" w:hAnsi="Times New Roman" w:cs="Times New Roman"/>
          <w:sz w:val="24"/>
          <w:szCs w:val="24"/>
        </w:rPr>
        <w:t xml:space="preserve">Stephen Mulhall, ‘Seeing Aspects’ in Hans-Johann Glock (ed), </w:t>
      </w:r>
      <w:r w:rsidRPr="00305881">
        <w:rPr>
          <w:rFonts w:ascii="Times New Roman" w:eastAsia="MS ??" w:hAnsi="Times New Roman" w:cs="Times New Roman"/>
          <w:i/>
          <w:iCs/>
          <w:sz w:val="24"/>
          <w:szCs w:val="24"/>
        </w:rPr>
        <w:t xml:space="preserve">Wittgenstein: a critical </w:t>
      </w:r>
    </w:p>
    <w:p w:rsidR="00305881" w:rsidRPr="00305881" w:rsidRDefault="00305881" w:rsidP="00305881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</w:rPr>
      </w:pPr>
      <w:r>
        <w:rPr>
          <w:rFonts w:ascii="Times New Roman" w:eastAsia="MS ??" w:hAnsi="Times New Roman" w:cs="Times New Roman"/>
          <w:i/>
          <w:iCs/>
          <w:sz w:val="24"/>
          <w:szCs w:val="24"/>
        </w:rPr>
        <w:t xml:space="preserve">   </w:t>
      </w:r>
      <w:r w:rsidRPr="00305881">
        <w:rPr>
          <w:rFonts w:ascii="Times New Roman" w:eastAsia="MS ??" w:hAnsi="Times New Roman" w:cs="Times New Roman"/>
          <w:i/>
          <w:iCs/>
          <w:sz w:val="24"/>
          <w:szCs w:val="24"/>
        </w:rPr>
        <w:t xml:space="preserve">reader </w:t>
      </w:r>
    </w:p>
    <w:p w:rsidR="00305881" w:rsidRPr="00305881" w:rsidRDefault="00305881" w:rsidP="00305881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/>
        </w:rPr>
      </w:pPr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William H. Brenner, </w:t>
      </w:r>
      <w:r w:rsidRPr="00305881">
        <w:rPr>
          <w:rFonts w:ascii="Times New Roman" w:eastAsia="MS ??" w:hAnsi="Times New Roman" w:cs="Times New Roman"/>
          <w:i/>
          <w:iCs/>
          <w:sz w:val="24"/>
          <w:szCs w:val="24"/>
        </w:rPr>
        <w:t>Wittgenstein’s</w:t>
      </w:r>
      <w:r w:rsidRPr="00305881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 xml:space="preserve"> Philosophical Investigations, </w:t>
      </w:r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>pp 78-</w:t>
      </w:r>
      <w:bookmarkStart w:id="0" w:name="_GoBack"/>
      <w:bookmarkEnd w:id="0"/>
      <w:r w:rsidRPr="00305881">
        <w:rPr>
          <w:rFonts w:ascii="Times New Roman" w:eastAsia="MS ??" w:hAnsi="Times New Roman" w:cs="Times New Roman"/>
          <w:sz w:val="24"/>
          <w:szCs w:val="24"/>
          <w:lang w:val="en-US"/>
        </w:rPr>
        <w:t>84</w:t>
      </w:r>
    </w:p>
    <w:p w:rsidR="00305881" w:rsidRPr="001A57FA" w:rsidRDefault="00305881" w:rsidP="00795C62">
      <w:pPr>
        <w:spacing w:after="0" w:line="240" w:lineRule="auto"/>
        <w:rPr>
          <w:rFonts w:ascii="Times New Roman" w:eastAsia="MS ??" w:hAnsi="Times New Roman" w:cs="Times New Roman"/>
          <w:i/>
          <w:iCs/>
          <w:sz w:val="24"/>
          <w:szCs w:val="24"/>
        </w:rPr>
      </w:pPr>
    </w:p>
    <w:p w:rsidR="00795C62" w:rsidRPr="00795C62" w:rsidRDefault="00795C62" w:rsidP="00795C62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 w:eastAsia="en-GB"/>
        </w:rPr>
      </w:pPr>
    </w:p>
    <w:p w:rsidR="00014997" w:rsidRDefault="00305881"/>
    <w:sectPr w:rsidR="000149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??">
    <w:panose1 w:val="00000000000000000000"/>
    <w:charset w:val="80"/>
    <w:family w:val="auto"/>
    <w:notTrueType/>
    <w:pitch w:val="variable"/>
    <w:sig w:usb0="00000001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5C62"/>
    <w:rsid w:val="001A57FA"/>
    <w:rsid w:val="00305881"/>
    <w:rsid w:val="005B6C85"/>
    <w:rsid w:val="00795C62"/>
    <w:rsid w:val="009C57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D0ED3B"/>
  <w15:chartTrackingRefBased/>
  <w15:docId w15:val="{D5B2238D-9946-4E3F-B5BF-8A71A46C20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archive.org/stream/phenomenologyofp00mer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132</Words>
  <Characters>757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3</cp:revision>
  <dcterms:created xsi:type="dcterms:W3CDTF">2016-09-21T06:58:00Z</dcterms:created>
  <dcterms:modified xsi:type="dcterms:W3CDTF">2016-11-27T08:37:00Z</dcterms:modified>
</cp:coreProperties>
</file>