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document.xml" ContentType="application/vnd.openxmlformats-officedocument.wordprocessingml.document.main+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footer3.xml" ContentType="application/vnd.openxmlformats-officedocument.wordprocessingml.footer+xml"/>
  <Override PartName="/word/media/image1.png" ContentType="image/png"/>
  <Override PartName="/word/media/image4.png" ContentType="image/png"/>
  <Override PartName="/word/media/image12.png" ContentType="image/png"/>
  <Override PartName="/word/media/image5.png" ContentType="image/png"/>
  <Override PartName="/word/media/image13.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2.png" ContentType="image/png"/>
  <Override PartName="/word/media/image9.png" ContentType="image/png"/>
  <Override PartName="/word/media/image11.png" ContentType="image/png"/>
  <Override PartName="/word/media/image3.png" ContentType="image/png"/>
  <Override PartName="/word/footer2.xml" ContentType="application/vnd.openxmlformats-officedocument.wordprocessingml.footer+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9.odttf" ContentType="application/vnd.openxmlformats-officedocument.obfuscatedFont"/>
  <Override PartName="/word/fonts/font10.odttf" ContentType="application/vnd.openxmlformats-officedocument.obfuscatedFont"/>
  <Override PartName="/word/fonts/font11.odttf" ContentType="application/vnd.openxmlformats-officedocument.obfuscatedFont"/>
  <Override PartName="/word/fonts/font8.odttf" ContentType="application/vnd.openxmlformats-officedocument.obfuscatedFont"/>
  <Override PartName="/word/fonts/font12.odttf" ContentType="application/vnd.openxmlformats-officedocument.obfuscatedFont"/>
  <Override PartName="/word/numbering.xml" ContentType="application/vnd.openxmlformats-officedocument.wordprocessingml.numbering+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tabs>
          <w:tab w:val="clear" w:pos="720"/>
          <w:tab w:val="center" w:pos="4153" w:leader="none"/>
          <w:tab w:val="right" w:pos="8306" w:leader="none"/>
        </w:tabs>
        <w:spacing w:lineRule="auto" w:line="240"/>
        <w:ind w:firstLine="720" w:left="5760"/>
        <w:rPr>
          <w:b/>
          <w:bCs/>
        </w:rPr>
      </w:pPr>
      <w:r>
        <w:rPr>
          <w:b/>
          <w:bCs/>
        </w:rPr>
        <mc:AlternateContent>
          <mc:Choice Requires="wps">
            <w:drawing>
              <wp:anchor behindDoc="0" distT="0" distB="0" distL="114300" distR="114300" simplePos="0" locked="0" layoutInCell="0" allowOverlap="1" relativeHeight="14" wp14:anchorId="0328F875">
                <wp:simplePos x="0" y="0"/>
                <wp:positionH relativeFrom="column">
                  <wp:posOffset>-415925</wp:posOffset>
                </wp:positionH>
                <wp:positionV relativeFrom="paragraph">
                  <wp:posOffset>-661035</wp:posOffset>
                </wp:positionV>
                <wp:extent cx="1806575" cy="727075"/>
                <wp:effectExtent l="0" t="0" r="0" b="0"/>
                <wp:wrapSquare wrapText="bothSides"/>
                <wp:docPr id="1" name="image3.png" descr="Discover University of Wales Trinity Saint David"/>
                <a:graphic xmlns:a="http://schemas.openxmlformats.org/drawingml/2006/main">
                  <a:graphicData uri="http://schemas.openxmlformats.org/drawingml/2006/picture">
                    <pic:pic xmlns:pic="http://schemas.openxmlformats.org/drawingml/2006/picture">
                      <pic:nvPicPr>
                        <pic:cNvPr id="2" name="image3.png" descr="Discover University of Wales Trinity Saint David"/>
                        <pic:cNvPicPr/>
                      </pic:nvPicPr>
                      <pic:blipFill>
                        <a:blip r:embed="rId2"/>
                        <a:stretch/>
                      </pic:blipFill>
                      <pic:spPr>
                        <a:xfrm>
                          <a:off x="0" y="0"/>
                          <a:ext cx="1806480" cy="727200"/>
                        </a:xfrm>
                        <a:prstGeom prst="rect">
                          <a:avLst/>
                        </a:prstGeom>
                        <a:noFill/>
                        <a:ln w="0">
                          <a:noFill/>
                        </a:ln>
                      </pic:spPr>
                    </pic:pic>
                  </a:graphicData>
                </a:graphic>
              </wp:anchor>
            </w:drawing>
          </mc:Choice>
        </mc:AlternateContent>
      </w:r>
    </w:p>
    <w:p>
      <w:pPr>
        <w:pStyle w:val="Normal"/>
        <w:jc w:val="center"/>
        <w:rPr>
          <w:rFonts w:ascii="Arial" w:hAnsi="Arial" w:cs="Arial"/>
          <w:sz w:val="36"/>
          <w:szCs w:val="36"/>
          <w:u w:val="single"/>
        </w:rPr>
      </w:pPr>
      <w:r>
        <w:rPr>
          <w:rFonts w:cs="Arial" w:ascii="Arial" w:hAnsi="Arial"/>
          <w:sz w:val="36"/>
          <w:szCs w:val="36"/>
          <w:u w:val="single"/>
        </w:rPr>
        <w:t>LCMB7024 Marketing Management</w:t>
      </w:r>
    </w:p>
    <w:p>
      <w:pPr>
        <w:pStyle w:val="Normal"/>
        <w:jc w:val="center"/>
        <w:rPr>
          <w:rFonts w:ascii="Arial" w:hAnsi="Arial" w:cs="Arial"/>
          <w:b/>
          <w:bCs/>
        </w:rPr>
      </w:pPr>
      <w:r>
        <w:rPr>
          <w:rFonts w:cs="Arial" w:ascii="Arial" w:hAnsi="Arial"/>
          <w:b/>
          <w:bCs/>
        </w:rPr>
        <w:t>Assessment component 1: Marketing Environment Analysis</w:t>
      </w:r>
    </w:p>
    <w:p>
      <w:pPr>
        <w:pStyle w:val="Normal"/>
        <w:jc w:val="center"/>
        <w:rPr>
          <w:rFonts w:ascii="Arial" w:hAnsi="Arial" w:cs="Arial"/>
          <w:b/>
          <w:bCs/>
        </w:rPr>
      </w:pPr>
      <w:r>
        <w:rPr>
          <w:rFonts w:cs="Arial" w:ascii="Arial" w:hAnsi="Arial"/>
          <w:b/>
          <w:bCs/>
        </w:rPr>
        <w:t>Selected company: BHP</w:t>
      </w:r>
    </w:p>
    <w:p>
      <w:pPr>
        <w:pStyle w:val="Normal"/>
        <w:jc w:val="center"/>
        <w:rPr>
          <w:rFonts w:ascii="Arial" w:hAnsi="Arial" w:cs="Arial"/>
          <w:b/>
          <w:bCs/>
        </w:rPr>
      </w:pPr>
      <w:r>
        <w:rPr>
          <w:rFonts w:cs="Arial" w:ascii="Arial" w:hAnsi="Arial"/>
          <w:b/>
          <w:bCs/>
        </w:rPr>
      </w:r>
    </w:p>
    <w:p>
      <w:pPr>
        <w:pStyle w:val="Normal"/>
        <w:jc w:val="center"/>
        <w:rPr>
          <w:rFonts w:ascii="Arial" w:hAnsi="Arial" w:cs="Arial"/>
          <w:b/>
          <w:bCs/>
        </w:rPr>
      </w:pPr>
      <w:r>
        <w:rPr>
          <w:rFonts w:cs="Arial" w:ascii="Arial" w:hAnsi="Arial"/>
          <w:b/>
          <w:bCs/>
        </w:rPr>
        <w:t>Programme Name: Master of Business Administration (MBA)</w:t>
      </w:r>
    </w:p>
    <w:p>
      <w:pPr>
        <w:pStyle w:val="Normal"/>
        <w:jc w:val="center"/>
        <w:rPr>
          <w:rFonts w:ascii="Arial" w:hAnsi="Arial" w:cs="Arial"/>
          <w:b/>
          <w:bCs/>
        </w:rPr>
      </w:pPr>
      <w:r>
        <w:rPr>
          <w:rFonts w:cs="Arial" w:ascii="Arial" w:hAnsi="Arial"/>
          <w:b/>
          <w:bCs/>
        </w:rPr>
      </w:r>
    </w:p>
    <w:p>
      <w:pPr>
        <w:pStyle w:val="Normal"/>
        <w:jc w:val="center"/>
        <w:rPr>
          <w:rFonts w:ascii="Arial" w:hAnsi="Arial" w:cs="Arial"/>
          <w:b/>
          <w:bCs/>
        </w:rPr>
      </w:pPr>
      <w:r>
        <w:rPr>
          <w:rFonts w:cs="Arial" w:ascii="Arial" w:hAnsi="Arial"/>
          <w:b/>
          <w:bCs/>
        </w:rPr>
        <w:t>Module Name &amp; Code: Marketing Management (LCMB7024)</w:t>
      </w:r>
    </w:p>
    <w:p>
      <w:pPr>
        <w:pStyle w:val="Normal"/>
        <w:jc w:val="center"/>
        <w:rPr>
          <w:rFonts w:ascii="Arial" w:hAnsi="Arial" w:cs="Arial"/>
          <w:b/>
          <w:bCs/>
        </w:rPr>
      </w:pPr>
      <w:r>
        <w:rPr>
          <w:rFonts w:cs="Arial" w:ascii="Arial" w:hAnsi="Arial"/>
          <w:b/>
          <w:bCs/>
        </w:rPr>
      </w:r>
    </w:p>
    <w:p>
      <w:pPr>
        <w:pStyle w:val="Normal"/>
        <w:jc w:val="center"/>
        <w:rPr>
          <w:rFonts w:ascii="Arial" w:hAnsi="Arial" w:cs="Arial"/>
          <w:b/>
          <w:bCs/>
        </w:rPr>
      </w:pPr>
      <w:r>
        <w:rPr>
          <w:rFonts w:cs="Arial" w:ascii="Arial" w:hAnsi="Arial"/>
          <w:b/>
          <w:bCs/>
        </w:rPr>
        <w:t>Lecturer: Taonga Kaonga Sobere- Snithers</w:t>
      </w:r>
    </w:p>
    <w:p>
      <w:pPr>
        <w:pStyle w:val="Normal"/>
        <w:jc w:val="center"/>
        <w:rPr>
          <w:rFonts w:ascii="Arial" w:hAnsi="Arial" w:cs="Arial"/>
          <w:b/>
          <w:bCs/>
        </w:rPr>
      </w:pPr>
      <w:r>
        <w:rPr>
          <w:rFonts w:cs="Arial" w:ascii="Arial" w:hAnsi="Arial"/>
          <w:b/>
          <w:bCs/>
        </w:rPr>
      </w:r>
    </w:p>
    <w:p>
      <w:pPr>
        <w:pStyle w:val="Normal"/>
        <w:jc w:val="center"/>
        <w:rPr>
          <w:rFonts w:ascii="Arial" w:hAnsi="Arial" w:cs="Arial"/>
          <w:b/>
          <w:bCs/>
        </w:rPr>
      </w:pPr>
      <w:r>
        <w:rPr>
          <w:rFonts w:cs="Arial" w:ascii="Arial" w:hAnsi="Arial"/>
          <w:b/>
          <w:bCs/>
        </w:rPr>
        <w:t>Student Name : Suresh Devabhai Modhavadiya</w:t>
      </w:r>
    </w:p>
    <w:p>
      <w:pPr>
        <w:pStyle w:val="Normal"/>
        <w:jc w:val="center"/>
        <w:rPr>
          <w:rFonts w:ascii="Arial" w:hAnsi="Arial" w:cs="Arial"/>
          <w:b/>
          <w:bCs/>
        </w:rPr>
      </w:pPr>
      <w:r>
        <w:rPr>
          <w:rFonts w:cs="Arial" w:ascii="Arial" w:hAnsi="Arial"/>
          <w:b/>
          <w:bCs/>
        </w:rPr>
      </w:r>
    </w:p>
    <w:p>
      <w:pPr>
        <w:pStyle w:val="Normal"/>
        <w:rPr/>
      </w:pPr>
      <w:r>
        <w:rPr/>
      </w:r>
    </w:p>
    <w:p>
      <w:pPr>
        <w:pStyle w:val="Normal"/>
        <w:jc w:val="center"/>
        <w:rPr>
          <w:rFonts w:ascii="Arial" w:hAnsi="Arial" w:cs="Arial"/>
          <w:b/>
          <w:bCs/>
        </w:rPr>
      </w:pPr>
      <w:r>
        <w:rPr>
          <w:rFonts w:cs="Arial" w:ascii="Arial" w:hAnsi="Arial"/>
          <w:b/>
          <w:bCs/>
        </w:rPr>
        <w:t>Student ID : 2615474</w:t>
      </w:r>
    </w:p>
    <w:p>
      <w:pPr>
        <w:pStyle w:val="Normal"/>
        <w:jc w:val="center"/>
        <w:rPr>
          <w:rFonts w:ascii="Arial" w:hAnsi="Arial" w:cs="Arial"/>
          <w:b/>
          <w:bCs/>
        </w:rPr>
      </w:pPr>
      <w:r>
        <w:rPr>
          <w:rFonts w:cs="Arial" w:ascii="Arial" w:hAnsi="Arial"/>
          <w:b/>
          <w:bCs/>
        </w:rPr>
        <w:t>Word count :2784</w:t>
      </w:r>
    </w:p>
    <w:p>
      <w:pPr>
        <w:pStyle w:val="Normal"/>
        <w:jc w:val="center"/>
        <w:rPr>
          <w:rFonts w:ascii="Arial" w:hAnsi="Arial" w:cs="Arial"/>
          <w:b/>
          <w:bCs/>
        </w:rPr>
      </w:pPr>
      <w:r>
        <w:rPr>
          <w:rFonts w:cs="Arial" w:ascii="Arial" w:hAnsi="Arial"/>
          <w:b/>
          <w:bCs/>
        </w:rPr>
        <w:t>Submission Date: 22/10/2026</w:t>
      </w:r>
      <w:r>
        <w:br w:type="page"/>
      </w:r>
    </w:p>
    <w:p>
      <w:pPr>
        <w:pStyle w:val="Normal"/>
        <w:keepNext w:val="true"/>
        <w:keepLines/>
        <w:spacing w:lineRule="auto" w:line="276" w:before="0" w:after="0"/>
        <w:jc w:val="center"/>
        <w:rPr>
          <w:rFonts w:ascii="Arial" w:hAnsi="Arial" w:eastAsia="Calibri" w:cs="Arial"/>
          <w:b/>
          <w:bCs/>
          <w:sz w:val="28"/>
          <w:szCs w:val="28"/>
        </w:rPr>
      </w:pPr>
      <w:r>
        <w:rPr>
          <w:rFonts w:cs="Arial" w:ascii="Arial" w:hAnsi="Arial"/>
          <w:b/>
          <w:bCs/>
        </w:rPr>
        <w:t>Table of Contents</w:t>
      </w:r>
    </w:p>
    <w:sdt>
      <w:sdtPr>
        <w:docPartObj>
          <w:docPartGallery w:val="Table of Contents"/>
          <w:docPartUnique w:val="true"/>
        </w:docPartObj>
      </w:sdtPr>
      <w:sdtContent>
        <w:p>
          <w:pPr>
            <w:pStyle w:val="TOC1"/>
            <w:tabs>
              <w:tab w:val="clear" w:pos="720"/>
              <w:tab w:val="right" w:pos="8630" w:leader="dot"/>
            </w:tabs>
            <w:rPr>
              <w:rFonts w:ascii="Arial" w:hAnsi="Arial" w:eastAsia="Liberation Sans" w:cs="Arial"/>
              <w:color w:val="auto"/>
              <w:sz w:val="22"/>
              <w:szCs w:val="22"/>
            </w:rPr>
          </w:pPr>
          <w:r>
            <w:fldChar w:fldCharType="begin"/>
          </w:r>
          <w:r>
            <w:rPr>
              <w:webHidden/>
              <w:rStyle w:val="IndexLink"/>
              <w:vanish w:val="false"/>
              <w:rFonts w:cs="Arial" w:ascii="Arial" w:hAnsi="Arial"/>
            </w:rPr>
            <w:instrText xml:space="preserve"> TOC \z \o "1-9" \u \t "heading 1,1,heading 2,2,heading 3,3" \h</w:instrText>
          </w:r>
          <w:r>
            <w:rPr>
              <w:webHidden/>
              <w:rStyle w:val="IndexLink"/>
              <w:vanish w:val="false"/>
              <w:rFonts w:cs="Arial" w:ascii="Arial" w:hAnsi="Arial"/>
            </w:rPr>
            <w:fldChar w:fldCharType="separate"/>
          </w:r>
          <w:hyperlink w:anchor="_Toc242289463">
            <w:r>
              <w:rPr>
                <w:webHidden/>
                <w:rStyle w:val="IndexLink"/>
                <w:rFonts w:cs="Arial" w:ascii="Arial" w:hAnsi="Arial"/>
                <w:vanish w:val="false"/>
              </w:rPr>
              <w:t>Task 1: Marketing Environment Analysis</w:t>
            </w:r>
            <w:r>
              <w:rPr>
                <w:rStyle w:val="IndexLink"/>
                <w:rFonts w:cs="Arial" w:ascii="Arial" w:hAnsi="Arial"/>
                <w:vanish/>
              </w:rPr>
              <w:tab/>
            </w:r>
            <w:r>
              <w:rPr>
                <w:webHidden/>
              </w:rPr>
              <w:fldChar w:fldCharType="begin"/>
            </w:r>
            <w:r>
              <w:rPr>
                <w:webHidden/>
              </w:rPr>
              <w:instrText xml:space="preserve">PAGEREF _Toc242289463 \h</w:instrText>
            </w:r>
            <w:r>
              <w:rPr>
                <w:webHidden/>
              </w:rPr>
              <w:fldChar w:fldCharType="separate"/>
            </w:r>
            <w:r>
              <w:rPr>
                <w:rStyle w:val="IndexLink"/>
                <w:rFonts w:cs="Arial" w:ascii="Arial" w:hAnsi="Arial"/>
              </w:rPr>
              <w:t>3</w:t>
            </w:r>
            <w:r>
              <w:rPr>
                <w:webHidden/>
              </w:rPr>
              <w:fldChar w:fldCharType="end"/>
            </w:r>
          </w:hyperlink>
        </w:p>
        <w:p>
          <w:pPr>
            <w:pStyle w:val="TOC2"/>
            <w:tabs>
              <w:tab w:val="clear" w:pos="720"/>
              <w:tab w:val="right" w:pos="8630" w:leader="dot"/>
            </w:tabs>
            <w:rPr>
              <w:rFonts w:ascii="Arial" w:hAnsi="Arial" w:eastAsia="Liberation Sans" w:cs="Arial"/>
              <w:color w:val="auto"/>
              <w:sz w:val="22"/>
              <w:szCs w:val="22"/>
            </w:rPr>
          </w:pPr>
          <w:hyperlink w:anchor="_Toc242289464">
            <w:r>
              <w:rPr>
                <w:webHidden/>
                <w:rStyle w:val="IndexLink"/>
                <w:rFonts w:cs="Arial" w:ascii="Arial" w:hAnsi="Arial"/>
                <w:vanish w:val="false"/>
              </w:rPr>
              <w:t>1.1 Introduction and Company Rationale</w:t>
            </w:r>
            <w:r>
              <w:rPr>
                <w:rStyle w:val="IndexLink"/>
                <w:rFonts w:cs="Arial" w:ascii="Arial" w:hAnsi="Arial"/>
                <w:vanish/>
              </w:rPr>
              <w:tab/>
            </w:r>
            <w:r>
              <w:rPr>
                <w:webHidden/>
              </w:rPr>
              <w:fldChar w:fldCharType="begin"/>
            </w:r>
            <w:r>
              <w:rPr>
                <w:webHidden/>
              </w:rPr>
              <w:instrText xml:space="preserve">PAGEREF _Toc242289464 \h</w:instrText>
            </w:r>
            <w:r>
              <w:rPr>
                <w:webHidden/>
              </w:rPr>
              <w:fldChar w:fldCharType="separate"/>
            </w:r>
            <w:r>
              <w:rPr>
                <w:rStyle w:val="IndexLink"/>
                <w:rFonts w:cs="Arial" w:ascii="Arial" w:hAnsi="Arial"/>
              </w:rPr>
              <w:t>3</w:t>
            </w:r>
            <w:r>
              <w:rPr>
                <w:webHidden/>
              </w:rPr>
              <w:fldChar w:fldCharType="end"/>
            </w:r>
          </w:hyperlink>
        </w:p>
        <w:p>
          <w:pPr>
            <w:pStyle w:val="TOC2"/>
            <w:tabs>
              <w:tab w:val="clear" w:pos="720"/>
              <w:tab w:val="right" w:pos="8630" w:leader="dot"/>
            </w:tabs>
            <w:rPr>
              <w:rFonts w:ascii="Arial" w:hAnsi="Arial" w:eastAsia="Liberation Sans" w:cs="Arial"/>
              <w:color w:val="auto"/>
              <w:sz w:val="22"/>
              <w:szCs w:val="22"/>
            </w:rPr>
          </w:pPr>
          <w:hyperlink w:anchor="_Toc242289465">
            <w:r>
              <w:rPr>
                <w:webHidden/>
                <w:rStyle w:val="IndexLink"/>
                <w:rFonts w:cs="Arial" w:ascii="Arial" w:hAnsi="Arial"/>
                <w:vanish w:val="false"/>
              </w:rPr>
              <w:t>1.2 External Marketing Environment Actors</w:t>
            </w:r>
            <w:r>
              <w:rPr>
                <w:rStyle w:val="IndexLink"/>
                <w:rFonts w:cs="Arial" w:ascii="Arial" w:hAnsi="Arial"/>
                <w:vanish/>
              </w:rPr>
              <w:tab/>
            </w:r>
            <w:r>
              <w:rPr>
                <w:webHidden/>
              </w:rPr>
              <w:fldChar w:fldCharType="begin"/>
            </w:r>
            <w:r>
              <w:rPr>
                <w:webHidden/>
              </w:rPr>
              <w:instrText xml:space="preserve">PAGEREF _Toc242289465 \h</w:instrText>
            </w:r>
            <w:r>
              <w:rPr>
                <w:webHidden/>
              </w:rPr>
              <w:fldChar w:fldCharType="separate"/>
            </w:r>
            <w:r>
              <w:rPr>
                <w:rStyle w:val="IndexLink"/>
                <w:rFonts w:cs="Arial" w:ascii="Arial" w:hAnsi="Arial"/>
              </w:rPr>
              <w:t>4</w:t>
            </w:r>
            <w:r>
              <w:rPr>
                <w:webHidden/>
              </w:rPr>
              <w:fldChar w:fldCharType="end"/>
            </w:r>
          </w:hyperlink>
        </w:p>
        <w:p>
          <w:pPr>
            <w:pStyle w:val="TOC3"/>
            <w:tabs>
              <w:tab w:val="clear" w:pos="720"/>
              <w:tab w:val="right" w:pos="8630" w:leader="dot"/>
            </w:tabs>
            <w:rPr>
              <w:rFonts w:ascii="Arial" w:hAnsi="Arial" w:eastAsia="Liberation Sans" w:cs="Arial"/>
              <w:color w:val="auto"/>
              <w:sz w:val="22"/>
              <w:szCs w:val="22"/>
            </w:rPr>
          </w:pPr>
          <w:hyperlink w:anchor="_Toc242289466">
            <w:r>
              <w:rPr>
                <w:webHidden/>
                <w:rStyle w:val="IndexLink"/>
                <w:rFonts w:cs="Arial" w:ascii="Arial" w:hAnsi="Arial"/>
                <w:vanish w:val="false"/>
              </w:rPr>
              <w:t>1.2.1 Environmental Actor [Primary Focus]</w:t>
            </w:r>
            <w:r>
              <w:rPr>
                <w:rStyle w:val="IndexLink"/>
                <w:rFonts w:cs="Arial" w:ascii="Arial" w:hAnsi="Arial"/>
                <w:vanish/>
              </w:rPr>
              <w:tab/>
            </w:r>
            <w:r>
              <w:rPr>
                <w:webHidden/>
              </w:rPr>
              <w:fldChar w:fldCharType="begin"/>
            </w:r>
            <w:r>
              <w:rPr>
                <w:webHidden/>
              </w:rPr>
              <w:instrText xml:space="preserve">PAGEREF _Toc242289466 \h</w:instrText>
            </w:r>
            <w:r>
              <w:rPr>
                <w:webHidden/>
              </w:rPr>
              <w:fldChar w:fldCharType="separate"/>
            </w:r>
            <w:r>
              <w:rPr>
                <w:rStyle w:val="IndexLink"/>
                <w:rFonts w:cs="Arial" w:ascii="Arial" w:hAnsi="Arial"/>
              </w:rPr>
              <w:t>4</w:t>
            </w:r>
            <w:r>
              <w:rPr>
                <w:webHidden/>
              </w:rPr>
              <w:fldChar w:fldCharType="end"/>
            </w:r>
          </w:hyperlink>
        </w:p>
        <w:p>
          <w:pPr>
            <w:pStyle w:val="TOC3"/>
            <w:tabs>
              <w:tab w:val="clear" w:pos="720"/>
              <w:tab w:val="right" w:pos="8630" w:leader="dot"/>
            </w:tabs>
            <w:rPr>
              <w:rFonts w:ascii="Arial" w:hAnsi="Arial" w:eastAsia="Liberation Sans" w:cs="Arial"/>
              <w:color w:val="auto"/>
              <w:sz w:val="22"/>
              <w:szCs w:val="22"/>
            </w:rPr>
          </w:pPr>
          <w:hyperlink w:anchor="_Toc242289467">
            <w:r>
              <w:rPr>
                <w:webHidden/>
                <w:rStyle w:val="IndexLink"/>
                <w:rFonts w:cs="Arial" w:ascii="Arial" w:hAnsi="Arial"/>
                <w:vanish w:val="false"/>
              </w:rPr>
              <w:t>1.2.2 Political and Regulatory Actor</w:t>
            </w:r>
            <w:r>
              <w:rPr>
                <w:rStyle w:val="IndexLink"/>
                <w:rFonts w:cs="Arial" w:ascii="Arial" w:hAnsi="Arial"/>
                <w:vanish/>
              </w:rPr>
              <w:tab/>
            </w:r>
            <w:r>
              <w:rPr>
                <w:webHidden/>
              </w:rPr>
              <w:fldChar w:fldCharType="begin"/>
            </w:r>
            <w:r>
              <w:rPr>
                <w:webHidden/>
              </w:rPr>
              <w:instrText xml:space="preserve">PAGEREF _Toc242289467 \h</w:instrText>
            </w:r>
            <w:r>
              <w:rPr>
                <w:webHidden/>
              </w:rPr>
              <w:fldChar w:fldCharType="separate"/>
            </w:r>
            <w:r>
              <w:rPr>
                <w:rStyle w:val="IndexLink"/>
                <w:rFonts w:cs="Arial" w:ascii="Arial" w:hAnsi="Arial"/>
              </w:rPr>
              <w:t>6</w:t>
            </w:r>
            <w:r>
              <w:rPr>
                <w:webHidden/>
              </w:rPr>
              <w:fldChar w:fldCharType="end"/>
            </w:r>
          </w:hyperlink>
        </w:p>
        <w:p>
          <w:pPr>
            <w:pStyle w:val="TOC3"/>
            <w:tabs>
              <w:tab w:val="clear" w:pos="720"/>
              <w:tab w:val="right" w:pos="8630" w:leader="dot"/>
            </w:tabs>
            <w:rPr>
              <w:rFonts w:ascii="Arial" w:hAnsi="Arial" w:eastAsia="Liberation Sans" w:cs="Arial"/>
              <w:color w:val="auto"/>
              <w:sz w:val="22"/>
              <w:szCs w:val="22"/>
            </w:rPr>
          </w:pPr>
          <w:hyperlink w:anchor="_Toc242289468">
            <w:r>
              <w:rPr>
                <w:webHidden/>
                <w:rStyle w:val="IndexLink"/>
                <w:rFonts w:cs="Arial" w:ascii="Arial" w:hAnsi="Arial"/>
                <w:vanish w:val="false"/>
              </w:rPr>
              <w:t>1.2.3 Technological Actor</w:t>
            </w:r>
            <w:r>
              <w:rPr>
                <w:rStyle w:val="IndexLink"/>
                <w:rFonts w:cs="Arial" w:ascii="Arial" w:hAnsi="Arial"/>
                <w:vanish/>
              </w:rPr>
              <w:tab/>
            </w:r>
            <w:r>
              <w:rPr>
                <w:webHidden/>
              </w:rPr>
              <w:fldChar w:fldCharType="begin"/>
            </w:r>
            <w:r>
              <w:rPr>
                <w:webHidden/>
              </w:rPr>
              <w:instrText xml:space="preserve">PAGEREF _Toc242289468 \h</w:instrText>
            </w:r>
            <w:r>
              <w:rPr>
                <w:webHidden/>
              </w:rPr>
              <w:fldChar w:fldCharType="separate"/>
            </w:r>
            <w:r>
              <w:rPr>
                <w:rStyle w:val="IndexLink"/>
                <w:rFonts w:cs="Arial" w:ascii="Arial" w:hAnsi="Arial"/>
              </w:rPr>
              <w:t>9</w:t>
            </w:r>
            <w:r>
              <w:rPr>
                <w:webHidden/>
              </w:rPr>
              <w:fldChar w:fldCharType="end"/>
            </w:r>
          </w:hyperlink>
        </w:p>
        <w:p>
          <w:pPr>
            <w:pStyle w:val="TOC1"/>
            <w:tabs>
              <w:tab w:val="clear" w:pos="720"/>
              <w:tab w:val="right" w:pos="8630" w:leader="dot"/>
            </w:tabs>
            <w:rPr>
              <w:rFonts w:ascii="Arial" w:hAnsi="Arial" w:eastAsia="Liberation Sans" w:cs="Arial"/>
              <w:color w:val="auto"/>
              <w:sz w:val="22"/>
              <w:szCs w:val="22"/>
            </w:rPr>
          </w:pPr>
          <w:hyperlink w:anchor="_Toc242289469">
            <w:r>
              <w:rPr>
                <w:webHidden/>
                <w:rStyle w:val="IndexLink"/>
                <w:rFonts w:cs="Arial" w:ascii="Arial" w:hAnsi="Arial"/>
                <w:vanish w:val="false"/>
              </w:rPr>
              <w:t>Task 2: Strategic Growth and Competitive Positioning</w:t>
            </w:r>
            <w:r>
              <w:rPr>
                <w:rStyle w:val="IndexLink"/>
                <w:rFonts w:cs="Arial" w:ascii="Arial" w:hAnsi="Arial"/>
                <w:vanish/>
              </w:rPr>
              <w:tab/>
            </w:r>
            <w:r>
              <w:rPr>
                <w:webHidden/>
              </w:rPr>
              <w:fldChar w:fldCharType="begin"/>
            </w:r>
            <w:r>
              <w:rPr>
                <w:webHidden/>
              </w:rPr>
              <w:instrText xml:space="preserve">PAGEREF _Toc242289469 \h</w:instrText>
            </w:r>
            <w:r>
              <w:rPr>
                <w:webHidden/>
              </w:rPr>
              <w:fldChar w:fldCharType="separate"/>
            </w:r>
            <w:r>
              <w:rPr>
                <w:rStyle w:val="IndexLink"/>
                <w:rFonts w:cs="Arial" w:ascii="Arial" w:hAnsi="Arial"/>
              </w:rPr>
              <w:t>11</w:t>
            </w:r>
            <w:r>
              <w:rPr>
                <w:webHidden/>
              </w:rPr>
              <w:fldChar w:fldCharType="end"/>
            </w:r>
          </w:hyperlink>
        </w:p>
        <w:p>
          <w:pPr>
            <w:pStyle w:val="TOC2"/>
            <w:tabs>
              <w:tab w:val="clear" w:pos="720"/>
              <w:tab w:val="right" w:pos="8630" w:leader="dot"/>
            </w:tabs>
            <w:rPr>
              <w:rFonts w:ascii="Arial" w:hAnsi="Arial" w:eastAsia="Liberation Sans" w:cs="Arial"/>
              <w:color w:val="auto"/>
              <w:sz w:val="22"/>
              <w:szCs w:val="22"/>
            </w:rPr>
          </w:pPr>
          <w:hyperlink w:anchor="_Toc242289470">
            <w:r>
              <w:rPr>
                <w:webHidden/>
                <w:rStyle w:val="IndexLink"/>
                <w:rFonts w:cs="Arial" w:ascii="Arial" w:hAnsi="Arial"/>
                <w:vanish w:val="false"/>
              </w:rPr>
              <w:t>2.1 Strategic Growth Approach: The Ansoff Matrix</w:t>
            </w:r>
            <w:r>
              <w:rPr>
                <w:rStyle w:val="IndexLink"/>
                <w:rFonts w:cs="Arial" w:ascii="Arial" w:hAnsi="Arial"/>
                <w:vanish/>
              </w:rPr>
              <w:tab/>
            </w:r>
            <w:r>
              <w:rPr>
                <w:webHidden/>
              </w:rPr>
              <w:fldChar w:fldCharType="begin"/>
            </w:r>
            <w:r>
              <w:rPr>
                <w:webHidden/>
              </w:rPr>
              <w:instrText xml:space="preserve">PAGEREF _Toc242289470 \h</w:instrText>
            </w:r>
            <w:r>
              <w:rPr>
                <w:webHidden/>
              </w:rPr>
              <w:fldChar w:fldCharType="separate"/>
            </w:r>
            <w:r>
              <w:rPr>
                <w:rStyle w:val="IndexLink"/>
                <w:rFonts w:cs="Arial" w:ascii="Arial" w:hAnsi="Arial"/>
              </w:rPr>
              <w:t>11</w:t>
            </w:r>
            <w:r>
              <w:rPr>
                <w:webHidden/>
              </w:rPr>
              <w:fldChar w:fldCharType="end"/>
            </w:r>
          </w:hyperlink>
        </w:p>
        <w:p>
          <w:pPr>
            <w:pStyle w:val="TOC2"/>
            <w:tabs>
              <w:tab w:val="clear" w:pos="720"/>
              <w:tab w:val="right" w:pos="8630" w:leader="dot"/>
            </w:tabs>
            <w:rPr>
              <w:rFonts w:ascii="Arial" w:hAnsi="Arial" w:eastAsia="Liberation Sans" w:cs="Arial"/>
              <w:color w:val="auto"/>
              <w:sz w:val="22"/>
              <w:szCs w:val="22"/>
            </w:rPr>
          </w:pPr>
          <w:hyperlink w:anchor="_Toc242289471">
            <w:r>
              <w:rPr>
                <w:webHidden/>
                <w:rStyle w:val="IndexLink"/>
                <w:rFonts w:cs="Arial" w:ascii="Arial" w:hAnsi="Arial"/>
                <w:vanish w:val="false"/>
              </w:rPr>
              <w:t>2.2 Competitive Positioning: Porter’s Generic Strategies</w:t>
            </w:r>
            <w:r>
              <w:rPr>
                <w:rStyle w:val="IndexLink"/>
                <w:rFonts w:cs="Arial" w:ascii="Arial" w:hAnsi="Arial"/>
                <w:vanish/>
              </w:rPr>
              <w:tab/>
            </w:r>
            <w:r>
              <w:rPr>
                <w:webHidden/>
              </w:rPr>
              <w:fldChar w:fldCharType="begin"/>
            </w:r>
            <w:r>
              <w:rPr>
                <w:webHidden/>
              </w:rPr>
              <w:instrText xml:space="preserve">PAGEREF _Toc242289471 \h</w:instrText>
            </w:r>
            <w:r>
              <w:rPr>
                <w:webHidden/>
              </w:rPr>
              <w:fldChar w:fldCharType="separate"/>
            </w:r>
            <w:r>
              <w:rPr>
                <w:rStyle w:val="IndexLink"/>
                <w:rFonts w:cs="Arial" w:ascii="Arial" w:hAnsi="Arial"/>
              </w:rPr>
              <w:t>13</w:t>
            </w:r>
            <w:r>
              <w:rPr>
                <w:webHidden/>
              </w:rPr>
              <w:fldChar w:fldCharType="end"/>
            </w:r>
          </w:hyperlink>
        </w:p>
        <w:p>
          <w:pPr>
            <w:pStyle w:val="TOC1"/>
            <w:tabs>
              <w:tab w:val="clear" w:pos="720"/>
              <w:tab w:val="right" w:pos="8630" w:leader="dot"/>
            </w:tabs>
            <w:rPr>
              <w:rFonts w:ascii="Arial" w:hAnsi="Arial" w:eastAsia="Liberation Sans" w:cs="Arial"/>
              <w:color w:val="auto"/>
              <w:sz w:val="22"/>
              <w:szCs w:val="22"/>
            </w:rPr>
          </w:pPr>
          <w:hyperlink w:anchor="_Toc242289472">
            <w:r>
              <w:rPr>
                <w:webHidden/>
                <w:rStyle w:val="IndexLink"/>
                <w:rFonts w:cs="Arial" w:ascii="Arial" w:hAnsi="Arial"/>
                <w:vanish w:val="false"/>
              </w:rPr>
              <w:t>Task 3: Managerial and Professional Reflection</w:t>
            </w:r>
            <w:r>
              <w:rPr>
                <w:rStyle w:val="IndexLink"/>
                <w:rFonts w:cs="Arial" w:ascii="Arial" w:hAnsi="Arial"/>
                <w:vanish/>
              </w:rPr>
              <w:tab/>
            </w:r>
            <w:r>
              <w:rPr>
                <w:webHidden/>
              </w:rPr>
              <w:fldChar w:fldCharType="begin"/>
            </w:r>
            <w:r>
              <w:rPr>
                <w:webHidden/>
              </w:rPr>
              <w:instrText xml:space="preserve">PAGEREF _Toc242289472 \h</w:instrText>
            </w:r>
            <w:r>
              <w:rPr>
                <w:webHidden/>
              </w:rPr>
              <w:fldChar w:fldCharType="separate"/>
            </w:r>
            <w:r>
              <w:rPr>
                <w:rStyle w:val="IndexLink"/>
                <w:rFonts w:cs="Arial" w:ascii="Arial" w:hAnsi="Arial"/>
              </w:rPr>
              <w:t>17</w:t>
            </w:r>
            <w:r>
              <w:rPr>
                <w:webHidden/>
              </w:rPr>
              <w:fldChar w:fldCharType="end"/>
            </w:r>
          </w:hyperlink>
        </w:p>
        <w:p>
          <w:pPr>
            <w:pStyle w:val="TOC2"/>
            <w:tabs>
              <w:tab w:val="clear" w:pos="720"/>
              <w:tab w:val="right" w:pos="8630" w:leader="dot"/>
            </w:tabs>
            <w:rPr>
              <w:rFonts w:ascii="Arial" w:hAnsi="Arial" w:eastAsia="Liberation Sans" w:cs="Arial"/>
              <w:color w:val="auto"/>
              <w:sz w:val="22"/>
              <w:szCs w:val="22"/>
            </w:rPr>
          </w:pPr>
          <w:hyperlink w:anchor="_Toc242289473">
            <w:r>
              <w:rPr>
                <w:webHidden/>
                <w:rStyle w:val="IndexLink"/>
                <w:rFonts w:cs="Arial" w:ascii="Arial" w:hAnsi="Arial"/>
                <w:vanish w:val="false"/>
              </w:rPr>
              <w:t>3.1 Justification of Key Decisions</w:t>
            </w:r>
            <w:r>
              <w:rPr>
                <w:rStyle w:val="IndexLink"/>
                <w:rFonts w:cs="Arial" w:ascii="Arial" w:hAnsi="Arial"/>
                <w:vanish/>
              </w:rPr>
              <w:tab/>
            </w:r>
            <w:r>
              <w:rPr>
                <w:webHidden/>
              </w:rPr>
              <w:fldChar w:fldCharType="begin"/>
            </w:r>
            <w:r>
              <w:rPr>
                <w:webHidden/>
              </w:rPr>
              <w:instrText xml:space="preserve">PAGEREF _Toc242289473 \h</w:instrText>
            </w:r>
            <w:r>
              <w:rPr>
                <w:webHidden/>
              </w:rPr>
              <w:fldChar w:fldCharType="separate"/>
            </w:r>
            <w:r>
              <w:rPr>
                <w:rStyle w:val="IndexLink"/>
                <w:rFonts w:cs="Arial" w:ascii="Arial" w:hAnsi="Arial"/>
              </w:rPr>
              <w:t>17</w:t>
            </w:r>
            <w:r>
              <w:rPr>
                <w:webHidden/>
              </w:rPr>
              <w:fldChar w:fldCharType="end"/>
            </w:r>
          </w:hyperlink>
        </w:p>
        <w:p>
          <w:pPr>
            <w:pStyle w:val="TOC3"/>
            <w:tabs>
              <w:tab w:val="clear" w:pos="720"/>
              <w:tab w:val="right" w:pos="8630" w:leader="dot"/>
            </w:tabs>
            <w:rPr>
              <w:rFonts w:ascii="Arial" w:hAnsi="Arial" w:eastAsia="Liberation Sans" w:cs="Arial"/>
              <w:color w:val="auto"/>
              <w:sz w:val="22"/>
              <w:szCs w:val="22"/>
            </w:rPr>
          </w:pPr>
          <w:hyperlink w:anchor="_Toc242289474">
            <w:r>
              <w:rPr>
                <w:webHidden/>
                <w:rStyle w:val="IndexLink"/>
                <w:rFonts w:cs="Arial" w:ascii="Arial" w:hAnsi="Arial"/>
                <w:vanish w:val="false"/>
              </w:rPr>
              <w:t>3.1.1 Rationale for Selecting BHP</w:t>
            </w:r>
            <w:r>
              <w:rPr>
                <w:rStyle w:val="IndexLink"/>
                <w:rFonts w:cs="Arial" w:ascii="Arial" w:hAnsi="Arial"/>
                <w:vanish/>
              </w:rPr>
              <w:tab/>
            </w:r>
            <w:r>
              <w:rPr>
                <w:webHidden/>
              </w:rPr>
              <w:fldChar w:fldCharType="begin"/>
            </w:r>
            <w:r>
              <w:rPr>
                <w:webHidden/>
              </w:rPr>
              <w:instrText xml:space="preserve">PAGEREF _Toc242289474 \h</w:instrText>
            </w:r>
            <w:r>
              <w:rPr>
                <w:webHidden/>
              </w:rPr>
              <w:fldChar w:fldCharType="separate"/>
            </w:r>
            <w:r>
              <w:rPr>
                <w:rStyle w:val="IndexLink"/>
                <w:rFonts w:cs="Arial" w:ascii="Arial" w:hAnsi="Arial"/>
              </w:rPr>
              <w:t>17</w:t>
            </w:r>
            <w:r>
              <w:rPr>
                <w:webHidden/>
              </w:rPr>
              <w:fldChar w:fldCharType="end"/>
            </w:r>
          </w:hyperlink>
        </w:p>
        <w:p>
          <w:pPr>
            <w:pStyle w:val="TOC3"/>
            <w:tabs>
              <w:tab w:val="clear" w:pos="720"/>
              <w:tab w:val="right" w:pos="8630" w:leader="dot"/>
            </w:tabs>
            <w:rPr>
              <w:rFonts w:ascii="Arial" w:hAnsi="Arial" w:eastAsia="Liberation Sans" w:cs="Arial"/>
              <w:color w:val="auto"/>
              <w:sz w:val="22"/>
              <w:szCs w:val="22"/>
            </w:rPr>
          </w:pPr>
          <w:hyperlink w:anchor="_Toc242289475">
            <w:r>
              <w:rPr>
                <w:webHidden/>
                <w:rStyle w:val="IndexLink"/>
                <w:rFonts w:cs="Arial" w:ascii="Arial" w:hAnsi="Arial"/>
                <w:vanish w:val="false"/>
              </w:rPr>
              <w:t>3.1.2 Rationale for Selecting Key External Actors</w:t>
            </w:r>
            <w:r>
              <w:rPr>
                <w:rStyle w:val="IndexLink"/>
                <w:rFonts w:cs="Arial" w:ascii="Arial" w:hAnsi="Arial"/>
                <w:vanish/>
              </w:rPr>
              <w:tab/>
            </w:r>
            <w:r>
              <w:rPr>
                <w:webHidden/>
              </w:rPr>
              <w:fldChar w:fldCharType="begin"/>
            </w:r>
            <w:r>
              <w:rPr>
                <w:webHidden/>
              </w:rPr>
              <w:instrText xml:space="preserve">PAGEREF _Toc242289475 \h</w:instrText>
            </w:r>
            <w:r>
              <w:rPr>
                <w:webHidden/>
              </w:rPr>
              <w:fldChar w:fldCharType="separate"/>
            </w:r>
            <w:r>
              <w:rPr>
                <w:rStyle w:val="IndexLink"/>
                <w:rFonts w:cs="Arial" w:ascii="Arial" w:hAnsi="Arial"/>
              </w:rPr>
              <w:t>17</w:t>
            </w:r>
            <w:r>
              <w:rPr>
                <w:webHidden/>
              </w:rPr>
              <w:fldChar w:fldCharType="end"/>
            </w:r>
          </w:hyperlink>
        </w:p>
        <w:p>
          <w:pPr>
            <w:pStyle w:val="TOC3"/>
            <w:tabs>
              <w:tab w:val="clear" w:pos="720"/>
              <w:tab w:val="right" w:pos="8630" w:leader="dot"/>
            </w:tabs>
            <w:rPr>
              <w:rFonts w:ascii="Arial" w:hAnsi="Arial" w:eastAsia="Liberation Sans" w:cs="Arial"/>
              <w:color w:val="auto"/>
              <w:sz w:val="22"/>
              <w:szCs w:val="22"/>
            </w:rPr>
          </w:pPr>
          <w:hyperlink w:anchor="_Toc242289476">
            <w:r>
              <w:rPr>
                <w:webHidden/>
                <w:rStyle w:val="IndexLink"/>
                <w:rFonts w:cs="Arial" w:ascii="Arial" w:hAnsi="Arial"/>
                <w:vanish w:val="false"/>
              </w:rPr>
              <w:t>3.1.3 Rationale for Selecting the Growth and Competitive Strategies</w:t>
            </w:r>
            <w:r>
              <w:rPr>
                <w:rStyle w:val="IndexLink"/>
                <w:rFonts w:cs="Arial" w:ascii="Arial" w:hAnsi="Arial"/>
                <w:vanish/>
              </w:rPr>
              <w:tab/>
            </w:r>
            <w:r>
              <w:rPr>
                <w:webHidden/>
              </w:rPr>
              <w:fldChar w:fldCharType="begin"/>
            </w:r>
            <w:r>
              <w:rPr>
                <w:webHidden/>
              </w:rPr>
              <w:instrText xml:space="preserve">PAGEREF _Toc242289476 \h</w:instrText>
            </w:r>
            <w:r>
              <w:rPr>
                <w:webHidden/>
              </w:rPr>
              <w:fldChar w:fldCharType="separate"/>
            </w:r>
            <w:r>
              <w:rPr>
                <w:rStyle w:val="IndexLink"/>
                <w:rFonts w:cs="Arial" w:ascii="Arial" w:hAnsi="Arial"/>
              </w:rPr>
              <w:t>17</w:t>
            </w:r>
            <w:r>
              <w:rPr>
                <w:webHidden/>
              </w:rPr>
              <w:fldChar w:fldCharType="end"/>
            </w:r>
          </w:hyperlink>
        </w:p>
        <w:p>
          <w:pPr>
            <w:pStyle w:val="TOC2"/>
            <w:tabs>
              <w:tab w:val="clear" w:pos="720"/>
              <w:tab w:val="right" w:pos="8630" w:leader="dot"/>
            </w:tabs>
            <w:rPr>
              <w:rFonts w:ascii="Arial" w:hAnsi="Arial" w:eastAsia="Liberation Sans" w:cs="Arial"/>
              <w:color w:val="auto"/>
              <w:sz w:val="22"/>
              <w:szCs w:val="22"/>
            </w:rPr>
          </w:pPr>
          <w:hyperlink w:anchor="_Toc242289477">
            <w:r>
              <w:rPr>
                <w:webHidden/>
                <w:rStyle w:val="IndexLink"/>
                <w:rFonts w:cs="Arial" w:ascii="Arial" w:hAnsi="Arial"/>
                <w:vanish w:val="false"/>
              </w:rPr>
              <w:t>3.2 Limitations and Future Information Needs</w:t>
            </w:r>
            <w:r>
              <w:rPr>
                <w:rStyle w:val="IndexLink"/>
                <w:rFonts w:cs="Arial" w:ascii="Arial" w:hAnsi="Arial"/>
                <w:vanish/>
              </w:rPr>
              <w:tab/>
            </w:r>
            <w:r>
              <w:rPr>
                <w:webHidden/>
              </w:rPr>
              <w:fldChar w:fldCharType="begin"/>
            </w:r>
            <w:r>
              <w:rPr>
                <w:webHidden/>
              </w:rPr>
              <w:instrText xml:space="preserve">PAGEREF _Toc242289477 \h</w:instrText>
            </w:r>
            <w:r>
              <w:rPr>
                <w:webHidden/>
              </w:rPr>
              <w:fldChar w:fldCharType="separate"/>
            </w:r>
            <w:r>
              <w:rPr>
                <w:rStyle w:val="IndexLink"/>
                <w:rFonts w:cs="Arial" w:ascii="Arial" w:hAnsi="Arial"/>
              </w:rPr>
              <w:t>17</w:t>
            </w:r>
            <w:r>
              <w:rPr>
                <w:webHidden/>
              </w:rPr>
              <w:fldChar w:fldCharType="end"/>
            </w:r>
          </w:hyperlink>
        </w:p>
        <w:p>
          <w:pPr>
            <w:pStyle w:val="TOC1"/>
            <w:tabs>
              <w:tab w:val="clear" w:pos="720"/>
              <w:tab w:val="right" w:pos="8630" w:leader="dot"/>
            </w:tabs>
            <w:rPr>
              <w:rFonts w:ascii="Arial" w:hAnsi="Arial" w:eastAsia="Liberation Sans" w:cs="Arial"/>
              <w:color w:val="auto"/>
              <w:sz w:val="22"/>
              <w:szCs w:val="22"/>
            </w:rPr>
          </w:pPr>
          <w:hyperlink w:anchor="_Toc242289478">
            <w:r>
              <w:rPr>
                <w:webHidden/>
                <w:rStyle w:val="IndexLink"/>
                <w:rFonts w:cs="Arial" w:ascii="Arial" w:hAnsi="Arial"/>
                <w:vanish w:val="false"/>
              </w:rPr>
              <w:t>References</w:t>
            </w:r>
            <w:r>
              <w:rPr>
                <w:rStyle w:val="IndexLink"/>
                <w:rFonts w:cs="Arial" w:ascii="Arial" w:hAnsi="Arial"/>
                <w:vanish/>
              </w:rPr>
              <w:tab/>
            </w:r>
            <w:r>
              <w:rPr>
                <w:webHidden/>
              </w:rPr>
              <w:fldChar w:fldCharType="begin"/>
            </w:r>
            <w:r>
              <w:rPr>
                <w:webHidden/>
              </w:rPr>
              <w:instrText xml:space="preserve">PAGEREF _Toc242289478 \h</w:instrText>
            </w:r>
            <w:r>
              <w:rPr>
                <w:webHidden/>
              </w:rPr>
              <w:fldChar w:fldCharType="separate"/>
            </w:r>
            <w:r>
              <w:rPr>
                <w:rStyle w:val="IndexLink"/>
                <w:rFonts w:cs="Arial" w:ascii="Arial" w:hAnsi="Arial"/>
              </w:rPr>
              <w:t>19</w:t>
            </w:r>
            <w:r>
              <w:rPr>
                <w:webHidden/>
              </w:rPr>
              <w:fldChar w:fldCharType="end"/>
            </w:r>
          </w:hyperlink>
          <w:r>
            <w:rPr>
              <w:rStyle w:val="IndexLink"/>
              <w:rFonts w:cs="Arial" w:ascii="Arial" w:hAnsi="Arial"/>
            </w:rPr>
            <w:fldChar w:fldCharType="end"/>
          </w:r>
        </w:p>
      </w:sdtContent>
    </w:sdt>
    <w:p>
      <w:pPr>
        <w:pStyle w:val="Normal"/>
        <w:rPr>
          <w:rFonts w:ascii="Arial" w:hAnsi="Arial" w:cs="Arial"/>
        </w:rPr>
      </w:pPr>
      <w:r>
        <w:rPr>
          <w:rFonts w:cs="Arial" w:ascii="Arial" w:hAnsi="Arial"/>
        </w:rPr>
      </w:r>
    </w:p>
    <w:p>
      <w:pPr>
        <w:pStyle w:val="Normal"/>
        <w:jc w:val="center"/>
        <w:rPr>
          <w:rFonts w:ascii="Arial" w:hAnsi="Arial" w:cs="Arial"/>
          <w:sz w:val="32"/>
          <w:szCs w:val="32"/>
        </w:rPr>
      </w:pPr>
      <w:r>
        <w:rPr>
          <w:rFonts w:cs="Arial" w:ascii="Arial" w:hAnsi="Arial"/>
          <w:sz w:val="32"/>
          <w:szCs w:val="32"/>
        </w:rPr>
      </w:r>
      <w:r>
        <w:br w:type="page"/>
      </w:r>
    </w:p>
    <w:p>
      <w:pPr>
        <w:pStyle w:val="Heading1"/>
        <w:spacing w:before="0" w:after="0"/>
        <w:rPr>
          <w:rFonts w:ascii="Arial" w:hAnsi="Arial" w:cs="Arial"/>
        </w:rPr>
      </w:pPr>
      <w:bookmarkStart w:id="0" w:name="_Toc242289463"/>
      <w:r>
        <w:rPr>
          <w:rFonts w:cs="Arial" w:ascii="Arial" w:hAnsi="Arial"/>
        </w:rPr>
        <w:t>Task 1: Marketing Environment Analysis</w:t>
      </w:r>
      <w:bookmarkEnd w:id="0"/>
      <w:r>
        <w:rPr>
          <w:rFonts w:cs="Arial" w:ascii="Arial" w:hAnsi="Arial"/>
        </w:rPr>
        <w:t xml:space="preserve"> </w:t>
      </w:r>
    </w:p>
    <w:p>
      <w:pPr>
        <w:pStyle w:val="Heading2"/>
        <w:rPr>
          <w:rFonts w:ascii="Arial" w:hAnsi="Arial" w:cs="Arial"/>
        </w:rPr>
      </w:pPr>
      <w:bookmarkStart w:id="1" w:name="_Toc242289464"/>
      <w:r>
        <w:rPr>
          <w:rFonts w:cs="Arial" w:ascii="Arial" w:hAnsi="Arial"/>
        </w:rPr>
        <w:t>1.1 Introduction and Company Rationale</w:t>
      </w:r>
      <w:bookmarkEnd w:id="1"/>
      <w:r>
        <w:rPr>
          <w:rFonts w:cs="Arial" w:ascii="Arial" w:hAnsi="Arial"/>
        </w:rPr>
        <w:t xml:space="preserve"> </w:t>
      </w:r>
    </w:p>
    <w:p>
      <w:pPr>
        <w:pStyle w:val="Normal"/>
        <w:rPr>
          <w:rFonts w:ascii="Arial" w:hAnsi="Arial" w:cs="Arial"/>
        </w:rPr>
      </w:pPr>
      <w:r>
        <w:rPr>
          <w:rFonts w:cs="Arial" w:ascii="Arial" w:hAnsi="Arial"/>
        </w:rPr>
        <w:t xml:space="preserve">BHP is a leading global mining company producing iron ore, copper and other essential commodities. With around 2 million tonnes of copper mined in FY2026, BHP was still the world's biggest copper producer and had operational greenhouse-gas emissions (Scopes 1 &amp; 2) 33% below the FY2020 baseline (BHP, 2026). </w:t>
      </w:r>
    </w:p>
    <w:p>
      <w:pPr>
        <w:pStyle w:val="Normal"/>
        <w:jc w:val="center"/>
        <w:rPr>
          <w:rFonts w:ascii="Arial" w:hAnsi="Arial" w:cs="Arial"/>
        </w:rPr>
      </w:pPr>
      <w:r>
        <w:rPr/>
        <mc:AlternateContent>
          <mc:Choice Requires="wps">
            <w:drawing>
              <wp:inline distT="0" distB="0" distL="0" distR="0" wp14:anchorId="0328F877">
                <wp:extent cx="5486400" cy="3911600"/>
                <wp:effectExtent l="12700" t="12700" r="12700" b="12700"/>
                <wp:docPr id="3" name="image5.png"/>
                <a:graphic xmlns:a="http://schemas.openxmlformats.org/drawingml/2006/main">
                  <a:graphicData uri="http://schemas.openxmlformats.org/drawingml/2006/picture">
                    <pic:pic xmlns:pic="http://schemas.openxmlformats.org/drawingml/2006/picture">
                      <pic:nvPicPr>
                        <pic:cNvPr id="4" name="image5.png" descr=""/>
                        <pic:cNvPicPr/>
                      </pic:nvPicPr>
                      <pic:blipFill>
                        <a:blip r:embed="rId3"/>
                        <a:stretch/>
                      </pic:blipFill>
                      <pic:spPr>
                        <a:xfrm>
                          <a:off x="0" y="0"/>
                          <a:ext cx="5486400" cy="3911760"/>
                        </a:xfrm>
                        <a:prstGeom prst="rect">
                          <a:avLst/>
                        </a:prstGeom>
                        <a:noFill/>
                        <a:ln w="127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 xml:space="preserve">Figure 1: BHP Group Faces Higher Operational Emissions </w:t>
      </w:r>
    </w:p>
    <w:p>
      <w:pPr>
        <w:pStyle w:val="Normal"/>
        <w:jc w:val="center"/>
        <w:rPr>
          <w:rFonts w:ascii="Arial" w:hAnsi="Arial" w:cs="Arial"/>
        </w:rPr>
      </w:pPr>
      <w:r>
        <w:rPr>
          <w:rFonts w:cs="Arial" w:ascii="Arial" w:hAnsi="Arial"/>
        </w:rPr>
        <w:t xml:space="preserve">(Source: Kalkine Media, 2026) </w:t>
      </w:r>
    </w:p>
    <w:p>
      <w:pPr>
        <w:pStyle w:val="Normal"/>
        <w:rPr>
          <w:rFonts w:ascii="Arial" w:hAnsi="Arial" w:cs="Arial"/>
        </w:rPr>
      </w:pPr>
      <w:r>
        <w:rPr>
          <w:rFonts w:cs="Arial" w:ascii="Arial" w:hAnsi="Arial"/>
        </w:rPr>
        <w:t>This analysis will evaluate the external factors affecting BHP as it moves towards lower carbon products through the lens of Ansoff and Porter's framework. Particular attention is the environmental factors; the political, economic, social, technological and legal factors are also taken into account. Extending the Islands of Knowledge framework in this way is useful for defining how external pressures, sustainability expectations, regulatory regimes and technological potential and market dynamics influence BHP's lower carbon pathway, and thus the opportunities and challenges that exist for future growth.</w:t>
      </w:r>
    </w:p>
    <w:p>
      <w:pPr>
        <w:pStyle w:val="Heading2"/>
        <w:rPr>
          <w:rFonts w:ascii="Arial" w:hAnsi="Arial" w:cs="Arial"/>
        </w:rPr>
      </w:pPr>
      <w:bookmarkStart w:id="2" w:name="_Toc242289465"/>
      <w:r>
        <w:rPr>
          <w:rFonts w:cs="Arial" w:ascii="Arial" w:hAnsi="Arial"/>
        </w:rPr>
        <w:t>1.2 External Marketing Environment Actors</w:t>
      </w:r>
      <w:bookmarkEnd w:id="2"/>
      <w:r>
        <w:rPr>
          <w:rFonts w:cs="Arial" w:ascii="Arial" w:hAnsi="Arial"/>
        </w:rPr>
        <w:t xml:space="preserve"> </w:t>
      </w:r>
    </w:p>
    <w:p>
      <w:pPr>
        <w:pStyle w:val="Heading3"/>
        <w:rPr>
          <w:rFonts w:ascii="Arial" w:hAnsi="Arial" w:cs="Arial"/>
        </w:rPr>
      </w:pPr>
      <w:bookmarkStart w:id="3" w:name="_Toc242289466"/>
      <w:bookmarkStart w:id="4" w:name="_jdzghx88fng7"/>
      <w:bookmarkEnd w:id="4"/>
      <w:r>
        <w:rPr>
          <w:rFonts w:cs="Arial" w:ascii="Arial" w:hAnsi="Arial"/>
        </w:rPr>
        <w:t>1.2.1 Environmental Actor [Primary Focus]</w:t>
      </w:r>
      <w:bookmarkEnd w:id="3"/>
      <w:r>
        <w:rPr>
          <w:rFonts w:cs="Arial" w:ascii="Arial" w:hAnsi="Arial"/>
        </w:rPr>
        <w:t xml:space="preserve"> </w:t>
      </w:r>
    </w:p>
    <w:p>
      <w:pPr>
        <w:pStyle w:val="Normal"/>
        <w:rPr>
          <w:rFonts w:ascii="Arial" w:hAnsi="Arial" w:cs="Arial"/>
        </w:rPr>
      </w:pPr>
      <w:r>
        <w:rPr>
          <w:rFonts w:cs="Arial" w:ascii="Arial" w:hAnsi="Arial"/>
          <w:b/>
          <w:bCs/>
        </w:rPr>
        <w:t>The Threat:</w:t>
      </w:r>
      <w:r>
        <w:rPr>
          <w:rFonts w:cs="Arial" w:ascii="Arial" w:hAnsi="Arial"/>
          <w:sz w:val="26"/>
          <w:szCs w:val="26"/>
        </w:rPr>
        <w:t xml:space="preserve"> </w:t>
      </w:r>
      <w:r>
        <w:rPr>
          <w:rFonts w:cs="Arial" w:ascii="Arial" w:hAnsi="Arial"/>
        </w:rPr>
        <w:t>BHP and the broader mining industry have physical and transitional climate change risks. Physical risks involve floods, cyclones, heatwaves, drought and rising temperatures, impacting remote mining operations, infrastructure, and the productivity of labour force along with global supply chains (BHP, 2026). Transitional risks are created by shifting carbon policy, shifting technology, shifting markets and shifting customer expectations, which occur when economies transition to lower-carbon production methods. BHP reports on Scope 1 (direct operational emissions), Scope 2 (purchased energy) and Scope 3 (value-chain emissions).</w:t>
      </w:r>
    </w:p>
    <w:p>
      <w:pPr>
        <w:pStyle w:val="Normal"/>
        <w:rPr>
          <w:rFonts w:ascii="Arial" w:hAnsi="Arial" w:cs="Arial"/>
        </w:rPr>
      </w:pPr>
      <w:r>
        <w:rPr/>
        <mc:AlternateContent>
          <mc:Choice Requires="wps">
            <w:drawing>
              <wp:inline distT="0" distB="0" distL="0" distR="0" wp14:anchorId="0328F879">
                <wp:extent cx="5486400" cy="2565400"/>
                <wp:effectExtent l="12700" t="12700" r="12700" b="12700"/>
                <wp:docPr id="5" name="image4.png"/>
                <a:graphic xmlns:a="http://schemas.openxmlformats.org/drawingml/2006/main">
                  <a:graphicData uri="http://schemas.openxmlformats.org/drawingml/2006/picture">
                    <pic:pic xmlns:pic="http://schemas.openxmlformats.org/drawingml/2006/picture">
                      <pic:nvPicPr>
                        <pic:cNvPr id="6" name="image4.png" descr=""/>
                        <pic:cNvPicPr/>
                      </pic:nvPicPr>
                      <pic:blipFill>
                        <a:blip r:embed="rId4"/>
                        <a:stretch/>
                      </pic:blipFill>
                      <pic:spPr>
                        <a:xfrm>
                          <a:off x="0" y="0"/>
                          <a:ext cx="5486400" cy="2565360"/>
                        </a:xfrm>
                        <a:prstGeom prst="rect">
                          <a:avLst/>
                        </a:prstGeom>
                        <a:noFill/>
                        <a:ln w="127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 xml:space="preserve">Figure 2: Physical Climate Change Risks Affecting BHP’s Mining Operations and Supply Chains </w:t>
      </w:r>
    </w:p>
    <w:p>
      <w:pPr>
        <w:pStyle w:val="Normal"/>
        <w:jc w:val="center"/>
        <w:rPr>
          <w:rFonts w:ascii="Arial" w:hAnsi="Arial" w:cs="Arial"/>
        </w:rPr>
      </w:pPr>
      <w:r>
        <w:rPr>
          <w:rFonts w:cs="Arial" w:ascii="Arial" w:hAnsi="Arial"/>
        </w:rPr>
        <w:t xml:space="preserve">(Source: BHP, 2026) </w:t>
      </w:r>
    </w:p>
    <w:p>
      <w:pPr>
        <w:pStyle w:val="Normal"/>
        <w:rPr>
          <w:rFonts w:ascii="Arial" w:hAnsi="Arial" w:cs="Arial"/>
        </w:rPr>
      </w:pPr>
      <w:r>
        <w:rPr>
          <w:rFonts w:cs="Arial" w:ascii="Arial" w:hAnsi="Arial"/>
          <w:b/>
          <w:bCs/>
        </w:rPr>
        <w:t xml:space="preserve">Stakeholder Pressure: </w:t>
      </w:r>
      <w:r>
        <w:rPr>
          <w:rFonts w:cs="Arial" w:ascii="Arial" w:hAnsi="Arial"/>
        </w:rPr>
        <w:t>Expectations across the world for sustainability are a growing force urging BHP to enhance their environmental strategy. The need for investors was a transparent disclosure on how climate risks affect businesses, while NGOs audit the emissions and environmental impacts of the mining sector. B2B customers also want to be assured of sustainable, lower-carbon materials and enhanced supply-chain transparency. BHP says metrics and environmental regulations are factors the customers take into account when evaluating BHP products and that they speak to BHP on sustainability and supply-chain innovation (Sun, 2025). To meet the growing customer demand, BHP formed a partnership with Amazon in the development of a market mechanism for lower-emission copper in 2026. Amazon can redeem Environmental Attribute Certificates towards copper deployed in its infrastructure, reflecting an increase in demand for verifiable environmental attributes (BHP, 2026). Hence, Kotler et al. (2024) say, it is essential to communicate and articulate the environmental strategies in order to ensure that stakeholders' faith and trust are not lost, and sustainability performance is considered credible. Kotler et al. (2024) emphasised that marketing must respond systematically to environmental change.</w:t>
      </w:r>
    </w:p>
    <w:p>
      <w:pPr>
        <w:pStyle w:val="Normal"/>
        <w:rPr>
          <w:rFonts w:ascii="Arial" w:hAnsi="Arial" w:cs="Arial"/>
        </w:rPr>
      </w:pPr>
      <w:r>
        <w:rPr>
          <w:rFonts w:cs="Arial" w:ascii="Arial" w:hAnsi="Arial"/>
          <w:b/>
          <w:bCs/>
        </w:rPr>
        <w:t>The Opportunity:</w:t>
      </w:r>
      <w:r>
        <w:rPr>
          <w:rFonts w:cs="Arial" w:ascii="Arial" w:hAnsi="Arial"/>
        </w:rPr>
        <w:t xml:space="preserve"> A move to green metals can also help develop a differentiated B2B market as BHP can help provide its customers in the technology, renewable-energy and infrastructure sectors with lower-emission copper attributes (Juusela, 2026). Marking growing demand for traceability, BHP and Amazon pioneered an industry-first pilot in 2026 that enabled customers to buy verified environmental attributes associated with lower-emissions copper (Gleeson, 2026). </w:t>
      </w:r>
    </w:p>
    <w:p>
      <w:pPr>
        <w:pStyle w:val="Normal"/>
        <w:jc w:val="center"/>
        <w:rPr>
          <w:rFonts w:ascii="Arial" w:hAnsi="Arial" w:cs="Arial"/>
        </w:rPr>
      </w:pPr>
      <w:r>
        <w:rPr/>
        <mc:AlternateContent>
          <mc:Choice Requires="wps">
            <w:drawing>
              <wp:inline distT="0" distB="0" distL="0" distR="0" wp14:anchorId="0328F87B">
                <wp:extent cx="5097780" cy="3745230"/>
                <wp:effectExtent l="76200" t="76200" r="140970" b="141605"/>
                <wp:docPr id="7" name="Picture 10"/>
                <a:graphic xmlns:a="http://schemas.openxmlformats.org/drawingml/2006/main">
                  <a:graphicData uri="http://schemas.openxmlformats.org/drawingml/2006/picture">
                    <pic:pic xmlns:pic="http://schemas.openxmlformats.org/drawingml/2006/picture">
                      <pic:nvPicPr>
                        <pic:cNvPr id="8" name="Picture 10" descr=""/>
                        <pic:cNvPicPr/>
                      </pic:nvPicPr>
                      <pic:blipFill>
                        <a:blip r:embed="rId5"/>
                        <a:stretch/>
                      </pic:blipFill>
                      <pic:spPr>
                        <a:xfrm>
                          <a:off x="0" y="0"/>
                          <a:ext cx="5097960" cy="3745080"/>
                        </a:xfrm>
                        <a:prstGeom prst="rect">
                          <a:avLst/>
                        </a:prstGeom>
                        <a:noFill/>
                        <a:ln cap="sq" w="38100">
                          <a:solidFill>
                            <a:srgbClr val="000000"/>
                          </a:solidFill>
                          <a:miter/>
                        </a:ln>
                        <a:effectLst>
                          <a:outerShdw dist="37674" dir="2700000" blurRad="50760" sx="100000" sy="100000" algn="tl" rotWithShape="0">
                            <a:srgbClr val="000000">
                              <a:alpha val="43000"/>
                            </a:srgbClr>
                          </a:outerShdw>
                        </a:effectLst>
                      </pic:spPr>
                    </pic:pic>
                  </a:graphicData>
                </a:graphic>
              </wp:inline>
            </w:drawing>
          </mc:Choice>
        </mc:AlternateContent>
      </w:r>
    </w:p>
    <w:p>
      <w:pPr>
        <w:pStyle w:val="Normal"/>
        <w:jc w:val="center"/>
        <w:rPr>
          <w:rFonts w:ascii="Arial" w:hAnsi="Arial" w:cs="Arial"/>
          <w:b/>
          <w:bCs/>
        </w:rPr>
      </w:pPr>
      <w:r>
        <w:rPr>
          <w:rFonts w:cs="Arial" w:ascii="Arial" w:hAnsi="Arial"/>
          <w:b/>
        </w:rPr>
        <w:t>Figure 3: Industry-first pilot by BHP and Amazon for lower emission</w:t>
      </w:r>
    </w:p>
    <w:p>
      <w:pPr>
        <w:pStyle w:val="Normal"/>
        <w:jc w:val="center"/>
        <w:rPr>
          <w:rFonts w:ascii="Arial" w:hAnsi="Arial" w:cs="Arial"/>
        </w:rPr>
      </w:pPr>
      <w:r>
        <w:rPr>
          <w:rFonts w:cs="Arial" w:ascii="Arial" w:hAnsi="Arial"/>
        </w:rPr>
        <w:t>(Source: Gleeson, 2026)</w:t>
      </w:r>
    </w:p>
    <w:p>
      <w:pPr>
        <w:pStyle w:val="Normal"/>
        <w:rPr>
          <w:rFonts w:ascii="Arial" w:hAnsi="Arial" w:cs="Arial"/>
        </w:rPr>
      </w:pPr>
      <w:r>
        <w:rPr>
          <w:rFonts w:cs="Arial" w:ascii="Arial" w:hAnsi="Arial"/>
        </w:rPr>
        <w:t>This trending B2B buyer's mind-set shows a migration from the old standard of ‘purely price, quality and reliability’ to the introduction of emissions, traceability and sustainability attributes. It is commercially important as BHP's copper business emerged as the top earnings contributor, accounting for 54% of underlying EBITDA (Periwal, 2026).</w:t>
      </w:r>
    </w:p>
    <w:p>
      <w:pPr>
        <w:pStyle w:val="Normal"/>
        <w:jc w:val="center"/>
        <w:rPr>
          <w:rFonts w:ascii="Arial" w:hAnsi="Arial" w:cs="Arial"/>
        </w:rPr>
      </w:pPr>
      <w:r>
        <w:rPr/>
        <mc:AlternateContent>
          <mc:Choice Requires="wps">
            <w:drawing>
              <wp:inline distT="0" distB="0" distL="0" distR="0" wp14:anchorId="0328F87D">
                <wp:extent cx="5486400" cy="3695700"/>
                <wp:effectExtent l="12700" t="12700" r="12700" b="12700"/>
                <wp:docPr id="9" name="image7.png"/>
                <a:graphic xmlns:a="http://schemas.openxmlformats.org/drawingml/2006/main">
                  <a:graphicData uri="http://schemas.openxmlformats.org/drawingml/2006/picture">
                    <pic:pic xmlns:pic="http://schemas.openxmlformats.org/drawingml/2006/picture">
                      <pic:nvPicPr>
                        <pic:cNvPr id="10" name="image7.png" descr=""/>
                        <pic:cNvPicPr/>
                      </pic:nvPicPr>
                      <pic:blipFill>
                        <a:blip r:embed="rId6"/>
                        <a:stretch/>
                      </pic:blipFill>
                      <pic:spPr>
                        <a:xfrm>
                          <a:off x="0" y="0"/>
                          <a:ext cx="5486400" cy="3695760"/>
                        </a:xfrm>
                        <a:prstGeom prst="rect">
                          <a:avLst/>
                        </a:prstGeom>
                        <a:noFill/>
                        <a:ln w="127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4: Copper drives 54% of EBITDA</w:t>
      </w:r>
    </w:p>
    <w:p>
      <w:pPr>
        <w:pStyle w:val="Normal"/>
        <w:jc w:val="center"/>
        <w:rPr>
          <w:rFonts w:ascii="Arial" w:hAnsi="Arial" w:cs="Arial"/>
        </w:rPr>
      </w:pPr>
      <w:r>
        <w:rPr>
          <w:rFonts w:cs="Arial" w:ascii="Arial" w:hAnsi="Arial"/>
        </w:rPr>
        <w:t>(Source: Investing.com, 2026)</w:t>
      </w:r>
      <w:r>
        <w:rPr>
          <w:rFonts w:cs="Arial" w:ascii="Arial" w:hAnsi="Arial"/>
          <w:b/>
          <w:bCs/>
        </w:rPr>
        <w:t xml:space="preserve"> </w:t>
      </w:r>
    </w:p>
    <w:p>
      <w:pPr>
        <w:pStyle w:val="Normal"/>
        <w:spacing w:before="0" w:after="80"/>
        <w:rPr>
          <w:rFonts w:ascii="Arial" w:hAnsi="Arial" w:cs="Arial"/>
        </w:rPr>
      </w:pPr>
      <w:r>
        <w:rPr>
          <w:rFonts w:cs="Arial" w:ascii="Arial" w:hAnsi="Arial"/>
        </w:rPr>
        <w:t>However, green premiums are not guaranteed to be accepted. To turn sustainability preferences into repeatable B2B demand and reinforce copper market differentiation, BHP therefore requires credible verification, transparent carbon information and carbon supply-chain partnerships. Sustainable strategy can provide a competitive advantage by the way of environmental innovation.</w:t>
      </w:r>
    </w:p>
    <w:p>
      <w:pPr>
        <w:pStyle w:val="Heading3"/>
        <w:rPr>
          <w:rFonts w:ascii="Arial" w:hAnsi="Arial" w:cs="Arial"/>
        </w:rPr>
      </w:pPr>
      <w:bookmarkStart w:id="5" w:name="_Toc242289467"/>
      <w:r>
        <w:rPr>
          <w:rFonts w:cs="Arial" w:ascii="Arial" w:hAnsi="Arial"/>
        </w:rPr>
        <w:t>1.2.2 Political and Regulatory Actor</w:t>
      </w:r>
      <w:bookmarkEnd w:id="5"/>
      <w:r>
        <w:rPr>
          <w:rFonts w:cs="Arial" w:ascii="Arial" w:hAnsi="Arial"/>
        </w:rPr>
        <w:t xml:space="preserve"> </w:t>
      </w:r>
    </w:p>
    <w:p>
      <w:pPr>
        <w:pStyle w:val="Normal"/>
        <w:rPr>
          <w:rFonts w:ascii="Arial" w:hAnsi="Arial" w:cs="Arial"/>
        </w:rPr>
      </w:pPr>
      <w:r>
        <w:rPr>
          <w:rFonts w:cs="Arial" w:ascii="Arial" w:hAnsi="Arial"/>
          <w:b/>
          <w:bCs/>
        </w:rPr>
        <w:t>Global Policies:</w:t>
      </w:r>
      <w:r>
        <w:rPr>
          <w:rFonts w:cs="Arial" w:ascii="Arial" w:hAnsi="Arial"/>
        </w:rPr>
        <w:t xml:space="preserve"> Global warming capped at 'well below 2 degrees' is a requirement of the Paris Agreement, with countries forced to increase their Nationally Determined Contributions (NDCs), putting greater pressure on carbon-intensive sectors, including mining. COP28 also underscored the transformation to decarbonised energy systems, urging governments to take strides to amplify decarbonisation measures across value chains. The policy direction is commercially relevant to BHP because its products are supplying industries that are going down the path of electrification and energy transition. A relevant fact for 2026 is that, in 2025, CO</w:t>
      </w:r>
      <w:r>
        <w:rPr>
          <w:rFonts w:cs="Cambria Math" w:ascii="Cambria Math" w:hAnsi="Cambria Math"/>
        </w:rPr>
        <w:t>₂</w:t>
      </w:r>
      <w:r>
        <w:rPr>
          <w:rFonts w:cs="Arial" w:ascii="Arial" w:hAnsi="Arial"/>
        </w:rPr>
        <w:t xml:space="preserve"> emissions from global energy use had nearly reached 38.4 billion tonnes and are still increasing, albeit at a slower rate of 0.4% (IEA, 2026). </w:t>
      </w:r>
    </w:p>
    <w:p>
      <w:pPr>
        <w:pStyle w:val="Normal"/>
        <w:rPr>
          <w:rFonts w:ascii="Arial" w:hAnsi="Arial" w:cs="Arial"/>
        </w:rPr>
      </w:pPr>
      <w:r>
        <w:rPr/>
        <mc:AlternateContent>
          <mc:Choice Requires="wps">
            <w:drawing>
              <wp:inline distT="0" distB="0" distL="0" distR="0" wp14:anchorId="0328F87F">
                <wp:extent cx="5486400" cy="2570480"/>
                <wp:effectExtent l="38100" t="38100" r="38100" b="39370"/>
                <wp:docPr id="11" name="Picture 1"/>
                <a:graphic xmlns:a="http://schemas.openxmlformats.org/drawingml/2006/main">
                  <a:graphicData uri="http://schemas.openxmlformats.org/drawingml/2006/picture">
                    <pic:pic xmlns:pic="http://schemas.openxmlformats.org/drawingml/2006/picture">
                      <pic:nvPicPr>
                        <pic:cNvPr id="12" name="Picture 1" descr=""/>
                        <pic:cNvPicPr/>
                      </pic:nvPicPr>
                      <pic:blipFill>
                        <a:blip r:embed="rId7"/>
                        <a:stretch/>
                      </pic:blipFill>
                      <pic:spPr>
                        <a:xfrm>
                          <a:off x="0" y="0"/>
                          <a:ext cx="5486400" cy="2570400"/>
                        </a:xfrm>
                        <a:prstGeom prst="rect">
                          <a:avLst/>
                        </a:prstGeom>
                        <a:noFill/>
                        <a:ln w="381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5: Global CO2 emissions from energy combustion and industrial processes</w:t>
      </w:r>
    </w:p>
    <w:p>
      <w:pPr>
        <w:pStyle w:val="Normal"/>
        <w:jc w:val="center"/>
        <w:rPr>
          <w:rFonts w:ascii="Arial" w:hAnsi="Arial" w:cs="Arial"/>
        </w:rPr>
      </w:pPr>
      <w:r>
        <w:rPr>
          <w:rFonts w:cs="Arial" w:ascii="Arial" w:hAnsi="Arial"/>
        </w:rPr>
        <w:t>(Source: IEA, 2026)</w:t>
      </w:r>
    </w:p>
    <w:p>
      <w:pPr>
        <w:pStyle w:val="Normal"/>
        <w:rPr>
          <w:rFonts w:ascii="Arial" w:hAnsi="Arial" w:cs="Arial"/>
        </w:rPr>
      </w:pPr>
      <w:r>
        <w:rPr>
          <w:rFonts w:cs="Arial" w:ascii="Arial" w:hAnsi="Arial"/>
        </w:rPr>
        <w:t>Thus, more stringent climate policies are likely to raise the compliance and transition costs of BHP, yet they also boost investments in lower-carbon copper and other critical metals, which highlights BHP's decarbonisation and sustainability marketing strategy.</w:t>
      </w:r>
    </w:p>
    <w:p>
      <w:pPr>
        <w:pStyle w:val="Normal"/>
        <w:rPr>
          <w:rFonts w:ascii="Arial" w:hAnsi="Arial" w:cs="Arial"/>
        </w:rPr>
      </w:pPr>
      <w:r>
        <w:rPr/>
        <mc:AlternateContent>
          <mc:Choice Requires="wps">
            <w:drawing>
              <wp:inline distT="0" distB="0" distL="0" distR="0" wp14:anchorId="0328F881">
                <wp:extent cx="5486400" cy="3365500"/>
                <wp:effectExtent l="12700" t="12700" r="12700" b="12700"/>
                <wp:docPr id="13" name="image6.png"/>
                <a:graphic xmlns:a="http://schemas.openxmlformats.org/drawingml/2006/main">
                  <a:graphicData uri="http://schemas.openxmlformats.org/drawingml/2006/picture">
                    <pic:pic xmlns:pic="http://schemas.openxmlformats.org/drawingml/2006/picture">
                      <pic:nvPicPr>
                        <pic:cNvPr id="14" name="image6.png" descr=""/>
                        <pic:cNvPicPr/>
                      </pic:nvPicPr>
                      <pic:blipFill>
                        <a:blip r:embed="rId8"/>
                        <a:stretch/>
                      </pic:blipFill>
                      <pic:spPr>
                        <a:xfrm>
                          <a:off x="0" y="0"/>
                          <a:ext cx="5486400" cy="3365640"/>
                        </a:xfrm>
                        <a:prstGeom prst="rect">
                          <a:avLst/>
                        </a:prstGeom>
                        <a:noFill/>
                        <a:ln w="127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6: Copper emerges as the largest contributor for BHP</w:t>
      </w:r>
    </w:p>
    <w:p>
      <w:pPr>
        <w:pStyle w:val="Normal"/>
        <w:jc w:val="center"/>
        <w:rPr>
          <w:rFonts w:ascii="Arial" w:hAnsi="Arial" w:cs="Arial"/>
        </w:rPr>
      </w:pPr>
      <w:r>
        <w:rPr>
          <w:rFonts w:cs="Arial" w:ascii="Arial" w:hAnsi="Arial"/>
        </w:rPr>
        <w:t>(Source: Periwal, 2026)</w:t>
      </w:r>
    </w:p>
    <w:p>
      <w:pPr>
        <w:pStyle w:val="Normal"/>
        <w:rPr>
          <w:rFonts w:ascii="Arial" w:hAnsi="Arial" w:cs="Arial"/>
        </w:rPr>
      </w:pPr>
      <w:r>
        <w:rPr>
          <w:rFonts w:cs="Arial" w:ascii="Arial" w:hAnsi="Arial"/>
          <w:b/>
          <w:bCs/>
        </w:rPr>
        <w:t xml:space="preserve">Local/Regional Regulations: </w:t>
      </w:r>
      <w:r>
        <w:rPr>
          <w:rFonts w:cs="Arial" w:ascii="Arial" w:hAnsi="Arial"/>
        </w:rPr>
        <w:t>The EU Carbon Border Adjustment Mechanism (CBAM) came into full force on 1 January 2026, making the mechanism a regulatory factor for BHP's exposure to CO2-intensive supply chains from outside the EU (European Commission, 2026). CBAM is currently applied to iron and steel, aluminium, cement, fertilisers and electricity and hydrogen, and requires its importers in the EU to account for embedded carbon emissions and hand out the relevant certificates.</w:t>
      </w:r>
    </w:p>
    <w:p>
      <w:pPr>
        <w:pStyle w:val="Normal"/>
        <w:rPr>
          <w:rFonts w:ascii="Arial" w:hAnsi="Arial" w:cs="Arial"/>
        </w:rPr>
      </w:pPr>
      <w:r>
        <w:rPr>
          <w:rFonts w:cs="Arial" w:ascii="Arial" w:hAnsi="Arial"/>
        </w:rPr>
        <w:t xml:space="preserve"> </w:t>
      </w:r>
      <w:r>
        <w:rPr>
          <w:rFonts w:cs="Arial" w:ascii="Arial" w:hAnsi="Arial"/>
        </w:rPr>
        <w:t>An illustrative recent fact is the rise in the price of CBAM certificates for Q2 2026, which hit €75.28 per tonne of CO</w:t>
      </w:r>
      <w:r>
        <w:rPr>
          <w:rFonts w:cs="Cambria Math" w:ascii="Cambria Math" w:hAnsi="Cambria Math"/>
        </w:rPr>
        <w:t>₂</w:t>
      </w:r>
      <w:r>
        <w:rPr>
          <w:rFonts w:cs="Arial" w:ascii="Arial" w:hAnsi="Arial"/>
        </w:rPr>
        <w:t>, with a link to the price paid for CBMs coming into the EU (European Commission, 2026). This emphasises the commercial value of emissions measurement accuracy and the reduction of carbon emissions in BHP's production. Copper is not one of the sectors currently covered by CBAM, but there is scope for more stringent carbon pricing policy in that part of the world to affect BHP's customers and future market needs. Thus, reliable emissions data and reduced-carbon products will limit regulatory exposure as well as contributing to BHP's sustainability positioning.</w:t>
      </w:r>
    </w:p>
    <w:p>
      <w:pPr>
        <w:pStyle w:val="Heading3"/>
        <w:rPr>
          <w:rFonts w:ascii="Arial" w:hAnsi="Arial" w:cs="Arial"/>
        </w:rPr>
      </w:pPr>
      <w:bookmarkStart w:id="6" w:name="_Toc242289468"/>
      <w:r>
        <w:rPr>
          <w:rFonts w:cs="Arial" w:ascii="Arial" w:hAnsi="Arial"/>
        </w:rPr>
        <w:t>1.2.3 Technological Actor</w:t>
      </w:r>
      <w:bookmarkEnd w:id="6"/>
      <w:r>
        <w:rPr>
          <w:rFonts w:cs="Arial" w:ascii="Arial" w:hAnsi="Arial"/>
        </w:rPr>
        <w:t xml:space="preserve"> </w:t>
      </w:r>
    </w:p>
    <w:p>
      <w:pPr>
        <w:pStyle w:val="Normal"/>
        <w:rPr>
          <w:rFonts w:ascii="Arial" w:hAnsi="Arial" w:cs="Arial"/>
        </w:rPr>
      </w:pPr>
      <w:r>
        <w:rPr>
          <w:rFonts w:cs="Arial" w:ascii="Arial" w:hAnsi="Arial"/>
          <w:b/>
          <w:bCs/>
        </w:rPr>
        <w:t xml:space="preserve">Emerging Tech: </w:t>
      </w:r>
      <w:r>
        <w:rPr>
          <w:rFonts w:cs="Arial" w:ascii="Arial" w:hAnsi="Arial"/>
        </w:rPr>
        <w:t xml:space="preserve">More environmentally friendly mining techniques can greatly contribute to BHP's lower carbon transition. BHP is trialling battery-electric haul trucks and locomotives that could gradually replace diesel-powered machines, but widespread introduction of the trucks and locomotives would require charging stations and extra power supplies. Another key technology is the desalination of water. This is significant for water-stressed Chile. BHP's Escondido operation is based on desalinated seawater so is Codelco, which is building reverse osmosis desalination. Codelco's new desalination plant will initially operate at 840 litres per second and will be able to expand to 1,956 litres per second (Codelco, 2026). </w:t>
      </w:r>
    </w:p>
    <w:p>
      <w:pPr>
        <w:pStyle w:val="Normal"/>
        <w:rPr>
          <w:rFonts w:ascii="Arial" w:hAnsi="Arial" w:cs="Arial"/>
        </w:rPr>
      </w:pPr>
      <w:r>
        <w:rPr>
          <w:rFonts w:cs="Arial" w:ascii="Arial" w:hAnsi="Arial"/>
          <w:b/>
          <w:bCs/>
        </w:rPr>
        <w:t>Cost vs. Benefit:</w:t>
      </w:r>
      <w:r>
        <w:rPr>
          <w:rFonts w:cs="Arial" w:ascii="Arial" w:hAnsi="Arial"/>
        </w:rPr>
        <w:t xml:space="preserve"> Cleaner mining technologies will be costly to adopt, as electrification will demand new vehicles, charging facilities, renewable energy and skill sets in the workforce. Capital expenditure and exploration expenditure for BHP in FY26 were valued at US$10.3 billion, exemplifying the amount of capital rivalry with decarbonisation investment (BHP, 2026). The benefits of this are reduced diesel dependence, which in general can lead to lower energy consumption, lower emissions and a better position regarding sustainability-oriented B2B customers. BHP's testing of battery-electric haul trucks in 2026 has already achieved over 100 operating hours and 200 test laps, amassing data on the commercial viability of the technology in preparation for investment (BHP, 2026). </w:t>
      </w:r>
    </w:p>
    <w:p>
      <w:pPr>
        <w:pStyle w:val="Normal"/>
        <w:jc w:val="center"/>
        <w:rPr>
          <w:rFonts w:ascii="Arial" w:hAnsi="Arial" w:cs="Arial"/>
        </w:rPr>
      </w:pPr>
      <w:r>
        <w:rPr/>
        <mc:AlternateContent>
          <mc:Choice Requires="wps">
            <w:drawing>
              <wp:inline distT="0" distB="0" distL="0" distR="0" wp14:anchorId="0328F883">
                <wp:extent cx="5486400" cy="4775200"/>
                <wp:effectExtent l="12700" t="12700" r="12700" b="12700"/>
                <wp:docPr id="15" name="image2.png"/>
                <a:graphic xmlns:a="http://schemas.openxmlformats.org/drawingml/2006/main">
                  <a:graphicData uri="http://schemas.openxmlformats.org/drawingml/2006/picture">
                    <pic:pic xmlns:pic="http://schemas.openxmlformats.org/drawingml/2006/picture">
                      <pic:nvPicPr>
                        <pic:cNvPr id="16" name="image2.png" descr=""/>
                        <pic:cNvPicPr/>
                      </pic:nvPicPr>
                      <pic:blipFill>
                        <a:blip r:embed="rId9"/>
                        <a:stretch/>
                      </pic:blipFill>
                      <pic:spPr>
                        <a:xfrm>
                          <a:off x="0" y="0"/>
                          <a:ext cx="5486400" cy="4775040"/>
                        </a:xfrm>
                        <a:prstGeom prst="rect">
                          <a:avLst/>
                        </a:prstGeom>
                        <a:noFill/>
                        <a:ln w="127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7: BHP: Battery- Electric Haul Truck Trials</w:t>
      </w:r>
    </w:p>
    <w:p>
      <w:pPr>
        <w:pStyle w:val="Normal"/>
        <w:jc w:val="center"/>
        <w:rPr>
          <w:rFonts w:ascii="Arial" w:hAnsi="Arial" w:cs="Arial"/>
        </w:rPr>
      </w:pPr>
      <w:r>
        <w:rPr>
          <w:rFonts w:cs="Arial" w:ascii="Arial" w:hAnsi="Arial"/>
        </w:rPr>
        <w:t xml:space="preserve">(Source: Kalkine Media, 2026) </w:t>
      </w:r>
    </w:p>
    <w:p>
      <w:pPr>
        <w:pStyle w:val="Normal"/>
        <w:rPr>
          <w:rFonts w:ascii="Arial" w:hAnsi="Arial" w:cs="Arial"/>
          <w:b/>
          <w:bCs/>
          <w:sz w:val="28"/>
          <w:szCs w:val="28"/>
          <w:u w:val="single"/>
        </w:rPr>
      </w:pPr>
      <w:r>
        <w:rPr>
          <w:rFonts w:cs="Arial" w:ascii="Arial" w:hAnsi="Arial"/>
          <w:b/>
          <w:bCs/>
          <w:sz w:val="28"/>
          <w:szCs w:val="28"/>
          <w:u w:val="single"/>
        </w:rPr>
      </w:r>
      <w:r>
        <w:br w:type="page"/>
      </w:r>
    </w:p>
    <w:p>
      <w:pPr>
        <w:pStyle w:val="Heading1"/>
        <w:spacing w:before="0" w:after="0"/>
        <w:rPr>
          <w:rFonts w:ascii="Arial" w:hAnsi="Arial" w:cs="Arial"/>
        </w:rPr>
      </w:pPr>
      <w:bookmarkStart w:id="7" w:name="_Toc242289469"/>
      <w:r>
        <w:rPr>
          <w:rFonts w:cs="Arial" w:ascii="Arial" w:hAnsi="Arial"/>
        </w:rPr>
        <w:t>Task 2: Strategic Growth and Competitive Positioning</w:t>
      </w:r>
      <w:bookmarkEnd w:id="7"/>
      <w:r>
        <w:rPr>
          <w:rFonts w:cs="Arial" w:ascii="Arial" w:hAnsi="Arial"/>
        </w:rPr>
        <w:t xml:space="preserve"> </w:t>
      </w:r>
    </w:p>
    <w:p>
      <w:pPr>
        <w:pStyle w:val="Normal"/>
        <w:jc w:val="left"/>
        <w:rPr>
          <w:rFonts w:ascii="Arial" w:hAnsi="Arial" w:cs="Arial"/>
        </w:rPr>
      </w:pPr>
      <w:r>
        <w:rPr/>
        <w:tab/>
      </w:r>
      <w:r>
        <w:rPr>
          <w:rFonts w:cs="Arial" w:ascii="Arial" w:hAnsi="Arial"/>
        </w:rPr>
        <w:t>In simple meaning of strategic growth, it related to achieve future goals, make new capabilities and boost revenue for a firm to get or make new future expand and opportunities.</w:t>
      </w:r>
    </w:p>
    <w:p>
      <w:pPr>
        <w:pStyle w:val="Heading2"/>
        <w:rPr>
          <w:rFonts w:ascii="Arial" w:hAnsi="Arial" w:cs="Arial"/>
        </w:rPr>
      </w:pPr>
      <w:bookmarkStart w:id="8" w:name="_Toc242289470"/>
      <w:r>
        <w:rPr>
          <w:rFonts w:cs="Arial" w:ascii="Arial" w:hAnsi="Arial"/>
        </w:rPr>
        <w:t>2.1 Strategic Growth Approach: The Ansoff Matrix</w:t>
      </w:r>
      <w:bookmarkEnd w:id="8"/>
      <w:r>
        <w:rPr>
          <w:rFonts w:cs="Arial" w:ascii="Arial" w:hAnsi="Arial"/>
        </w:rPr>
        <w:t xml:space="preserve"> </w:t>
      </w:r>
    </w:p>
    <w:p>
      <w:pPr>
        <w:pStyle w:val="Normal"/>
        <w:jc w:val="center"/>
        <w:rPr>
          <w:rFonts w:ascii="Arial" w:hAnsi="Arial" w:cs="Arial"/>
          <w:b/>
          <w:bCs/>
        </w:rPr>
      </w:pPr>
      <w:r>
        <w:rPr>
          <w:rFonts w:cs="Arial" w:ascii="Arial" w:hAnsi="Arial"/>
          <w:b/>
          <w:bCs/>
        </w:rPr>
        <w:t>Table 1: Ansoff matrix</w:t>
      </w:r>
    </w:p>
    <w:p>
      <w:pPr>
        <w:pStyle w:val="Normal"/>
        <w:jc w:val="center"/>
        <w:rPr>
          <w:rFonts w:ascii="Arial" w:hAnsi="Arial" w:cs="Arial"/>
        </w:rPr>
      </w:pPr>
      <w:r>
        <w:rPr>
          <w:rFonts w:cs="Arial" w:ascii="Arial" w:hAnsi="Arial"/>
        </w:rPr>
        <w:t>(Source: Created by author)</w:t>
      </w:r>
    </w:p>
    <w:tbl>
      <w:tblPr>
        <w:tblStyle w:val="TableGrid"/>
        <w:tblW w:w="863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876"/>
        <w:gridCol w:w="2877"/>
        <w:gridCol w:w="2877"/>
      </w:tblGrid>
      <w:tr>
        <w:trPr>
          <w:trHeight w:val="189" w:hRule="atLeast"/>
        </w:trPr>
        <w:tc>
          <w:tcPr>
            <w:tcW w:w="2876" w:type="dxa"/>
            <w:tcBorders/>
          </w:tcPr>
          <w:p>
            <w:pPr>
              <w:pStyle w:val="Normal"/>
              <w:widowControl/>
              <w:suppressAutoHyphens w:val="true"/>
              <w:spacing w:lineRule="auto" w:line="240" w:before="0" w:after="0"/>
              <w:rPr>
                <w:rFonts w:ascii="Arial" w:hAnsi="Arial" w:cs="Arial"/>
                <w:b/>
                <w:bCs/>
                <w:i/>
                <w:i/>
                <w:iCs/>
              </w:rPr>
            </w:pPr>
            <w:r>
              <w:rPr>
                <w:rFonts w:eastAsia="Times New Roman" w:cs="Arial" w:ascii="Arial" w:hAnsi="Arial"/>
                <w:b/>
                <w:bCs/>
                <w:i/>
                <w:iCs/>
                <w:kern w:val="0"/>
                <w:sz w:val="24"/>
                <w:szCs w:val="24"/>
                <w:lang w:val="en-IN" w:eastAsia="en-IN" w:bidi="ar-SA"/>
              </w:rPr>
              <w:t>Market/ product</w:t>
            </w:r>
          </w:p>
        </w:tc>
        <w:tc>
          <w:tcPr>
            <w:tcW w:w="2877" w:type="dxa"/>
            <w:tcBorders/>
          </w:tcPr>
          <w:p>
            <w:pPr>
              <w:pStyle w:val="Normal"/>
              <w:widowControl/>
              <w:suppressAutoHyphens w:val="true"/>
              <w:spacing w:lineRule="auto" w:line="240" w:before="0" w:after="0"/>
              <w:rPr>
                <w:rFonts w:ascii="Arial" w:hAnsi="Arial" w:cs="Arial"/>
                <w:b/>
                <w:bCs/>
                <w:i/>
                <w:i/>
                <w:iCs/>
              </w:rPr>
            </w:pPr>
            <w:r>
              <w:rPr>
                <w:rFonts w:eastAsia="Times New Roman" w:cs="Arial" w:ascii="Arial" w:hAnsi="Arial"/>
                <w:b/>
                <w:bCs/>
                <w:i/>
                <w:iCs/>
                <w:kern w:val="0"/>
                <w:sz w:val="24"/>
                <w:szCs w:val="24"/>
                <w:lang w:val="en-IN" w:eastAsia="en-IN" w:bidi="ar-SA"/>
              </w:rPr>
              <w:t>Existing product</w:t>
            </w:r>
          </w:p>
        </w:tc>
        <w:tc>
          <w:tcPr>
            <w:tcW w:w="2877" w:type="dxa"/>
            <w:tcBorders/>
          </w:tcPr>
          <w:p>
            <w:pPr>
              <w:pStyle w:val="Normal"/>
              <w:widowControl/>
              <w:suppressAutoHyphens w:val="true"/>
              <w:spacing w:lineRule="auto" w:line="240" w:before="0" w:after="0"/>
              <w:rPr>
                <w:rFonts w:ascii="Arial" w:hAnsi="Arial" w:cs="Arial"/>
                <w:b/>
                <w:bCs/>
                <w:i/>
                <w:i/>
                <w:iCs/>
              </w:rPr>
            </w:pPr>
            <w:r>
              <w:rPr>
                <w:rFonts w:eastAsia="Times New Roman" w:cs="Arial" w:ascii="Arial" w:hAnsi="Arial"/>
                <w:b/>
                <w:bCs/>
                <w:i/>
                <w:iCs/>
                <w:kern w:val="0"/>
                <w:sz w:val="24"/>
                <w:szCs w:val="24"/>
                <w:lang w:val="en-IN" w:eastAsia="en-IN" w:bidi="ar-SA"/>
              </w:rPr>
              <w:t>New product</w:t>
            </w:r>
          </w:p>
        </w:tc>
      </w:tr>
      <w:tr>
        <w:trPr/>
        <w:tc>
          <w:tcPr>
            <w:tcW w:w="2876" w:type="dxa"/>
            <w:tcBorders/>
          </w:tcPr>
          <w:p>
            <w:pPr>
              <w:pStyle w:val="Normal"/>
              <w:widowControl/>
              <w:suppressAutoHyphens w:val="true"/>
              <w:spacing w:lineRule="auto" w:line="240" w:before="0" w:after="0"/>
              <w:rPr>
                <w:rFonts w:ascii="Arial" w:hAnsi="Arial" w:cs="Arial"/>
                <w:b/>
                <w:bCs/>
                <w:i/>
                <w:i/>
                <w:iCs/>
              </w:rPr>
            </w:pPr>
            <w:r>
              <w:rPr>
                <w:rFonts w:eastAsia="Times New Roman" w:cs="Arial" w:ascii="Arial" w:hAnsi="Arial"/>
                <w:b/>
                <w:bCs/>
                <w:i/>
                <w:iCs/>
                <w:kern w:val="0"/>
                <w:sz w:val="24"/>
                <w:szCs w:val="24"/>
                <w:lang w:val="en-IN" w:eastAsia="en-IN" w:bidi="ar-SA"/>
              </w:rPr>
              <w:t>Existing market</w:t>
            </w:r>
          </w:p>
        </w:tc>
        <w:tc>
          <w:tcPr>
            <w:tcW w:w="2877" w:type="dxa"/>
            <w:tcBorders/>
          </w:tcPr>
          <w:p>
            <w:pPr>
              <w:pStyle w:val="Normal"/>
              <w:widowControl/>
              <w:suppressAutoHyphens w:val="true"/>
              <w:spacing w:lineRule="auto" w:line="240" w:before="0" w:after="0"/>
              <w:rPr>
                <w:rFonts w:ascii="Arial" w:hAnsi="Arial" w:cs="Arial"/>
                <w:b/>
                <w:bCs/>
              </w:rPr>
            </w:pPr>
            <w:r>
              <w:rPr>
                <w:rFonts w:eastAsia="Times New Roman" w:cs="Arial" w:ascii="Arial" w:hAnsi="Arial"/>
                <w:b/>
                <w:bCs/>
                <w:kern w:val="0"/>
                <w:sz w:val="24"/>
                <w:szCs w:val="24"/>
                <w:lang w:val="en-IN" w:eastAsia="en-IN" w:bidi="ar-SA"/>
              </w:rPr>
              <w:t>Market penetration</w:t>
            </w:r>
          </w:p>
          <w:p>
            <w:pPr>
              <w:pStyle w:val="ListParagraph"/>
              <w:widowControl/>
              <w:numPr>
                <w:ilvl w:val="0"/>
                <w:numId w:val="1"/>
              </w:numPr>
              <w:suppressAutoHyphens w:val="true"/>
              <w:spacing w:lineRule="auto" w:line="240" w:before="0" w:after="0"/>
              <w:contextualSpacing/>
              <w:rPr>
                <w:rFonts w:ascii="Arial" w:hAnsi="Arial" w:cs="Arial"/>
              </w:rPr>
            </w:pPr>
            <w:r>
              <w:rPr>
                <w:rFonts w:eastAsia="Times New Roman" w:cs="Arial" w:ascii="Arial" w:hAnsi="Arial"/>
                <w:kern w:val="0"/>
                <w:sz w:val="24"/>
                <w:szCs w:val="24"/>
                <w:lang w:val="en-IN" w:eastAsia="en-IN" w:bidi="ar-SA"/>
              </w:rPr>
              <w:t>Increase sales of existing copper products</w:t>
            </w:r>
          </w:p>
        </w:tc>
        <w:tc>
          <w:tcPr>
            <w:tcW w:w="2877" w:type="dxa"/>
            <w:tcBorders/>
          </w:tcPr>
          <w:p>
            <w:pPr>
              <w:pStyle w:val="Normal"/>
              <w:widowControl/>
              <w:suppressAutoHyphens w:val="true"/>
              <w:spacing w:lineRule="auto" w:line="240" w:before="0" w:after="0"/>
              <w:rPr>
                <w:rFonts w:ascii="Arial" w:hAnsi="Arial" w:cs="Arial"/>
                <w:b/>
                <w:bCs/>
              </w:rPr>
            </w:pPr>
            <w:r>
              <w:rPr>
                <w:rFonts w:eastAsia="Times New Roman" w:cs="Arial" w:ascii="Arial" w:hAnsi="Arial"/>
                <w:b/>
                <w:bCs/>
                <w:kern w:val="0"/>
                <w:sz w:val="24"/>
                <w:szCs w:val="24"/>
                <w:lang w:val="en-IN" w:eastAsia="en-IN" w:bidi="ar-SA"/>
              </w:rPr>
              <w:t>Product development</w:t>
            </w:r>
          </w:p>
          <w:p>
            <w:pPr>
              <w:pStyle w:val="ListParagraph"/>
              <w:widowControl/>
              <w:numPr>
                <w:ilvl w:val="0"/>
                <w:numId w:val="1"/>
              </w:numPr>
              <w:suppressAutoHyphens w:val="true"/>
              <w:spacing w:lineRule="auto" w:line="240" w:before="0" w:after="0"/>
              <w:contextualSpacing/>
              <w:rPr>
                <w:rFonts w:ascii="Arial" w:hAnsi="Arial" w:cs="Arial"/>
              </w:rPr>
            </w:pPr>
            <w:r>
              <w:rPr>
                <w:rFonts w:eastAsia="Times New Roman" w:cs="Arial" w:ascii="Arial" w:hAnsi="Arial"/>
                <w:kern w:val="0"/>
                <w:sz w:val="24"/>
                <w:szCs w:val="24"/>
                <w:lang w:val="en-IN" w:eastAsia="en-IN" w:bidi="ar-SA"/>
              </w:rPr>
              <w:t>Introduce certified lower carbon copper</w:t>
            </w:r>
          </w:p>
        </w:tc>
      </w:tr>
      <w:tr>
        <w:trPr/>
        <w:tc>
          <w:tcPr>
            <w:tcW w:w="2876" w:type="dxa"/>
            <w:tcBorders/>
          </w:tcPr>
          <w:p>
            <w:pPr>
              <w:pStyle w:val="Normal"/>
              <w:widowControl/>
              <w:suppressAutoHyphens w:val="true"/>
              <w:spacing w:lineRule="auto" w:line="240" w:before="0" w:after="0"/>
              <w:rPr>
                <w:rFonts w:ascii="Arial" w:hAnsi="Arial" w:cs="Arial"/>
                <w:b/>
                <w:bCs/>
                <w:i/>
                <w:i/>
                <w:iCs/>
              </w:rPr>
            </w:pPr>
            <w:r>
              <w:rPr>
                <w:rFonts w:eastAsia="Times New Roman" w:cs="Arial" w:ascii="Arial" w:hAnsi="Arial"/>
                <w:b/>
                <w:bCs/>
                <w:i/>
                <w:iCs/>
                <w:kern w:val="0"/>
                <w:sz w:val="24"/>
                <w:szCs w:val="24"/>
                <w:lang w:val="en-IN" w:eastAsia="en-IN" w:bidi="ar-SA"/>
              </w:rPr>
              <w:t>New market</w:t>
            </w:r>
          </w:p>
        </w:tc>
        <w:tc>
          <w:tcPr>
            <w:tcW w:w="2877" w:type="dxa"/>
            <w:tcBorders/>
          </w:tcPr>
          <w:p>
            <w:pPr>
              <w:pStyle w:val="Normal"/>
              <w:widowControl/>
              <w:suppressAutoHyphens w:val="true"/>
              <w:spacing w:lineRule="auto" w:line="240" w:before="0" w:after="0"/>
              <w:rPr>
                <w:rFonts w:ascii="Arial" w:hAnsi="Arial" w:cs="Arial"/>
                <w:b/>
                <w:bCs/>
              </w:rPr>
            </w:pPr>
            <w:r>
              <w:rPr>
                <w:rFonts w:eastAsia="Times New Roman" w:cs="Arial" w:ascii="Arial" w:hAnsi="Arial"/>
                <w:b/>
                <w:bCs/>
                <w:kern w:val="0"/>
                <w:sz w:val="24"/>
                <w:szCs w:val="24"/>
                <w:lang w:val="en-IN" w:eastAsia="en-IN" w:bidi="ar-SA"/>
              </w:rPr>
              <w:t>Market development</w:t>
            </w:r>
          </w:p>
          <w:p>
            <w:pPr>
              <w:pStyle w:val="ListParagraph"/>
              <w:widowControl/>
              <w:numPr>
                <w:ilvl w:val="0"/>
                <w:numId w:val="1"/>
              </w:numPr>
              <w:suppressAutoHyphens w:val="true"/>
              <w:spacing w:lineRule="auto" w:line="240" w:before="0" w:after="0"/>
              <w:contextualSpacing/>
              <w:rPr>
                <w:rFonts w:ascii="Arial" w:hAnsi="Arial" w:cs="Arial"/>
              </w:rPr>
            </w:pPr>
            <w:r>
              <w:rPr>
                <w:rFonts w:eastAsia="Times New Roman" w:cs="Arial" w:ascii="Arial" w:hAnsi="Arial"/>
                <w:kern w:val="0"/>
                <w:sz w:val="24"/>
                <w:szCs w:val="24"/>
                <w:lang w:val="en-IN" w:eastAsia="en-IN" w:bidi="ar-SA"/>
              </w:rPr>
              <w:t>Enter new geographic market</w:t>
            </w:r>
          </w:p>
        </w:tc>
        <w:tc>
          <w:tcPr>
            <w:tcW w:w="2877" w:type="dxa"/>
            <w:tcBorders/>
          </w:tcPr>
          <w:p>
            <w:pPr>
              <w:pStyle w:val="Normal"/>
              <w:widowControl/>
              <w:suppressAutoHyphens w:val="true"/>
              <w:spacing w:lineRule="auto" w:line="240" w:before="0" w:after="0"/>
              <w:rPr>
                <w:rFonts w:ascii="Arial" w:hAnsi="Arial" w:cs="Arial"/>
                <w:b/>
                <w:bCs/>
              </w:rPr>
            </w:pPr>
            <w:r>
              <w:rPr>
                <w:rFonts w:eastAsia="Times New Roman" w:cs="Arial" w:ascii="Arial" w:hAnsi="Arial"/>
                <w:b/>
                <w:bCs/>
                <w:kern w:val="0"/>
                <w:sz w:val="24"/>
                <w:szCs w:val="24"/>
                <w:lang w:val="en-IN" w:eastAsia="en-IN" w:bidi="ar-SA"/>
              </w:rPr>
              <w:t>Diversification</w:t>
            </w:r>
          </w:p>
          <w:p>
            <w:pPr>
              <w:pStyle w:val="ListParagraph"/>
              <w:widowControl/>
              <w:numPr>
                <w:ilvl w:val="0"/>
                <w:numId w:val="1"/>
              </w:numPr>
              <w:suppressAutoHyphens w:val="true"/>
              <w:spacing w:lineRule="auto" w:line="240" w:before="0" w:after="0"/>
              <w:contextualSpacing/>
              <w:rPr>
                <w:rFonts w:ascii="Arial" w:hAnsi="Arial" w:cs="Arial"/>
              </w:rPr>
            </w:pPr>
            <w:r>
              <w:rPr>
                <w:rFonts w:eastAsia="Times New Roman" w:cs="Arial" w:ascii="Arial" w:hAnsi="Arial"/>
                <w:kern w:val="0"/>
                <w:sz w:val="24"/>
                <w:szCs w:val="24"/>
                <w:lang w:val="en-IN" w:eastAsia="en-IN" w:bidi="ar-SA"/>
              </w:rPr>
              <w:t>Expand into noncopper or new technologies</w:t>
            </w:r>
          </w:p>
        </w:tc>
      </w:tr>
    </w:tbl>
    <w:p>
      <w:pPr>
        <w:pStyle w:val="Normal"/>
        <w:rPr>
          <w:rFonts w:ascii="Arial" w:hAnsi="Arial" w:cs="Arial"/>
          <w:b/>
          <w:bCs/>
        </w:rPr>
      </w:pPr>
      <w:r>
        <w:rPr>
          <w:rFonts w:cs="Arial" w:ascii="Arial" w:hAnsi="Arial"/>
          <w:b/>
          <w:bCs/>
        </w:rPr>
      </w:r>
    </w:p>
    <w:p>
      <w:pPr>
        <w:pStyle w:val="Normal"/>
        <w:rPr>
          <w:rFonts w:ascii="Arial" w:hAnsi="Arial" w:cs="Arial"/>
        </w:rPr>
      </w:pPr>
      <w:r>
        <w:rPr>
          <w:rFonts w:cs="Arial" w:ascii="Arial" w:hAnsi="Arial"/>
          <w:b/>
          <w:bCs/>
        </w:rPr>
        <w:t>Selection:</w:t>
      </w:r>
      <w:r>
        <w:rPr>
          <w:rFonts w:cs="Arial" w:ascii="Arial" w:hAnsi="Arial"/>
        </w:rPr>
        <w:t xml:space="preserve"> Product Development is suitable for BHP because it can be integrated with the company's existing customer base (B2B) without venturing into a new market. BHP may create certified lower-carbon copper powered by renewable electricity, desalinated water and Environmental Attribute Certificates, based on the 2026 pilot carried out with Amazon. This is in line with the increased demand of electrification and digitalisation. The global forecast for copper demand is projected to rise from 34 MT in 2026 to over 50 MT by 2050 (BHP, 2026). </w:t>
      </w:r>
    </w:p>
    <w:p>
      <w:pPr>
        <w:pStyle w:val="Normal"/>
        <w:rPr>
          <w:rFonts w:ascii="Arial" w:hAnsi="Arial" w:cs="Arial"/>
        </w:rPr>
      </w:pPr>
      <w:r>
        <w:rPr/>
        <mc:AlternateContent>
          <mc:Choice Requires="wps">
            <w:drawing>
              <wp:inline distT="0" distB="0" distL="0" distR="0" wp14:anchorId="0328F885">
                <wp:extent cx="5486400" cy="2486660"/>
                <wp:effectExtent l="38100" t="38100" r="38100" b="46990"/>
                <wp:docPr id="17" name="Picture 1"/>
                <a:graphic xmlns:a="http://schemas.openxmlformats.org/drawingml/2006/main">
                  <a:graphicData uri="http://schemas.openxmlformats.org/drawingml/2006/picture">
                    <pic:pic xmlns:pic="http://schemas.openxmlformats.org/drawingml/2006/picture">
                      <pic:nvPicPr>
                        <pic:cNvPr id="18" name="Picture 1" descr=""/>
                        <pic:cNvPicPr/>
                      </pic:nvPicPr>
                      <pic:blipFill>
                        <a:blip r:embed="rId10"/>
                        <a:stretch/>
                      </pic:blipFill>
                      <pic:spPr>
                        <a:xfrm>
                          <a:off x="0" y="0"/>
                          <a:ext cx="5486400" cy="2486520"/>
                        </a:xfrm>
                        <a:prstGeom prst="rect">
                          <a:avLst/>
                        </a:prstGeom>
                        <a:noFill/>
                        <a:ln w="381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8: Estimated copper demand growth</w:t>
      </w:r>
    </w:p>
    <w:p>
      <w:pPr>
        <w:pStyle w:val="Normal"/>
        <w:jc w:val="center"/>
        <w:rPr>
          <w:rFonts w:ascii="Arial" w:hAnsi="Arial" w:cs="Arial"/>
        </w:rPr>
      </w:pPr>
      <w:r>
        <w:rPr>
          <w:rFonts w:cs="Arial" w:ascii="Arial" w:hAnsi="Arial"/>
        </w:rPr>
        <w:t>(Source: Farrell and Whitton, 2024)</w:t>
      </w:r>
    </w:p>
    <w:p>
      <w:pPr>
        <w:pStyle w:val="Normal"/>
        <w:rPr>
          <w:rFonts w:ascii="Arial" w:hAnsi="Arial" w:cs="Arial"/>
        </w:rPr>
      </w:pPr>
      <w:r>
        <w:rPr>
          <w:rFonts w:cs="Arial" w:ascii="Arial" w:hAnsi="Arial"/>
        </w:rPr>
        <w:t xml:space="preserve">Thus, the strategy has two benefits including environmental differentiation and an existing market opportunity. </w:t>
      </w:r>
    </w:p>
    <w:p>
      <w:pPr>
        <w:pStyle w:val="Normal"/>
        <w:rPr>
          <w:rFonts w:ascii="Arial" w:hAnsi="Arial" w:cs="Arial"/>
        </w:rPr>
      </w:pPr>
      <w:r>
        <w:rPr>
          <w:rFonts w:cs="Arial" w:ascii="Arial" w:hAnsi="Arial"/>
          <w:b/>
          <w:bCs/>
        </w:rPr>
        <w:t>Implementation:</w:t>
      </w:r>
      <w:r>
        <w:rPr>
          <w:rFonts w:cs="Arial" w:ascii="Arial" w:hAnsi="Arial"/>
        </w:rPr>
        <w:t xml:space="preserve"> BHP should adopt Product Development by introducing an approved low-carbon copper product proposition, which can be achieved by supporting the production of the copper at Escondido with the use of renewable electricity and desalinated water. The company can determine product-level emissions and it will be able to utilise independently verified Environmental Attribute Certificates (EACs) and offer digital traceability to B2B customers. This approach is already being tested through BHP’s 2026 partnership with Amazon, which allows environmental attributes associated with copper to be recognised within downstream infrastructure supply chains (BHP, 2026). A key statistic of relevance in 2026 was the size of BHP's copper production at 1,953kt in FY2026, offering a significant scale for such a proposition (BHP, 2026). </w:t>
      </w:r>
    </w:p>
    <w:p>
      <w:pPr>
        <w:pStyle w:val="Normal"/>
        <w:jc w:val="center"/>
        <w:rPr>
          <w:rFonts w:ascii="Arial" w:hAnsi="Arial" w:cs="Arial"/>
        </w:rPr>
      </w:pPr>
      <w:r>
        <w:rPr/>
        <mc:AlternateContent>
          <mc:Choice Requires="wps">
            <w:drawing>
              <wp:inline distT="0" distB="0" distL="0" distR="0" wp14:anchorId="0328F887">
                <wp:extent cx="4686935" cy="2858135"/>
                <wp:effectExtent l="38100" t="38100" r="37465" b="38100"/>
                <wp:docPr id="19" name="Picture 1"/>
                <a:graphic xmlns:a="http://schemas.openxmlformats.org/drawingml/2006/main">
                  <a:graphicData uri="http://schemas.openxmlformats.org/drawingml/2006/picture">
                    <pic:pic xmlns:pic="http://schemas.openxmlformats.org/drawingml/2006/picture">
                      <pic:nvPicPr>
                        <pic:cNvPr id="20" name="Picture 1" descr=""/>
                        <pic:cNvPicPr/>
                      </pic:nvPicPr>
                      <pic:blipFill>
                        <a:blip r:embed="rId11"/>
                        <a:stretch/>
                      </pic:blipFill>
                      <pic:spPr>
                        <a:xfrm>
                          <a:off x="0" y="0"/>
                          <a:ext cx="4686840" cy="2858040"/>
                        </a:xfrm>
                        <a:prstGeom prst="rect">
                          <a:avLst/>
                        </a:prstGeom>
                        <a:noFill/>
                        <a:ln w="381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9: Production of copper in 2026</w:t>
      </w:r>
    </w:p>
    <w:p>
      <w:pPr>
        <w:pStyle w:val="Normal"/>
        <w:jc w:val="center"/>
        <w:rPr>
          <w:rFonts w:ascii="Arial" w:hAnsi="Arial" w:cs="Arial"/>
        </w:rPr>
      </w:pPr>
      <w:r>
        <w:rPr>
          <w:rFonts w:cs="Arial" w:ascii="Arial" w:hAnsi="Arial"/>
        </w:rPr>
        <w:t>(Source: BHP, 2026)</w:t>
      </w:r>
    </w:p>
    <w:p>
      <w:pPr>
        <w:pStyle w:val="Normal"/>
        <w:rPr>
          <w:rFonts w:ascii="Arial" w:hAnsi="Arial" w:cs="Arial"/>
        </w:rPr>
      </w:pPr>
      <w:r>
        <w:rPr>
          <w:rFonts w:cs="Arial" w:ascii="Arial" w:hAnsi="Arial"/>
          <w:b/>
          <w:bCs/>
        </w:rPr>
        <w:t>Critical Evaluation:</w:t>
      </w:r>
      <w:r>
        <w:rPr>
          <w:rFonts w:cs="Arial" w:ascii="Arial" w:hAnsi="Arial"/>
        </w:rPr>
        <w:t xml:space="preserve"> BHP also faces potential constraints on product development; the establishment of lower-emissions copper needs significant investments in renewable energy, electrification, emissions measurement, certification and supply-chain traceability (IEA, 2023). Such investments may drive up production costs before there is a strong demand for a premium from B2B customers. Commercialisation can also be a lengthy process due to technologies needing to be tested, verified and integrated in the mining operations. Periodic sustainability reporting combined with customer case studies and direct interaction with key industrial third-party buyers can increase credibility and build confidence with sponsors for long-term relationships (Amran et al., 2026).</w:t>
      </w:r>
    </w:p>
    <w:p>
      <w:pPr>
        <w:pStyle w:val="Heading2"/>
        <w:rPr>
          <w:rFonts w:ascii="Arial" w:hAnsi="Arial" w:cs="Arial"/>
        </w:rPr>
      </w:pPr>
      <w:bookmarkStart w:id="9" w:name="_Toc242289471"/>
      <w:r>
        <w:rPr>
          <w:rFonts w:cs="Arial" w:ascii="Arial" w:hAnsi="Arial"/>
        </w:rPr>
        <w:t>2.2 Competitive Positioning: Porter’s Generic Strategies</w:t>
      </w:r>
      <w:bookmarkEnd w:id="9"/>
    </w:p>
    <w:p>
      <w:pPr>
        <w:pStyle w:val="Normal"/>
        <w:jc w:val="center"/>
        <w:rPr>
          <w:rFonts w:ascii="Arial" w:hAnsi="Arial" w:cs="Arial"/>
          <w:b/>
          <w:bCs/>
        </w:rPr>
      </w:pPr>
      <w:r>
        <w:rPr>
          <w:rFonts w:cs="Arial" w:ascii="Arial" w:hAnsi="Arial"/>
          <w:b/>
          <w:bCs/>
        </w:rPr>
        <w:t>Table 2: Porter’s Generic Strategies</w:t>
      </w:r>
    </w:p>
    <w:p>
      <w:pPr>
        <w:pStyle w:val="Normal"/>
        <w:jc w:val="center"/>
        <w:rPr>
          <w:rFonts w:ascii="Arial" w:hAnsi="Arial" w:cs="Arial"/>
        </w:rPr>
      </w:pPr>
      <w:r>
        <w:rPr>
          <w:rFonts w:cs="Arial" w:ascii="Arial" w:hAnsi="Arial"/>
        </w:rPr>
        <w:t>(Source: Created by author)</w:t>
      </w:r>
    </w:p>
    <w:tbl>
      <w:tblPr>
        <w:tblStyle w:val="TableGrid"/>
        <w:tblW w:w="8856"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947"/>
        <w:gridCol w:w="6908"/>
      </w:tblGrid>
      <w:tr>
        <w:trPr/>
        <w:tc>
          <w:tcPr>
            <w:tcW w:w="1947" w:type="dxa"/>
            <w:tcBorders/>
          </w:tcPr>
          <w:p>
            <w:pPr>
              <w:pStyle w:val="Normal"/>
              <w:widowControl/>
              <w:suppressAutoHyphens w:val="true"/>
              <w:spacing w:before="0" w:after="0"/>
              <w:rPr>
                <w:rFonts w:ascii="Arial" w:hAnsi="Arial" w:cs="Arial"/>
                <w:b/>
                <w:bCs/>
              </w:rPr>
            </w:pPr>
            <w:r>
              <w:rPr>
                <w:rFonts w:eastAsia="Times New Roman" w:cs="Arial" w:ascii="Arial" w:hAnsi="Arial"/>
                <w:b/>
                <w:bCs/>
                <w:kern w:val="0"/>
                <w:sz w:val="24"/>
                <w:szCs w:val="24"/>
                <w:lang w:val="en-IN" w:eastAsia="en-IN" w:bidi="ar-SA"/>
              </w:rPr>
              <w:t>Strategy</w:t>
            </w:r>
          </w:p>
        </w:tc>
        <w:tc>
          <w:tcPr>
            <w:tcW w:w="6908" w:type="dxa"/>
            <w:tcBorders/>
          </w:tcPr>
          <w:p>
            <w:pPr>
              <w:pStyle w:val="Normal"/>
              <w:widowControl/>
              <w:suppressAutoHyphens w:val="true"/>
              <w:spacing w:before="0" w:after="0"/>
              <w:rPr>
                <w:rFonts w:ascii="Arial" w:hAnsi="Arial" w:cs="Arial"/>
                <w:b/>
                <w:bCs/>
              </w:rPr>
            </w:pPr>
            <w:r>
              <w:rPr>
                <w:rFonts w:eastAsia="Times New Roman" w:cs="Arial" w:ascii="Arial" w:hAnsi="Arial"/>
                <w:b/>
                <w:bCs/>
                <w:kern w:val="0"/>
                <w:sz w:val="24"/>
                <w:szCs w:val="24"/>
                <w:lang w:val="en-IN" w:eastAsia="en-IN" w:bidi="ar-SA"/>
              </w:rPr>
              <w:t>BHP Application</w:t>
            </w:r>
          </w:p>
        </w:tc>
      </w:tr>
      <w:tr>
        <w:trPr/>
        <w:tc>
          <w:tcPr>
            <w:tcW w:w="1947" w:type="dxa"/>
            <w:tcBorders/>
          </w:tcPr>
          <w:p>
            <w:pPr>
              <w:pStyle w:val="Normal"/>
              <w:widowControl/>
              <w:suppressAutoHyphens w:val="true"/>
              <w:spacing w:before="0" w:after="0"/>
              <w:rPr>
                <w:rFonts w:ascii="Arial" w:hAnsi="Arial" w:cs="Arial"/>
              </w:rPr>
            </w:pPr>
            <w:r>
              <w:rPr>
                <w:rFonts w:eastAsia="Times New Roman" w:cs="Arial" w:ascii="Arial" w:hAnsi="Arial"/>
                <w:b/>
                <w:bCs/>
                <w:kern w:val="0"/>
                <w:sz w:val="24"/>
                <w:szCs w:val="24"/>
                <w:lang w:val="en-IN" w:eastAsia="en-IN" w:bidi="ar-SA"/>
              </w:rPr>
              <w:t>Cost Leadership</w:t>
            </w:r>
          </w:p>
        </w:tc>
        <w:tc>
          <w:tcPr>
            <w:tcW w:w="6908" w:type="dxa"/>
            <w:tcBorders/>
          </w:tcPr>
          <w:p>
            <w:pPr>
              <w:pStyle w:val="Normal"/>
              <w:widowControl/>
              <w:suppressAutoHyphens w:val="true"/>
              <w:spacing w:before="0" w:after="0"/>
              <w:rPr>
                <w:rFonts w:ascii="Arial" w:hAnsi="Arial" w:cs="Arial"/>
              </w:rPr>
            </w:pPr>
            <w:r>
              <w:rPr>
                <w:rFonts w:eastAsia="Times New Roman" w:cs="Arial" w:ascii="Arial" w:hAnsi="Arial"/>
                <w:kern w:val="0"/>
                <w:sz w:val="24"/>
                <w:szCs w:val="24"/>
                <w:lang w:val="en-IN" w:eastAsia="en-IN" w:bidi="ar-SA"/>
              </w:rPr>
              <w:t>BHP can use economies of scale, efficient mining operations and technology to control costs. However, competing mainly on price may restrict the value gained from sustainable copper.</w:t>
            </w:r>
          </w:p>
        </w:tc>
      </w:tr>
      <w:tr>
        <w:trPr/>
        <w:tc>
          <w:tcPr>
            <w:tcW w:w="1947" w:type="dxa"/>
            <w:tcBorders/>
          </w:tcPr>
          <w:p>
            <w:pPr>
              <w:pStyle w:val="Normal"/>
              <w:widowControl/>
              <w:suppressAutoHyphens w:val="true"/>
              <w:spacing w:before="0" w:after="0"/>
              <w:rPr>
                <w:rFonts w:ascii="Arial" w:hAnsi="Arial" w:cs="Arial"/>
              </w:rPr>
            </w:pPr>
            <w:r>
              <w:rPr>
                <w:rFonts w:eastAsia="Times New Roman" w:cs="Arial" w:ascii="Arial" w:hAnsi="Arial"/>
                <w:b/>
                <w:bCs/>
                <w:kern w:val="0"/>
                <w:sz w:val="24"/>
                <w:szCs w:val="24"/>
                <w:lang w:val="en-IN" w:eastAsia="en-IN" w:bidi="ar-SA"/>
              </w:rPr>
              <w:t>Differentiation</w:t>
            </w:r>
          </w:p>
        </w:tc>
        <w:tc>
          <w:tcPr>
            <w:tcW w:w="6908" w:type="dxa"/>
            <w:tcBorders/>
          </w:tcPr>
          <w:p>
            <w:pPr>
              <w:pStyle w:val="Normal"/>
              <w:widowControl/>
              <w:suppressAutoHyphens w:val="true"/>
              <w:spacing w:before="0" w:after="0"/>
              <w:rPr>
                <w:rFonts w:ascii="Arial" w:hAnsi="Arial" w:cs="Arial"/>
              </w:rPr>
            </w:pPr>
            <w:r>
              <w:rPr>
                <w:rFonts w:eastAsia="Times New Roman" w:cs="Arial" w:ascii="Arial" w:hAnsi="Arial"/>
                <w:kern w:val="0"/>
                <w:sz w:val="24"/>
                <w:szCs w:val="24"/>
                <w:lang w:val="en-IN" w:eastAsia="en-IN" w:bidi="ar-SA"/>
              </w:rPr>
              <w:t>Company should prioritise differentiation by offering verified lower-emission copper.</w:t>
            </w:r>
          </w:p>
        </w:tc>
      </w:tr>
      <w:tr>
        <w:trPr/>
        <w:tc>
          <w:tcPr>
            <w:tcW w:w="1947" w:type="dxa"/>
            <w:tcBorders/>
          </w:tcPr>
          <w:p>
            <w:pPr>
              <w:pStyle w:val="Normal"/>
              <w:widowControl/>
              <w:suppressAutoHyphens w:val="true"/>
              <w:spacing w:before="0" w:after="0"/>
              <w:rPr>
                <w:rFonts w:ascii="Arial" w:hAnsi="Arial" w:cs="Arial"/>
              </w:rPr>
            </w:pPr>
            <w:r>
              <w:rPr>
                <w:rFonts w:eastAsia="Times New Roman" w:cs="Arial" w:ascii="Arial" w:hAnsi="Arial"/>
                <w:b/>
                <w:bCs/>
                <w:kern w:val="0"/>
                <w:sz w:val="24"/>
                <w:szCs w:val="24"/>
                <w:lang w:val="en-IN" w:eastAsia="en-IN" w:bidi="ar-SA"/>
              </w:rPr>
              <w:t>Cost Focus</w:t>
            </w:r>
          </w:p>
        </w:tc>
        <w:tc>
          <w:tcPr>
            <w:tcW w:w="6908" w:type="dxa"/>
            <w:tcBorders/>
          </w:tcPr>
          <w:p>
            <w:pPr>
              <w:pStyle w:val="Normal"/>
              <w:widowControl/>
              <w:suppressAutoHyphens w:val="true"/>
              <w:spacing w:before="0" w:after="0"/>
              <w:rPr>
                <w:rFonts w:ascii="Arial" w:hAnsi="Arial" w:cs="Arial"/>
              </w:rPr>
            </w:pPr>
            <w:r>
              <w:rPr>
                <w:rFonts w:eastAsia="Times New Roman" w:cs="Arial" w:ascii="Arial" w:hAnsi="Arial"/>
                <w:kern w:val="0"/>
                <w:sz w:val="24"/>
                <w:szCs w:val="24"/>
                <w:lang w:val="en-IN" w:eastAsia="en-IN" w:bidi="ar-SA"/>
              </w:rPr>
              <w:t>BHP could target selected B2B customers requiring competitively priced copper. However, this narrow strategy is less suitable for BHP’s global scale.</w:t>
            </w:r>
          </w:p>
        </w:tc>
      </w:tr>
      <w:tr>
        <w:trPr/>
        <w:tc>
          <w:tcPr>
            <w:tcW w:w="1947" w:type="dxa"/>
            <w:tcBorders/>
          </w:tcPr>
          <w:p>
            <w:pPr>
              <w:pStyle w:val="Normal"/>
              <w:widowControl/>
              <w:suppressAutoHyphens w:val="true"/>
              <w:spacing w:before="0" w:after="0"/>
              <w:rPr>
                <w:rFonts w:ascii="Arial" w:hAnsi="Arial" w:cs="Arial"/>
              </w:rPr>
            </w:pPr>
            <w:r>
              <w:rPr>
                <w:rFonts w:eastAsia="Times New Roman" w:cs="Arial" w:ascii="Arial" w:hAnsi="Arial"/>
                <w:b/>
                <w:bCs/>
                <w:kern w:val="0"/>
                <w:sz w:val="24"/>
                <w:szCs w:val="24"/>
                <w:lang w:val="en-IN" w:eastAsia="en-IN" w:bidi="ar-SA"/>
              </w:rPr>
              <w:t>Differentiation Focus</w:t>
            </w:r>
          </w:p>
        </w:tc>
        <w:tc>
          <w:tcPr>
            <w:tcW w:w="6908" w:type="dxa"/>
            <w:tcBorders/>
          </w:tcPr>
          <w:p>
            <w:pPr>
              <w:pStyle w:val="Normal"/>
              <w:widowControl/>
              <w:suppressAutoHyphens w:val="true"/>
              <w:spacing w:before="0" w:after="0"/>
              <w:rPr>
                <w:rFonts w:ascii="Arial" w:hAnsi="Arial" w:cs="Arial"/>
              </w:rPr>
            </w:pPr>
            <w:r>
              <w:rPr>
                <w:rFonts w:eastAsia="Times New Roman" w:cs="Arial" w:ascii="Arial" w:hAnsi="Arial"/>
                <w:kern w:val="0"/>
                <w:sz w:val="24"/>
                <w:szCs w:val="24"/>
                <w:lang w:val="en-IN" w:eastAsia="en-IN" w:bidi="ar-SA"/>
              </w:rPr>
              <w:t>BHP can target technology, renewable-energy and infrastructure customers seeking sustainable copper.</w:t>
            </w:r>
          </w:p>
        </w:tc>
      </w:tr>
    </w:tbl>
    <w:p>
      <w:pPr>
        <w:pStyle w:val="Normal"/>
        <w:rPr>
          <w:rFonts w:ascii="Arial" w:hAnsi="Arial" w:cs="Arial"/>
        </w:rPr>
      </w:pPr>
      <w:r>
        <w:rPr>
          <w:rFonts w:cs="Arial" w:ascii="Arial" w:hAnsi="Arial"/>
          <w:b/>
          <w:bCs/>
        </w:rPr>
        <w:t>Selection:</w:t>
      </w:r>
      <w:r>
        <w:rPr>
          <w:rFonts w:cs="Arial" w:ascii="Arial" w:hAnsi="Arial"/>
        </w:rPr>
        <w:t xml:space="preserve"> BHP should implement Porter's strategy of differentiation by promoting verified lower-emission copper as a unique B2B solution. The pledge can focus on traceable emissions attributes or production powered by renewables or credible environmental attributes. It's becoming more pertinent with customers demanding reliable sustainability data in complicated supply chains. BHP's 2026 copper business had an EBITDA of $18,187 million, highlighting the strategic significance of copper in its portfolio (BHP, 2026). </w:t>
      </w:r>
    </w:p>
    <w:p>
      <w:pPr>
        <w:pStyle w:val="Normal"/>
        <w:jc w:val="center"/>
        <w:rPr>
          <w:rFonts w:ascii="Arial" w:hAnsi="Arial" w:cs="Arial"/>
        </w:rPr>
      </w:pPr>
      <w:r>
        <w:rPr/>
        <mc:AlternateContent>
          <mc:Choice Requires="wps">
            <w:drawing>
              <wp:inline distT="0" distB="0" distL="0" distR="0" wp14:anchorId="0328F889">
                <wp:extent cx="4548505" cy="3422015"/>
                <wp:effectExtent l="76200" t="76200" r="138430" b="140970"/>
                <wp:docPr id="21" name="Picture 8"/>
                <a:graphic xmlns:a="http://schemas.openxmlformats.org/drawingml/2006/main">
                  <a:graphicData uri="http://schemas.openxmlformats.org/drawingml/2006/picture">
                    <pic:pic xmlns:pic="http://schemas.openxmlformats.org/drawingml/2006/picture">
                      <pic:nvPicPr>
                        <pic:cNvPr id="22" name="Picture 8" descr=""/>
                        <pic:cNvPicPr/>
                      </pic:nvPicPr>
                      <pic:blipFill>
                        <a:blip r:embed="rId12"/>
                        <a:stretch/>
                      </pic:blipFill>
                      <pic:spPr>
                        <a:xfrm>
                          <a:off x="0" y="0"/>
                          <a:ext cx="4548600" cy="3422160"/>
                        </a:xfrm>
                        <a:prstGeom prst="rect">
                          <a:avLst/>
                        </a:prstGeom>
                        <a:noFill/>
                        <a:ln cap="sq" w="38100">
                          <a:solidFill>
                            <a:srgbClr val="000000"/>
                          </a:solidFill>
                          <a:miter/>
                        </a:ln>
                        <a:effectLst>
                          <a:outerShdw dist="37674" dir="2700000" blurRad="50760" sx="100000" sy="100000" algn="tl" rotWithShape="0">
                            <a:srgbClr val="000000">
                              <a:alpha val="43000"/>
                            </a:srgbClr>
                          </a:outerShdw>
                        </a:effectLst>
                      </pic:spPr>
                    </pic:pic>
                  </a:graphicData>
                </a:graphic>
              </wp:inline>
            </w:drawing>
          </mc:Choice>
        </mc:AlternateContent>
      </w:r>
    </w:p>
    <w:p>
      <w:pPr>
        <w:pStyle w:val="Normal"/>
        <w:jc w:val="center"/>
        <w:rPr>
          <w:rFonts w:ascii="Arial" w:hAnsi="Arial" w:cs="Arial"/>
        </w:rPr>
      </w:pPr>
      <w:r>
        <w:rPr>
          <w:rFonts w:cs="Arial" w:ascii="Arial" w:hAnsi="Arial"/>
          <w:b/>
        </w:rPr>
        <w:t>Figure 10: Copper Assets of BHP</w:t>
        <w:br/>
      </w:r>
      <w:r>
        <w:rPr>
          <w:rFonts w:cs="Arial" w:ascii="Arial" w:hAnsi="Arial"/>
        </w:rPr>
        <w:t>(Source: BHP, 2026)</w:t>
      </w:r>
    </w:p>
    <w:p>
      <w:pPr>
        <w:pStyle w:val="Normal"/>
        <w:rPr>
          <w:rFonts w:ascii="Arial" w:hAnsi="Arial" w:cs="Arial"/>
        </w:rPr>
      </w:pPr>
      <w:r>
        <w:rPr>
          <w:rFonts w:cs="Arial" w:ascii="Arial" w:hAnsi="Arial"/>
        </w:rPr>
        <w:t>BHP now can leverage its existing copper scale to create differentiated offerings for technology, renewable-energy and infrastructure customers. The BHP-Amazon Environmental Attribute Certificate 2026 Future Minerals and Metals Proof of Concept pilot is also a practical foundation for proving and certifying the lower emission attributes. Providing differentiation arguably would help with premium positioning, but it would need to be proven to the customer by testing the market.</w:t>
      </w:r>
    </w:p>
    <w:p>
      <w:pPr>
        <w:pStyle w:val="Normal"/>
        <w:rPr>
          <w:rFonts w:ascii="Arial" w:hAnsi="Arial" w:cs="Arial"/>
        </w:rPr>
      </w:pPr>
      <w:r>
        <w:rPr>
          <w:rFonts w:cs="Arial" w:ascii="Arial" w:hAnsi="Arial"/>
          <w:b/>
          <w:bCs/>
        </w:rPr>
        <w:t>Creating Competitive Advantage:</w:t>
      </w:r>
      <w:r>
        <w:rPr>
          <w:rFonts w:cs="Arial" w:ascii="Arial" w:hAnsi="Arial"/>
        </w:rPr>
        <w:t xml:space="preserve"> An environmental value that is measurable, and NOT a sustainability claim, can't be an excuse for the BHP to not pay a green premium. Customers can ensure responsible production by using independent eco-certification, like The Copper Mark, and transparent data from the supply chain can provide customers with data on the emissions of purchased copper. B2B credibility can also be further enhanced by performance on ESG, which can assist corporate buyers in evaluating supplier risks and supplier capabilities to align with corporate ESG goals. AI-related CapEx of BHP is large as US hyperscalers are projected to spend US$700-800 billion for AI technology which will be 2.4% of GDP of the US, suggesting potential demand for copper-intensive technology infrastructure (BHP, 2026). </w:t>
      </w:r>
    </w:p>
    <w:p>
      <w:pPr>
        <w:pStyle w:val="Normal"/>
        <w:jc w:val="center"/>
        <w:rPr>
          <w:rFonts w:ascii="Arial" w:hAnsi="Arial" w:cs="Arial"/>
        </w:rPr>
      </w:pPr>
      <w:r>
        <w:rPr/>
        <mc:AlternateContent>
          <mc:Choice Requires="wps">
            <w:drawing>
              <wp:inline distT="0" distB="0" distL="0" distR="0" wp14:anchorId="0328F88B">
                <wp:extent cx="3768725" cy="3257550"/>
                <wp:effectExtent l="76200" t="76200" r="136525" b="133985"/>
                <wp:docPr id="23" name="Picture 9"/>
                <a:graphic xmlns:a="http://schemas.openxmlformats.org/drawingml/2006/main">
                  <a:graphicData uri="http://schemas.openxmlformats.org/drawingml/2006/picture">
                    <pic:pic xmlns:pic="http://schemas.openxmlformats.org/drawingml/2006/picture">
                      <pic:nvPicPr>
                        <pic:cNvPr id="24" name="Picture 9" descr=""/>
                        <pic:cNvPicPr/>
                      </pic:nvPicPr>
                      <pic:blipFill>
                        <a:blip r:embed="rId13"/>
                        <a:stretch/>
                      </pic:blipFill>
                      <pic:spPr>
                        <a:xfrm>
                          <a:off x="0" y="0"/>
                          <a:ext cx="3768840" cy="3257640"/>
                        </a:xfrm>
                        <a:prstGeom prst="rect">
                          <a:avLst/>
                        </a:prstGeom>
                        <a:noFill/>
                        <a:ln cap="sq" w="38100">
                          <a:solidFill>
                            <a:srgbClr val="000000"/>
                          </a:solidFill>
                          <a:miter/>
                        </a:ln>
                        <a:effectLst>
                          <a:outerShdw dist="37674" dir="2700000" blurRad="50760" sx="100000" sy="100000" algn="tl" rotWithShape="0">
                            <a:srgbClr val="000000">
                              <a:alpha val="43000"/>
                            </a:srgbClr>
                          </a:outerShdw>
                        </a:effectLst>
                      </pic:spPr>
                    </pic:pic>
                  </a:graphicData>
                </a:graphic>
              </wp:inline>
            </w:drawing>
          </mc:Choice>
        </mc:AlternateContent>
      </w:r>
    </w:p>
    <w:p>
      <w:pPr>
        <w:pStyle w:val="Normal"/>
        <w:jc w:val="center"/>
        <w:rPr>
          <w:rFonts w:ascii="Arial" w:hAnsi="Arial" w:cs="Arial"/>
          <w:b/>
          <w:bCs/>
        </w:rPr>
      </w:pPr>
      <w:r>
        <w:rPr>
          <w:rFonts w:cs="Arial" w:ascii="Arial" w:hAnsi="Arial"/>
          <w:b/>
        </w:rPr>
        <w:t>Figure 11: AI-related CapEx</w:t>
      </w:r>
    </w:p>
    <w:p>
      <w:pPr>
        <w:pStyle w:val="Normal"/>
        <w:jc w:val="center"/>
        <w:rPr>
          <w:rFonts w:ascii="Arial" w:hAnsi="Arial" w:cs="Arial"/>
        </w:rPr>
      </w:pPr>
      <w:r>
        <w:rPr>
          <w:rFonts w:cs="Arial" w:ascii="Arial" w:hAnsi="Arial"/>
        </w:rPr>
        <w:t>(Source: BHP, 2026)</w:t>
      </w:r>
    </w:p>
    <w:p>
      <w:pPr>
        <w:pStyle w:val="Normal"/>
        <w:rPr>
          <w:rFonts w:ascii="Arial" w:hAnsi="Arial" w:cs="Arial"/>
        </w:rPr>
      </w:pPr>
      <w:r>
        <w:rPr>
          <w:rFonts w:cs="Arial" w:ascii="Arial" w:hAnsi="Arial"/>
        </w:rPr>
        <w:t>Marketing can then play a role in highlighting and promoting the benefits of verified lower-emission copper. Population growth, urbanisation, AI, and decarbonisation is driving demand, making copper the largest EBITDA contributor.</w:t>
      </w:r>
    </w:p>
    <w:p>
      <w:pPr>
        <w:pStyle w:val="Normal"/>
        <w:jc w:val="center"/>
        <w:rPr>
          <w:rFonts w:ascii="Arial" w:hAnsi="Arial" w:cs="Arial"/>
        </w:rPr>
      </w:pPr>
      <w:r>
        <w:rPr/>
        <mc:AlternateContent>
          <mc:Choice Requires="wps">
            <w:drawing>
              <wp:inline distT="0" distB="0" distL="0" distR="0" wp14:anchorId="0328F88D">
                <wp:extent cx="5486400" cy="3086100"/>
                <wp:effectExtent l="12700" t="12700" r="12700" b="12700"/>
                <wp:docPr id="25" name="image1.png"/>
                <a:graphic xmlns:a="http://schemas.openxmlformats.org/drawingml/2006/main">
                  <a:graphicData uri="http://schemas.openxmlformats.org/drawingml/2006/picture">
                    <pic:pic xmlns:pic="http://schemas.openxmlformats.org/drawingml/2006/picture">
                      <pic:nvPicPr>
                        <pic:cNvPr id="26" name="image1.png" descr=""/>
                        <pic:cNvPicPr/>
                      </pic:nvPicPr>
                      <pic:blipFill>
                        <a:blip r:embed="rId14"/>
                        <a:stretch/>
                      </pic:blipFill>
                      <pic:spPr>
                        <a:xfrm>
                          <a:off x="0" y="0"/>
                          <a:ext cx="5486400" cy="3086280"/>
                        </a:xfrm>
                        <a:prstGeom prst="rect">
                          <a:avLst/>
                        </a:prstGeom>
                        <a:noFill/>
                        <a:ln w="12700">
                          <a:solidFill>
                            <a:srgbClr val="000000"/>
                          </a:solidFill>
                          <a:round/>
                        </a:ln>
                      </pic:spPr>
                    </pic:pic>
                  </a:graphicData>
                </a:graphic>
              </wp:inline>
            </w:drawing>
          </mc:Choice>
        </mc:AlternateContent>
      </w:r>
    </w:p>
    <w:p>
      <w:pPr>
        <w:pStyle w:val="Normal"/>
        <w:jc w:val="center"/>
        <w:rPr>
          <w:rFonts w:ascii="Arial" w:hAnsi="Arial" w:cs="Arial"/>
          <w:b/>
          <w:bCs/>
        </w:rPr>
      </w:pPr>
      <w:r>
        <w:rPr>
          <w:rFonts w:cs="Arial" w:ascii="Arial" w:hAnsi="Arial"/>
          <w:b/>
          <w:bCs/>
        </w:rPr>
        <w:t>Figure 12: BHP Boosts Copper Role</w:t>
      </w:r>
    </w:p>
    <w:p>
      <w:pPr>
        <w:pStyle w:val="Normal"/>
        <w:jc w:val="center"/>
        <w:rPr>
          <w:rFonts w:ascii="Arial" w:hAnsi="Arial" w:cs="Arial"/>
        </w:rPr>
      </w:pPr>
      <w:r>
        <w:rPr>
          <w:rFonts w:cs="Arial" w:ascii="Arial" w:hAnsi="Arial"/>
        </w:rPr>
        <w:t xml:space="preserve">(Source: StockTitan, 2026) </w:t>
      </w:r>
    </w:p>
    <w:p>
      <w:pPr>
        <w:pStyle w:val="Normal"/>
        <w:rPr>
          <w:rFonts w:ascii="Arial" w:hAnsi="Arial" w:cs="Arial"/>
        </w:rPr>
      </w:pPr>
      <w:r>
        <w:rPr>
          <w:rFonts w:cs="Arial" w:ascii="Arial" w:hAnsi="Arial"/>
          <w:b/>
          <w:bCs/>
        </w:rPr>
        <w:t>Sustainability of the Advantage:</w:t>
      </w:r>
      <w:r>
        <w:rPr>
          <w:rFonts w:cs="Arial" w:ascii="Arial" w:hAnsi="Arial"/>
        </w:rPr>
        <w:t xml:space="preserve"> There is a possibility that competitors can "copy" individual technologies, but because of BHP's first-mover advantage, operational experience and partnerships, competitors may find it more difficult to catch up. In 2026, BHP's medium-term average annual CapEx of approximately US$11 billion, of which more than half was directed towards growth initiatives in the copper business (BHP, 2026). It allows for significant capacity-building while also incorporating new technologies for low-emissions production growth. </w:t>
      </w:r>
      <w:r>
        <w:br w:type="page"/>
      </w:r>
    </w:p>
    <w:p>
      <w:pPr>
        <w:pStyle w:val="Heading1"/>
        <w:spacing w:before="0" w:after="0"/>
        <w:rPr>
          <w:rFonts w:ascii="Arial" w:hAnsi="Arial" w:cs="Arial"/>
        </w:rPr>
      </w:pPr>
      <w:bookmarkStart w:id="10" w:name="_Toc242289472"/>
      <w:r>
        <w:rPr>
          <w:rFonts w:cs="Arial" w:ascii="Arial" w:hAnsi="Arial"/>
        </w:rPr>
        <w:t>Task 3: Managerial and Professional Reflection</w:t>
      </w:r>
      <w:bookmarkEnd w:id="10"/>
      <w:r>
        <w:rPr>
          <w:rFonts w:cs="Arial" w:ascii="Arial" w:hAnsi="Arial"/>
        </w:rPr>
        <w:t xml:space="preserve"> </w:t>
      </w:r>
    </w:p>
    <w:p>
      <w:pPr>
        <w:pStyle w:val="Heading2"/>
        <w:rPr>
          <w:rFonts w:ascii="Arial" w:hAnsi="Arial" w:cs="Arial"/>
        </w:rPr>
      </w:pPr>
      <w:bookmarkStart w:id="11" w:name="_Toc242289473"/>
      <w:r>
        <w:rPr>
          <w:rFonts w:cs="Arial" w:ascii="Arial" w:hAnsi="Arial"/>
        </w:rPr>
        <w:t>3.1 Justification of Key Decisions</w:t>
      </w:r>
      <w:bookmarkEnd w:id="11"/>
      <w:r>
        <w:rPr>
          <w:rFonts w:cs="Arial" w:ascii="Arial" w:hAnsi="Arial"/>
        </w:rPr>
        <w:t xml:space="preserve"> </w:t>
      </w:r>
    </w:p>
    <w:p>
      <w:pPr>
        <w:pStyle w:val="Heading3"/>
        <w:rPr>
          <w:rFonts w:ascii="Arial" w:hAnsi="Arial" w:cs="Arial"/>
        </w:rPr>
      </w:pPr>
      <w:bookmarkStart w:id="12" w:name="_Toc242289474"/>
      <w:bookmarkStart w:id="13" w:name="_sss2m9sau27k"/>
      <w:bookmarkEnd w:id="13"/>
      <w:r>
        <w:rPr>
          <w:rFonts w:cs="Arial" w:ascii="Arial" w:hAnsi="Arial"/>
        </w:rPr>
        <w:t>3.1.1 Rationale for Selecting BHP</w:t>
      </w:r>
      <w:bookmarkEnd w:id="12"/>
      <w:r>
        <w:rPr>
          <w:rFonts w:cs="Arial" w:ascii="Arial" w:hAnsi="Arial"/>
        </w:rPr>
        <w:t xml:space="preserve"> </w:t>
      </w:r>
    </w:p>
    <w:p>
      <w:pPr>
        <w:pStyle w:val="Normal"/>
        <w:rPr>
          <w:rFonts w:ascii="Arial" w:hAnsi="Arial" w:cs="Arial"/>
        </w:rPr>
      </w:pPr>
      <w:r>
        <w:rPr>
          <w:rFonts w:cs="Arial" w:ascii="Arial" w:hAnsi="Arial"/>
        </w:rPr>
        <w:t>I chose BHP because it is a large cap global mining company that has a large presence in the energy transition, so taking a position in BHP was a no-brainer. The company offer a suitable background to the effects of pressures from the environment, regulatory changes and technological developments on marketing strategy. Beside this, changing BHP's emissions profile provides a pathway for developing new and unique products tailored to B2B buyers who value sustainable options (Gasimov et al., 2025). Hence, BHP can be used as a good example where sustainable growth and competitive positioning assessment can be done using Ansoff and Porter's frameworks.</w:t>
      </w:r>
    </w:p>
    <w:p>
      <w:pPr>
        <w:pStyle w:val="Heading3"/>
        <w:rPr>
          <w:rFonts w:ascii="Arial" w:hAnsi="Arial" w:cs="Arial"/>
        </w:rPr>
      </w:pPr>
      <w:bookmarkStart w:id="14" w:name="_Toc242289475"/>
      <w:bookmarkStart w:id="15" w:name="_df9qnx2qp5c"/>
      <w:bookmarkEnd w:id="15"/>
      <w:r>
        <w:rPr>
          <w:rFonts w:cs="Arial" w:ascii="Arial" w:hAnsi="Arial"/>
        </w:rPr>
        <w:t>3.1.2 Rationale for Selecting Key External Actors</w:t>
      </w:r>
      <w:bookmarkEnd w:id="14"/>
    </w:p>
    <w:p>
      <w:pPr>
        <w:pStyle w:val="Normal"/>
        <w:rPr>
          <w:rFonts w:ascii="Arial" w:hAnsi="Arial" w:cs="Arial"/>
          <w:b/>
          <w:bCs/>
        </w:rPr>
      </w:pPr>
      <w:r>
        <w:rPr>
          <w:rFonts w:cs="Arial" w:ascii="Arial" w:hAnsi="Arial"/>
        </w:rPr>
        <w:t xml:space="preserve"> </w:t>
      </w:r>
      <w:r>
        <w:rPr>
          <w:rFonts w:cs="Arial" w:ascii="Arial" w:hAnsi="Arial"/>
        </w:rPr>
        <w:t xml:space="preserve">Environmental, Political and Technological actors were chosen, as they have the most direct impact on BHP's path to lower carbon mining. All of these environmental pressures drive up demand for lower emissions, and political and regulatory changes provide compliance obligations and carbon risks (Shui et al., 2025). The potential for implementing ETAC depends on technological development. </w:t>
      </w:r>
    </w:p>
    <w:p>
      <w:pPr>
        <w:pStyle w:val="Heading3"/>
        <w:rPr>
          <w:rFonts w:ascii="Arial" w:hAnsi="Arial" w:cs="Arial"/>
        </w:rPr>
      </w:pPr>
      <w:bookmarkStart w:id="16" w:name="_Toc242289476"/>
      <w:bookmarkStart w:id="17" w:name="_mz3yrsjfb2vc"/>
      <w:bookmarkEnd w:id="17"/>
      <w:r>
        <w:rPr>
          <w:rFonts w:cs="Arial" w:ascii="Arial" w:hAnsi="Arial"/>
        </w:rPr>
        <w:t>3.1.3 Rationale for Selecting the Growth and Competitive Strategies</w:t>
      </w:r>
      <w:bookmarkEnd w:id="16"/>
    </w:p>
    <w:p>
      <w:pPr>
        <w:pStyle w:val="Normal"/>
        <w:rPr>
          <w:rFonts w:ascii="Arial" w:hAnsi="Arial" w:cs="Arial"/>
          <w:b/>
          <w:bCs/>
        </w:rPr>
      </w:pPr>
      <w:r>
        <w:rPr>
          <w:rFonts w:cs="Arial" w:ascii="Arial" w:hAnsi="Arial"/>
        </w:rPr>
        <w:t xml:space="preserve"> </w:t>
      </w:r>
      <w:r>
        <w:rPr>
          <w:rFonts w:cs="Arial" w:ascii="Arial" w:hAnsi="Arial"/>
        </w:rPr>
        <w:t>In the Ansoff matrix, I have chosen the Product Development option as BHP already has all the resources and expertise in mining, have customer relationships and use their copper resources to create lower-emission products. Differentiation under Porter’s approach goes hand in hand here, and focuses on certificates of environmental characteristics, traceability, and lower carbon production. These approaches align with BHP's current resources and opportunities and with the environmental and regulatory pressures observed in the analysis.</w:t>
      </w:r>
    </w:p>
    <w:p>
      <w:pPr>
        <w:pStyle w:val="Heading2"/>
        <w:rPr>
          <w:rFonts w:ascii="Arial" w:hAnsi="Arial" w:cs="Arial"/>
        </w:rPr>
      </w:pPr>
      <w:bookmarkStart w:id="18" w:name="_Toc242289477"/>
      <w:r>
        <w:rPr>
          <w:rFonts w:cs="Arial" w:ascii="Arial" w:hAnsi="Arial"/>
        </w:rPr>
        <w:t>3.2 Limitations and Future Information Needs</w:t>
      </w:r>
      <w:bookmarkEnd w:id="18"/>
    </w:p>
    <w:p>
      <w:pPr>
        <w:pStyle w:val="Normal"/>
        <w:rPr>
          <w:rFonts w:ascii="Arial" w:hAnsi="Arial" w:cs="Arial"/>
        </w:rPr>
      </w:pPr>
      <w:r>
        <w:rPr>
          <w:rFonts w:cs="Arial" w:ascii="Arial" w:hAnsi="Arial"/>
          <w:b/>
          <w:bCs/>
        </w:rPr>
        <w:t xml:space="preserve">Acknowledge Data Gaps: </w:t>
      </w:r>
      <w:r>
        <w:rPr>
          <w:rFonts w:cs="Arial" w:ascii="Arial" w:hAnsi="Arial"/>
        </w:rPr>
        <w:t xml:space="preserve">The analysis was inevitably hampered by several limitations in the available data as an external consultant. In the case of BHP, firstly, there was no access to BHP's internal R&amp;D budgets, which made it hard to establish the precise financial resources invested in low-carbon technologies and product development. Secondly, empirical data on how much ‘green premium’ can really be achieved was not available. This hinders the ability to understand the value that may be achieved from lower-carbon copper and what premium may be possible for B2B customers. Third, there was no detailed assessment of customer commitments, supplier relationships and commercial terms available due to confidentiality issues for the contracts within the supply chain. </w:t>
      </w:r>
    </w:p>
    <w:p>
      <w:pPr>
        <w:pStyle w:val="Normal"/>
        <w:rPr>
          <w:rFonts w:ascii="Arial" w:hAnsi="Arial" w:cs="Arial"/>
        </w:rPr>
      </w:pPr>
      <w:r>
        <w:rPr>
          <w:rFonts w:cs="Arial" w:ascii="Arial" w:hAnsi="Arial"/>
          <w:b/>
          <w:bCs/>
        </w:rPr>
        <w:t xml:space="preserve">Future Action: </w:t>
      </w:r>
      <w:r>
        <w:rPr>
          <w:rFonts w:cs="Arial" w:ascii="Arial" w:hAnsi="Arial"/>
        </w:rPr>
        <w:t xml:space="preserve">A detailed primary resource audit of BHP's financial, technological, operational and human resources would be the next step in making these recommendations to the board. This could also indicate whether the company has the capabilities and investment ability to invest in the lower carbon production of copper. Further, a detailed analysis of the reactions of major mining competitors should be carried out as competitors may attempt similar technologies, or certifications or lower-carbon products. The analysis also needs to take into account when the customers are willing to pay a “green price” and how the market demand might shift. </w:t>
      </w:r>
    </w:p>
    <w:p>
      <w:pPr>
        <w:pStyle w:val="Normal"/>
        <w:rPr>
          <w:rFonts w:ascii="Arial" w:hAnsi="Arial" w:cs="Arial"/>
        </w:rPr>
      </w:pPr>
      <w:r>
        <w:rPr>
          <w:rFonts w:cs="Arial" w:ascii="Arial" w:hAnsi="Arial"/>
        </w:rPr>
      </w:r>
      <w:r>
        <w:br w:type="page"/>
      </w:r>
    </w:p>
    <w:p>
      <w:pPr>
        <w:pStyle w:val="Heading1"/>
        <w:spacing w:before="0" w:after="0"/>
        <w:rPr>
          <w:rFonts w:ascii="Arial" w:hAnsi="Arial" w:cs="Arial"/>
        </w:rPr>
      </w:pPr>
      <w:bookmarkStart w:id="19" w:name="_Toc242289478"/>
      <w:r>
        <w:rPr>
          <w:rFonts w:cs="Arial" w:ascii="Arial" w:hAnsi="Arial"/>
        </w:rPr>
        <w:t>References</w:t>
      </w:r>
      <w:bookmarkEnd w:id="19"/>
    </w:p>
    <w:p>
      <w:pPr>
        <w:pStyle w:val="Normal"/>
        <w:rPr>
          <w:rFonts w:ascii="Arial" w:hAnsi="Arial" w:cs="Arial"/>
        </w:rPr>
      </w:pPr>
      <w:r>
        <w:rPr>
          <w:rFonts w:cs="Arial" w:ascii="Arial" w:hAnsi="Arial"/>
        </w:rPr>
        <w:t xml:space="preserve">Amran, A., Abbasi, M.A., Foroughi, B. and Tanggamani, V., (2026). ‘Sustainability reporting, corporate reputation, and firm performance: Moderating role of third-party assurance’, </w:t>
      </w:r>
      <w:r>
        <w:rPr>
          <w:rFonts w:cs="Arial" w:ascii="Arial" w:hAnsi="Arial"/>
          <w:i/>
          <w:iCs/>
        </w:rPr>
        <w:t>Corporate Reputation Review</w:t>
      </w:r>
      <w:r>
        <w:rPr>
          <w:rFonts w:cs="Arial" w:ascii="Arial" w:hAnsi="Arial"/>
        </w:rPr>
        <w:t>, 29(2), pp.142–158. Available at:</w:t>
      </w:r>
      <w:hyperlink r:id="rId15">
        <w:r>
          <w:rPr>
            <w:rStyle w:val="Style3"/>
            <w:rFonts w:cs="Arial" w:ascii="Arial" w:hAnsi="Arial"/>
          </w:rPr>
          <w:t xml:space="preserve"> </w:t>
        </w:r>
      </w:hyperlink>
      <w:hyperlink r:id="rId16">
        <w:r>
          <w:rPr>
            <w:rStyle w:val="Style3"/>
            <w:rFonts w:cs="Arial" w:ascii="Arial" w:hAnsi="Arial"/>
            <w:u w:val="single"/>
          </w:rPr>
          <w:t>https://link.springer.com/article/10.1057/s41299-024-00185-3</w:t>
        </w:r>
      </w:hyperlink>
      <w:r>
        <w:rPr>
          <w:rFonts w:cs="Arial" w:ascii="Arial" w:hAnsi="Arial"/>
        </w:rPr>
        <w:t xml:space="preserve"> </w:t>
      </w:r>
    </w:p>
    <w:p>
      <w:pPr>
        <w:pStyle w:val="Normal"/>
        <w:rPr>
          <w:rFonts w:ascii="Arial" w:hAnsi="Arial" w:cs="Arial"/>
        </w:rPr>
      </w:pPr>
      <w:r>
        <w:rPr>
          <w:rFonts w:cs="Arial" w:ascii="Arial" w:hAnsi="Arial"/>
        </w:rPr>
        <w:t xml:space="preserve">BHP (2026). </w:t>
      </w:r>
      <w:r>
        <w:rPr>
          <w:rFonts w:cs="Arial" w:ascii="Arial" w:hAnsi="Arial"/>
          <w:i/>
          <w:iCs/>
        </w:rPr>
        <w:t>Annual report 2026</w:t>
      </w:r>
      <w:r>
        <w:rPr>
          <w:rFonts w:cs="Arial" w:ascii="Arial" w:hAnsi="Arial"/>
        </w:rPr>
        <w:t xml:space="preserve">. [online] BHP. Available at: </w:t>
      </w:r>
      <w:hyperlink r:id="rId17">
        <w:r>
          <w:rPr>
            <w:rStyle w:val="Hyperlink"/>
            <w:rFonts w:cs="Arial" w:ascii="Arial" w:hAnsi="Arial"/>
            <w:color w:themeColor="text1" w:val="000000"/>
          </w:rPr>
          <w:t>https://www.bhp.com/investor-centre/reports-and-presentations/annual-report</w:t>
        </w:r>
      </w:hyperlink>
      <w:r>
        <w:rPr>
          <w:rFonts w:cs="Arial" w:ascii="Arial" w:hAnsi="Arial"/>
        </w:rPr>
        <w:t>.</w:t>
      </w:r>
    </w:p>
    <w:p>
      <w:pPr>
        <w:pStyle w:val="Normal"/>
        <w:rPr>
          <w:rFonts w:ascii="Arial" w:hAnsi="Arial" w:cs="Arial"/>
        </w:rPr>
      </w:pPr>
      <w:r>
        <w:rPr>
          <w:rFonts w:cs="Arial" w:ascii="Arial" w:hAnsi="Arial"/>
        </w:rPr>
        <w:t xml:space="preserve">BHP (2026). </w:t>
      </w:r>
      <w:r>
        <w:rPr>
          <w:rFonts w:cs="Arial" w:ascii="Arial" w:hAnsi="Arial"/>
          <w:i/>
          <w:iCs/>
        </w:rPr>
        <w:t>Copper growth | BHP</w:t>
      </w:r>
      <w:r>
        <w:rPr>
          <w:rFonts w:cs="Arial" w:ascii="Arial" w:hAnsi="Arial"/>
        </w:rPr>
        <w:t xml:space="preserve">. [online] Bhp.com. Available at: </w:t>
      </w:r>
      <w:hyperlink r:id="rId18">
        <w:r>
          <w:rPr>
            <w:rStyle w:val="Hyperlink"/>
            <w:rFonts w:cs="Arial" w:ascii="Arial" w:hAnsi="Arial"/>
            <w:color w:themeColor="text1" w:val="000000"/>
          </w:rPr>
          <w:t>https://www.bhp.com/about/coppergrowth</w:t>
        </w:r>
      </w:hyperlink>
      <w:r>
        <w:rPr>
          <w:rFonts w:cs="Arial" w:ascii="Arial" w:hAnsi="Arial"/>
        </w:rPr>
        <w:t xml:space="preserve">. </w:t>
      </w:r>
    </w:p>
    <w:p>
      <w:pPr>
        <w:pStyle w:val="Normal"/>
        <w:rPr>
          <w:rFonts w:ascii="Arial" w:hAnsi="Arial" w:cs="Arial"/>
        </w:rPr>
      </w:pPr>
      <w:r>
        <w:rPr>
          <w:rFonts w:cs="Arial" w:ascii="Arial" w:hAnsi="Arial"/>
        </w:rPr>
        <w:t xml:space="preserve">BHP, (2026b). </w:t>
      </w:r>
      <w:r>
        <w:rPr>
          <w:rFonts w:cs="Arial" w:ascii="Arial" w:hAnsi="Arial"/>
          <w:i/>
          <w:iCs/>
        </w:rPr>
        <w:t>Climate-related physical risk and adaptation</w:t>
      </w:r>
      <w:r>
        <w:rPr>
          <w:rFonts w:cs="Arial" w:ascii="Arial" w:hAnsi="Arial"/>
        </w:rPr>
        <w:t>. BHP. Available at:</w:t>
      </w:r>
      <w:hyperlink r:id="rId19">
        <w:r>
          <w:rPr>
            <w:rStyle w:val="Style3"/>
            <w:rFonts w:cs="Arial" w:ascii="Arial" w:hAnsi="Arial"/>
          </w:rPr>
          <w:t xml:space="preserve"> </w:t>
        </w:r>
      </w:hyperlink>
      <w:hyperlink r:id="rId20">
        <w:r>
          <w:rPr>
            <w:rStyle w:val="Style3"/>
            <w:rFonts w:cs="Arial" w:ascii="Arial" w:hAnsi="Arial"/>
            <w:u w:val="single"/>
          </w:rPr>
          <w:t>https://www.bhp.com/sustainability/climate-change/physical-climate-related-risk-and-adaptation</w:t>
        </w:r>
      </w:hyperlink>
      <w:r>
        <w:rPr>
          <w:rFonts w:cs="Arial" w:ascii="Arial" w:hAnsi="Arial"/>
        </w:rPr>
        <w:t xml:space="preserve"> </w:t>
      </w:r>
    </w:p>
    <w:p>
      <w:pPr>
        <w:pStyle w:val="Normal"/>
        <w:rPr>
          <w:rFonts w:ascii="Arial" w:hAnsi="Arial" w:cs="Arial"/>
        </w:rPr>
      </w:pPr>
      <w:r>
        <w:rPr>
          <w:rFonts w:cs="Arial" w:ascii="Arial" w:hAnsi="Arial"/>
        </w:rPr>
        <w:t xml:space="preserve">BHP, (2026c). </w:t>
      </w:r>
      <w:r>
        <w:rPr>
          <w:rFonts w:cs="Arial" w:ascii="Arial" w:hAnsi="Arial"/>
          <w:i/>
          <w:iCs/>
        </w:rPr>
        <w:t>Industry-first pilot for lower emissions copper market</w:t>
      </w:r>
      <w:r>
        <w:rPr>
          <w:rFonts w:cs="Arial" w:ascii="Arial" w:hAnsi="Arial"/>
        </w:rPr>
        <w:t>. BHP, 22 September. Available at:</w:t>
      </w:r>
      <w:hyperlink r:id="rId21">
        <w:r>
          <w:rPr>
            <w:rStyle w:val="Style3"/>
            <w:rFonts w:cs="Arial" w:ascii="Arial" w:hAnsi="Arial"/>
          </w:rPr>
          <w:t xml:space="preserve"> </w:t>
        </w:r>
      </w:hyperlink>
      <w:hyperlink r:id="rId22">
        <w:r>
          <w:rPr>
            <w:rStyle w:val="Style3"/>
            <w:rFonts w:cs="Arial" w:ascii="Arial" w:hAnsi="Arial"/>
            <w:u w:val="single"/>
          </w:rPr>
          <w:t>https://www.bhp.com/news/media-centre/releases/2026/09/industry-first-pilot-for-lower-emissions-copper-market</w:t>
        </w:r>
      </w:hyperlink>
      <w:r>
        <w:rPr>
          <w:rFonts w:cs="Arial" w:ascii="Arial" w:hAnsi="Arial"/>
        </w:rPr>
        <w:t xml:space="preserve"> </w:t>
      </w:r>
    </w:p>
    <w:p>
      <w:pPr>
        <w:pStyle w:val="Normal"/>
        <w:rPr>
          <w:rFonts w:ascii="Arial" w:hAnsi="Arial" w:cs="Arial"/>
        </w:rPr>
      </w:pPr>
      <w:r>
        <w:rPr>
          <w:rFonts w:cs="Arial" w:ascii="Arial" w:hAnsi="Arial"/>
        </w:rPr>
        <w:t xml:space="preserve">BHP, (2026e). </w:t>
      </w:r>
      <w:r>
        <w:rPr>
          <w:rFonts w:cs="Arial" w:ascii="Arial" w:hAnsi="Arial"/>
          <w:i/>
          <w:iCs/>
        </w:rPr>
        <w:t>Copper</w:t>
      </w:r>
      <w:r>
        <w:rPr>
          <w:rFonts w:cs="Arial" w:ascii="Arial" w:hAnsi="Arial"/>
        </w:rPr>
        <w:t>. BHP. Available at:</w:t>
      </w:r>
      <w:hyperlink r:id="rId23">
        <w:r>
          <w:rPr>
            <w:rStyle w:val="Style3"/>
            <w:rFonts w:cs="Arial" w:ascii="Arial" w:hAnsi="Arial"/>
          </w:rPr>
          <w:t xml:space="preserve"> </w:t>
        </w:r>
      </w:hyperlink>
      <w:hyperlink r:id="rId24">
        <w:r>
          <w:rPr>
            <w:rStyle w:val="Style3"/>
            <w:rFonts w:cs="Arial" w:ascii="Arial" w:hAnsi="Arial"/>
            <w:u w:val="single"/>
          </w:rPr>
          <w:t>https://www.bhp.com/what-we-do/products/copper</w:t>
        </w:r>
      </w:hyperlink>
      <w:r>
        <w:rPr>
          <w:rFonts w:cs="Arial" w:ascii="Arial" w:hAnsi="Arial"/>
        </w:rPr>
        <w:t xml:space="preserve"> </w:t>
      </w:r>
    </w:p>
    <w:p>
      <w:pPr>
        <w:pStyle w:val="Normal"/>
        <w:rPr>
          <w:rFonts w:ascii="Arial" w:hAnsi="Arial" w:cs="Arial"/>
        </w:rPr>
      </w:pPr>
      <w:r>
        <w:rPr>
          <w:rFonts w:cs="Arial" w:ascii="Arial" w:hAnsi="Arial"/>
        </w:rPr>
        <w:t xml:space="preserve">BHP, (2026f). </w:t>
      </w:r>
      <w:r>
        <w:rPr>
          <w:rFonts w:cs="Arial" w:ascii="Arial" w:hAnsi="Arial"/>
          <w:i/>
          <w:iCs/>
        </w:rPr>
        <w:t>Economic and commodity outlook</w:t>
      </w:r>
      <w:r>
        <w:rPr>
          <w:rFonts w:cs="Arial" w:ascii="Arial" w:hAnsi="Arial"/>
        </w:rPr>
        <w:t>. BHP, 18 August. Available at:</w:t>
      </w:r>
      <w:hyperlink r:id="rId25">
        <w:r>
          <w:rPr>
            <w:rStyle w:val="Style3"/>
            <w:rFonts w:cs="Arial" w:ascii="Arial" w:hAnsi="Arial"/>
          </w:rPr>
          <w:t xml:space="preserve"> </w:t>
        </w:r>
      </w:hyperlink>
      <w:hyperlink r:id="rId26">
        <w:r>
          <w:rPr>
            <w:rStyle w:val="Style3"/>
            <w:rFonts w:cs="Arial" w:ascii="Arial" w:hAnsi="Arial"/>
            <w:u w:val="single"/>
          </w:rPr>
          <w:t>https://www.bhp.com/investor-centre/reports-and-presentations/economic-and-commodity-outlook/2026/08/economic-and-commodity-outlook</w:t>
        </w:r>
      </w:hyperlink>
      <w:r>
        <w:rPr>
          <w:rFonts w:cs="Arial" w:ascii="Arial" w:hAnsi="Arial"/>
        </w:rPr>
        <w:t xml:space="preserve"> </w:t>
      </w:r>
    </w:p>
    <w:p>
      <w:pPr>
        <w:pStyle w:val="Normal"/>
        <w:rPr>
          <w:rFonts w:ascii="Arial" w:hAnsi="Arial" w:cs="Arial"/>
        </w:rPr>
      </w:pPr>
      <w:r>
        <w:rPr>
          <w:rFonts w:cs="Arial" w:ascii="Arial" w:hAnsi="Arial"/>
        </w:rPr>
        <w:t xml:space="preserve">BHP, (2026g). </w:t>
      </w:r>
      <w:r>
        <w:rPr>
          <w:rFonts w:cs="Arial" w:ascii="Arial" w:hAnsi="Arial"/>
          <w:i/>
          <w:iCs/>
        </w:rPr>
        <w:t>Physical climate-related risk and adaptation</w:t>
      </w:r>
      <w:r>
        <w:rPr>
          <w:rFonts w:cs="Arial" w:ascii="Arial" w:hAnsi="Arial"/>
        </w:rPr>
        <w:t>. BHP. Available at:</w:t>
      </w:r>
      <w:hyperlink r:id="rId27">
        <w:r>
          <w:rPr>
            <w:rStyle w:val="Style3"/>
            <w:rFonts w:cs="Arial" w:ascii="Arial" w:hAnsi="Arial"/>
          </w:rPr>
          <w:t xml:space="preserve"> </w:t>
        </w:r>
      </w:hyperlink>
      <w:hyperlink r:id="rId28">
        <w:r>
          <w:rPr>
            <w:rStyle w:val="Style3"/>
            <w:rFonts w:cs="Arial" w:ascii="Arial" w:hAnsi="Arial"/>
            <w:u w:val="single"/>
          </w:rPr>
          <w:t>https://www.bhp.com/sustainability/climate-change/physical-climate-related-risk-and-adaptation</w:t>
        </w:r>
      </w:hyperlink>
      <w:r>
        <w:rPr>
          <w:rFonts w:cs="Arial" w:ascii="Arial" w:hAnsi="Arial"/>
        </w:rPr>
        <w:t xml:space="preserve"> </w:t>
      </w:r>
    </w:p>
    <w:p>
      <w:pPr>
        <w:pStyle w:val="Normal"/>
        <w:rPr>
          <w:rFonts w:ascii="Arial" w:hAnsi="Arial" w:cs="Arial"/>
        </w:rPr>
      </w:pPr>
      <w:r>
        <w:rPr>
          <w:rFonts w:cs="Arial" w:ascii="Arial" w:hAnsi="Arial"/>
        </w:rPr>
        <w:t xml:space="preserve">Codelco, (2026). </w:t>
      </w:r>
      <w:r>
        <w:rPr>
          <w:rFonts w:cs="Arial" w:ascii="Arial" w:hAnsi="Arial"/>
          <w:i/>
          <w:iCs/>
        </w:rPr>
        <w:t>Incorporación de agua desalada para disminuir en 27% el uso del recurso continental</w:t>
      </w:r>
      <w:r>
        <w:rPr>
          <w:rFonts w:cs="Arial" w:ascii="Arial" w:hAnsi="Arial"/>
        </w:rPr>
        <w:t>. Corporación Nacional del Cobre de Chile. Available at:</w:t>
      </w:r>
      <w:hyperlink r:id="rId29">
        <w:r>
          <w:rPr>
            <w:rStyle w:val="Style3"/>
            <w:rFonts w:cs="Arial" w:ascii="Arial" w:hAnsi="Arial"/>
          </w:rPr>
          <w:t xml:space="preserve"> </w:t>
        </w:r>
      </w:hyperlink>
      <w:hyperlink r:id="rId30">
        <w:r>
          <w:rPr>
            <w:rStyle w:val="Style3"/>
            <w:rFonts w:cs="Arial" w:ascii="Arial" w:hAnsi="Arial"/>
            <w:u w:val="single"/>
          </w:rPr>
          <w:t>https://codelco.com/incorporacion-agua-desalada-para-disminuir-27-el-make-up</w:t>
        </w:r>
      </w:hyperlink>
      <w:r>
        <w:rPr>
          <w:rFonts w:cs="Arial" w:ascii="Arial" w:hAnsi="Arial"/>
        </w:rPr>
        <w:t xml:space="preserve"> </w:t>
      </w:r>
    </w:p>
    <w:p>
      <w:pPr>
        <w:pStyle w:val="Normal"/>
        <w:rPr>
          <w:rFonts w:ascii="Arial" w:hAnsi="Arial" w:cs="Arial"/>
        </w:rPr>
      </w:pPr>
      <w:r>
        <w:rPr>
          <w:rFonts w:cs="Arial" w:ascii="Arial" w:hAnsi="Arial"/>
        </w:rPr>
        <w:t xml:space="preserve">European Commission, (2026a). </w:t>
      </w:r>
      <w:r>
        <w:rPr>
          <w:rFonts w:cs="Arial" w:ascii="Arial" w:hAnsi="Arial"/>
          <w:i/>
          <w:iCs/>
        </w:rPr>
        <w:t>CBAM definitive regime</w:t>
      </w:r>
      <w:r>
        <w:rPr>
          <w:rFonts w:cs="Arial" w:ascii="Arial" w:hAnsi="Arial"/>
        </w:rPr>
        <w:t>. Taxation and Customs Union. Available at:</w:t>
      </w:r>
      <w:hyperlink r:id="rId31">
        <w:r>
          <w:rPr>
            <w:rStyle w:val="Style3"/>
            <w:rFonts w:cs="Arial" w:ascii="Arial" w:hAnsi="Arial"/>
          </w:rPr>
          <w:t xml:space="preserve"> </w:t>
        </w:r>
      </w:hyperlink>
      <w:hyperlink r:id="rId32">
        <w:r>
          <w:rPr>
            <w:rStyle w:val="Style3"/>
            <w:rFonts w:cs="Arial" w:ascii="Arial" w:hAnsi="Arial"/>
            <w:u w:val="single"/>
          </w:rPr>
          <w:t>https://taxation-customs.ec.europa.eu/carbon-border-adjustment-mechanism/cbam-definitive-regime_en</w:t>
        </w:r>
      </w:hyperlink>
      <w:r>
        <w:rPr>
          <w:rFonts w:cs="Arial" w:ascii="Arial" w:hAnsi="Arial"/>
        </w:rPr>
        <w:t xml:space="preserve"> </w:t>
      </w:r>
    </w:p>
    <w:p>
      <w:pPr>
        <w:pStyle w:val="Normal"/>
        <w:rPr>
          <w:rFonts w:ascii="Arial" w:hAnsi="Arial" w:cs="Arial"/>
        </w:rPr>
      </w:pPr>
      <w:r>
        <w:rPr>
          <w:rFonts w:cs="Arial" w:ascii="Arial" w:hAnsi="Arial"/>
        </w:rPr>
        <w:t xml:space="preserve">European Commission, (2026b). </w:t>
      </w:r>
      <w:r>
        <w:rPr>
          <w:rFonts w:cs="Arial" w:ascii="Arial" w:hAnsi="Arial"/>
          <w:i/>
          <w:iCs/>
        </w:rPr>
        <w:t>Price of CBAM certificates</w:t>
      </w:r>
      <w:r>
        <w:rPr>
          <w:rFonts w:cs="Arial" w:ascii="Arial" w:hAnsi="Arial"/>
        </w:rPr>
        <w:t>. Taxation and Customs Union. Available at:</w:t>
      </w:r>
      <w:hyperlink r:id="rId33">
        <w:r>
          <w:rPr>
            <w:rStyle w:val="Style3"/>
            <w:rFonts w:cs="Arial" w:ascii="Arial" w:hAnsi="Arial"/>
          </w:rPr>
          <w:t xml:space="preserve"> </w:t>
        </w:r>
      </w:hyperlink>
      <w:hyperlink r:id="rId34">
        <w:r>
          <w:rPr>
            <w:rStyle w:val="Style3"/>
            <w:rFonts w:cs="Arial" w:ascii="Arial" w:hAnsi="Arial"/>
            <w:u w:val="single"/>
          </w:rPr>
          <w:t>https://taxation-customs.ec.europa.eu/carbon-border-adjustment-mechanism/price-cbam-certificates_en</w:t>
        </w:r>
      </w:hyperlink>
      <w:r>
        <w:rPr>
          <w:rFonts w:cs="Arial" w:ascii="Arial" w:hAnsi="Arial"/>
        </w:rPr>
        <w:t xml:space="preserve"> </w:t>
      </w:r>
    </w:p>
    <w:p>
      <w:pPr>
        <w:pStyle w:val="Normal"/>
        <w:rPr>
          <w:rFonts w:ascii="Arial" w:hAnsi="Arial" w:cs="Arial"/>
        </w:rPr>
      </w:pPr>
      <w:r>
        <w:rPr>
          <w:rFonts w:cs="Arial" w:ascii="Arial" w:hAnsi="Arial"/>
        </w:rPr>
        <w:t xml:space="preserve">Farrell, S. and Whitton, L. (2024). </w:t>
      </w:r>
      <w:r>
        <w:rPr>
          <w:rFonts w:cs="Arial" w:ascii="Arial" w:hAnsi="Arial"/>
          <w:i/>
          <w:iCs/>
        </w:rPr>
        <w:t>BHP insights: How copper will shape our future</w:t>
      </w:r>
      <w:r>
        <w:rPr>
          <w:rFonts w:cs="Arial" w:ascii="Arial" w:hAnsi="Arial"/>
        </w:rPr>
        <w:t>. [online] Bhp.com. Available at: https://www.bhp.com/news/bhp-insights/2024/09/how-copper-will-shape-our-future.</w:t>
      </w:r>
    </w:p>
    <w:p>
      <w:pPr>
        <w:pStyle w:val="Normal"/>
        <w:rPr>
          <w:rFonts w:ascii="Arial" w:hAnsi="Arial" w:cs="Arial"/>
        </w:rPr>
      </w:pPr>
      <w:r>
        <w:rPr>
          <w:rFonts w:cs="Arial" w:ascii="Arial" w:hAnsi="Arial"/>
        </w:rPr>
        <w:t xml:space="preserve">Gasimov, F., Williams, R.A. and Krishanan, M.G., (2025). ‘Key pathways towards sustainable processing of critical minerals’, </w:t>
      </w:r>
      <w:r>
        <w:rPr>
          <w:rFonts w:cs="Arial" w:ascii="Arial" w:hAnsi="Arial"/>
          <w:i/>
          <w:iCs/>
        </w:rPr>
        <w:t>Minerals Engineering</w:t>
      </w:r>
      <w:r>
        <w:rPr>
          <w:rFonts w:cs="Arial" w:ascii="Arial" w:hAnsi="Arial"/>
        </w:rPr>
        <w:t>, 233, p.109644. Available at:</w:t>
      </w:r>
      <w:hyperlink r:id="rId35">
        <w:r>
          <w:rPr>
            <w:rStyle w:val="Style3"/>
            <w:rFonts w:cs="Arial" w:ascii="Arial" w:hAnsi="Arial"/>
          </w:rPr>
          <w:t xml:space="preserve"> </w:t>
        </w:r>
      </w:hyperlink>
      <w:hyperlink r:id="rId36">
        <w:r>
          <w:rPr>
            <w:rStyle w:val="Style3"/>
            <w:rFonts w:cs="Arial" w:ascii="Arial" w:hAnsi="Arial"/>
            <w:u w:val="single"/>
          </w:rPr>
          <w:t>https://www.sciencedirect.com/science/article/pii/S0892687525004728</w:t>
        </w:r>
      </w:hyperlink>
      <w:r>
        <w:rPr>
          <w:rFonts w:cs="Arial" w:ascii="Arial" w:hAnsi="Arial"/>
        </w:rPr>
        <w:t xml:space="preserve"> </w:t>
      </w:r>
    </w:p>
    <w:p>
      <w:pPr>
        <w:pStyle w:val="Normal"/>
        <w:rPr>
          <w:rFonts w:ascii="Arial" w:hAnsi="Arial" w:cs="Arial"/>
        </w:rPr>
      </w:pPr>
      <w:r>
        <w:rPr>
          <w:rFonts w:cs="Arial" w:ascii="Arial" w:hAnsi="Arial"/>
        </w:rPr>
        <w:t xml:space="preserve">Gleeson, D. (2026). </w:t>
      </w:r>
      <w:r>
        <w:rPr>
          <w:rFonts w:cs="Arial" w:ascii="Arial" w:hAnsi="Arial"/>
          <w:i/>
          <w:iCs/>
        </w:rPr>
        <w:t>BHP, Amazon establish ‘industry-first’ pilot for lower emissions copper market</w:t>
      </w:r>
      <w:r>
        <w:rPr>
          <w:rFonts w:cs="Arial" w:ascii="Arial" w:hAnsi="Arial"/>
        </w:rPr>
        <w:t xml:space="preserve">. [online] International Mining. Available at: </w:t>
      </w:r>
      <w:hyperlink r:id="rId37">
        <w:r>
          <w:rPr>
            <w:rStyle w:val="Hyperlink"/>
            <w:rFonts w:cs="Arial" w:ascii="Arial" w:hAnsi="Arial"/>
            <w:color w:themeColor="text1" w:val="000000"/>
          </w:rPr>
          <w:t>https://im-mining.com/2026/09/23/bhp-amazon-establish-industry-first-pilot-for-lower-emissions-copper-market/</w:t>
        </w:r>
      </w:hyperlink>
      <w:r>
        <w:rPr>
          <w:rFonts w:cs="Arial" w:ascii="Arial" w:hAnsi="Arial"/>
        </w:rPr>
        <w:t xml:space="preserve">. </w:t>
      </w:r>
    </w:p>
    <w:p>
      <w:pPr>
        <w:pStyle w:val="Normal"/>
        <w:rPr>
          <w:rFonts w:ascii="Arial" w:hAnsi="Arial" w:cs="Arial"/>
        </w:rPr>
      </w:pPr>
      <w:r>
        <w:rPr>
          <w:rFonts w:cs="Arial" w:ascii="Arial" w:hAnsi="Arial"/>
        </w:rPr>
        <w:t xml:space="preserve">IEA (2026). </w:t>
      </w:r>
      <w:r>
        <w:rPr>
          <w:rFonts w:cs="Arial" w:ascii="Arial" w:hAnsi="Arial"/>
          <w:i/>
          <w:iCs/>
        </w:rPr>
        <w:t>CO2 emissions – global energy review 2026 – analysis - IEA</w:t>
      </w:r>
      <w:r>
        <w:rPr>
          <w:rFonts w:cs="Arial" w:ascii="Arial" w:hAnsi="Arial"/>
        </w:rPr>
        <w:t xml:space="preserve">. [online] IEA. Available at: </w:t>
      </w:r>
      <w:hyperlink r:id="rId38">
        <w:r>
          <w:rPr>
            <w:rStyle w:val="Hyperlink"/>
            <w:rFonts w:cs="Arial" w:ascii="Arial" w:hAnsi="Arial"/>
            <w:color w:themeColor="text1" w:val="000000"/>
          </w:rPr>
          <w:t>https://www.iea.org/reports/global-energy-review-2026/co2-emissions</w:t>
        </w:r>
      </w:hyperlink>
      <w:r>
        <w:rPr>
          <w:rFonts w:cs="Arial" w:ascii="Arial" w:hAnsi="Arial"/>
        </w:rPr>
        <w:t xml:space="preserve">. </w:t>
      </w:r>
    </w:p>
    <w:p>
      <w:pPr>
        <w:pStyle w:val="Normal"/>
        <w:rPr>
          <w:rFonts w:ascii="Arial" w:hAnsi="Arial" w:cs="Arial"/>
          <w:sz w:val="26"/>
          <w:szCs w:val="26"/>
        </w:rPr>
      </w:pPr>
      <w:r>
        <w:rPr>
          <w:rFonts w:cs="Arial" w:ascii="Arial" w:hAnsi="Arial"/>
          <w:sz w:val="26"/>
          <w:szCs w:val="26"/>
        </w:rPr>
        <w:t>International Energy Agency (IEA) (2023) The Role of Critical Minerals in Clean Energy Transitions. Paris: IEA Publications.</w:t>
      </w:r>
    </w:p>
    <w:p>
      <w:pPr>
        <w:pStyle w:val="Normal"/>
        <w:rPr>
          <w:rFonts w:ascii="Arial" w:hAnsi="Arial" w:cs="Arial"/>
        </w:rPr>
      </w:pPr>
      <w:r>
        <w:rPr>
          <w:rFonts w:cs="Arial" w:ascii="Arial" w:hAnsi="Arial"/>
        </w:rPr>
        <w:t xml:space="preserve">Investing.com, (2026). </w:t>
      </w:r>
      <w:r>
        <w:rPr>
          <w:rFonts w:cs="Arial" w:ascii="Arial" w:hAnsi="Arial"/>
          <w:i/>
          <w:iCs/>
        </w:rPr>
        <w:t>BHP FY2026 slides: copper drives 54% of EBITDA, targets $50bn FCF</w:t>
      </w:r>
      <w:r>
        <w:rPr>
          <w:rFonts w:cs="Arial" w:ascii="Arial" w:hAnsi="Arial"/>
        </w:rPr>
        <w:t>. Investing.com, 18 August. Available at:</w:t>
      </w:r>
      <w:hyperlink r:id="rId39">
        <w:r>
          <w:rPr>
            <w:rStyle w:val="Style3"/>
            <w:rFonts w:cs="Arial" w:ascii="Arial" w:hAnsi="Arial"/>
          </w:rPr>
          <w:t xml:space="preserve"> </w:t>
        </w:r>
      </w:hyperlink>
      <w:hyperlink r:id="rId40">
        <w:r>
          <w:rPr>
            <w:rStyle w:val="Style3"/>
            <w:rFonts w:cs="Arial" w:ascii="Arial" w:hAnsi="Arial"/>
            <w:u w:val="single"/>
          </w:rPr>
          <w:t>https://www.investing.com/news/company-news/bhp-fy2026-slides-copper-drives-54-of-ebitda-targets-50bn-fcf-93CH-4865396</w:t>
        </w:r>
      </w:hyperlink>
      <w:r>
        <w:rPr>
          <w:rFonts w:cs="Arial" w:ascii="Arial" w:hAnsi="Arial"/>
        </w:rPr>
        <w:t xml:space="preserve"> </w:t>
      </w:r>
    </w:p>
    <w:p>
      <w:pPr>
        <w:pStyle w:val="Normal"/>
        <w:rPr>
          <w:rFonts w:ascii="Arial" w:hAnsi="Arial" w:cs="Arial"/>
        </w:rPr>
      </w:pPr>
      <w:r>
        <w:rPr>
          <w:rFonts w:cs="Arial" w:ascii="Arial" w:hAnsi="Arial"/>
        </w:rPr>
        <w:t xml:space="preserve">Juusela, M., (2026). </w:t>
      </w:r>
      <w:r>
        <w:rPr>
          <w:rFonts w:cs="Arial" w:ascii="Arial" w:hAnsi="Arial"/>
          <w:i/>
          <w:iCs/>
        </w:rPr>
        <w:t>Investment decision-making in international B2B projects: A case study on key drivers of customer decision-making in B2B project sales in the mining industry</w:t>
      </w:r>
      <w:r>
        <w:rPr>
          <w:rFonts w:cs="Arial" w:ascii="Arial" w:hAnsi="Arial"/>
        </w:rPr>
        <w:t>. University of Vaasa. Available at:</w:t>
      </w:r>
      <w:hyperlink r:id="rId41">
        <w:r>
          <w:rPr>
            <w:rStyle w:val="Style3"/>
            <w:rFonts w:cs="Arial" w:ascii="Arial" w:hAnsi="Arial"/>
          </w:rPr>
          <w:t xml:space="preserve"> </w:t>
        </w:r>
      </w:hyperlink>
      <w:hyperlink r:id="rId42">
        <w:r>
          <w:rPr>
            <w:rStyle w:val="Style3"/>
            <w:rFonts w:cs="Arial" w:ascii="Arial" w:hAnsi="Arial"/>
            <w:u w:val="single"/>
          </w:rPr>
          <w:t>https://osuva.uwasa.fi/items/7e6dd491-0b6d-4265-8d06-fac26a6c3ef4</w:t>
        </w:r>
      </w:hyperlink>
      <w:r>
        <w:rPr>
          <w:rFonts w:cs="Arial" w:ascii="Arial" w:hAnsi="Arial"/>
        </w:rPr>
        <w:t xml:space="preserve"> </w:t>
      </w:r>
    </w:p>
    <w:p>
      <w:pPr>
        <w:pStyle w:val="Normal"/>
        <w:rPr>
          <w:rFonts w:ascii="Arial" w:hAnsi="Arial" w:cs="Arial"/>
        </w:rPr>
      </w:pPr>
      <w:r>
        <w:rPr>
          <w:rFonts w:cs="Arial" w:ascii="Arial" w:hAnsi="Arial"/>
        </w:rPr>
        <w:t xml:space="preserve">Kalkine Media, (2026). </w:t>
      </w:r>
      <w:r>
        <w:rPr>
          <w:rFonts w:cs="Arial" w:ascii="Arial" w:hAnsi="Arial"/>
          <w:i/>
          <w:iCs/>
        </w:rPr>
        <w:t>BHP (ASX:BHP): Battery-Electric Haul Truck Trials Begin in the Pilbara</w:t>
      </w:r>
      <w:r>
        <w:rPr>
          <w:rFonts w:cs="Arial" w:ascii="Arial" w:hAnsi="Arial"/>
        </w:rPr>
        <w:t>. Kalkine. Available at:</w:t>
      </w:r>
      <w:hyperlink r:id="rId43">
        <w:r>
          <w:rPr>
            <w:rStyle w:val="Style3"/>
            <w:rFonts w:cs="Arial" w:ascii="Arial" w:hAnsi="Arial"/>
          </w:rPr>
          <w:t xml:space="preserve"> </w:t>
        </w:r>
      </w:hyperlink>
      <w:hyperlink r:id="rId44">
        <w:r>
          <w:rPr>
            <w:rStyle w:val="Style3"/>
            <w:rFonts w:cs="Arial" w:ascii="Arial" w:hAnsi="Arial"/>
            <w:u w:val="single"/>
          </w:rPr>
          <w:t>https://kalkine.com.au/news/blue-chip-stocks/bhp-asxbhp-battery-electric-haul-truck-trials-begin-in-the-pilbara</w:t>
        </w:r>
      </w:hyperlink>
      <w:r>
        <w:rPr>
          <w:rFonts w:cs="Arial" w:ascii="Arial" w:hAnsi="Arial"/>
        </w:rPr>
        <w:t xml:space="preserve"> </w:t>
      </w:r>
    </w:p>
    <w:p>
      <w:pPr>
        <w:pStyle w:val="Normal"/>
        <w:rPr>
          <w:rFonts w:ascii="Arial" w:hAnsi="Arial" w:cs="Arial"/>
        </w:rPr>
      </w:pPr>
      <w:r>
        <w:rPr>
          <w:rFonts w:cs="Arial" w:ascii="Arial" w:hAnsi="Arial"/>
        </w:rPr>
        <w:t xml:space="preserve">Periwal, N., (2026). </w:t>
      </w:r>
      <w:r>
        <w:rPr>
          <w:rFonts w:cs="Arial" w:ascii="Arial" w:hAnsi="Arial"/>
          <w:i/>
          <w:iCs/>
        </w:rPr>
        <w:t>Copper emerges largest contributor for BHP’s EBITDA in fiscal 2026</w:t>
      </w:r>
      <w:r>
        <w:rPr>
          <w:rFonts w:cs="Arial" w:ascii="Arial" w:hAnsi="Arial"/>
        </w:rPr>
        <w:t>. The Economic Times, 20 August. Available at:</w:t>
      </w:r>
      <w:hyperlink r:id="rId45">
        <w:r>
          <w:rPr>
            <w:rStyle w:val="Style3"/>
            <w:rFonts w:cs="Arial" w:ascii="Arial" w:hAnsi="Arial"/>
          </w:rPr>
          <w:t xml:space="preserve"> </w:t>
        </w:r>
      </w:hyperlink>
      <w:hyperlink r:id="rId46">
        <w:r>
          <w:rPr>
            <w:rStyle w:val="Style3"/>
            <w:rFonts w:cs="Arial" w:ascii="Arial" w:hAnsi="Arial"/>
            <w:u w:val="single"/>
          </w:rPr>
          <w:t>https://economictimes.indiatimes.com/industry/indl-goods/svs/metals-mining/copper-emerges-largest-contributor-for-bhps-ebitda-in-fiscal-2026/articleshow/133370634.cms?from=mdr</w:t>
        </w:r>
      </w:hyperlink>
      <w:r>
        <w:rPr>
          <w:rFonts w:cs="Arial" w:ascii="Arial" w:hAnsi="Arial"/>
        </w:rPr>
        <w:t xml:space="preserve"> </w:t>
      </w:r>
    </w:p>
    <w:p>
      <w:pPr>
        <w:pStyle w:val="Normal"/>
        <w:rPr>
          <w:rFonts w:ascii="Arial" w:hAnsi="Arial" w:cs="Arial"/>
        </w:rPr>
      </w:pPr>
      <w:r>
        <w:rPr>
          <w:rFonts w:cs="Arial" w:ascii="Arial" w:hAnsi="Arial"/>
        </w:rPr>
        <w:t xml:space="preserve">Shui, X., Zhang, M., Wang, Y. and Smart, P., (2025). ‘Do climate change regulatory pressures increase corporate environmental sustainability performance? The moderating roles of foreign market exposure and industry carbon intensity’, </w:t>
      </w:r>
      <w:r>
        <w:rPr>
          <w:rFonts w:cs="Arial" w:ascii="Arial" w:hAnsi="Arial"/>
          <w:i/>
          <w:iCs/>
        </w:rPr>
        <w:t>British Journal of Management</w:t>
      </w:r>
      <w:r>
        <w:rPr>
          <w:rFonts w:cs="Arial" w:ascii="Arial" w:hAnsi="Arial"/>
        </w:rPr>
        <w:t>, 36(1), pp.223–239. Available at:</w:t>
      </w:r>
      <w:hyperlink r:id="rId47">
        <w:r>
          <w:rPr>
            <w:rStyle w:val="Style3"/>
            <w:rFonts w:cs="Arial" w:ascii="Arial" w:hAnsi="Arial"/>
          </w:rPr>
          <w:t xml:space="preserve"> </w:t>
        </w:r>
      </w:hyperlink>
      <w:hyperlink r:id="rId48">
        <w:r>
          <w:rPr>
            <w:rStyle w:val="Style3"/>
            <w:rFonts w:cs="Arial" w:ascii="Arial" w:hAnsi="Arial"/>
            <w:u w:val="single"/>
          </w:rPr>
          <w:t>https://onlinelibrary.wiley.com/doi/abs/10.1111/1467-8551.12841</w:t>
        </w:r>
      </w:hyperlink>
      <w:r>
        <w:rPr>
          <w:rFonts w:cs="Arial" w:ascii="Arial" w:hAnsi="Arial"/>
        </w:rPr>
        <w:t xml:space="preserve"> </w:t>
      </w:r>
    </w:p>
    <w:p>
      <w:pPr>
        <w:pStyle w:val="Normal"/>
        <w:rPr>
          <w:rFonts w:ascii="Arial" w:hAnsi="Arial" w:cs="Arial"/>
        </w:rPr>
      </w:pPr>
      <w:r>
        <w:rPr>
          <w:rFonts w:cs="Arial" w:ascii="Arial" w:hAnsi="Arial"/>
        </w:rPr>
        <w:t xml:space="preserve">StockTitan, (2026). </w:t>
      </w:r>
      <w:r>
        <w:rPr>
          <w:rFonts w:cs="Arial" w:ascii="Arial" w:hAnsi="Arial"/>
          <w:i/>
          <w:iCs/>
        </w:rPr>
        <w:t>BHP boosts copper role and declares HY2026 dividend</w:t>
      </w:r>
      <w:r>
        <w:rPr>
          <w:rFonts w:cs="Arial" w:ascii="Arial" w:hAnsi="Arial"/>
        </w:rPr>
        <w:t>. StockTitan, 17 February. Available at:</w:t>
      </w:r>
      <w:hyperlink r:id="rId49">
        <w:r>
          <w:rPr>
            <w:rStyle w:val="Style3"/>
            <w:rFonts w:cs="Arial" w:ascii="Arial" w:hAnsi="Arial"/>
          </w:rPr>
          <w:t xml:space="preserve"> </w:t>
        </w:r>
      </w:hyperlink>
      <w:hyperlink r:id="rId50">
        <w:r>
          <w:rPr>
            <w:rStyle w:val="Style3"/>
            <w:rFonts w:cs="Arial" w:ascii="Arial" w:hAnsi="Arial"/>
            <w:u w:val="single"/>
          </w:rPr>
          <w:t>https://www.stocktitan.net/sec-filings/BHP/6-k-bhp-group-ltd-current-report-foreign-issuer-9d70c537a323.html</w:t>
        </w:r>
      </w:hyperlink>
      <w:r>
        <w:rPr>
          <w:rFonts w:cs="Arial" w:ascii="Arial" w:hAnsi="Arial"/>
        </w:rPr>
        <w:t xml:space="preserve"> </w:t>
      </w:r>
    </w:p>
    <w:p>
      <w:pPr>
        <w:pStyle w:val="Normal"/>
        <w:rPr>
          <w:rFonts w:ascii="Arial" w:hAnsi="Arial" w:cs="Arial"/>
        </w:rPr>
      </w:pPr>
      <w:r>
        <w:rPr>
          <w:rFonts w:cs="Arial" w:ascii="Arial" w:hAnsi="Arial"/>
        </w:rPr>
        <w:t xml:space="preserve">Sun, J., (2025). </w:t>
      </w:r>
      <w:r>
        <w:rPr>
          <w:rFonts w:cs="Arial" w:ascii="Arial" w:hAnsi="Arial"/>
          <w:i/>
          <w:iCs/>
        </w:rPr>
        <w:t>The CSR practices of Western Australian mining based on innovation ecosystems: Pathways to collaborative innovation and sustainable development</w:t>
      </w:r>
      <w:r>
        <w:rPr>
          <w:rFonts w:cs="Arial" w:ascii="Arial" w:hAnsi="Arial"/>
        </w:rPr>
        <w:t>. International Journal of Innovative Research and Scientific Studies, 8(2), pp.4189–4196. Available at:</w:t>
      </w:r>
      <w:hyperlink r:id="rId51">
        <w:r>
          <w:rPr>
            <w:rStyle w:val="Style3"/>
            <w:rFonts w:cs="Arial" w:ascii="Arial" w:hAnsi="Arial"/>
          </w:rPr>
          <w:t xml:space="preserve"> </w:t>
        </w:r>
      </w:hyperlink>
      <w:hyperlink r:id="rId52">
        <w:r>
          <w:rPr>
            <w:rStyle w:val="Style3"/>
            <w:rFonts w:cs="Arial" w:ascii="Arial" w:hAnsi="Arial"/>
            <w:u w:val="single"/>
          </w:rPr>
          <w:t>https://ro.ecu.edu.au/ecuworks2022-2026/6251/</w:t>
        </w:r>
      </w:hyperlink>
      <w:r>
        <w:rPr>
          <w:rFonts w:cs="Arial" w:ascii="Arial" w:hAnsi="Arial"/>
        </w:rPr>
        <w:t xml:space="preserve"> </w:t>
      </w:r>
    </w:p>
    <w:p>
      <w:pPr>
        <w:pStyle w:val="Normal"/>
        <w:rPr>
          <w:rFonts w:ascii="Arial" w:hAnsi="Arial" w:cs="Arial"/>
        </w:rPr>
      </w:pPr>
      <w:r>
        <w:rPr>
          <w:rFonts w:cs="Arial" w:ascii="Arial" w:hAnsi="Arial"/>
        </w:rPr>
      </w:r>
    </w:p>
    <w:sectPr>
      <w:footerReference w:type="even" r:id="rId53"/>
      <w:footerReference w:type="default" r:id="rId54"/>
      <w:footerReference w:type="first" r:id="rId55"/>
      <w:type w:val="nextPage"/>
      <w:pgSz w:w="12240" w:h="15840"/>
      <w:pgMar w:left="1800" w:right="1800" w:gutter="0" w:header="0" w:top="1440" w:footer="720" w:bottom="1440"/>
      <w:pgNumType w:start="1" w:fmt="decimal"/>
      <w:formProt w:val="false"/>
      <w:titlePg/>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embedBold r:id="rId2" w:fontKey="{02014A78-CABC-4EF0-12AC-5CD89AEFDE02}"/>
  </w:font>
  <w:font w:name="Times New Roman">
    <w:charset w:val="01"/>
    <w:family w:val="roman"/>
    <w:pitch w:val="variable"/>
  </w:font>
  <w:font w:name="Calibri">
    <w:charset w:val="01"/>
    <w:family w:val="swiss"/>
    <w:pitch w:val="variable"/>
    <w:embedRegular r:id="rId3" w:fontKey="{03014A78-CABC-4EF0-12AC-5CD89AEFDE03}"/>
    <w:embedBold r:id="rId4" w:fontKey="{04014A78-CABC-4EF0-12AC-5CD89AEFDE04}"/>
    <w:embedItalic r:id="rId5" w:fontKey="{05014A78-CABC-4EF0-12AC-5CD89AEFDE05}"/>
    <w:embedBoldItalic r:id="rId6" w:fontKey="{06014A78-CABC-4EF0-12AC-5CD89AEFDE06}"/>
  </w:font>
  <w:font w:name="Tahoma">
    <w:charset w:val="01"/>
    <w:family w:val="swiss"/>
    <w:pitch w:val="variable"/>
    <w:embedRegular r:id="rId7" w:fontKey="{07014A78-CABC-4EF0-12AC-5CD89AEFDE07}"/>
    <w:embedBold r:id="rId8" w:fontKey="{08014A78-CABC-4EF0-12AC-5CD89AEFDE08}"/>
  </w:font>
  <w:font w:name="Liberation Sans">
    <w:altName w:val="Arial"/>
    <w:charset w:val="01"/>
    <w:family w:val="swiss"/>
    <w:pitch w:val="variable"/>
    <w:embedRegular r:id="rId9" w:fontKey="{09014A78-CABC-4EF0-12AC-5CD89AEFDE09}"/>
  </w:font>
  <w:font w:name="Arial">
    <w:charset w:val="01"/>
    <w:family w:val="swiss"/>
    <w:pitch w:val="variable"/>
  </w:font>
  <w:font w:name="Cambria Math">
    <w:charset w:val="01"/>
    <w:family w:val="roman"/>
    <w:pitch w:val="variable"/>
    <w:embedRegular r:id="rId10" w:fontKey="{0A014A78-CABC-4EF0-12AC-5CD89AEFDE0A}"/>
    <w:embedBold r:id="rId11" w:fontKey="{0B014A78-CABC-4EF0-12AC-5CD89AEFDE0B}"/>
  </w:font>
  <w:font w:name="Symbol">
    <w:charset w:val="02"/>
    <w:family w:val="auto"/>
    <w:pitch w:val="default"/>
  </w:font>
  <w:font w:name="Courier New">
    <w:charset w:val="01"/>
    <w:family w:val="modern"/>
    <w:pitch w:val="fixed"/>
  </w:font>
  <w:font w:name="Wingdings">
    <w:charset w:val="02"/>
    <w:family w:val="auto"/>
    <w:pitch w:val="variable"/>
    <w:embedRegular r:id="rId12" w:fontKey="{0C014A78-CABC-4EF0-12AC-5CD89AEFDE0C}"/>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tabs>
        <w:tab w:val="clear" w:pos="720"/>
        <w:tab w:val="center" w:pos="4680" w:leader="none"/>
        <w:tab w:val="right" w:pos="9360" w:leader="none"/>
      </w:tabs>
      <w:spacing w:lineRule="auto" w:line="240"/>
      <w:jc w:val="right"/>
      <w:rPr>
        <w:color w:val="000000"/>
      </w:rPr>
    </w:pPr>
    <w:r>
      <w:rPr/>
      <w:fldChar w:fldCharType="begin"/>
    </w:r>
    <w:r>
      <w:rPr/>
      <w:instrText xml:space="preserve"> PAGE </w:instrText>
    </w:r>
    <w:r>
      <w:rPr/>
      <w:fldChar w:fldCharType="separate"/>
    </w:r>
    <w:r>
      <w:rPr/>
      <w:t>22</w:t>
    </w:r>
    <w:r>
      <w:rPr/>
      <w:fldChar w:fldCharType="end"/>
    </w:r>
  </w:p>
  <w:p>
    <w:pPr>
      <w:pStyle w:val="Normal"/>
      <w:tabs>
        <w:tab w:val="clear" w:pos="720"/>
        <w:tab w:val="center" w:pos="4680" w:leader="none"/>
        <w:tab w:val="right" w:pos="9360" w:leader="none"/>
      </w:tabs>
      <w:spacing w:lineRule="auto" w:line="240"/>
      <w:rPr>
        <w:color w:val="000000"/>
      </w:rPr>
    </w:pPr>
    <w:r>
      <w:rPr>
        <w:color w:themeColor="text1" w:val="000000"/>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themeFontLang w:val="en-IN" w:eastAsia="" w:bidi="gu-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sz w:val="24"/>
        <w:szCs w:val="24"/>
        <w:lang w:val="en-IN"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666cb"/>
    <w:pPr>
      <w:widowControl/>
      <w:suppressAutoHyphens w:val="true"/>
      <w:bidi w:val="0"/>
      <w:spacing w:lineRule="auto" w:line="360" w:before="0" w:after="0"/>
      <w:jc w:val="both"/>
    </w:pPr>
    <w:rPr>
      <w:rFonts w:ascii="Times New Roman" w:hAnsi="Times New Roman" w:eastAsia="Times New Roman" w:cs="Times New Roman"/>
      <w:color w:themeColor="text1" w:val="000000"/>
      <w:kern w:val="0"/>
      <w:sz w:val="24"/>
      <w:szCs w:val="24"/>
      <w:lang w:val="en-IN" w:eastAsia="en-IN" w:bidi="ar-SA"/>
    </w:rPr>
  </w:style>
  <w:style w:type="paragraph" w:styleId="Heading1">
    <w:name w:val="heading 1"/>
    <w:basedOn w:val="Normal"/>
    <w:next w:val="Normal"/>
    <w:uiPriority w:val="9"/>
    <w:qFormat/>
    <w:pPr>
      <w:keepNext w:val="true"/>
      <w:keepLines/>
      <w:outlineLvl w:val="0"/>
    </w:pPr>
    <w:rPr>
      <w:b/>
      <w:bCs/>
      <w:sz w:val="28"/>
      <w:szCs w:val="28"/>
      <w:u w:val="single"/>
    </w:rPr>
  </w:style>
  <w:style w:type="paragraph" w:styleId="Heading2">
    <w:name w:val="heading 2"/>
    <w:basedOn w:val="Normal"/>
    <w:next w:val="Normal"/>
    <w:uiPriority w:val="9"/>
    <w:unhideWhenUsed/>
    <w:qFormat/>
    <w:pPr>
      <w:keepNext w:val="true"/>
      <w:keepLines/>
      <w:outlineLvl w:val="1"/>
    </w:pPr>
    <w:rPr>
      <w:b/>
      <w:bCs/>
      <w:sz w:val="26"/>
      <w:szCs w:val="26"/>
    </w:rPr>
  </w:style>
  <w:style w:type="paragraph" w:styleId="Heading3">
    <w:name w:val="heading 3"/>
    <w:basedOn w:val="Normal"/>
    <w:next w:val="Normal"/>
    <w:uiPriority w:val="9"/>
    <w:unhideWhenUsed/>
    <w:qFormat/>
    <w:pPr>
      <w:keepNext w:val="true"/>
      <w:keepLines/>
      <w:outlineLvl w:val="2"/>
    </w:pPr>
    <w:rPr>
      <w:b/>
      <w:bCs/>
    </w:rPr>
  </w:style>
  <w:style w:type="paragraph" w:styleId="Heading4">
    <w:name w:val="heading 4"/>
    <w:basedOn w:val="Normal"/>
    <w:next w:val="Normal"/>
    <w:uiPriority w:val="9"/>
    <w:unhideWhenUsed/>
    <w:qFormat/>
    <w:pPr>
      <w:keepNext w:val="true"/>
      <w:keepLines/>
      <w:spacing w:before="200" w:after="0"/>
      <w:outlineLvl w:val="3"/>
    </w:pPr>
    <w:rPr>
      <w:rFonts w:ascii="Calibri" w:hAnsi="Calibri" w:eastAsia="Calibri" w:cs="Calibri"/>
      <w:b/>
      <w:bCs/>
      <w:i/>
      <w:iCs/>
    </w:rPr>
  </w:style>
  <w:style w:type="paragraph" w:styleId="Heading5">
    <w:name w:val="heading 5"/>
    <w:basedOn w:val="Normal"/>
    <w:next w:val="Normal"/>
    <w:uiPriority w:val="9"/>
    <w:semiHidden/>
    <w:unhideWhenUsed/>
    <w:qFormat/>
    <w:pPr>
      <w:keepNext w:val="true"/>
      <w:keepLines/>
      <w:spacing w:before="200" w:after="0"/>
      <w:outlineLvl w:val="4"/>
    </w:pPr>
    <w:rPr>
      <w:rFonts w:ascii="Calibri" w:hAnsi="Calibri" w:eastAsia="Calibri" w:cs="Calibri"/>
    </w:rPr>
  </w:style>
  <w:style w:type="paragraph" w:styleId="Heading6">
    <w:name w:val="heading 6"/>
    <w:basedOn w:val="Normal"/>
    <w:next w:val="Normal"/>
    <w:uiPriority w:val="9"/>
    <w:semiHidden/>
    <w:unhideWhenUsed/>
    <w:qFormat/>
    <w:pPr>
      <w:keepNext w:val="true"/>
      <w:keepLines/>
      <w:spacing w:before="200" w:after="0"/>
      <w:outlineLvl w:val="5"/>
    </w:pPr>
    <w:rPr>
      <w:rFonts w:ascii="Calibri" w:hAnsi="Calibri" w:eastAsia="Calibri" w:cs="Calibri"/>
      <w:i/>
      <w:iCs/>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0b61b4"/>
    <w:rPr>
      <w:rFonts w:ascii="Tahoma" w:hAnsi="Tahoma" w:cs="Tahoma"/>
      <w:sz w:val="16"/>
      <w:szCs w:val="16"/>
    </w:rPr>
  </w:style>
  <w:style w:type="character" w:styleId="Hyperlink">
    <w:name w:val="Hyperlink"/>
    <w:basedOn w:val="DefaultParagraphFont"/>
    <w:uiPriority w:val="99"/>
    <w:unhideWhenUsed/>
    <w:rsid w:val="000b61b4"/>
    <w:rPr>
      <w:color w:themeColor="hyperlink" w:val="0000FF"/>
      <w:u w:val="single"/>
    </w:rPr>
  </w:style>
  <w:style w:type="character" w:styleId="IndexLink" w:customStyle="1">
    <w:name w:val="Index Link"/>
    <w:qFormat/>
    <w:rPr/>
  </w:style>
  <w:style w:type="character" w:styleId="CommentReference">
    <w:name w:val="annotation reference"/>
    <w:basedOn w:val="DefaultParagraphFont"/>
    <w:uiPriority w:val="99"/>
    <w:semiHidden/>
    <w:unhideWhenUsed/>
    <w:qFormat/>
    <w:rsid w:val="001f6297"/>
    <w:rPr>
      <w:sz w:val="16"/>
      <w:szCs w:val="16"/>
    </w:rPr>
  </w:style>
  <w:style w:type="character" w:styleId="CommentTextChar" w:customStyle="1">
    <w:name w:val="Comment Text Char"/>
    <w:basedOn w:val="DefaultParagraphFont"/>
    <w:link w:val="CommentText"/>
    <w:uiPriority w:val="99"/>
    <w:qFormat/>
    <w:rsid w:val="001f6297"/>
    <w:rPr>
      <w:color w:themeColor="text1" w:val="000000"/>
      <w:sz w:val="20"/>
      <w:szCs w:val="20"/>
    </w:rPr>
  </w:style>
  <w:style w:type="character" w:styleId="CommentSubjectChar" w:customStyle="1">
    <w:name w:val="Comment Subject Char"/>
    <w:basedOn w:val="CommentTextChar"/>
    <w:link w:val="annotationsubject"/>
    <w:uiPriority w:val="99"/>
    <w:semiHidden/>
    <w:qFormat/>
    <w:rsid w:val="001f6297"/>
    <w:rPr>
      <w:b/>
      <w:bCs/>
      <w:color w:themeColor="text1" w:val="000000"/>
      <w:sz w:val="20"/>
      <w:szCs w:val="20"/>
    </w:rPr>
  </w:style>
  <w:style w:type="paragraph" w:styleId="Heading" w:customStyle="1">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rPr>
  </w:style>
  <w:style w:type="paragraph" w:styleId="Index" w:customStyle="1">
    <w:name w:val="Index"/>
    <w:basedOn w:val="Normal"/>
    <w:qFormat/>
    <w:pPr>
      <w:suppressLineNumbers/>
    </w:pPr>
    <w:rPr/>
  </w:style>
  <w:style w:type="paragraph" w:styleId="Title">
    <w:name w:val="Title"/>
    <w:basedOn w:val="Normal"/>
    <w:next w:val="Normal"/>
    <w:uiPriority w:val="10"/>
    <w:qFormat/>
    <w:pPr>
      <w:pBdr>
        <w:bottom w:val="single" w:sz="8" w:space="4" w:color="4F81BD"/>
      </w:pBdr>
      <w:spacing w:lineRule="auto" w:line="240" w:before="0" w:after="300"/>
    </w:pPr>
    <w:rPr>
      <w:rFonts w:ascii="Calibri" w:hAnsi="Calibri" w:eastAsia="Calibri" w:cs="Calibri"/>
      <w:sz w:val="52"/>
      <w:szCs w:val="52"/>
    </w:rPr>
  </w:style>
  <w:style w:type="paragraph" w:styleId="Subtitle">
    <w:name w:val="Subtitle"/>
    <w:basedOn w:val="Normal"/>
    <w:next w:val="Normal"/>
    <w:uiPriority w:val="11"/>
    <w:qFormat/>
    <w:pPr/>
    <w:rPr>
      <w:rFonts w:ascii="Calibri" w:hAnsi="Calibri" w:eastAsia="Calibri" w:cs="Calibri"/>
      <w:i/>
      <w:iCs/>
    </w:rPr>
  </w:style>
  <w:style w:type="paragraph" w:styleId="ListParagraph">
    <w:name w:val="List Paragraph"/>
    <w:basedOn w:val="Normal"/>
    <w:uiPriority w:val="34"/>
    <w:qFormat/>
    <w:rsid w:val="0016290d"/>
    <w:pPr>
      <w:spacing w:before="0" w:after="0"/>
      <w:ind w:left="720"/>
      <w:contextualSpacing/>
    </w:pPr>
    <w:rPr/>
  </w:style>
  <w:style w:type="paragraph" w:styleId="BalloonText">
    <w:name w:val="Balloon Text"/>
    <w:basedOn w:val="Normal"/>
    <w:link w:val="BalloonTextChar"/>
    <w:uiPriority w:val="99"/>
    <w:semiHidden/>
    <w:unhideWhenUsed/>
    <w:qFormat/>
    <w:rsid w:val="000b61b4"/>
    <w:pPr>
      <w:spacing w:lineRule="auto" w:line="240"/>
    </w:pPr>
    <w:rPr>
      <w:rFonts w:ascii="Tahoma" w:hAnsi="Tahoma" w:cs="Tahoma"/>
      <w:sz w:val="16"/>
      <w:szCs w:val="16"/>
    </w:rPr>
  </w:style>
  <w:style w:type="paragraph" w:styleId="TOC1">
    <w:name w:val="toc 1"/>
    <w:basedOn w:val="Normal"/>
    <w:next w:val="Normal"/>
    <w:autoRedefine/>
    <w:uiPriority w:val="39"/>
    <w:unhideWhenUsed/>
    <w:rsid w:val="000b61b4"/>
    <w:pPr>
      <w:spacing w:before="0" w:after="100"/>
    </w:pPr>
    <w:rPr/>
  </w:style>
  <w:style w:type="paragraph" w:styleId="TOC2">
    <w:name w:val="toc 2"/>
    <w:basedOn w:val="Normal"/>
    <w:next w:val="Normal"/>
    <w:autoRedefine/>
    <w:uiPriority w:val="39"/>
    <w:unhideWhenUsed/>
    <w:rsid w:val="000b61b4"/>
    <w:pPr>
      <w:spacing w:before="0" w:after="100"/>
      <w:ind w:left="240"/>
    </w:pPr>
    <w:rPr/>
  </w:style>
  <w:style w:type="paragraph" w:styleId="TOC3">
    <w:name w:val="toc 3"/>
    <w:basedOn w:val="Normal"/>
    <w:next w:val="Normal"/>
    <w:autoRedefine/>
    <w:uiPriority w:val="39"/>
    <w:unhideWhenUsed/>
    <w:rsid w:val="000b61b4"/>
    <w:pPr>
      <w:spacing w:before="0" w:after="100"/>
      <w:ind w:left="480"/>
    </w:pPr>
    <w:rPr/>
  </w:style>
  <w:style w:type="paragraph" w:styleId="NormalWeb">
    <w:name w:val="Normal (Web)"/>
    <w:basedOn w:val="Normal"/>
    <w:uiPriority w:val="99"/>
    <w:semiHidden/>
    <w:unhideWhenUsed/>
    <w:qFormat/>
    <w:rsid w:val="009e052d"/>
    <w:pPr>
      <w:spacing w:lineRule="auto" w:line="240" w:beforeAutospacing="1" w:afterAutospacing="1"/>
      <w:jc w:val="left"/>
    </w:pPr>
    <w:rPr/>
  </w:style>
  <w:style w:type="paragraph" w:styleId="HeaderandFooter" w:customStyle="1">
    <w:name w:val="Header and Footer"/>
    <w:basedOn w:val="Normal"/>
    <w:qFormat/>
    <w:pPr/>
    <w:rPr/>
  </w:style>
  <w:style w:type="paragraph" w:styleId="Footer">
    <w:name w:val="footer"/>
    <w:basedOn w:val="HeaderandFooter"/>
    <w:pPr/>
    <w:rPr/>
  </w:style>
  <w:style w:type="paragraph" w:styleId="CommentText">
    <w:name w:val="annotation text"/>
    <w:basedOn w:val="Normal"/>
    <w:link w:val="CommentTextChar"/>
    <w:uiPriority w:val="99"/>
    <w:unhideWhenUsed/>
    <w:rsid w:val="001f6297"/>
    <w:pPr>
      <w:spacing w:lineRule="auto" w:line="240"/>
    </w:pPr>
    <w:rPr>
      <w:sz w:val="20"/>
      <w:szCs w:val="20"/>
    </w:rPr>
  </w:style>
  <w:style w:type="paragraph" w:styleId="annotationsubject">
    <w:name w:val="annotation subject"/>
    <w:basedOn w:val="CommentText"/>
    <w:next w:val="CommentText"/>
    <w:link w:val="CommentSubjectChar"/>
    <w:uiPriority w:val="99"/>
    <w:semiHidden/>
    <w:unhideWhenUsed/>
    <w:qFormat/>
    <w:rsid w:val="001f6297"/>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 w:type="table" w:styleId="TableGrid">
    <w:name w:val="Table Grid"/>
    <w:basedOn w:val="TableNormal"/>
    <w:uiPriority w:val="39"/>
    <w:rsid w:val="0016290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hyperlink" Target="https://link.springer.com/article/10.1057/s41299-024-00185-3?utm_source=chatgpt.com" TargetMode="External"/><Relationship Id="rId16" Type="http://schemas.openxmlformats.org/officeDocument/2006/relationships/hyperlink" Target="https://link.springer.com/article/10.1057/s41299-024-00185-3?utm_source=chatgpt.com" TargetMode="External"/><Relationship Id="rId17" Type="http://schemas.openxmlformats.org/officeDocument/2006/relationships/hyperlink" Target="https://www.bhp.com/investor-centre/reports-and-presentations/annual-report" TargetMode="External"/><Relationship Id="rId18" Type="http://schemas.openxmlformats.org/officeDocument/2006/relationships/hyperlink" Target="https://www.bhp.com/about/coppergrowth" TargetMode="External"/><Relationship Id="rId19" Type="http://schemas.openxmlformats.org/officeDocument/2006/relationships/hyperlink" Target="https://www.bhp.com/sustainability/climate-change/physical-climate-related-risk-and-adaptation?utm_source=chatgpt.com" TargetMode="External"/><Relationship Id="rId20" Type="http://schemas.openxmlformats.org/officeDocument/2006/relationships/hyperlink" Target="https://www.bhp.com/sustainability/climate-change/physical-climate-related-risk-and-adaptation?utm_source=chatgpt.com" TargetMode="External"/><Relationship Id="rId21" Type="http://schemas.openxmlformats.org/officeDocument/2006/relationships/hyperlink" Target="https://www.bhp.com/news/media-centre/releases/2026/09/industry-first-pilot-for-lower-emissions-copper-market?utm_source=chatgpt.com" TargetMode="External"/><Relationship Id="rId22" Type="http://schemas.openxmlformats.org/officeDocument/2006/relationships/hyperlink" Target="https://www.bhp.com/news/media-centre/releases/2026/09/industry-first-pilot-for-lower-emissions-copper-market?utm_source=chatgpt.com" TargetMode="External"/><Relationship Id="rId23" Type="http://schemas.openxmlformats.org/officeDocument/2006/relationships/hyperlink" Target="https://www.bhp.com/what-we-do/products/copper?utm_source=chatgpt.com" TargetMode="External"/><Relationship Id="rId24" Type="http://schemas.openxmlformats.org/officeDocument/2006/relationships/hyperlink" Target="https://www.bhp.com/what-we-do/products/copper?utm_source=chatgpt.com" TargetMode="External"/><Relationship Id="rId25" Type="http://schemas.openxmlformats.org/officeDocument/2006/relationships/hyperlink" Target="https://www.bhp.com/investor-centre/reports-and-presentations/economic-and-commodity-outlook/2026/08/economic-and-commodity-outlook?utm_source=chatgpt.com" TargetMode="External"/><Relationship Id="rId26" Type="http://schemas.openxmlformats.org/officeDocument/2006/relationships/hyperlink" Target="https://www.bhp.com/investor-centre/reports-and-presentations/economic-and-commodity-outlook/2026/08/economic-and-commodity-outlook?utm_source=chatgpt.com" TargetMode="External"/><Relationship Id="rId27" Type="http://schemas.openxmlformats.org/officeDocument/2006/relationships/hyperlink" Target="https://www.bhp.com/sustainability/climate-change/physical-climate-related-risk-and-adaptation?utm_source=chatgpt.com" TargetMode="External"/><Relationship Id="rId28" Type="http://schemas.openxmlformats.org/officeDocument/2006/relationships/hyperlink" Target="https://www.bhp.com/sustainability/climate-change/physical-climate-related-risk-and-adaptation?utm_source=chatgpt.com" TargetMode="External"/><Relationship Id="rId29" Type="http://schemas.openxmlformats.org/officeDocument/2006/relationships/hyperlink" Target="https://codelco.com/incorporacion-agua-desalada-para-disminuir-27-el-make-up?utm_source=chatgpt.com" TargetMode="External"/><Relationship Id="rId30" Type="http://schemas.openxmlformats.org/officeDocument/2006/relationships/hyperlink" Target="https://codelco.com/incorporacion-agua-desalada-para-disminuir-27-el-make-up?utm_source=chatgpt.com" TargetMode="External"/><Relationship Id="rId31" Type="http://schemas.openxmlformats.org/officeDocument/2006/relationships/hyperlink" Target="https://taxation-customs.ec.europa.eu/carbon-border-adjustment-mechanism/cbam-definitive-regime_en?utm_source=chatgpt.com" TargetMode="External"/><Relationship Id="rId32" Type="http://schemas.openxmlformats.org/officeDocument/2006/relationships/hyperlink" Target="https://taxation-customs.ec.europa.eu/carbon-border-adjustment-mechanism/cbam-definitive-regime_en?utm_source=chatgpt.com" TargetMode="External"/><Relationship Id="rId33" Type="http://schemas.openxmlformats.org/officeDocument/2006/relationships/hyperlink" Target="https://taxation-customs.ec.europa.eu/carbon-border-adjustment-mechanism/price-cbam-certificates_en?prefLang=de&amp;utm_source=chatgpt.com" TargetMode="External"/><Relationship Id="rId34" Type="http://schemas.openxmlformats.org/officeDocument/2006/relationships/hyperlink" Target="https://taxation-customs.ec.europa.eu/carbon-border-adjustment-mechanism/price-cbam-certificates_en?prefLang=de&amp;utm_source=chatgpt.com" TargetMode="External"/><Relationship Id="rId35" Type="http://schemas.openxmlformats.org/officeDocument/2006/relationships/hyperlink" Target="https://www.sciencedirect.com/science/article/pii/S0892687525004728" TargetMode="External"/><Relationship Id="rId36" Type="http://schemas.openxmlformats.org/officeDocument/2006/relationships/hyperlink" Target="https://www.sciencedirect.com/science/article/pii/S0892687525004728" TargetMode="External"/><Relationship Id="rId37" Type="http://schemas.openxmlformats.org/officeDocument/2006/relationships/hyperlink" Target="https://im-mining.com/2026/09/23/bhp-amazon-establish-industry-first-pilot-for-lower-emissions-copper-market/" TargetMode="External"/><Relationship Id="rId38" Type="http://schemas.openxmlformats.org/officeDocument/2006/relationships/hyperlink" Target="https://www.iea.org/reports/global-energy-review-2026/co2-emissions" TargetMode="External"/><Relationship Id="rId39" Type="http://schemas.openxmlformats.org/officeDocument/2006/relationships/hyperlink" Target="https://www.investing.com/news/company-news/bhp-fy2026-slides-copper-drives-54-of-ebitda-targets-50bn-fcf-93CH-4865396?utm_source=chatgpt.com" TargetMode="External"/><Relationship Id="rId40" Type="http://schemas.openxmlformats.org/officeDocument/2006/relationships/hyperlink" Target="https://www.investing.com/news/company-news/bhp-fy2026-slides-copper-drives-54-of-ebitda-targets-50bn-fcf-93CH-4865396?utm_source=chatgpt.com" TargetMode="External"/><Relationship Id="rId41" Type="http://schemas.openxmlformats.org/officeDocument/2006/relationships/hyperlink" Target="https://osuva.uwasa.fi/items/7e6dd491-0b6d-4265-8d06-fac26a6c3ef4" TargetMode="External"/><Relationship Id="rId42" Type="http://schemas.openxmlformats.org/officeDocument/2006/relationships/hyperlink" Target="https://osuva.uwasa.fi/items/7e6dd491-0b6d-4265-8d06-fac26a6c3ef4" TargetMode="External"/><Relationship Id="rId43" Type="http://schemas.openxmlformats.org/officeDocument/2006/relationships/hyperlink" Target="https://kalkine.com.au/news/blue-chip-stocks/bhp-asxbhp-battery-electric-haul-truck-trials-begin-in-the-pilbara" TargetMode="External"/><Relationship Id="rId44" Type="http://schemas.openxmlformats.org/officeDocument/2006/relationships/hyperlink" Target="https://kalkine.com.au/news/blue-chip-stocks/bhp-asxbhp-battery-electric-haul-truck-trials-begin-in-the-pilbara" TargetMode="External"/><Relationship Id="rId45" Type="http://schemas.openxmlformats.org/officeDocument/2006/relationships/hyperlink" Target="https://economictimes.indiatimes.com/industry/indl-goods/svs/metals-mining/copper-emerges-largest-contributor-for-bhps-ebitda-in-fiscal-2026/articleshow/133370634.cms?from=mdr&amp;utm_source=chatgpt.com" TargetMode="External"/><Relationship Id="rId46" Type="http://schemas.openxmlformats.org/officeDocument/2006/relationships/hyperlink" Target="https://economictimes.indiatimes.com/industry/indl-goods/svs/metals-mining/copper-emerges-largest-contributor-for-bhps-ebitda-in-fiscal-2026/articleshow/133370634.cms?from=mdr&amp;utm_source=chatgpt.com" TargetMode="External"/><Relationship Id="rId47" Type="http://schemas.openxmlformats.org/officeDocument/2006/relationships/hyperlink" Target="https://onlinelibrary.wiley.com/doi/abs/10.1111/1467-8551.12841" TargetMode="External"/><Relationship Id="rId48" Type="http://schemas.openxmlformats.org/officeDocument/2006/relationships/hyperlink" Target="https://onlinelibrary.wiley.com/doi/abs/10.1111/1467-8551.12841" TargetMode="External"/><Relationship Id="rId49" Type="http://schemas.openxmlformats.org/officeDocument/2006/relationships/hyperlink" Target="https://www.stocktitan.net/sec-filings/BHP/6-k-bhp-group-ltd-current-report-foreign-issuer-9d70c537a323.html?utm_source=chatgpt.com" TargetMode="External"/><Relationship Id="rId50" Type="http://schemas.openxmlformats.org/officeDocument/2006/relationships/hyperlink" Target="https://www.stocktitan.net/sec-filings/BHP/6-k-bhp-group-ltd-current-report-foreign-issuer-9d70c537a323.html?utm_source=chatgpt.com" TargetMode="External"/><Relationship Id="rId51" Type="http://schemas.openxmlformats.org/officeDocument/2006/relationships/hyperlink" Target="https://ro.ecu.edu.au/ecuworks2022-2026/6251/?utm_source=chatgpt.com" TargetMode="External"/><Relationship Id="rId52" Type="http://schemas.openxmlformats.org/officeDocument/2006/relationships/hyperlink" Target="https://ro.ecu.edu.au/ecuworks2022-2026/6251/?utm_source=chatgpt.com" TargetMode="External"/><Relationship Id="rId53" Type="http://schemas.openxmlformats.org/officeDocument/2006/relationships/footer" Target="footer1.xml"/><Relationship Id="rId54" Type="http://schemas.openxmlformats.org/officeDocument/2006/relationships/footer" Target="footer2.xml"/><Relationship Id="rId55" Type="http://schemas.openxmlformats.org/officeDocument/2006/relationships/footer" Target="footer3.xml"/><Relationship Id="rId56" Type="http://schemas.openxmlformats.org/officeDocument/2006/relationships/numbering" Target="numbering.xml"/><Relationship Id="rId57" Type="http://schemas.openxmlformats.org/officeDocument/2006/relationships/fontTable" Target="fontTable.xml"/><Relationship Id="rId58" Type="http://schemas.openxmlformats.org/officeDocument/2006/relationships/settings" Target="settings.xml"/><Relationship Id="rId59" Type="http://schemas.openxmlformats.org/officeDocument/2006/relationships/theme" Target="theme/theme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Relationship Id="rId8" Type="http://schemas.openxmlformats.org/officeDocument/2006/relationships/font" Target="fonts/font8.odttf"/><Relationship Id="rId9" Type="http://schemas.openxmlformats.org/officeDocument/2006/relationships/font" Target="fonts/font9.odttf"/><Relationship Id="rId10" Type="http://schemas.openxmlformats.org/officeDocument/2006/relationships/font" Target="fonts/font10.odttf"/><Relationship Id="rId11" Type="http://schemas.openxmlformats.org/officeDocument/2006/relationships/font" Target="fonts/font11.odttf"/><Relationship Id="rId12" Type="http://schemas.openxmlformats.org/officeDocument/2006/relationships/font" Target="fonts/font12.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5</TotalTime>
  <Application>LibreOfficeDev/24.8.7.2.0$Android_AARCH64 LibreOffice_project/</Application>
  <AppVersion>15.0000</AppVersion>
  <Pages>22</Pages>
  <Words>3209</Words>
  <Characters>21335</Characters>
  <CharactersWithSpaces>24447</CharactersWithSpaces>
  <Paragraphs>157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2026-10-21T11:10:00Z</dcterms:created>
  <dc:creator>Taonga Kaonga Sobere-Snithers</dc:creator>
  <dc:description/>
  <dc:language>en-US</dc:language>
  <cp:lastModifiedBy>Jayraj Nathabhai keshvala</cp:lastModifiedBy>
  <dcterms:modified xsi:type="dcterms:W3CDTF">2026-10-21T11:15:00Z</dcterms:modified>
  <cp:revision>12</cp:revision>
  <dc:subject/>
  <dc:title/>
</cp:coreProperties>
</file>

<file path=docProps/custom.xml><?xml version="1.0" encoding="utf-8"?>
<Properties xmlns="http://schemas.openxmlformats.org/officeDocument/2006/custom-properties" xmlns:vt="http://schemas.openxmlformats.org/officeDocument/2006/docPropsVTypes"/>
</file>