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60CC4" w14:textId="77777777" w:rsidR="001862B3" w:rsidRDefault="001862B3">
      <w:pPr>
        <w:pStyle w:val="Title"/>
        <w:jc w:val="center"/>
      </w:pPr>
      <w:r w:rsidRPr="003E4269">
        <w:rPr>
          <w:rFonts w:ascii="Arial" w:hAnsi="Arial" w:cs="Arial"/>
          <w:noProof/>
        </w:rPr>
        <w:drawing>
          <wp:inline distT="0" distB="0" distL="0" distR="0" wp14:anchorId="37BA6FDD" wp14:editId="06623506">
            <wp:extent cx="2619375" cy="1165894"/>
            <wp:effectExtent l="0" t="0" r="0" b="0"/>
            <wp:docPr id="509279478" name="Picture 1" descr="A close-up of a sign&#10;&#10;AI-generated content may be incorrect.">
              <a:extLst xmlns:a="http://schemas.openxmlformats.org/drawingml/2006/main">
                <a:ext uri="{FF2B5EF4-FFF2-40B4-BE49-F238E27FC236}">
                  <a16:creationId xmlns:a16="http://schemas.microsoft.com/office/drawing/2014/main" id="{7223B46D-F15E-4C39-9CF5-C44C216429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A2414F3" w14:textId="77777777" w:rsidR="001862B3" w:rsidRPr="001862B3" w:rsidRDefault="001862B3" w:rsidP="001862B3">
      <w:pPr>
        <w:jc w:val="center"/>
      </w:pPr>
    </w:p>
    <w:p w14:paraId="7F4DACD5" w14:textId="77777777" w:rsidR="001862B3" w:rsidRPr="001862B3" w:rsidRDefault="001862B3" w:rsidP="001862B3">
      <w:pPr>
        <w:pStyle w:val="ListParagraph"/>
        <w:numPr>
          <w:ilvl w:val="0"/>
          <w:numId w:val="11"/>
        </w:numPr>
        <w:rPr>
          <w:rFonts w:cs="Arial"/>
          <w:sz w:val="28"/>
          <w:szCs w:val="28"/>
        </w:rPr>
      </w:pPr>
      <w:r w:rsidRPr="001862B3">
        <w:rPr>
          <w:rFonts w:cs="Arial"/>
          <w:sz w:val="28"/>
          <w:szCs w:val="28"/>
        </w:rPr>
        <w:t>Name: Joana Raquel Gomes Martins Costa</w:t>
      </w:r>
    </w:p>
    <w:p w14:paraId="61EC5BAA" w14:textId="77777777" w:rsidR="001862B3" w:rsidRDefault="001862B3" w:rsidP="001862B3">
      <w:pPr>
        <w:rPr>
          <w:rFonts w:cs="Arial"/>
          <w:sz w:val="28"/>
          <w:szCs w:val="28"/>
        </w:rPr>
      </w:pPr>
    </w:p>
    <w:p w14:paraId="745A1D3E" w14:textId="1DCCDD2F" w:rsidR="001862B3" w:rsidRPr="001862B3" w:rsidRDefault="001862B3" w:rsidP="001862B3">
      <w:pPr>
        <w:pStyle w:val="ListParagraph"/>
        <w:numPr>
          <w:ilvl w:val="0"/>
          <w:numId w:val="11"/>
        </w:numPr>
        <w:rPr>
          <w:rFonts w:cs="Arial"/>
          <w:sz w:val="28"/>
          <w:szCs w:val="28"/>
        </w:rPr>
      </w:pPr>
      <w:r w:rsidRPr="001862B3">
        <w:rPr>
          <w:rFonts w:cs="Arial"/>
          <w:sz w:val="28"/>
          <w:szCs w:val="28"/>
        </w:rPr>
        <w:t>Student ID: 2434222</w:t>
      </w:r>
    </w:p>
    <w:p w14:paraId="6B1694C4" w14:textId="77777777" w:rsidR="001862B3" w:rsidRDefault="001862B3" w:rsidP="001862B3">
      <w:pPr>
        <w:rPr>
          <w:rFonts w:cs="Arial"/>
          <w:sz w:val="28"/>
          <w:szCs w:val="28"/>
        </w:rPr>
      </w:pPr>
    </w:p>
    <w:p w14:paraId="5E7148BA" w14:textId="5B5ACCA3" w:rsidR="001862B3" w:rsidRDefault="001862B3" w:rsidP="001862B3">
      <w:pPr>
        <w:pStyle w:val="ListParagraph"/>
        <w:numPr>
          <w:ilvl w:val="0"/>
          <w:numId w:val="11"/>
        </w:numPr>
        <w:spacing w:after="0"/>
        <w:rPr>
          <w:rFonts w:eastAsia="Segoe UI" w:cs="Segoe UI"/>
          <w:color w:val="000000" w:themeColor="text1"/>
          <w:sz w:val="28"/>
          <w:szCs w:val="28"/>
        </w:rPr>
      </w:pPr>
      <w:r w:rsidRPr="001862B3">
        <w:rPr>
          <w:rFonts w:cs="Arial"/>
          <w:sz w:val="28"/>
          <w:szCs w:val="28"/>
        </w:rPr>
        <w:t>Module Code:</w:t>
      </w:r>
      <w:r w:rsidRPr="001862B3">
        <w:rPr>
          <w:rFonts w:cs="Arial"/>
          <w:color w:val="EEECE1" w:themeColor="background2"/>
          <w:sz w:val="28"/>
          <w:szCs w:val="28"/>
        </w:rPr>
        <w:t xml:space="preserve"> </w:t>
      </w:r>
      <w:r w:rsidRPr="001862B3">
        <w:rPr>
          <w:rFonts w:eastAsia="Segoe UI" w:cs="Segoe UI"/>
          <w:color w:val="000000" w:themeColor="text1"/>
          <w:sz w:val="28"/>
          <w:szCs w:val="28"/>
        </w:rPr>
        <w:t>LCHS400</w:t>
      </w:r>
      <w:r>
        <w:rPr>
          <w:rFonts w:eastAsia="Segoe UI" w:cs="Segoe UI"/>
          <w:color w:val="000000" w:themeColor="text1"/>
          <w:sz w:val="28"/>
          <w:szCs w:val="28"/>
        </w:rPr>
        <w:t>8</w:t>
      </w:r>
      <w:r w:rsidRPr="001862B3">
        <w:rPr>
          <w:rFonts w:eastAsia="Segoe UI" w:cs="Segoe UI"/>
          <w:color w:val="000000" w:themeColor="text1"/>
          <w:sz w:val="28"/>
          <w:szCs w:val="28"/>
        </w:rPr>
        <w:t>_BIRM</w:t>
      </w:r>
    </w:p>
    <w:p w14:paraId="3521F880" w14:textId="77777777" w:rsidR="001862B3" w:rsidRPr="001862B3" w:rsidRDefault="001862B3" w:rsidP="001862B3">
      <w:pPr>
        <w:spacing w:after="0"/>
        <w:rPr>
          <w:rFonts w:eastAsia="Segoe UI" w:cs="Segoe UI"/>
          <w:color w:val="000000" w:themeColor="text1"/>
          <w:sz w:val="28"/>
          <w:szCs w:val="28"/>
        </w:rPr>
      </w:pPr>
    </w:p>
    <w:p w14:paraId="6E9C29E8" w14:textId="77777777" w:rsidR="001862B3" w:rsidRPr="003E4269" w:rsidRDefault="001862B3" w:rsidP="001862B3">
      <w:pPr>
        <w:spacing w:after="0"/>
        <w:rPr>
          <w:rFonts w:eastAsia="Segoe UI" w:cs="Segoe UI"/>
          <w:b/>
          <w:bCs/>
          <w:color w:val="000000" w:themeColor="text1"/>
          <w:sz w:val="28"/>
          <w:szCs w:val="28"/>
        </w:rPr>
      </w:pPr>
    </w:p>
    <w:p w14:paraId="58DE4721" w14:textId="0109A2BD" w:rsidR="001862B3" w:rsidRPr="001862B3" w:rsidRDefault="001862B3" w:rsidP="001862B3">
      <w:pPr>
        <w:pStyle w:val="ListParagraph"/>
        <w:numPr>
          <w:ilvl w:val="0"/>
          <w:numId w:val="11"/>
        </w:numPr>
        <w:shd w:val="clear" w:color="auto" w:fill="FFFFFF" w:themeFill="background1"/>
        <w:spacing w:after="120"/>
        <w:rPr>
          <w:rFonts w:eastAsia="Segoe UI" w:cs="Segoe UI"/>
          <w:color w:val="1D2125"/>
          <w:sz w:val="28"/>
          <w:szCs w:val="28"/>
        </w:rPr>
      </w:pPr>
      <w:r w:rsidRPr="001862B3">
        <w:rPr>
          <w:rFonts w:cs="Arial"/>
          <w:sz w:val="28"/>
          <w:szCs w:val="28"/>
        </w:rPr>
        <w:t xml:space="preserve">Module: </w:t>
      </w:r>
      <w:r w:rsidRPr="001862B3">
        <w:rPr>
          <w:rFonts w:eastAsia="Segoe UI" w:cs="Segoe UI"/>
          <w:color w:val="1D2125"/>
          <w:sz w:val="28"/>
          <w:szCs w:val="28"/>
        </w:rPr>
        <w:t xml:space="preserve">Introduction to </w:t>
      </w:r>
      <w:r>
        <w:rPr>
          <w:rFonts w:eastAsia="Segoe UI" w:cs="Segoe UI"/>
          <w:color w:val="1D2125"/>
          <w:sz w:val="28"/>
          <w:szCs w:val="28"/>
        </w:rPr>
        <w:t xml:space="preserve">Public </w:t>
      </w:r>
      <w:r w:rsidRPr="001862B3">
        <w:rPr>
          <w:rFonts w:eastAsia="Segoe UI" w:cs="Segoe UI"/>
          <w:color w:val="1D2125"/>
          <w:sz w:val="28"/>
          <w:szCs w:val="28"/>
        </w:rPr>
        <w:t>Health</w:t>
      </w:r>
    </w:p>
    <w:p w14:paraId="4A4804D4" w14:textId="77777777" w:rsidR="001862B3" w:rsidRPr="001862B3" w:rsidRDefault="001862B3" w:rsidP="001862B3">
      <w:pPr>
        <w:shd w:val="clear" w:color="auto" w:fill="FFFFFF" w:themeFill="background1"/>
        <w:spacing w:after="120"/>
        <w:rPr>
          <w:rFonts w:eastAsia="Segoe UI" w:cs="Segoe UI"/>
          <w:color w:val="1D2125"/>
          <w:sz w:val="28"/>
          <w:szCs w:val="28"/>
        </w:rPr>
      </w:pPr>
    </w:p>
    <w:p w14:paraId="625B910E" w14:textId="7C0808D2" w:rsidR="001862B3" w:rsidRPr="001862B3" w:rsidRDefault="001862B3" w:rsidP="001862B3">
      <w:pPr>
        <w:pStyle w:val="ListParagraph"/>
        <w:numPr>
          <w:ilvl w:val="0"/>
          <w:numId w:val="11"/>
        </w:numPr>
        <w:rPr>
          <w:rFonts w:cs="Arial"/>
          <w:sz w:val="28"/>
          <w:szCs w:val="28"/>
        </w:rPr>
      </w:pPr>
      <w:r w:rsidRPr="001862B3">
        <w:rPr>
          <w:rFonts w:cs="Arial"/>
          <w:sz w:val="28"/>
          <w:szCs w:val="28"/>
        </w:rPr>
        <w:t xml:space="preserve">Lecturer: </w:t>
      </w:r>
      <w:r w:rsidR="000342B2">
        <w:rPr>
          <w:rFonts w:cs="Arial"/>
          <w:sz w:val="28"/>
          <w:szCs w:val="28"/>
        </w:rPr>
        <w:t xml:space="preserve">Hajra </w:t>
      </w:r>
      <w:proofErr w:type="spellStart"/>
      <w:r w:rsidR="000342B2">
        <w:rPr>
          <w:rFonts w:cs="Arial"/>
          <w:sz w:val="28"/>
          <w:szCs w:val="28"/>
        </w:rPr>
        <w:t>Mustasim</w:t>
      </w:r>
      <w:proofErr w:type="spellEnd"/>
    </w:p>
    <w:p w14:paraId="2F16A3BF" w14:textId="77777777" w:rsidR="001862B3" w:rsidRDefault="001862B3" w:rsidP="001862B3">
      <w:pPr>
        <w:jc w:val="center"/>
        <w:rPr>
          <w:rFonts w:cs="Arial"/>
          <w:sz w:val="28"/>
          <w:szCs w:val="28"/>
        </w:rPr>
      </w:pPr>
    </w:p>
    <w:p w14:paraId="1A866DCC" w14:textId="77777777" w:rsidR="001862B3" w:rsidRDefault="001862B3" w:rsidP="001862B3">
      <w:pPr>
        <w:jc w:val="both"/>
        <w:rPr>
          <w:rFonts w:cs="Arial"/>
          <w:sz w:val="28"/>
          <w:szCs w:val="28"/>
        </w:rPr>
      </w:pPr>
    </w:p>
    <w:p w14:paraId="4B0F92CF" w14:textId="77777777" w:rsidR="001862B3" w:rsidRDefault="001862B3" w:rsidP="001862B3">
      <w:pPr>
        <w:jc w:val="both"/>
        <w:rPr>
          <w:rFonts w:cs="Arial"/>
          <w:sz w:val="28"/>
          <w:szCs w:val="28"/>
        </w:rPr>
      </w:pPr>
    </w:p>
    <w:p w14:paraId="5C213384" w14:textId="77777777" w:rsidR="001862B3" w:rsidRDefault="001862B3" w:rsidP="001862B3">
      <w:pPr>
        <w:jc w:val="both"/>
        <w:rPr>
          <w:rFonts w:cs="Arial"/>
          <w:sz w:val="28"/>
          <w:szCs w:val="28"/>
        </w:rPr>
      </w:pPr>
    </w:p>
    <w:p w14:paraId="342ADF57" w14:textId="77777777" w:rsidR="001862B3" w:rsidRDefault="001862B3" w:rsidP="001862B3">
      <w:pPr>
        <w:jc w:val="both"/>
        <w:rPr>
          <w:rFonts w:cs="Arial"/>
          <w:sz w:val="28"/>
          <w:szCs w:val="28"/>
        </w:rPr>
      </w:pPr>
    </w:p>
    <w:p w14:paraId="482A6499" w14:textId="77777777" w:rsidR="001862B3" w:rsidRDefault="001862B3" w:rsidP="001862B3">
      <w:pPr>
        <w:jc w:val="both"/>
        <w:rPr>
          <w:rFonts w:cs="Arial"/>
          <w:sz w:val="28"/>
          <w:szCs w:val="28"/>
        </w:rPr>
      </w:pPr>
    </w:p>
    <w:p w14:paraId="560DE390" w14:textId="77777777" w:rsidR="001862B3" w:rsidRDefault="001862B3" w:rsidP="001862B3">
      <w:pPr>
        <w:jc w:val="both"/>
        <w:rPr>
          <w:rFonts w:cs="Arial"/>
          <w:sz w:val="28"/>
          <w:szCs w:val="28"/>
        </w:rPr>
      </w:pPr>
    </w:p>
    <w:p w14:paraId="433885E4" w14:textId="77777777" w:rsidR="001862B3" w:rsidRDefault="001862B3" w:rsidP="001862B3">
      <w:pPr>
        <w:jc w:val="both"/>
        <w:rPr>
          <w:rFonts w:cs="Arial"/>
          <w:sz w:val="28"/>
          <w:szCs w:val="28"/>
        </w:rPr>
      </w:pPr>
    </w:p>
    <w:p w14:paraId="3002EE36" w14:textId="77777777" w:rsidR="001862B3" w:rsidRPr="003E4269" w:rsidRDefault="001862B3" w:rsidP="001862B3">
      <w:pPr>
        <w:jc w:val="both"/>
        <w:rPr>
          <w:rFonts w:cs="Arial"/>
          <w:sz w:val="28"/>
          <w:szCs w:val="28"/>
        </w:rPr>
      </w:pPr>
    </w:p>
    <w:p w14:paraId="421967FC" w14:textId="77777777" w:rsidR="001862B3" w:rsidRDefault="001862B3">
      <w:pPr>
        <w:pStyle w:val="Title"/>
        <w:jc w:val="center"/>
      </w:pPr>
    </w:p>
    <w:p w14:paraId="5C6BC04F" w14:textId="50149EB5" w:rsidR="001D18DA" w:rsidRDefault="00000000">
      <w:pPr>
        <w:pStyle w:val="Title"/>
        <w:jc w:val="center"/>
      </w:pPr>
      <w:r>
        <w:t>Heart Disease: Community and NHS Impact, Control and Influencing Factors</w:t>
      </w:r>
    </w:p>
    <w:p w14:paraId="1DC6E3E9" w14:textId="77777777" w:rsidR="001862B3" w:rsidRDefault="001862B3" w:rsidP="001862B3"/>
    <w:p w14:paraId="20B39662" w14:textId="77777777" w:rsidR="001862B3" w:rsidRDefault="001862B3" w:rsidP="001862B3"/>
    <w:p w14:paraId="7961E597" w14:textId="77777777" w:rsidR="001862B3" w:rsidRDefault="001862B3" w:rsidP="001862B3"/>
    <w:p w14:paraId="2C05FE0B" w14:textId="77777777" w:rsidR="001862B3" w:rsidRPr="001862B3" w:rsidRDefault="001862B3" w:rsidP="001862B3"/>
    <w:p w14:paraId="64023FF0" w14:textId="3051D6A0" w:rsidR="001862B3" w:rsidRPr="001862B3" w:rsidRDefault="001862B3" w:rsidP="001862B3">
      <w:pPr>
        <w:rPr>
          <w:color w:val="1F497D" w:themeColor="text2"/>
        </w:rPr>
      </w:pPr>
      <w:r w:rsidRPr="001862B3">
        <w:rPr>
          <w:color w:val="1F497D" w:themeColor="text2"/>
        </w:rPr>
        <w:t>Introduction</w:t>
      </w:r>
    </w:p>
    <w:p w14:paraId="5436DE62" w14:textId="77777777" w:rsidR="0088231A" w:rsidRDefault="00000000">
      <w:pPr>
        <w:spacing w:line="360" w:lineRule="auto"/>
      </w:pPr>
      <w:r>
        <w:t xml:space="preserve">Heart disease refers broadly to disorders affecting the heart and blood vessels, most commonly including coronary heart disease (CHD), heart failure and other cardiovascular conditions. It is characterised by impaired heart function due to narrowing or blockage of vessels (atherosclerosis), muscle damage, valve dysfunction or rhythm disorders, and typically presents with symptoms such as chest pain (angina), breathlessness, fatigue, palpitations or swelling of the legs. </w:t>
      </w:r>
    </w:p>
    <w:p w14:paraId="7DFBEEFE" w14:textId="32E34766" w:rsidR="001D18DA" w:rsidRDefault="00000000">
      <w:pPr>
        <w:spacing w:line="360" w:lineRule="auto"/>
      </w:pPr>
      <w:r>
        <w:t>Globally and in the UK, the incidence and prevalence of heart disease remain high</w:t>
      </w:r>
      <w:r w:rsidR="000C77FA">
        <w:t>,</w:t>
      </w:r>
      <w:r>
        <w:t xml:space="preserve"> it is the single biggest killer of men and women worldwide, and in the UK cardiovascular disease accounts for around a quarter of all deaths each year (British Heart Foundation, 2025). A global study reported around 126 million people living with ischaemic heart disease in 2017 (Conrad et al., 2017). These figures underscore the scale, severity and public-health significance of heart disease and its implications for individuals, communities and the health system.</w:t>
      </w:r>
    </w:p>
    <w:p w14:paraId="357E5F62" w14:textId="77777777" w:rsidR="001862B3" w:rsidRDefault="001862B3">
      <w:pPr>
        <w:spacing w:line="360" w:lineRule="auto"/>
      </w:pPr>
    </w:p>
    <w:p w14:paraId="33E209FD" w14:textId="77777777" w:rsidR="001862B3" w:rsidRDefault="001862B3">
      <w:pPr>
        <w:spacing w:line="360" w:lineRule="auto"/>
      </w:pPr>
    </w:p>
    <w:p w14:paraId="57491AD6" w14:textId="77777777" w:rsidR="001862B3" w:rsidRDefault="001862B3">
      <w:pPr>
        <w:spacing w:line="360" w:lineRule="auto"/>
      </w:pPr>
    </w:p>
    <w:p w14:paraId="104F07D5" w14:textId="77777777" w:rsidR="001862B3" w:rsidRDefault="001862B3">
      <w:pPr>
        <w:spacing w:line="360" w:lineRule="auto"/>
      </w:pPr>
    </w:p>
    <w:p w14:paraId="7864EFDC" w14:textId="77777777" w:rsidR="001862B3" w:rsidRDefault="001862B3">
      <w:pPr>
        <w:spacing w:line="360" w:lineRule="auto"/>
      </w:pPr>
    </w:p>
    <w:p w14:paraId="2667A911" w14:textId="77777777" w:rsidR="001862B3" w:rsidRDefault="001862B3">
      <w:pPr>
        <w:spacing w:line="360" w:lineRule="auto"/>
      </w:pPr>
    </w:p>
    <w:p w14:paraId="7B90F10C" w14:textId="77777777" w:rsidR="001862B3" w:rsidRDefault="001862B3">
      <w:pPr>
        <w:spacing w:line="360" w:lineRule="auto"/>
      </w:pPr>
    </w:p>
    <w:p w14:paraId="762C1CFE" w14:textId="77777777" w:rsidR="001862B3" w:rsidRDefault="001862B3">
      <w:pPr>
        <w:spacing w:line="360" w:lineRule="auto"/>
      </w:pPr>
    </w:p>
    <w:p w14:paraId="7074ACD2" w14:textId="04DB88BD" w:rsidR="001862B3" w:rsidRPr="001862B3" w:rsidRDefault="001862B3" w:rsidP="001862B3">
      <w:pPr>
        <w:rPr>
          <w:color w:val="1F497D" w:themeColor="text2"/>
        </w:rPr>
      </w:pPr>
      <w:r w:rsidRPr="001862B3">
        <w:rPr>
          <w:color w:val="1F497D" w:themeColor="text2"/>
        </w:rPr>
        <w:t>Consequences for the Community and the NHS</w:t>
      </w:r>
    </w:p>
    <w:p w14:paraId="76B864F5" w14:textId="0E48D029" w:rsidR="000633B7" w:rsidRPr="000633B7" w:rsidRDefault="000633B7" w:rsidP="000633B7">
      <w:pPr>
        <w:spacing w:line="360" w:lineRule="auto"/>
        <w:rPr>
          <w:rFonts w:eastAsia="Times New Roman"/>
        </w:rPr>
      </w:pPr>
      <w:r w:rsidRPr="000633B7">
        <w:t>Heart disease inflicts profound consequences at community and system levels alike. On an individual and population basis, people living with heart disease frequently experience a substantial decline in quality of life, including limitations in daily functioning such as reduced mobility, fatigue, and breathlessness during routine activity. These physical symptoms are often accompanied by significant psychological strain, including anxiety, depression, and fear of recurrence, all of which can diminish wellbeing and hinder recovery (British Heart Foundation, 2025). Survivors of acute events</w:t>
      </w:r>
      <w:r>
        <w:t xml:space="preserve"> </w:t>
      </w:r>
      <w:r w:rsidRPr="000633B7">
        <w:t>such as myocardial infarction</w:t>
      </w:r>
      <w:r>
        <w:t xml:space="preserve"> </w:t>
      </w:r>
      <w:r w:rsidRPr="000633B7">
        <w:t>or those living with chronic conditions like heart failure, typically require a lifelong regimen of medication, structured lifestyle modification, and regular clinical monitoring. Many patients also face an increased likelihood of recurrent hospital admissions, which can disrupt family life, employment, and community participation.</w:t>
      </w:r>
    </w:p>
    <w:p w14:paraId="1B060AC2" w14:textId="77777777" w:rsidR="000633B7" w:rsidRPr="000633B7" w:rsidRDefault="000633B7" w:rsidP="000633B7">
      <w:pPr>
        <w:spacing w:line="360" w:lineRule="auto"/>
      </w:pPr>
      <w:r w:rsidRPr="000633B7">
        <w:t>In the UK, more than 7.6 million people are currently living with heart and circulatory diseases (British Heart Foundation, 2025). This substantial population places considerable pressure on informal care networks, including family members who often assume caregiving responsibilities, and increases demand for community-based health and social care services. The economic effect extends further into workplaces, where long-term illness, repeated hospital visits, and fluctuating health can lead to frequent absences, reduced productivity, and early retirement.</w:t>
      </w:r>
    </w:p>
    <w:p w14:paraId="51D782C7" w14:textId="27EEC146" w:rsidR="000633B7" w:rsidRDefault="000633B7" w:rsidP="000633B7">
      <w:pPr>
        <w:spacing w:line="360" w:lineRule="auto"/>
      </w:pPr>
      <w:r w:rsidRPr="000633B7">
        <w:t>From a health system standpoint, heart disease creates major structural and operational challenges. Each year, the UK records approximately 100,000 hospital admissions for heart attacks, and over one million people alive today are survivors of a previous heart attack (British Heart Foundation, 2025). The financial implications are similarly significant: heart and circulatory diseases are estimated to cost around £12 billion annually in direct healthcare expenditure, with broader societal and economic costs</w:t>
      </w:r>
      <w:r w:rsidR="008E49A8">
        <w:t xml:space="preserve"> </w:t>
      </w:r>
      <w:r w:rsidRPr="000633B7">
        <w:t>such as lost productivity and unpaid care</w:t>
      </w:r>
      <w:r w:rsidR="008E49A8">
        <w:t xml:space="preserve"> </w:t>
      </w:r>
      <w:r w:rsidRPr="000633B7">
        <w:t>extending into the hundreds of billions (AXA Health, 2025).</w:t>
      </w:r>
    </w:p>
    <w:p w14:paraId="03357D5E" w14:textId="77777777" w:rsidR="008E49A8" w:rsidRDefault="008E49A8" w:rsidP="000633B7">
      <w:pPr>
        <w:spacing w:line="360" w:lineRule="auto"/>
      </w:pPr>
    </w:p>
    <w:p w14:paraId="352B9CB6" w14:textId="77777777" w:rsidR="008E49A8" w:rsidRDefault="008E49A8" w:rsidP="000633B7">
      <w:pPr>
        <w:spacing w:line="360" w:lineRule="auto"/>
      </w:pPr>
    </w:p>
    <w:p w14:paraId="4155785C" w14:textId="77777777" w:rsidR="008E49A8" w:rsidRDefault="008E49A8" w:rsidP="000633B7">
      <w:pPr>
        <w:spacing w:line="360" w:lineRule="auto"/>
      </w:pPr>
    </w:p>
    <w:p w14:paraId="53C0DF03" w14:textId="286AA52D" w:rsidR="000633B7" w:rsidRPr="000633B7" w:rsidRDefault="000633B7" w:rsidP="000633B7">
      <w:pPr>
        <w:spacing w:line="360" w:lineRule="auto"/>
      </w:pPr>
      <w:r w:rsidRPr="000633B7">
        <w:t>Health inequalities further intensify the burden. Evidence shows that individuals living in the most socioeconomically deprived areas are nearly twice as likely to develop certain heart conditions compared with those in the least deprived areas</w:t>
      </w:r>
      <w:r w:rsidR="008E49A8">
        <w:t xml:space="preserve">, </w:t>
      </w:r>
      <w:r w:rsidRPr="000633B7">
        <w:t>highlighting the persistent role of structural and social determinants of health (Oxford University, 2024). As a result, the NHS is tasked not only with delivering prevention, acute treatment and long-term management, but also with addressing these inequalities to reduce avoidable illness, minimise premature mortality, and ensure equitable access to care.</w:t>
      </w:r>
    </w:p>
    <w:p w14:paraId="668BD521" w14:textId="77777777" w:rsidR="001862B3" w:rsidRDefault="001862B3">
      <w:pPr>
        <w:spacing w:line="360" w:lineRule="auto"/>
      </w:pPr>
    </w:p>
    <w:p w14:paraId="47278FBD" w14:textId="77777777" w:rsidR="000633B7" w:rsidRDefault="000633B7">
      <w:pPr>
        <w:spacing w:line="360" w:lineRule="auto"/>
      </w:pPr>
    </w:p>
    <w:p w14:paraId="5936A38F" w14:textId="77777777" w:rsidR="000633B7" w:rsidRDefault="000633B7">
      <w:pPr>
        <w:spacing w:line="360" w:lineRule="auto"/>
      </w:pPr>
    </w:p>
    <w:p w14:paraId="0E2EE87F" w14:textId="77777777" w:rsidR="000633B7" w:rsidRDefault="000633B7">
      <w:pPr>
        <w:spacing w:line="360" w:lineRule="auto"/>
      </w:pPr>
    </w:p>
    <w:p w14:paraId="070255CA" w14:textId="77777777" w:rsidR="000633B7" w:rsidRDefault="000633B7">
      <w:pPr>
        <w:spacing w:line="360" w:lineRule="auto"/>
      </w:pPr>
    </w:p>
    <w:p w14:paraId="7F663C22" w14:textId="77777777" w:rsidR="000633B7" w:rsidRDefault="000633B7">
      <w:pPr>
        <w:spacing w:line="360" w:lineRule="auto"/>
      </w:pPr>
    </w:p>
    <w:p w14:paraId="658B30B1" w14:textId="77777777" w:rsidR="000633B7" w:rsidRDefault="000633B7">
      <w:pPr>
        <w:spacing w:line="360" w:lineRule="auto"/>
      </w:pPr>
    </w:p>
    <w:p w14:paraId="22E1E6FF" w14:textId="77777777" w:rsidR="000633B7" w:rsidRDefault="000633B7">
      <w:pPr>
        <w:spacing w:line="360" w:lineRule="auto"/>
      </w:pPr>
    </w:p>
    <w:p w14:paraId="4FA2E044" w14:textId="77777777" w:rsidR="000633B7" w:rsidRDefault="000633B7">
      <w:pPr>
        <w:spacing w:line="360" w:lineRule="auto"/>
      </w:pPr>
    </w:p>
    <w:p w14:paraId="4668EF35" w14:textId="77777777" w:rsidR="000633B7" w:rsidRDefault="000633B7">
      <w:pPr>
        <w:spacing w:line="360" w:lineRule="auto"/>
      </w:pPr>
    </w:p>
    <w:p w14:paraId="1B0F5F74" w14:textId="77777777" w:rsidR="000633B7" w:rsidRDefault="000633B7">
      <w:pPr>
        <w:spacing w:line="360" w:lineRule="auto"/>
      </w:pPr>
    </w:p>
    <w:p w14:paraId="64E91CA1" w14:textId="77777777" w:rsidR="000633B7" w:rsidRDefault="000633B7">
      <w:pPr>
        <w:spacing w:line="360" w:lineRule="auto"/>
      </w:pPr>
    </w:p>
    <w:p w14:paraId="30D52DF8" w14:textId="77777777" w:rsidR="000633B7" w:rsidRDefault="000633B7">
      <w:pPr>
        <w:spacing w:line="360" w:lineRule="auto"/>
      </w:pPr>
    </w:p>
    <w:p w14:paraId="32FD0A4D" w14:textId="77777777" w:rsidR="000633B7" w:rsidRDefault="000633B7">
      <w:pPr>
        <w:spacing w:line="360" w:lineRule="auto"/>
      </w:pPr>
    </w:p>
    <w:p w14:paraId="6147488B" w14:textId="77777777" w:rsidR="000633B7" w:rsidRDefault="000633B7">
      <w:pPr>
        <w:spacing w:line="360" w:lineRule="auto"/>
      </w:pPr>
    </w:p>
    <w:p w14:paraId="30CAA196" w14:textId="77777777" w:rsidR="000633B7" w:rsidRDefault="000633B7">
      <w:pPr>
        <w:spacing w:line="360" w:lineRule="auto"/>
      </w:pPr>
    </w:p>
    <w:p w14:paraId="3A069674" w14:textId="77777777" w:rsidR="000633B7" w:rsidRDefault="000633B7">
      <w:pPr>
        <w:spacing w:line="360" w:lineRule="auto"/>
      </w:pPr>
    </w:p>
    <w:p w14:paraId="405A8C7B" w14:textId="77777777" w:rsidR="001862B3" w:rsidRDefault="001862B3">
      <w:pPr>
        <w:spacing w:line="360" w:lineRule="auto"/>
      </w:pPr>
    </w:p>
    <w:p w14:paraId="34458141" w14:textId="007D3432" w:rsidR="001862B3" w:rsidRPr="001862B3" w:rsidRDefault="001862B3" w:rsidP="001862B3">
      <w:pPr>
        <w:rPr>
          <w:color w:val="1F497D" w:themeColor="text2"/>
        </w:rPr>
      </w:pPr>
      <w:r w:rsidRPr="001862B3">
        <w:rPr>
          <w:color w:val="1F497D" w:themeColor="text2"/>
        </w:rPr>
        <w:t>How this Disease is Controlled</w:t>
      </w:r>
    </w:p>
    <w:p w14:paraId="1E6C1160" w14:textId="77777777" w:rsidR="0088231A" w:rsidRDefault="00000000">
      <w:pPr>
        <w:spacing w:line="360" w:lineRule="auto"/>
      </w:pPr>
      <w:r>
        <w:t>Controlling heart disease involves a combination of primary prevention, secondary prevention, early detection and appropriate treatment.</w:t>
      </w:r>
    </w:p>
    <w:p w14:paraId="23AE8943" w14:textId="77777777" w:rsidR="0088231A" w:rsidRDefault="00000000">
      <w:pPr>
        <w:spacing w:line="360" w:lineRule="auto"/>
      </w:pPr>
      <w:r>
        <w:t xml:space="preserve"> Primary prevention focuses on reducing risk factors in the general population</w:t>
      </w:r>
      <w:r w:rsidR="0088231A">
        <w:t xml:space="preserve">, </w:t>
      </w:r>
      <w:r>
        <w:t xml:space="preserve">encouraging healthy diet, regular physical activity, smoking cessation, maintaining healthy weight, controlling blood pressure and cholesterol, managing diabetes and avoiding excess alcohol. Reducing hypertension and high cholesterol significantly lowers CHD risk (The King’s Fund, 2022). </w:t>
      </w:r>
    </w:p>
    <w:p w14:paraId="5ADD79F2" w14:textId="6999F2DD" w:rsidR="001D18DA" w:rsidRDefault="00000000">
      <w:pPr>
        <w:spacing w:line="360" w:lineRule="auto"/>
      </w:pPr>
      <w:r>
        <w:t>Secondary prevention refers to managing people who already have heart disease to prevent progression or recurrence, including prescribing medications such as statins, ACE inhibitors and beta-blockers, alongside lifestyle support and cardiac rehabilitation (Imperial College London, 2019). Early detection is also critical</w:t>
      </w:r>
      <w:r w:rsidR="0088231A">
        <w:t>,</w:t>
      </w:r>
      <w:r>
        <w:t xml:space="preserve"> screening for hypertension, high cholesterol and atrial fibrillation aids timely intervention. In England around one in four adults (approximately 12.5 million) have high blood pressure, many undiagnosed (The King’s Fund, 2022).</w:t>
      </w:r>
    </w:p>
    <w:p w14:paraId="7D9C25EE" w14:textId="79AAF4CC" w:rsidR="001D18DA" w:rsidRDefault="00000000">
      <w:pPr>
        <w:spacing w:line="360" w:lineRule="auto"/>
      </w:pPr>
      <w:r>
        <w:t xml:space="preserve">In the acute setting, the NHS provides rapid response for heart attacks, elective interventions such as angioplasty and bypass surgery, and rehabilitation. Long-term management focuses on comorbidity management, as heart disease frequently co-exists with diabetes, kidney disease and obesity. Globally, initiatives such as the “25in25” campaign aim to reduce the future burden of heart failure and cardiovascular disease (UK Kidney Association, 2023). </w:t>
      </w:r>
      <w:r w:rsidR="0088231A">
        <w:t>Taken collectively, population</w:t>
      </w:r>
      <w:r w:rsidR="0088231A">
        <w:t xml:space="preserve"> </w:t>
      </w:r>
      <w:r w:rsidR="0088231A">
        <w:t>wide measures, high-risk targeted strategies and system</w:t>
      </w:r>
      <w:r w:rsidR="0088231A">
        <w:t xml:space="preserve"> </w:t>
      </w:r>
      <w:r w:rsidR="0088231A">
        <w:t>level interventions form the overall framework for controlling heart disease.</w:t>
      </w:r>
    </w:p>
    <w:p w14:paraId="6E8C0BD4" w14:textId="77777777" w:rsidR="001862B3" w:rsidRDefault="001862B3">
      <w:pPr>
        <w:spacing w:line="360" w:lineRule="auto"/>
      </w:pPr>
    </w:p>
    <w:p w14:paraId="05095CD4" w14:textId="77777777" w:rsidR="001862B3" w:rsidRDefault="001862B3">
      <w:pPr>
        <w:spacing w:line="360" w:lineRule="auto"/>
      </w:pPr>
    </w:p>
    <w:p w14:paraId="17988DB6" w14:textId="77777777" w:rsidR="001862B3" w:rsidRDefault="001862B3">
      <w:pPr>
        <w:spacing w:line="360" w:lineRule="auto"/>
      </w:pPr>
    </w:p>
    <w:p w14:paraId="45027A69" w14:textId="77777777" w:rsidR="001862B3" w:rsidRDefault="001862B3">
      <w:pPr>
        <w:spacing w:line="360" w:lineRule="auto"/>
      </w:pPr>
    </w:p>
    <w:p w14:paraId="3DD00809" w14:textId="77777777" w:rsidR="001862B3" w:rsidRDefault="001862B3">
      <w:pPr>
        <w:spacing w:line="360" w:lineRule="auto"/>
      </w:pPr>
    </w:p>
    <w:p w14:paraId="20773971" w14:textId="77777777" w:rsidR="001862B3" w:rsidRDefault="001862B3">
      <w:pPr>
        <w:spacing w:line="360" w:lineRule="auto"/>
      </w:pPr>
    </w:p>
    <w:p w14:paraId="675388AD" w14:textId="77777777" w:rsidR="001862B3" w:rsidRDefault="001862B3">
      <w:pPr>
        <w:spacing w:line="360" w:lineRule="auto"/>
      </w:pPr>
    </w:p>
    <w:p w14:paraId="1041D16F" w14:textId="35D3834A" w:rsidR="001862B3" w:rsidRPr="001862B3" w:rsidRDefault="001862B3" w:rsidP="001862B3">
      <w:pPr>
        <w:rPr>
          <w:color w:val="1F497D" w:themeColor="text2"/>
        </w:rPr>
      </w:pPr>
      <w:r w:rsidRPr="001862B3">
        <w:rPr>
          <w:color w:val="1F497D" w:themeColor="text2"/>
        </w:rPr>
        <w:t xml:space="preserve">Factors Influencing Health and Wellbeing </w:t>
      </w:r>
    </w:p>
    <w:p w14:paraId="38A0A792" w14:textId="3CC43445" w:rsidR="001D18DA" w:rsidRDefault="00000000">
      <w:pPr>
        <w:spacing w:line="360" w:lineRule="auto"/>
      </w:pPr>
      <w:r>
        <w:t xml:space="preserve">Multiple factors influence the health and </w:t>
      </w:r>
      <w:r w:rsidR="0088231A">
        <w:t>wellbeing</w:t>
      </w:r>
      <w:r>
        <w:t xml:space="preserve"> of people affected by heart disease and those around them. These can be categorised into behavioural/lifestyle, socio-economic, biological/genetic, and </w:t>
      </w:r>
      <w:r w:rsidR="0088231A">
        <w:t>service-related</w:t>
      </w:r>
      <w:r>
        <w:t xml:space="preserve"> factors.</w:t>
      </w:r>
    </w:p>
    <w:p w14:paraId="06495506" w14:textId="77D808A1" w:rsidR="001D18DA" w:rsidRDefault="00000000">
      <w:pPr>
        <w:spacing w:line="360" w:lineRule="auto"/>
      </w:pPr>
      <w:r>
        <w:t>Behavioural and lifestyle factors include unhealthy diets high in saturated fats, salt and sugars</w:t>
      </w:r>
      <w:r w:rsidR="0088231A">
        <w:t>,</w:t>
      </w:r>
      <w:r>
        <w:t xml:space="preserve"> physical inactivity</w:t>
      </w:r>
      <w:r w:rsidR="0088231A">
        <w:t>,</w:t>
      </w:r>
      <w:r>
        <w:t xml:space="preserve"> smoking</w:t>
      </w:r>
      <w:r w:rsidR="0088231A">
        <w:t>,</w:t>
      </w:r>
      <w:r>
        <w:t xml:space="preserve"> harmful alcohol use</w:t>
      </w:r>
      <w:r w:rsidR="0088231A">
        <w:t>,</w:t>
      </w:r>
      <w:r>
        <w:t xml:space="preserve"> obesity</w:t>
      </w:r>
      <w:r w:rsidR="0088231A">
        <w:t xml:space="preserve"> </w:t>
      </w:r>
      <w:r>
        <w:t xml:space="preserve">and poor sleep all of which raise risk (British Heart Foundation, 2025). For individuals with heart disease, these behaviours hinder recovery and increase recurrence risk. </w:t>
      </w:r>
      <w:r w:rsidR="0088231A">
        <w:t>Alternatively</w:t>
      </w:r>
      <w:r>
        <w:t xml:space="preserve">, adopting healthier </w:t>
      </w:r>
      <w:r w:rsidR="0088231A">
        <w:t>behaviors</w:t>
      </w:r>
      <w:r>
        <w:t xml:space="preserve"> improves outcomes.</w:t>
      </w:r>
    </w:p>
    <w:p w14:paraId="464F7782" w14:textId="2953DF78" w:rsidR="001D18DA" w:rsidRDefault="00000000">
      <w:pPr>
        <w:spacing w:line="360" w:lineRule="auto"/>
      </w:pPr>
      <w:r>
        <w:t xml:space="preserve">Socio-economic factors strongly influence heart disease incidence and outcomes. People in deprived areas have higher rates of heart disease, earlier onset and worse outcomes (Oxford University, 2024). Educational </w:t>
      </w:r>
      <w:r w:rsidR="000633B7">
        <w:t>success</w:t>
      </w:r>
      <w:r>
        <w:t>, income, housing and access to green space all shape cardiovascular risk. Families may experience financial strain, emotional stress and caregiving burdens.</w:t>
      </w:r>
    </w:p>
    <w:p w14:paraId="71A89622" w14:textId="4852188E" w:rsidR="001D18DA" w:rsidRDefault="00000000">
      <w:pPr>
        <w:spacing w:line="360" w:lineRule="auto"/>
      </w:pPr>
      <w:r>
        <w:t xml:space="preserve">Biological and genetic factors such as age, sex, family history and ethnicity are significant. </w:t>
      </w:r>
      <w:r w:rsidR="000633B7">
        <w:t xml:space="preserve">Concurrent medical conditions </w:t>
      </w:r>
      <w:r>
        <w:t>including hypertension, diabetes and kidney disease elevate risk (British Heart Foundation, 2025). Globally, heart failure prevalence exceeds 64 million cases, and nearly all UK patients have at least one other long-term condition (UK Kidney Association, 2023).</w:t>
      </w:r>
    </w:p>
    <w:p w14:paraId="6B94835F" w14:textId="77777777" w:rsidR="001D18DA" w:rsidRDefault="00000000">
      <w:pPr>
        <w:spacing w:line="360" w:lineRule="auto"/>
      </w:pPr>
      <w:r>
        <w:t>Service-related factors include access to healthcare, timely diagnosis and effective treatment. Regional variations in heart failure incidence reflect differences in service provision (Oxford University, 2017). The COVID-19 pandemic disrupted cardiovascular care, delaying prevention and management services. Carers of those with heart disease may also experience emotional distress and health challenges. These factors collectively determine individual and family outcomes.</w:t>
      </w:r>
    </w:p>
    <w:p w14:paraId="160F8B07" w14:textId="77777777" w:rsidR="001862B3" w:rsidRDefault="001862B3">
      <w:pPr>
        <w:spacing w:line="360" w:lineRule="auto"/>
      </w:pPr>
    </w:p>
    <w:p w14:paraId="7B200BD2" w14:textId="77777777" w:rsidR="001862B3" w:rsidRDefault="001862B3">
      <w:pPr>
        <w:spacing w:line="360" w:lineRule="auto"/>
      </w:pPr>
    </w:p>
    <w:p w14:paraId="1C2E3C3B" w14:textId="77777777" w:rsidR="001862B3" w:rsidRDefault="001862B3">
      <w:pPr>
        <w:spacing w:line="360" w:lineRule="auto"/>
      </w:pPr>
    </w:p>
    <w:p w14:paraId="2E4B3576" w14:textId="77777777" w:rsidR="001862B3" w:rsidRDefault="001862B3">
      <w:pPr>
        <w:spacing w:line="360" w:lineRule="auto"/>
      </w:pPr>
    </w:p>
    <w:p w14:paraId="246C821C" w14:textId="4FC6EA6F" w:rsidR="001862B3" w:rsidRPr="001862B3" w:rsidRDefault="001862B3" w:rsidP="001862B3">
      <w:pPr>
        <w:rPr>
          <w:color w:val="1F497D" w:themeColor="text2"/>
        </w:rPr>
      </w:pPr>
      <w:r w:rsidRPr="001862B3">
        <w:rPr>
          <w:color w:val="1F497D" w:themeColor="text2"/>
        </w:rPr>
        <w:t>Conclusion</w:t>
      </w:r>
    </w:p>
    <w:p w14:paraId="00BBDA9C" w14:textId="77777777" w:rsidR="001862B3" w:rsidRDefault="001862B3">
      <w:pPr>
        <w:spacing w:line="360" w:lineRule="auto"/>
      </w:pPr>
    </w:p>
    <w:p w14:paraId="4E195B46" w14:textId="77777777" w:rsidR="008E49A8" w:rsidRDefault="008E49A8" w:rsidP="008E49A8">
      <w:pPr>
        <w:spacing w:line="360" w:lineRule="auto"/>
        <w:rPr>
          <w:rFonts w:ascii="Times New Roman" w:eastAsia="Times New Roman" w:hAnsi="Times New Roman"/>
        </w:rPr>
      </w:pPr>
      <w:r>
        <w:t>Heart disease is still a huge public health issue, both around the world and in the UK. It affects not just the people living with it, but also their families, communities and the wider health system. Because of this, it’s important to have a range of different approaches to tackle the problem.</w:t>
      </w:r>
    </w:p>
    <w:p w14:paraId="3DCF6D9D" w14:textId="2E889A46" w:rsidR="008E49A8" w:rsidRDefault="008E49A8" w:rsidP="008E49A8">
      <w:pPr>
        <w:spacing w:line="360" w:lineRule="auto"/>
      </w:pPr>
      <w:r>
        <w:t xml:space="preserve">Prevention is one of the most important parts of reducing heart disease. This includes encouraging healthier lifestyles, spotting risk factors early and making sure services are in place to support people before their condition gets worse. Helping people avoid smoking, </w:t>
      </w:r>
      <w:r>
        <w:t>staying</w:t>
      </w:r>
      <w:r>
        <w:t xml:space="preserve"> active, </w:t>
      </w:r>
      <w:r>
        <w:t>eating</w:t>
      </w:r>
      <w:r>
        <w:t xml:space="preserve"> well and </w:t>
      </w:r>
      <w:r>
        <w:t>managing</w:t>
      </w:r>
      <w:r>
        <w:t xml:space="preserve"> stress can make a big difference. But it’s also important to recognise that not everyone has the same opportunities to live healthily. Things like income, housing, access to green spaces and the cost of healthy food all influence heart health, and people in more deprived areas often face bigger challenges.</w:t>
      </w:r>
    </w:p>
    <w:p w14:paraId="59ACEA10" w14:textId="10684359" w:rsidR="008E49A8" w:rsidRDefault="008E49A8" w:rsidP="008E49A8">
      <w:pPr>
        <w:spacing w:line="360" w:lineRule="auto"/>
      </w:pPr>
      <w:r>
        <w:t>Improving access to good</w:t>
      </w:r>
      <w:r>
        <w:t xml:space="preserve"> </w:t>
      </w:r>
      <w:r>
        <w:t>quality, joined</w:t>
      </w:r>
      <w:r>
        <w:t xml:space="preserve"> </w:t>
      </w:r>
      <w:r>
        <w:t>up care is also key. The easier it is for people to get the right support</w:t>
      </w:r>
      <w:r>
        <w:t xml:space="preserve"> </w:t>
      </w:r>
      <w:r>
        <w:t>whether that’s from their GP, a specialist, rehab services or community groups</w:t>
      </w:r>
      <w:r>
        <w:t xml:space="preserve"> </w:t>
      </w:r>
      <w:r>
        <w:t>the more likely they are to stay well and avoid hospital admissions. Better coordination between services, more support for self-</w:t>
      </w:r>
      <w:r>
        <w:t>management,</w:t>
      </w:r>
      <w:r>
        <w:t xml:space="preserve"> and the use of digital tools can all help people manage their condition day</w:t>
      </w:r>
      <w:r>
        <w:t xml:space="preserve"> </w:t>
      </w:r>
      <w:r>
        <w:t>to</w:t>
      </w:r>
      <w:r>
        <w:t xml:space="preserve"> </w:t>
      </w:r>
      <w:r>
        <w:t>day.</w:t>
      </w:r>
    </w:p>
    <w:p w14:paraId="599C5355" w14:textId="32660E21" w:rsidR="008E49A8" w:rsidRDefault="008E49A8" w:rsidP="008E49A8">
      <w:pPr>
        <w:spacing w:line="360" w:lineRule="auto"/>
      </w:pPr>
      <w:r>
        <w:t xml:space="preserve">To keep making progress, continued research, strong policies and community involvement are needed. New treatments, better diagnostics and effective prevention programmes rely on ongoing investment and understanding what people </w:t>
      </w:r>
      <w:r>
        <w:t>need</w:t>
      </w:r>
      <w:r>
        <w:t>. Bringing together healthcare professionals, policymakers and local communities will help create fairer, more effective support for everyone, leading to better heart health across the population (British Heart Foundation, 2025).</w:t>
      </w:r>
    </w:p>
    <w:p w14:paraId="3C146BCA" w14:textId="77777777" w:rsidR="001862B3" w:rsidRDefault="001862B3">
      <w:pPr>
        <w:spacing w:line="360" w:lineRule="auto"/>
      </w:pPr>
    </w:p>
    <w:p w14:paraId="71D9DF79" w14:textId="77777777" w:rsidR="001862B3" w:rsidRDefault="001862B3">
      <w:pPr>
        <w:spacing w:line="360" w:lineRule="auto"/>
      </w:pPr>
    </w:p>
    <w:p w14:paraId="340D1D0A" w14:textId="77777777" w:rsidR="001862B3" w:rsidRDefault="001862B3">
      <w:pPr>
        <w:spacing w:line="360" w:lineRule="auto"/>
      </w:pPr>
    </w:p>
    <w:p w14:paraId="3C9417EB" w14:textId="77777777" w:rsidR="001862B3" w:rsidRDefault="001862B3">
      <w:pPr>
        <w:spacing w:line="360" w:lineRule="auto"/>
      </w:pPr>
    </w:p>
    <w:p w14:paraId="2CFE9D88" w14:textId="77777777" w:rsidR="001862B3" w:rsidRDefault="001862B3">
      <w:pPr>
        <w:spacing w:line="360" w:lineRule="auto"/>
      </w:pPr>
    </w:p>
    <w:p w14:paraId="531C54D2" w14:textId="77777777" w:rsidR="001862B3" w:rsidRDefault="001862B3">
      <w:pPr>
        <w:spacing w:line="360" w:lineRule="auto"/>
      </w:pPr>
    </w:p>
    <w:p w14:paraId="675217C0" w14:textId="039B8B3F" w:rsidR="001862B3" w:rsidRPr="001862B3" w:rsidRDefault="001862B3" w:rsidP="001862B3">
      <w:pPr>
        <w:rPr>
          <w:color w:val="1F497D" w:themeColor="text2"/>
        </w:rPr>
      </w:pPr>
      <w:r w:rsidRPr="001862B3">
        <w:rPr>
          <w:color w:val="1F497D" w:themeColor="text2"/>
        </w:rPr>
        <w:t>Reference List</w:t>
      </w:r>
    </w:p>
    <w:p w14:paraId="76B1B641" w14:textId="77777777" w:rsidR="001D18DA" w:rsidRDefault="00000000">
      <w:pPr>
        <w:spacing w:line="360" w:lineRule="auto"/>
      </w:pPr>
      <w:r>
        <w:t>AXA Health (</w:t>
      </w:r>
      <w:proofErr w:type="gramStart"/>
      <w:r>
        <w:t>2025) ‘</w:t>
      </w:r>
      <w:proofErr w:type="gramEnd"/>
      <w:r>
        <w:t>Heart Health: Guidance for Employers’. Available at: https://www.axahealth.co.uk/business/guidance-for-employers/heart-health/ (Accessed: 12 November 2025).</w:t>
      </w:r>
    </w:p>
    <w:p w14:paraId="1AA9DDFE" w14:textId="0ADADB3A" w:rsidR="001D18DA" w:rsidRDefault="00000000">
      <w:pPr>
        <w:spacing w:line="360" w:lineRule="auto"/>
      </w:pPr>
      <w:r>
        <w:t>British Heart Foundation (2025) ‘Facts and Figures: Heart and Circulatory Diseases in the UK’. Available at: https://www.bhf.org.uk (Accessed: 1</w:t>
      </w:r>
      <w:r w:rsidR="000C77FA">
        <w:t>7</w:t>
      </w:r>
      <w:r>
        <w:t xml:space="preserve"> November 2025).</w:t>
      </w:r>
    </w:p>
    <w:p w14:paraId="01B60EDA" w14:textId="77777777" w:rsidR="001D18DA" w:rsidRDefault="00000000">
      <w:pPr>
        <w:spacing w:line="360" w:lineRule="auto"/>
      </w:pPr>
      <w:r>
        <w:t>Conrad, N. et al. (2017) ‘Heart Failure in the UK Continues to Rise; Poorest People Worst Affected’. University of Oxford.</w:t>
      </w:r>
    </w:p>
    <w:p w14:paraId="40646FCD" w14:textId="1E102A5A" w:rsidR="001D18DA" w:rsidRDefault="00000000">
      <w:pPr>
        <w:spacing w:line="360" w:lineRule="auto"/>
      </w:pPr>
      <w:r>
        <w:t>Imperial College London (2019) ‘Heart Disease Deaths Nearly Halved in the UK’. Available at: https://www.imperial.ac.uk (Accessed: 1</w:t>
      </w:r>
      <w:r w:rsidR="000C77FA">
        <w:t>7</w:t>
      </w:r>
      <w:r>
        <w:t xml:space="preserve"> November 2025).</w:t>
      </w:r>
    </w:p>
    <w:p w14:paraId="6821E490" w14:textId="77777777" w:rsidR="001D18DA" w:rsidRDefault="00000000">
      <w:pPr>
        <w:spacing w:line="360" w:lineRule="auto"/>
      </w:pPr>
      <w:r>
        <w:t>Oxford University (2017) ‘Heart Failure in the UK: Poorest People Worst Affected’. Available at: https://www.ox.ac.uk (Accessed: 12 November 2025).</w:t>
      </w:r>
    </w:p>
    <w:p w14:paraId="774A5807" w14:textId="387D9BBB" w:rsidR="001D18DA" w:rsidRDefault="00000000">
      <w:pPr>
        <w:spacing w:line="360" w:lineRule="auto"/>
      </w:pPr>
      <w:r>
        <w:t>Oxford University (2024) ‘Major UK Study Reveals Shifting Trends and Persistent Challenges in Heart Disease’. Available at: https://www.ox.ac.uk (Accessed: 1</w:t>
      </w:r>
      <w:r w:rsidR="000C77FA">
        <w:t>5</w:t>
      </w:r>
      <w:r>
        <w:t xml:space="preserve"> November 2025).</w:t>
      </w:r>
    </w:p>
    <w:p w14:paraId="7A1FFE13" w14:textId="77777777" w:rsidR="001D18DA" w:rsidRDefault="00000000">
      <w:pPr>
        <w:spacing w:line="360" w:lineRule="auto"/>
      </w:pPr>
      <w:r>
        <w:t>The King’s Fund (2022) ‘Cardiovascular Disease in England: Summary 2022’. Available at: https://www.kingsfund.org.uk (Accessed: 12 November 2025).</w:t>
      </w:r>
    </w:p>
    <w:p w14:paraId="386310B8" w14:textId="77777777" w:rsidR="001D18DA" w:rsidRDefault="00000000">
      <w:pPr>
        <w:spacing w:line="360" w:lineRule="auto"/>
      </w:pPr>
      <w:r>
        <w:t>UK Kidney Association (2023) ‘Global 25in25 Initiative to Save Lives’. Available at: https://www.ukkidney.org (Accessed: 12 November 2025).</w:t>
      </w:r>
    </w:p>
    <w:sectPr w:rsidR="001D18DA"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D1C58" w14:textId="77777777" w:rsidR="00346C81" w:rsidRDefault="00346C81" w:rsidP="001862B3">
      <w:pPr>
        <w:spacing w:after="0" w:line="240" w:lineRule="auto"/>
      </w:pPr>
      <w:r>
        <w:separator/>
      </w:r>
    </w:p>
  </w:endnote>
  <w:endnote w:type="continuationSeparator" w:id="0">
    <w:p w14:paraId="4B139D73" w14:textId="77777777" w:rsidR="00346C81" w:rsidRDefault="00346C81" w:rsidP="00186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071567"/>
      <w:docPartObj>
        <w:docPartGallery w:val="Page Numbers (Bottom of Page)"/>
        <w:docPartUnique/>
      </w:docPartObj>
    </w:sdtPr>
    <w:sdtContent>
      <w:p w14:paraId="4A5EB182" w14:textId="17B07FA0" w:rsidR="001862B3" w:rsidRDefault="001862B3">
        <w:pPr>
          <w:pStyle w:val="Footer"/>
        </w:pPr>
        <w:r>
          <w:fldChar w:fldCharType="begin"/>
        </w:r>
        <w:r>
          <w:instrText>PAGE   \* MERGEFORMAT</w:instrText>
        </w:r>
        <w:r>
          <w:fldChar w:fldCharType="separate"/>
        </w:r>
        <w:r>
          <w:rPr>
            <w:lang w:val="en-GB"/>
          </w:rPr>
          <w:t>2</w:t>
        </w:r>
        <w:r>
          <w:fldChar w:fldCharType="end"/>
        </w:r>
      </w:p>
    </w:sdtContent>
  </w:sdt>
  <w:p w14:paraId="4EB085B7" w14:textId="77777777" w:rsidR="001862B3" w:rsidRDefault="001862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5AD2E" w14:textId="77777777" w:rsidR="00346C81" w:rsidRDefault="00346C81" w:rsidP="001862B3">
      <w:pPr>
        <w:spacing w:after="0" w:line="240" w:lineRule="auto"/>
      </w:pPr>
      <w:r>
        <w:separator/>
      </w:r>
    </w:p>
  </w:footnote>
  <w:footnote w:type="continuationSeparator" w:id="0">
    <w:p w14:paraId="536DCBD3" w14:textId="77777777" w:rsidR="00346C81" w:rsidRDefault="00346C81" w:rsidP="001862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6B04610"/>
    <w:multiLevelType w:val="hybridMultilevel"/>
    <w:tmpl w:val="2A60F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966347"/>
    <w:multiLevelType w:val="hybridMultilevel"/>
    <w:tmpl w:val="E6A6E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230828">
    <w:abstractNumId w:val="8"/>
  </w:num>
  <w:num w:numId="2" w16cid:durableId="383990234">
    <w:abstractNumId w:val="6"/>
  </w:num>
  <w:num w:numId="3" w16cid:durableId="275603512">
    <w:abstractNumId w:val="5"/>
  </w:num>
  <w:num w:numId="4" w16cid:durableId="249120474">
    <w:abstractNumId w:val="4"/>
  </w:num>
  <w:num w:numId="5" w16cid:durableId="692415179">
    <w:abstractNumId w:val="7"/>
  </w:num>
  <w:num w:numId="6" w16cid:durableId="2073380281">
    <w:abstractNumId w:val="3"/>
  </w:num>
  <w:num w:numId="7" w16cid:durableId="1719890392">
    <w:abstractNumId w:val="2"/>
  </w:num>
  <w:num w:numId="8" w16cid:durableId="1149663440">
    <w:abstractNumId w:val="1"/>
  </w:num>
  <w:num w:numId="9" w16cid:durableId="549878728">
    <w:abstractNumId w:val="0"/>
  </w:num>
  <w:num w:numId="10" w16cid:durableId="1123962220">
    <w:abstractNumId w:val="10"/>
  </w:num>
  <w:num w:numId="11" w16cid:durableId="3384315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2B2"/>
    <w:rsid w:val="00034616"/>
    <w:rsid w:val="0006063C"/>
    <w:rsid w:val="000633B7"/>
    <w:rsid w:val="000C77FA"/>
    <w:rsid w:val="0015074B"/>
    <w:rsid w:val="001862B3"/>
    <w:rsid w:val="001D18DA"/>
    <w:rsid w:val="0029639D"/>
    <w:rsid w:val="002B36FB"/>
    <w:rsid w:val="00326F90"/>
    <w:rsid w:val="00346C81"/>
    <w:rsid w:val="00832B34"/>
    <w:rsid w:val="0088231A"/>
    <w:rsid w:val="008E49A8"/>
    <w:rsid w:val="00AA1D8D"/>
    <w:rsid w:val="00B47730"/>
    <w:rsid w:val="00C55F95"/>
    <w:rsid w:val="00CB0664"/>
    <w:rsid w:val="00E76AB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4F5A1A"/>
  <w14:defaultImageDpi w14:val="300"/>
  <w15:docId w15:val="{F00184D0-36BC-498A-B084-77B4660EA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0633B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1606</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10745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Nottingham - Showcase</cp:lastModifiedBy>
  <cp:revision>2</cp:revision>
  <dcterms:created xsi:type="dcterms:W3CDTF">2025-11-18T09:52:00Z</dcterms:created>
  <dcterms:modified xsi:type="dcterms:W3CDTF">2025-11-18T09:52:00Z</dcterms:modified>
  <cp:category/>
</cp:coreProperties>
</file>