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74D29" w14:textId="4859F8D9" w:rsidR="008F79C0" w:rsidRDefault="00423AA5" w:rsidP="00423AA5">
      <w:pPr>
        <w:jc w:val="center"/>
        <w:rPr>
          <w:b/>
          <w:bCs/>
          <w:sz w:val="16"/>
          <w:szCs w:val="16"/>
        </w:rPr>
      </w:pPr>
      <w:r w:rsidRPr="00423AA5">
        <w:rPr>
          <w:b/>
          <w:bCs/>
          <w:i/>
          <w:iCs/>
        </w:rPr>
        <w:t xml:space="preserve">‘Are you greater than our </w:t>
      </w:r>
      <w:r w:rsidR="00BE71E4">
        <w:rPr>
          <w:b/>
          <w:bCs/>
          <w:i/>
          <w:iCs/>
        </w:rPr>
        <w:t>ancesto</w:t>
      </w:r>
      <w:r w:rsidRPr="00423AA5">
        <w:rPr>
          <w:b/>
          <w:bCs/>
          <w:i/>
          <w:iCs/>
        </w:rPr>
        <w:t>r Jacob…’</w:t>
      </w:r>
      <w:r>
        <w:rPr>
          <w:b/>
          <w:bCs/>
          <w:i/>
          <w:iCs/>
        </w:rPr>
        <w:t xml:space="preserve"> </w:t>
      </w:r>
      <w:r>
        <w:rPr>
          <w:b/>
          <w:bCs/>
          <w:sz w:val="16"/>
          <w:szCs w:val="16"/>
        </w:rPr>
        <w:t>(John 4:12)</w:t>
      </w:r>
    </w:p>
    <w:p w14:paraId="2489F02F" w14:textId="77777777" w:rsidR="00FF1803" w:rsidRDefault="00423AA5" w:rsidP="00423AA5">
      <w:pPr>
        <w:jc w:val="center"/>
        <w:rPr>
          <w:b/>
          <w:bCs/>
        </w:rPr>
      </w:pPr>
      <w:r>
        <w:rPr>
          <w:b/>
          <w:bCs/>
        </w:rPr>
        <w:t xml:space="preserve">An Exploration into the Johannine Author’s Use of the ‘Betrothal Type-Scene’ for Christological Means- Jesus </w:t>
      </w:r>
      <w:r w:rsidR="00FF1803">
        <w:rPr>
          <w:b/>
          <w:bCs/>
        </w:rPr>
        <w:t>as the New</w:t>
      </w:r>
      <w:r>
        <w:rPr>
          <w:b/>
          <w:bCs/>
        </w:rPr>
        <w:t xml:space="preserve"> Jacob</w:t>
      </w:r>
      <w:r w:rsidR="00410D6E">
        <w:rPr>
          <w:b/>
          <w:bCs/>
        </w:rPr>
        <w:t xml:space="preserve"> </w:t>
      </w:r>
    </w:p>
    <w:p w14:paraId="69417C19" w14:textId="6F055196" w:rsidR="00423AA5" w:rsidRPr="00FF1803" w:rsidRDefault="00410D6E" w:rsidP="00423AA5">
      <w:pPr>
        <w:jc w:val="center"/>
        <w:rPr>
          <w:b/>
          <w:bCs/>
          <w:sz w:val="20"/>
          <w:szCs w:val="20"/>
        </w:rPr>
      </w:pPr>
      <w:r w:rsidRPr="00FF1803">
        <w:rPr>
          <w:b/>
          <w:bCs/>
          <w:sz w:val="20"/>
          <w:szCs w:val="20"/>
        </w:rPr>
        <w:t>(Gen</w:t>
      </w:r>
      <w:r w:rsidR="00FF1803">
        <w:rPr>
          <w:b/>
          <w:bCs/>
          <w:sz w:val="20"/>
          <w:szCs w:val="20"/>
        </w:rPr>
        <w:t>esis</w:t>
      </w:r>
      <w:r w:rsidRPr="00FF1803">
        <w:rPr>
          <w:b/>
          <w:bCs/>
          <w:sz w:val="20"/>
          <w:szCs w:val="20"/>
        </w:rPr>
        <w:t xml:space="preserve"> 29/John 4)</w:t>
      </w:r>
      <w:r w:rsidR="00423AA5" w:rsidRPr="00FF1803">
        <w:rPr>
          <w:b/>
          <w:bCs/>
          <w:sz w:val="20"/>
          <w:szCs w:val="20"/>
        </w:rPr>
        <w:t xml:space="preserve"> </w:t>
      </w:r>
    </w:p>
    <w:p w14:paraId="1CCC9695" w14:textId="70F615AD" w:rsidR="00423AA5" w:rsidRDefault="00423AA5" w:rsidP="00423AA5">
      <w:pPr>
        <w:rPr>
          <w:b/>
          <w:bCs/>
          <w:color w:val="FF0000"/>
        </w:rPr>
      </w:pPr>
      <w:r>
        <w:rPr>
          <w:b/>
          <w:bCs/>
        </w:rPr>
        <w:t xml:space="preserve">Introduction </w:t>
      </w:r>
    </w:p>
    <w:p w14:paraId="02637BF1" w14:textId="0B1C16E0" w:rsidR="00FF1803" w:rsidRPr="00BE71E4" w:rsidRDefault="00BE71E4" w:rsidP="00815D6C">
      <w:pPr>
        <w:jc w:val="both"/>
      </w:pPr>
      <w:r w:rsidRPr="00BE71E4">
        <w:t xml:space="preserve">“Are you </w:t>
      </w:r>
      <w:r>
        <w:t>greater than our ancestor</w:t>
      </w:r>
      <w:r w:rsidRPr="00BE71E4">
        <w:t xml:space="preserve"> Jacob, who gave us the well, and with his sons and his flocks drank from it?</w:t>
      </w:r>
      <w:r>
        <w:t xml:space="preserve">” (John 4:12), this is </w:t>
      </w:r>
      <w:r w:rsidR="001D0E54">
        <w:t>a</w:t>
      </w:r>
      <w:r>
        <w:t xml:space="preserve"> question </w:t>
      </w:r>
      <w:r w:rsidR="00815D6C">
        <w:t>posed</w:t>
      </w:r>
      <w:r>
        <w:t xml:space="preserve"> by </w:t>
      </w:r>
      <w:r w:rsidR="008D160F">
        <w:t>an</w:t>
      </w:r>
      <w:r>
        <w:t xml:space="preserve"> un-named Samarit</w:t>
      </w:r>
      <w:r w:rsidR="001D0E54">
        <w:t>an woman who</w:t>
      </w:r>
      <w:r w:rsidR="008D160F">
        <w:t xml:space="preserve"> happens to meet Jesus at a well in her hometown, and consequently has one of the most profound and significant conversations recorded within the fourth Gospel. </w:t>
      </w:r>
      <w:r w:rsidR="001D0E54">
        <w:t xml:space="preserve">It is also a question, that I believe, </w:t>
      </w:r>
      <w:r w:rsidR="0040706C">
        <w:t>is</w:t>
      </w:r>
      <w:r w:rsidR="008D160F">
        <w:t xml:space="preserve"> subtly and yet powerfully</w:t>
      </w:r>
      <w:r w:rsidR="001D0E54">
        <w:t xml:space="preserve"> planted in</w:t>
      </w:r>
      <w:r w:rsidR="008D160F">
        <w:t>to</w:t>
      </w:r>
      <w:r w:rsidR="001D0E54">
        <w:t xml:space="preserve"> the mind</w:t>
      </w:r>
      <w:r w:rsidR="008D160F">
        <w:t>s</w:t>
      </w:r>
      <w:r w:rsidR="001D0E54">
        <w:t xml:space="preserve"> of many Jewish hearers/readers of the Gospel, by its author. </w:t>
      </w:r>
      <w:r w:rsidR="008D160F">
        <w:t>As the Samaritan wom</w:t>
      </w:r>
      <w:r w:rsidR="00815D6C">
        <w:t>a</w:t>
      </w:r>
      <w:r w:rsidR="008D160F">
        <w:t xml:space="preserve">n ponders the identity of the man before her, </w:t>
      </w:r>
      <w:r w:rsidR="00815D6C">
        <w:t xml:space="preserve">and </w:t>
      </w:r>
      <w:r w:rsidR="0040706C">
        <w:t xml:space="preserve">then </w:t>
      </w:r>
      <w:r w:rsidR="00815D6C">
        <w:t xml:space="preserve">lives within the salvific implications of her conclusion, </w:t>
      </w:r>
      <w:r w:rsidR="008D160F">
        <w:t>so</w:t>
      </w:r>
      <w:r w:rsidR="00815D6C">
        <w:t xml:space="preserve"> </w:t>
      </w:r>
      <w:proofErr w:type="spellStart"/>
      <w:r w:rsidR="008D160F">
        <w:t>to</w:t>
      </w:r>
      <w:proofErr w:type="spellEnd"/>
      <w:r w:rsidR="008D160F">
        <w:t xml:space="preserve"> are the readers encouraged to carefully ponder his identity- </w:t>
      </w:r>
      <w:r w:rsidR="00815D6C">
        <w:t xml:space="preserve">hopefully, reaching the same conclusion as the woman. </w:t>
      </w:r>
    </w:p>
    <w:p w14:paraId="2A1E75A5" w14:textId="2A46F962" w:rsidR="00BE71E4" w:rsidRDefault="00815D6C" w:rsidP="00815D6C">
      <w:pPr>
        <w:jc w:val="both"/>
        <w:rPr>
          <w:bCs/>
        </w:rPr>
      </w:pPr>
      <w:r>
        <w:rPr>
          <w:bCs/>
        </w:rPr>
        <w:t xml:space="preserve">The Johannine Jesus is rooted in the Hebrew Scriptures- every character pointing towards the coming of Jesus who is </w:t>
      </w:r>
      <w:r w:rsidR="0040706C">
        <w:rPr>
          <w:bCs/>
        </w:rPr>
        <w:t xml:space="preserve">presented as </w:t>
      </w:r>
      <w:r>
        <w:rPr>
          <w:bCs/>
        </w:rPr>
        <w:t xml:space="preserve">the logos incarnate, the emissary of God, the fulfilment of the Torah. Within this essay I will </w:t>
      </w:r>
      <w:r w:rsidR="002B62F1">
        <w:rPr>
          <w:bCs/>
        </w:rPr>
        <w:t xml:space="preserve">therefore </w:t>
      </w:r>
      <w:r>
        <w:rPr>
          <w:bCs/>
        </w:rPr>
        <w:t xml:space="preserve">explore the ways in which the Johannine author uses a </w:t>
      </w:r>
      <w:r w:rsidR="002B62F1">
        <w:rPr>
          <w:bCs/>
        </w:rPr>
        <w:t xml:space="preserve">specific </w:t>
      </w:r>
      <w:r>
        <w:rPr>
          <w:bCs/>
        </w:rPr>
        <w:t>Hebrew literary convention</w:t>
      </w:r>
      <w:r w:rsidR="002B62F1">
        <w:rPr>
          <w:bCs/>
        </w:rPr>
        <w:t xml:space="preserve"> (betrothal type-scene)</w:t>
      </w:r>
      <w:r>
        <w:rPr>
          <w:bCs/>
        </w:rPr>
        <w:t xml:space="preserve"> to </w:t>
      </w:r>
      <w:r w:rsidR="002B62F1">
        <w:rPr>
          <w:bCs/>
        </w:rPr>
        <w:t>imply</w:t>
      </w:r>
      <w:r>
        <w:rPr>
          <w:bCs/>
        </w:rPr>
        <w:t xml:space="preserve"> that Jesus is the new Jacob, fulfilling the covenant that was established with Jacob’s grandfather (Abraham) and maintained by his sons (who become known as the Twelve Tribes of Israel). </w:t>
      </w:r>
      <w:r w:rsidR="003A0728">
        <w:rPr>
          <w:bCs/>
        </w:rPr>
        <w:t xml:space="preserve">I believe </w:t>
      </w:r>
      <w:r w:rsidR="00F43D20">
        <w:rPr>
          <w:bCs/>
        </w:rPr>
        <w:t xml:space="preserve">that </w:t>
      </w:r>
      <w:r w:rsidR="003A0728">
        <w:rPr>
          <w:bCs/>
        </w:rPr>
        <w:t xml:space="preserve">the roots of such a comparison </w:t>
      </w:r>
      <w:r w:rsidR="00F43D20">
        <w:rPr>
          <w:bCs/>
        </w:rPr>
        <w:t xml:space="preserve">are weaved into </w:t>
      </w:r>
      <w:r w:rsidR="003A0728">
        <w:rPr>
          <w:bCs/>
        </w:rPr>
        <w:t>the meeting</w:t>
      </w:r>
      <w:r w:rsidR="00F43D20">
        <w:rPr>
          <w:bCs/>
        </w:rPr>
        <w:t>/betrothal</w:t>
      </w:r>
      <w:r w:rsidR="003A0728">
        <w:rPr>
          <w:bCs/>
        </w:rPr>
        <w:t xml:space="preserve"> of Jacob and his future wife, Rachel. </w:t>
      </w:r>
    </w:p>
    <w:p w14:paraId="637E1EE1" w14:textId="5D303511" w:rsidR="00BE71E4" w:rsidRPr="00E93EC4" w:rsidRDefault="00877159" w:rsidP="00E93EC4">
      <w:pPr>
        <w:jc w:val="both"/>
        <w:rPr>
          <w:bCs/>
        </w:rPr>
      </w:pPr>
      <w:r>
        <w:rPr>
          <w:bCs/>
        </w:rPr>
        <w:t xml:space="preserve">Consequently, </w:t>
      </w:r>
      <w:r w:rsidR="00AA7560">
        <w:rPr>
          <w:bCs/>
        </w:rPr>
        <w:t xml:space="preserve">I will firstly un-pack the </w:t>
      </w:r>
      <w:r w:rsidR="003345F5">
        <w:rPr>
          <w:bCs/>
        </w:rPr>
        <w:t xml:space="preserve">literary </w:t>
      </w:r>
      <w:r w:rsidR="00AA7560">
        <w:rPr>
          <w:bCs/>
        </w:rPr>
        <w:t xml:space="preserve">theory of the betrothal type-scene, which was proposed by Robert Alter, investigating the importance and validity of the theory and exploring the specific cases in which it has been deployed. I will then conduct a </w:t>
      </w:r>
      <w:r w:rsidR="003345F5">
        <w:rPr>
          <w:bCs/>
        </w:rPr>
        <w:t>textual</w:t>
      </w:r>
      <w:r w:rsidR="00AA7560">
        <w:rPr>
          <w:bCs/>
        </w:rPr>
        <w:t xml:space="preserve"> analysis of Rachel and Jacob’s betrothal type-scene </w:t>
      </w:r>
      <w:r w:rsidR="003345F5">
        <w:rPr>
          <w:bCs/>
        </w:rPr>
        <w:t xml:space="preserve">(Gen. 29) </w:t>
      </w:r>
      <w:r w:rsidR="00AA7560">
        <w:rPr>
          <w:bCs/>
        </w:rPr>
        <w:t>before doing the same with the meeting between Jesus and the Samaritan woman</w:t>
      </w:r>
      <w:r w:rsidR="003345F5">
        <w:rPr>
          <w:bCs/>
        </w:rPr>
        <w:t xml:space="preserve"> (John 4)</w:t>
      </w:r>
      <w:r w:rsidR="00AA7560">
        <w:rPr>
          <w:bCs/>
        </w:rPr>
        <w:t xml:space="preserve">, drawing out the comparisons that can be made between both accounts. Finally, I will </w:t>
      </w:r>
      <w:r w:rsidR="00E93EC4">
        <w:rPr>
          <w:bCs/>
        </w:rPr>
        <w:t xml:space="preserve">present the theological implications of John’s comparison between Jesus and Jacob and discuss the inter-faith issues that may arise as a result. </w:t>
      </w:r>
    </w:p>
    <w:p w14:paraId="0DC6D951" w14:textId="1409BA34" w:rsidR="00423AA5" w:rsidRDefault="009E6192" w:rsidP="00423AA5">
      <w:pPr>
        <w:rPr>
          <w:b/>
          <w:bCs/>
          <w:color w:val="FF0000"/>
        </w:rPr>
      </w:pPr>
      <w:r>
        <w:rPr>
          <w:b/>
          <w:bCs/>
        </w:rPr>
        <w:t xml:space="preserve">Robert Alter, </w:t>
      </w:r>
      <w:r w:rsidR="00423AA5">
        <w:rPr>
          <w:b/>
          <w:bCs/>
        </w:rPr>
        <w:t xml:space="preserve">Genre and Type-Scene Theories </w:t>
      </w:r>
    </w:p>
    <w:p w14:paraId="16952304" w14:textId="1722D080" w:rsidR="00BE7189" w:rsidRPr="00B72885" w:rsidRDefault="00B72885" w:rsidP="005246A5">
      <w:pPr>
        <w:jc w:val="both"/>
      </w:pPr>
      <w:r>
        <w:t>Robert Alter’s name i</w:t>
      </w:r>
      <w:r w:rsidR="00E44CCA">
        <w:t>s</w:t>
      </w:r>
      <w:r>
        <w:t xml:space="preserve"> inescapable when entering into a discussing regarding biblical genre or literary conventions; he writes that in order to fully understand both the author’s intentions and the intended audience reactions, one must possess a “detailed awareness of the grid of conventions upon which, and against which, the individual work </w:t>
      </w:r>
      <w:r w:rsidR="00C858F6">
        <w:t>operates</w:t>
      </w:r>
      <w:r>
        <w:t>”</w:t>
      </w:r>
      <w:r w:rsidR="005246A5">
        <w:t>.</w:t>
      </w:r>
      <w:r>
        <w:rPr>
          <w:rStyle w:val="FootnoteReference"/>
        </w:rPr>
        <w:footnoteReference w:id="1"/>
      </w:r>
      <w:r w:rsidR="00C858F6">
        <w:t xml:space="preserve"> According to Alter, this poses both a problem and an opportunity</w:t>
      </w:r>
      <w:r w:rsidR="005246A5">
        <w:t xml:space="preserve">. The problem is a relatively obvious one- an awareness of such a ‘grid of conventions’ is largely unavailable to us, as we are so far removed from the context </w:t>
      </w:r>
      <w:r w:rsidR="00E44CCA">
        <w:t xml:space="preserve">from which </w:t>
      </w:r>
      <w:r w:rsidR="005246A5">
        <w:t xml:space="preserve">these scriptures were constructed and </w:t>
      </w:r>
      <w:r w:rsidR="00366E8D">
        <w:t xml:space="preserve">originally </w:t>
      </w:r>
      <w:r w:rsidR="005246A5">
        <w:t xml:space="preserve">received. We are having to contend with multiple millennia of history, as well as the minute </w:t>
      </w:r>
      <w:r w:rsidR="00CC1662">
        <w:t>number</w:t>
      </w:r>
      <w:r w:rsidR="005246A5">
        <w:t xml:space="preserve"> of sources that we have </w:t>
      </w:r>
      <w:r w:rsidR="00CC1662">
        <w:t>at our disposal</w:t>
      </w:r>
      <w:r w:rsidR="005246A5">
        <w:t>- th</w:t>
      </w:r>
      <w:r w:rsidR="00CC1662">
        <w:t>ese circumstances</w:t>
      </w:r>
      <w:r w:rsidR="005246A5">
        <w:t xml:space="preserve"> ha</w:t>
      </w:r>
      <w:r w:rsidR="00CC1662">
        <w:t>ve</w:t>
      </w:r>
      <w:r w:rsidR="005246A5">
        <w:t xml:space="preserve"> inevitably meant that many of the keys to unlocking the literary conventions </w:t>
      </w:r>
      <w:r w:rsidR="00FD0794">
        <w:t xml:space="preserve">that are </w:t>
      </w:r>
      <w:r w:rsidR="005246A5">
        <w:t xml:space="preserve">weaved into biblical writing are lost. </w:t>
      </w:r>
      <w:r w:rsidR="007F07AB">
        <w:t xml:space="preserve">However, the opportunity is simply that not </w:t>
      </w:r>
      <w:r w:rsidR="007F07AB" w:rsidRPr="007F07AB">
        <w:rPr>
          <w:i/>
          <w:iCs/>
        </w:rPr>
        <w:t>all</w:t>
      </w:r>
      <w:r w:rsidR="007F07AB">
        <w:t xml:space="preserve"> of the keys are lost</w:t>
      </w:r>
      <w:r w:rsidR="00E77243">
        <w:t xml:space="preserve">- through paying close attention to genre and stylistic </w:t>
      </w:r>
      <w:r w:rsidR="00D0770E">
        <w:t xml:space="preserve">writing </w:t>
      </w:r>
      <w:r w:rsidR="00E77243">
        <w:t>patterns,</w:t>
      </w:r>
      <w:r w:rsidR="00E44CCA">
        <w:t xml:space="preserve"> </w:t>
      </w:r>
      <w:r w:rsidR="00E77243">
        <w:t>we are able to piece together elements of ancient literary conventions</w:t>
      </w:r>
      <w:r w:rsidR="00D0770E">
        <w:t xml:space="preserve"> and thus obtain a more holistic idea of authorial intent</w:t>
      </w:r>
      <w:r w:rsidR="007F07AB">
        <w:t xml:space="preserve">. </w:t>
      </w:r>
    </w:p>
    <w:p w14:paraId="55AF3A14" w14:textId="36F16E68" w:rsidR="00B72885" w:rsidRDefault="00D0770E" w:rsidP="00AC4FD7">
      <w:pPr>
        <w:jc w:val="both"/>
      </w:pPr>
      <w:r>
        <w:lastRenderedPageBreak/>
        <w:t xml:space="preserve">Genre is of the utmost importance to Alter, as it defines and then regulates the anticipations of the audience in such a subconscious manner that the author can implant expectations and assumptions without having to explicitly state as much. </w:t>
      </w:r>
      <w:r w:rsidR="00B4312A">
        <w:t>As a contemporary example, allow me a moment to comment</w:t>
      </w:r>
      <w:r w:rsidR="009C6F30">
        <w:t xml:space="preserve"> upon the importance of genre within </w:t>
      </w:r>
      <w:r w:rsidR="00AC4FD7">
        <w:t>R</w:t>
      </w:r>
      <w:r w:rsidR="009C6F30">
        <w:t>omantic</w:t>
      </w:r>
      <w:r w:rsidR="00AC4FD7">
        <w:t>-C</w:t>
      </w:r>
      <w:r w:rsidR="009C6F30">
        <w:t>omedy narratives</w:t>
      </w:r>
      <w:r w:rsidR="00E44CCA">
        <w:t>:</w:t>
      </w:r>
      <w:r w:rsidR="009C6F30">
        <w:t xml:space="preserve"> as the audience is introduced to the two protagonists of the narrative, they are instantly implanted with the presupposition that these two individuals will end the narrative as one romantic unit- </w:t>
      </w:r>
      <w:r w:rsidR="00EE3D52">
        <w:t xml:space="preserve">the obstacles that may hinder this union from occurring are inconsequential, </w:t>
      </w:r>
      <w:r w:rsidR="009C6F30">
        <w:t xml:space="preserve">the audience’s </w:t>
      </w:r>
      <w:r w:rsidR="00EE3D52">
        <w:t xml:space="preserve">subconscious </w:t>
      </w:r>
      <w:r w:rsidR="009C6F30">
        <w:t xml:space="preserve">assumption is that the narrative will take these persons from </w:t>
      </w:r>
      <w:r w:rsidR="009C6F30" w:rsidRPr="009C6F30">
        <w:rPr>
          <w:i/>
          <w:iCs/>
        </w:rPr>
        <w:t>A</w:t>
      </w:r>
      <w:r w:rsidR="009C6F30">
        <w:t xml:space="preserve"> to </w:t>
      </w:r>
      <w:r w:rsidR="009C6F30" w:rsidRPr="009C6F30">
        <w:rPr>
          <w:i/>
          <w:iCs/>
        </w:rPr>
        <w:t>B</w:t>
      </w:r>
      <w:r w:rsidR="009C6F30">
        <w:t>, from being a</w:t>
      </w:r>
      <w:r w:rsidR="00EE3D52">
        <w:t>part</w:t>
      </w:r>
      <w:r w:rsidR="009C6F30">
        <w:t xml:space="preserve"> to being together. </w:t>
      </w:r>
      <w:r w:rsidR="00E44CCA">
        <w:t xml:space="preserve">This assumption is built upon nothing but the genre of the narrative. </w:t>
      </w:r>
      <w:r w:rsidR="00546A9A">
        <w:t>Similarly, A</w:t>
      </w:r>
      <w:r w:rsidR="00EE3D52">
        <w:t xml:space="preserve">lter </w:t>
      </w:r>
      <w:r w:rsidR="009E6192">
        <w:t xml:space="preserve">argues that genre is a literary formula which </w:t>
      </w:r>
      <w:r w:rsidR="00E44CCA">
        <w:t xml:space="preserve">has been frequently </w:t>
      </w:r>
      <w:r w:rsidR="009E6192">
        <w:t xml:space="preserve">employed by biblical authors and largely over-looked by biblical scholars. He therefore regards genre </w:t>
      </w:r>
      <w:r w:rsidR="00AC4FD7">
        <w:t>as a tool with which we can glean a closer understanding of “the artistry of biblical narrative”,</w:t>
      </w:r>
      <w:r w:rsidR="00AC4FD7">
        <w:rPr>
          <w:rStyle w:val="FootnoteReference"/>
        </w:rPr>
        <w:footnoteReference w:id="2"/>
      </w:r>
      <w:r w:rsidR="00AC4FD7">
        <w:t xml:space="preserve"> he states that: </w:t>
      </w:r>
    </w:p>
    <w:p w14:paraId="5A66218A" w14:textId="3397FDF5" w:rsidR="00AC4FD7" w:rsidRPr="00AC4FD7" w:rsidRDefault="00AC4FD7" w:rsidP="00AC4FD7">
      <w:pPr>
        <w:jc w:val="center"/>
        <w:rPr>
          <w:i/>
          <w:iCs/>
        </w:rPr>
      </w:pPr>
      <w:r>
        <w:rPr>
          <w:i/>
          <w:iCs/>
        </w:rPr>
        <w:t>‘One of course needs to recognize the formulas if they are there in order to see what is going on in the text, but as I shall try to illustrate, what is finally more significant is the inventive freshness with which formulas are recast and redeployed in each new instance’</w:t>
      </w:r>
      <w:r>
        <w:rPr>
          <w:rStyle w:val="FootnoteReference"/>
          <w:i/>
          <w:iCs/>
        </w:rPr>
        <w:footnoteReference w:id="3"/>
      </w:r>
      <w:r>
        <w:rPr>
          <w:i/>
          <w:iCs/>
        </w:rPr>
        <w:t xml:space="preserve"> </w:t>
      </w:r>
    </w:p>
    <w:p w14:paraId="431DF9EE" w14:textId="434E04BD" w:rsidR="003F4EB4" w:rsidRDefault="001B12EA" w:rsidP="009E6192">
      <w:pPr>
        <w:jc w:val="both"/>
      </w:pPr>
      <w:r>
        <w:t xml:space="preserve">The identification of biblical ‘type-scenes’ </w:t>
      </w:r>
      <w:r w:rsidR="00BF2DE9">
        <w:t>is</w:t>
      </w:r>
      <w:r>
        <w:t xml:space="preserve"> a way in which we are able to identify such formulas, as we pay close attention to the replication of certain narrative patterns within biblical texts</w:t>
      </w:r>
      <w:r w:rsidR="00AD3C25">
        <w:t xml:space="preserve">. </w:t>
      </w:r>
      <w:r w:rsidR="00BF2DE9">
        <w:t xml:space="preserve">According to Alter, these type-scenes are pieces of narrative that adhere to a specific set of motifs- their importance is dependent on the audience being familiar with such motifs and therefore (whether consciously or not) attaching </w:t>
      </w:r>
      <w:r w:rsidR="00546A9A">
        <w:t xml:space="preserve">familiar </w:t>
      </w:r>
      <w:r w:rsidR="00BF2DE9">
        <w:t xml:space="preserve">importance to the character within the type-scene. </w:t>
      </w:r>
      <w:r w:rsidR="00AD3C25">
        <w:t>S</w:t>
      </w:r>
      <w:r>
        <w:t xml:space="preserve">uch type-scenes allow the biblical authors to journey through the </w:t>
      </w:r>
      <w:r w:rsidR="00AD3C25">
        <w:t>protagonist’s</w:t>
      </w:r>
      <w:r>
        <w:t xml:space="preserve"> life, </w:t>
      </w:r>
      <w:r w:rsidR="00AD3C25">
        <w:t>homing in</w:t>
      </w:r>
      <w:r w:rsidR="00F04FF9">
        <w:t xml:space="preserve"> on </w:t>
      </w:r>
      <w:r w:rsidR="00AD3C25">
        <w:t>moments that hold symbolic significance</w:t>
      </w:r>
      <w:r w:rsidR="00BF2DE9">
        <w:t xml:space="preserve">- </w:t>
      </w:r>
      <w:r w:rsidR="001F6FC7">
        <w:t>moments such as their birth (usually to a barren mother), an epiphany in a field, danger in wilderness</w:t>
      </w:r>
      <w:r w:rsidR="00546A9A">
        <w:t xml:space="preserve"> and</w:t>
      </w:r>
      <w:r w:rsidR="001F6FC7">
        <w:t xml:space="preserve"> the discovery of sustenance in a barren land.</w:t>
      </w:r>
      <w:r w:rsidR="00E37187">
        <w:rPr>
          <w:rStyle w:val="FootnoteReference"/>
        </w:rPr>
        <w:footnoteReference w:id="4"/>
      </w:r>
      <w:r w:rsidR="001F6FC7">
        <w:t xml:space="preserve"> </w:t>
      </w:r>
      <w:r w:rsidR="00006119">
        <w:t xml:space="preserve">Yet these type-scenes are not </w:t>
      </w:r>
      <w:r w:rsidR="007056A7">
        <w:t xml:space="preserve">completely </w:t>
      </w:r>
      <w:r w:rsidR="00006119">
        <w:t>stagnant</w:t>
      </w:r>
      <w:r w:rsidR="00E37187">
        <w:t>, as Alter writes in his afore mentioned statement regarding the formula of genre and type-scenes</w:t>
      </w:r>
      <w:r w:rsidR="00FD0794">
        <w:t>,</w:t>
      </w:r>
      <w:r w:rsidR="00E37187">
        <w:t xml:space="preserve"> biblical authors have </w:t>
      </w:r>
      <w:r w:rsidR="004C1688">
        <w:t xml:space="preserve">been able to </w:t>
      </w:r>
      <w:r w:rsidR="00E37187">
        <w:t xml:space="preserve">manipulate and creatively redeploy the motifs in </w:t>
      </w:r>
      <w:r w:rsidR="00006119">
        <w:t xml:space="preserve">each narrative. </w:t>
      </w:r>
      <w:r w:rsidR="007056A7" w:rsidRPr="007056A7">
        <w:t>So long as the</w:t>
      </w:r>
      <w:r w:rsidR="007056A7">
        <w:t xml:space="preserve"> type-scenes</w:t>
      </w:r>
      <w:r w:rsidR="007056A7" w:rsidRPr="007056A7">
        <w:t xml:space="preserve"> are delivered in a manner that is in </w:t>
      </w:r>
      <w:r w:rsidR="007056A7">
        <w:t xml:space="preserve">loose </w:t>
      </w:r>
      <w:r w:rsidR="007056A7" w:rsidRPr="007056A7">
        <w:t>concordance with the expectations of the audience, the author is able to use the type-scene as a tool with which they can regulate the audience’s sentiments towards a character</w:t>
      </w:r>
      <w:r w:rsidR="005E3873">
        <w:t xml:space="preserve">. </w:t>
      </w:r>
      <w:r w:rsidR="003F4EB4">
        <w:t xml:space="preserve">The </w:t>
      </w:r>
      <w:r w:rsidR="00FE1475">
        <w:t>identification of g</w:t>
      </w:r>
      <w:r w:rsidR="008B7865">
        <w:t>enre</w:t>
      </w:r>
      <w:r w:rsidR="003F4EB4">
        <w:t xml:space="preserve"> and Alter’s type-scene model</w:t>
      </w:r>
      <w:r w:rsidR="00FE1475">
        <w:t xml:space="preserve"> is </w:t>
      </w:r>
      <w:r w:rsidR="004D3BE6">
        <w:t xml:space="preserve">imperative to my exploration of supersession (between </w:t>
      </w:r>
      <w:r w:rsidR="00FE1475">
        <w:t>Jacob and Jesus</w:t>
      </w:r>
      <w:r w:rsidR="004D3BE6">
        <w:t>)</w:t>
      </w:r>
      <w:r w:rsidR="00FE1475">
        <w:t xml:space="preserve"> as</w:t>
      </w:r>
      <w:r w:rsidR="003F4EB4">
        <w:t xml:space="preserve"> one of the type-scenes most frequently and perhaps most thoroughly deployed, is that of the betrothal. </w:t>
      </w:r>
    </w:p>
    <w:p w14:paraId="7EE380D7" w14:textId="3480C5CC" w:rsidR="00FE1475" w:rsidRDefault="007A0467" w:rsidP="009E6192">
      <w:pPr>
        <w:jc w:val="both"/>
      </w:pPr>
      <w:r>
        <w:t xml:space="preserve">The recurrent use of the betrothal type-scene ensures that “at the moment of the hero’s betrothal, both the author and his audience </w:t>
      </w:r>
      <w:r w:rsidR="00AF6567">
        <w:t>are</w:t>
      </w:r>
      <w:r>
        <w:t xml:space="preserve"> aware that the scene ha</w:t>
      </w:r>
      <w:r w:rsidR="00AF6567">
        <w:t>s</w:t>
      </w:r>
      <w:r>
        <w:t xml:space="preserve"> to unfold in particular circumstances according to the fixed order”.</w:t>
      </w:r>
      <w:r>
        <w:rPr>
          <w:rStyle w:val="FootnoteReference"/>
        </w:rPr>
        <w:footnoteReference w:id="5"/>
      </w:r>
      <w:r>
        <w:t xml:space="preserve"> The order of the betrothal narrative is as follows: the hero/protagonist of the narrative (or a representative of him) travels to a foreign land, he then halts his journey when he meets a woman at a well, after which, one of the two parties on the brink of betrothal draws water for the other. The woman then returns to her community with the news of the man’s arrival, which leads to a hospitable invitation and an eventual marriage betrothal.</w:t>
      </w:r>
      <w:r w:rsidR="00D7421E">
        <w:rPr>
          <w:rStyle w:val="FootnoteReference"/>
        </w:rPr>
        <w:footnoteReference w:id="6"/>
      </w:r>
      <w:r>
        <w:t xml:space="preserve"> </w:t>
      </w:r>
      <w:r w:rsidR="00767B94">
        <w:t xml:space="preserve">This type-scene has been clearly used in (at least) three instances within the Hebrew Bible. </w:t>
      </w:r>
    </w:p>
    <w:p w14:paraId="12DED8F3" w14:textId="096E6A3C" w:rsidR="00767B94" w:rsidRDefault="00015406" w:rsidP="009E6192">
      <w:pPr>
        <w:jc w:val="both"/>
        <w:rPr>
          <w:b/>
          <w:bCs/>
        </w:rPr>
      </w:pPr>
      <w:r w:rsidRPr="00015406">
        <w:rPr>
          <w:b/>
          <w:bCs/>
        </w:rPr>
        <w:lastRenderedPageBreak/>
        <w:t>Isaac and Rebekah</w:t>
      </w:r>
      <w:r>
        <w:rPr>
          <w:b/>
          <w:bCs/>
        </w:rPr>
        <w:t xml:space="preserve"> (Gen. 24)</w:t>
      </w:r>
    </w:p>
    <w:p w14:paraId="6BEE415B" w14:textId="1B7A6795" w:rsidR="00015406" w:rsidRPr="00015406" w:rsidRDefault="00497A1C" w:rsidP="009E6192">
      <w:pPr>
        <w:jc w:val="both"/>
      </w:pPr>
      <w:r>
        <w:t>The</w:t>
      </w:r>
      <w:r w:rsidR="00EE2225">
        <w:t xml:space="preserve"> first deployment of the </w:t>
      </w:r>
      <w:r w:rsidR="008A525D">
        <w:t xml:space="preserve">type-scene dominates the narrative of Genesis 24, with </w:t>
      </w:r>
      <w:r>
        <w:t>t</w:t>
      </w:r>
      <w:r w:rsidR="008A525D">
        <w:t>he whole chapter being dedicate</w:t>
      </w:r>
      <w:r>
        <w:t>d</w:t>
      </w:r>
      <w:r w:rsidR="008A525D">
        <w:t xml:space="preserve"> to the meeting between Rebekah and Isaac’s representative. The narrative </w:t>
      </w:r>
      <w:r w:rsidR="00BF31A0">
        <w:t xml:space="preserve">dramatically slows its pace as it carefully </w:t>
      </w:r>
      <w:r w:rsidR="008A525D">
        <w:t xml:space="preserve">abides by </w:t>
      </w:r>
      <w:r w:rsidR="00BF31A0">
        <w:t>each of the</w:t>
      </w:r>
      <w:r w:rsidR="008A525D">
        <w:t xml:space="preserve"> motifs highlighted by Alter, </w:t>
      </w:r>
      <w:r w:rsidR="00BF31A0">
        <w:t>thus t</w:t>
      </w:r>
      <w:r w:rsidR="008A525D">
        <w:t xml:space="preserve">he </w:t>
      </w:r>
      <w:r>
        <w:t xml:space="preserve">scene </w:t>
      </w:r>
      <w:r w:rsidR="00BF31A0">
        <w:t xml:space="preserve">progresses </w:t>
      </w:r>
      <w:r w:rsidR="00EE2225">
        <w:t xml:space="preserve">exactly as the audience is </w:t>
      </w:r>
      <w:r w:rsidR="00BF31A0">
        <w:t>expect</w:t>
      </w:r>
      <w:r w:rsidR="00EE2225">
        <w:t>ing</w:t>
      </w:r>
      <w:r w:rsidR="00BF31A0">
        <w:t xml:space="preserve">. </w:t>
      </w:r>
      <w:r w:rsidR="00B8151F">
        <w:t xml:space="preserve">While on a journey to find a </w:t>
      </w:r>
      <w:r w:rsidR="0065360F">
        <w:t xml:space="preserve">kindred </w:t>
      </w:r>
      <w:r w:rsidR="00B8151F">
        <w:t>wife for his Master, Isaac (commissioned by Abraham- Gen. 24:4), the unnamed servant encounters Rebekah at a well</w:t>
      </w:r>
      <w:r w:rsidR="0065360F">
        <w:t xml:space="preserve"> as she</w:t>
      </w:r>
      <w:r w:rsidR="00B8151F">
        <w:t xml:space="preserve"> draw</w:t>
      </w:r>
      <w:r w:rsidR="0065360F">
        <w:t>s</w:t>
      </w:r>
      <w:r w:rsidR="00B8151F">
        <w:t xml:space="preserve"> water for herself and her community (24:17). As was the servant’s prayer (and the audience</w:t>
      </w:r>
      <w:r w:rsidR="00E028EB">
        <w:t>’</w:t>
      </w:r>
      <w:r w:rsidR="00B8151F">
        <w:t xml:space="preserve">s expectation), Rebekah’s hospitality prompts her to offer a drink not only to him but also to his camels (vv. 18-21), </w:t>
      </w:r>
      <w:r w:rsidR="00E028EB">
        <w:t xml:space="preserve">after which </w:t>
      </w:r>
      <w:r w:rsidR="00B8151F">
        <w:t>an invite of further hospitality ensues a</w:t>
      </w:r>
      <w:r w:rsidR="00E028EB">
        <w:t>s</w:t>
      </w:r>
      <w:r w:rsidR="00B8151F">
        <w:t xml:space="preserve"> Rebekah hurries to inform her family of the meeting, and the servant is consequently invited to eat and rest with them</w:t>
      </w:r>
      <w:r w:rsidR="00E028EB">
        <w:t xml:space="preserve"> (vv. 28- 54)</w:t>
      </w:r>
      <w:r w:rsidR="006D749D">
        <w:t xml:space="preserve">. </w:t>
      </w:r>
      <w:r w:rsidR="001B532F">
        <w:t>Thomas L. Brodie</w:t>
      </w:r>
      <w:r w:rsidR="00C42BB9">
        <w:t xml:space="preserve"> highlight</w:t>
      </w:r>
      <w:r w:rsidR="00EE2225">
        <w:t>s</w:t>
      </w:r>
      <w:r w:rsidR="00C42BB9">
        <w:t xml:space="preserve"> the author</w:t>
      </w:r>
      <w:r w:rsidR="004353DD">
        <w:t>’</w:t>
      </w:r>
      <w:r w:rsidR="00C42BB9">
        <w:t>s intentionality</w:t>
      </w:r>
      <w:r w:rsidR="0079615E">
        <w:t xml:space="preserve"> and attention to literary detail</w:t>
      </w:r>
      <w:r w:rsidR="00EE2225">
        <w:t xml:space="preserve"> in this scene, he writes that</w:t>
      </w:r>
      <w:r w:rsidR="001B532F">
        <w:t xml:space="preserve"> “</w:t>
      </w:r>
      <w:r w:rsidR="00575480" w:rsidRPr="00575480">
        <w:t xml:space="preserve">the Rebekah story is unique. Most obviously, as a single episode, it is uniquely lengthy, well beyond anything else in Genesis. It follows </w:t>
      </w:r>
      <w:r w:rsidR="00D063FE" w:rsidRPr="00575480">
        <w:t>Genesis yet</w:t>
      </w:r>
      <w:r w:rsidR="00575480" w:rsidRPr="00575480">
        <w:t xml:space="preserve"> breaks the mould.</w:t>
      </w:r>
      <w:r w:rsidR="001B532F">
        <w:t>”</w:t>
      </w:r>
      <w:r w:rsidR="001B532F">
        <w:rPr>
          <w:rStyle w:val="FootnoteReference"/>
        </w:rPr>
        <w:footnoteReference w:id="7"/>
      </w:r>
      <w:r w:rsidR="0079615E">
        <w:t xml:space="preserve"> </w:t>
      </w:r>
      <w:r w:rsidR="0079615E" w:rsidRPr="0079615E">
        <w:t>A</w:t>
      </w:r>
      <w:r w:rsidR="00EE2225">
        <w:t xml:space="preserve">s </w:t>
      </w:r>
      <w:r w:rsidR="00E952E1">
        <w:t>is</w:t>
      </w:r>
      <w:r w:rsidR="00EE2225">
        <w:t xml:space="preserve"> hinted toward </w:t>
      </w:r>
      <w:r w:rsidR="00E952E1">
        <w:t xml:space="preserve">from the </w:t>
      </w:r>
      <w:r w:rsidR="00BB26A7">
        <w:t>opening</w:t>
      </w:r>
      <w:r w:rsidR="00E952E1">
        <w:t xml:space="preserve"> sentence- a</w:t>
      </w:r>
      <w:r w:rsidR="00EE2225">
        <w:t xml:space="preserve"> </w:t>
      </w:r>
      <w:r w:rsidR="0079615E" w:rsidRPr="0079615E">
        <w:t>betrothal between Isaac and Rebekah is the long-awaited outcome of this thorough and most elaborate betrothal type-scene</w:t>
      </w:r>
      <w:r w:rsidR="0011685F">
        <w:t>.</w:t>
      </w:r>
    </w:p>
    <w:p w14:paraId="4E99C75C" w14:textId="59F4DA4C" w:rsidR="00015406" w:rsidRPr="00015406" w:rsidRDefault="00015406" w:rsidP="009E6192">
      <w:pPr>
        <w:jc w:val="both"/>
        <w:rPr>
          <w:b/>
          <w:bCs/>
        </w:rPr>
      </w:pPr>
      <w:r w:rsidRPr="00015406">
        <w:rPr>
          <w:b/>
          <w:bCs/>
        </w:rPr>
        <w:t xml:space="preserve">Moses and Zipporah </w:t>
      </w:r>
      <w:r>
        <w:rPr>
          <w:b/>
          <w:bCs/>
        </w:rPr>
        <w:t>(Exod. 2:11-</w:t>
      </w:r>
      <w:r w:rsidR="002D3C41">
        <w:rPr>
          <w:b/>
          <w:bCs/>
        </w:rPr>
        <w:t>22</w:t>
      </w:r>
      <w:r>
        <w:rPr>
          <w:b/>
          <w:bCs/>
        </w:rPr>
        <w:t>)</w:t>
      </w:r>
    </w:p>
    <w:p w14:paraId="1BE8B39E" w14:textId="4EDF1F1F" w:rsidR="00AC4FD7" w:rsidRDefault="00BB26A7" w:rsidP="009E6192">
      <w:pPr>
        <w:jc w:val="both"/>
      </w:pPr>
      <w:r>
        <w:t>In contrast to Genesis 24, t</w:t>
      </w:r>
      <w:r w:rsidR="00F506BB">
        <w:t xml:space="preserve">he most compact </w:t>
      </w:r>
      <w:r w:rsidR="002D3C41">
        <w:t>presentation</w:t>
      </w:r>
      <w:r w:rsidR="00F506BB">
        <w:t xml:space="preserve"> of the type-scene can be found in the book of Exodus as the book’s protagonist</w:t>
      </w:r>
      <w:r w:rsidR="002D3C41">
        <w:t>, Moses,</w:t>
      </w:r>
      <w:r w:rsidR="00F506BB">
        <w:t xml:space="preserve"> flees from Egypt after murdering an Egyptian guard</w:t>
      </w:r>
      <w:r w:rsidR="002D3C41">
        <w:t xml:space="preserve"> (Exod. 2:15). While in the desert of Midian, he encounters priest</w:t>
      </w:r>
      <w:r>
        <w:t xml:space="preserve"> Reuel</w:t>
      </w:r>
      <w:r w:rsidR="002D3C41">
        <w:t>’s seven daughters who are being obstructed</w:t>
      </w:r>
      <w:r w:rsidR="00A1260C">
        <w:t xml:space="preserve"> from drawing water</w:t>
      </w:r>
      <w:r w:rsidR="002D3C41">
        <w:t xml:space="preserve"> by a group of shepherds. The author</w:t>
      </w:r>
      <w:r w:rsidR="00A1260C">
        <w:t xml:space="preserve"> consequently </w:t>
      </w:r>
      <w:r w:rsidR="002D3C41">
        <w:t>uses the type-scene motifs to reinforce Moses’ heroic traits, as he “</w:t>
      </w:r>
      <w:r w:rsidR="002D3C41" w:rsidRPr="002D3C41">
        <w:t>got up and came to their defen</w:t>
      </w:r>
      <w:r w:rsidR="002D3C41">
        <w:t>c</w:t>
      </w:r>
      <w:r w:rsidR="002D3C41" w:rsidRPr="002D3C41">
        <w:t>e and watered their flock</w:t>
      </w:r>
      <w:r w:rsidR="002D3C41">
        <w:t xml:space="preserve">” (2:16), </w:t>
      </w:r>
      <w:r>
        <w:t>thankful for</w:t>
      </w:r>
      <w:r w:rsidR="002D3C41">
        <w:t xml:space="preserve"> Moses’ </w:t>
      </w:r>
      <w:r w:rsidR="00A1260C">
        <w:t xml:space="preserve">heroic </w:t>
      </w:r>
      <w:r w:rsidR="002D3C41">
        <w:t xml:space="preserve">assistance, the daughters </w:t>
      </w:r>
      <w:r w:rsidR="00A1260C">
        <w:t xml:space="preserve">promptly </w:t>
      </w:r>
      <w:r w:rsidR="002D3C41">
        <w:t xml:space="preserve">return to their father, </w:t>
      </w:r>
      <w:r w:rsidR="00A1260C">
        <w:t xml:space="preserve">in order to </w:t>
      </w:r>
      <w:r w:rsidR="002D3C41">
        <w:t xml:space="preserve">report of Moses’ bravery. Moses is then invited to dine with them and is given Zipporah as his wife (vv. 20-22). </w:t>
      </w:r>
      <w:r w:rsidR="005C1E7B">
        <w:t>The author dedicates a mere eleven verses to the union of Moses and Zipporah</w:t>
      </w:r>
      <w:r w:rsidR="009B52E6">
        <w:t xml:space="preserve"> </w:t>
      </w:r>
      <w:r w:rsidR="00A208BF">
        <w:t>(</w:t>
      </w:r>
      <w:r w:rsidR="009B52E6">
        <w:t>as opposed to the sixty-seven verses used to present the union of Isaac and Rebekah)</w:t>
      </w:r>
      <w:r w:rsidR="005C1E7B">
        <w:t>; this could be because the role of Zipporah within Moses’ life</w:t>
      </w:r>
      <w:r w:rsidR="00A208BF">
        <w:t>/mission</w:t>
      </w:r>
      <w:r w:rsidR="005C1E7B">
        <w:t xml:space="preserve"> is of secondary importance, or it could be that the author is relying upon the type-scene assumptions to fill in any literary gaps for the audience. </w:t>
      </w:r>
    </w:p>
    <w:p w14:paraId="0034160C" w14:textId="54392BA4" w:rsidR="00766D61" w:rsidRPr="00790F79" w:rsidRDefault="00790F79" w:rsidP="00792CA6">
      <w:pPr>
        <w:jc w:val="both"/>
      </w:pPr>
      <w:r>
        <w:t xml:space="preserve">An awareness of these two passages is essential when seeking to analyse the biblical employment of the betrothal type-scene, </w:t>
      </w:r>
      <w:r w:rsidR="009F618E">
        <w:t xml:space="preserve">and the ways in which it has been altered </w:t>
      </w:r>
      <w:r w:rsidR="00D02EBC">
        <w:t xml:space="preserve">and manipulated </w:t>
      </w:r>
      <w:r w:rsidR="009F618E">
        <w:t xml:space="preserve">in each instance for specific theological aims. </w:t>
      </w:r>
      <w:r>
        <w:t xml:space="preserve">yet I would argue that it is the encounter between Jacob and Rachel that is of particular literary interest and theological importance to the Johannine author. </w:t>
      </w:r>
    </w:p>
    <w:p w14:paraId="0BBD43F3" w14:textId="398FF4DB" w:rsidR="00790F79" w:rsidRDefault="00423AA5" w:rsidP="00423AA5">
      <w:pPr>
        <w:rPr>
          <w:b/>
          <w:bCs/>
          <w:color w:val="FF0000"/>
        </w:rPr>
      </w:pPr>
      <w:r>
        <w:rPr>
          <w:b/>
          <w:bCs/>
        </w:rPr>
        <w:t>Genesis 29- Jacob and Rachel (</w:t>
      </w:r>
      <w:r w:rsidR="00B318D1">
        <w:rPr>
          <w:b/>
          <w:bCs/>
        </w:rPr>
        <w:t>A</w:t>
      </w:r>
      <w:r>
        <w:rPr>
          <w:b/>
          <w:bCs/>
        </w:rPr>
        <w:t xml:space="preserve"> Textual Analysis) </w:t>
      </w:r>
    </w:p>
    <w:p w14:paraId="575E8C0F" w14:textId="55274B50" w:rsidR="00877457" w:rsidRDefault="00012A2A" w:rsidP="00792CA6">
      <w:pPr>
        <w:jc w:val="both"/>
      </w:pPr>
      <w:r>
        <w:t xml:space="preserve">In Genesis 29, the </w:t>
      </w:r>
      <w:r w:rsidR="00332039">
        <w:t>reader</w:t>
      </w:r>
      <w:r>
        <w:t xml:space="preserve"> journey</w:t>
      </w:r>
      <w:r w:rsidR="00332039">
        <w:t>s</w:t>
      </w:r>
      <w:r>
        <w:t xml:space="preserve"> with Jacob (Rebekah and Isaac’s son), as he flees his home for fear of this bother’s ange</w:t>
      </w:r>
      <w:r w:rsidR="0047459F">
        <w:t>r (Gen. 27:42-44), seeking refuge in the land of his uncle Laban</w:t>
      </w:r>
      <w:r w:rsidR="000857E4">
        <w:t xml:space="preserve"> </w:t>
      </w:r>
      <w:r w:rsidR="0047459F">
        <w:t>(</w:t>
      </w:r>
      <w:r w:rsidR="00221132">
        <w:t>29:</w:t>
      </w:r>
      <w:r w:rsidR="000857E4">
        <w:t>1-3)</w:t>
      </w:r>
      <w:r w:rsidR="009643D9">
        <w:t>. According to Michael W. Martin, the protagonist’s journey to a foreign land is of immense literary importance, as he argues that Alter’s betrothal type-scene theory is actually “</w:t>
      </w:r>
      <w:r w:rsidR="009643D9" w:rsidRPr="009643D9">
        <w:t xml:space="preserve">framed in a larger betrothal </w:t>
      </w:r>
      <w:r w:rsidR="009643D9" w:rsidRPr="00DD63A5">
        <w:rPr>
          <w:i/>
          <w:iCs/>
        </w:rPr>
        <w:t>journey</w:t>
      </w:r>
      <w:r w:rsidR="009643D9" w:rsidRPr="009643D9">
        <w:t xml:space="preserve"> narrative that begins and ends at home</w:t>
      </w:r>
      <w:r w:rsidR="009643D9">
        <w:t>”</w:t>
      </w:r>
      <w:r w:rsidR="000857E4">
        <w:t>.</w:t>
      </w:r>
      <w:r w:rsidR="009643D9">
        <w:rPr>
          <w:rStyle w:val="FootnoteReference"/>
        </w:rPr>
        <w:footnoteReference w:id="8"/>
      </w:r>
      <w:r w:rsidR="000857E4">
        <w:t xml:space="preserve"> </w:t>
      </w:r>
      <w:r w:rsidR="009D076A">
        <w:t>Therefore, to view the betrothal as an isolated event between two character</w:t>
      </w:r>
      <w:r w:rsidR="004571E4">
        <w:t>s</w:t>
      </w:r>
      <w:r w:rsidR="009D076A">
        <w:t xml:space="preserve"> is to miss the significance of the union for the communi</w:t>
      </w:r>
      <w:r w:rsidR="004571E4">
        <w:t>ty</w:t>
      </w:r>
      <w:r w:rsidR="009D076A">
        <w:t xml:space="preserve"> </w:t>
      </w:r>
      <w:r w:rsidR="00DD63A5">
        <w:t xml:space="preserve">that </w:t>
      </w:r>
      <w:r w:rsidR="009D076A">
        <w:t xml:space="preserve">the groom has left and will eventually return to, with his wife in tow. </w:t>
      </w:r>
      <w:r w:rsidR="00332039">
        <w:t xml:space="preserve">While on his journey, Jacob notices a well by which three flocks of sheep and their shepherds are resting, after enquiring about the identity of the </w:t>
      </w:r>
      <w:r w:rsidR="00332039">
        <w:lastRenderedPageBreak/>
        <w:t>shepherd</w:t>
      </w:r>
      <w:r w:rsidR="0047459F">
        <w:t>s and the location he had found himself in</w:t>
      </w:r>
      <w:r w:rsidR="00332039">
        <w:t xml:space="preserve">, Jacob shows concern over the welfare of the livestock, noting that they should not be gathered together in heat of the midday sun (29:2-8). </w:t>
      </w:r>
      <w:r w:rsidR="0047459F">
        <w:t xml:space="preserve">The author is using the scene to hint towards Jacob’s </w:t>
      </w:r>
      <w:r w:rsidR="00373610">
        <w:t xml:space="preserve">future </w:t>
      </w:r>
      <w:r w:rsidR="0047459F">
        <w:t xml:space="preserve">profession. </w:t>
      </w:r>
      <w:r w:rsidR="006E65C7">
        <w:t>This is in accordance to Esther Fuchs</w:t>
      </w:r>
      <w:r w:rsidR="00940901">
        <w:t>’</w:t>
      </w:r>
      <w:r w:rsidR="006E65C7">
        <w:t xml:space="preserve"> observations that each betrothal scene foreshadows the purpose</w:t>
      </w:r>
      <w:r w:rsidR="00004DDF">
        <w:t>s of both the male and the female protagonists</w:t>
      </w:r>
      <w:r w:rsidR="005D4960">
        <w:t xml:space="preserve"> within the larger </w:t>
      </w:r>
      <w:r w:rsidR="00004DDF">
        <w:t xml:space="preserve">biblical </w:t>
      </w:r>
      <w:r w:rsidR="005D4960">
        <w:t>narrative</w:t>
      </w:r>
      <w:r w:rsidR="00EB74E1">
        <w:rPr>
          <w:rStyle w:val="FootnoteReference"/>
        </w:rPr>
        <w:footnoteReference w:id="9"/>
      </w:r>
      <w:r w:rsidR="00EB74E1">
        <w:t>-</w:t>
      </w:r>
      <w:r w:rsidR="00004DDF">
        <w:t xml:space="preserve"> </w:t>
      </w:r>
      <w:r w:rsidR="00373610">
        <w:t>For example, R</w:t>
      </w:r>
      <w:r w:rsidR="00004DDF">
        <w:t xml:space="preserve">ebekah is the most active of </w:t>
      </w:r>
      <w:r w:rsidR="00EC5A71">
        <w:t>all</w:t>
      </w:r>
      <w:r w:rsidR="00004DDF">
        <w:t xml:space="preserve"> the prospective brides, </w:t>
      </w:r>
      <w:r w:rsidR="00EC5A71">
        <w:t>Isaac’s representative prays for a physical sign that he has found the correct wife for his master, and Rebekah’s decision to attend to not only him but his camels, fulfils the criteria ordained by God</w:t>
      </w:r>
      <w:r w:rsidR="00373610">
        <w:t xml:space="preserve"> (24:14-20)</w:t>
      </w:r>
      <w:r w:rsidR="00EC5A71">
        <w:t>. I</w:t>
      </w:r>
      <w:r w:rsidR="00004DDF">
        <w:t xml:space="preserve">t is </w:t>
      </w:r>
      <w:r w:rsidR="00EC5A71">
        <w:t>Rebekah’s</w:t>
      </w:r>
      <w:r w:rsidR="00004DDF">
        <w:t xml:space="preserve"> actions that secure her marriage to Isaac</w:t>
      </w:r>
      <w:r w:rsidR="00EC5A71">
        <w:t xml:space="preserve">. </w:t>
      </w:r>
      <w:r w:rsidR="00373610">
        <w:t xml:space="preserve">This foreshadows her </w:t>
      </w:r>
      <w:r w:rsidR="002B66C0">
        <w:t xml:space="preserve">later </w:t>
      </w:r>
      <w:r w:rsidR="00373610">
        <w:t>role as someone who takes matters into her own hands in order to fulfil God’s will, as she tricks Isaac into blessing Jacob in the place of his older brother, Esau (</w:t>
      </w:r>
      <w:r w:rsidR="0099365C">
        <w:t xml:space="preserve">27:5-17). </w:t>
      </w:r>
      <w:r w:rsidR="002B66C0">
        <w:t xml:space="preserve">Similarly, Moses liberates the women he encounters at the well from the oppressive shepherds (2:17), foreshadowing his role as the liberator of Israel. </w:t>
      </w:r>
      <w:r w:rsidR="00F421E1">
        <w:t>By</w:t>
      </w:r>
      <w:r w:rsidR="00126833">
        <w:t xml:space="preserve"> communicating</w:t>
      </w:r>
      <w:r w:rsidR="00F421E1">
        <w:t xml:space="preserve"> Jacob’s concern for the welfare of the sheep</w:t>
      </w:r>
      <w:r w:rsidR="00126833">
        <w:t xml:space="preserve"> to the audience</w:t>
      </w:r>
      <w:r w:rsidR="00F421E1">
        <w:t xml:space="preserve">, the author is alluding to the years that Jacob will be forced to spend as a shepherd of Laban’s flock. </w:t>
      </w:r>
      <w:r w:rsidR="00112FB6">
        <w:t>It is a</w:t>
      </w:r>
      <w:r w:rsidR="00F421E1">
        <w:t xml:space="preserve"> role which is forced upon Jacob, and yet earns him success, prosperity</w:t>
      </w:r>
      <w:r w:rsidR="004F2FCA">
        <w:t xml:space="preserve">, </w:t>
      </w:r>
      <w:r w:rsidR="00F421E1">
        <w:t xml:space="preserve">two wives </w:t>
      </w:r>
      <w:r w:rsidR="004F2FCA">
        <w:t xml:space="preserve">and twelve </w:t>
      </w:r>
      <w:r w:rsidR="00112FB6">
        <w:t xml:space="preserve">all-important </w:t>
      </w:r>
      <w:r w:rsidR="004F2FCA">
        <w:t xml:space="preserve">sons </w:t>
      </w:r>
      <w:r w:rsidR="00F421E1">
        <w:t>(</w:t>
      </w:r>
      <w:r w:rsidR="004F2FCA">
        <w:t>29:31-</w:t>
      </w:r>
      <w:r w:rsidR="00F421E1">
        <w:t>3</w:t>
      </w:r>
      <w:r w:rsidR="004F2FCA">
        <w:t>0:</w:t>
      </w:r>
      <w:r w:rsidR="00F421E1">
        <w:t xml:space="preserve">43). </w:t>
      </w:r>
      <w:r w:rsidR="00AC413E">
        <w:t>The</w:t>
      </w:r>
      <w:r w:rsidR="00126833">
        <w:t xml:space="preserve"> </w:t>
      </w:r>
      <w:r w:rsidR="00AC413E">
        <w:t xml:space="preserve">family that will </w:t>
      </w:r>
      <w:r w:rsidR="00126833">
        <w:t xml:space="preserve">soon </w:t>
      </w:r>
      <w:r w:rsidR="00AC413E">
        <w:t xml:space="preserve">become </w:t>
      </w:r>
      <w:r w:rsidR="00B33BB8">
        <w:t>attributed to</w:t>
      </w:r>
      <w:r w:rsidR="00AC413E">
        <w:t xml:space="preserve"> the </w:t>
      </w:r>
      <w:r w:rsidR="001E0559">
        <w:t>T</w:t>
      </w:r>
      <w:r w:rsidR="00AC413E">
        <w:t xml:space="preserve">welve </w:t>
      </w:r>
      <w:r w:rsidR="001E0559">
        <w:t>T</w:t>
      </w:r>
      <w:r w:rsidR="00AC413E">
        <w:t>ribes of Is</w:t>
      </w:r>
      <w:r w:rsidR="004F2FCA">
        <w:t xml:space="preserve">rael are a </w:t>
      </w:r>
      <w:r w:rsidR="00126833">
        <w:t xml:space="preserve">direct </w:t>
      </w:r>
      <w:r w:rsidR="004F2FCA">
        <w:t xml:space="preserve">result of Jacob’s years </w:t>
      </w:r>
      <w:r w:rsidR="00126833">
        <w:t xml:space="preserve">spent </w:t>
      </w:r>
      <w:r w:rsidR="004F2FCA">
        <w:t xml:space="preserve">as a highly skilled shepherd. </w:t>
      </w:r>
    </w:p>
    <w:p w14:paraId="4FC4C88C" w14:textId="68F5DBB5" w:rsidR="00AC413E" w:rsidRDefault="000A6A1B" w:rsidP="00792CA6">
      <w:pPr>
        <w:jc w:val="both"/>
      </w:pPr>
      <w:r>
        <w:t>Returning to the betrothal narrative, Jacob’s concern for the sheep is met with the explanation that the well does not open until every flock is present</w:t>
      </w:r>
      <w:r w:rsidR="003E3F28">
        <w:t xml:space="preserve"> and ready to be watered</w:t>
      </w:r>
      <w:r w:rsidR="00112FB6">
        <w:t>; the shepherds further explain that they are</w:t>
      </w:r>
      <w:r w:rsidR="003E3F28">
        <w:t xml:space="preserve"> waiting for a fourth flock of sheep to arrive, Rachel’s (29:8). The narrative is p</w:t>
      </w:r>
      <w:r w:rsidR="00EC1987">
        <w:t>lace</w:t>
      </w:r>
      <w:r w:rsidR="00112FB6">
        <w:t>d on</w:t>
      </w:r>
      <w:r w:rsidR="00EC1987">
        <w:t xml:space="preserve"> pause</w:t>
      </w:r>
      <w:r w:rsidR="003E3F28">
        <w:t xml:space="preserve"> for Rachel, </w:t>
      </w:r>
      <w:r w:rsidR="00112FB6">
        <w:t>the other shepherds are unable continue with their duties until she arrives, and Jacob is unable to continue with his life</w:t>
      </w:r>
      <w:r w:rsidR="003E3F28">
        <w:t>.</w:t>
      </w:r>
      <w:r w:rsidR="00174CF2">
        <w:t xml:space="preserve"> </w:t>
      </w:r>
      <w:r w:rsidR="00112FB6">
        <w:t xml:space="preserve">Every character within the scene has a vested interest in Rachel’s presence, </w:t>
      </w:r>
      <w:r w:rsidR="00174CF2">
        <w:t xml:space="preserve">as do the audience- Israel’s history is dependant on Rachel. The </w:t>
      </w:r>
      <w:r w:rsidR="00112FB6">
        <w:t xml:space="preserve">author is therefore building both the tensions and the expectations </w:t>
      </w:r>
      <w:r w:rsidR="005E6AC1">
        <w:t>of</w:t>
      </w:r>
      <w:r w:rsidR="00112FB6">
        <w:t xml:space="preserve"> the audience as they await the familiar </w:t>
      </w:r>
      <w:r w:rsidR="00B55C4C">
        <w:t xml:space="preserve">and essential </w:t>
      </w:r>
      <w:r w:rsidR="00112FB6">
        <w:t xml:space="preserve">betrothal. </w:t>
      </w:r>
    </w:p>
    <w:p w14:paraId="347AE880" w14:textId="7247E6DF" w:rsidR="00AC01A3" w:rsidRDefault="00931332" w:rsidP="00792CA6">
      <w:pPr>
        <w:jc w:val="both"/>
      </w:pPr>
      <w:r>
        <w:t>The author writes that “</w:t>
      </w:r>
      <w:r w:rsidRPr="00931332">
        <w:t>Now when Jacob saw Rachel, the daughter of his mother’s brother Laban, and the sheep of his mother’s brother Laban, Jacob went up and rolled the stone from the well’s mouth, and watered the flock of his mother’s brother Laban.</w:t>
      </w:r>
      <w:r>
        <w:t>” (29:10).</w:t>
      </w:r>
      <w:r w:rsidR="00C4646D">
        <w:t xml:space="preserve"> In contrast to the events that took place between his parents, it is Jacob</w:t>
      </w:r>
      <w:r w:rsidR="00A103FD">
        <w:t>, the foreigner,</w:t>
      </w:r>
      <w:r w:rsidR="00C4646D">
        <w:t xml:space="preserve"> is who is able to offer assistance to Rachel as he cares for her flock. </w:t>
      </w:r>
      <w:r w:rsidR="00A103FD">
        <w:t xml:space="preserve">However, in order to do so, he </w:t>
      </w:r>
      <w:r w:rsidR="00B8494C">
        <w:t xml:space="preserve">must </w:t>
      </w:r>
      <w:r w:rsidR="00A103FD">
        <w:t>remove a large stone from the well’s mouth, a task which as the author highlight</w:t>
      </w:r>
      <w:r w:rsidR="00B8494C">
        <w:t>s</w:t>
      </w:r>
      <w:r w:rsidR="00A103FD">
        <w:t xml:space="preserve">, usually requires the strength of multiple shepherds (29:3). Once again, the author is re-shaping the conventional motifs in order to suit his purposes and draw attention to specific aspects of Jacob’s character- he is a problem solver, </w:t>
      </w:r>
      <w:r w:rsidR="00B8494C">
        <w:t>a determined hero</w:t>
      </w:r>
      <w:r w:rsidR="00A103FD">
        <w:t xml:space="preserve">, strong in </w:t>
      </w:r>
      <w:r w:rsidR="00B8494C">
        <w:t xml:space="preserve">both </w:t>
      </w:r>
      <w:r w:rsidR="00A103FD">
        <w:t xml:space="preserve">will and physicality. </w:t>
      </w:r>
      <w:r w:rsidR="00B8494C">
        <w:t>Such attributes have been afforded to Jacob’s character since the narrative of his birth, as he wrestles his twin brother within his mother’s womb and is born with his hand firmly clutching at his brother’s heel (25:21-25). It is because of the</w:t>
      </w:r>
      <w:r w:rsidR="005402CA">
        <w:t xml:space="preserve"> unusual</w:t>
      </w:r>
      <w:r w:rsidR="00B8494C">
        <w:t xml:space="preserve"> nature of his entrance into the world that his mother names him Jacob, which means ‘heel-gabber’ or more generally, ‘wrestler’ (25:26). </w:t>
      </w:r>
      <w:r w:rsidR="00D22B3F">
        <w:t xml:space="preserve">Such </w:t>
      </w:r>
      <w:r w:rsidR="00D963F9">
        <w:t xml:space="preserve">innate </w:t>
      </w:r>
      <w:r w:rsidR="00D22B3F">
        <w:t xml:space="preserve">strength and determination </w:t>
      </w:r>
      <w:r w:rsidR="00AC01A3">
        <w:t>are</w:t>
      </w:r>
      <w:r w:rsidR="00D22B3F">
        <w:t xml:space="preserve"> </w:t>
      </w:r>
      <w:r w:rsidR="00D963F9">
        <w:t xml:space="preserve">clearly </w:t>
      </w:r>
      <w:r w:rsidR="00D22B3F">
        <w:t xml:space="preserve">still present within Jacob as he manoeuvres </w:t>
      </w:r>
      <w:r w:rsidR="00D963F9">
        <w:t>the</w:t>
      </w:r>
      <w:r w:rsidR="00D22B3F">
        <w:t xml:space="preserve"> large stone</w:t>
      </w:r>
      <w:r w:rsidR="00D963F9">
        <w:t xml:space="preserve">- yet another subtle way in which </w:t>
      </w:r>
      <w:r w:rsidR="00D22B3F">
        <w:t xml:space="preserve">his identity being weaved into the narrative. </w:t>
      </w:r>
      <w:r w:rsidR="00AC01A3">
        <w:t xml:space="preserve">Brodie makes an interesting observation regarding Jacob’s actions at the well, he </w:t>
      </w:r>
      <w:r w:rsidR="009964FA">
        <w:t>notes</w:t>
      </w:r>
      <w:r w:rsidR="00AC01A3">
        <w:t xml:space="preserve"> that although Jacob was intending on impressing and aiding Rachel, the other shepherds were also recipients of his service</w:t>
      </w:r>
      <w:r w:rsidR="00CB37D3">
        <w:t xml:space="preserve"> as their sheep would have also </w:t>
      </w:r>
      <w:r w:rsidR="00BF7827">
        <w:t xml:space="preserve">been able to drink </w:t>
      </w:r>
      <w:r w:rsidR="00CB37D3">
        <w:t>from the n</w:t>
      </w:r>
      <w:r w:rsidR="001F6E7F">
        <w:t>o</w:t>
      </w:r>
      <w:r w:rsidR="00CB37D3">
        <w:t>w accessible well</w:t>
      </w:r>
      <w:r w:rsidR="00AC01A3">
        <w:t xml:space="preserve">. </w:t>
      </w:r>
      <w:r w:rsidR="00911B5E">
        <w:t xml:space="preserve">The union between Rachel and Jacob has repercussions for many, which </w:t>
      </w:r>
      <w:r w:rsidR="00BF7827">
        <w:t>is in accordance with</w:t>
      </w:r>
      <w:r w:rsidR="00911B5E">
        <w:t xml:space="preserve"> Martin’s afore mentioned </w:t>
      </w:r>
      <w:r w:rsidR="009964FA">
        <w:t>belief</w:t>
      </w:r>
      <w:r w:rsidR="00911B5E">
        <w:t xml:space="preserve"> that the impact of the betrothal type-scenes </w:t>
      </w:r>
      <w:r w:rsidR="009964FA">
        <w:t>far surpasses</w:t>
      </w:r>
      <w:r w:rsidR="00911B5E">
        <w:t xml:space="preserve"> the two protagonists. </w:t>
      </w:r>
      <w:r w:rsidR="00151DA7">
        <w:t xml:space="preserve">Agreeing with both Brodie and Martin, I would argue that the union between Jacob and Rachel holds blessing that is </w:t>
      </w:r>
      <w:r w:rsidR="00151DA7">
        <w:lastRenderedPageBreak/>
        <w:t>far more significant than the</w:t>
      </w:r>
      <w:r w:rsidR="00F063B3">
        <w:t xml:space="preserve"> initial</w:t>
      </w:r>
      <w:r w:rsidR="00151DA7">
        <w:t xml:space="preserve"> water, their union secures God’s favour over his chosen people (as do the unions</w:t>
      </w:r>
      <w:r w:rsidR="00F063B3">
        <w:t xml:space="preserve"> </w:t>
      </w:r>
      <w:r w:rsidR="00151DA7">
        <w:t xml:space="preserve">of </w:t>
      </w:r>
      <w:r w:rsidR="00F063B3">
        <w:t xml:space="preserve">all </w:t>
      </w:r>
      <w:r w:rsidR="00151DA7">
        <w:t>the patriarchs/matriarchs of the Hebrew Bible), it ensure</w:t>
      </w:r>
      <w:r w:rsidR="00BF7827">
        <w:t>s</w:t>
      </w:r>
      <w:r w:rsidR="00151DA7">
        <w:t xml:space="preserve"> identity and perhaps most importantly,</w:t>
      </w:r>
      <w:r w:rsidR="00BF7827">
        <w:t xml:space="preserve"> it maintains</w:t>
      </w:r>
      <w:r w:rsidR="00151DA7">
        <w:t xml:space="preserve"> </w:t>
      </w:r>
      <w:r w:rsidR="00345B2E">
        <w:t xml:space="preserve">the </w:t>
      </w:r>
      <w:r w:rsidR="00151DA7">
        <w:t>covenant</w:t>
      </w:r>
      <w:r w:rsidR="00345B2E">
        <w:t xml:space="preserve"> between God and his grandfather, Abraham (17:1-23)</w:t>
      </w:r>
      <w:r w:rsidR="00151DA7">
        <w:t xml:space="preserve">. </w:t>
      </w:r>
      <w:r w:rsidR="000F1F3B">
        <w:t xml:space="preserve">Brodie writes that </w:t>
      </w:r>
      <w:r w:rsidR="00AC01A3">
        <w:t>“</w:t>
      </w:r>
      <w:r w:rsidR="000F1F3B">
        <w:t>h</w:t>
      </w:r>
      <w:r w:rsidR="00AC01A3" w:rsidRPr="00AC01A3">
        <w:t>is</w:t>
      </w:r>
      <w:r w:rsidR="000F1F3B">
        <w:t xml:space="preserve"> (Jacob’s)</w:t>
      </w:r>
      <w:r w:rsidR="00AC01A3" w:rsidRPr="00AC01A3">
        <w:t xml:space="preserve"> betrothal, important though it is, is part of a drama that is concerned with the larger reality of the world and its people, especially the larger reality of blessing.</w:t>
      </w:r>
      <w:r w:rsidR="00AC01A3">
        <w:t>”</w:t>
      </w:r>
      <w:r w:rsidR="000F1F3B">
        <w:rPr>
          <w:rStyle w:val="FootnoteReference"/>
        </w:rPr>
        <w:footnoteReference w:id="10"/>
      </w:r>
      <w:r w:rsidR="000F1F3B">
        <w:t xml:space="preserve"> </w:t>
      </w:r>
      <w:r w:rsidR="00AE67CB">
        <w:t xml:space="preserve">It seems as though this betrothal and the blessing of a nation are intrinsically linked. </w:t>
      </w:r>
    </w:p>
    <w:p w14:paraId="4B70E56F" w14:textId="2BC6722E" w:rsidR="001A0B48" w:rsidRDefault="001A0B48" w:rsidP="00792CA6">
      <w:pPr>
        <w:jc w:val="both"/>
      </w:pPr>
      <w:r>
        <w:t>Once Rachel’s sheep had been watered, the author writes that “</w:t>
      </w:r>
      <w:r w:rsidRPr="001A0B48">
        <w:t>Jacob kissed Rachel, and wept aloud.</w:t>
      </w:r>
      <w:r>
        <w:t>” (29:11), this dramatic interaction is typical of a kindred meeting, and yet Alter proposes that there is also a subtle pun written into the encounter.</w:t>
      </w:r>
      <w:r w:rsidR="00827B4D">
        <w:rPr>
          <w:rStyle w:val="FootnoteReference"/>
        </w:rPr>
        <w:footnoteReference w:id="11"/>
      </w:r>
      <w:r>
        <w:t xml:space="preserve"> </w:t>
      </w:r>
      <w:r w:rsidR="00827B4D">
        <w:t>The Hebrew words for ‘watered’/’</w:t>
      </w:r>
      <w:proofErr w:type="spellStart"/>
      <w:r w:rsidR="00827B4D" w:rsidRPr="00827B4D">
        <w:rPr>
          <w:i/>
          <w:iCs/>
        </w:rPr>
        <w:t>wayashq</w:t>
      </w:r>
      <w:proofErr w:type="spellEnd"/>
      <w:r w:rsidR="00827B4D">
        <w:t>’ and ’kissed’/</w:t>
      </w:r>
      <w:proofErr w:type="spellStart"/>
      <w:r w:rsidR="00827B4D" w:rsidRPr="00827B4D">
        <w:rPr>
          <w:i/>
          <w:iCs/>
        </w:rPr>
        <w:t>wayishaq</w:t>
      </w:r>
      <w:proofErr w:type="spellEnd"/>
      <w:r w:rsidR="00827B4D">
        <w:t>’ are strikingly similar and used by the author in extremely close proximity</w:t>
      </w:r>
      <w:r w:rsidR="007F2902">
        <w:t xml:space="preserve">- </w:t>
      </w:r>
      <w:r w:rsidR="000625C7">
        <w:t>t</w:t>
      </w:r>
      <w:r w:rsidR="007F2902" w:rsidRPr="007F2902">
        <w:t>he use of these words in this way is not exclusive to Genesis but can also be found in Song of Songs.</w:t>
      </w:r>
      <w:r w:rsidR="00396E49">
        <w:t xml:space="preserve"> I</w:t>
      </w:r>
      <w:r w:rsidR="004160F3">
        <w:t xml:space="preserve">t is possible </w:t>
      </w:r>
      <w:r w:rsidR="00396E49">
        <w:t xml:space="preserve">(as is Alter’s view) </w:t>
      </w:r>
      <w:r w:rsidR="004160F3">
        <w:t xml:space="preserve">that </w:t>
      </w:r>
      <w:r w:rsidR="004003B9">
        <w:t xml:space="preserve">the author </w:t>
      </w:r>
      <w:r w:rsidR="00396E49">
        <w:t xml:space="preserve">is </w:t>
      </w:r>
      <w:r w:rsidR="004003B9">
        <w:t xml:space="preserve">simply providing an evocative picture for </w:t>
      </w:r>
      <w:r w:rsidR="000625C7">
        <w:t xml:space="preserve">the </w:t>
      </w:r>
      <w:r w:rsidR="004003B9">
        <w:t>audience,</w:t>
      </w:r>
      <w:r w:rsidR="00396E49">
        <w:t xml:space="preserve"> yet it is also</w:t>
      </w:r>
      <w:r w:rsidR="007F2902">
        <w:t xml:space="preserve"> quite</w:t>
      </w:r>
      <w:r w:rsidR="00396E49">
        <w:t xml:space="preserve"> possible that </w:t>
      </w:r>
      <w:r w:rsidR="004003B9">
        <w:t xml:space="preserve">he </w:t>
      </w:r>
      <w:r w:rsidR="00396E49">
        <w:t>is</w:t>
      </w:r>
      <w:r w:rsidR="004003B9">
        <w:t xml:space="preserve"> </w:t>
      </w:r>
      <w:r w:rsidR="004160F3">
        <w:t>hinting towards something deepe</w:t>
      </w:r>
      <w:r w:rsidR="00396E49">
        <w:t>r and more emotive; implying that Rachel is in need of Jacob, in a way that is similar to the flock’s need of hydration in the heat.</w:t>
      </w:r>
      <w:r w:rsidR="006F4F0D">
        <w:t xml:space="preserve"> It is after this intimate encounter that Jacob reveals himself as Rachel’s kin, and revelation which prompts her to hurry home to her father (as is the typical betrothal progression) in order to announce Jacob’s arrival</w:t>
      </w:r>
      <w:r w:rsidR="009340F3">
        <w:t xml:space="preserve"> (29:12). The revelation of</w:t>
      </w:r>
      <w:r w:rsidR="004562C5">
        <w:t xml:space="preserve"> </w:t>
      </w:r>
      <w:r w:rsidR="009340F3">
        <w:t xml:space="preserve">Jacob’s identity is a catalyst within the </w:t>
      </w:r>
      <w:r w:rsidR="001B3472">
        <w:t>scene</w:t>
      </w:r>
      <w:r w:rsidR="009340F3">
        <w:t xml:space="preserve">, </w:t>
      </w:r>
      <w:r w:rsidR="001B3472">
        <w:t xml:space="preserve">as it takes the narrative a </w:t>
      </w:r>
      <w:r w:rsidR="004C5539">
        <w:t xml:space="preserve">significant </w:t>
      </w:r>
      <w:r w:rsidR="001B3472">
        <w:t xml:space="preserve">step closer to the </w:t>
      </w:r>
      <w:r w:rsidR="004C5539">
        <w:t xml:space="preserve">seemingly inevitable </w:t>
      </w:r>
      <w:r w:rsidR="001B3472">
        <w:t>betrothal. F</w:t>
      </w:r>
      <w:r w:rsidR="004562C5">
        <w:t xml:space="preserve">urthermore, </w:t>
      </w:r>
      <w:r w:rsidR="009340F3">
        <w:t xml:space="preserve">Rachel’s immediate reaction implies that it </w:t>
      </w:r>
      <w:r w:rsidR="004562C5">
        <w:t>is a revelation that was</w:t>
      </w:r>
      <w:r w:rsidR="009340F3">
        <w:t xml:space="preserve"> somewhat expected and even awaited. </w:t>
      </w:r>
      <w:r w:rsidR="006D458D">
        <w:t xml:space="preserve">Rachel’s father, Laban only furthers this assumption when he </w:t>
      </w:r>
      <w:r w:rsidR="00282671">
        <w:t xml:space="preserve">hastily </w:t>
      </w:r>
      <w:r w:rsidR="006D458D">
        <w:t>runs out to meet Jacob</w:t>
      </w:r>
      <w:r w:rsidR="00CA0770">
        <w:t xml:space="preserve"> as his kin</w:t>
      </w:r>
      <w:r w:rsidR="006D458D">
        <w:t xml:space="preserve">, seemingly without doubt or delay (29:13-14). </w:t>
      </w:r>
      <w:r w:rsidR="00EE5E3A">
        <w:t xml:space="preserve">Both Rachel and Laban’s extravagant reactions to Jacob’s arrival implies that his presence was long-anticipated. </w:t>
      </w:r>
    </w:p>
    <w:p w14:paraId="5A4A031B" w14:textId="6B3EB6D5" w:rsidR="00D83012" w:rsidRDefault="00570F9D" w:rsidP="00792CA6">
      <w:pPr>
        <w:jc w:val="both"/>
      </w:pPr>
      <w:r>
        <w:t>Jacob makes a home with Laban and his family, having already resided with them and subsequently worked for them for a month before the matter of betrothal arises</w:t>
      </w:r>
      <w:r w:rsidR="00A2503A">
        <w:t>.</w:t>
      </w:r>
      <w:r>
        <w:t xml:space="preserve"> Rachel’s hand in marriage becomes the wage for which Jacob is willing to continue his labour (29:15-20). Fuchs takes objection to Rachel being viewed as a commodity to be earned, writing that “the second betrothal type-scene provides another example of the bride’s decrease </w:t>
      </w:r>
      <w:r w:rsidR="00A2503A">
        <w:t>in status: the bride’s father and her prospective husband conclude a betrothal agreement without so much as informing the bride”.</w:t>
      </w:r>
      <w:r w:rsidR="00A2503A">
        <w:rPr>
          <w:rStyle w:val="FootnoteReference"/>
        </w:rPr>
        <w:footnoteReference w:id="12"/>
      </w:r>
      <w:r w:rsidR="00A2503A">
        <w:t xml:space="preserve"> While I fully agree with Fuchs, I also find it interesting that the author explicitly informs the audience of Jacob’s love for Rachel, highlighting his love twice within the short span of only five verses (29:18, 20). This removes any assumption that the union between Rachel and Jacob is merely a beneficial economic/social arrangement; this may be the case for Laban but certainly not for Jacob. Once the betrothal </w:t>
      </w:r>
      <w:r w:rsidR="00116BD1">
        <w:t xml:space="preserve">between Rachel and Jacob </w:t>
      </w:r>
      <w:r w:rsidR="00A2503A">
        <w:t>has been confirmed</w:t>
      </w:r>
      <w:r w:rsidR="00116BD1">
        <w:t xml:space="preserve"> and </w:t>
      </w:r>
      <w:r w:rsidR="00914B89">
        <w:t xml:space="preserve">thus </w:t>
      </w:r>
      <w:r w:rsidR="00116BD1">
        <w:t>the type-scene concluded, the pace of the narrative increases dramatically; Jacob is deferred from marrying Rachel for seven years and subsequently becomes the husband of both her and her older sister, Leah</w:t>
      </w:r>
      <w:r w:rsidR="00914B89">
        <w:t xml:space="preserve"> (29:</w:t>
      </w:r>
      <w:r w:rsidR="004360FA">
        <w:t>22-29)</w:t>
      </w:r>
      <w:r w:rsidR="00116BD1">
        <w:t xml:space="preserve">. </w:t>
      </w:r>
      <w:r w:rsidR="00D83012">
        <w:t>All of which gives weight to Alter’s observation that</w:t>
      </w:r>
    </w:p>
    <w:p w14:paraId="2BEB2A1D" w14:textId="126C4B65" w:rsidR="00116BD1" w:rsidRPr="00D83012" w:rsidRDefault="00D83012" w:rsidP="00D83012">
      <w:pPr>
        <w:jc w:val="center"/>
        <w:rPr>
          <w:i/>
          <w:iCs/>
        </w:rPr>
      </w:pPr>
      <w:r>
        <w:rPr>
          <w:i/>
          <w:iCs/>
        </w:rPr>
        <w:t>‘</w:t>
      </w:r>
      <w:r w:rsidRPr="00D83012">
        <w:rPr>
          <w:i/>
          <w:iCs/>
        </w:rPr>
        <w:t>One can clearly see that the betrothal type-scene, far from being a mechanical means of narrative prefabrication for conveying the reader from a celibate hero to a married one, is handled with a flexibility that make</w:t>
      </w:r>
      <w:r w:rsidR="004360FA">
        <w:rPr>
          <w:i/>
          <w:iCs/>
        </w:rPr>
        <w:t xml:space="preserve">s </w:t>
      </w:r>
      <w:r w:rsidRPr="00D83012">
        <w:rPr>
          <w:i/>
          <w:iCs/>
        </w:rPr>
        <w:t>it a supple instrument of characterization and foreshadowing</w:t>
      </w:r>
      <w:r>
        <w:rPr>
          <w:i/>
          <w:iCs/>
        </w:rPr>
        <w:t>’</w:t>
      </w:r>
      <w:r w:rsidR="00902594">
        <w:rPr>
          <w:rStyle w:val="FootnoteReference"/>
          <w:i/>
          <w:iCs/>
        </w:rPr>
        <w:footnoteReference w:id="13"/>
      </w:r>
    </w:p>
    <w:p w14:paraId="36F712B5" w14:textId="07197F71" w:rsidR="00790F79" w:rsidRDefault="00F305D4" w:rsidP="00F305D4">
      <w:pPr>
        <w:jc w:val="both"/>
      </w:pPr>
      <w:r>
        <w:lastRenderedPageBreak/>
        <w:t>I believe that the significance of the betrothal</w:t>
      </w:r>
      <w:r w:rsidR="008A101D">
        <w:t xml:space="preserve"> type-scene dedicated to </w:t>
      </w:r>
      <w:r>
        <w:t xml:space="preserve">Rachel and Jacob can be truly found in its literary implications for the biblical narrative, and the theological implications it presents for the nation of God’s chosen people; both of which I believe to have been acknowledged and re-shaped by the author of the fourth Gospel. </w:t>
      </w:r>
    </w:p>
    <w:p w14:paraId="783ACD78" w14:textId="67F3DE16" w:rsidR="005201C1" w:rsidRPr="005201C1" w:rsidRDefault="005201C1" w:rsidP="00F305D4">
      <w:pPr>
        <w:jc w:val="both"/>
        <w:rPr>
          <w:b/>
          <w:bCs/>
        </w:rPr>
      </w:pPr>
      <w:r w:rsidRPr="005201C1">
        <w:rPr>
          <w:b/>
          <w:bCs/>
        </w:rPr>
        <w:t xml:space="preserve">John 4- Jesus and the Samaritan Woman (A </w:t>
      </w:r>
      <w:r w:rsidR="009F483A">
        <w:rPr>
          <w:b/>
          <w:bCs/>
        </w:rPr>
        <w:t xml:space="preserve">Comparative </w:t>
      </w:r>
      <w:r w:rsidRPr="005201C1">
        <w:rPr>
          <w:b/>
          <w:bCs/>
        </w:rPr>
        <w:t xml:space="preserve">Textual Analysis) </w:t>
      </w:r>
    </w:p>
    <w:p w14:paraId="4F2143A4" w14:textId="03FA9D67" w:rsidR="005201C1" w:rsidRDefault="00141B46" w:rsidP="00F305D4">
      <w:pPr>
        <w:jc w:val="both"/>
      </w:pPr>
      <w:r>
        <w:t>In 20</w:t>
      </w:r>
      <w:r w:rsidR="000B3BF0">
        <w:t>0</w:t>
      </w:r>
      <w:r>
        <w:t xml:space="preserve">2 Harold W. </w:t>
      </w:r>
      <w:proofErr w:type="spellStart"/>
      <w:r>
        <w:t>Attridge</w:t>
      </w:r>
      <w:proofErr w:type="spellEnd"/>
      <w:r>
        <w:t xml:space="preserve"> wrote an article in which he argue</w:t>
      </w:r>
      <w:r w:rsidR="000B3BF0">
        <w:t>d</w:t>
      </w:r>
      <w:r>
        <w:t xml:space="preserve"> that the author of the fourth Gospel must have delighted in the </w:t>
      </w:r>
      <w:r w:rsidR="00901770">
        <w:t>intelligent creativity</w:t>
      </w:r>
      <w:r>
        <w:t xml:space="preserve"> of words</w:t>
      </w:r>
      <w:r w:rsidR="00901770">
        <w:t>,</w:t>
      </w:r>
      <w:r>
        <w:t xml:space="preserve"> </w:t>
      </w:r>
      <w:r w:rsidR="00901770">
        <w:t xml:space="preserve">observing </w:t>
      </w:r>
      <w:r>
        <w:t xml:space="preserve">that </w:t>
      </w:r>
      <w:r w:rsidR="000B3BF0">
        <w:t>t</w:t>
      </w:r>
      <w:r>
        <w:t xml:space="preserve">he </w:t>
      </w:r>
      <w:r w:rsidR="000B3BF0">
        <w:t>author has</w:t>
      </w:r>
      <w:r>
        <w:t xml:space="preserve"> employ</w:t>
      </w:r>
      <w:r w:rsidR="000B3BF0">
        <w:t>ed</w:t>
      </w:r>
      <w:r>
        <w:t xml:space="preserve"> a diverse number of literary techniques, </w:t>
      </w:r>
      <w:r w:rsidR="00901770">
        <w:t xml:space="preserve">powerfully and playfully </w:t>
      </w:r>
      <w:r w:rsidR="00B31842">
        <w:t>re-</w:t>
      </w:r>
      <w:r>
        <w:t xml:space="preserve">moulding them to serve his theological aims. </w:t>
      </w:r>
      <w:r w:rsidR="00B31842">
        <w:t>Each line of the Johannine Gospel is therefore both “multiple and manifold” in its meaning.</w:t>
      </w:r>
      <w:r w:rsidR="00B31842">
        <w:rPr>
          <w:rStyle w:val="FootnoteReference"/>
        </w:rPr>
        <w:footnoteReference w:id="14"/>
      </w:r>
      <w:r w:rsidR="00B31842">
        <w:t xml:space="preserve"> </w:t>
      </w:r>
      <w:r w:rsidR="001A14FF">
        <w:t>One of the</w:t>
      </w:r>
      <w:r w:rsidR="00124165">
        <w:t xml:space="preserve"> key</w:t>
      </w:r>
      <w:r w:rsidR="001A14FF">
        <w:t xml:space="preserve"> literary devices that </w:t>
      </w:r>
      <w:proofErr w:type="spellStart"/>
      <w:r w:rsidR="001A14FF">
        <w:t>Attridge</w:t>
      </w:r>
      <w:proofErr w:type="spellEnd"/>
      <w:r w:rsidR="001A14FF">
        <w:t xml:space="preserve"> detects within the fourth Gospel is ‘genre-bending’</w:t>
      </w:r>
      <w:r w:rsidR="00124165">
        <w:t xml:space="preserve"> as the author acknowledges and then manipulates the expectations of the reader, expectations which have been implanted through genre. I agree with </w:t>
      </w:r>
      <w:proofErr w:type="spellStart"/>
      <w:r w:rsidR="00124165">
        <w:t>Attridge</w:t>
      </w:r>
      <w:proofErr w:type="spellEnd"/>
      <w:r w:rsidR="00124165">
        <w:t xml:space="preserve"> and further believe that the Johannine author writes the narrative between Jesus and the Samaritan woman with an awareness of the betrothal type-scene deployed through-out the Hebrew Bible</w:t>
      </w:r>
      <w:r w:rsidR="00164449">
        <w:t xml:space="preserve"> (in Genesis 29 in particular)</w:t>
      </w:r>
      <w:r w:rsidR="00124165">
        <w:t>, and furthermore, has written it for an audience who are</w:t>
      </w:r>
      <w:r w:rsidR="00164449">
        <w:t xml:space="preserve"> also</w:t>
      </w:r>
      <w:r w:rsidR="00124165">
        <w:t xml:space="preserve"> equipped with the same knowledge. </w:t>
      </w:r>
      <w:r w:rsidR="006939FC">
        <w:t xml:space="preserve">Tyler Smith </w:t>
      </w:r>
      <w:r w:rsidR="00164449">
        <w:t>asks,</w:t>
      </w:r>
      <w:r w:rsidR="006939FC">
        <w:t xml:space="preserve"> </w:t>
      </w:r>
      <w:r w:rsidR="001455FB">
        <w:t>“how is meaning created in the coming together of a text like John 4 and a reader equipped with a prototype knowledge of the betrothal type-scene as a generic category?”</w:t>
      </w:r>
      <w:r w:rsidR="001455FB">
        <w:rPr>
          <w:rStyle w:val="FootnoteReference"/>
        </w:rPr>
        <w:footnoteReference w:id="15"/>
      </w:r>
    </w:p>
    <w:p w14:paraId="31C8CD70" w14:textId="37B2355C" w:rsidR="005201C1" w:rsidRDefault="005D2A3F" w:rsidP="00F305D4">
      <w:pPr>
        <w:jc w:val="both"/>
      </w:pPr>
      <w:r>
        <w:t>This is the question I will explore through-out this comparative textual analysis</w:t>
      </w:r>
      <w:r w:rsidR="00471865">
        <w:t xml:space="preserve"> of John 4</w:t>
      </w:r>
      <w:r>
        <w:t xml:space="preserve">, </w:t>
      </w:r>
      <w:r w:rsidR="005F7779">
        <w:t xml:space="preserve">drawing parallels between this passage and the betrothal between Jacob and Rachel, </w:t>
      </w:r>
      <w:r>
        <w:t xml:space="preserve">highlighting the assumptions that John has adhered by and the values he has re-shaped for his Christological aims. </w:t>
      </w:r>
    </w:p>
    <w:p w14:paraId="5F02D4D1" w14:textId="77777777" w:rsidR="00CA1729" w:rsidRDefault="00800D7B" w:rsidP="00F305D4">
      <w:pPr>
        <w:jc w:val="both"/>
      </w:pPr>
      <w:r>
        <w:t xml:space="preserve">When opening up the Gospel of John to the fourth chapter, readers will notice that Jesus is in the relatively early stages of this earthly ministry, yet it is important to note that he has already </w:t>
      </w:r>
      <w:r w:rsidR="00E96993">
        <w:t xml:space="preserve">caused a stir among </w:t>
      </w:r>
      <w:r>
        <w:t xml:space="preserve">the </w:t>
      </w:r>
      <w:r w:rsidR="00BE0BA6">
        <w:t>Temple</w:t>
      </w:r>
      <w:r>
        <w:t xml:space="preserve"> authorities by angrily clearing the Temple courts of money-lenders and merchants and </w:t>
      </w:r>
      <w:r w:rsidR="00E96993">
        <w:t>alluding</w:t>
      </w:r>
      <w:r>
        <w:t xml:space="preserve"> towards his Heavenly identity. It is for this reason that </w:t>
      </w:r>
      <w:r w:rsidR="00E96993">
        <w:t xml:space="preserve">Jesus leaves Judea and returns home to Galilee (John 4:1-3). </w:t>
      </w:r>
      <w:r w:rsidR="00FB7A2A">
        <w:t>While on his journey (which would already be a marker</w:t>
      </w:r>
      <w:r w:rsidR="00BE0BA6">
        <w:t xml:space="preserve"> of imminent betrothal</w:t>
      </w:r>
      <w:r w:rsidR="00FB7A2A">
        <w:t xml:space="preserve"> according to Martin who identifies the betrothal </w:t>
      </w:r>
      <w:r w:rsidR="00FB7A2A">
        <w:rPr>
          <w:i/>
          <w:iCs/>
        </w:rPr>
        <w:t xml:space="preserve">journey </w:t>
      </w:r>
      <w:r w:rsidR="00FB7A2A">
        <w:t>narrative.) Jesus pauses at a “</w:t>
      </w:r>
      <w:r w:rsidR="00FB7A2A" w:rsidRPr="00FB7A2A">
        <w:t>Samaritan city called Sychar, near the plot of ground that Jacob had given to his son Joseph. Jacob’s well was there, and Jesus, tired out by his journey, was sitting by the well</w:t>
      </w:r>
      <w:r w:rsidR="00FB7A2A">
        <w:t xml:space="preserve">” (4:5-6). </w:t>
      </w:r>
      <w:r w:rsidR="002947B2">
        <w:t>The setting of this narrative is perhaps the author’s most explicit link to Genesis, and Jacob in particular</w:t>
      </w:r>
      <w:r w:rsidR="00592C28">
        <w:t>,</w:t>
      </w:r>
      <w:r w:rsidR="00793822">
        <w:t xml:space="preserve"> who gifted the region of Sychar to Joseph, who was consequently buried there (Gen. 48:22; Josh. 24:32).</w:t>
      </w:r>
      <w:r w:rsidR="00793822">
        <w:rPr>
          <w:rStyle w:val="FootnoteReference"/>
        </w:rPr>
        <w:footnoteReference w:id="16"/>
      </w:r>
      <w:r w:rsidR="00793822">
        <w:t xml:space="preserve"> The author has</w:t>
      </w:r>
      <w:r w:rsidR="00BE0BA6">
        <w:t xml:space="preserve"> </w:t>
      </w:r>
      <w:r w:rsidR="0037080A">
        <w:t>intentionally</w:t>
      </w:r>
      <w:r w:rsidR="00793822">
        <w:t xml:space="preserve"> placed Jesus in a region </w:t>
      </w:r>
      <w:r w:rsidR="00592C28">
        <w:t>which holds dear to the legacy of Jacob</w:t>
      </w:r>
      <w:r w:rsidR="0037080A">
        <w:t>, and has clearly drawn the audience’s attention to his doing so</w:t>
      </w:r>
      <w:r w:rsidR="00592C28">
        <w:t>.</w:t>
      </w:r>
      <w:r w:rsidR="005C7363">
        <w:t xml:space="preserve"> </w:t>
      </w:r>
      <w:r w:rsidR="0037080A">
        <w:t>Furthermore</w:t>
      </w:r>
      <w:r w:rsidR="005C7363">
        <w:t>, the author highlights th</w:t>
      </w:r>
      <w:r w:rsidR="00F6542B">
        <w:t>at "it was about noon” (4:6), according to Andrew T. Lincoln, this could also be a clue that a betrothal scene is about to ensue as Jacob and Rachel also met in broad day light (Gen. 29:</w:t>
      </w:r>
      <w:r w:rsidR="00BE0BA6">
        <w:t>7).</w:t>
      </w:r>
      <w:r w:rsidR="00BE0BA6">
        <w:rPr>
          <w:rStyle w:val="FootnoteReference"/>
        </w:rPr>
        <w:footnoteReference w:id="17"/>
      </w:r>
    </w:p>
    <w:p w14:paraId="162FC774" w14:textId="67F33BA8" w:rsidR="00BE0BA6" w:rsidRPr="00FB7A2A" w:rsidRDefault="00F44907" w:rsidP="00F305D4">
      <w:pPr>
        <w:jc w:val="both"/>
      </w:pPr>
      <w:r>
        <w:t>As Jesus is resting at a well which has already been attributed to Jacob, an un-named Samaritan woman enters the scene</w:t>
      </w:r>
      <w:r w:rsidR="00CA1729">
        <w:t xml:space="preserve">, </w:t>
      </w:r>
      <w:r w:rsidR="00CF1D2D">
        <w:t xml:space="preserve">as </w:t>
      </w:r>
      <w:r w:rsidR="00CA1729" w:rsidRPr="00CA1729">
        <w:t xml:space="preserve">is similar to the account in Genesis, both Rachel and the Samaritan woman </w:t>
      </w:r>
      <w:r w:rsidR="00CA1729" w:rsidRPr="00CA1729">
        <w:lastRenderedPageBreak/>
        <w:t>arrive to find that the man is already present at the well</w:t>
      </w:r>
      <w:r w:rsidR="00CF1D2D">
        <w:t xml:space="preserve">. </w:t>
      </w:r>
      <w:r>
        <w:t xml:space="preserve">Jesus asks </w:t>
      </w:r>
      <w:r w:rsidR="00CF1D2D">
        <w:t>the approaching woman</w:t>
      </w:r>
      <w:r>
        <w:t xml:space="preserve"> for a drink of water</w:t>
      </w:r>
      <w:r w:rsidR="00CF1D2D">
        <w:t xml:space="preserve"> </w:t>
      </w:r>
      <w:r>
        <w:t>(4:7)</w:t>
      </w:r>
      <w:r w:rsidR="007B4C11">
        <w:t>;</w:t>
      </w:r>
      <w:r>
        <w:t xml:space="preserve"> </w:t>
      </w:r>
      <w:r w:rsidR="007B4C11">
        <w:t>as has been discussed at length, this is, according to Robert Alter, the key betrothal motif</w:t>
      </w:r>
      <w:r w:rsidR="00835A43">
        <w:t>.</w:t>
      </w:r>
      <w:r w:rsidR="007B4C11">
        <w:t xml:space="preserve"> </w:t>
      </w:r>
      <w:r w:rsidR="00117BF7">
        <w:t xml:space="preserve">The scene is now </w:t>
      </w:r>
      <w:r w:rsidR="00B02B5A">
        <w:t>set,</w:t>
      </w:r>
      <w:r w:rsidR="00A82C3E">
        <w:t xml:space="preserve"> </w:t>
      </w:r>
      <w:r w:rsidR="00117BF7">
        <w:t xml:space="preserve">and the audience’s </w:t>
      </w:r>
      <w:r w:rsidR="00FC6E59">
        <w:t>expectations are</w:t>
      </w:r>
      <w:r w:rsidR="00A82C3E">
        <w:t xml:space="preserve"> now</w:t>
      </w:r>
      <w:r w:rsidR="00FC6E59">
        <w:t xml:space="preserve"> high- </w:t>
      </w:r>
      <w:r w:rsidR="00A82C3E">
        <w:t>Jesus’ seemingly</w:t>
      </w:r>
      <w:r w:rsidR="00F20109">
        <w:t xml:space="preserve"> simpl</w:t>
      </w:r>
      <w:r w:rsidR="00A82C3E">
        <w:t>e</w:t>
      </w:r>
      <w:r w:rsidR="00F20109">
        <w:t xml:space="preserve"> request for water is all that the Johannine author had to use in order to aler</w:t>
      </w:r>
      <w:r w:rsidR="00A82C3E">
        <w:t xml:space="preserve">t </w:t>
      </w:r>
      <w:r w:rsidR="00F20109">
        <w:t xml:space="preserve">the readers to the possibility of an imminent betrothal. </w:t>
      </w:r>
      <w:r w:rsidR="00B02B5A">
        <w:t xml:space="preserve">However, the </w:t>
      </w:r>
      <w:r w:rsidR="00827886">
        <w:t xml:space="preserve">audience’s </w:t>
      </w:r>
      <w:r w:rsidR="00B02B5A">
        <w:t>expectations</w:t>
      </w:r>
      <w:r w:rsidR="00827886">
        <w:t>,</w:t>
      </w:r>
      <w:r w:rsidR="00B02B5A">
        <w:t xml:space="preserve"> </w:t>
      </w:r>
      <w:r w:rsidR="00827886">
        <w:t>which</w:t>
      </w:r>
      <w:r w:rsidR="00B02B5A">
        <w:t xml:space="preserve"> have been raised by the setting</w:t>
      </w:r>
      <w:r w:rsidR="00827886">
        <w:t>,</w:t>
      </w:r>
      <w:r w:rsidR="00B02B5A">
        <w:t xml:space="preserve"> are promptly blurred by the Samaritan woman’s response to Jesus as she refuses him, reminding Jesus of the very present conflict between </w:t>
      </w:r>
      <w:r w:rsidR="00827886">
        <w:t>his</w:t>
      </w:r>
      <w:r w:rsidR="00B02B5A">
        <w:t xml:space="preserve"> </w:t>
      </w:r>
      <w:r w:rsidR="00AE0A5B">
        <w:t xml:space="preserve">first-century </w:t>
      </w:r>
      <w:r w:rsidR="00B02B5A">
        <w:t>Jewish community and the Samaritan</w:t>
      </w:r>
      <w:r w:rsidR="00827886">
        <w:t>s</w:t>
      </w:r>
      <w:r w:rsidR="00B02B5A">
        <w:t xml:space="preserve"> (4:8).</w:t>
      </w:r>
      <w:r w:rsidR="0040346A">
        <w:t xml:space="preserve"> Unlike Jacob and Rachel, these two characters are not each other’s kin, at least, n</w:t>
      </w:r>
      <w:r w:rsidR="00AE0A5B">
        <w:t xml:space="preserve">ot in a familial way. The woman’s refusal to offer Jesus a drink is an example of how the Johannine author is not only using genre but bending it. </w:t>
      </w:r>
      <w:proofErr w:type="spellStart"/>
      <w:r w:rsidR="00AE0A5B">
        <w:t>Att</w:t>
      </w:r>
      <w:r w:rsidR="00A74F52">
        <w:t>ri</w:t>
      </w:r>
      <w:r w:rsidR="00AE0A5B">
        <w:t>dge</w:t>
      </w:r>
      <w:proofErr w:type="spellEnd"/>
      <w:r w:rsidR="00AE0A5B">
        <w:t xml:space="preserve"> explains that “</w:t>
      </w:r>
      <w:r w:rsidR="00A74F52">
        <w:t>the reader encounters something quite odd about the way in which the generic conventions seem to work”.</w:t>
      </w:r>
      <w:r w:rsidR="00A74F52">
        <w:rPr>
          <w:rStyle w:val="FootnoteReference"/>
        </w:rPr>
        <w:footnoteReference w:id="18"/>
      </w:r>
    </w:p>
    <w:p w14:paraId="189E8BF2" w14:textId="3A1430CB" w:rsidR="00957475" w:rsidRDefault="00EC0ABC" w:rsidP="00F305D4">
      <w:pPr>
        <w:jc w:val="both"/>
      </w:pPr>
      <w:r>
        <w:t xml:space="preserve">The Samaritan woman’s failure to comply with the classic betrothal motif gives opportunity for Jesus to respond, and in doing so, allude toward his identity, his divine mission and the eternal life he is wanting to grant to all those who believe in him. </w:t>
      </w:r>
      <w:r w:rsidR="00C20B8B" w:rsidRPr="00C20B8B">
        <w:t xml:space="preserve">It is interesting that in both the Genesis narrative and the Johannine narrative there is an obstacle that impedes the characters from drawing water; in Genesis 29 it is the large stone at the mouth of the well that hinders the shepherds from drawing water, in John 4 it is the woman’s objections. </w:t>
      </w:r>
      <w:r w:rsidR="00AB0878">
        <w:t>In both scenes, i</w:t>
      </w:r>
      <w:r w:rsidR="00C20B8B" w:rsidRPr="00C20B8B">
        <w:t xml:space="preserve">t is the male protagonist who is tasked with removing such obstacle, Jacob does so through his physical strength while Jesus need </w:t>
      </w:r>
      <w:r w:rsidR="00AB0878">
        <w:t>o</w:t>
      </w:r>
      <w:r w:rsidR="00C20B8B" w:rsidRPr="00C20B8B">
        <w:t>nly</w:t>
      </w:r>
      <w:r w:rsidR="00AB0878">
        <w:t xml:space="preserve"> use</w:t>
      </w:r>
      <w:r w:rsidR="00C20B8B" w:rsidRPr="00C20B8B">
        <w:t xml:space="preserve"> his words.</w:t>
      </w:r>
      <w:r w:rsidR="00C20B8B" w:rsidRPr="00C20B8B">
        <w:rPr>
          <w:vertAlign w:val="superscript"/>
        </w:rPr>
        <w:footnoteReference w:id="19"/>
      </w:r>
      <w:r w:rsidR="00C20B8B" w:rsidRPr="00C20B8B">
        <w:t xml:space="preserve"> </w:t>
      </w:r>
      <w:r w:rsidR="005B2D02">
        <w:t>As is typical of Johannine dialogue, J</w:t>
      </w:r>
      <w:r w:rsidR="008519F0">
        <w:t xml:space="preserve">esus </w:t>
      </w:r>
      <w:r w:rsidR="00161D09">
        <w:t>begins his rebuttal</w:t>
      </w:r>
      <w:r w:rsidR="00FA09EB">
        <w:t xml:space="preserve"> by confusing both the woman and the reader</w:t>
      </w:r>
      <w:r w:rsidR="00264B15">
        <w:t xml:space="preserve"> with his abstract words</w:t>
      </w:r>
      <w:r w:rsidR="00FA09EB">
        <w:t xml:space="preserve">, he </w:t>
      </w:r>
      <w:r w:rsidR="008519F0">
        <w:t xml:space="preserve">states that </w:t>
      </w:r>
      <w:r w:rsidR="008519F0" w:rsidRPr="008519F0">
        <w:t>“If you</w:t>
      </w:r>
      <w:r w:rsidR="008519F0">
        <w:t xml:space="preserve"> (the Samaritan woman)</w:t>
      </w:r>
      <w:r w:rsidR="008519F0" w:rsidRPr="008519F0">
        <w:t xml:space="preserve"> knew the gift of God, and who it is that is saying to you, ‘Give me a drink,’ you would have asked him, and he would have given you living water</w:t>
      </w:r>
      <w:r w:rsidR="008519F0">
        <w:t xml:space="preserve">” (4:10). </w:t>
      </w:r>
      <w:r w:rsidR="00FA09EB">
        <w:t xml:space="preserve">According to Jesus’ opening words, Craig Koester observes that there are two things that Jesus is wishing to bestow upon the woman during their interaction: a knowledge of who he is (the giver) and the possession of </w:t>
      </w:r>
      <w:r w:rsidR="00251671">
        <w:t>‘</w:t>
      </w:r>
      <w:r w:rsidR="00FA09EB">
        <w:t>living water</w:t>
      </w:r>
      <w:r w:rsidR="00251671">
        <w:t>’ of eternal life</w:t>
      </w:r>
      <w:r w:rsidR="00FA09EB">
        <w:t xml:space="preserve"> (the gift).</w:t>
      </w:r>
      <w:r w:rsidR="00FA09EB">
        <w:rPr>
          <w:rStyle w:val="FootnoteReference"/>
        </w:rPr>
        <w:footnoteReference w:id="20"/>
      </w:r>
      <w:r w:rsidR="00FA09EB">
        <w:t xml:space="preserve"> </w:t>
      </w:r>
      <w:r w:rsidR="00AB0878">
        <w:t>The woman’s further objections lead to the question at the core of this comparison- “</w:t>
      </w:r>
      <w:r w:rsidR="00AB0878" w:rsidRPr="00AB0878">
        <w:t>Are you greater than our ancestor Jacob, who gave us the well, and with his sons and his flocks drank from it?”</w:t>
      </w:r>
      <w:r w:rsidR="00AB0878">
        <w:t xml:space="preserve"> (4:12)</w:t>
      </w:r>
      <w:r w:rsidR="00332FB7">
        <w:t>. At</w:t>
      </w:r>
      <w:r w:rsidR="00283E37">
        <w:t xml:space="preserve"> this point in the narrative, I believe the woman to be voicing the question that the author is assuming is at the forefront of his readers’ mind</w:t>
      </w:r>
      <w:r w:rsidR="00B12B6C">
        <w:t xml:space="preserve">s as they navigate through what must be a somewhat confusing genre-manipulation. </w:t>
      </w:r>
      <w:r w:rsidR="00957475">
        <w:t xml:space="preserve">The answer to her/the readers’ question comes in the form of yet another abstract statement from Jesus. </w:t>
      </w:r>
    </w:p>
    <w:p w14:paraId="0562D8D2" w14:textId="05F6F9DF" w:rsidR="00957475" w:rsidRDefault="003D0875" w:rsidP="00F305D4">
      <w:pPr>
        <w:jc w:val="both"/>
      </w:pPr>
      <w:r>
        <w:t xml:space="preserve">Once again, Jesus </w:t>
      </w:r>
      <w:r w:rsidR="006D7E47">
        <w:t xml:space="preserve">distinguishes between the </w:t>
      </w:r>
      <w:r w:rsidR="00A97F79">
        <w:t xml:space="preserve">literal </w:t>
      </w:r>
      <w:r w:rsidR="006D7E47">
        <w:t>water</w:t>
      </w:r>
      <w:r w:rsidR="00A97F79">
        <w:t xml:space="preserve"> that</w:t>
      </w:r>
      <w:r w:rsidR="006D7E47">
        <w:t xml:space="preserve"> she </w:t>
      </w:r>
      <w:r w:rsidR="00A97F79">
        <w:t>refused to draw for</w:t>
      </w:r>
      <w:r w:rsidR="006D7E47">
        <w:t xml:space="preserve"> him, and the ‘living water’ that he intends to offer the world</w:t>
      </w:r>
      <w:r>
        <w:t>- “</w:t>
      </w:r>
      <w:r w:rsidR="006D7E47" w:rsidRPr="006D7E47">
        <w:t>Everyone who drinks of this water will be thirsty again,</w:t>
      </w:r>
      <w:r w:rsidR="006D7E47" w:rsidRPr="006D7E47">
        <w:rPr>
          <w:b/>
          <w:bCs/>
          <w:vertAlign w:val="superscript"/>
        </w:rPr>
        <w:t> </w:t>
      </w:r>
      <w:r w:rsidR="006D7E47" w:rsidRPr="006D7E47">
        <w:t>but those who drink of the water that I will give them will never be thirsty. The water that I will give will become in them a spring of water gushing up to eternal life.”</w:t>
      </w:r>
      <w:r w:rsidR="006D7E47">
        <w:t xml:space="preserve"> (4:13-13). </w:t>
      </w:r>
      <w:r w:rsidR="005D02FB">
        <w:t xml:space="preserve">Yet </w:t>
      </w:r>
      <w:r w:rsidR="00251671">
        <w:t xml:space="preserve">again, there are parallels to be drawn with </w:t>
      </w:r>
      <w:r w:rsidR="00044F69">
        <w:t xml:space="preserve">the </w:t>
      </w:r>
      <w:r w:rsidR="00251671">
        <w:t>Genesis</w:t>
      </w:r>
      <w:r w:rsidR="00044F69">
        <w:t xml:space="preserve"> betrothal scene:</w:t>
      </w:r>
      <w:r w:rsidR="00251671">
        <w:t xml:space="preserve"> just as the shepherds benefited from the water that Jacob made available for Rachel, so too will the world benefit from the water that Jesus is offering to the Samaritan woman. However- Jesus highlights one crucial difference, </w:t>
      </w:r>
      <w:r w:rsidR="00CB4435">
        <w:t>the water in Jacob’s well is only temporarily satisfying, while the water that Jesus is offering will leave the recipients eternally nourished. This is</w:t>
      </w:r>
      <w:r w:rsidR="005D02FB">
        <w:t xml:space="preserve"> further</w:t>
      </w:r>
      <w:r w:rsidR="00CB4435">
        <w:t xml:space="preserve"> emphasised by </w:t>
      </w:r>
      <w:r w:rsidR="005D02FB">
        <w:t>Jesus’</w:t>
      </w:r>
      <w:r w:rsidR="00CB4435">
        <w:t xml:space="preserve"> use of the term ‘</w:t>
      </w:r>
      <w:r w:rsidR="00CB4435" w:rsidRPr="005D02FB">
        <w:rPr>
          <w:i/>
          <w:iCs/>
        </w:rPr>
        <w:t>spring</w:t>
      </w:r>
      <w:r w:rsidR="00CB4435">
        <w:t xml:space="preserve"> of water’- </w:t>
      </w:r>
      <w:r w:rsidR="005D02FB">
        <w:t>a spring</w:t>
      </w:r>
      <w:r w:rsidR="00CB4435">
        <w:t xml:space="preserve"> is not bound by one specific place, no</w:t>
      </w:r>
      <w:r w:rsidR="005D02FB">
        <w:t xml:space="preserve">r </w:t>
      </w:r>
      <w:r w:rsidR="00CB4435">
        <w:t xml:space="preserve">does it need to be drawn by human means, it is ever-flowing and far-reaching. This stands in stark contrast to the water found in a well, which is confined to location and </w:t>
      </w:r>
      <w:r w:rsidR="005D02FB">
        <w:lastRenderedPageBreak/>
        <w:t xml:space="preserve">can only be obtained by </w:t>
      </w:r>
      <w:r w:rsidR="00CB4435">
        <w:t>physical labour.</w:t>
      </w:r>
      <w:r w:rsidR="00CB4435">
        <w:rPr>
          <w:rStyle w:val="FootnoteReference"/>
        </w:rPr>
        <w:footnoteReference w:id="21"/>
      </w:r>
      <w:r w:rsidR="0049527D">
        <w:t xml:space="preserve"> </w:t>
      </w:r>
      <w:r w:rsidR="008C7892">
        <w:t xml:space="preserve">I would argue that Jesus’ words leave the Johannine readers with no doubt of the author’s answer to the Samaritan woman’s question- yes, Jesus is greater than Jacob. </w:t>
      </w:r>
    </w:p>
    <w:p w14:paraId="22E05E82" w14:textId="37DBB3FF" w:rsidR="008C7892" w:rsidRDefault="00CF225C" w:rsidP="00F305D4">
      <w:pPr>
        <w:jc w:val="both"/>
      </w:pPr>
      <w:r>
        <w:t xml:space="preserve">The author then reverses the roles, aligning them with that of Rachel and Jacob, as it is now the female who wishes to receive water from the male- the readers’ expectations </w:t>
      </w:r>
      <w:r w:rsidR="00807C4A">
        <w:t xml:space="preserve">are </w:t>
      </w:r>
      <w:r>
        <w:t xml:space="preserve">once again lifting </w:t>
      </w:r>
      <w:r w:rsidR="00807C4A">
        <w:t xml:space="preserve">as the </w:t>
      </w:r>
      <w:r w:rsidR="00074B32">
        <w:t xml:space="preserve">dialogical </w:t>
      </w:r>
      <w:r w:rsidR="00807C4A">
        <w:t xml:space="preserve">detour that is hindering the inevitable betrothal seems to have come to an end, and the woman’s objections are not longer an obstacle. And yet, those expectations are once again confused as Jesus refuses to draw water for the woman, instead referencing her marital history. </w:t>
      </w:r>
      <w:r w:rsidR="00105D4C">
        <w:t xml:space="preserve">Both Jacob and Jesus have information regarding the women before them, and yet the to the women these men are still complete strangers. </w:t>
      </w:r>
      <w:r w:rsidR="00591905">
        <w:t>Jacob however, gleaned the information about Rachel’s identity from her fellow shepherds, while Jesus’ knowledge of the Samaritan is of divine origin. This is a common Johannine idea as he earlier writes that Jesus “</w:t>
      </w:r>
      <w:r w:rsidR="00591905" w:rsidRPr="00591905">
        <w:t>knew all people</w:t>
      </w:r>
      <w:r w:rsidR="00591905" w:rsidRPr="00591905">
        <w:rPr>
          <w:b/>
          <w:bCs/>
          <w:vertAlign w:val="superscript"/>
        </w:rPr>
        <w:t> </w:t>
      </w:r>
      <w:r w:rsidR="00591905" w:rsidRPr="00591905">
        <w:t>and needed no one to testify about anyone; for he himself knew what was in everyone</w:t>
      </w:r>
      <w:r w:rsidR="00591905">
        <w:t>” (2:25); Jesus’ prior knowledge of the woman is therefore presented as being greater than Jacob’s.</w:t>
      </w:r>
      <w:r w:rsidR="00591905">
        <w:rPr>
          <w:rStyle w:val="FootnoteReference"/>
        </w:rPr>
        <w:footnoteReference w:id="22"/>
      </w:r>
      <w:r w:rsidR="00591905">
        <w:t xml:space="preserve"> </w:t>
      </w:r>
      <w:r w:rsidR="00EC36B1">
        <w:t xml:space="preserve">As is the case with the characters within the Hebrew type-scenes, Jesus’ profession and role within the biblical narrative </w:t>
      </w:r>
      <w:r w:rsidR="005A5B38">
        <w:t>are</w:t>
      </w:r>
      <w:r w:rsidR="00EC36B1">
        <w:t xml:space="preserve"> alluded to through his profound knowledge of the Samaritan woman, this is reinforced by the woman’s conclusion that he must be a prophet (4:19) as well as her later pondering of him as the Messiah (4:29). </w:t>
      </w:r>
      <w:r w:rsidR="0028596F">
        <w:t xml:space="preserve">As is implied in Genesis 29, there is a sense that the woman has been awaiting the arrival of Jesus, his presence has been </w:t>
      </w:r>
      <w:r w:rsidR="00EE30A6">
        <w:t>long expected</w:t>
      </w:r>
      <w:r w:rsidR="0028596F">
        <w:t xml:space="preserve">, just as Jacob’s had. </w:t>
      </w:r>
    </w:p>
    <w:p w14:paraId="73FD6049" w14:textId="77777777" w:rsidR="008F2DF5" w:rsidRDefault="0028596F" w:rsidP="00F305D4">
      <w:pPr>
        <w:jc w:val="both"/>
      </w:pPr>
      <w:r>
        <w:t>Finally, in keeping with the traditional progression of the betrothal type-scene</w:t>
      </w:r>
      <w:r w:rsidR="00002744">
        <w:t xml:space="preserve">, the Samaritan woman leaves Jesus at the well as she returns to her community to tell them of his presence (4:28), prompting the residents of Sychar to experience Jesus for themselves, asking him to reside with them, which he does for two days (4:30-41), all of which parallel the stories of not only Jacob and Rachel, but also of Isaac, Rebekah, Moses and Zipporah. </w:t>
      </w:r>
      <w:r w:rsidR="00710165">
        <w:t>And yet, the readers are still left without the expected betrothal;</w:t>
      </w:r>
      <w:r w:rsidR="00ED6FDA">
        <w:t xml:space="preserve"> why would John </w:t>
      </w:r>
      <w:r w:rsidR="001B1D7E">
        <w:t>go to such lengths to present</w:t>
      </w:r>
      <w:r w:rsidR="00ED6FDA">
        <w:t xml:space="preserve"> a betrothal scene if he were never intending to conclude it with a union between the two protagonists? </w:t>
      </w:r>
      <w:r w:rsidR="008F2DF5">
        <w:t>Andrew Lincoln believes that the scene does in fact close with a betrothal- between Jesus (the bridegroom) and his followers/the church (the bride).</w:t>
      </w:r>
      <w:r w:rsidR="008F2DF5" w:rsidRPr="008F2DF5">
        <w:t xml:space="preserve"> </w:t>
      </w:r>
      <w:r w:rsidR="008F2DF5" w:rsidRPr="008F2DF5">
        <w:t>He writes that</w:t>
      </w:r>
      <w:r w:rsidR="008F2DF5">
        <w:t>-</w:t>
      </w:r>
    </w:p>
    <w:p w14:paraId="064AFD05" w14:textId="3CD02D32" w:rsidR="00EC36B1" w:rsidRPr="008F2DF5" w:rsidRDefault="008F2DF5" w:rsidP="008F2DF5">
      <w:pPr>
        <w:jc w:val="center"/>
        <w:rPr>
          <w:i/>
          <w:iCs/>
        </w:rPr>
      </w:pPr>
      <w:r>
        <w:rPr>
          <w:i/>
          <w:iCs/>
        </w:rPr>
        <w:t>‘</w:t>
      </w:r>
      <w:r w:rsidRPr="008F2DF5">
        <w:rPr>
          <w:i/>
          <w:iCs/>
        </w:rPr>
        <w:t xml:space="preserve">the betrothal type-scene is reinterpreted as symbolic of God’s </w:t>
      </w:r>
      <w:r w:rsidRPr="008F2DF5">
        <w:rPr>
          <w:i/>
          <w:iCs/>
        </w:rPr>
        <w:t>betrothal to God’s people. Jesus as the unique representative of God who is one with God, is presented as the bridegroom seeking a bride, the new people of God, represented by the Samaritan woman</w:t>
      </w:r>
      <w:r>
        <w:rPr>
          <w:i/>
          <w:iCs/>
        </w:rPr>
        <w:t>’</w:t>
      </w:r>
      <w:r w:rsidRPr="008F2DF5">
        <w:rPr>
          <w:rStyle w:val="FootnoteReference"/>
          <w:i/>
          <w:iCs/>
        </w:rPr>
        <w:footnoteReference w:id="23"/>
      </w:r>
    </w:p>
    <w:p w14:paraId="6C1E9030" w14:textId="21D91648" w:rsidR="00FA09EB" w:rsidRDefault="00A71289" w:rsidP="00F305D4">
      <w:pPr>
        <w:jc w:val="both"/>
      </w:pPr>
      <w:r>
        <w:t xml:space="preserve">One question therefore remains- what </w:t>
      </w:r>
      <w:r w:rsidR="00927122">
        <w:t xml:space="preserve">are the </w:t>
      </w:r>
      <w:r>
        <w:t xml:space="preserve">theological implications </w:t>
      </w:r>
      <w:r w:rsidR="00927122">
        <w:t>of</w:t>
      </w:r>
      <w:r>
        <w:t xml:space="preserve"> John’s use of the betrothal type-scene? What </w:t>
      </w:r>
      <w:r w:rsidR="00076E84">
        <w:t xml:space="preserve">larger message is </w:t>
      </w:r>
      <w:r>
        <w:t xml:space="preserve">he trying to communicate to his audience, and what does this mean for Christian-Jewish dialogue? </w:t>
      </w:r>
    </w:p>
    <w:p w14:paraId="011E1B90" w14:textId="2D10BBC0" w:rsidR="00A71289" w:rsidRPr="00A71289" w:rsidRDefault="00A71289" w:rsidP="00A71289">
      <w:pPr>
        <w:jc w:val="both"/>
        <w:rPr>
          <w:b/>
          <w:bCs/>
        </w:rPr>
      </w:pPr>
      <w:r w:rsidRPr="00A71289">
        <w:rPr>
          <w:b/>
          <w:bCs/>
        </w:rPr>
        <w:t xml:space="preserve">Jacob verses Jesus- Theological </w:t>
      </w:r>
      <w:r w:rsidR="00DC78A8">
        <w:rPr>
          <w:b/>
          <w:bCs/>
        </w:rPr>
        <w:t xml:space="preserve">Implications </w:t>
      </w:r>
      <w:r w:rsidRPr="00A71289">
        <w:rPr>
          <w:b/>
          <w:bCs/>
        </w:rPr>
        <w:t xml:space="preserve"> </w:t>
      </w:r>
    </w:p>
    <w:p w14:paraId="50AC54D1" w14:textId="725C142E" w:rsidR="00FA09EB" w:rsidRDefault="009925E9" w:rsidP="00F305D4">
      <w:pPr>
        <w:jc w:val="both"/>
      </w:pPr>
      <w:r>
        <w:t>Firstly, it is important to note that the Johannine idea of Jesus replacing a</w:t>
      </w:r>
      <w:r w:rsidR="001B640F">
        <w:t xml:space="preserve"> </w:t>
      </w:r>
      <w:r>
        <w:t>Bibl</w:t>
      </w:r>
      <w:r w:rsidR="001B640F">
        <w:t>ical patriarch</w:t>
      </w:r>
      <w:r>
        <w:t xml:space="preserve"> is not only confined to Jacob, there are also cases within the Gospel </w:t>
      </w:r>
      <w:r w:rsidR="00FD7EFD">
        <w:t>where</w:t>
      </w:r>
      <w:r>
        <w:t xml:space="preserve"> he is compared to both Abraham and Moses. </w:t>
      </w:r>
      <w:r w:rsidR="00A66BBA">
        <w:t>In chapter eight a familiar question</w:t>
      </w:r>
      <w:r w:rsidR="001B640F">
        <w:t xml:space="preserve"> is asked of </w:t>
      </w:r>
      <w:r w:rsidR="00A66BBA">
        <w:t xml:space="preserve">Jesus by ‘the Jews’, only this time it is Abraham who is the subject of speculation- they </w:t>
      </w:r>
      <w:r w:rsidR="001F7340">
        <w:t>ask,</w:t>
      </w:r>
      <w:r w:rsidR="00A66BBA">
        <w:t xml:space="preserve"> “</w:t>
      </w:r>
      <w:r w:rsidR="00A66BBA" w:rsidRPr="00A66BBA">
        <w:t>Are you greater than our father Abraham, who died?</w:t>
      </w:r>
      <w:r w:rsidR="00A66BBA">
        <w:t>” (8:52).</w:t>
      </w:r>
      <w:r w:rsidR="001B640F">
        <w:t xml:space="preserve"> Jesus’ answer to this question is presented in an abstract and illusive way (8:54-58), similar to the way in which he </w:t>
      </w:r>
      <w:r w:rsidR="00FD7EFD">
        <w:t>responds to</w:t>
      </w:r>
      <w:r w:rsidR="001B640F">
        <w:t xml:space="preserve"> the Samaritan woman’s question </w:t>
      </w:r>
      <w:r w:rsidR="00FD7EFD">
        <w:t>regarding</w:t>
      </w:r>
      <w:r w:rsidR="001B640F">
        <w:t xml:space="preserve"> her </w:t>
      </w:r>
      <w:r w:rsidR="00FD7EFD">
        <w:t>‘</w:t>
      </w:r>
      <w:r w:rsidR="001B640F">
        <w:t>ancestor</w:t>
      </w:r>
      <w:r w:rsidR="00FD7EFD">
        <w:t>’</w:t>
      </w:r>
      <w:r w:rsidR="001B640F">
        <w:t xml:space="preserve">, Jacob. </w:t>
      </w:r>
      <w:r w:rsidR="00FD7EFD">
        <w:lastRenderedPageBreak/>
        <w:t xml:space="preserve">Jesus’ answers to </w:t>
      </w:r>
      <w:r w:rsidR="006D2FE3">
        <w:t xml:space="preserve">both of </w:t>
      </w:r>
      <w:r w:rsidR="00FD7EFD">
        <w:t xml:space="preserve">these questions, although complex and </w:t>
      </w:r>
      <w:r w:rsidR="00011BB7">
        <w:t>indirect</w:t>
      </w:r>
      <w:r w:rsidR="00FD7EFD">
        <w:t xml:space="preserve">, </w:t>
      </w:r>
      <w:r w:rsidR="00442D27">
        <w:t>are</w:t>
      </w:r>
      <w:r w:rsidR="00FD7EFD">
        <w:t xml:space="preserve"> a firm </w:t>
      </w:r>
      <w:r w:rsidR="00FD7EFD" w:rsidRPr="007178DA">
        <w:rPr>
          <w:i/>
          <w:iCs/>
        </w:rPr>
        <w:t>yes</w:t>
      </w:r>
      <w:r w:rsidR="006D2FE3">
        <w:rPr>
          <w:i/>
          <w:iCs/>
        </w:rPr>
        <w:t xml:space="preserve">- </w:t>
      </w:r>
      <w:r w:rsidR="006D2FE3">
        <w:t>he is greater</w:t>
      </w:r>
      <w:r w:rsidR="00FD7EFD">
        <w:t>.</w:t>
      </w:r>
      <w:r w:rsidR="00C61405">
        <w:t xml:space="preserve"> </w:t>
      </w:r>
      <w:r w:rsidR="00442D27">
        <w:t>Furthermore, i</w:t>
      </w:r>
      <w:r w:rsidR="00923210">
        <w:t>n the first chapter of the Gospel the author writes that “</w:t>
      </w:r>
      <w:r w:rsidR="00923210" w:rsidRPr="00923210">
        <w:t>The law indeed was given through Moses; grace and truth came through Jesus Christ.</w:t>
      </w:r>
      <w:r w:rsidR="00923210">
        <w:t>” (1:17), this is yet another strong claim from the author who is suggesting that the Mosaic law may hold an element of grace and truth</w:t>
      </w:r>
      <w:r w:rsidR="00EB046E">
        <w:t xml:space="preserve"> (it is unlikely that he is completely denying the presence of grace, and in particular, truth within the Torah) </w:t>
      </w:r>
      <w:r w:rsidR="00923210">
        <w:t>, but that they are brought into fulness in Jesus, th</w:t>
      </w:r>
      <w:r w:rsidR="00442D27">
        <w:t>u</w:t>
      </w:r>
      <w:r w:rsidR="00923210">
        <w:t xml:space="preserve">s implying that Jesus </w:t>
      </w:r>
      <w:r w:rsidR="00627B59">
        <w:t xml:space="preserve">also </w:t>
      </w:r>
      <w:r w:rsidR="00923210">
        <w:t>is greater than Moses</w:t>
      </w:r>
      <w:r w:rsidR="00442D27">
        <w:t>.</w:t>
      </w:r>
      <w:r w:rsidR="00923210">
        <w:t xml:space="preserve"> </w:t>
      </w:r>
      <w:r w:rsidR="00442D27" w:rsidRPr="00442D27">
        <w:t xml:space="preserve">The Johannine author leaves the readers in no doubt of his view that Jesus </w:t>
      </w:r>
      <w:r w:rsidR="00442D27" w:rsidRPr="00442D27">
        <w:rPr>
          <w:i/>
          <w:iCs/>
        </w:rPr>
        <w:t xml:space="preserve">is </w:t>
      </w:r>
      <w:r w:rsidR="00442D27" w:rsidRPr="00442D27">
        <w:t>greater than Jacob</w:t>
      </w:r>
      <w:r w:rsidR="00442D27">
        <w:t xml:space="preserve">, </w:t>
      </w:r>
      <w:r w:rsidR="00442D27" w:rsidRPr="00442D27">
        <w:t>Abraham</w:t>
      </w:r>
      <w:r w:rsidR="00442D27">
        <w:t xml:space="preserve"> and Moses</w:t>
      </w:r>
      <w:r w:rsidR="00627B59">
        <w:t>;</w:t>
      </w:r>
      <w:r w:rsidR="00442D27" w:rsidRPr="00442D27">
        <w:t xml:space="preserve"> not </w:t>
      </w:r>
      <w:r w:rsidR="00627B59">
        <w:t xml:space="preserve">intending to </w:t>
      </w:r>
      <w:r w:rsidR="00442D27" w:rsidRPr="00442D27">
        <w:t xml:space="preserve">disregard Israel’s founding </w:t>
      </w:r>
      <w:r w:rsidR="000A3963">
        <w:t>figures</w:t>
      </w:r>
      <w:r w:rsidR="00442D27" w:rsidRPr="00442D27">
        <w:t>’ importance, but rather</w:t>
      </w:r>
      <w:r w:rsidR="00627B59">
        <w:t xml:space="preserve"> to present Jesus’ life, death and resurrection as the</w:t>
      </w:r>
      <w:r w:rsidR="00442D27" w:rsidRPr="00442D27">
        <w:t xml:space="preserve"> fulfilling</w:t>
      </w:r>
      <w:r w:rsidR="00627B59">
        <w:t xml:space="preserve"> of</w:t>
      </w:r>
      <w:r w:rsidR="00442D27" w:rsidRPr="00442D27">
        <w:t xml:space="preserve"> it</w:t>
      </w:r>
      <w:r w:rsidR="00442D27">
        <w:t>.</w:t>
      </w:r>
      <w:r w:rsidR="00D13811">
        <w:t xml:space="preserve"> Lincoln writes that “since the new reality replaces the old, it is no longer relevant to claim them for the old”,</w:t>
      </w:r>
      <w:r w:rsidR="00D13811">
        <w:rPr>
          <w:rStyle w:val="FootnoteReference"/>
        </w:rPr>
        <w:footnoteReference w:id="24"/>
      </w:r>
      <w:r w:rsidR="00D13811">
        <w:t xml:space="preserve"> Jesus is presented as embodying what was promised to Israel</w:t>
      </w:r>
      <w:r w:rsidR="006D2FE3">
        <w:t xml:space="preserve"> in all of its intended fullness</w:t>
      </w:r>
      <w:r w:rsidR="00D13811">
        <w:t>,</w:t>
      </w:r>
      <w:r w:rsidR="007A3DCB">
        <w:t xml:space="preserve"> according to John</w:t>
      </w:r>
      <w:r w:rsidR="00252F8E">
        <w:t xml:space="preserve"> he is the means by which one may enter into</w:t>
      </w:r>
      <w:r w:rsidR="00D13811">
        <w:t xml:space="preserve"> the new covenant. </w:t>
      </w:r>
    </w:p>
    <w:p w14:paraId="0977B6C2" w14:textId="4EFB9C19" w:rsidR="008B6113" w:rsidRDefault="008B6113" w:rsidP="00F305D4">
      <w:pPr>
        <w:jc w:val="both"/>
      </w:pPr>
      <w:r>
        <w:t>If Jesus</w:t>
      </w:r>
      <w:r w:rsidR="008B0A6B">
        <w:t xml:space="preserve"> has replaced Jacob and is</w:t>
      </w:r>
      <w:r>
        <w:t xml:space="preserve"> the new means by which one may obtain salvation/’living water’- who then are welcomed into such a covenant? I believe the answer to this question </w:t>
      </w:r>
      <w:r w:rsidR="008B0A6B">
        <w:t xml:space="preserve">also </w:t>
      </w:r>
      <w:r>
        <w:t>lies within the</w:t>
      </w:r>
      <w:r w:rsidR="008B0A6B">
        <w:t xml:space="preserve"> Johannine</w:t>
      </w:r>
      <w:r>
        <w:t xml:space="preserve"> betrothal</w:t>
      </w:r>
      <w:r w:rsidR="008B0A6B">
        <w:t xml:space="preserve"> type-scene</w:t>
      </w:r>
      <w:r w:rsidR="00667025">
        <w:t>.</w:t>
      </w:r>
      <w:r>
        <w:t xml:space="preserve"> </w:t>
      </w:r>
    </w:p>
    <w:p w14:paraId="60E81902" w14:textId="47FD27DB" w:rsidR="00EB046E" w:rsidRDefault="00252F8E" w:rsidP="00F305D4">
      <w:pPr>
        <w:jc w:val="both"/>
      </w:pPr>
      <w:r>
        <w:t xml:space="preserve">Although the parallels between </w:t>
      </w:r>
      <w:r w:rsidR="00BB1511">
        <w:t xml:space="preserve">Rachel and the Samaritan woman have not been explored in great detail within this essay, </w:t>
      </w:r>
      <w:r w:rsidR="00667025">
        <w:t xml:space="preserve">it should be noted that </w:t>
      </w:r>
      <w:r w:rsidR="00BB1511">
        <w:t xml:space="preserve">there are a depth of significant comparisons to be made between the two women and the role they play within the biblical narrative. </w:t>
      </w:r>
      <w:r w:rsidR="00667025">
        <w:t xml:space="preserve">Both women shape the Jewish/Christian landscape, acting as significant catalysts and leading others into God’s will. </w:t>
      </w:r>
      <w:r w:rsidR="008B6113">
        <w:t xml:space="preserve">Although I cannot delve into this deeply, </w:t>
      </w:r>
      <w:r w:rsidR="00667025">
        <w:t xml:space="preserve">I will briefly un-pack how the Samaritan woman holds the answer the question mentioned above. </w:t>
      </w:r>
      <w:r w:rsidR="00307F0A">
        <w:t xml:space="preserve">Unlike Rachel, who was included in the covenant that God had made with Abraham (as she is a descendant of </w:t>
      </w:r>
      <w:proofErr w:type="spellStart"/>
      <w:r w:rsidR="00307F0A">
        <w:t>Nahor</w:t>
      </w:r>
      <w:proofErr w:type="spellEnd"/>
      <w:r w:rsidR="00307F0A">
        <w:t xml:space="preserve">, Abraham’s brother), the Samaritan woman is an outsider, seemingly rejected by the Jewish </w:t>
      </w:r>
      <w:r w:rsidR="00A46973">
        <w:t>officials</w:t>
      </w:r>
      <w:r w:rsidR="00307F0A">
        <w:t xml:space="preserve"> and rendered as un-clean. </w:t>
      </w:r>
      <w:r w:rsidR="006244A2">
        <w:t>And yet, it is her and he</w:t>
      </w:r>
      <w:r w:rsidR="00975FE8">
        <w:t>r Samaritan kin</w:t>
      </w:r>
      <w:r w:rsidR="006244A2">
        <w:t xml:space="preserve"> who are portrayed as the bride of Christ</w:t>
      </w:r>
      <w:r w:rsidR="007A0422">
        <w:t xml:space="preserve">- able to fully receive the salvific favour of God. </w:t>
      </w:r>
      <w:r w:rsidR="00F72040">
        <w:t xml:space="preserve">Aware as I am of </w:t>
      </w:r>
      <w:r w:rsidR="00B22311">
        <w:t xml:space="preserve"> the careful intentionality that underpins every word of the fourth Gospel, I am led to believe that this detail holds within it a theological message- that the covenant, </w:t>
      </w:r>
      <w:r w:rsidR="00F72040">
        <w:t>although</w:t>
      </w:r>
      <w:r w:rsidR="00B22311">
        <w:t xml:space="preserve"> ‘from the Jews’ (4:22)</w:t>
      </w:r>
      <w:r w:rsidR="00F72040">
        <w:t xml:space="preserve"> i</w:t>
      </w:r>
      <w:r w:rsidR="00B22311">
        <w:t xml:space="preserve">s no longer exclusively theirs. </w:t>
      </w:r>
      <w:r w:rsidR="00471B38">
        <w:t xml:space="preserve">The nationality of the un-named woman and her </w:t>
      </w:r>
      <w:r w:rsidR="009D6299">
        <w:t xml:space="preserve">literary </w:t>
      </w:r>
      <w:r w:rsidR="00471B38">
        <w:t xml:space="preserve">connection to Rachel, an esteemed matriarch of the Hebrew Bible, therefore dramatically re-shapes the core of what it means to be God’s chosen people. </w:t>
      </w:r>
    </w:p>
    <w:p w14:paraId="3C2DAAFC" w14:textId="76F112B7" w:rsidR="00215A3A" w:rsidRDefault="009C42D1" w:rsidP="0019583A">
      <w:pPr>
        <w:jc w:val="both"/>
      </w:pPr>
      <w:r>
        <w:t>It is perhaps for the reasons mentioned above that the fourth Gospel has often been labelled as</w:t>
      </w:r>
      <w:r w:rsidRPr="009C42D1">
        <w:t xml:space="preserve"> both the most Jewish and the most anti-Jewish text within the New Testament.</w:t>
      </w:r>
      <w:r w:rsidRPr="009C42D1">
        <w:rPr>
          <w:vertAlign w:val="superscript"/>
        </w:rPr>
        <w:footnoteReference w:id="25"/>
      </w:r>
      <w:r>
        <w:t xml:space="preserve"> </w:t>
      </w:r>
      <w:r w:rsidR="00B8761F">
        <w:t xml:space="preserve">The author is rooted within the Hebrew Bible, and yet works to re-shape it at its very core. He is also deeply aware of the importance of the patriarchs and yet seeks to replace them all with Jesus, rendering their impact as incomplete. </w:t>
      </w:r>
      <w:r w:rsidR="0019583A">
        <w:t xml:space="preserve">This has led to the accusation that the Gospel of John is intrinsically </w:t>
      </w:r>
      <w:proofErr w:type="spellStart"/>
      <w:r w:rsidR="0019583A">
        <w:t>supersessionist</w:t>
      </w:r>
      <w:proofErr w:type="spellEnd"/>
      <w:r w:rsidR="0019583A">
        <w:t xml:space="preserve"> in its aims, and therefore inherently anti-Jewish. </w:t>
      </w:r>
    </w:p>
    <w:p w14:paraId="7981397C" w14:textId="79CDB9AE" w:rsidR="00F305D4" w:rsidRDefault="0019583A" w:rsidP="0035436B">
      <w:pPr>
        <w:jc w:val="both"/>
      </w:pPr>
      <w:r>
        <w:t xml:space="preserve">Rosemary </w:t>
      </w:r>
      <w:proofErr w:type="spellStart"/>
      <w:r>
        <w:t>Ruether’s</w:t>
      </w:r>
      <w:proofErr w:type="spellEnd"/>
      <w:r>
        <w:t xml:space="preserve"> voice has been particularly prominent in this debate, as she states that </w:t>
      </w:r>
      <w:r w:rsidRPr="0019583A">
        <w:t>“there is no way to rid Christianity of its anti-Judaism, which constantly takes social expression in anti-Semitism, without grappling with its Christological hermeneutic itself.”</w:t>
      </w:r>
      <w:r>
        <w:rPr>
          <w:rStyle w:val="FootnoteReference"/>
        </w:rPr>
        <w:footnoteReference w:id="26"/>
      </w:r>
      <w:r w:rsidR="006635B1">
        <w:t xml:space="preserve"> </w:t>
      </w:r>
      <w:r w:rsidR="00DC78A8">
        <w:t xml:space="preserve">It is this Christological hermeneutic </w:t>
      </w:r>
      <w:r w:rsidR="00B73141">
        <w:t>that</w:t>
      </w:r>
      <w:r w:rsidR="00DC78A8">
        <w:t xml:space="preserve"> is undoubtedly at the heart of John 4, as the author goes to great lengths to allude to the Pentateuchal </w:t>
      </w:r>
      <w:r w:rsidR="00BF3DC4">
        <w:lastRenderedPageBreak/>
        <w:t xml:space="preserve">betrothal </w:t>
      </w:r>
      <w:r w:rsidR="00DC78A8">
        <w:t>narrative</w:t>
      </w:r>
      <w:r w:rsidR="00BF3DC4">
        <w:t>s</w:t>
      </w:r>
      <w:r w:rsidR="00DC78A8">
        <w:t xml:space="preserve">, and then re-shape them, placing Jesus </w:t>
      </w:r>
      <w:r w:rsidR="00DD681D">
        <w:t xml:space="preserve">very firmly </w:t>
      </w:r>
      <w:r w:rsidR="00DC78A8">
        <w:t>at the centre.</w:t>
      </w:r>
      <w:r w:rsidR="00DD681D">
        <w:t xml:space="preserve"> </w:t>
      </w:r>
      <w:r w:rsidR="00390749">
        <w:t xml:space="preserve">Is it possible that </w:t>
      </w:r>
      <w:r w:rsidR="00961EBC">
        <w:t xml:space="preserve">in doing so, </w:t>
      </w:r>
      <w:r w:rsidR="00390749">
        <w:t xml:space="preserve">the author is rendering the other betrothal narratives, Jacob and Rachel’s in particular, as inadequate and irrelevant in the light of Jesus? </w:t>
      </w:r>
      <w:r w:rsidR="00B0154B">
        <w:t>Ruth B. Edwards argues not, she writes that,</w:t>
      </w:r>
      <w:r w:rsidR="004F2FF7">
        <w:t xml:space="preserve"> </w:t>
      </w:r>
      <w:r w:rsidR="000F6F30" w:rsidRPr="000F6F30">
        <w:t>“Scripture, for John, is the Hebrew Bible (including the Septuagint) for which he displays the utmost respect, regarding it as fully authoritative”</w:t>
      </w:r>
      <w:r w:rsidR="000F6F30">
        <w:t>.</w:t>
      </w:r>
      <w:r w:rsidR="000F6F30">
        <w:rPr>
          <w:rStyle w:val="FootnoteReference"/>
        </w:rPr>
        <w:footnoteReference w:id="27"/>
      </w:r>
      <w:r w:rsidR="000F6F30">
        <w:t xml:space="preserve"> </w:t>
      </w:r>
    </w:p>
    <w:p w14:paraId="3667ADA1" w14:textId="294343A2" w:rsidR="00F305D4" w:rsidRPr="00F3357B" w:rsidRDefault="00F3357B" w:rsidP="00F3357B">
      <w:pPr>
        <w:jc w:val="both"/>
      </w:pPr>
      <w:r>
        <w:t>Is the use of the betrothal type-scene within the Johannine Gospel a</w:t>
      </w:r>
      <w:r w:rsidR="00B73141">
        <w:t xml:space="preserve"> literary</w:t>
      </w:r>
      <w:r>
        <w:t xml:space="preserve"> working of reverence and fulfilment, or of disregard and supersession? This is a question to which there is no simple answer, but innumerable complex ones. </w:t>
      </w:r>
    </w:p>
    <w:p w14:paraId="4A820DDB" w14:textId="5B4158CA" w:rsidR="00423AA5" w:rsidRDefault="00423AA5" w:rsidP="00423AA5">
      <w:pPr>
        <w:rPr>
          <w:b/>
          <w:bCs/>
          <w:color w:val="FF0000"/>
        </w:rPr>
      </w:pPr>
      <w:r>
        <w:rPr>
          <w:b/>
          <w:bCs/>
        </w:rPr>
        <w:t xml:space="preserve">Concluding Thoughts </w:t>
      </w:r>
    </w:p>
    <w:p w14:paraId="5B7FE6E8" w14:textId="758A3A68" w:rsidR="002B2E04" w:rsidRPr="00EE7C5F" w:rsidRDefault="00EE7C5F" w:rsidP="00EE7C5F">
      <w:pPr>
        <w:jc w:val="both"/>
      </w:pPr>
      <w:r>
        <w:t xml:space="preserve">I remain convinced that the author of the Gospel of John was not only aware of the betrothal pattern used through-out the Hebrew </w:t>
      </w:r>
      <w:r w:rsidR="00B50E1A">
        <w:t>Bible but</w:t>
      </w:r>
      <w:r>
        <w:t xml:space="preserve"> has used it for his own Christological aims. He has predicted th</w:t>
      </w:r>
      <w:r w:rsidR="00310BE2">
        <w:t xml:space="preserve">e </w:t>
      </w:r>
      <w:r>
        <w:t xml:space="preserve">default assumptions </w:t>
      </w:r>
      <w:r w:rsidR="00310BE2">
        <w:t xml:space="preserve">that are </w:t>
      </w:r>
      <w:r>
        <w:t xml:space="preserve">attached to literary genre and </w:t>
      </w:r>
      <w:r w:rsidR="00B50E1A">
        <w:t>convention and</w:t>
      </w:r>
      <w:r>
        <w:t xml:space="preserve"> has then manipulated them;</w:t>
      </w:r>
      <w:r w:rsidR="00310BE2">
        <w:t xml:space="preserve"> working with the predicted expectations of his audience and </w:t>
      </w:r>
      <w:r w:rsidR="00B50E1A">
        <w:t>re-worked</w:t>
      </w:r>
      <w:r w:rsidR="00310BE2">
        <w:t xml:space="preserve"> the motifs.</w:t>
      </w:r>
      <w:r w:rsidR="00B50E1A">
        <w:t xml:space="preserve"> It is completely possible that the author was more aware of the betrothal pattern than we could ever hope to be, as he had access to many more of the interpretive ‘keys’ that Robert Alter speaks of. However, I hold firmly to the belief that he had the narrative of Jacob and Rachel at the forefront of his mind, using it as a platform upon which he was able to present his </w:t>
      </w:r>
      <w:r w:rsidR="00CA5662">
        <w:t xml:space="preserve">deeply theological </w:t>
      </w:r>
      <w:r w:rsidR="00B50E1A">
        <w:t xml:space="preserve">scene. </w:t>
      </w:r>
      <w:r w:rsidR="00310BE2">
        <w:t xml:space="preserve"> </w:t>
      </w:r>
    </w:p>
    <w:p w14:paraId="6B814DA1" w14:textId="5A8C09BB" w:rsidR="002B2E04" w:rsidRDefault="002B2E04" w:rsidP="00423AA5">
      <w:pPr>
        <w:rPr>
          <w:b/>
          <w:bCs/>
          <w:color w:val="FF0000"/>
        </w:rPr>
      </w:pPr>
    </w:p>
    <w:p w14:paraId="495E28AB" w14:textId="3C4B0AE1" w:rsidR="002B2E04" w:rsidRDefault="002B2E04" w:rsidP="00423AA5">
      <w:pPr>
        <w:rPr>
          <w:b/>
          <w:bCs/>
          <w:color w:val="FF0000"/>
        </w:rPr>
      </w:pPr>
    </w:p>
    <w:p w14:paraId="25ED1CA7" w14:textId="1470EE04" w:rsidR="002B2E04" w:rsidRDefault="002B2E04" w:rsidP="00423AA5">
      <w:pPr>
        <w:rPr>
          <w:b/>
          <w:bCs/>
          <w:color w:val="FF0000"/>
        </w:rPr>
      </w:pPr>
    </w:p>
    <w:p w14:paraId="4B67BD89" w14:textId="65DEFF71" w:rsidR="002B2E04" w:rsidRDefault="002B2E04" w:rsidP="00423AA5">
      <w:pPr>
        <w:rPr>
          <w:b/>
          <w:bCs/>
          <w:color w:val="FF0000"/>
        </w:rPr>
      </w:pPr>
    </w:p>
    <w:p w14:paraId="36FA879D" w14:textId="44316BA6" w:rsidR="002B2E04" w:rsidRDefault="002B2E04" w:rsidP="00423AA5">
      <w:pPr>
        <w:rPr>
          <w:b/>
          <w:bCs/>
          <w:color w:val="FF0000"/>
        </w:rPr>
      </w:pPr>
    </w:p>
    <w:p w14:paraId="36FBA270" w14:textId="6E936213" w:rsidR="002B2E04" w:rsidRDefault="002B2E04" w:rsidP="00423AA5">
      <w:pPr>
        <w:rPr>
          <w:b/>
          <w:bCs/>
          <w:color w:val="FF0000"/>
        </w:rPr>
      </w:pPr>
    </w:p>
    <w:p w14:paraId="2726665E" w14:textId="0731FA8B" w:rsidR="002B2E04" w:rsidRDefault="002B2E04" w:rsidP="00423AA5">
      <w:pPr>
        <w:rPr>
          <w:b/>
          <w:bCs/>
          <w:color w:val="FF0000"/>
        </w:rPr>
      </w:pPr>
    </w:p>
    <w:p w14:paraId="23656A88" w14:textId="04B4BA8D" w:rsidR="002B2E04" w:rsidRDefault="002B2E04" w:rsidP="00423AA5">
      <w:pPr>
        <w:rPr>
          <w:b/>
          <w:bCs/>
          <w:color w:val="FF0000"/>
        </w:rPr>
      </w:pPr>
    </w:p>
    <w:p w14:paraId="24657037" w14:textId="628EC246" w:rsidR="002B2E04" w:rsidRDefault="002B2E04" w:rsidP="00423AA5">
      <w:pPr>
        <w:rPr>
          <w:b/>
          <w:bCs/>
          <w:color w:val="FF0000"/>
        </w:rPr>
      </w:pPr>
    </w:p>
    <w:p w14:paraId="19BFDE89" w14:textId="435070D3" w:rsidR="002B2E04" w:rsidRDefault="002B2E04" w:rsidP="00423AA5">
      <w:pPr>
        <w:rPr>
          <w:b/>
          <w:bCs/>
          <w:color w:val="FF0000"/>
        </w:rPr>
      </w:pPr>
    </w:p>
    <w:p w14:paraId="0005383B" w14:textId="634AE049" w:rsidR="00501AC6" w:rsidRDefault="00501AC6" w:rsidP="00423AA5">
      <w:pPr>
        <w:rPr>
          <w:b/>
          <w:bCs/>
          <w:color w:val="FF0000"/>
        </w:rPr>
      </w:pPr>
    </w:p>
    <w:p w14:paraId="4A8B3AD8" w14:textId="5A5D4E81" w:rsidR="00501AC6" w:rsidRDefault="00501AC6" w:rsidP="00423AA5">
      <w:pPr>
        <w:rPr>
          <w:b/>
          <w:bCs/>
          <w:color w:val="FF0000"/>
        </w:rPr>
      </w:pPr>
    </w:p>
    <w:p w14:paraId="48998321" w14:textId="444861C7" w:rsidR="00501AC6" w:rsidRDefault="00501AC6" w:rsidP="00423AA5">
      <w:pPr>
        <w:rPr>
          <w:b/>
          <w:bCs/>
          <w:color w:val="FF0000"/>
        </w:rPr>
      </w:pPr>
    </w:p>
    <w:p w14:paraId="27DBF280" w14:textId="3BF2DEDC" w:rsidR="00501AC6" w:rsidRDefault="00501AC6" w:rsidP="00423AA5">
      <w:pPr>
        <w:rPr>
          <w:b/>
          <w:bCs/>
          <w:color w:val="FF0000"/>
        </w:rPr>
      </w:pPr>
    </w:p>
    <w:p w14:paraId="6F5C66E6" w14:textId="46E4829C" w:rsidR="00501AC6" w:rsidRDefault="00501AC6" w:rsidP="00423AA5">
      <w:pPr>
        <w:rPr>
          <w:b/>
          <w:bCs/>
          <w:color w:val="FF0000"/>
        </w:rPr>
      </w:pPr>
    </w:p>
    <w:p w14:paraId="1D46C096" w14:textId="77777777" w:rsidR="00501AC6" w:rsidRDefault="00501AC6" w:rsidP="00423AA5">
      <w:pPr>
        <w:rPr>
          <w:b/>
          <w:bCs/>
          <w:color w:val="FF0000"/>
        </w:rPr>
      </w:pPr>
      <w:bookmarkStart w:id="13" w:name="_GoBack"/>
      <w:bookmarkEnd w:id="13"/>
    </w:p>
    <w:p w14:paraId="651A03B2" w14:textId="77777777" w:rsidR="002B2E04" w:rsidRPr="00423AA5" w:rsidRDefault="002B2E04" w:rsidP="00423AA5">
      <w:pPr>
        <w:rPr>
          <w:b/>
          <w:bCs/>
          <w:color w:val="FF0000"/>
        </w:rPr>
      </w:pPr>
    </w:p>
    <w:p w14:paraId="7167BD2E" w14:textId="29D22B5B" w:rsidR="00423AA5" w:rsidRDefault="008A525D" w:rsidP="00423AA5">
      <w:pPr>
        <w:rPr>
          <w:b/>
          <w:bCs/>
        </w:rPr>
      </w:pPr>
      <w:r>
        <w:rPr>
          <w:b/>
          <w:bCs/>
        </w:rPr>
        <w:lastRenderedPageBreak/>
        <w:t xml:space="preserve">Bibliography </w:t>
      </w:r>
    </w:p>
    <w:p w14:paraId="2F25CDC7" w14:textId="3B4D96A4" w:rsidR="00AC134A" w:rsidRDefault="00AC134A" w:rsidP="00423AA5">
      <w:r w:rsidRPr="00AC134A">
        <w:t>Aitken,</w:t>
      </w:r>
      <w:r>
        <w:t xml:space="preserve"> E. B.,</w:t>
      </w:r>
      <w:r w:rsidRPr="00AC134A">
        <w:t xml:space="preserve"> At the Well of Living Water: Jacob Traditions in John 4 in </w:t>
      </w:r>
      <w:r w:rsidRPr="00AC134A">
        <w:rPr>
          <w:i/>
          <w:iCs/>
        </w:rPr>
        <w:t xml:space="preserve">Interpretation of Scripture in Early Judaism and Christianity: Studies in Language and Tradition </w:t>
      </w:r>
      <w:r w:rsidRPr="00AC134A">
        <w:t>eds. Craig A. Evans (Journal for the Study of the Pseudepigrapha Supplement, 2000),</w:t>
      </w:r>
      <w:r>
        <w:t xml:space="preserve"> pp. </w:t>
      </w:r>
      <w:r w:rsidR="00345156">
        <w:t>342-352.</w:t>
      </w:r>
    </w:p>
    <w:p w14:paraId="7ED6020C" w14:textId="596C69DB" w:rsidR="008A525D" w:rsidRDefault="008A525D" w:rsidP="00423AA5">
      <w:r>
        <w:t xml:space="preserve">Alter, R., </w:t>
      </w:r>
      <w:r>
        <w:rPr>
          <w:i/>
          <w:iCs/>
        </w:rPr>
        <w:t xml:space="preserve">The Art of Biblical Narrative </w:t>
      </w:r>
      <w:r>
        <w:t>(New York: Basic Books, 1981).</w:t>
      </w:r>
    </w:p>
    <w:p w14:paraId="5E5B66A7" w14:textId="1FBF8837" w:rsidR="004003B9" w:rsidRDefault="004003B9" w:rsidP="00423AA5">
      <w:r w:rsidRPr="004003B9">
        <w:t>Alter,</w:t>
      </w:r>
      <w:r>
        <w:t xml:space="preserve"> R.,</w:t>
      </w:r>
      <w:r w:rsidRPr="004003B9">
        <w:t xml:space="preserve"> </w:t>
      </w:r>
      <w:r w:rsidRPr="004003B9">
        <w:rPr>
          <w:i/>
          <w:iCs/>
        </w:rPr>
        <w:t xml:space="preserve">Genesis: Translation and Commentary </w:t>
      </w:r>
      <w:r w:rsidRPr="004003B9">
        <w:t>(New York: Norton &amp; Company Ltd., 1996)</w:t>
      </w:r>
      <w:r>
        <w:t>.</w:t>
      </w:r>
    </w:p>
    <w:p w14:paraId="11D9575D" w14:textId="5DD2892E" w:rsidR="00B31842" w:rsidRDefault="00B31842" w:rsidP="00423AA5">
      <w:proofErr w:type="spellStart"/>
      <w:r w:rsidRPr="00B31842">
        <w:t>Attridge</w:t>
      </w:r>
      <w:proofErr w:type="spellEnd"/>
      <w:r w:rsidRPr="00B31842">
        <w:t>,</w:t>
      </w:r>
      <w:r>
        <w:t xml:space="preserve"> H. W.,</w:t>
      </w:r>
      <w:r w:rsidRPr="00B31842">
        <w:t xml:space="preserve"> Genre-Bending in the Fourth Gospel in </w:t>
      </w:r>
      <w:r w:rsidRPr="00B31842">
        <w:rPr>
          <w:i/>
          <w:iCs/>
        </w:rPr>
        <w:t xml:space="preserve">The Journal of Biblical Literature </w:t>
      </w:r>
      <w:r w:rsidRPr="00B31842">
        <w:t>vol. 121 (The society of Biblical Literature, 2002),</w:t>
      </w:r>
      <w:r>
        <w:t xml:space="preserve"> pp. 3-21. </w:t>
      </w:r>
    </w:p>
    <w:p w14:paraId="19CF968E" w14:textId="4316A482" w:rsidR="001E57E6" w:rsidRDefault="001E57E6" w:rsidP="00423AA5">
      <w:r w:rsidRPr="001E57E6">
        <w:t>Brodie,</w:t>
      </w:r>
      <w:r>
        <w:t xml:space="preserve"> T. L.,</w:t>
      </w:r>
      <w:r w:rsidRPr="001E57E6">
        <w:t xml:space="preserve"> </w:t>
      </w:r>
      <w:hyperlink r:id="rId8" w:history="1"/>
      <w:r w:rsidRPr="001E57E6">
        <w:rPr>
          <w:i/>
          <w:iCs/>
        </w:rPr>
        <w:t xml:space="preserve">Genesis as Dialogue: A Literary, Historical and Theological Commentary </w:t>
      </w:r>
      <w:r w:rsidRPr="001E57E6">
        <w:t>(Oxford: Oxford University Press, 2001</w:t>
      </w:r>
      <w:r>
        <w:t xml:space="preserve">). </w:t>
      </w:r>
    </w:p>
    <w:p w14:paraId="4F4509E9" w14:textId="474F0510" w:rsidR="000940B9" w:rsidRDefault="008A525D" w:rsidP="000940B9">
      <w:r>
        <w:t xml:space="preserve">Culley, R. C., </w:t>
      </w:r>
      <w:r>
        <w:rPr>
          <w:i/>
          <w:iCs/>
        </w:rPr>
        <w:t xml:space="preserve">Studies in the Structure of the Hebrew Narrative </w:t>
      </w:r>
      <w:r>
        <w:t xml:space="preserve">(Philadelphia: Fortress and Scholars Press, 1976). </w:t>
      </w:r>
    </w:p>
    <w:p w14:paraId="6116A53B" w14:textId="6394E82B" w:rsidR="000940B9" w:rsidRDefault="000940B9" w:rsidP="000940B9">
      <w:r>
        <w:t xml:space="preserve">Culpepper, A. R., Anderson, P. N., </w:t>
      </w:r>
      <w:r w:rsidRPr="000940B9">
        <w:rPr>
          <w:i/>
          <w:iCs/>
        </w:rPr>
        <w:t>John and Judaism: A Contested Relationship in Context</w:t>
      </w:r>
      <w:r w:rsidRPr="000940B9">
        <w:t xml:space="preserve"> (Atlanta: SBL Press, 2017)</w:t>
      </w:r>
      <w:r>
        <w:t>.</w:t>
      </w:r>
    </w:p>
    <w:p w14:paraId="2B3899FB" w14:textId="2FE93F97" w:rsidR="000940B9" w:rsidRDefault="000940B9" w:rsidP="00423AA5">
      <w:r w:rsidRPr="000940B9">
        <w:t>Edwards,</w:t>
      </w:r>
      <w:r>
        <w:t xml:space="preserve"> R.B.,</w:t>
      </w:r>
      <w:r w:rsidRPr="000940B9">
        <w:t xml:space="preserve"> </w:t>
      </w:r>
      <w:r w:rsidRPr="000940B9">
        <w:rPr>
          <w:i/>
          <w:iCs/>
        </w:rPr>
        <w:t xml:space="preserve">Discovering John </w:t>
      </w:r>
      <w:r w:rsidRPr="000940B9">
        <w:t>(London: SPCK, 2014).</w:t>
      </w:r>
    </w:p>
    <w:p w14:paraId="3228199D" w14:textId="67F7609C" w:rsidR="00EB74E1" w:rsidRDefault="00EB74E1" w:rsidP="00423AA5">
      <w:r w:rsidRPr="00EB74E1">
        <w:t>Fuchs,</w:t>
      </w:r>
      <w:r>
        <w:t xml:space="preserve"> E.,</w:t>
      </w:r>
      <w:r w:rsidRPr="00EB74E1">
        <w:t xml:space="preserve"> Structure and Patriarchal Functions in the Biblical Betrothal Type-Scene in </w:t>
      </w:r>
      <w:r w:rsidRPr="00EB74E1">
        <w:rPr>
          <w:i/>
          <w:iCs/>
        </w:rPr>
        <w:t xml:space="preserve">Women in the Hebrew Bible: A Reader </w:t>
      </w:r>
      <w:r w:rsidRPr="00EB74E1">
        <w:t>eds. Alice Bach (London: Routledge, 1999), p</w:t>
      </w:r>
      <w:r>
        <w:t>p</w:t>
      </w:r>
      <w:r w:rsidRPr="00EB74E1">
        <w:t>. 45</w:t>
      </w:r>
      <w:r>
        <w:t xml:space="preserve">-51. </w:t>
      </w:r>
    </w:p>
    <w:p w14:paraId="1842266D" w14:textId="4F85B3C3" w:rsidR="0049527D" w:rsidRDefault="0049527D" w:rsidP="00423AA5">
      <w:r w:rsidRPr="0049527D">
        <w:t>Koester,</w:t>
      </w:r>
      <w:r>
        <w:t xml:space="preserve"> C.R.</w:t>
      </w:r>
      <w:r w:rsidRPr="0049527D">
        <w:t xml:space="preserve"> </w:t>
      </w:r>
      <w:r w:rsidRPr="0049527D">
        <w:rPr>
          <w:i/>
          <w:iCs/>
        </w:rPr>
        <w:t xml:space="preserve">Symbolism in the Fourth Gospel: Meaning, Mystery, Community </w:t>
      </w:r>
      <w:r w:rsidRPr="0049527D">
        <w:t>(Minneapolis: Fortress Press, 2003),</w:t>
      </w:r>
    </w:p>
    <w:p w14:paraId="4CFD538F" w14:textId="517AD7FA" w:rsidR="000F6F30" w:rsidRDefault="000F6F30" w:rsidP="000F6F30">
      <w:r w:rsidRPr="000F6F30">
        <w:t xml:space="preserve">Lieu, J. M. de Boer, M. C., </w:t>
      </w:r>
      <w:r w:rsidRPr="000F6F30">
        <w:rPr>
          <w:i/>
          <w:iCs/>
        </w:rPr>
        <w:t xml:space="preserve">Oxford Handbook of Johannine Studies </w:t>
      </w:r>
      <w:r w:rsidRPr="000F6F30">
        <w:t>(Oxford: Oxford University Press, 2018).</w:t>
      </w:r>
    </w:p>
    <w:p w14:paraId="70BC8548" w14:textId="1EEF9EBA" w:rsidR="00BE0BA6" w:rsidRDefault="00BE0BA6" w:rsidP="000F6F30">
      <w:r w:rsidRPr="00BE0BA6">
        <w:t>Lincoln,</w:t>
      </w:r>
      <w:r>
        <w:t xml:space="preserve"> A. T.,</w:t>
      </w:r>
      <w:r w:rsidRPr="00BE0BA6">
        <w:t xml:space="preserve"> </w:t>
      </w:r>
      <w:r w:rsidRPr="00BE0BA6">
        <w:rPr>
          <w:i/>
          <w:iCs/>
        </w:rPr>
        <w:t xml:space="preserve">The Gospel According to St. John </w:t>
      </w:r>
      <w:r w:rsidRPr="00BE0BA6">
        <w:t>(New York: Hendrickson Publishing, 2005)</w:t>
      </w:r>
      <w:r>
        <w:t>.</w:t>
      </w:r>
    </w:p>
    <w:p w14:paraId="3B6066C7" w14:textId="5434C273" w:rsidR="001455FB" w:rsidRPr="000F6F30" w:rsidRDefault="001455FB" w:rsidP="000F6F30">
      <w:r w:rsidRPr="001455FB">
        <w:t>Smith,</w:t>
      </w:r>
      <w:r>
        <w:t xml:space="preserve"> T.,</w:t>
      </w:r>
      <w:r w:rsidRPr="001455FB">
        <w:t xml:space="preserve"> Characterization in John 4 and the Prototypical Type-Scene as a Generic Concept in </w:t>
      </w:r>
      <w:r w:rsidRPr="001455FB">
        <w:rPr>
          <w:i/>
          <w:iCs/>
        </w:rPr>
        <w:t>The Gospel of John as Genre Mosaic</w:t>
      </w:r>
      <w:r>
        <w:rPr>
          <w:i/>
          <w:iCs/>
        </w:rPr>
        <w:t xml:space="preserve"> </w:t>
      </w:r>
      <w:r>
        <w:t>eds. Jo-Anne Brant</w:t>
      </w:r>
      <w:r w:rsidRPr="001455FB">
        <w:rPr>
          <w:i/>
          <w:iCs/>
        </w:rPr>
        <w:t xml:space="preserve"> </w:t>
      </w:r>
      <w:r w:rsidRPr="001455FB">
        <w:t>(</w:t>
      </w:r>
      <w:proofErr w:type="spellStart"/>
      <w:r w:rsidRPr="001455FB">
        <w:t>Vandenhoeck</w:t>
      </w:r>
      <w:proofErr w:type="spellEnd"/>
      <w:r w:rsidRPr="001455FB">
        <w:t xml:space="preserve"> &amp; Ruprecht GmbH &amp; Co.KG, 2015</w:t>
      </w:r>
      <w:r>
        <w:t xml:space="preserve">), pp. </w:t>
      </w:r>
      <w:r w:rsidR="005D2A3F">
        <w:t xml:space="preserve">233-247. </w:t>
      </w:r>
    </w:p>
    <w:p w14:paraId="6A6DF741" w14:textId="6A8C5745" w:rsidR="009643D9" w:rsidRPr="009643D9" w:rsidRDefault="009643D9" w:rsidP="00423AA5">
      <w:proofErr w:type="spellStart"/>
      <w:r w:rsidRPr="009643D9">
        <w:t>Whybray</w:t>
      </w:r>
      <w:proofErr w:type="spellEnd"/>
      <w:r w:rsidRPr="009643D9">
        <w:t>,</w:t>
      </w:r>
      <w:r>
        <w:t xml:space="preserve"> R. N.,</w:t>
      </w:r>
      <w:r w:rsidRPr="009643D9">
        <w:t xml:space="preserve"> The Making of the Pentateuch: A Methodological Study (</w:t>
      </w:r>
      <w:proofErr w:type="spellStart"/>
      <w:r w:rsidRPr="009643D9">
        <w:t>JSOTSup</w:t>
      </w:r>
      <w:proofErr w:type="spellEnd"/>
      <w:r w:rsidRPr="009643D9">
        <w:t xml:space="preserve"> 53; Sheffield: JSOT Press, 1987)</w:t>
      </w:r>
      <w:r>
        <w:t>.</w:t>
      </w:r>
    </w:p>
    <w:sectPr w:rsidR="009643D9" w:rsidRPr="009643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00526" w14:textId="77777777" w:rsidR="00AD76D6" w:rsidRDefault="00AD76D6" w:rsidP="00B72885">
      <w:pPr>
        <w:spacing w:after="0" w:line="240" w:lineRule="auto"/>
      </w:pPr>
      <w:r>
        <w:separator/>
      </w:r>
    </w:p>
  </w:endnote>
  <w:endnote w:type="continuationSeparator" w:id="0">
    <w:p w14:paraId="7440EB15" w14:textId="77777777" w:rsidR="00AD76D6" w:rsidRDefault="00AD76D6" w:rsidP="00B7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56DBC" w14:textId="77777777" w:rsidR="00AD76D6" w:rsidRDefault="00AD76D6" w:rsidP="00B72885">
      <w:pPr>
        <w:spacing w:after="0" w:line="240" w:lineRule="auto"/>
      </w:pPr>
      <w:r>
        <w:separator/>
      </w:r>
    </w:p>
  </w:footnote>
  <w:footnote w:type="continuationSeparator" w:id="0">
    <w:p w14:paraId="1C8919DB" w14:textId="77777777" w:rsidR="00AD76D6" w:rsidRDefault="00AD76D6" w:rsidP="00B72885">
      <w:pPr>
        <w:spacing w:after="0" w:line="240" w:lineRule="auto"/>
      </w:pPr>
      <w:r>
        <w:continuationSeparator/>
      </w:r>
    </w:p>
  </w:footnote>
  <w:footnote w:id="1">
    <w:p w14:paraId="37180FB2" w14:textId="3527DA64" w:rsidR="00F6542B" w:rsidRPr="00B72885" w:rsidRDefault="00F6542B">
      <w:pPr>
        <w:pStyle w:val="FootnoteText"/>
      </w:pPr>
      <w:r>
        <w:rPr>
          <w:rStyle w:val="FootnoteReference"/>
        </w:rPr>
        <w:footnoteRef/>
      </w:r>
      <w:r>
        <w:t xml:space="preserve"> Robert  Alter, </w:t>
      </w:r>
      <w:r>
        <w:rPr>
          <w:i/>
          <w:iCs/>
        </w:rPr>
        <w:t xml:space="preserve">The Art of Biblical Narrative </w:t>
      </w:r>
      <w:r>
        <w:t xml:space="preserve">(New York: Basic Books, 1981,) p. 55. </w:t>
      </w:r>
    </w:p>
  </w:footnote>
  <w:footnote w:id="2">
    <w:p w14:paraId="662A9D02" w14:textId="5917F36F" w:rsidR="00F6542B" w:rsidRPr="00AC4FD7" w:rsidRDefault="00F6542B">
      <w:pPr>
        <w:pStyle w:val="FootnoteText"/>
      </w:pPr>
      <w:r>
        <w:rPr>
          <w:rStyle w:val="FootnoteReference"/>
        </w:rPr>
        <w:footnoteRef/>
      </w:r>
      <w:r>
        <w:t xml:space="preserve"> Alter, </w:t>
      </w:r>
      <w:r>
        <w:rPr>
          <w:i/>
          <w:iCs/>
        </w:rPr>
        <w:t xml:space="preserve">Biblical Narrative, </w:t>
      </w:r>
      <w:r>
        <w:t>p.61.</w:t>
      </w:r>
    </w:p>
  </w:footnote>
  <w:footnote w:id="3">
    <w:p w14:paraId="68F6774B" w14:textId="46D897BD" w:rsidR="00F6542B" w:rsidRPr="00AC4FD7" w:rsidRDefault="00F6542B">
      <w:pPr>
        <w:pStyle w:val="FootnoteText"/>
      </w:pPr>
      <w:r>
        <w:rPr>
          <w:rStyle w:val="FootnoteReference"/>
        </w:rPr>
        <w:footnoteRef/>
      </w:r>
      <w:r>
        <w:t xml:space="preserve"> Alter, </w:t>
      </w:r>
      <w:r>
        <w:rPr>
          <w:i/>
          <w:iCs/>
        </w:rPr>
        <w:t xml:space="preserve">Biblical Narrative, </w:t>
      </w:r>
      <w:r>
        <w:t xml:space="preserve">p. 61. </w:t>
      </w:r>
    </w:p>
  </w:footnote>
  <w:footnote w:id="4">
    <w:p w14:paraId="2DA9AEFC" w14:textId="43AE27A0" w:rsidR="00F6542B" w:rsidRPr="00E37187" w:rsidRDefault="00F6542B">
      <w:pPr>
        <w:pStyle w:val="FootnoteText"/>
      </w:pPr>
      <w:r>
        <w:rPr>
          <w:rStyle w:val="FootnoteReference"/>
        </w:rPr>
        <w:footnoteRef/>
      </w:r>
      <w:r>
        <w:t xml:space="preserve"> Alter, </w:t>
      </w:r>
      <w:r>
        <w:rPr>
          <w:i/>
          <w:iCs/>
        </w:rPr>
        <w:t xml:space="preserve">Biblical Narrative, </w:t>
      </w:r>
      <w:r>
        <w:t xml:space="preserve">pp.59-60. </w:t>
      </w:r>
    </w:p>
  </w:footnote>
  <w:footnote w:id="5">
    <w:p w14:paraId="73D46291" w14:textId="1F94ACCD" w:rsidR="00F6542B" w:rsidRPr="007A0467" w:rsidRDefault="00F6542B">
      <w:pPr>
        <w:pStyle w:val="FootnoteText"/>
      </w:pPr>
      <w:r>
        <w:rPr>
          <w:rStyle w:val="FootnoteReference"/>
        </w:rPr>
        <w:footnoteRef/>
      </w:r>
      <w:r>
        <w:t xml:space="preserve"> Alter, </w:t>
      </w:r>
      <w:r>
        <w:rPr>
          <w:i/>
          <w:iCs/>
        </w:rPr>
        <w:t xml:space="preserve">Biblical Narrative, </w:t>
      </w:r>
      <w:r>
        <w:t xml:space="preserve">p. 62. </w:t>
      </w:r>
    </w:p>
  </w:footnote>
  <w:footnote w:id="6">
    <w:p w14:paraId="4B30F1B5" w14:textId="1AD1227B" w:rsidR="00F6542B" w:rsidRPr="008A525D" w:rsidRDefault="00F6542B">
      <w:pPr>
        <w:pStyle w:val="FootnoteText"/>
      </w:pPr>
      <w:r>
        <w:rPr>
          <w:rStyle w:val="FootnoteReference"/>
        </w:rPr>
        <w:footnoteRef/>
      </w:r>
      <w:r>
        <w:t xml:space="preserve"> </w:t>
      </w:r>
      <w:bookmarkStart w:id="0" w:name="_Hlk30846114"/>
      <w:r>
        <w:t xml:space="preserve">Robert C. Culley, </w:t>
      </w:r>
      <w:r>
        <w:rPr>
          <w:i/>
          <w:iCs/>
        </w:rPr>
        <w:t xml:space="preserve">Studies in the Structure of the Hebrew Narrative </w:t>
      </w:r>
      <w:r>
        <w:t xml:space="preserve">(Philadelphia: Fortress and Scholars Press, 1976), </w:t>
      </w:r>
      <w:bookmarkEnd w:id="0"/>
      <w:r>
        <w:t xml:space="preserve">pp. 41-43. </w:t>
      </w:r>
    </w:p>
  </w:footnote>
  <w:footnote w:id="7">
    <w:p w14:paraId="376FA644" w14:textId="296EA81D" w:rsidR="00F6542B" w:rsidRPr="00942F55" w:rsidRDefault="00F6542B">
      <w:pPr>
        <w:pStyle w:val="FootnoteText"/>
      </w:pPr>
      <w:r>
        <w:rPr>
          <w:rStyle w:val="FootnoteReference"/>
        </w:rPr>
        <w:footnoteRef/>
      </w:r>
      <w:r>
        <w:t xml:space="preserve"> </w:t>
      </w:r>
      <w:bookmarkStart w:id="1" w:name="_Hlk31021055"/>
      <w:r>
        <w:t xml:space="preserve">Thomas L. Brodie, </w:t>
      </w:r>
      <w:hyperlink r:id="rId1" w:history="1"/>
      <w:r>
        <w:rPr>
          <w:i/>
          <w:iCs/>
        </w:rPr>
        <w:t xml:space="preserve">Genesis as Dialogue: A Literary, Historical and Theological Commentary </w:t>
      </w:r>
      <w:r>
        <w:t xml:space="preserve">(Oxford: Oxford University Press, 2001), p. 281. </w:t>
      </w:r>
      <w:bookmarkEnd w:id="1"/>
    </w:p>
  </w:footnote>
  <w:footnote w:id="8">
    <w:p w14:paraId="13EC6AAC" w14:textId="53008083" w:rsidR="00F6542B" w:rsidRPr="000857E4" w:rsidRDefault="00F6542B">
      <w:pPr>
        <w:pStyle w:val="FootnoteText"/>
        <w:rPr>
          <w:rFonts w:cstheme="minorHAnsi"/>
        </w:rPr>
      </w:pPr>
      <w:r>
        <w:rPr>
          <w:rStyle w:val="FootnoteReference"/>
        </w:rPr>
        <w:footnoteRef/>
      </w:r>
      <w:r>
        <w:t xml:space="preserve"> Michael W. Martin, </w:t>
      </w:r>
      <w:r w:rsidRPr="000857E4">
        <w:rPr>
          <w:i/>
          <w:iCs/>
        </w:rPr>
        <w:t>‘</w:t>
      </w:r>
      <w:r w:rsidRPr="000857E4">
        <w:t>Betrothal Journey Narrative’</w:t>
      </w:r>
      <w:r w:rsidRPr="000857E4">
        <w:rPr>
          <w:i/>
          <w:iCs/>
        </w:rPr>
        <w:t xml:space="preserve"> </w:t>
      </w:r>
      <w:r w:rsidRPr="000857E4">
        <w:rPr>
          <w:rFonts w:asciiTheme="majorHAnsi" w:hAnsiTheme="majorHAnsi" w:cstheme="majorHAnsi"/>
        </w:rPr>
        <w:t xml:space="preserve">in </w:t>
      </w:r>
      <w:hyperlink r:id="rId2" w:tooltip="Click to search for more items from this journal" w:history="1">
        <w:r w:rsidRPr="000857E4">
          <w:rPr>
            <w:rFonts w:cstheme="minorHAnsi"/>
            <w:i/>
            <w:iCs/>
          </w:rPr>
          <w:t>The Catholic Biblical Quarterly</w:t>
        </w:r>
      </w:hyperlink>
      <w:r w:rsidRPr="000857E4">
        <w:rPr>
          <w:rFonts w:cstheme="minorHAnsi"/>
          <w:i/>
          <w:iCs/>
        </w:rPr>
        <w:t>; Washington</w:t>
      </w:r>
      <w:hyperlink r:id="rId3" w:tooltip="Click to search for more items from this issue" w:history="1">
        <w:r w:rsidRPr="000857E4">
          <w:rPr>
            <w:rFonts w:cstheme="minorHAnsi"/>
          </w:rPr>
          <w:t> Vol. 70, </w:t>
        </w:r>
        <w:proofErr w:type="spellStart"/>
        <w:r w:rsidRPr="000857E4">
          <w:rPr>
            <w:rFonts w:cstheme="minorHAnsi"/>
          </w:rPr>
          <w:t>Iss</w:t>
        </w:r>
        <w:proofErr w:type="spellEnd"/>
        <w:r w:rsidRPr="000857E4">
          <w:rPr>
            <w:rFonts w:cstheme="minorHAnsi"/>
          </w:rPr>
          <w:t>. 3, </w:t>
        </w:r>
      </w:hyperlink>
      <w:r w:rsidRPr="000857E4">
        <w:rPr>
          <w:rFonts w:cstheme="minorHAnsi"/>
          <w:shd w:val="clear" w:color="auto" w:fill="FFFFFF"/>
        </w:rPr>
        <w:t xml:space="preserve"> (Jul 2008):</w:t>
      </w:r>
      <w:r>
        <w:rPr>
          <w:rFonts w:cstheme="minorHAnsi"/>
          <w:shd w:val="clear" w:color="auto" w:fill="FFFFFF"/>
        </w:rPr>
        <w:t xml:space="preserve"> pp.</w:t>
      </w:r>
      <w:r w:rsidRPr="000857E4">
        <w:rPr>
          <w:rFonts w:cstheme="minorHAnsi"/>
          <w:shd w:val="clear" w:color="auto" w:fill="FFFFFF"/>
        </w:rPr>
        <w:t xml:space="preserve"> 505-523</w:t>
      </w:r>
      <w:r>
        <w:rPr>
          <w:rFonts w:cstheme="minorHAnsi"/>
          <w:shd w:val="clear" w:color="auto" w:fill="FFFFFF"/>
        </w:rPr>
        <w:t>.</w:t>
      </w:r>
    </w:p>
  </w:footnote>
  <w:footnote w:id="9">
    <w:p w14:paraId="2200538A" w14:textId="07CCEA2A" w:rsidR="00F6542B" w:rsidRPr="00EB74E1" w:rsidRDefault="00F6542B">
      <w:pPr>
        <w:pStyle w:val="FootnoteText"/>
      </w:pPr>
      <w:r>
        <w:rPr>
          <w:rStyle w:val="FootnoteReference"/>
        </w:rPr>
        <w:footnoteRef/>
      </w:r>
      <w:r>
        <w:t xml:space="preserve"> </w:t>
      </w:r>
      <w:bookmarkStart w:id="2" w:name="_Hlk31012442"/>
      <w:bookmarkStart w:id="3" w:name="_Hlk31028391"/>
      <w:r>
        <w:t xml:space="preserve">Esther Fuchs, Structure and Patriarchal Functions in the Biblical Betrothal Type-Scene in </w:t>
      </w:r>
      <w:r>
        <w:rPr>
          <w:i/>
          <w:iCs/>
        </w:rPr>
        <w:t xml:space="preserve">Women in the Hebrew Bible: A Reader </w:t>
      </w:r>
      <w:r>
        <w:t xml:space="preserve">eds. Alice Bach (London: Routledge, 1999), p. </w:t>
      </w:r>
      <w:bookmarkEnd w:id="3"/>
      <w:r>
        <w:t xml:space="preserve">45. </w:t>
      </w:r>
      <w:bookmarkEnd w:id="2"/>
    </w:p>
  </w:footnote>
  <w:footnote w:id="10">
    <w:p w14:paraId="5127905F" w14:textId="19C7B219" w:rsidR="00F6542B" w:rsidRDefault="00F6542B">
      <w:pPr>
        <w:pStyle w:val="FootnoteText"/>
      </w:pPr>
      <w:r>
        <w:rPr>
          <w:rStyle w:val="FootnoteReference"/>
        </w:rPr>
        <w:footnoteRef/>
      </w:r>
      <w:r>
        <w:t xml:space="preserve"> </w:t>
      </w:r>
      <w:r w:rsidRPr="000F1F3B">
        <w:t xml:space="preserve">Thomas L. Brodie, </w:t>
      </w:r>
      <w:hyperlink r:id="rId4" w:history="1"/>
      <w:r w:rsidRPr="000F1F3B">
        <w:rPr>
          <w:i/>
          <w:iCs/>
        </w:rPr>
        <w:t xml:space="preserve">Genesis as Dialogue: A Literary, Historical and Theological Commentary </w:t>
      </w:r>
      <w:r w:rsidRPr="000F1F3B">
        <w:t xml:space="preserve">(Oxford: Oxford University Press, 2001), p. </w:t>
      </w:r>
      <w:r>
        <w:t>304.</w:t>
      </w:r>
    </w:p>
  </w:footnote>
  <w:footnote w:id="11">
    <w:p w14:paraId="3989AB46" w14:textId="5845C714" w:rsidR="00F6542B" w:rsidRPr="004003B9" w:rsidRDefault="00F6542B">
      <w:pPr>
        <w:pStyle w:val="FootnoteText"/>
      </w:pPr>
      <w:r>
        <w:rPr>
          <w:rStyle w:val="FootnoteReference"/>
        </w:rPr>
        <w:footnoteRef/>
      </w:r>
      <w:r>
        <w:t xml:space="preserve"> Robert Alter, </w:t>
      </w:r>
      <w:r>
        <w:rPr>
          <w:i/>
          <w:iCs/>
        </w:rPr>
        <w:t xml:space="preserve">Genesis: Translation and Commentary </w:t>
      </w:r>
      <w:r>
        <w:t xml:space="preserve">(New York: Norton &amp; Company Ltd., 1996), p. 152. </w:t>
      </w:r>
    </w:p>
  </w:footnote>
  <w:footnote w:id="12">
    <w:p w14:paraId="17BE37C5" w14:textId="5017A95B" w:rsidR="00F6542B" w:rsidRDefault="00F6542B">
      <w:pPr>
        <w:pStyle w:val="FootnoteText"/>
      </w:pPr>
      <w:r>
        <w:rPr>
          <w:rStyle w:val="FootnoteReference"/>
        </w:rPr>
        <w:footnoteRef/>
      </w:r>
      <w:r>
        <w:t xml:space="preserve"> </w:t>
      </w:r>
      <w:r w:rsidRPr="00A2503A">
        <w:t xml:space="preserve">Esther Fuchs, Structure and Patriarchal Functions in the Biblical Betrothal Type-Scene in </w:t>
      </w:r>
      <w:r w:rsidRPr="00A2503A">
        <w:rPr>
          <w:i/>
          <w:iCs/>
        </w:rPr>
        <w:t xml:space="preserve">Women in the Hebrew Bible: A Reader </w:t>
      </w:r>
      <w:r w:rsidRPr="00A2503A">
        <w:t>eds. Alice Bach (London: Routledge, 1999), p.</w:t>
      </w:r>
      <w:r>
        <w:t xml:space="preserve"> 48. </w:t>
      </w:r>
    </w:p>
  </w:footnote>
  <w:footnote w:id="13">
    <w:p w14:paraId="20220206" w14:textId="1889C454" w:rsidR="00F6542B" w:rsidRDefault="00F6542B">
      <w:pPr>
        <w:pStyle w:val="FootnoteText"/>
      </w:pPr>
      <w:r>
        <w:rPr>
          <w:rStyle w:val="FootnoteReference"/>
        </w:rPr>
        <w:footnoteRef/>
      </w:r>
      <w:r>
        <w:t xml:space="preserve"> </w:t>
      </w:r>
      <w:r w:rsidRPr="00902594">
        <w:t xml:space="preserve">Alter, </w:t>
      </w:r>
      <w:r w:rsidRPr="00902594">
        <w:rPr>
          <w:i/>
          <w:iCs/>
        </w:rPr>
        <w:t xml:space="preserve">Biblical Narrative, </w:t>
      </w:r>
      <w:r w:rsidRPr="00902594">
        <w:t>p.</w:t>
      </w:r>
      <w:r>
        <w:t xml:space="preserve"> 67.</w:t>
      </w:r>
    </w:p>
  </w:footnote>
  <w:footnote w:id="14">
    <w:p w14:paraId="7B9E92BA" w14:textId="09E3414F" w:rsidR="00F6542B" w:rsidRPr="00B31842" w:rsidRDefault="00F6542B">
      <w:pPr>
        <w:pStyle w:val="FootnoteText"/>
      </w:pPr>
      <w:r>
        <w:rPr>
          <w:rStyle w:val="FootnoteReference"/>
        </w:rPr>
        <w:footnoteRef/>
      </w:r>
      <w:r>
        <w:t xml:space="preserve"> </w:t>
      </w:r>
      <w:bookmarkStart w:id="4" w:name="_Hlk31097383"/>
      <w:bookmarkStart w:id="5" w:name="_Hlk31108888"/>
      <w:r>
        <w:t xml:space="preserve">Harold W. </w:t>
      </w:r>
      <w:proofErr w:type="spellStart"/>
      <w:r>
        <w:t>Attridge</w:t>
      </w:r>
      <w:proofErr w:type="spellEnd"/>
      <w:r>
        <w:t xml:space="preserve">, Genre-Bending in the Fourth Gospel </w:t>
      </w:r>
      <w:bookmarkEnd w:id="5"/>
      <w:r>
        <w:t xml:space="preserve">in </w:t>
      </w:r>
      <w:r>
        <w:rPr>
          <w:i/>
          <w:iCs/>
        </w:rPr>
        <w:t xml:space="preserve">The Journal of Biblical Literature </w:t>
      </w:r>
      <w:r>
        <w:t xml:space="preserve">vol. 121 (The society of Biblical Literature, 2002), </w:t>
      </w:r>
      <w:bookmarkEnd w:id="4"/>
      <w:r>
        <w:t xml:space="preserve">p. 11. </w:t>
      </w:r>
    </w:p>
  </w:footnote>
  <w:footnote w:id="15">
    <w:p w14:paraId="7331D92E" w14:textId="058D94A1" w:rsidR="00F6542B" w:rsidRPr="001455FB" w:rsidRDefault="00F6542B">
      <w:pPr>
        <w:pStyle w:val="FootnoteText"/>
      </w:pPr>
      <w:r>
        <w:rPr>
          <w:rStyle w:val="FootnoteReference"/>
        </w:rPr>
        <w:footnoteRef/>
      </w:r>
      <w:r>
        <w:t xml:space="preserve"> </w:t>
      </w:r>
      <w:bookmarkStart w:id="6" w:name="_Hlk31117803"/>
      <w:r>
        <w:t xml:space="preserve">Tyler Smith, Characterization in John 4 and the Prototypical Type-Scene as a Generic Concept </w:t>
      </w:r>
      <w:bookmarkEnd w:id="6"/>
      <w:r>
        <w:t xml:space="preserve">in </w:t>
      </w:r>
      <w:r>
        <w:rPr>
          <w:i/>
          <w:iCs/>
        </w:rPr>
        <w:t xml:space="preserve">The Gospel of John as Genre Mosaic </w:t>
      </w:r>
      <w:r>
        <w:t>eds. Jo-Anne Brant</w:t>
      </w:r>
      <w:r>
        <w:rPr>
          <w:i/>
          <w:iCs/>
        </w:rPr>
        <w:t xml:space="preserve"> </w:t>
      </w:r>
      <w:r>
        <w:t>(</w:t>
      </w:r>
      <w:proofErr w:type="spellStart"/>
      <w:r w:rsidRPr="001455FB">
        <w:t>Vandenhoeck</w:t>
      </w:r>
      <w:proofErr w:type="spellEnd"/>
      <w:r w:rsidRPr="001455FB">
        <w:t xml:space="preserve"> &amp; Ruprecht GmbH &amp; Co.KG</w:t>
      </w:r>
      <w:r>
        <w:t xml:space="preserve">, 2015), p. 243. </w:t>
      </w:r>
    </w:p>
  </w:footnote>
  <w:footnote w:id="16">
    <w:p w14:paraId="289695A9" w14:textId="718A62ED" w:rsidR="00F6542B" w:rsidRDefault="00F6542B">
      <w:pPr>
        <w:pStyle w:val="FootnoteText"/>
      </w:pPr>
      <w:r>
        <w:rPr>
          <w:rStyle w:val="FootnoteReference"/>
        </w:rPr>
        <w:footnoteRef/>
      </w:r>
      <w:r>
        <w:t xml:space="preserve"> The region was then called </w:t>
      </w:r>
      <w:proofErr w:type="spellStart"/>
      <w:r>
        <w:t>Schechem</w:t>
      </w:r>
      <w:proofErr w:type="spellEnd"/>
      <w:r>
        <w:t xml:space="preserve">, but was destroyed in 108 BCE and replaced with Sychar. </w:t>
      </w:r>
    </w:p>
    <w:p w14:paraId="6502013A" w14:textId="56D4755C" w:rsidR="00F6542B" w:rsidRPr="005C7363" w:rsidRDefault="00F6542B">
      <w:pPr>
        <w:pStyle w:val="FootnoteText"/>
        <w:rPr>
          <w:i/>
          <w:iCs/>
        </w:rPr>
      </w:pPr>
      <w:bookmarkStart w:id="7" w:name="_Hlk31104924"/>
      <w:bookmarkStart w:id="8" w:name="_Hlk31114871"/>
      <w:r>
        <w:t xml:space="preserve">Ellen B. Aitken, At the Well of Living Water: Jacob Traditions in John 4 in </w:t>
      </w:r>
      <w:r>
        <w:rPr>
          <w:i/>
          <w:iCs/>
        </w:rPr>
        <w:t xml:space="preserve">Interpretation of Scripture in Early Judaism and Christianity: </w:t>
      </w:r>
      <w:r w:rsidRPr="005C7363">
        <w:rPr>
          <w:i/>
          <w:iCs/>
        </w:rPr>
        <w:t xml:space="preserve">Studies in Language and Tradition </w:t>
      </w:r>
      <w:r>
        <w:t xml:space="preserve">eds. Craig A. Evans </w:t>
      </w:r>
      <w:r w:rsidRPr="00AC134A">
        <w:t>(Journal for the Study of the Pseudepigrapha Supplement</w:t>
      </w:r>
      <w:r>
        <w:t>, 2000</w:t>
      </w:r>
      <w:r w:rsidRPr="00AC134A">
        <w:t>)</w:t>
      </w:r>
      <w:r>
        <w:t xml:space="preserve">, </w:t>
      </w:r>
      <w:bookmarkEnd w:id="7"/>
      <w:r>
        <w:t>p. 343</w:t>
      </w:r>
      <w:bookmarkEnd w:id="8"/>
      <w:r>
        <w:t xml:space="preserve">. </w:t>
      </w:r>
    </w:p>
  </w:footnote>
  <w:footnote w:id="17">
    <w:p w14:paraId="114C2073" w14:textId="00C041EF" w:rsidR="00BE0BA6" w:rsidRPr="00BE0BA6" w:rsidRDefault="00BE0BA6">
      <w:pPr>
        <w:pStyle w:val="FootnoteText"/>
      </w:pPr>
      <w:r>
        <w:rPr>
          <w:rStyle w:val="FootnoteReference"/>
        </w:rPr>
        <w:footnoteRef/>
      </w:r>
      <w:r>
        <w:t xml:space="preserve"> </w:t>
      </w:r>
      <w:bookmarkStart w:id="9" w:name="_Hlk31120113"/>
      <w:r>
        <w:t xml:space="preserve">Andrew T. Lincoln, </w:t>
      </w:r>
      <w:r>
        <w:rPr>
          <w:i/>
          <w:iCs/>
        </w:rPr>
        <w:t xml:space="preserve">The Gospel According to St. John </w:t>
      </w:r>
      <w:r>
        <w:t xml:space="preserve">(New York: Hendrickson Publishing, 2005), p. </w:t>
      </w:r>
      <w:bookmarkEnd w:id="9"/>
      <w:r>
        <w:t xml:space="preserve">172. </w:t>
      </w:r>
    </w:p>
  </w:footnote>
  <w:footnote w:id="18">
    <w:p w14:paraId="6868486D" w14:textId="000D6B08" w:rsidR="00A74F52" w:rsidRDefault="00A74F52">
      <w:pPr>
        <w:pStyle w:val="FootnoteText"/>
      </w:pPr>
      <w:r>
        <w:rPr>
          <w:rStyle w:val="FootnoteReference"/>
        </w:rPr>
        <w:footnoteRef/>
      </w:r>
      <w:r>
        <w:t xml:space="preserve"> </w:t>
      </w:r>
      <w:r w:rsidRPr="00A74F52">
        <w:t xml:space="preserve">Harold W. </w:t>
      </w:r>
      <w:proofErr w:type="spellStart"/>
      <w:r w:rsidRPr="00A74F52">
        <w:t>Attridge</w:t>
      </w:r>
      <w:proofErr w:type="spellEnd"/>
      <w:r w:rsidRPr="00A74F52">
        <w:t>, Genre-Bending in the Fourth Gospel</w:t>
      </w:r>
      <w:r>
        <w:t>, p. 11.</w:t>
      </w:r>
    </w:p>
  </w:footnote>
  <w:footnote w:id="19">
    <w:p w14:paraId="51746441" w14:textId="77777777" w:rsidR="00C20B8B" w:rsidRDefault="00C20B8B" w:rsidP="00C20B8B">
      <w:pPr>
        <w:pStyle w:val="FootnoteText"/>
      </w:pPr>
      <w:r>
        <w:rPr>
          <w:rStyle w:val="FootnoteReference"/>
        </w:rPr>
        <w:footnoteRef/>
      </w:r>
      <w:r>
        <w:t xml:space="preserve"> Although the water that is finally drawn in John 4 is not physical, but the living water of eternal life.</w:t>
      </w:r>
    </w:p>
    <w:p w14:paraId="7936F2DE" w14:textId="77777777" w:rsidR="00C20B8B" w:rsidRDefault="00C20B8B" w:rsidP="00C20B8B">
      <w:pPr>
        <w:pStyle w:val="FootnoteText"/>
      </w:pPr>
      <w:r w:rsidRPr="00CF1D2D">
        <w:t>Aitken, At the Well of Living Water: Jacob Traditions in John 4, p. 34</w:t>
      </w:r>
      <w:r>
        <w:t xml:space="preserve">7. </w:t>
      </w:r>
    </w:p>
  </w:footnote>
  <w:footnote w:id="20">
    <w:p w14:paraId="5D2F631A" w14:textId="5EFDD0D6" w:rsidR="00FA09EB" w:rsidRPr="00FA09EB" w:rsidRDefault="00FA09EB">
      <w:pPr>
        <w:pStyle w:val="FootnoteText"/>
      </w:pPr>
      <w:r>
        <w:rPr>
          <w:rStyle w:val="FootnoteReference"/>
        </w:rPr>
        <w:footnoteRef/>
      </w:r>
      <w:r>
        <w:t xml:space="preserve"> </w:t>
      </w:r>
      <w:bookmarkStart w:id="10" w:name="_Hlk31116649"/>
      <w:r>
        <w:t xml:space="preserve">Craig R. Koester, </w:t>
      </w:r>
      <w:r>
        <w:rPr>
          <w:i/>
          <w:iCs/>
        </w:rPr>
        <w:t xml:space="preserve">Symbolism in the Fourth Gospel: Meaning, Mystery, Community </w:t>
      </w:r>
      <w:r>
        <w:t xml:space="preserve">(Minneapolis: Fortress Press, 2003), </w:t>
      </w:r>
      <w:bookmarkEnd w:id="10"/>
      <w:r>
        <w:t xml:space="preserve">p. 187. </w:t>
      </w:r>
    </w:p>
  </w:footnote>
  <w:footnote w:id="21">
    <w:p w14:paraId="1581361C" w14:textId="69B0BB72" w:rsidR="00CB4435" w:rsidRDefault="00CB4435">
      <w:pPr>
        <w:pStyle w:val="FootnoteText"/>
      </w:pPr>
      <w:r>
        <w:rPr>
          <w:rStyle w:val="FootnoteReference"/>
        </w:rPr>
        <w:footnoteRef/>
      </w:r>
      <w:r>
        <w:t xml:space="preserve"> </w:t>
      </w:r>
      <w:r w:rsidRPr="00CB4435">
        <w:t xml:space="preserve">Craig R. Koester, </w:t>
      </w:r>
      <w:r w:rsidRPr="00CB4435">
        <w:rPr>
          <w:i/>
          <w:iCs/>
        </w:rPr>
        <w:t>Symbolism in the Fourth Gospe</w:t>
      </w:r>
      <w:r>
        <w:rPr>
          <w:i/>
          <w:iCs/>
        </w:rPr>
        <w:t>l</w:t>
      </w:r>
      <w:r w:rsidRPr="00CB4435">
        <w:t>, p. 18</w:t>
      </w:r>
      <w:r>
        <w:t>9</w:t>
      </w:r>
      <w:r w:rsidRPr="00CB4435">
        <w:t>.</w:t>
      </w:r>
    </w:p>
  </w:footnote>
  <w:footnote w:id="22">
    <w:p w14:paraId="68B114AE" w14:textId="2E83B07A" w:rsidR="00591905" w:rsidRDefault="00591905">
      <w:pPr>
        <w:pStyle w:val="FootnoteText"/>
      </w:pPr>
      <w:r>
        <w:rPr>
          <w:rStyle w:val="FootnoteReference"/>
        </w:rPr>
        <w:footnoteRef/>
      </w:r>
      <w:r>
        <w:t xml:space="preserve"> </w:t>
      </w:r>
      <w:r w:rsidRPr="00591905">
        <w:t>Tyler Smith, Characterization in John 4 and the Prototypical Type-Scene as a Generic Concept</w:t>
      </w:r>
      <w:r>
        <w:t xml:space="preserve">, p. 245. </w:t>
      </w:r>
    </w:p>
  </w:footnote>
  <w:footnote w:id="23">
    <w:p w14:paraId="04D7DB60" w14:textId="321037F3" w:rsidR="008F2DF5" w:rsidRDefault="008F2DF5">
      <w:pPr>
        <w:pStyle w:val="FootnoteText"/>
      </w:pPr>
      <w:r>
        <w:rPr>
          <w:rStyle w:val="FootnoteReference"/>
        </w:rPr>
        <w:footnoteRef/>
      </w:r>
      <w:r>
        <w:t xml:space="preserve"> </w:t>
      </w:r>
      <w:bookmarkStart w:id="11" w:name="_Hlk31127049"/>
      <w:r w:rsidRPr="008F2DF5">
        <w:t xml:space="preserve">Andrew T. Lincoln, </w:t>
      </w:r>
      <w:r w:rsidRPr="008F2DF5">
        <w:rPr>
          <w:i/>
          <w:iCs/>
        </w:rPr>
        <w:t>The Gospel According to St. John</w:t>
      </w:r>
      <w:r w:rsidRPr="008F2DF5">
        <w:t>, p.</w:t>
      </w:r>
      <w:r>
        <w:t xml:space="preserve"> 182.  </w:t>
      </w:r>
      <w:bookmarkEnd w:id="11"/>
    </w:p>
  </w:footnote>
  <w:footnote w:id="24">
    <w:p w14:paraId="1FBEDB3C" w14:textId="09ABB7E2" w:rsidR="00D13811" w:rsidRDefault="00D13811">
      <w:pPr>
        <w:pStyle w:val="FootnoteText"/>
      </w:pPr>
      <w:r>
        <w:rPr>
          <w:rStyle w:val="FootnoteReference"/>
        </w:rPr>
        <w:footnoteRef/>
      </w:r>
      <w:r>
        <w:t xml:space="preserve"> </w:t>
      </w:r>
      <w:r w:rsidRPr="00D13811">
        <w:t xml:space="preserve">Andrew T. Lincoln, </w:t>
      </w:r>
      <w:r w:rsidRPr="00D13811">
        <w:rPr>
          <w:i/>
          <w:iCs/>
        </w:rPr>
        <w:t>The Gospel According to St. John</w:t>
      </w:r>
      <w:r w:rsidRPr="00D13811">
        <w:t xml:space="preserve">, p. 182.  </w:t>
      </w:r>
    </w:p>
  </w:footnote>
  <w:footnote w:id="25">
    <w:p w14:paraId="46707975" w14:textId="77777777" w:rsidR="009C42D1" w:rsidRDefault="009C42D1" w:rsidP="009C42D1">
      <w:pPr>
        <w:pStyle w:val="FootnoteText"/>
      </w:pPr>
      <w:r>
        <w:rPr>
          <w:rStyle w:val="FootnoteReference"/>
        </w:rPr>
        <w:footnoteRef/>
      </w:r>
      <w:r>
        <w:t xml:space="preserve"> </w:t>
      </w:r>
      <w:r w:rsidRPr="0035436B">
        <w:t xml:space="preserve">R. Alan Culpepper, Afterword: What Have We Learned? Where Do We go From Here? In </w:t>
      </w:r>
      <w:r w:rsidRPr="0035436B">
        <w:rPr>
          <w:i/>
          <w:iCs/>
        </w:rPr>
        <w:t xml:space="preserve">John and Judaism: A Contested Relationship in Context, </w:t>
      </w:r>
      <w:r w:rsidRPr="0035436B">
        <w:t>eds. R. Alan Culpepper and Paul N. Anderson (Atlanta: SBL Press, 2017), p. 352.</w:t>
      </w:r>
    </w:p>
  </w:footnote>
  <w:footnote w:id="26">
    <w:p w14:paraId="7D5A27CE" w14:textId="5FE60A84" w:rsidR="006635B1" w:rsidRPr="006635B1" w:rsidRDefault="0019583A" w:rsidP="006635B1">
      <w:pPr>
        <w:pStyle w:val="FootnoteText"/>
        <w:rPr>
          <w:iCs/>
        </w:rPr>
      </w:pPr>
      <w:r>
        <w:rPr>
          <w:rStyle w:val="FootnoteReference"/>
        </w:rPr>
        <w:footnoteRef/>
      </w:r>
      <w:r>
        <w:t xml:space="preserve"> </w:t>
      </w:r>
      <w:r w:rsidR="006635B1">
        <w:t xml:space="preserve">Rosemary Radford </w:t>
      </w:r>
      <w:r w:rsidR="006635B1" w:rsidRPr="006635B1">
        <w:t xml:space="preserve">Reuther, </w:t>
      </w:r>
      <w:r w:rsidR="006635B1" w:rsidRPr="006635B1">
        <w:rPr>
          <w:i/>
          <w:iCs/>
        </w:rPr>
        <w:t xml:space="preserve">Faith and Fratricide: The Theological Roots of Anti-Semitism </w:t>
      </w:r>
      <w:r w:rsidR="006635B1" w:rsidRPr="006635B1">
        <w:rPr>
          <w:iCs/>
        </w:rPr>
        <w:t>(Eugene: Wipf and Stock Publishers, 1997)</w:t>
      </w:r>
      <w:r w:rsidR="006635B1">
        <w:rPr>
          <w:iCs/>
        </w:rPr>
        <w:t xml:space="preserve">, p. 116. </w:t>
      </w:r>
    </w:p>
    <w:p w14:paraId="1C627EA7" w14:textId="06B6126F" w:rsidR="0019583A" w:rsidRDefault="0019583A">
      <w:pPr>
        <w:pStyle w:val="FootnoteText"/>
      </w:pPr>
    </w:p>
  </w:footnote>
  <w:footnote w:id="27">
    <w:p w14:paraId="0072F0A4" w14:textId="52AF20AF" w:rsidR="00F6542B" w:rsidRDefault="00F6542B">
      <w:pPr>
        <w:pStyle w:val="FootnoteText"/>
      </w:pPr>
      <w:r>
        <w:rPr>
          <w:rStyle w:val="FootnoteReference"/>
        </w:rPr>
        <w:footnoteRef/>
      </w:r>
      <w:r>
        <w:t xml:space="preserve"> </w:t>
      </w:r>
      <w:bookmarkStart w:id="12" w:name="_Hlk27860466"/>
      <w:r w:rsidRPr="000F6F30">
        <w:t xml:space="preserve">Ruth B. Edwards, </w:t>
      </w:r>
      <w:r w:rsidRPr="000F6F30">
        <w:rPr>
          <w:i/>
          <w:iCs/>
        </w:rPr>
        <w:t xml:space="preserve">Discovering John </w:t>
      </w:r>
      <w:r w:rsidRPr="000F6F30">
        <w:t>(London: SPCK, 2014)</w:t>
      </w:r>
      <w:r>
        <w:t>,</w:t>
      </w:r>
      <w:r w:rsidRPr="000F6F30">
        <w:t xml:space="preserve"> </w:t>
      </w:r>
      <w:bookmarkEnd w:id="12"/>
      <w:r w:rsidRPr="000F6F30">
        <w:t>p</w:t>
      </w:r>
      <w:r>
        <w:t xml:space="preserve">. </w:t>
      </w:r>
      <w:r w:rsidRPr="000F6F30">
        <w:t>142</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71F28"/>
    <w:multiLevelType w:val="hybridMultilevel"/>
    <w:tmpl w:val="A82419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9F1B45"/>
    <w:multiLevelType w:val="hybridMultilevel"/>
    <w:tmpl w:val="791EFE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386F29"/>
    <w:multiLevelType w:val="hybridMultilevel"/>
    <w:tmpl w:val="B816A0FC"/>
    <w:lvl w:ilvl="0" w:tplc="05861EBE">
      <w:start w:val="1"/>
      <w:numFmt w:val="upp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AA5"/>
    <w:rsid w:val="00002744"/>
    <w:rsid w:val="00004DDF"/>
    <w:rsid w:val="00006119"/>
    <w:rsid w:val="00006C1A"/>
    <w:rsid w:val="00011BB7"/>
    <w:rsid w:val="00012A2A"/>
    <w:rsid w:val="00015406"/>
    <w:rsid w:val="00044F69"/>
    <w:rsid w:val="000625C7"/>
    <w:rsid w:val="00074B32"/>
    <w:rsid w:val="00076E84"/>
    <w:rsid w:val="000857E4"/>
    <w:rsid w:val="000940B9"/>
    <w:rsid w:val="000A3963"/>
    <w:rsid w:val="000A6A1B"/>
    <w:rsid w:val="000B3BF0"/>
    <w:rsid w:val="000F1F3B"/>
    <w:rsid w:val="000F6F30"/>
    <w:rsid w:val="00105D4C"/>
    <w:rsid w:val="00112FB6"/>
    <w:rsid w:val="0011451F"/>
    <w:rsid w:val="001160B8"/>
    <w:rsid w:val="0011685F"/>
    <w:rsid w:val="00116BD1"/>
    <w:rsid w:val="00117BF7"/>
    <w:rsid w:val="00124165"/>
    <w:rsid w:val="00126833"/>
    <w:rsid w:val="00141B46"/>
    <w:rsid w:val="001455FB"/>
    <w:rsid w:val="00151DA7"/>
    <w:rsid w:val="00161D09"/>
    <w:rsid w:val="00164449"/>
    <w:rsid w:val="00174CF2"/>
    <w:rsid w:val="0019583A"/>
    <w:rsid w:val="001A0B48"/>
    <w:rsid w:val="001A14FF"/>
    <w:rsid w:val="001B12EA"/>
    <w:rsid w:val="001B1D7E"/>
    <w:rsid w:val="001B3472"/>
    <w:rsid w:val="001B532F"/>
    <w:rsid w:val="001B640F"/>
    <w:rsid w:val="001D0E54"/>
    <w:rsid w:val="001E0559"/>
    <w:rsid w:val="001E57E6"/>
    <w:rsid w:val="001F6E7F"/>
    <w:rsid w:val="001F6FC7"/>
    <w:rsid w:val="001F7340"/>
    <w:rsid w:val="00215A3A"/>
    <w:rsid w:val="00221132"/>
    <w:rsid w:val="00231813"/>
    <w:rsid w:val="00251671"/>
    <w:rsid w:val="00252F8E"/>
    <w:rsid w:val="00264B15"/>
    <w:rsid w:val="00282671"/>
    <w:rsid w:val="00283E37"/>
    <w:rsid w:val="0028596F"/>
    <w:rsid w:val="002947B2"/>
    <w:rsid w:val="002A1D24"/>
    <w:rsid w:val="002B2E04"/>
    <w:rsid w:val="002B62F1"/>
    <w:rsid w:val="002B66C0"/>
    <w:rsid w:val="002D3C41"/>
    <w:rsid w:val="00307F0A"/>
    <w:rsid w:val="00310BE2"/>
    <w:rsid w:val="00332039"/>
    <w:rsid w:val="00332FB7"/>
    <w:rsid w:val="003345F5"/>
    <w:rsid w:val="00345156"/>
    <w:rsid w:val="00345B2E"/>
    <w:rsid w:val="0035436B"/>
    <w:rsid w:val="00366E8D"/>
    <w:rsid w:val="0037080A"/>
    <w:rsid w:val="00373610"/>
    <w:rsid w:val="00390749"/>
    <w:rsid w:val="00396810"/>
    <w:rsid w:val="00396E49"/>
    <w:rsid w:val="003A0728"/>
    <w:rsid w:val="003C2764"/>
    <w:rsid w:val="003D0875"/>
    <w:rsid w:val="003E3F28"/>
    <w:rsid w:val="003F4EB4"/>
    <w:rsid w:val="004003B9"/>
    <w:rsid w:val="0040346A"/>
    <w:rsid w:val="0040706C"/>
    <w:rsid w:val="00410D6E"/>
    <w:rsid w:val="004160F3"/>
    <w:rsid w:val="00423AA5"/>
    <w:rsid w:val="004353DD"/>
    <w:rsid w:val="004360FA"/>
    <w:rsid w:val="00442D27"/>
    <w:rsid w:val="004562C5"/>
    <w:rsid w:val="004571E4"/>
    <w:rsid w:val="00460981"/>
    <w:rsid w:val="00471865"/>
    <w:rsid w:val="00471B38"/>
    <w:rsid w:val="0047459F"/>
    <w:rsid w:val="0049527D"/>
    <w:rsid w:val="00495A62"/>
    <w:rsid w:val="00497A1C"/>
    <w:rsid w:val="004B2160"/>
    <w:rsid w:val="004C1688"/>
    <w:rsid w:val="004C5539"/>
    <w:rsid w:val="004D3BE6"/>
    <w:rsid w:val="004F2FCA"/>
    <w:rsid w:val="004F2FF7"/>
    <w:rsid w:val="004F7523"/>
    <w:rsid w:val="00501AC6"/>
    <w:rsid w:val="005201C1"/>
    <w:rsid w:val="005246A5"/>
    <w:rsid w:val="005402CA"/>
    <w:rsid w:val="00546A9A"/>
    <w:rsid w:val="00570F9D"/>
    <w:rsid w:val="00575480"/>
    <w:rsid w:val="0058513C"/>
    <w:rsid w:val="00591905"/>
    <w:rsid w:val="00592C28"/>
    <w:rsid w:val="005A5B38"/>
    <w:rsid w:val="005B2D02"/>
    <w:rsid w:val="005C1E7B"/>
    <w:rsid w:val="005C7363"/>
    <w:rsid w:val="005D02FB"/>
    <w:rsid w:val="005D2A3F"/>
    <w:rsid w:val="005D4960"/>
    <w:rsid w:val="005E3873"/>
    <w:rsid w:val="005E6AC1"/>
    <w:rsid w:val="005F7779"/>
    <w:rsid w:val="00622F6A"/>
    <w:rsid w:val="006244A2"/>
    <w:rsid w:val="00627B59"/>
    <w:rsid w:val="0065360F"/>
    <w:rsid w:val="006635B1"/>
    <w:rsid w:val="00667025"/>
    <w:rsid w:val="006939FC"/>
    <w:rsid w:val="006D2FE3"/>
    <w:rsid w:val="006D458D"/>
    <w:rsid w:val="006D749D"/>
    <w:rsid w:val="006D7E47"/>
    <w:rsid w:val="006E65C7"/>
    <w:rsid w:val="006F4CF5"/>
    <w:rsid w:val="006F4F0D"/>
    <w:rsid w:val="007056A7"/>
    <w:rsid w:val="00710165"/>
    <w:rsid w:val="007178DA"/>
    <w:rsid w:val="00741FA5"/>
    <w:rsid w:val="00754121"/>
    <w:rsid w:val="00766D61"/>
    <w:rsid w:val="00767B94"/>
    <w:rsid w:val="00786A7A"/>
    <w:rsid w:val="00790F79"/>
    <w:rsid w:val="00792CA6"/>
    <w:rsid w:val="00793822"/>
    <w:rsid w:val="0079615E"/>
    <w:rsid w:val="007A0422"/>
    <w:rsid w:val="007A0467"/>
    <w:rsid w:val="007A11C0"/>
    <w:rsid w:val="007A3DCB"/>
    <w:rsid w:val="007B4C11"/>
    <w:rsid w:val="007B5029"/>
    <w:rsid w:val="007F07AB"/>
    <w:rsid w:val="007F2902"/>
    <w:rsid w:val="007F70CC"/>
    <w:rsid w:val="00800D7B"/>
    <w:rsid w:val="00807C4A"/>
    <w:rsid w:val="00815D6C"/>
    <w:rsid w:val="00827886"/>
    <w:rsid w:val="00827B4D"/>
    <w:rsid w:val="00835A43"/>
    <w:rsid w:val="008519F0"/>
    <w:rsid w:val="0086129C"/>
    <w:rsid w:val="00877159"/>
    <w:rsid w:val="00877457"/>
    <w:rsid w:val="00877789"/>
    <w:rsid w:val="008A101D"/>
    <w:rsid w:val="008A167A"/>
    <w:rsid w:val="008A525D"/>
    <w:rsid w:val="008B0A6B"/>
    <w:rsid w:val="008B6113"/>
    <w:rsid w:val="008B7865"/>
    <w:rsid w:val="008C7892"/>
    <w:rsid w:val="008D160F"/>
    <w:rsid w:val="008F2DF5"/>
    <w:rsid w:val="008F79C0"/>
    <w:rsid w:val="00901770"/>
    <w:rsid w:val="00902594"/>
    <w:rsid w:val="00911B5E"/>
    <w:rsid w:val="00914B89"/>
    <w:rsid w:val="00923210"/>
    <w:rsid w:val="00927122"/>
    <w:rsid w:val="00931332"/>
    <w:rsid w:val="009340F3"/>
    <w:rsid w:val="00940901"/>
    <w:rsid w:val="00942F55"/>
    <w:rsid w:val="00957475"/>
    <w:rsid w:val="00961EBC"/>
    <w:rsid w:val="009643D9"/>
    <w:rsid w:val="00975FE8"/>
    <w:rsid w:val="009925E9"/>
    <w:rsid w:val="0099365C"/>
    <w:rsid w:val="009964FA"/>
    <w:rsid w:val="009B11A5"/>
    <w:rsid w:val="009B52E6"/>
    <w:rsid w:val="009C42D1"/>
    <w:rsid w:val="009C6F30"/>
    <w:rsid w:val="009D076A"/>
    <w:rsid w:val="009D4C86"/>
    <w:rsid w:val="009D6299"/>
    <w:rsid w:val="009E6192"/>
    <w:rsid w:val="009F483A"/>
    <w:rsid w:val="009F618E"/>
    <w:rsid w:val="00A103FD"/>
    <w:rsid w:val="00A1260C"/>
    <w:rsid w:val="00A208BF"/>
    <w:rsid w:val="00A2503A"/>
    <w:rsid w:val="00A46973"/>
    <w:rsid w:val="00A62A1D"/>
    <w:rsid w:val="00A66BBA"/>
    <w:rsid w:val="00A71289"/>
    <w:rsid w:val="00A74F52"/>
    <w:rsid w:val="00A82C3E"/>
    <w:rsid w:val="00A97F79"/>
    <w:rsid w:val="00AA7560"/>
    <w:rsid w:val="00AB060F"/>
    <w:rsid w:val="00AB0878"/>
    <w:rsid w:val="00AC01A3"/>
    <w:rsid w:val="00AC134A"/>
    <w:rsid w:val="00AC413E"/>
    <w:rsid w:val="00AC4FD7"/>
    <w:rsid w:val="00AD3C25"/>
    <w:rsid w:val="00AD76D6"/>
    <w:rsid w:val="00AE0A5B"/>
    <w:rsid w:val="00AE3E0F"/>
    <w:rsid w:val="00AE67CB"/>
    <w:rsid w:val="00AF6567"/>
    <w:rsid w:val="00AF6C99"/>
    <w:rsid w:val="00B0154B"/>
    <w:rsid w:val="00B02B5A"/>
    <w:rsid w:val="00B12B6C"/>
    <w:rsid w:val="00B22311"/>
    <w:rsid w:val="00B27BD4"/>
    <w:rsid w:val="00B30DCA"/>
    <w:rsid w:val="00B31842"/>
    <w:rsid w:val="00B318D1"/>
    <w:rsid w:val="00B33BB8"/>
    <w:rsid w:val="00B4312A"/>
    <w:rsid w:val="00B50E1A"/>
    <w:rsid w:val="00B55C4C"/>
    <w:rsid w:val="00B72885"/>
    <w:rsid w:val="00B73141"/>
    <w:rsid w:val="00B8151F"/>
    <w:rsid w:val="00B8494C"/>
    <w:rsid w:val="00B8761F"/>
    <w:rsid w:val="00BB05F8"/>
    <w:rsid w:val="00BB1511"/>
    <w:rsid w:val="00BB26A7"/>
    <w:rsid w:val="00BE0BA6"/>
    <w:rsid w:val="00BE7189"/>
    <w:rsid w:val="00BE71E4"/>
    <w:rsid w:val="00BF1AE7"/>
    <w:rsid w:val="00BF2DE9"/>
    <w:rsid w:val="00BF31A0"/>
    <w:rsid w:val="00BF3DC4"/>
    <w:rsid w:val="00BF7827"/>
    <w:rsid w:val="00C03FA5"/>
    <w:rsid w:val="00C065A0"/>
    <w:rsid w:val="00C20B8B"/>
    <w:rsid w:val="00C42BB9"/>
    <w:rsid w:val="00C43AF1"/>
    <w:rsid w:val="00C4646D"/>
    <w:rsid w:val="00C61405"/>
    <w:rsid w:val="00C858F6"/>
    <w:rsid w:val="00CA0770"/>
    <w:rsid w:val="00CA1729"/>
    <w:rsid w:val="00CA5662"/>
    <w:rsid w:val="00CB37D3"/>
    <w:rsid w:val="00CB4435"/>
    <w:rsid w:val="00CC1662"/>
    <w:rsid w:val="00CD4BE9"/>
    <w:rsid w:val="00CF1D2D"/>
    <w:rsid w:val="00CF225C"/>
    <w:rsid w:val="00D029D8"/>
    <w:rsid w:val="00D02EBC"/>
    <w:rsid w:val="00D063FE"/>
    <w:rsid w:val="00D0770E"/>
    <w:rsid w:val="00D13811"/>
    <w:rsid w:val="00D14678"/>
    <w:rsid w:val="00D22B3F"/>
    <w:rsid w:val="00D579F7"/>
    <w:rsid w:val="00D7421E"/>
    <w:rsid w:val="00D83012"/>
    <w:rsid w:val="00D963F9"/>
    <w:rsid w:val="00DC78A8"/>
    <w:rsid w:val="00DD63A5"/>
    <w:rsid w:val="00DD681D"/>
    <w:rsid w:val="00DF58F7"/>
    <w:rsid w:val="00E028EB"/>
    <w:rsid w:val="00E06798"/>
    <w:rsid w:val="00E37187"/>
    <w:rsid w:val="00E43258"/>
    <w:rsid w:val="00E44CCA"/>
    <w:rsid w:val="00E77243"/>
    <w:rsid w:val="00E93EC4"/>
    <w:rsid w:val="00E952E1"/>
    <w:rsid w:val="00E96993"/>
    <w:rsid w:val="00EA4019"/>
    <w:rsid w:val="00EB046E"/>
    <w:rsid w:val="00EB4608"/>
    <w:rsid w:val="00EB74E1"/>
    <w:rsid w:val="00EC0ABC"/>
    <w:rsid w:val="00EC1987"/>
    <w:rsid w:val="00EC36B1"/>
    <w:rsid w:val="00EC5A71"/>
    <w:rsid w:val="00ED6FDA"/>
    <w:rsid w:val="00EE2225"/>
    <w:rsid w:val="00EE30A6"/>
    <w:rsid w:val="00EE3D52"/>
    <w:rsid w:val="00EE5E3A"/>
    <w:rsid w:val="00EE6214"/>
    <w:rsid w:val="00EE7C5F"/>
    <w:rsid w:val="00F04FF9"/>
    <w:rsid w:val="00F063B3"/>
    <w:rsid w:val="00F20109"/>
    <w:rsid w:val="00F305D4"/>
    <w:rsid w:val="00F3357B"/>
    <w:rsid w:val="00F421E1"/>
    <w:rsid w:val="00F43D20"/>
    <w:rsid w:val="00F44907"/>
    <w:rsid w:val="00F506BB"/>
    <w:rsid w:val="00F6542B"/>
    <w:rsid w:val="00F719C4"/>
    <w:rsid w:val="00F72040"/>
    <w:rsid w:val="00FA09EB"/>
    <w:rsid w:val="00FB7A2A"/>
    <w:rsid w:val="00FC1ACB"/>
    <w:rsid w:val="00FC6E59"/>
    <w:rsid w:val="00FD0794"/>
    <w:rsid w:val="00FD7EFD"/>
    <w:rsid w:val="00FE1475"/>
    <w:rsid w:val="00FF1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38348"/>
  <w15:chartTrackingRefBased/>
  <w15:docId w15:val="{E11A5D8B-85AB-40D5-AE3D-AA59AD37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728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2885"/>
    <w:rPr>
      <w:sz w:val="20"/>
      <w:szCs w:val="20"/>
    </w:rPr>
  </w:style>
  <w:style w:type="character" w:styleId="FootnoteReference">
    <w:name w:val="footnote reference"/>
    <w:basedOn w:val="DefaultParagraphFont"/>
    <w:uiPriority w:val="99"/>
    <w:semiHidden/>
    <w:unhideWhenUsed/>
    <w:rsid w:val="00B72885"/>
    <w:rPr>
      <w:vertAlign w:val="superscript"/>
    </w:rPr>
  </w:style>
  <w:style w:type="character" w:styleId="Hyperlink">
    <w:name w:val="Hyperlink"/>
    <w:basedOn w:val="DefaultParagraphFont"/>
    <w:uiPriority w:val="99"/>
    <w:unhideWhenUsed/>
    <w:rsid w:val="0011685F"/>
    <w:rPr>
      <w:color w:val="0563C1" w:themeColor="hyperlink"/>
      <w:u w:val="single"/>
    </w:rPr>
  </w:style>
  <w:style w:type="character" w:styleId="UnresolvedMention">
    <w:name w:val="Unresolved Mention"/>
    <w:basedOn w:val="DefaultParagraphFont"/>
    <w:uiPriority w:val="99"/>
    <w:semiHidden/>
    <w:unhideWhenUsed/>
    <w:rsid w:val="0011685F"/>
    <w:rPr>
      <w:color w:val="605E5C"/>
      <w:shd w:val="clear" w:color="auto" w:fill="E1DFDD"/>
    </w:rPr>
  </w:style>
  <w:style w:type="paragraph" w:styleId="ListParagraph">
    <w:name w:val="List Paragraph"/>
    <w:basedOn w:val="Normal"/>
    <w:uiPriority w:val="34"/>
    <w:qFormat/>
    <w:rsid w:val="00094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scholarship-com.ezproxy.uwtsd.ac.uk/view/10.1093/0195138368.001.0001/acprof-978019513836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earch-proquest-com.ezproxy.uwtsd.ac.uk/indexingvolumeissuelinkhandler/41268/The+Catholic+Biblical+Quarterly/02008Y07Y01$23Jul+2008$3b++Vol.+70+$283$29/70/3?accountid=130472" TargetMode="External"/><Relationship Id="rId2" Type="http://schemas.openxmlformats.org/officeDocument/2006/relationships/hyperlink" Target="https://search-proquest-com.ezproxy.uwtsd.ac.uk/pubidlinkhandler/sng/pubtitle/The+Catholic+Biblical+Quarterly/$N/41268/DocView/220260939/fulltext/F71B494C3FEC43F0PQ/1?accountid=130472" TargetMode="External"/><Relationship Id="rId1" Type="http://schemas.openxmlformats.org/officeDocument/2006/relationships/hyperlink" Target="https://www-oxfordscholarship-com.ezproxy.uwtsd.ac.uk/view/10.1093/0195138368.001.0001/acprof-9780195138368" TargetMode="External"/><Relationship Id="rId4" Type="http://schemas.openxmlformats.org/officeDocument/2006/relationships/hyperlink" Target="https://www-oxfordscholarship-com.ezproxy.uwtsd.ac.uk/view/10.1093/0195138368.001.0001/acprof-97801951383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FE2D2-93B1-409F-B73A-9AFD4BCC3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9170</TotalTime>
  <Pages>11</Pages>
  <Words>5618</Words>
  <Characters>32029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 tindall</dc:creator>
  <cp:keywords/>
  <dc:description/>
  <cp:lastModifiedBy>belle tindall</cp:lastModifiedBy>
  <cp:revision>320</cp:revision>
  <dcterms:created xsi:type="dcterms:W3CDTF">2020-01-03T13:33:00Z</dcterms:created>
  <dcterms:modified xsi:type="dcterms:W3CDTF">2020-01-28T19:08:00Z</dcterms:modified>
</cp:coreProperties>
</file>