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2AE67" w14:textId="77777777" w:rsidR="00E11F02" w:rsidRPr="00863CDE" w:rsidRDefault="00E11F02" w:rsidP="00817A44">
      <w:pPr>
        <w:spacing w:after="0" w:line="480" w:lineRule="auto"/>
        <w:rPr>
          <w:rFonts w:ascii="Georgia" w:hAnsi="Georgia"/>
          <w:sz w:val="24"/>
          <w:szCs w:val="24"/>
        </w:rPr>
      </w:pPr>
      <w:bookmarkStart w:id="0" w:name="_GoBack"/>
      <w:bookmarkEnd w:id="0"/>
      <w:r w:rsidRPr="00863CDE">
        <w:rPr>
          <w:rFonts w:ascii="Georgia" w:hAnsi="Georgia"/>
          <w:sz w:val="24"/>
          <w:szCs w:val="24"/>
        </w:rPr>
        <w:t>Mary Bowen-Perkins</w:t>
      </w:r>
      <w:r w:rsidR="00BD07BF">
        <w:rPr>
          <w:rFonts w:ascii="Georgia" w:hAnsi="Georgia"/>
          <w:sz w:val="24"/>
          <w:szCs w:val="24"/>
        </w:rPr>
        <w:t xml:space="preserve"> (1601141)</w:t>
      </w:r>
    </w:p>
    <w:p w14:paraId="6C69973B" w14:textId="77777777" w:rsidR="00026059" w:rsidRPr="00863CDE" w:rsidRDefault="007D1629" w:rsidP="00817A44">
      <w:pPr>
        <w:spacing w:after="0" w:line="480" w:lineRule="auto"/>
        <w:rPr>
          <w:rFonts w:ascii="Georgia" w:hAnsi="Georgia"/>
          <w:sz w:val="24"/>
          <w:szCs w:val="24"/>
        </w:rPr>
      </w:pPr>
      <w:r>
        <w:rPr>
          <w:rFonts w:ascii="Georgia" w:hAnsi="Georgia"/>
          <w:sz w:val="24"/>
          <w:szCs w:val="24"/>
        </w:rPr>
        <w:t>Methods and Approaches to English Literature</w:t>
      </w:r>
      <w:r w:rsidR="001B7AE4">
        <w:rPr>
          <w:rFonts w:ascii="Georgia" w:hAnsi="Georgia"/>
          <w:sz w:val="24"/>
          <w:szCs w:val="24"/>
        </w:rPr>
        <w:t xml:space="preserve"> (</w:t>
      </w:r>
      <w:r>
        <w:rPr>
          <w:rFonts w:ascii="Georgia" w:hAnsi="Georgia"/>
          <w:sz w:val="24"/>
          <w:szCs w:val="24"/>
        </w:rPr>
        <w:t>CSSK5004</w:t>
      </w:r>
      <w:r w:rsidR="001B7AE4">
        <w:rPr>
          <w:rFonts w:ascii="Georgia" w:hAnsi="Georgia"/>
          <w:sz w:val="24"/>
          <w:szCs w:val="24"/>
        </w:rPr>
        <w:t>)</w:t>
      </w:r>
    </w:p>
    <w:p w14:paraId="29DBAF57" w14:textId="6B9710B9" w:rsidR="00026059" w:rsidRPr="00863CDE" w:rsidRDefault="002514F9" w:rsidP="00817A44">
      <w:pPr>
        <w:spacing w:after="0" w:line="480" w:lineRule="auto"/>
        <w:rPr>
          <w:rFonts w:ascii="Georgia" w:hAnsi="Georgia"/>
          <w:sz w:val="24"/>
          <w:szCs w:val="24"/>
        </w:rPr>
      </w:pPr>
      <w:r>
        <w:rPr>
          <w:rFonts w:ascii="Georgia" w:hAnsi="Georgia"/>
          <w:sz w:val="24"/>
          <w:szCs w:val="24"/>
        </w:rPr>
        <w:t>1</w:t>
      </w:r>
      <w:r w:rsidR="00A06934">
        <w:rPr>
          <w:rFonts w:ascii="Georgia" w:hAnsi="Georgia"/>
          <w:sz w:val="24"/>
          <w:szCs w:val="24"/>
        </w:rPr>
        <w:t>3</w:t>
      </w:r>
      <w:r w:rsidR="007D1629">
        <w:rPr>
          <w:rFonts w:ascii="Georgia" w:hAnsi="Georgia"/>
          <w:sz w:val="24"/>
          <w:szCs w:val="24"/>
          <w:vertAlign w:val="superscript"/>
        </w:rPr>
        <w:t xml:space="preserve">th </w:t>
      </w:r>
      <w:r w:rsidR="007D1629">
        <w:rPr>
          <w:rFonts w:ascii="Georgia" w:hAnsi="Georgia"/>
          <w:sz w:val="24"/>
          <w:szCs w:val="24"/>
        </w:rPr>
        <w:t>December</w:t>
      </w:r>
      <w:r w:rsidR="003D08EA">
        <w:rPr>
          <w:rFonts w:ascii="Georgia" w:hAnsi="Georgia"/>
          <w:sz w:val="24"/>
          <w:szCs w:val="24"/>
        </w:rPr>
        <w:t xml:space="preserve"> 2017 </w:t>
      </w:r>
    </w:p>
    <w:p w14:paraId="6BE26EA6" w14:textId="77777777" w:rsidR="00026059" w:rsidRPr="00863CDE" w:rsidRDefault="00026059" w:rsidP="003D08EA">
      <w:pPr>
        <w:tabs>
          <w:tab w:val="left" w:pos="3300"/>
        </w:tabs>
        <w:spacing w:after="0" w:line="480" w:lineRule="auto"/>
        <w:rPr>
          <w:rFonts w:ascii="Georgia" w:hAnsi="Georgia"/>
          <w:bCs/>
          <w:sz w:val="24"/>
          <w:szCs w:val="24"/>
          <w:shd w:val="clear" w:color="auto" w:fill="FFFFFF"/>
        </w:rPr>
      </w:pPr>
      <w:r w:rsidRPr="00863CDE">
        <w:rPr>
          <w:rFonts w:ascii="Georgia" w:hAnsi="Georgia"/>
          <w:sz w:val="24"/>
          <w:szCs w:val="24"/>
        </w:rPr>
        <w:t xml:space="preserve">Assignment: </w:t>
      </w:r>
      <w:r w:rsidR="003D08EA">
        <w:rPr>
          <w:rFonts w:ascii="Georgia" w:hAnsi="Georgia"/>
          <w:bCs/>
          <w:color w:val="000000"/>
          <w:sz w:val="24"/>
          <w:szCs w:val="24"/>
          <w:shd w:val="clear" w:color="auto" w:fill="FFFFFF"/>
        </w:rPr>
        <w:t xml:space="preserve">Essay - </w:t>
      </w:r>
      <w:r w:rsidR="007D1629" w:rsidRPr="007D1629">
        <w:rPr>
          <w:rFonts w:ascii="Georgia" w:hAnsi="Georgia"/>
          <w:bCs/>
          <w:color w:val="000000"/>
          <w:sz w:val="24"/>
          <w:szCs w:val="24"/>
          <w:shd w:val="clear" w:color="auto" w:fill="FFFFFF"/>
        </w:rPr>
        <w:t>‘Women do wrong to complain of the inequality of man-made laws; this inequality is not of man's making, or at any rate it is not the result of mere prejudice, but of reason.’ (J.J Rousseau) Consider the gender politics of the period or the claims made for reason in the light of this observation.</w:t>
      </w:r>
    </w:p>
    <w:p w14:paraId="68BBD289" w14:textId="77777777" w:rsidR="00E7589F" w:rsidRPr="00863CDE" w:rsidRDefault="00E7589F" w:rsidP="00817A44">
      <w:pPr>
        <w:spacing w:after="0" w:line="480" w:lineRule="auto"/>
        <w:rPr>
          <w:rFonts w:ascii="Georgia" w:hAnsi="Georgia"/>
        </w:rPr>
      </w:pPr>
    </w:p>
    <w:p w14:paraId="0888B1E8" w14:textId="4A0070D6" w:rsidR="00F82D04" w:rsidRPr="00FA2B64" w:rsidRDefault="00453FD9" w:rsidP="00F82D04">
      <w:pPr>
        <w:shd w:val="clear" w:color="auto" w:fill="FFFFFF"/>
        <w:tabs>
          <w:tab w:val="left" w:pos="6945"/>
        </w:tabs>
        <w:spacing w:after="0" w:line="480" w:lineRule="auto"/>
        <w:jc w:val="center"/>
        <w:rPr>
          <w:rFonts w:ascii="Georgia" w:hAnsi="Georgia"/>
          <w:sz w:val="28"/>
          <w:szCs w:val="28"/>
        </w:rPr>
      </w:pPr>
      <w:r>
        <w:rPr>
          <w:rFonts w:ascii="Georgia" w:hAnsi="Georgia"/>
          <w:sz w:val="28"/>
          <w:szCs w:val="28"/>
        </w:rPr>
        <w:t>Unsexed Reason and Feminine Sensibility</w:t>
      </w:r>
    </w:p>
    <w:p w14:paraId="41F635AF" w14:textId="2F243D37" w:rsidR="00C04854" w:rsidRDefault="00926EC6"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In the period </w:t>
      </w:r>
      <w:r w:rsidR="005071DB">
        <w:rPr>
          <w:rFonts w:ascii="Georgia" w:hAnsi="Georgia"/>
          <w:sz w:val="24"/>
          <w:szCs w:val="24"/>
        </w:rPr>
        <w:t>from the 17</w:t>
      </w:r>
      <w:r w:rsidR="005071DB" w:rsidRPr="005071DB">
        <w:rPr>
          <w:rFonts w:ascii="Georgia" w:hAnsi="Georgia"/>
          <w:sz w:val="24"/>
          <w:szCs w:val="24"/>
          <w:vertAlign w:val="superscript"/>
        </w:rPr>
        <w:t>th</w:t>
      </w:r>
      <w:r w:rsidR="005071DB">
        <w:rPr>
          <w:rFonts w:ascii="Georgia" w:hAnsi="Georgia"/>
          <w:sz w:val="24"/>
          <w:szCs w:val="24"/>
        </w:rPr>
        <w:t xml:space="preserve"> through to the early part of the 19</w:t>
      </w:r>
      <w:r w:rsidR="005071DB" w:rsidRPr="005071DB">
        <w:rPr>
          <w:rFonts w:ascii="Georgia" w:hAnsi="Georgia"/>
          <w:sz w:val="24"/>
          <w:szCs w:val="24"/>
          <w:vertAlign w:val="superscript"/>
        </w:rPr>
        <w:t>th</w:t>
      </w:r>
      <w:r w:rsidR="005071DB">
        <w:rPr>
          <w:rFonts w:ascii="Georgia" w:hAnsi="Georgia"/>
          <w:sz w:val="24"/>
          <w:szCs w:val="24"/>
        </w:rPr>
        <w:t xml:space="preserve"> centuries, there were a number of different cultural movements vying for dominance</w:t>
      </w:r>
      <w:r w:rsidR="00A67842">
        <w:rPr>
          <w:rFonts w:ascii="Georgia" w:hAnsi="Georgia"/>
          <w:sz w:val="24"/>
          <w:szCs w:val="24"/>
        </w:rPr>
        <w:t xml:space="preserve"> in Britain</w:t>
      </w:r>
      <w:r w:rsidR="005071DB">
        <w:rPr>
          <w:rFonts w:ascii="Georgia" w:hAnsi="Georgia"/>
          <w:sz w:val="24"/>
          <w:szCs w:val="24"/>
        </w:rPr>
        <w:t xml:space="preserve">. Two of the most prominent of these were the Enlightenment and Romanticism, which contrasted each other in many </w:t>
      </w:r>
      <w:r w:rsidR="00A06934">
        <w:rPr>
          <w:rFonts w:ascii="Georgia" w:hAnsi="Georgia"/>
          <w:sz w:val="24"/>
          <w:szCs w:val="24"/>
        </w:rPr>
        <w:t>aspects</w:t>
      </w:r>
      <w:r w:rsidR="005071DB">
        <w:rPr>
          <w:rFonts w:ascii="Georgia" w:hAnsi="Georgia"/>
          <w:sz w:val="24"/>
          <w:szCs w:val="24"/>
        </w:rPr>
        <w:t xml:space="preserve">. Among these were the ways in which they interacted with gender. Where the Enlightenment held masculine traits </w:t>
      </w:r>
      <w:r w:rsidR="006A4DE6">
        <w:rPr>
          <w:rFonts w:ascii="Georgia" w:hAnsi="Georgia"/>
          <w:sz w:val="24"/>
          <w:szCs w:val="24"/>
        </w:rPr>
        <w:t>to be</w:t>
      </w:r>
      <w:r w:rsidR="005071DB">
        <w:rPr>
          <w:rFonts w:ascii="Georgia" w:hAnsi="Georgia"/>
          <w:sz w:val="24"/>
          <w:szCs w:val="24"/>
        </w:rPr>
        <w:t xml:space="preserve"> most valuable, Romanticism did the same for feminine </w:t>
      </w:r>
      <w:r w:rsidR="00A06934">
        <w:rPr>
          <w:rFonts w:ascii="Georgia" w:hAnsi="Georgia"/>
          <w:sz w:val="24"/>
          <w:szCs w:val="24"/>
        </w:rPr>
        <w:t>ones</w:t>
      </w:r>
      <w:r w:rsidR="005071DB">
        <w:rPr>
          <w:rFonts w:ascii="Georgia" w:hAnsi="Georgia"/>
          <w:sz w:val="24"/>
          <w:szCs w:val="24"/>
        </w:rPr>
        <w:t>. Yet proponents of both movements held obviously sexist ideals</w:t>
      </w:r>
      <w:r w:rsidR="00704F3F">
        <w:rPr>
          <w:rFonts w:ascii="Georgia" w:hAnsi="Georgia"/>
          <w:sz w:val="24"/>
          <w:szCs w:val="24"/>
        </w:rPr>
        <w:t xml:space="preserve">, and even their more egalitarian ideas can seem to have an undercurrent of misogyny when examined critically. </w:t>
      </w:r>
      <w:r w:rsidR="00C4263D">
        <w:rPr>
          <w:rFonts w:ascii="Georgia" w:hAnsi="Georgia"/>
          <w:sz w:val="24"/>
          <w:szCs w:val="24"/>
        </w:rPr>
        <w:t xml:space="preserve">The Enlightenment and Romanticism remain </w:t>
      </w:r>
      <w:r w:rsidR="00320E25">
        <w:rPr>
          <w:rFonts w:ascii="Georgia" w:hAnsi="Georgia"/>
          <w:sz w:val="24"/>
          <w:szCs w:val="24"/>
        </w:rPr>
        <w:t xml:space="preserve">extremely relevant to current perceptions of art and culture, so it is important to understand their values, even if they might only affect </w:t>
      </w:r>
      <w:r w:rsidR="00562E18">
        <w:rPr>
          <w:rFonts w:ascii="Georgia" w:hAnsi="Georgia"/>
          <w:sz w:val="24"/>
          <w:szCs w:val="24"/>
        </w:rPr>
        <w:t xml:space="preserve">the average reader subconsciously. In order to understand their impact today, we must first understand the gender politics around at the time of these movements. This essay will aim to explore each of these movements in turn, taking a look at their respective values and considering how these relate to </w:t>
      </w:r>
      <w:r w:rsidR="00DF6984">
        <w:rPr>
          <w:rFonts w:ascii="Georgia" w:hAnsi="Georgia"/>
          <w:sz w:val="24"/>
          <w:szCs w:val="24"/>
        </w:rPr>
        <w:t>their ideas about gender and sexism</w:t>
      </w:r>
      <w:r w:rsidR="007A5FD8">
        <w:rPr>
          <w:rFonts w:ascii="Georgia" w:hAnsi="Georgia"/>
          <w:sz w:val="24"/>
          <w:szCs w:val="24"/>
        </w:rPr>
        <w:t xml:space="preserve">, while also taking </w:t>
      </w:r>
      <w:r w:rsidR="007A5FD8">
        <w:rPr>
          <w:rFonts w:ascii="Georgia" w:hAnsi="Georgia"/>
          <w:sz w:val="24"/>
          <w:szCs w:val="24"/>
        </w:rPr>
        <w:lastRenderedPageBreak/>
        <w:t>into account how these shape present-day views on both gender roles and the movements themselves.</w:t>
      </w:r>
    </w:p>
    <w:p w14:paraId="3BB9452D" w14:textId="4114BEB1" w:rsidR="00B87FBB" w:rsidRDefault="00447E15"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B87FBB">
        <w:rPr>
          <w:rFonts w:ascii="Georgia" w:hAnsi="Georgia"/>
          <w:sz w:val="24"/>
          <w:szCs w:val="24"/>
        </w:rPr>
        <w:t>The Enlightenment took place in Europe from the late 17</w:t>
      </w:r>
      <w:r w:rsidR="00B87FBB" w:rsidRPr="00B87FBB">
        <w:rPr>
          <w:rFonts w:ascii="Georgia" w:hAnsi="Georgia"/>
          <w:sz w:val="24"/>
          <w:szCs w:val="24"/>
          <w:vertAlign w:val="superscript"/>
        </w:rPr>
        <w:t>th</w:t>
      </w:r>
      <w:r w:rsidR="00B87FBB">
        <w:rPr>
          <w:rFonts w:ascii="Georgia" w:hAnsi="Georgia"/>
          <w:sz w:val="24"/>
          <w:szCs w:val="24"/>
        </w:rPr>
        <w:t xml:space="preserve"> through the 18</w:t>
      </w:r>
      <w:r w:rsidR="00B87FBB" w:rsidRPr="00B87FBB">
        <w:rPr>
          <w:rFonts w:ascii="Georgia" w:hAnsi="Georgia"/>
          <w:sz w:val="24"/>
          <w:szCs w:val="24"/>
          <w:vertAlign w:val="superscript"/>
        </w:rPr>
        <w:t>th</w:t>
      </w:r>
      <w:r w:rsidR="00B87FBB">
        <w:rPr>
          <w:rFonts w:ascii="Georgia" w:hAnsi="Georgia"/>
          <w:sz w:val="24"/>
          <w:szCs w:val="24"/>
        </w:rPr>
        <w:t xml:space="preserve"> century, and was also known as the Age of Reason</w:t>
      </w:r>
      <w:r w:rsidR="00150EB1">
        <w:rPr>
          <w:rFonts w:ascii="Georgia" w:hAnsi="Georgia"/>
          <w:sz w:val="24"/>
          <w:szCs w:val="24"/>
        </w:rPr>
        <w:t xml:space="preserve">. As its name would imply, the concept of ‘reason’ was at the forefront of many of the Enlightenment’s ideas. The exact definition of reason is a somewhat slippery one, seeing as it is varyingly defined by philosophers and even </w:t>
      </w:r>
      <w:r w:rsidR="00A06934">
        <w:rPr>
          <w:rFonts w:ascii="Georgia" w:hAnsi="Georgia"/>
          <w:sz w:val="24"/>
          <w:szCs w:val="24"/>
        </w:rPr>
        <w:t>contemporary thinkers</w:t>
      </w:r>
      <w:r w:rsidR="00150EB1">
        <w:rPr>
          <w:rFonts w:ascii="Georgia" w:hAnsi="Georgia"/>
          <w:sz w:val="24"/>
          <w:szCs w:val="24"/>
        </w:rPr>
        <w:t xml:space="preserve">. That said, it is often presented as the opposing force to emotionality, sensibility, and irrationality. </w:t>
      </w:r>
      <w:r w:rsidR="00510E59">
        <w:rPr>
          <w:rFonts w:ascii="Georgia" w:hAnsi="Georgia"/>
          <w:sz w:val="24"/>
          <w:szCs w:val="24"/>
        </w:rPr>
        <w:t>In many cases, this idea of reason was more or less synonymous with the ideal of rationality</w:t>
      </w:r>
      <w:r w:rsidR="00C04854">
        <w:rPr>
          <w:rFonts w:ascii="Georgia" w:hAnsi="Georgia"/>
          <w:sz w:val="24"/>
          <w:szCs w:val="24"/>
        </w:rPr>
        <w:t xml:space="preserve">, and it can be understood fairly accurately by viewing it in this way. However, reason had something similar to a dual meaning with regard to the way it was applied as a concept. On one hand, reason was a type of approach to life. It meant thinking and making decisions not based on emotions, but on rational thought. On the other hand, reason was also an ability that beings either did or did not possess. The capacity of humans to reason is what set them apart from animals or savages, or so the Enlightenment theory went, </w:t>
      </w:r>
      <w:r w:rsidR="00430B03">
        <w:rPr>
          <w:rFonts w:ascii="Georgia" w:hAnsi="Georgia"/>
          <w:sz w:val="24"/>
          <w:szCs w:val="24"/>
        </w:rPr>
        <w:t>but not all humans were seen as equally reasonable.</w:t>
      </w:r>
      <w:r w:rsidR="00430B03">
        <w:rPr>
          <w:rStyle w:val="FootnoteReference"/>
          <w:rFonts w:ascii="Georgia" w:hAnsi="Georgia"/>
          <w:sz w:val="24"/>
          <w:szCs w:val="24"/>
        </w:rPr>
        <w:footnoteReference w:id="1"/>
      </w:r>
    </w:p>
    <w:p w14:paraId="66CF78AB" w14:textId="3CDBD51A" w:rsidR="00846717" w:rsidRDefault="00430B03"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Reason, to many Enlightenment thinkers, was the ideal to which all men should aspire – and in this case, the term ‘men’ is a deliberately gendered one. Women were frequently excluded from ideas about the virtues of reason. Not only was reason seen as a predominantly male pursuit, it was often suggested (or outright stated) that women biologically lacked the ability to reason. </w:t>
      </w:r>
      <w:r w:rsidR="00846717">
        <w:rPr>
          <w:rFonts w:ascii="Georgia" w:hAnsi="Georgia"/>
          <w:sz w:val="24"/>
          <w:szCs w:val="24"/>
        </w:rPr>
        <w:t xml:space="preserve">This is not so much of a surprise, coming out of an era when </w:t>
      </w:r>
      <w:r w:rsidR="00270B20">
        <w:rPr>
          <w:rFonts w:ascii="Georgia" w:hAnsi="Georgia"/>
          <w:sz w:val="24"/>
          <w:szCs w:val="24"/>
        </w:rPr>
        <w:t xml:space="preserve">women </w:t>
      </w:r>
      <w:r w:rsidR="00846717">
        <w:rPr>
          <w:rFonts w:ascii="Georgia" w:hAnsi="Georgia"/>
          <w:sz w:val="24"/>
          <w:szCs w:val="24"/>
        </w:rPr>
        <w:t>were seen as oversensitive to the point of disability. During the early eighteen</w:t>
      </w:r>
      <w:r w:rsidR="00270B20">
        <w:rPr>
          <w:rFonts w:ascii="Georgia" w:hAnsi="Georgia"/>
          <w:sz w:val="24"/>
          <w:szCs w:val="24"/>
        </w:rPr>
        <w:t xml:space="preserve"> </w:t>
      </w:r>
      <w:r w:rsidR="00846717">
        <w:rPr>
          <w:rFonts w:ascii="Georgia" w:hAnsi="Georgia"/>
          <w:sz w:val="24"/>
          <w:szCs w:val="24"/>
        </w:rPr>
        <w:t xml:space="preserve">century, the idea of hysteria as a medical problem was still </w:t>
      </w:r>
      <w:r w:rsidR="00846717">
        <w:rPr>
          <w:rFonts w:ascii="Georgia" w:hAnsi="Georgia"/>
          <w:sz w:val="24"/>
          <w:szCs w:val="24"/>
        </w:rPr>
        <w:lastRenderedPageBreak/>
        <w:t xml:space="preserve">very prominent, although it had evolved from a belief that the womb </w:t>
      </w:r>
      <w:r w:rsidR="00270B20">
        <w:rPr>
          <w:rFonts w:ascii="Georgia" w:hAnsi="Georgia"/>
          <w:sz w:val="24"/>
          <w:szCs w:val="24"/>
        </w:rPr>
        <w:t>moved</w:t>
      </w:r>
      <w:r w:rsidR="00846717">
        <w:rPr>
          <w:rFonts w:ascii="Georgia" w:hAnsi="Georgia"/>
          <w:sz w:val="24"/>
          <w:szCs w:val="24"/>
        </w:rPr>
        <w:t xml:space="preserve"> up into a woman’s neck and strangled her, to now being connected to women’s body heat – which could apparently be influenced by romantic and/or sexual feelings.</w:t>
      </w:r>
      <w:r w:rsidR="00846717">
        <w:rPr>
          <w:rStyle w:val="FootnoteReference"/>
          <w:rFonts w:ascii="Georgia" w:hAnsi="Georgia"/>
          <w:sz w:val="24"/>
          <w:szCs w:val="24"/>
        </w:rPr>
        <w:footnoteReference w:id="2"/>
      </w:r>
      <w:r w:rsidR="00846717">
        <w:rPr>
          <w:rFonts w:ascii="Georgia" w:hAnsi="Georgia"/>
          <w:sz w:val="24"/>
          <w:szCs w:val="24"/>
        </w:rPr>
        <w:t xml:space="preserve"> Nor had the perceived malady of hysteria come out of nowhere. In the same period, it was widely accepted that women experienced emotions to such an extreme degree that they could regularly be physically incapacitated by them. During the eighteenth century, ‘Women were thought to express their emotions </w:t>
      </w:r>
      <w:r w:rsidR="0050526F">
        <w:rPr>
          <w:rFonts w:ascii="Georgia" w:hAnsi="Georgia"/>
          <w:sz w:val="24"/>
          <w:szCs w:val="24"/>
        </w:rPr>
        <w:t>with their bodies more sincerely and spontaneously than men; hence their propensity to crying, blushing and fainting.’</w:t>
      </w:r>
      <w:r w:rsidR="0050526F">
        <w:rPr>
          <w:rStyle w:val="FootnoteReference"/>
          <w:rFonts w:ascii="Georgia" w:hAnsi="Georgia"/>
          <w:sz w:val="24"/>
          <w:szCs w:val="24"/>
        </w:rPr>
        <w:footnoteReference w:id="3"/>
      </w:r>
      <w:r w:rsidR="0050526F">
        <w:rPr>
          <w:rFonts w:ascii="Georgia" w:hAnsi="Georgia"/>
          <w:sz w:val="24"/>
          <w:szCs w:val="24"/>
        </w:rPr>
        <w:t xml:space="preserve"> With this sort of cultural perception floating around, it would be very difficult for women to have been perceived as equally rational beings as men. Instead, the best they could do was attempt to fill the role which reason (speaking through men) dictated they should assume.</w:t>
      </w:r>
      <w:r w:rsidR="00540DA5">
        <w:rPr>
          <w:rFonts w:ascii="Georgia" w:hAnsi="Georgia"/>
          <w:sz w:val="24"/>
          <w:szCs w:val="24"/>
        </w:rPr>
        <w:t xml:space="preserve"> Luckily, women of the time were never short of men to explain their role to them.</w:t>
      </w:r>
    </w:p>
    <w:p w14:paraId="3943166E" w14:textId="111EA614" w:rsidR="00430B03" w:rsidRDefault="00846717"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430B03">
        <w:rPr>
          <w:rFonts w:ascii="Georgia" w:hAnsi="Georgia"/>
          <w:sz w:val="24"/>
          <w:szCs w:val="24"/>
        </w:rPr>
        <w:t>The French philosopher Jean-Jacques Rousseau was an immensely influential figure of the Enlightenment and, later on, his country’s revolution, who declared that women were ‘made to please and be subjugated’.</w:t>
      </w:r>
      <w:r w:rsidR="00430B03">
        <w:rPr>
          <w:rStyle w:val="FootnoteReference"/>
          <w:rFonts w:ascii="Georgia" w:hAnsi="Georgia"/>
          <w:sz w:val="24"/>
          <w:szCs w:val="24"/>
        </w:rPr>
        <w:footnoteReference w:id="4"/>
      </w:r>
      <w:r w:rsidR="00430B03">
        <w:rPr>
          <w:rFonts w:ascii="Georgia" w:hAnsi="Georgia"/>
          <w:sz w:val="24"/>
          <w:szCs w:val="24"/>
        </w:rPr>
        <w:t xml:space="preserve"> This specific quote comes from his book </w:t>
      </w:r>
      <w:r w:rsidR="00430B03" w:rsidRPr="00775046">
        <w:rPr>
          <w:rFonts w:ascii="Georgia" w:hAnsi="Georgia"/>
          <w:i/>
          <w:sz w:val="24"/>
          <w:szCs w:val="24"/>
        </w:rPr>
        <w:t>Emile, or On Education</w:t>
      </w:r>
      <w:r w:rsidR="00430B03">
        <w:rPr>
          <w:rFonts w:ascii="Georgia" w:hAnsi="Georgia"/>
          <w:sz w:val="24"/>
          <w:szCs w:val="24"/>
        </w:rPr>
        <w:t xml:space="preserve">, which details a plan for the education of a young boy. In the fifth section of this book, Rousseau goes to great lengths to illustrate the source and rationality of gender difference in society. According to him, men and women are similar in all ways apart from with regard to sex, in which case they are different in every possible way. Beyond this somewhat enigmatic belief, Rousseau explains that men and women are fundamentally, biologically different, and that their different roles </w:t>
      </w:r>
      <w:r w:rsidR="00430B03">
        <w:rPr>
          <w:rFonts w:ascii="Georgia" w:hAnsi="Georgia"/>
          <w:sz w:val="24"/>
          <w:szCs w:val="24"/>
        </w:rPr>
        <w:lastRenderedPageBreak/>
        <w:t>naturally reflect this. Since this inequality is based on principles beyond man’s ability to change, Rousseau states that it is not ‘man-made’, but rather based on ‘reason’.</w:t>
      </w:r>
      <w:r w:rsidR="00430B03">
        <w:rPr>
          <w:rStyle w:val="FootnoteReference"/>
          <w:rFonts w:ascii="Georgia" w:hAnsi="Georgia"/>
          <w:sz w:val="24"/>
          <w:szCs w:val="24"/>
        </w:rPr>
        <w:footnoteReference w:id="5"/>
      </w:r>
      <w:r w:rsidR="00430B03">
        <w:rPr>
          <w:rFonts w:ascii="Georgia" w:hAnsi="Georgia"/>
          <w:sz w:val="24"/>
          <w:szCs w:val="24"/>
        </w:rPr>
        <w:t xml:space="preserve"> </w:t>
      </w:r>
    </w:p>
    <w:p w14:paraId="0E90F986" w14:textId="284EE7CF" w:rsidR="00FD32EA" w:rsidRDefault="00FD32EA"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One might argue that Rousseau was not being straightforwardly misogynistic here, but rather showing the reader the ways in which sexism manifests itself in his world, essentially making a parody of it. Beyond this being a rather charitable interpretation, Rousseau would hardly be alone in </w:t>
      </w:r>
      <w:r w:rsidR="005A7DFE">
        <w:rPr>
          <w:rFonts w:ascii="Georgia" w:hAnsi="Georgia"/>
          <w:sz w:val="24"/>
          <w:szCs w:val="24"/>
        </w:rPr>
        <w:t xml:space="preserve">sincerely </w:t>
      </w:r>
      <w:r>
        <w:rPr>
          <w:rFonts w:ascii="Georgia" w:hAnsi="Georgia"/>
          <w:sz w:val="24"/>
          <w:szCs w:val="24"/>
        </w:rPr>
        <w:t xml:space="preserve">putting across such a biologically essentialist view. </w:t>
      </w:r>
      <w:r w:rsidR="00250E2E">
        <w:rPr>
          <w:rFonts w:ascii="Georgia" w:hAnsi="Georgia"/>
          <w:sz w:val="24"/>
          <w:szCs w:val="24"/>
        </w:rPr>
        <w:t xml:space="preserve">The </w:t>
      </w:r>
      <w:r w:rsidR="00E54DB2">
        <w:rPr>
          <w:rFonts w:ascii="Georgia" w:hAnsi="Georgia"/>
          <w:sz w:val="24"/>
          <w:szCs w:val="24"/>
        </w:rPr>
        <w:t>statesman</w:t>
      </w:r>
      <w:r w:rsidR="00250E2E">
        <w:rPr>
          <w:rFonts w:ascii="Georgia" w:hAnsi="Georgia"/>
          <w:sz w:val="24"/>
          <w:szCs w:val="24"/>
        </w:rPr>
        <w:t xml:space="preserve"> Edmund Burke, whose </w:t>
      </w:r>
      <w:r w:rsidR="00250E2E" w:rsidRPr="00250E2E">
        <w:rPr>
          <w:rFonts w:ascii="Georgia" w:hAnsi="Georgia"/>
          <w:i/>
          <w:sz w:val="24"/>
          <w:szCs w:val="24"/>
        </w:rPr>
        <w:t>Reflections</w:t>
      </w:r>
      <w:r w:rsidR="00250E2E">
        <w:rPr>
          <w:rFonts w:ascii="Georgia" w:hAnsi="Georgia"/>
          <w:sz w:val="24"/>
          <w:szCs w:val="24"/>
        </w:rPr>
        <w:t xml:space="preserve"> on the French Revolution are riddled with </w:t>
      </w:r>
      <w:r w:rsidR="00E54DB2">
        <w:rPr>
          <w:rFonts w:ascii="Georgia" w:hAnsi="Georgia"/>
          <w:sz w:val="24"/>
          <w:szCs w:val="24"/>
        </w:rPr>
        <w:t>gendered attacks and thinly-veiled misogyny, wrote that ‘</w:t>
      </w:r>
      <w:r w:rsidR="00E54DB2" w:rsidRPr="00E54DB2">
        <w:rPr>
          <w:rFonts w:ascii="Georgia" w:hAnsi="Georgia"/>
          <w:sz w:val="24"/>
          <w:szCs w:val="24"/>
        </w:rPr>
        <w:t>a woman is but an animal</w:t>
      </w:r>
      <w:r w:rsidR="0048442D">
        <w:rPr>
          <w:rFonts w:ascii="Georgia" w:hAnsi="Georgia"/>
          <w:sz w:val="24"/>
          <w:szCs w:val="24"/>
        </w:rPr>
        <w:t>;</w:t>
      </w:r>
      <w:r w:rsidR="00E54DB2" w:rsidRPr="00E54DB2">
        <w:rPr>
          <w:rFonts w:ascii="Georgia" w:hAnsi="Georgia"/>
          <w:sz w:val="24"/>
          <w:szCs w:val="24"/>
        </w:rPr>
        <w:t xml:space="preserve"> and an animal not of the highest order</w:t>
      </w:r>
      <w:r w:rsidR="00E54DB2">
        <w:rPr>
          <w:rFonts w:ascii="Georgia" w:hAnsi="Georgia"/>
          <w:sz w:val="24"/>
          <w:szCs w:val="24"/>
        </w:rPr>
        <w:t>.’</w:t>
      </w:r>
      <w:r w:rsidR="00E54DB2">
        <w:rPr>
          <w:rStyle w:val="FootnoteReference"/>
          <w:rFonts w:ascii="Georgia" w:hAnsi="Georgia"/>
          <w:sz w:val="24"/>
          <w:szCs w:val="24"/>
        </w:rPr>
        <w:footnoteReference w:id="6"/>
      </w:r>
      <w:r w:rsidR="00E54DB2">
        <w:rPr>
          <w:rFonts w:ascii="Georgia" w:hAnsi="Georgia"/>
          <w:sz w:val="24"/>
          <w:szCs w:val="24"/>
        </w:rPr>
        <w:t xml:space="preserve"> </w:t>
      </w:r>
      <w:r w:rsidR="00853044">
        <w:rPr>
          <w:rFonts w:ascii="Georgia" w:hAnsi="Georgia"/>
          <w:sz w:val="24"/>
          <w:szCs w:val="24"/>
        </w:rPr>
        <w:t xml:space="preserve">If reason is what separated humans from animals, then declaring women to be little more than animals after all was quite a convenient way of denying them the human capacity to reason. </w:t>
      </w:r>
    </w:p>
    <w:p w14:paraId="4A466B1E" w14:textId="28557403" w:rsidR="009B0412" w:rsidRDefault="006747C3"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Despite the power and influence of men like Rosseau and Burke, they were not without their critics. Chief among them was Mary Wollstonecraft</w:t>
      </w:r>
      <w:r w:rsidR="007D7DCE">
        <w:rPr>
          <w:rFonts w:ascii="Georgia" w:hAnsi="Georgia"/>
          <w:sz w:val="24"/>
          <w:szCs w:val="24"/>
        </w:rPr>
        <w:t xml:space="preserve">, a writer and feminist who was the author of </w:t>
      </w:r>
      <w:r w:rsidR="007D7DCE" w:rsidRPr="007D7DCE">
        <w:rPr>
          <w:rFonts w:ascii="Georgia" w:hAnsi="Georgia"/>
          <w:i/>
          <w:sz w:val="24"/>
          <w:szCs w:val="24"/>
        </w:rPr>
        <w:t>A Vindication of the Rights of Woman</w:t>
      </w:r>
      <w:r w:rsidR="007D7DCE">
        <w:rPr>
          <w:rFonts w:ascii="Georgia" w:hAnsi="Georgia"/>
          <w:sz w:val="24"/>
          <w:szCs w:val="24"/>
        </w:rPr>
        <w:t xml:space="preserve">. In this book, Wollstonecraft </w:t>
      </w:r>
      <w:r w:rsidR="00E632A3">
        <w:rPr>
          <w:rFonts w:ascii="Georgia" w:hAnsi="Georgia"/>
          <w:sz w:val="24"/>
          <w:szCs w:val="24"/>
        </w:rPr>
        <w:t>called for a ‘revolution in female manners.’</w:t>
      </w:r>
      <w:r w:rsidR="00E632A3">
        <w:rPr>
          <w:rStyle w:val="FootnoteReference"/>
          <w:rFonts w:ascii="Georgia" w:hAnsi="Georgia"/>
          <w:sz w:val="24"/>
          <w:szCs w:val="24"/>
        </w:rPr>
        <w:footnoteReference w:id="7"/>
      </w:r>
      <w:r w:rsidR="00E632A3">
        <w:rPr>
          <w:rFonts w:ascii="Georgia" w:hAnsi="Georgia"/>
          <w:sz w:val="24"/>
          <w:szCs w:val="24"/>
        </w:rPr>
        <w:t xml:space="preserve"> She declared her era’s discrimination against women as unjust, and argued that gender difference was largely of social, rather than biological, origin. </w:t>
      </w:r>
      <w:r w:rsidR="009B0412">
        <w:rPr>
          <w:rFonts w:ascii="Georgia" w:hAnsi="Georgia"/>
          <w:sz w:val="24"/>
          <w:szCs w:val="24"/>
        </w:rPr>
        <w:t>Above all, she insisted that women had the capacity to reason – it was simply as a result of their restrictive place in society that they were rarely allowed to foster it. In her arguments towards this point, she even directly referred to Rousseau:</w:t>
      </w:r>
    </w:p>
    <w:p w14:paraId="71507187" w14:textId="77777777" w:rsidR="009B0412" w:rsidRDefault="009B0412" w:rsidP="009B0412">
      <w:pPr>
        <w:shd w:val="clear" w:color="auto" w:fill="FFFFFF"/>
        <w:tabs>
          <w:tab w:val="left" w:pos="1080"/>
        </w:tabs>
        <w:spacing w:after="0" w:line="240" w:lineRule="auto"/>
        <w:jc w:val="both"/>
        <w:rPr>
          <w:rFonts w:ascii="Georgia" w:hAnsi="Georgia"/>
          <w:sz w:val="24"/>
          <w:szCs w:val="24"/>
        </w:rPr>
      </w:pPr>
    </w:p>
    <w:p w14:paraId="00FEB409" w14:textId="3BCE4FB1" w:rsidR="006747C3" w:rsidRDefault="009B0412" w:rsidP="009B0412">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lastRenderedPageBreak/>
        <w:t>‘</w:t>
      </w:r>
      <w:r w:rsidRPr="009B0412">
        <w:rPr>
          <w:rFonts w:ascii="Georgia" w:hAnsi="Georgia"/>
          <w:sz w:val="24"/>
          <w:szCs w:val="24"/>
        </w:rPr>
        <w:t>I still insist, that not only the virtue, but the knowledge of the two sexes should be the same in nature, if not in degree, and that women, considered not only as moral, but rational creatures, ought to endeavour to acquire human virtues (or perfections) by the same means as men, instead of being educated like a fanciful kind of half being—one of Rousseau's wild chimeras</w:t>
      </w:r>
      <w:r w:rsidR="00EB6C94">
        <w:rPr>
          <w:rFonts w:ascii="Georgia" w:hAnsi="Georgia"/>
          <w:sz w:val="24"/>
          <w:szCs w:val="24"/>
        </w:rPr>
        <w:t>.</w:t>
      </w:r>
      <w:r>
        <w:rPr>
          <w:rFonts w:ascii="Georgia" w:hAnsi="Georgia"/>
          <w:sz w:val="24"/>
          <w:szCs w:val="24"/>
        </w:rPr>
        <w:t>’</w:t>
      </w:r>
      <w:r w:rsidR="00AD72D0">
        <w:rPr>
          <w:rStyle w:val="FootnoteReference"/>
          <w:rFonts w:ascii="Georgia" w:hAnsi="Georgia"/>
          <w:sz w:val="24"/>
          <w:szCs w:val="24"/>
        </w:rPr>
        <w:footnoteReference w:id="8"/>
      </w:r>
    </w:p>
    <w:p w14:paraId="3482EB4F" w14:textId="77777777" w:rsidR="009B0412" w:rsidRDefault="009B0412" w:rsidP="00184321">
      <w:pPr>
        <w:shd w:val="clear" w:color="auto" w:fill="FFFFFF"/>
        <w:tabs>
          <w:tab w:val="left" w:pos="1080"/>
        </w:tabs>
        <w:spacing w:after="0" w:line="480" w:lineRule="auto"/>
        <w:jc w:val="both"/>
        <w:rPr>
          <w:rFonts w:ascii="Georgia" w:hAnsi="Georgia"/>
          <w:sz w:val="24"/>
          <w:szCs w:val="24"/>
        </w:rPr>
      </w:pPr>
    </w:p>
    <w:p w14:paraId="24CA0F96" w14:textId="5D4E2311" w:rsidR="009B0412" w:rsidRDefault="00AD72D0"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Wollstonecraft was not completely critical of Rousseau, and in fact she was drawn to some of his more general ideas, but she did not agree with his exclusion of women when it came to reason. If only society was arranged in such a way that it encouraged</w:t>
      </w:r>
      <w:r w:rsidR="00B915CF">
        <w:rPr>
          <w:rFonts w:ascii="Georgia" w:hAnsi="Georgia"/>
          <w:sz w:val="24"/>
          <w:szCs w:val="24"/>
        </w:rPr>
        <w:t>,</w:t>
      </w:r>
      <w:r>
        <w:rPr>
          <w:rFonts w:ascii="Georgia" w:hAnsi="Georgia"/>
          <w:sz w:val="24"/>
          <w:szCs w:val="24"/>
        </w:rPr>
        <w:t xml:space="preserve"> rather than restricted, women’s ability to act as rational beings, then gender inequality would be much less extreme. </w:t>
      </w:r>
    </w:p>
    <w:p w14:paraId="34D15AE4" w14:textId="0A55C924" w:rsidR="003A6415" w:rsidRDefault="003A6415" w:rsidP="004B50D4">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A52572">
        <w:rPr>
          <w:rFonts w:ascii="Georgia" w:hAnsi="Georgia"/>
          <w:sz w:val="24"/>
          <w:szCs w:val="24"/>
        </w:rPr>
        <w:t>Despite appearing a fairly moderate expression of feminism to modern eyes, Wollstonecraft’s work was both radical and controversial when it was first published. She seemed to some people to be turning the natural order on its head, at a time when sexual difference was frequently seen as owing to biology, rather than society. Wollstonecraft was also not without her vocal critics. The poet Richard Polwhele included her in his poem ‘The Unsex’d Females’, a veritable catalogue of women divided into two categories: those which Polw</w:t>
      </w:r>
      <w:r w:rsidR="00E45BA8">
        <w:rPr>
          <w:rFonts w:ascii="Georgia" w:hAnsi="Georgia"/>
          <w:sz w:val="24"/>
          <w:szCs w:val="24"/>
        </w:rPr>
        <w:t>h</w:t>
      </w:r>
      <w:r w:rsidR="00A52572">
        <w:rPr>
          <w:rFonts w:ascii="Georgia" w:hAnsi="Georgia"/>
          <w:sz w:val="24"/>
          <w:szCs w:val="24"/>
        </w:rPr>
        <w:t>el</w:t>
      </w:r>
      <w:r w:rsidR="00E45BA8">
        <w:rPr>
          <w:rFonts w:ascii="Georgia" w:hAnsi="Georgia"/>
          <w:sz w:val="24"/>
          <w:szCs w:val="24"/>
        </w:rPr>
        <w:t>e</w:t>
      </w:r>
      <w:r w:rsidR="00A52572">
        <w:rPr>
          <w:rFonts w:ascii="Georgia" w:hAnsi="Georgia"/>
          <w:sz w:val="24"/>
          <w:szCs w:val="24"/>
        </w:rPr>
        <w:t xml:space="preserve"> approves of, and those wh</w:t>
      </w:r>
      <w:r w:rsidR="00E45BA8">
        <w:rPr>
          <w:rFonts w:ascii="Georgia" w:hAnsi="Georgia"/>
          <w:sz w:val="24"/>
          <w:szCs w:val="24"/>
        </w:rPr>
        <w:t xml:space="preserve">ich he frowns upon. Wollstonecraft, opposing much of what Polwhele seems to think of as the feminine ideal, belongs to the latter group. </w:t>
      </w:r>
      <w:r w:rsidR="00823C2B">
        <w:rPr>
          <w:rFonts w:ascii="Georgia" w:hAnsi="Georgia"/>
          <w:sz w:val="24"/>
          <w:szCs w:val="24"/>
        </w:rPr>
        <w:t>The women which Polwhele criticises in his poem are not only portrayed as unsatisfactory in his view, they are also presented as threatening to both the societal and natural orders. He describes them as ‘</w:t>
      </w:r>
      <w:r w:rsidR="00823C2B" w:rsidRPr="00823C2B">
        <w:rPr>
          <w:rFonts w:ascii="Georgia" w:hAnsi="Georgia"/>
          <w:sz w:val="24"/>
          <w:szCs w:val="24"/>
        </w:rPr>
        <w:t>A female band despising NATURE's law,</w:t>
      </w:r>
      <w:r w:rsidR="00823C2B">
        <w:rPr>
          <w:rFonts w:ascii="Georgia" w:hAnsi="Georgia"/>
          <w:sz w:val="24"/>
          <w:szCs w:val="24"/>
        </w:rPr>
        <w:t xml:space="preserve">/ </w:t>
      </w:r>
      <w:r w:rsidR="00823C2B" w:rsidRPr="00823C2B">
        <w:rPr>
          <w:rFonts w:ascii="Georgia" w:hAnsi="Georgia"/>
          <w:sz w:val="24"/>
          <w:szCs w:val="24"/>
        </w:rPr>
        <w:t>As "proud defiance" flashes from their arms,</w:t>
      </w:r>
      <w:r w:rsidR="00823C2B">
        <w:rPr>
          <w:rFonts w:ascii="Georgia" w:hAnsi="Georgia"/>
          <w:sz w:val="24"/>
          <w:szCs w:val="24"/>
        </w:rPr>
        <w:t xml:space="preserve">/ </w:t>
      </w:r>
      <w:r w:rsidR="00823C2B" w:rsidRPr="00823C2B">
        <w:rPr>
          <w:rFonts w:ascii="Georgia" w:hAnsi="Georgia"/>
          <w:sz w:val="24"/>
          <w:szCs w:val="24"/>
        </w:rPr>
        <w:t>And vengeance smothers all their softer charms.</w:t>
      </w:r>
      <w:r w:rsidR="00823C2B">
        <w:rPr>
          <w:rFonts w:ascii="Georgia" w:hAnsi="Georgia"/>
          <w:sz w:val="24"/>
          <w:szCs w:val="24"/>
        </w:rPr>
        <w:t>’</w:t>
      </w:r>
      <w:r w:rsidR="004B50D4">
        <w:rPr>
          <w:rFonts w:ascii="Georgia" w:hAnsi="Georgia"/>
          <w:sz w:val="24"/>
          <w:szCs w:val="24"/>
        </w:rPr>
        <w:t xml:space="preserve"> Polwhele then adds, with what seems to be no small sense of horror, ‘</w:t>
      </w:r>
      <w:r w:rsidR="004B50D4" w:rsidRPr="004B50D4">
        <w:rPr>
          <w:rFonts w:ascii="Georgia" w:hAnsi="Georgia"/>
          <w:sz w:val="24"/>
          <w:szCs w:val="24"/>
        </w:rPr>
        <w:t>I shudder at the new unpictur'd scene,</w:t>
      </w:r>
      <w:r w:rsidR="004B50D4">
        <w:rPr>
          <w:rFonts w:ascii="Georgia" w:hAnsi="Georgia"/>
          <w:sz w:val="24"/>
          <w:szCs w:val="24"/>
        </w:rPr>
        <w:t xml:space="preserve">/ </w:t>
      </w:r>
      <w:r w:rsidR="004B50D4" w:rsidRPr="004B50D4">
        <w:rPr>
          <w:rFonts w:ascii="Georgia" w:hAnsi="Georgia"/>
          <w:sz w:val="24"/>
          <w:szCs w:val="24"/>
        </w:rPr>
        <w:t xml:space="preserve">Where unsex'd woman vaunts the </w:t>
      </w:r>
      <w:r w:rsidR="004B50D4" w:rsidRPr="004B50D4">
        <w:rPr>
          <w:rFonts w:ascii="Georgia" w:hAnsi="Georgia"/>
          <w:sz w:val="24"/>
          <w:szCs w:val="24"/>
        </w:rPr>
        <w:lastRenderedPageBreak/>
        <w:t>imperious mien</w:t>
      </w:r>
      <w:r w:rsidR="004B50D4">
        <w:rPr>
          <w:rFonts w:ascii="Georgia" w:hAnsi="Georgia"/>
          <w:sz w:val="24"/>
          <w:szCs w:val="24"/>
        </w:rPr>
        <w:t>’.</w:t>
      </w:r>
      <w:r w:rsidR="004B50D4">
        <w:rPr>
          <w:rStyle w:val="FootnoteReference"/>
          <w:rFonts w:ascii="Georgia" w:hAnsi="Georgia"/>
          <w:sz w:val="24"/>
          <w:szCs w:val="24"/>
        </w:rPr>
        <w:footnoteReference w:id="9"/>
      </w:r>
      <w:r w:rsidR="006A193F">
        <w:rPr>
          <w:rFonts w:ascii="Georgia" w:hAnsi="Georgia"/>
          <w:sz w:val="24"/>
          <w:szCs w:val="24"/>
        </w:rPr>
        <w:t xml:space="preserve"> </w:t>
      </w:r>
      <w:r w:rsidR="00AA0925">
        <w:rPr>
          <w:rFonts w:ascii="Georgia" w:hAnsi="Georgia"/>
          <w:sz w:val="24"/>
          <w:szCs w:val="24"/>
        </w:rPr>
        <w:t xml:space="preserve">The use of the term ‘unsex’d’ is important in this context, because it reveals the underlying source of Polwhele’s discomfort. Although his poem was interpreted by anti-Jacobin reviewers as being a critique of French Revolutionary ideals, Polwhele’s attack on the group of women he deems unfavourable is rooted in sexist values. To describe the women as unsexed is essentially to call them un-womanly. That is, to declare that they have gone so far in defying the gendered rules placed upon them that they have almost ceased to be women at all. </w:t>
      </w:r>
      <w:r w:rsidR="00630DAF">
        <w:rPr>
          <w:rFonts w:ascii="Georgia" w:hAnsi="Georgia"/>
          <w:sz w:val="24"/>
          <w:szCs w:val="24"/>
        </w:rPr>
        <w:t>Polwhele makes this very clear in his assessment of Wollstonecraft within the poem, in which he includes references to both her Vindication of the Rights of Woman and the writings of Rousseau:</w:t>
      </w:r>
    </w:p>
    <w:p w14:paraId="6D921317"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See Wollstonecraft, whom no decorum checks,</w:t>
      </w:r>
    </w:p>
    <w:p w14:paraId="17F344A8"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Arise, the intrepid champion of her sex;</w:t>
      </w:r>
    </w:p>
    <w:p w14:paraId="6A9D98B3"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O'er humbled man assert the sovereign claim,</w:t>
      </w:r>
    </w:p>
    <w:p w14:paraId="3AF809A8"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And slight the timid blush of virgin fame.</w:t>
      </w:r>
    </w:p>
    <w:p w14:paraId="58974AD2"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"Go, go (she cries) ye tribes of melting maids,</w:t>
      </w:r>
    </w:p>
    <w:p w14:paraId="3F1E3D7F"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"Go, screen your softness in sequester'd shades;</w:t>
      </w:r>
    </w:p>
    <w:p w14:paraId="0629F780"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"With plaintive whispers woo the unconscious grove,</w:t>
      </w:r>
    </w:p>
    <w:p w14:paraId="49F43197" w14:textId="5B0EE063"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"And feebly perish, as depis'd ye love.</w:t>
      </w:r>
    </w:p>
    <w:p w14:paraId="381F4DC4"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"What tho' the fine Romances of Rousseau</w:t>
      </w:r>
    </w:p>
    <w:p w14:paraId="23F71EDD" w14:textId="7E4456A3" w:rsid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"Bid the flame flutter, and the bosom glow;</w:t>
      </w:r>
    </w:p>
    <w:p w14:paraId="28706404" w14:textId="77777777" w:rsidR="005826BC" w:rsidRPr="005826BC"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"Tho' the rapt Bard, your empire fond to own,</w:t>
      </w:r>
    </w:p>
    <w:p w14:paraId="7AB9C1BF" w14:textId="77777777" w:rsidR="005826BC" w:rsidRPr="005826BC"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"Fall prostrate and adore your living throne,</w:t>
      </w:r>
    </w:p>
    <w:p w14:paraId="434AA37D" w14:textId="77777777" w:rsidR="005826BC" w:rsidRPr="005826BC"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"The living throne his hands presum'd to rear,</w:t>
      </w:r>
    </w:p>
    <w:p w14:paraId="216EC9DB" w14:textId="77777777" w:rsidR="005826BC" w:rsidRPr="005826BC"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"Its seat a simper, and its base a tear;</w:t>
      </w:r>
    </w:p>
    <w:p w14:paraId="32428910" w14:textId="77777777" w:rsidR="005826BC" w:rsidRPr="005826BC"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"Soon shall the sex disdain the illusive sway,</w:t>
      </w:r>
    </w:p>
    <w:p w14:paraId="1EBC9C49" w14:textId="3D90EEA0" w:rsidR="005826BC" w:rsidRPr="00630DAF" w:rsidRDefault="005826BC" w:rsidP="005826BC">
      <w:pPr>
        <w:shd w:val="clear" w:color="auto" w:fill="FFFFFF"/>
        <w:tabs>
          <w:tab w:val="left" w:pos="1080"/>
        </w:tabs>
        <w:spacing w:after="0" w:line="240" w:lineRule="auto"/>
        <w:jc w:val="both"/>
        <w:rPr>
          <w:rFonts w:ascii="Georgia" w:hAnsi="Georgia"/>
          <w:sz w:val="24"/>
          <w:szCs w:val="24"/>
        </w:rPr>
      </w:pPr>
      <w:r w:rsidRPr="005826BC">
        <w:rPr>
          <w:rFonts w:ascii="Georgia" w:hAnsi="Georgia"/>
          <w:sz w:val="24"/>
          <w:szCs w:val="24"/>
        </w:rPr>
        <w:t>"And wield the sceptre in yon blaze of day;</w:t>
      </w:r>
    </w:p>
    <w:p w14:paraId="39BBB34B" w14:textId="590C3908"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t>[…]</w:t>
      </w:r>
    </w:p>
    <w:p w14:paraId="70DA2068"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"To the bold heights where glory beams, aspire,</w:t>
      </w:r>
    </w:p>
    <w:p w14:paraId="7B1A1FA7"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"Blend mental energy with Passion's fire,</w:t>
      </w:r>
    </w:p>
    <w:p w14:paraId="343D3CD5" w14:textId="77777777" w:rsidR="00630DAF" w:rsidRP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"Surpass their rivals in the powers of mind</w:t>
      </w:r>
    </w:p>
    <w:p w14:paraId="18122965" w14:textId="32A2539D" w:rsidR="00630DAF" w:rsidRDefault="00630DAF" w:rsidP="00630DAF">
      <w:pPr>
        <w:shd w:val="clear" w:color="auto" w:fill="FFFFFF"/>
        <w:tabs>
          <w:tab w:val="left" w:pos="1080"/>
        </w:tabs>
        <w:spacing w:after="0" w:line="240" w:lineRule="auto"/>
        <w:jc w:val="both"/>
        <w:rPr>
          <w:rFonts w:ascii="Georgia" w:hAnsi="Georgia"/>
          <w:sz w:val="24"/>
          <w:szCs w:val="24"/>
        </w:rPr>
      </w:pPr>
      <w:r w:rsidRPr="00630DAF">
        <w:rPr>
          <w:rFonts w:ascii="Georgia" w:hAnsi="Georgia"/>
          <w:sz w:val="24"/>
          <w:szCs w:val="24"/>
        </w:rPr>
        <w:t>"And vindicate the Rights of Womankind."</w:t>
      </w:r>
      <w:r>
        <w:rPr>
          <w:rStyle w:val="FootnoteReference"/>
          <w:rFonts w:ascii="Georgia" w:hAnsi="Georgia"/>
          <w:sz w:val="24"/>
          <w:szCs w:val="24"/>
        </w:rPr>
        <w:footnoteReference w:id="10"/>
      </w:r>
    </w:p>
    <w:p w14:paraId="039219AC" w14:textId="77777777" w:rsidR="00823C2B" w:rsidRDefault="00823C2B" w:rsidP="00184321">
      <w:pPr>
        <w:shd w:val="clear" w:color="auto" w:fill="FFFFFF"/>
        <w:tabs>
          <w:tab w:val="left" w:pos="1080"/>
        </w:tabs>
        <w:spacing w:after="0" w:line="480" w:lineRule="auto"/>
        <w:jc w:val="both"/>
        <w:rPr>
          <w:rFonts w:ascii="Georgia" w:hAnsi="Georgia"/>
          <w:sz w:val="24"/>
          <w:szCs w:val="24"/>
        </w:rPr>
      </w:pPr>
    </w:p>
    <w:p w14:paraId="140910BE" w14:textId="634C3B6C" w:rsidR="000E7704" w:rsidRPr="00BA464F" w:rsidRDefault="003264CA" w:rsidP="00BA464F">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lastRenderedPageBreak/>
        <w:t>Polwhele presents Wollstonecraft here as a</w:t>
      </w:r>
      <w:r w:rsidR="00494A4B">
        <w:rPr>
          <w:rFonts w:ascii="Georgia" w:hAnsi="Georgia"/>
          <w:sz w:val="24"/>
          <w:szCs w:val="24"/>
        </w:rPr>
        <w:t xml:space="preserve"> revolutionary leader, and decries her leading women away from their traditionally feminine charm and delicacy. </w:t>
      </w:r>
      <w:r w:rsidR="00951013">
        <w:rPr>
          <w:rFonts w:ascii="Georgia" w:hAnsi="Georgia"/>
          <w:sz w:val="24"/>
          <w:szCs w:val="24"/>
        </w:rPr>
        <w:t xml:space="preserve">He also takes shots at her relationships with Gilbert Imlay and Henry Fuseli, drawing on the period’s typical disdain for women’s sexuality and the condemnation of women who were not seen as chaste and pure. </w:t>
      </w:r>
      <w:r w:rsidR="00494A4B">
        <w:rPr>
          <w:rFonts w:ascii="Georgia" w:hAnsi="Georgia"/>
          <w:sz w:val="24"/>
          <w:szCs w:val="24"/>
        </w:rPr>
        <w:t xml:space="preserve">Immediately after the above quote, the writer then goes on to present a roll call of women Wollstonecraft has led astray. Among them are </w:t>
      </w:r>
      <w:r w:rsidR="00494A4B" w:rsidRPr="00494A4B">
        <w:rPr>
          <w:rFonts w:ascii="Georgia" w:hAnsi="Georgia"/>
          <w:sz w:val="24"/>
          <w:szCs w:val="24"/>
        </w:rPr>
        <w:t>Anna Laetitia Barbauld, Mary Robinson, Charlotte Turner Smith, Helen Maria Williams, Ann Yearsley, Mary Hay</w:t>
      </w:r>
      <w:r w:rsidR="00494A4B">
        <w:rPr>
          <w:rFonts w:ascii="Georgia" w:hAnsi="Georgia"/>
          <w:sz w:val="24"/>
          <w:szCs w:val="24"/>
        </w:rPr>
        <w:t>s</w:t>
      </w:r>
      <w:r w:rsidR="00494A4B" w:rsidRPr="00494A4B">
        <w:rPr>
          <w:rFonts w:ascii="Georgia" w:hAnsi="Georgia"/>
          <w:sz w:val="24"/>
          <w:szCs w:val="24"/>
        </w:rPr>
        <w:t>, Angelica Kauffman</w:t>
      </w:r>
      <w:r w:rsidR="00494A4B">
        <w:rPr>
          <w:rFonts w:ascii="Georgia" w:hAnsi="Georgia"/>
          <w:sz w:val="24"/>
          <w:szCs w:val="24"/>
        </w:rPr>
        <w:t>,</w:t>
      </w:r>
      <w:r w:rsidR="00494A4B" w:rsidRPr="00494A4B">
        <w:rPr>
          <w:rFonts w:ascii="Georgia" w:hAnsi="Georgia"/>
          <w:sz w:val="24"/>
          <w:szCs w:val="24"/>
        </w:rPr>
        <w:t xml:space="preserve"> and Emma Crewe</w:t>
      </w:r>
      <w:r w:rsidR="005D1B63">
        <w:rPr>
          <w:rFonts w:ascii="Georgia" w:hAnsi="Georgia"/>
          <w:sz w:val="24"/>
          <w:szCs w:val="24"/>
        </w:rPr>
        <w:t xml:space="preserve">. After </w:t>
      </w:r>
      <w:r w:rsidR="001F259F">
        <w:rPr>
          <w:rFonts w:ascii="Georgia" w:hAnsi="Georgia"/>
          <w:sz w:val="24"/>
          <w:szCs w:val="24"/>
        </w:rPr>
        <w:t xml:space="preserve">recounting their sins and the distressing ways in which they are rejecting femininity, Polwhele provides a similar list of women he does actually approve of. </w:t>
      </w:r>
      <w:r w:rsidR="00BA464F">
        <w:rPr>
          <w:rFonts w:ascii="Georgia" w:hAnsi="Georgia"/>
          <w:sz w:val="24"/>
          <w:szCs w:val="24"/>
        </w:rPr>
        <w:t>A ‘seraphic’ voice calls to them, imploring, ‘</w:t>
      </w:r>
      <w:r w:rsidR="00BA464F" w:rsidRPr="00BA464F">
        <w:rPr>
          <w:rFonts w:ascii="Georgia" w:hAnsi="Georgia"/>
          <w:sz w:val="24"/>
          <w:szCs w:val="24"/>
        </w:rPr>
        <w:t>"Come, join, with wonted smiles, a kindred train,</w:t>
      </w:r>
      <w:r w:rsidR="00BA464F">
        <w:rPr>
          <w:rFonts w:ascii="Georgia" w:hAnsi="Georgia"/>
          <w:sz w:val="24"/>
          <w:szCs w:val="24"/>
        </w:rPr>
        <w:t xml:space="preserve">/ </w:t>
      </w:r>
      <w:r w:rsidR="00BA464F" w:rsidRPr="00BA464F">
        <w:rPr>
          <w:rFonts w:ascii="Georgia" w:hAnsi="Georgia"/>
          <w:sz w:val="24"/>
          <w:szCs w:val="24"/>
        </w:rPr>
        <w:t>"Who court, like you, the Muse; nor court in vain.</w:t>
      </w:r>
      <w:r w:rsidR="00BA464F">
        <w:rPr>
          <w:rFonts w:ascii="Georgia" w:hAnsi="Georgia"/>
          <w:sz w:val="24"/>
          <w:szCs w:val="24"/>
        </w:rPr>
        <w:t xml:space="preserve">/ </w:t>
      </w:r>
      <w:r w:rsidR="00BA464F" w:rsidRPr="00BA464F">
        <w:rPr>
          <w:rFonts w:ascii="Georgia" w:hAnsi="Georgia"/>
          <w:sz w:val="24"/>
          <w:szCs w:val="24"/>
        </w:rPr>
        <w:t>"Mark, where the sex have oft, in ancient days,</w:t>
      </w:r>
      <w:r w:rsidR="00BA464F">
        <w:rPr>
          <w:rFonts w:ascii="Georgia" w:hAnsi="Georgia"/>
          <w:sz w:val="24"/>
          <w:szCs w:val="24"/>
        </w:rPr>
        <w:t xml:space="preserve">/ </w:t>
      </w:r>
      <w:r w:rsidR="00BA464F" w:rsidRPr="00BA464F">
        <w:rPr>
          <w:rFonts w:ascii="Georgia" w:hAnsi="Georgia"/>
          <w:sz w:val="24"/>
          <w:szCs w:val="24"/>
        </w:rPr>
        <w:t>"To modest Virtue, claim'd a nation's praise</w:t>
      </w:r>
      <w:r w:rsidR="00BA464F">
        <w:rPr>
          <w:rFonts w:ascii="Georgia" w:hAnsi="Georgia"/>
          <w:sz w:val="24"/>
          <w:szCs w:val="24"/>
        </w:rPr>
        <w:t>’.</w:t>
      </w:r>
      <w:r w:rsidR="000F73EB">
        <w:rPr>
          <w:rFonts w:ascii="Georgia" w:hAnsi="Georgia"/>
          <w:sz w:val="24"/>
          <w:szCs w:val="24"/>
        </w:rPr>
        <w:t xml:space="preserve"> Unlike the Wollstonecraftian she-devils he mentioned before, these women are able to exert some influence in the world while maintaining their </w:t>
      </w:r>
      <w:r w:rsidR="007A3421">
        <w:rPr>
          <w:rFonts w:ascii="Georgia" w:hAnsi="Georgia"/>
          <w:sz w:val="24"/>
          <w:szCs w:val="24"/>
        </w:rPr>
        <w:t xml:space="preserve">virtue. </w:t>
      </w:r>
      <w:r w:rsidR="00C41065">
        <w:rPr>
          <w:rFonts w:ascii="Georgia" w:hAnsi="Georgia"/>
          <w:sz w:val="24"/>
          <w:szCs w:val="24"/>
        </w:rPr>
        <w:t>Among these divinely proper women are Elizabeth Montague, Elizabeth Carter, Hester Chapone, Anna Seward, Hester Thrale Piozzi, Frances Burney, Ann Radcliffe, Diana Beauclerk, and Hannah More.</w:t>
      </w:r>
      <w:r w:rsidR="00EC646E">
        <w:rPr>
          <w:rFonts w:ascii="Georgia" w:hAnsi="Georgia"/>
          <w:sz w:val="24"/>
          <w:szCs w:val="24"/>
        </w:rPr>
        <w:t xml:space="preserve"> In </w:t>
      </w:r>
      <w:r w:rsidR="00CA0A04">
        <w:rPr>
          <w:rFonts w:ascii="Georgia" w:hAnsi="Georgia"/>
          <w:sz w:val="24"/>
          <w:szCs w:val="24"/>
        </w:rPr>
        <w:t>depicting</w:t>
      </w:r>
      <w:r w:rsidR="00EC646E">
        <w:rPr>
          <w:rFonts w:ascii="Georgia" w:hAnsi="Georgia"/>
          <w:sz w:val="24"/>
          <w:szCs w:val="24"/>
        </w:rPr>
        <w:t xml:space="preserve"> these women as exemplars of ideal femininity, Polwhele suggests that it is not enough for women to simply not be like Wollstonecraft and her followers, but they must also </w:t>
      </w:r>
      <w:r w:rsidR="00BC3B3C">
        <w:rPr>
          <w:rFonts w:ascii="Georgia" w:hAnsi="Georgia"/>
          <w:sz w:val="24"/>
          <w:szCs w:val="24"/>
        </w:rPr>
        <w:t xml:space="preserve">be careful to assume the admirable characteristics of such ladies as Hannah More. </w:t>
      </w:r>
      <w:r w:rsidR="004B3C9F">
        <w:rPr>
          <w:rFonts w:ascii="Georgia" w:hAnsi="Georgia"/>
          <w:sz w:val="24"/>
          <w:szCs w:val="24"/>
        </w:rPr>
        <w:t xml:space="preserve">This creates a false dichotomy in that a woman </w:t>
      </w:r>
      <w:r w:rsidR="005E3713">
        <w:rPr>
          <w:rFonts w:ascii="Georgia" w:hAnsi="Georgia"/>
          <w:sz w:val="24"/>
          <w:szCs w:val="24"/>
        </w:rPr>
        <w:t>must</w:t>
      </w:r>
      <w:r w:rsidR="004B3C9F">
        <w:rPr>
          <w:rFonts w:ascii="Georgia" w:hAnsi="Georgia"/>
          <w:sz w:val="24"/>
          <w:szCs w:val="24"/>
        </w:rPr>
        <w:t xml:space="preserve"> either pursue reason and equality and be condemned as an ‘unsex’d female’, or </w:t>
      </w:r>
      <w:r w:rsidR="00BF0612">
        <w:rPr>
          <w:rFonts w:ascii="Georgia" w:hAnsi="Georgia"/>
          <w:sz w:val="24"/>
          <w:szCs w:val="24"/>
        </w:rPr>
        <w:t xml:space="preserve">be a </w:t>
      </w:r>
      <w:r w:rsidR="00A05076">
        <w:rPr>
          <w:rFonts w:ascii="Georgia" w:hAnsi="Georgia"/>
          <w:sz w:val="24"/>
          <w:szCs w:val="24"/>
        </w:rPr>
        <w:t xml:space="preserve">completely </w:t>
      </w:r>
      <w:r w:rsidR="00BF0612">
        <w:rPr>
          <w:rFonts w:ascii="Georgia" w:hAnsi="Georgia"/>
          <w:sz w:val="24"/>
          <w:szCs w:val="24"/>
        </w:rPr>
        <w:t xml:space="preserve">good and pure woman and, in so doing, earn the approval of her culture. </w:t>
      </w:r>
      <w:r w:rsidR="0066052F">
        <w:rPr>
          <w:rFonts w:ascii="Georgia" w:hAnsi="Georgia"/>
          <w:sz w:val="24"/>
          <w:szCs w:val="24"/>
        </w:rPr>
        <w:t xml:space="preserve">Such drastic, restrictive attitudes towards women no doubt </w:t>
      </w:r>
      <w:r w:rsidR="0066052F">
        <w:rPr>
          <w:rFonts w:ascii="Georgia" w:hAnsi="Georgia"/>
          <w:sz w:val="24"/>
          <w:szCs w:val="24"/>
        </w:rPr>
        <w:lastRenderedPageBreak/>
        <w:t>played a large role in the difficulty for women to become acknowledged as rational beings on the same level as men in this era.</w:t>
      </w:r>
    </w:p>
    <w:p w14:paraId="08360B33" w14:textId="0AE4EE00" w:rsidR="00FA67B0" w:rsidRDefault="00231ADB"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830B53">
        <w:rPr>
          <w:rFonts w:ascii="Georgia" w:hAnsi="Georgia"/>
          <w:sz w:val="24"/>
          <w:szCs w:val="24"/>
        </w:rPr>
        <w:t xml:space="preserve">In the </w:t>
      </w:r>
      <w:r w:rsidR="00466E19">
        <w:rPr>
          <w:rFonts w:ascii="Georgia" w:hAnsi="Georgia"/>
          <w:sz w:val="24"/>
          <w:szCs w:val="24"/>
        </w:rPr>
        <w:t>poetry</w:t>
      </w:r>
      <w:r w:rsidR="00830B53">
        <w:rPr>
          <w:rFonts w:ascii="Georgia" w:hAnsi="Georgia"/>
          <w:sz w:val="24"/>
          <w:szCs w:val="24"/>
        </w:rPr>
        <w:t xml:space="preserve"> of Richard Polwhele, we can see the emergence of a new strain of cultural ideals about reason and sensibility. </w:t>
      </w:r>
      <w:r w:rsidR="00B121D1">
        <w:rPr>
          <w:rFonts w:ascii="Georgia" w:hAnsi="Georgia"/>
          <w:sz w:val="24"/>
          <w:szCs w:val="24"/>
        </w:rPr>
        <w:t>So far in this essay, the gender debates we have encountered have involved two topics: whether or not women are capable of reason in something approaching the way men are; and whether gender difference is created socially or biologically. Though the gender side of things is more controversial, the importance of reason here is something of a given</w:t>
      </w:r>
      <w:r w:rsidR="00830B53">
        <w:rPr>
          <w:rFonts w:ascii="Georgia" w:hAnsi="Georgia"/>
          <w:sz w:val="24"/>
          <w:szCs w:val="24"/>
        </w:rPr>
        <w:t xml:space="preserve"> – for men, at </w:t>
      </w:r>
      <w:r w:rsidR="00F10944">
        <w:rPr>
          <w:rFonts w:ascii="Georgia" w:hAnsi="Georgia"/>
          <w:sz w:val="24"/>
          <w:szCs w:val="24"/>
        </w:rPr>
        <w:t>l</w:t>
      </w:r>
      <w:r w:rsidR="00830B53">
        <w:rPr>
          <w:rFonts w:ascii="Georgia" w:hAnsi="Georgia"/>
          <w:sz w:val="24"/>
          <w:szCs w:val="24"/>
        </w:rPr>
        <w:t>east</w:t>
      </w:r>
      <w:r w:rsidR="00B121D1">
        <w:rPr>
          <w:rFonts w:ascii="Georgia" w:hAnsi="Georgia"/>
          <w:sz w:val="24"/>
          <w:szCs w:val="24"/>
        </w:rPr>
        <w:t>. However, around when Rousseau, Burke, and Wollstonecraft were putting their thoughts on the issue to paper, a movement that did not afford such a high place to reason was gathering steam and embedding itself in the culture. This movement was, of course, Romanticism.</w:t>
      </w:r>
      <w:r w:rsidR="00373D24">
        <w:rPr>
          <w:rFonts w:ascii="Georgia" w:hAnsi="Georgia"/>
          <w:sz w:val="24"/>
          <w:szCs w:val="24"/>
        </w:rPr>
        <w:t xml:space="preserve"> </w:t>
      </w:r>
    </w:p>
    <w:p w14:paraId="3DD1DEB7" w14:textId="3ED877F8" w:rsidR="00B87FBB" w:rsidRDefault="00FA67B0" w:rsidP="0018432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373D24">
        <w:rPr>
          <w:rFonts w:ascii="Georgia" w:hAnsi="Georgia"/>
          <w:sz w:val="24"/>
          <w:szCs w:val="24"/>
        </w:rPr>
        <w:t xml:space="preserve">Contrasting strongly with Enlightenment thinking, Romanticism prioritised emotion over reason. </w:t>
      </w:r>
      <w:r>
        <w:rPr>
          <w:rFonts w:ascii="Georgia" w:hAnsi="Georgia"/>
          <w:sz w:val="24"/>
          <w:szCs w:val="24"/>
        </w:rPr>
        <w:t xml:space="preserve"> The differences between the two movements are naturally far more complex than this simple statement, but when it comes to the discussion of reason, we could say that Romanticism frequently valued sensibility over sense. According to the </w:t>
      </w:r>
      <w:r w:rsidRPr="005E3713">
        <w:rPr>
          <w:rFonts w:ascii="Georgia" w:hAnsi="Georgia"/>
          <w:i/>
          <w:sz w:val="24"/>
          <w:szCs w:val="24"/>
        </w:rPr>
        <w:t>Oxford Dictionary of Phrase and Fable</w:t>
      </w:r>
      <w:r>
        <w:rPr>
          <w:rFonts w:ascii="Georgia" w:hAnsi="Georgia"/>
          <w:sz w:val="24"/>
          <w:szCs w:val="24"/>
        </w:rPr>
        <w:t>, Romanticism emphasised ‘</w:t>
      </w:r>
      <w:r w:rsidRPr="00FA67B0">
        <w:rPr>
          <w:rFonts w:ascii="Georgia" w:hAnsi="Georgia"/>
          <w:sz w:val="24"/>
          <w:szCs w:val="24"/>
        </w:rPr>
        <w:t>inspiration, subjectivity, and the primacy of the individual</w:t>
      </w:r>
      <w:r>
        <w:rPr>
          <w:rFonts w:ascii="Georgia" w:hAnsi="Georgia"/>
          <w:sz w:val="24"/>
          <w:szCs w:val="24"/>
        </w:rPr>
        <w:t>’ and was</w:t>
      </w:r>
      <w:r w:rsidRPr="00FA67B0">
        <w:rPr>
          <w:rFonts w:ascii="Georgia" w:hAnsi="Georgia"/>
          <w:sz w:val="24"/>
          <w:szCs w:val="24"/>
        </w:rPr>
        <w:t xml:space="preserve"> </w:t>
      </w:r>
      <w:r>
        <w:rPr>
          <w:rFonts w:ascii="Georgia" w:hAnsi="Georgia"/>
          <w:sz w:val="24"/>
          <w:szCs w:val="24"/>
        </w:rPr>
        <w:t>‘</w:t>
      </w:r>
      <w:r w:rsidRPr="00FA67B0">
        <w:rPr>
          <w:rFonts w:ascii="Georgia" w:hAnsi="Georgia"/>
          <w:sz w:val="24"/>
          <w:szCs w:val="24"/>
        </w:rPr>
        <w:t>a reaction against the order and restraint of classicism and neoclassicism, and a rejection of the rationalism which characterized the Enlightenment</w:t>
      </w:r>
      <w:r>
        <w:rPr>
          <w:rFonts w:ascii="Georgia" w:hAnsi="Georgia"/>
          <w:sz w:val="24"/>
          <w:szCs w:val="24"/>
        </w:rPr>
        <w:t>.’</w:t>
      </w:r>
      <w:r>
        <w:rPr>
          <w:rStyle w:val="FootnoteReference"/>
          <w:rFonts w:ascii="Georgia" w:hAnsi="Georgia"/>
          <w:sz w:val="24"/>
          <w:szCs w:val="24"/>
        </w:rPr>
        <w:footnoteReference w:id="11"/>
      </w:r>
    </w:p>
    <w:p w14:paraId="6316736A" w14:textId="069E0087" w:rsidR="00294167" w:rsidRDefault="00D91E40"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The division between Enlightenment and Romantic thinking </w:t>
      </w:r>
      <w:r w:rsidR="002C081F">
        <w:rPr>
          <w:rFonts w:ascii="Georgia" w:hAnsi="Georgia"/>
          <w:sz w:val="24"/>
          <w:szCs w:val="24"/>
        </w:rPr>
        <w:t>has a rather complex but fascinating interaction with gender politics of the time.</w:t>
      </w:r>
      <w:r w:rsidR="00B22986">
        <w:rPr>
          <w:rFonts w:ascii="Georgia" w:hAnsi="Georgia"/>
          <w:sz w:val="24"/>
          <w:szCs w:val="24"/>
        </w:rPr>
        <w:t xml:space="preserve"> </w:t>
      </w:r>
      <w:r w:rsidR="00CF56A8">
        <w:rPr>
          <w:rFonts w:ascii="Georgia" w:hAnsi="Georgia"/>
          <w:sz w:val="24"/>
          <w:szCs w:val="24"/>
        </w:rPr>
        <w:t xml:space="preserve">In many ways, the contrast between the two schools of thought is not unlike the binary opposition seen as </w:t>
      </w:r>
      <w:r w:rsidR="00CF56A8">
        <w:rPr>
          <w:rFonts w:ascii="Georgia" w:hAnsi="Georgia"/>
          <w:sz w:val="24"/>
          <w:szCs w:val="24"/>
        </w:rPr>
        <w:lastRenderedPageBreak/>
        <w:t xml:space="preserve">existing between male and female qualities at the time. </w:t>
      </w:r>
      <w:r w:rsidR="00294167">
        <w:rPr>
          <w:rFonts w:ascii="Georgia" w:hAnsi="Georgia"/>
          <w:sz w:val="24"/>
          <w:szCs w:val="24"/>
        </w:rPr>
        <w:t xml:space="preserve">Herta Nagl-Docekal explains the gender-based division very well in her article ‘The Feminist Critique of Reason Revisited’: </w:t>
      </w:r>
    </w:p>
    <w:p w14:paraId="117F2888" w14:textId="774F5CFE" w:rsidR="00D91E40" w:rsidRDefault="00294167" w:rsidP="00294167">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t>‘</w:t>
      </w:r>
      <w:r w:rsidRPr="00294167">
        <w:rPr>
          <w:rFonts w:ascii="Georgia" w:hAnsi="Georgia"/>
          <w:sz w:val="24"/>
          <w:szCs w:val="24"/>
        </w:rPr>
        <w:t>The traditional</w:t>
      </w:r>
      <w:r>
        <w:rPr>
          <w:rFonts w:ascii="Georgia" w:hAnsi="Georgia"/>
          <w:sz w:val="24"/>
          <w:szCs w:val="24"/>
        </w:rPr>
        <w:t xml:space="preserve"> </w:t>
      </w:r>
      <w:r w:rsidRPr="00294167">
        <w:rPr>
          <w:rFonts w:ascii="Georgia" w:hAnsi="Georgia"/>
          <w:sz w:val="24"/>
          <w:szCs w:val="24"/>
        </w:rPr>
        <w:t>image of gender difference characteristic of Western culture ascribes</w:t>
      </w:r>
      <w:r>
        <w:rPr>
          <w:rFonts w:ascii="Georgia" w:hAnsi="Georgia"/>
          <w:sz w:val="24"/>
          <w:szCs w:val="24"/>
        </w:rPr>
        <w:t xml:space="preserve"> </w:t>
      </w:r>
      <w:r w:rsidRPr="00294167">
        <w:rPr>
          <w:rFonts w:ascii="Georgia" w:hAnsi="Georgia"/>
          <w:sz w:val="24"/>
          <w:szCs w:val="24"/>
        </w:rPr>
        <w:t>reason to men and emotion to women. We see this expressed in the way abstract</w:t>
      </w:r>
      <w:r>
        <w:rPr>
          <w:rFonts w:ascii="Georgia" w:hAnsi="Georgia"/>
          <w:sz w:val="24"/>
          <w:szCs w:val="24"/>
        </w:rPr>
        <w:t xml:space="preserve"> </w:t>
      </w:r>
      <w:r w:rsidRPr="00294167">
        <w:rPr>
          <w:rFonts w:ascii="Georgia" w:hAnsi="Georgia"/>
          <w:sz w:val="24"/>
          <w:szCs w:val="24"/>
        </w:rPr>
        <w:t>thought, objective judgment, and an orientation to general principles</w:t>
      </w:r>
      <w:r>
        <w:rPr>
          <w:rFonts w:ascii="Georgia" w:hAnsi="Georgia"/>
          <w:sz w:val="24"/>
          <w:szCs w:val="24"/>
        </w:rPr>
        <w:t xml:space="preserve"> </w:t>
      </w:r>
      <w:r w:rsidRPr="00294167">
        <w:rPr>
          <w:rFonts w:ascii="Georgia" w:hAnsi="Georgia"/>
          <w:sz w:val="24"/>
          <w:szCs w:val="24"/>
        </w:rPr>
        <w:t>are seen as masculine character traits, while subjectivity, spontaneity, and an</w:t>
      </w:r>
      <w:r>
        <w:rPr>
          <w:rFonts w:ascii="Georgia" w:hAnsi="Georgia"/>
          <w:sz w:val="24"/>
          <w:szCs w:val="24"/>
        </w:rPr>
        <w:t xml:space="preserve"> </w:t>
      </w:r>
      <w:r w:rsidRPr="00294167">
        <w:rPr>
          <w:rFonts w:ascii="Georgia" w:hAnsi="Georgia"/>
          <w:sz w:val="24"/>
          <w:szCs w:val="24"/>
        </w:rPr>
        <w:t>orientation to the concrete and particular are seen as typically feminine character</w:t>
      </w:r>
      <w:r>
        <w:rPr>
          <w:rFonts w:ascii="Georgia" w:hAnsi="Georgia"/>
          <w:sz w:val="24"/>
          <w:szCs w:val="24"/>
        </w:rPr>
        <w:t xml:space="preserve"> </w:t>
      </w:r>
      <w:r w:rsidRPr="00294167">
        <w:rPr>
          <w:rFonts w:ascii="Georgia" w:hAnsi="Georgia"/>
          <w:sz w:val="24"/>
          <w:szCs w:val="24"/>
        </w:rPr>
        <w:t>traits.</w:t>
      </w:r>
      <w:r>
        <w:rPr>
          <w:rFonts w:ascii="Georgia" w:hAnsi="Georgia"/>
          <w:sz w:val="24"/>
          <w:szCs w:val="24"/>
        </w:rPr>
        <w:t>’</w:t>
      </w:r>
      <w:r w:rsidR="004C555C">
        <w:rPr>
          <w:rStyle w:val="FootnoteReference"/>
          <w:rFonts w:ascii="Georgia" w:hAnsi="Georgia"/>
          <w:sz w:val="24"/>
          <w:szCs w:val="24"/>
        </w:rPr>
        <w:footnoteReference w:id="12"/>
      </w:r>
    </w:p>
    <w:p w14:paraId="3904F59E" w14:textId="77777777" w:rsidR="00294167" w:rsidRDefault="00294167" w:rsidP="00294167">
      <w:pPr>
        <w:shd w:val="clear" w:color="auto" w:fill="FFFFFF"/>
        <w:tabs>
          <w:tab w:val="left" w:pos="1080"/>
        </w:tabs>
        <w:spacing w:after="0" w:line="480" w:lineRule="auto"/>
        <w:jc w:val="both"/>
        <w:rPr>
          <w:rFonts w:ascii="Georgia" w:hAnsi="Georgia"/>
          <w:sz w:val="24"/>
          <w:szCs w:val="24"/>
        </w:rPr>
      </w:pPr>
    </w:p>
    <w:p w14:paraId="01D0F222" w14:textId="2D6FF717" w:rsidR="004B6BEC" w:rsidRDefault="00294167"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The descriptions given here of masculine and feminine traits could easily be transferred, with very little changes, to the Enlightenment and Romantic movements, respectively. So if the Enlightenment is male where Romanticism is female, does it follow that the latter is matriarchal where the former was patriarchal? The answer, unfortunately, is no. The Romantic movement’s relationship to gender (and women specifically) is far more complicated than that. </w:t>
      </w:r>
      <w:r w:rsidR="004B6BEC">
        <w:rPr>
          <w:rFonts w:ascii="Georgia" w:hAnsi="Georgia"/>
          <w:sz w:val="24"/>
          <w:szCs w:val="24"/>
        </w:rPr>
        <w:t xml:space="preserve">We can take the poet William Wordsworth as an example. Wordsworth was such an important figure in the Romantic movement that today he is seen as almost synonymous with it, and indeed he </w:t>
      </w:r>
      <w:r w:rsidR="0010739F">
        <w:rPr>
          <w:rFonts w:ascii="Georgia" w:hAnsi="Georgia"/>
          <w:sz w:val="24"/>
          <w:szCs w:val="24"/>
        </w:rPr>
        <w:t>personified</w:t>
      </w:r>
      <w:r w:rsidR="004B6BEC">
        <w:rPr>
          <w:rFonts w:ascii="Georgia" w:hAnsi="Georgia"/>
          <w:sz w:val="24"/>
          <w:szCs w:val="24"/>
        </w:rPr>
        <w:t xml:space="preserve"> many of its key features: imagination, emotion, and self-expression. Yet his friend and fellow Romantic Samuel Taylor Coleridge insisted that Wordsworth had ‘the least femin</w:t>
      </w:r>
      <w:r w:rsidR="00625C79">
        <w:rPr>
          <w:rFonts w:ascii="Georgia" w:hAnsi="Georgia"/>
          <w:sz w:val="24"/>
          <w:szCs w:val="24"/>
        </w:rPr>
        <w:t>e</w:t>
      </w:r>
      <w:r w:rsidR="004B6BEC">
        <w:rPr>
          <w:rFonts w:ascii="Georgia" w:hAnsi="Georgia"/>
          <w:sz w:val="24"/>
          <w:szCs w:val="24"/>
        </w:rPr>
        <w:t>ity</w:t>
      </w:r>
      <w:r w:rsidR="00625C79">
        <w:rPr>
          <w:rFonts w:ascii="Georgia" w:hAnsi="Georgia"/>
          <w:sz w:val="24"/>
          <w:szCs w:val="24"/>
        </w:rPr>
        <w:t xml:space="preserve"> [sic]</w:t>
      </w:r>
      <w:r w:rsidR="004B6BEC">
        <w:rPr>
          <w:rFonts w:ascii="Georgia" w:hAnsi="Georgia"/>
          <w:sz w:val="24"/>
          <w:szCs w:val="24"/>
        </w:rPr>
        <w:t xml:space="preserve"> in his mind. He is </w:t>
      </w:r>
      <w:r w:rsidR="004B6BEC" w:rsidRPr="00625C79">
        <w:rPr>
          <w:rFonts w:ascii="Georgia" w:hAnsi="Georgia"/>
          <w:i/>
          <w:sz w:val="24"/>
          <w:szCs w:val="24"/>
        </w:rPr>
        <w:t>all</w:t>
      </w:r>
      <w:r w:rsidR="004B6BEC">
        <w:rPr>
          <w:rFonts w:ascii="Georgia" w:hAnsi="Georgia"/>
          <w:sz w:val="24"/>
          <w:szCs w:val="24"/>
        </w:rPr>
        <w:t xml:space="preserve"> man.’</w:t>
      </w:r>
      <w:r w:rsidR="004B6BEC">
        <w:rPr>
          <w:rStyle w:val="FootnoteReference"/>
          <w:rFonts w:ascii="Georgia" w:hAnsi="Georgia"/>
          <w:sz w:val="24"/>
          <w:szCs w:val="24"/>
        </w:rPr>
        <w:footnoteReference w:id="13"/>
      </w:r>
      <w:r w:rsidR="005A65EA">
        <w:rPr>
          <w:rFonts w:ascii="Georgia" w:hAnsi="Georgia"/>
          <w:sz w:val="24"/>
          <w:szCs w:val="24"/>
        </w:rPr>
        <w:t xml:space="preserve"> This can seem incredibly strange to the modern eye. Coleridge is defining Wordsworth as totally masculine when many of the traits which </w:t>
      </w:r>
      <w:r w:rsidR="00784F36">
        <w:rPr>
          <w:rFonts w:ascii="Georgia" w:hAnsi="Georgia"/>
          <w:sz w:val="24"/>
          <w:szCs w:val="24"/>
        </w:rPr>
        <w:t>characterised</w:t>
      </w:r>
      <w:r w:rsidR="005A65EA">
        <w:rPr>
          <w:rFonts w:ascii="Georgia" w:hAnsi="Georgia"/>
          <w:sz w:val="24"/>
          <w:szCs w:val="24"/>
        </w:rPr>
        <w:t xml:space="preserve"> his work and his artistic movement are traditionally feminine. It is possible that Coleridge is referring to an aspect of Wordsworth’s character not obvious to the average reader, but </w:t>
      </w:r>
      <w:r w:rsidR="005A65EA">
        <w:rPr>
          <w:rFonts w:ascii="Georgia" w:hAnsi="Georgia"/>
          <w:sz w:val="24"/>
          <w:szCs w:val="24"/>
        </w:rPr>
        <w:lastRenderedPageBreak/>
        <w:t>there is another explanation that takes into account the gender politics of the Romantic movement.</w:t>
      </w:r>
    </w:p>
    <w:p w14:paraId="241277F7" w14:textId="080A3187" w:rsidR="005A65EA" w:rsidRDefault="005A65EA"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It could be said that rather than defining itself as feminine, the Romantic movement took these stereotypically feminine traits and appropriated them to form a sort of new masculinity. </w:t>
      </w:r>
      <w:r w:rsidR="009214BA">
        <w:rPr>
          <w:rFonts w:ascii="Georgia" w:hAnsi="Georgia"/>
          <w:sz w:val="24"/>
          <w:szCs w:val="24"/>
        </w:rPr>
        <w:t xml:space="preserve">If the ideal man of the time was indeed the sort of sensitive soul that Wordsworth appears to be in his poetry, then he could be defined as being obviously masculine. </w:t>
      </w:r>
      <w:r w:rsidR="00893838">
        <w:rPr>
          <w:rFonts w:ascii="Georgia" w:hAnsi="Georgia"/>
          <w:sz w:val="24"/>
          <w:szCs w:val="24"/>
        </w:rPr>
        <w:t>Thus,</w:t>
      </w:r>
      <w:r w:rsidR="00BA6C71">
        <w:rPr>
          <w:rFonts w:ascii="Georgia" w:hAnsi="Georgia"/>
          <w:sz w:val="24"/>
          <w:szCs w:val="24"/>
        </w:rPr>
        <w:t xml:space="preserve"> what at first appeared to be a movement that was more woman-friendly becomes a vehicle for another type of sexism, one that is perhaps </w:t>
      </w:r>
      <w:r w:rsidR="00893838">
        <w:rPr>
          <w:rFonts w:ascii="Georgia" w:hAnsi="Georgia"/>
          <w:sz w:val="24"/>
          <w:szCs w:val="24"/>
        </w:rPr>
        <w:t>subtler</w:t>
      </w:r>
      <w:r w:rsidR="0024590E">
        <w:rPr>
          <w:rFonts w:ascii="Georgia" w:hAnsi="Georgia"/>
          <w:sz w:val="24"/>
          <w:szCs w:val="24"/>
        </w:rPr>
        <w:t xml:space="preserve"> </w:t>
      </w:r>
      <w:r w:rsidR="00BA6C71">
        <w:rPr>
          <w:rFonts w:ascii="Georgia" w:hAnsi="Georgia"/>
          <w:sz w:val="24"/>
          <w:szCs w:val="24"/>
        </w:rPr>
        <w:t>tha</w:t>
      </w:r>
      <w:r w:rsidR="0024590E">
        <w:rPr>
          <w:rFonts w:ascii="Georgia" w:hAnsi="Georgia"/>
          <w:sz w:val="24"/>
          <w:szCs w:val="24"/>
        </w:rPr>
        <w:t>n</w:t>
      </w:r>
      <w:r w:rsidR="00BA6C71">
        <w:rPr>
          <w:rFonts w:ascii="Georgia" w:hAnsi="Georgia"/>
          <w:sz w:val="24"/>
          <w:szCs w:val="24"/>
        </w:rPr>
        <w:t xml:space="preserve"> the Enlightenment’s.</w:t>
      </w:r>
      <w:r w:rsidR="000A1F55">
        <w:rPr>
          <w:rFonts w:ascii="Georgia" w:hAnsi="Georgia"/>
          <w:sz w:val="24"/>
          <w:szCs w:val="24"/>
        </w:rPr>
        <w:t xml:space="preserve"> Upon realising that the traits they most valued were traditionally the preserve of women, the response of male Romantics was not to elevate women or to re-evaluate their unconscious gender bias, but to take said qualities and remove the feminine association from it entirely. </w:t>
      </w:r>
      <w:r w:rsidR="00EA15D4">
        <w:rPr>
          <w:rFonts w:ascii="Georgia" w:hAnsi="Georgia"/>
          <w:sz w:val="24"/>
          <w:szCs w:val="24"/>
        </w:rPr>
        <w:t>Ann. K. Mellor referred to the Romantic’s particular variety of gender discrimination as ‘a sexism of a most seductive and insidious kind’.</w:t>
      </w:r>
      <w:r w:rsidR="00EA15D4">
        <w:rPr>
          <w:rStyle w:val="FootnoteReference"/>
          <w:rFonts w:ascii="Georgia" w:hAnsi="Georgia"/>
          <w:sz w:val="24"/>
          <w:szCs w:val="24"/>
        </w:rPr>
        <w:footnoteReference w:id="14"/>
      </w:r>
      <w:r w:rsidR="00987672">
        <w:rPr>
          <w:rFonts w:ascii="Georgia" w:hAnsi="Georgia"/>
          <w:sz w:val="24"/>
          <w:szCs w:val="24"/>
        </w:rPr>
        <w:t xml:space="preserve"> Further elaborating on this strange relationship male Romantics had to women and misogyny, Mellor writes:</w:t>
      </w:r>
    </w:p>
    <w:p w14:paraId="57D422EC" w14:textId="27A025F5" w:rsidR="00987672" w:rsidRDefault="00987672" w:rsidP="00B119F0">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t>‘When we focus on the role that gender plays in masculine Romanticism, we often see the poet appropriating whatever of the feminine he deems valuable and then consigning the rest either to silence or to the category of evil. The female […] becomes whatever the male poet does not wish to be.’</w:t>
      </w:r>
      <w:r w:rsidR="007B1B06">
        <w:rPr>
          <w:rStyle w:val="FootnoteReference"/>
          <w:rFonts w:ascii="Georgia" w:hAnsi="Georgia"/>
          <w:sz w:val="24"/>
          <w:szCs w:val="24"/>
        </w:rPr>
        <w:footnoteReference w:id="15"/>
      </w:r>
    </w:p>
    <w:p w14:paraId="45DCDFAD" w14:textId="77777777" w:rsidR="00B119F0" w:rsidRDefault="00B119F0" w:rsidP="00B119F0">
      <w:pPr>
        <w:shd w:val="clear" w:color="auto" w:fill="FFFFFF"/>
        <w:tabs>
          <w:tab w:val="left" w:pos="1080"/>
        </w:tabs>
        <w:spacing w:after="0" w:line="240" w:lineRule="auto"/>
        <w:jc w:val="both"/>
        <w:rPr>
          <w:rFonts w:ascii="Georgia" w:hAnsi="Georgia"/>
          <w:sz w:val="24"/>
          <w:szCs w:val="24"/>
        </w:rPr>
      </w:pPr>
    </w:p>
    <w:p w14:paraId="15861EC9" w14:textId="42950A1C" w:rsidR="005E53F9" w:rsidRDefault="00C33C6D"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The male Romantic attitude towards women can be summed up as a kind of appropriation of femininity. Like the modern</w:t>
      </w:r>
      <w:r w:rsidR="00E028A4">
        <w:rPr>
          <w:rFonts w:ascii="Georgia" w:hAnsi="Georgia"/>
          <w:sz w:val="24"/>
          <w:szCs w:val="24"/>
        </w:rPr>
        <w:t>-</w:t>
      </w:r>
      <w:r>
        <w:rPr>
          <w:rFonts w:ascii="Georgia" w:hAnsi="Georgia"/>
          <w:sz w:val="24"/>
          <w:szCs w:val="24"/>
        </w:rPr>
        <w:t>day cases of cultural appropriation, the Romantics’ version also involves taking whichever parts of a group which they wish to emulate, divorcing it from its original context, and then condemning the remains.</w:t>
      </w:r>
      <w:r w:rsidR="00220E81">
        <w:rPr>
          <w:rFonts w:ascii="Georgia" w:hAnsi="Georgia"/>
          <w:sz w:val="24"/>
          <w:szCs w:val="24"/>
        </w:rPr>
        <w:t xml:space="preserve"> </w:t>
      </w:r>
      <w:r w:rsidR="005E53F9">
        <w:rPr>
          <w:rFonts w:ascii="Georgia" w:hAnsi="Georgia"/>
          <w:sz w:val="24"/>
          <w:szCs w:val="24"/>
        </w:rPr>
        <w:t xml:space="preserve">What we have here then is a bizarre reversal of the Enlightenment attitudes towards women </w:t>
      </w:r>
      <w:r w:rsidR="005E53F9">
        <w:rPr>
          <w:rFonts w:ascii="Georgia" w:hAnsi="Georgia"/>
          <w:sz w:val="24"/>
          <w:szCs w:val="24"/>
        </w:rPr>
        <w:lastRenderedPageBreak/>
        <w:t xml:space="preserve">and reason. Whereas the Enlightenment valued reason and said that women did not possess it, Romanticism values the opposite and says that women do not have those qualities either. </w:t>
      </w:r>
    </w:p>
    <w:p w14:paraId="7D068AFA" w14:textId="322D9433" w:rsidR="00220E81" w:rsidRDefault="00220E81"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However, it should be noted that male Romantics were not without their critics. Perhaps as a leftover from the Enlightenment period, or perhaps </w:t>
      </w:r>
      <w:r w:rsidR="00870B74">
        <w:rPr>
          <w:rFonts w:ascii="Georgia" w:hAnsi="Georgia"/>
          <w:sz w:val="24"/>
          <w:szCs w:val="24"/>
        </w:rPr>
        <w:t>simply being the product of a combination of misogyny and a sense of masculinity’s fragility, there remained a sense that men who embodied Romantic ideals were not as manly as they should be.</w:t>
      </w:r>
      <w:r w:rsidR="00126F76">
        <w:rPr>
          <w:rFonts w:ascii="Georgia" w:hAnsi="Georgia"/>
          <w:sz w:val="24"/>
          <w:szCs w:val="24"/>
        </w:rPr>
        <w:t xml:space="preserve"> While the French Revolution was feared by some for its apparent encouragement of feminism and reason in women, the aristocracy which it oppose</w:t>
      </w:r>
      <w:r w:rsidR="00E028A4">
        <w:rPr>
          <w:rFonts w:ascii="Georgia" w:hAnsi="Georgia"/>
          <w:sz w:val="24"/>
          <w:szCs w:val="24"/>
        </w:rPr>
        <w:t xml:space="preserve">d </w:t>
      </w:r>
      <w:r w:rsidR="00126F76">
        <w:rPr>
          <w:rFonts w:ascii="Georgia" w:hAnsi="Georgia"/>
          <w:sz w:val="24"/>
          <w:szCs w:val="24"/>
        </w:rPr>
        <w:t xml:space="preserve">were demonised by others as undermining gender roles – not just in France, but also in Britain. </w:t>
      </w:r>
      <w:r w:rsidR="003F656A">
        <w:rPr>
          <w:rFonts w:ascii="Georgia" w:hAnsi="Georgia"/>
          <w:sz w:val="24"/>
          <w:szCs w:val="24"/>
        </w:rPr>
        <w:t xml:space="preserve">Aristocratic men were effeminate and feeble, while the women were dangerously licentious. </w:t>
      </w:r>
      <w:r w:rsidR="0095413A">
        <w:rPr>
          <w:rFonts w:ascii="Georgia" w:hAnsi="Georgia"/>
          <w:sz w:val="24"/>
          <w:szCs w:val="24"/>
        </w:rPr>
        <w:t xml:space="preserve">On the one hand, there were men like Edmund Burke, who venerated the concept of chivalry and wept for the murder of the ideally feminine queen Marie Antoinette; yet Burke himself was seen as overly sentimental and derided for his </w:t>
      </w:r>
      <w:r w:rsidR="00476D9E">
        <w:rPr>
          <w:rFonts w:ascii="Georgia" w:hAnsi="Georgia"/>
          <w:sz w:val="24"/>
          <w:szCs w:val="24"/>
        </w:rPr>
        <w:t xml:space="preserve">visible weakness. </w:t>
      </w:r>
      <w:r w:rsidR="00893A74">
        <w:rPr>
          <w:rFonts w:ascii="Georgia" w:hAnsi="Georgia"/>
          <w:sz w:val="24"/>
          <w:szCs w:val="24"/>
        </w:rPr>
        <w:t>The Tories at the time were also disdainful of the Romantic ‘man of sensibility’</w:t>
      </w:r>
      <w:r w:rsidR="00B26FBD">
        <w:rPr>
          <w:rFonts w:ascii="Georgia" w:hAnsi="Georgia"/>
          <w:sz w:val="24"/>
          <w:szCs w:val="24"/>
        </w:rPr>
        <w:t>, whose girlishness was threatening to conservative structures of gender.</w:t>
      </w:r>
      <w:r w:rsidR="00A210FD">
        <w:rPr>
          <w:rStyle w:val="FootnoteReference"/>
          <w:rFonts w:ascii="Georgia" w:hAnsi="Georgia"/>
          <w:sz w:val="24"/>
          <w:szCs w:val="24"/>
        </w:rPr>
        <w:footnoteReference w:id="16"/>
      </w:r>
      <w:r w:rsidR="00B26FBD">
        <w:rPr>
          <w:rFonts w:ascii="Georgia" w:hAnsi="Georgia"/>
          <w:sz w:val="24"/>
          <w:szCs w:val="24"/>
        </w:rPr>
        <w:t xml:space="preserve"> </w:t>
      </w:r>
    </w:p>
    <w:p w14:paraId="02632C6E" w14:textId="6F0EBBFD" w:rsidR="006D02B6" w:rsidRDefault="00D06E9B"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Given the ambivalence of the dominant culture when it came to male sensibility, it is not surprising that Romantic men often </w:t>
      </w:r>
      <w:r w:rsidR="006D02B6">
        <w:rPr>
          <w:rFonts w:ascii="Georgia" w:hAnsi="Georgia"/>
          <w:sz w:val="24"/>
          <w:szCs w:val="24"/>
        </w:rPr>
        <w:t xml:space="preserve">demonstrated anxiety over gender. </w:t>
      </w:r>
      <w:r w:rsidR="00E028A4">
        <w:rPr>
          <w:rFonts w:ascii="Georgia" w:hAnsi="Georgia"/>
          <w:sz w:val="24"/>
          <w:szCs w:val="24"/>
        </w:rPr>
        <w:t>M</w:t>
      </w:r>
      <w:r w:rsidR="006D02B6">
        <w:rPr>
          <w:rFonts w:ascii="Georgia" w:hAnsi="Georgia"/>
          <w:sz w:val="24"/>
          <w:szCs w:val="24"/>
        </w:rPr>
        <w:t xml:space="preserve">ale Romantic writers were </w:t>
      </w:r>
      <w:r w:rsidR="00E028A4">
        <w:rPr>
          <w:rFonts w:ascii="Georgia" w:hAnsi="Georgia"/>
          <w:sz w:val="24"/>
          <w:szCs w:val="24"/>
        </w:rPr>
        <w:t xml:space="preserve">usually </w:t>
      </w:r>
      <w:r w:rsidR="006D02B6">
        <w:rPr>
          <w:rFonts w:ascii="Georgia" w:hAnsi="Georgia"/>
          <w:sz w:val="24"/>
          <w:szCs w:val="24"/>
        </w:rPr>
        <w:t xml:space="preserve">keen to defend their masculinity, as the previously mentioned quote from Coleridge referring to Wordsworth as ‘all man’ suggests. In the preface to his Lyrical Ballads, Wordsworth discussed the definition of a poet: </w:t>
      </w:r>
    </w:p>
    <w:p w14:paraId="319C581F" w14:textId="75557357" w:rsidR="00D06E9B" w:rsidRDefault="006D02B6" w:rsidP="006D02B6">
      <w:pPr>
        <w:shd w:val="clear" w:color="auto" w:fill="FFFFFF"/>
        <w:tabs>
          <w:tab w:val="left" w:pos="1080"/>
        </w:tabs>
        <w:spacing w:after="0" w:line="240" w:lineRule="auto"/>
        <w:jc w:val="both"/>
        <w:rPr>
          <w:rFonts w:ascii="Georgia" w:hAnsi="Georgia"/>
          <w:sz w:val="24"/>
          <w:szCs w:val="24"/>
        </w:rPr>
      </w:pPr>
      <w:r>
        <w:rPr>
          <w:rFonts w:ascii="Georgia" w:hAnsi="Georgia"/>
          <w:sz w:val="24"/>
          <w:szCs w:val="24"/>
        </w:rPr>
        <w:lastRenderedPageBreak/>
        <w:t>‘</w:t>
      </w:r>
      <w:r w:rsidRPr="006D02B6">
        <w:rPr>
          <w:rFonts w:ascii="Georgia" w:hAnsi="Georgia"/>
          <w:sz w:val="24"/>
          <w:szCs w:val="24"/>
        </w:rPr>
        <w:t xml:space="preserve">What is a Poet? to whom does he address himself? </w:t>
      </w:r>
      <w:r>
        <w:rPr>
          <w:rFonts w:ascii="Georgia" w:hAnsi="Georgia"/>
          <w:sz w:val="24"/>
          <w:szCs w:val="24"/>
        </w:rPr>
        <w:t xml:space="preserve">[…] </w:t>
      </w:r>
      <w:r w:rsidRPr="006D02B6">
        <w:rPr>
          <w:rFonts w:ascii="Georgia" w:hAnsi="Georgia"/>
          <w:sz w:val="24"/>
          <w:szCs w:val="24"/>
        </w:rPr>
        <w:t>He is a man speaking to men: a man, it is true, endowed with more lively sensibility, more enthusiasm and tenderness, who has a greater knowledge of human nature, and a more comprehensive soul, than are supposed to be common among mankind</w:t>
      </w:r>
      <w:r>
        <w:rPr>
          <w:rFonts w:ascii="Georgia" w:hAnsi="Georgia"/>
          <w:sz w:val="24"/>
          <w:szCs w:val="24"/>
        </w:rPr>
        <w:t>’</w:t>
      </w:r>
      <w:r w:rsidR="002C677E">
        <w:rPr>
          <w:rStyle w:val="FootnoteReference"/>
          <w:rFonts w:ascii="Georgia" w:hAnsi="Georgia"/>
          <w:sz w:val="24"/>
          <w:szCs w:val="24"/>
        </w:rPr>
        <w:footnoteReference w:id="17"/>
      </w:r>
    </w:p>
    <w:p w14:paraId="3A34FA42" w14:textId="77777777" w:rsidR="006D02B6" w:rsidRDefault="006D02B6" w:rsidP="006D02B6">
      <w:pPr>
        <w:shd w:val="clear" w:color="auto" w:fill="FFFFFF"/>
        <w:tabs>
          <w:tab w:val="left" w:pos="1080"/>
        </w:tabs>
        <w:spacing w:after="0" w:line="240" w:lineRule="auto"/>
        <w:jc w:val="both"/>
        <w:rPr>
          <w:rFonts w:ascii="Georgia" w:hAnsi="Georgia"/>
          <w:sz w:val="24"/>
          <w:szCs w:val="24"/>
        </w:rPr>
      </w:pPr>
    </w:p>
    <w:p w14:paraId="1FE9D081" w14:textId="57BAD90B" w:rsidR="006D02B6" w:rsidRDefault="006D02B6"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 xml:space="preserve">This use of the term ‘man’ and ‘mankind’ could possibly be meant in the gender-neutral sense, </w:t>
      </w:r>
      <w:r w:rsidR="00247128">
        <w:rPr>
          <w:rFonts w:ascii="Georgia" w:hAnsi="Georgia"/>
          <w:sz w:val="24"/>
          <w:szCs w:val="24"/>
        </w:rPr>
        <w:t xml:space="preserve">but his emphasis on the poet’s superiority in the areas of sensibility and tenderness would suggest that Wordsworth is either excluding or dismissing women from the contest. </w:t>
      </w:r>
      <w:r w:rsidR="003805FA">
        <w:rPr>
          <w:rFonts w:ascii="Georgia" w:hAnsi="Georgia"/>
          <w:sz w:val="24"/>
          <w:szCs w:val="24"/>
        </w:rPr>
        <w:t xml:space="preserve">To include women in the competition of most emotionally expressive person, Wordsworth would either have to concede their traditional superiority in this area, or to enter into a debate about gender politics that he was most likely not aiming to address. </w:t>
      </w:r>
      <w:r w:rsidR="00193D27">
        <w:rPr>
          <w:rFonts w:ascii="Georgia" w:hAnsi="Georgia"/>
          <w:sz w:val="24"/>
          <w:szCs w:val="24"/>
        </w:rPr>
        <w:t xml:space="preserve">However, Wordsworth was not altogether ignorant of women’s ability to </w:t>
      </w:r>
      <w:r w:rsidR="00A93F49">
        <w:rPr>
          <w:rFonts w:ascii="Georgia" w:hAnsi="Georgia"/>
          <w:sz w:val="24"/>
          <w:szCs w:val="24"/>
        </w:rPr>
        <w:t>excel in his field</w:t>
      </w:r>
      <w:r w:rsidR="00193D27">
        <w:rPr>
          <w:rFonts w:ascii="Georgia" w:hAnsi="Georgia"/>
          <w:sz w:val="24"/>
          <w:szCs w:val="24"/>
        </w:rPr>
        <w:t>.</w:t>
      </w:r>
      <w:r w:rsidR="00526C50">
        <w:rPr>
          <w:rFonts w:ascii="Georgia" w:hAnsi="Georgia"/>
          <w:sz w:val="24"/>
          <w:szCs w:val="24"/>
        </w:rPr>
        <w:t xml:space="preserve"> </w:t>
      </w:r>
      <w:r w:rsidR="00F76BD4">
        <w:rPr>
          <w:rFonts w:ascii="Georgia" w:hAnsi="Georgia"/>
          <w:sz w:val="24"/>
          <w:szCs w:val="24"/>
        </w:rPr>
        <w:t>For instance, h</w:t>
      </w:r>
      <w:r w:rsidR="00526C50">
        <w:rPr>
          <w:rFonts w:ascii="Georgia" w:hAnsi="Georgia"/>
          <w:sz w:val="24"/>
          <w:szCs w:val="24"/>
        </w:rPr>
        <w:t xml:space="preserve">e was a great admirer of the female Romantic poet </w:t>
      </w:r>
      <w:r w:rsidR="00A93F49">
        <w:rPr>
          <w:rFonts w:ascii="Georgia" w:hAnsi="Georgia"/>
          <w:sz w:val="24"/>
          <w:szCs w:val="24"/>
        </w:rPr>
        <w:t>Charlotte Smith and was influenced by the writings of Helen Mari</w:t>
      </w:r>
      <w:r w:rsidR="00523C74">
        <w:rPr>
          <w:rFonts w:ascii="Georgia" w:hAnsi="Georgia"/>
          <w:sz w:val="24"/>
          <w:szCs w:val="24"/>
        </w:rPr>
        <w:t>a</w:t>
      </w:r>
      <w:r w:rsidR="00A93F49">
        <w:rPr>
          <w:rFonts w:ascii="Georgia" w:hAnsi="Georgia"/>
          <w:sz w:val="24"/>
          <w:szCs w:val="24"/>
        </w:rPr>
        <w:t xml:space="preserve"> Williams.</w:t>
      </w:r>
      <w:r w:rsidR="00A93F49">
        <w:rPr>
          <w:rStyle w:val="FootnoteReference"/>
          <w:rFonts w:ascii="Georgia" w:hAnsi="Georgia"/>
          <w:sz w:val="24"/>
          <w:szCs w:val="24"/>
        </w:rPr>
        <w:footnoteReference w:id="18"/>
      </w:r>
      <w:r w:rsidR="00A93F49">
        <w:rPr>
          <w:rStyle w:val="FootnoteReference"/>
          <w:rFonts w:ascii="Georgia" w:hAnsi="Georgia"/>
          <w:sz w:val="24"/>
          <w:szCs w:val="24"/>
        </w:rPr>
        <w:footnoteReference w:id="19"/>
      </w:r>
    </w:p>
    <w:p w14:paraId="362553A3" w14:textId="3BAC3CED" w:rsidR="00B57070" w:rsidRDefault="00B57070"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Samuel Taylor Coleridge also, for all his apparent criticism of Wordsworth’s overpowering masculinity, experienced anxiety over his own gender conformity</w:t>
      </w:r>
      <w:r w:rsidR="00E028A4">
        <w:rPr>
          <w:rFonts w:ascii="Georgia" w:hAnsi="Georgia"/>
          <w:sz w:val="24"/>
          <w:szCs w:val="24"/>
        </w:rPr>
        <w:t xml:space="preserve"> (or lack thereof)</w:t>
      </w:r>
      <w:r>
        <w:rPr>
          <w:rFonts w:ascii="Georgia" w:hAnsi="Georgia"/>
          <w:sz w:val="24"/>
          <w:szCs w:val="24"/>
        </w:rPr>
        <w:t xml:space="preserve">. </w:t>
      </w:r>
      <w:r w:rsidR="00880B68">
        <w:rPr>
          <w:rFonts w:ascii="Georgia" w:hAnsi="Georgia"/>
          <w:sz w:val="24"/>
          <w:szCs w:val="24"/>
        </w:rPr>
        <w:t xml:space="preserve">At times embracing </w:t>
      </w:r>
      <w:r w:rsidR="00D04E99">
        <w:rPr>
          <w:rFonts w:ascii="Georgia" w:hAnsi="Georgia"/>
          <w:sz w:val="24"/>
          <w:szCs w:val="24"/>
        </w:rPr>
        <w:t>the androgynous</w:t>
      </w:r>
      <w:r w:rsidR="00880B68">
        <w:rPr>
          <w:rFonts w:ascii="Georgia" w:hAnsi="Georgia"/>
          <w:sz w:val="24"/>
          <w:szCs w:val="24"/>
        </w:rPr>
        <w:t xml:space="preserve"> aspects of his work,</w:t>
      </w:r>
      <w:r w:rsidR="00D02A5C">
        <w:rPr>
          <w:rFonts w:ascii="Georgia" w:hAnsi="Georgia"/>
          <w:sz w:val="24"/>
          <w:szCs w:val="24"/>
        </w:rPr>
        <w:t xml:space="preserve"> </w:t>
      </w:r>
      <w:r w:rsidR="00D04E99">
        <w:rPr>
          <w:rFonts w:ascii="Georgia" w:hAnsi="Georgia"/>
          <w:sz w:val="24"/>
          <w:szCs w:val="24"/>
        </w:rPr>
        <w:t>Coleridge was also occasionally uneasy about his own femininity.</w:t>
      </w:r>
      <w:r w:rsidR="00421B09">
        <w:rPr>
          <w:rStyle w:val="FootnoteReference"/>
          <w:rFonts w:ascii="Georgia" w:hAnsi="Georgia"/>
          <w:sz w:val="24"/>
          <w:szCs w:val="24"/>
        </w:rPr>
        <w:footnoteReference w:id="20"/>
      </w:r>
      <w:r w:rsidR="00880B68">
        <w:rPr>
          <w:rFonts w:ascii="Georgia" w:hAnsi="Georgia"/>
          <w:sz w:val="24"/>
          <w:szCs w:val="24"/>
        </w:rPr>
        <w:t xml:space="preserve"> </w:t>
      </w:r>
      <w:r w:rsidR="00D04E99">
        <w:rPr>
          <w:rFonts w:ascii="Georgia" w:hAnsi="Georgia"/>
          <w:sz w:val="24"/>
          <w:szCs w:val="24"/>
        </w:rPr>
        <w:t xml:space="preserve">It appears that, for all male Romantic poets might attempt to claim as their own the sensibility historically possessed by women, they were not immune to the </w:t>
      </w:r>
      <w:r w:rsidR="00C14505">
        <w:rPr>
          <w:rFonts w:ascii="Georgia" w:hAnsi="Georgia"/>
          <w:sz w:val="24"/>
          <w:szCs w:val="24"/>
        </w:rPr>
        <w:t>negative</w:t>
      </w:r>
      <w:r w:rsidR="00D04E99">
        <w:rPr>
          <w:rFonts w:ascii="Georgia" w:hAnsi="Georgia"/>
          <w:sz w:val="24"/>
          <w:szCs w:val="24"/>
        </w:rPr>
        <w:t xml:space="preserve"> </w:t>
      </w:r>
      <w:r w:rsidR="00DA748E">
        <w:rPr>
          <w:rFonts w:ascii="Georgia" w:hAnsi="Georgia"/>
          <w:sz w:val="24"/>
          <w:szCs w:val="24"/>
        </w:rPr>
        <w:t>connotations</w:t>
      </w:r>
      <w:r w:rsidR="00D04E99">
        <w:rPr>
          <w:rFonts w:ascii="Georgia" w:hAnsi="Georgia"/>
          <w:sz w:val="24"/>
          <w:szCs w:val="24"/>
        </w:rPr>
        <w:t xml:space="preserve"> which came along with it. </w:t>
      </w:r>
    </w:p>
    <w:p w14:paraId="5DCDC07B" w14:textId="691592F4" w:rsidR="006A6751" w:rsidRDefault="006A6751" w:rsidP="006A6751">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t xml:space="preserve">It is true that some people did indeed acknowledge the natural inclination of women towards Romanticism, or the innate ability which they should have to excel in it, but this could be a double-edged sword for women. Hannah More, one of the writers </w:t>
      </w:r>
      <w:r>
        <w:rPr>
          <w:rFonts w:ascii="Georgia" w:hAnsi="Georgia"/>
          <w:sz w:val="24"/>
          <w:szCs w:val="24"/>
        </w:rPr>
        <w:lastRenderedPageBreak/>
        <w:t xml:space="preserve">which Polwhele applauded in his poem, </w:t>
      </w:r>
      <w:r w:rsidR="00D97764">
        <w:rPr>
          <w:rFonts w:ascii="Georgia" w:hAnsi="Georgia"/>
          <w:sz w:val="24"/>
          <w:szCs w:val="24"/>
        </w:rPr>
        <w:t>testified</w:t>
      </w:r>
      <w:r>
        <w:rPr>
          <w:rFonts w:ascii="Georgia" w:hAnsi="Georgia"/>
          <w:sz w:val="24"/>
          <w:szCs w:val="24"/>
        </w:rPr>
        <w:t xml:space="preserve"> that ‘</w:t>
      </w:r>
      <w:r w:rsidRPr="006A6751">
        <w:rPr>
          <w:rFonts w:ascii="Georgia" w:hAnsi="Georgia"/>
          <w:sz w:val="24"/>
          <w:szCs w:val="24"/>
        </w:rPr>
        <w:t>In the boundle</w:t>
      </w:r>
      <w:r>
        <w:rPr>
          <w:rFonts w:ascii="Georgia" w:hAnsi="Georgia"/>
          <w:sz w:val="24"/>
          <w:szCs w:val="24"/>
        </w:rPr>
        <w:t>s</w:t>
      </w:r>
      <w:r w:rsidRPr="006A6751">
        <w:rPr>
          <w:rFonts w:ascii="Georgia" w:hAnsi="Georgia"/>
          <w:sz w:val="24"/>
          <w:szCs w:val="24"/>
        </w:rPr>
        <w:t xml:space="preserve">s and aërial regions of romance, </w:t>
      </w:r>
      <w:r>
        <w:rPr>
          <w:rFonts w:ascii="Georgia" w:hAnsi="Georgia"/>
          <w:sz w:val="24"/>
          <w:szCs w:val="24"/>
        </w:rPr>
        <w:t>[…]</w:t>
      </w:r>
      <w:r w:rsidRPr="006A6751">
        <w:rPr>
          <w:rFonts w:ascii="Georgia" w:hAnsi="Georgia"/>
          <w:sz w:val="24"/>
          <w:szCs w:val="24"/>
        </w:rPr>
        <w:t xml:space="preserve"> the women cannot be excelled: this imaginary </w:t>
      </w:r>
      <w:r>
        <w:rPr>
          <w:rFonts w:ascii="Georgia" w:hAnsi="Georgia"/>
          <w:sz w:val="24"/>
          <w:szCs w:val="24"/>
        </w:rPr>
        <w:t>s</w:t>
      </w:r>
      <w:r w:rsidRPr="006A6751">
        <w:rPr>
          <w:rFonts w:ascii="Georgia" w:hAnsi="Georgia"/>
          <w:sz w:val="24"/>
          <w:szCs w:val="24"/>
        </w:rPr>
        <w:t>oil they have a peculiar talent for cultivating, becau</w:t>
      </w:r>
      <w:r>
        <w:rPr>
          <w:rFonts w:ascii="Georgia" w:hAnsi="Georgia"/>
          <w:sz w:val="24"/>
          <w:szCs w:val="24"/>
        </w:rPr>
        <w:t>s</w:t>
      </w:r>
      <w:r w:rsidRPr="006A6751">
        <w:rPr>
          <w:rFonts w:ascii="Georgia" w:hAnsi="Georgia"/>
          <w:sz w:val="24"/>
          <w:szCs w:val="24"/>
        </w:rPr>
        <w:t>e here,</w:t>
      </w:r>
      <w:r>
        <w:rPr>
          <w:rFonts w:ascii="Georgia" w:hAnsi="Georgia"/>
          <w:sz w:val="24"/>
          <w:szCs w:val="24"/>
        </w:rPr>
        <w:t xml:space="preserve"> “</w:t>
      </w:r>
      <w:r w:rsidRPr="006A6751">
        <w:rPr>
          <w:rFonts w:ascii="Georgia" w:hAnsi="Georgia"/>
          <w:sz w:val="24"/>
          <w:szCs w:val="24"/>
        </w:rPr>
        <w:t>Invention labours more, and judgment le</w:t>
      </w:r>
      <w:r>
        <w:rPr>
          <w:rFonts w:ascii="Georgia" w:hAnsi="Georgia"/>
          <w:sz w:val="24"/>
          <w:szCs w:val="24"/>
        </w:rPr>
        <w:t>s</w:t>
      </w:r>
      <w:r w:rsidRPr="006A6751">
        <w:rPr>
          <w:rFonts w:ascii="Georgia" w:hAnsi="Georgia"/>
          <w:sz w:val="24"/>
          <w:szCs w:val="24"/>
        </w:rPr>
        <w:t>s.</w:t>
      </w:r>
      <w:r>
        <w:rPr>
          <w:rFonts w:ascii="Georgia" w:hAnsi="Georgia"/>
          <w:sz w:val="24"/>
          <w:szCs w:val="24"/>
        </w:rPr>
        <w:t>”’</w:t>
      </w:r>
      <w:r>
        <w:rPr>
          <w:rStyle w:val="FootnoteReference"/>
          <w:rFonts w:ascii="Georgia" w:hAnsi="Georgia"/>
          <w:sz w:val="24"/>
          <w:szCs w:val="24"/>
        </w:rPr>
        <w:footnoteReference w:id="21"/>
      </w:r>
      <w:r w:rsidR="00A211E5">
        <w:rPr>
          <w:rFonts w:ascii="Georgia" w:hAnsi="Georgia"/>
          <w:sz w:val="24"/>
          <w:szCs w:val="24"/>
        </w:rPr>
        <w:t xml:space="preserve"> While this comes across as a positive statement for women aspiring to success as writers, as More’s essay continues it betrays the negative side of her praise. She goes on to </w:t>
      </w:r>
      <w:r w:rsidR="00B931EF">
        <w:rPr>
          <w:rFonts w:ascii="Georgia" w:hAnsi="Georgia"/>
          <w:sz w:val="24"/>
          <w:szCs w:val="24"/>
        </w:rPr>
        <w:t>say,</w:t>
      </w:r>
      <w:r w:rsidR="00A211E5">
        <w:rPr>
          <w:rFonts w:ascii="Georgia" w:hAnsi="Georgia"/>
          <w:sz w:val="24"/>
          <w:szCs w:val="24"/>
        </w:rPr>
        <w:t xml:space="preserve"> ‘</w:t>
      </w:r>
      <w:r w:rsidR="00A211E5" w:rsidRPr="00A211E5">
        <w:rPr>
          <w:rFonts w:ascii="Georgia" w:hAnsi="Georgia"/>
          <w:sz w:val="24"/>
          <w:szCs w:val="24"/>
        </w:rPr>
        <w:t xml:space="preserve">In </w:t>
      </w:r>
      <w:r w:rsidR="00A211E5">
        <w:rPr>
          <w:rFonts w:ascii="Georgia" w:hAnsi="Georgia"/>
          <w:sz w:val="24"/>
          <w:szCs w:val="24"/>
        </w:rPr>
        <w:t>s</w:t>
      </w:r>
      <w:r w:rsidR="00A211E5" w:rsidRPr="00A211E5">
        <w:rPr>
          <w:rFonts w:ascii="Georgia" w:hAnsi="Georgia"/>
          <w:sz w:val="24"/>
          <w:szCs w:val="24"/>
        </w:rPr>
        <w:t xml:space="preserve">hort, it appears that the mind in each </w:t>
      </w:r>
      <w:r w:rsidR="00A211E5">
        <w:rPr>
          <w:rFonts w:ascii="Georgia" w:hAnsi="Georgia"/>
          <w:sz w:val="24"/>
          <w:szCs w:val="24"/>
        </w:rPr>
        <w:t>s</w:t>
      </w:r>
      <w:r w:rsidR="00A211E5" w:rsidRPr="00A211E5">
        <w:rPr>
          <w:rFonts w:ascii="Georgia" w:hAnsi="Georgia"/>
          <w:sz w:val="24"/>
          <w:szCs w:val="24"/>
        </w:rPr>
        <w:t xml:space="preserve">ex has </w:t>
      </w:r>
      <w:r w:rsidR="00A211E5">
        <w:rPr>
          <w:rFonts w:ascii="Georgia" w:hAnsi="Georgia"/>
          <w:sz w:val="24"/>
          <w:szCs w:val="24"/>
        </w:rPr>
        <w:t>s</w:t>
      </w:r>
      <w:r w:rsidR="00A211E5" w:rsidRPr="00A211E5">
        <w:rPr>
          <w:rFonts w:ascii="Georgia" w:hAnsi="Georgia"/>
          <w:sz w:val="24"/>
          <w:szCs w:val="24"/>
        </w:rPr>
        <w:t>ome natural kind of bias, which con</w:t>
      </w:r>
      <w:r w:rsidR="00A211E5">
        <w:rPr>
          <w:rFonts w:ascii="Georgia" w:hAnsi="Georgia"/>
          <w:sz w:val="24"/>
          <w:szCs w:val="24"/>
        </w:rPr>
        <w:t>s</w:t>
      </w:r>
      <w:r w:rsidR="00A211E5" w:rsidRPr="00A211E5">
        <w:rPr>
          <w:rFonts w:ascii="Georgia" w:hAnsi="Georgia"/>
          <w:sz w:val="24"/>
          <w:szCs w:val="24"/>
        </w:rPr>
        <w:t>titutes a di</w:t>
      </w:r>
      <w:r w:rsidR="00A211E5">
        <w:rPr>
          <w:rFonts w:ascii="Georgia" w:hAnsi="Georgia"/>
          <w:sz w:val="24"/>
          <w:szCs w:val="24"/>
        </w:rPr>
        <w:t>s</w:t>
      </w:r>
      <w:r w:rsidR="00A211E5" w:rsidRPr="00A211E5">
        <w:rPr>
          <w:rFonts w:ascii="Georgia" w:hAnsi="Georgia"/>
          <w:sz w:val="24"/>
          <w:szCs w:val="24"/>
        </w:rPr>
        <w:t>tinction of character, and that the happine</w:t>
      </w:r>
      <w:r w:rsidR="00A211E5">
        <w:rPr>
          <w:rFonts w:ascii="Georgia" w:hAnsi="Georgia"/>
          <w:sz w:val="24"/>
          <w:szCs w:val="24"/>
        </w:rPr>
        <w:t>s</w:t>
      </w:r>
      <w:r w:rsidR="00A211E5" w:rsidRPr="00A211E5">
        <w:rPr>
          <w:rFonts w:ascii="Georgia" w:hAnsi="Georgia"/>
          <w:sz w:val="24"/>
          <w:szCs w:val="24"/>
        </w:rPr>
        <w:t>s of both depends</w:t>
      </w:r>
      <w:r w:rsidR="00A211E5">
        <w:rPr>
          <w:rFonts w:ascii="Georgia" w:hAnsi="Georgia"/>
          <w:sz w:val="24"/>
          <w:szCs w:val="24"/>
        </w:rPr>
        <w:t xml:space="preserve"> […]</w:t>
      </w:r>
      <w:r w:rsidR="00A211E5" w:rsidRPr="00A211E5">
        <w:rPr>
          <w:rFonts w:ascii="Georgia" w:hAnsi="Georgia"/>
          <w:sz w:val="24"/>
          <w:szCs w:val="24"/>
        </w:rPr>
        <w:t xml:space="preserve"> on the pre</w:t>
      </w:r>
      <w:r w:rsidR="00A211E5">
        <w:rPr>
          <w:rFonts w:ascii="Georgia" w:hAnsi="Georgia"/>
          <w:sz w:val="24"/>
          <w:szCs w:val="24"/>
        </w:rPr>
        <w:t>s</w:t>
      </w:r>
      <w:r w:rsidR="00A211E5" w:rsidRPr="00A211E5">
        <w:rPr>
          <w:rFonts w:ascii="Georgia" w:hAnsi="Georgia"/>
          <w:sz w:val="24"/>
          <w:szCs w:val="24"/>
        </w:rPr>
        <w:t>ervation and ob</w:t>
      </w:r>
      <w:r w:rsidR="00A211E5">
        <w:rPr>
          <w:rFonts w:ascii="Georgia" w:hAnsi="Georgia"/>
          <w:sz w:val="24"/>
          <w:szCs w:val="24"/>
        </w:rPr>
        <w:t>s</w:t>
      </w:r>
      <w:r w:rsidR="00A211E5" w:rsidRPr="00A211E5">
        <w:rPr>
          <w:rFonts w:ascii="Georgia" w:hAnsi="Georgia"/>
          <w:sz w:val="24"/>
          <w:szCs w:val="24"/>
        </w:rPr>
        <w:t>ervance of this di</w:t>
      </w:r>
      <w:r w:rsidR="00A211E5">
        <w:rPr>
          <w:rFonts w:ascii="Georgia" w:hAnsi="Georgia"/>
          <w:sz w:val="24"/>
          <w:szCs w:val="24"/>
        </w:rPr>
        <w:t>s</w:t>
      </w:r>
      <w:r w:rsidR="00A211E5" w:rsidRPr="00A211E5">
        <w:rPr>
          <w:rFonts w:ascii="Georgia" w:hAnsi="Georgia"/>
          <w:sz w:val="24"/>
          <w:szCs w:val="24"/>
        </w:rPr>
        <w:t>tinction.</w:t>
      </w:r>
      <w:r w:rsidR="00A211E5">
        <w:rPr>
          <w:rFonts w:ascii="Georgia" w:hAnsi="Georgia"/>
          <w:sz w:val="24"/>
          <w:szCs w:val="24"/>
        </w:rPr>
        <w:t>’</w:t>
      </w:r>
      <w:r w:rsidR="002A57C5">
        <w:rPr>
          <w:rStyle w:val="FootnoteReference"/>
          <w:rFonts w:ascii="Georgia" w:hAnsi="Georgia"/>
          <w:sz w:val="24"/>
          <w:szCs w:val="24"/>
        </w:rPr>
        <w:footnoteReference w:id="22"/>
      </w:r>
      <w:r w:rsidR="00BE055C">
        <w:rPr>
          <w:rFonts w:ascii="Georgia" w:hAnsi="Georgia"/>
          <w:sz w:val="24"/>
          <w:szCs w:val="24"/>
        </w:rPr>
        <w:t xml:space="preserve"> </w:t>
      </w:r>
      <w:r w:rsidR="008F2C32">
        <w:rPr>
          <w:rFonts w:ascii="Georgia" w:hAnsi="Georgia"/>
          <w:sz w:val="24"/>
          <w:szCs w:val="24"/>
        </w:rPr>
        <w:t>Herein lies the downside of More’s argument. While she opens up one avenue of expression to women, she denies them another. Writing is only acceptable for women insofar as it allows them to demonstrate femininity</w:t>
      </w:r>
      <w:r w:rsidR="00554FBA">
        <w:rPr>
          <w:rFonts w:ascii="Georgia" w:hAnsi="Georgia"/>
          <w:sz w:val="24"/>
          <w:szCs w:val="24"/>
        </w:rPr>
        <w:t xml:space="preserve"> –</w:t>
      </w:r>
      <w:r w:rsidR="00D54304">
        <w:rPr>
          <w:rFonts w:ascii="Georgia" w:hAnsi="Georgia"/>
          <w:sz w:val="24"/>
          <w:szCs w:val="24"/>
        </w:rPr>
        <w:t xml:space="preserve"> it is quite likely she would not be nearly as approving of women writing political essays. </w:t>
      </w:r>
      <w:r w:rsidR="00D50CE8">
        <w:rPr>
          <w:rFonts w:ascii="Georgia" w:hAnsi="Georgia"/>
          <w:sz w:val="24"/>
          <w:szCs w:val="24"/>
        </w:rPr>
        <w:t>It grants women the ability to join in the Romantic side of the culture, while denying them the chance to participate in the Enlightenment side. Sensibility can be reclaimed for women; reason is kept for the men.</w:t>
      </w:r>
    </w:p>
    <w:p w14:paraId="50FBE0D6" w14:textId="6E259E69" w:rsidR="00EE7300" w:rsidRDefault="00467080" w:rsidP="00294167">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253726">
        <w:rPr>
          <w:rFonts w:ascii="Georgia" w:hAnsi="Georgia"/>
          <w:sz w:val="24"/>
          <w:szCs w:val="24"/>
        </w:rPr>
        <w:t>I</w:t>
      </w:r>
      <w:r w:rsidR="00C62143">
        <w:rPr>
          <w:rFonts w:ascii="Georgia" w:hAnsi="Georgia"/>
          <w:sz w:val="24"/>
          <w:szCs w:val="24"/>
        </w:rPr>
        <w:t xml:space="preserve">n the </w:t>
      </w:r>
      <w:r w:rsidR="00253726">
        <w:rPr>
          <w:rFonts w:ascii="Georgia" w:hAnsi="Georgia"/>
          <w:sz w:val="24"/>
          <w:szCs w:val="24"/>
        </w:rPr>
        <w:t>18</w:t>
      </w:r>
      <w:r w:rsidR="00253726" w:rsidRPr="00253726">
        <w:rPr>
          <w:rFonts w:ascii="Georgia" w:hAnsi="Georgia"/>
          <w:sz w:val="24"/>
          <w:szCs w:val="24"/>
          <w:vertAlign w:val="superscript"/>
        </w:rPr>
        <w:t>th</w:t>
      </w:r>
      <w:r w:rsidR="00253726">
        <w:rPr>
          <w:rFonts w:ascii="Georgia" w:hAnsi="Georgia"/>
          <w:sz w:val="24"/>
          <w:szCs w:val="24"/>
        </w:rPr>
        <w:t xml:space="preserve"> and 19</w:t>
      </w:r>
      <w:r w:rsidR="00253726" w:rsidRPr="00253726">
        <w:rPr>
          <w:rFonts w:ascii="Georgia" w:hAnsi="Georgia"/>
          <w:sz w:val="24"/>
          <w:szCs w:val="24"/>
          <w:vertAlign w:val="superscript"/>
        </w:rPr>
        <w:t>th</w:t>
      </w:r>
      <w:r w:rsidR="00253726">
        <w:rPr>
          <w:rFonts w:ascii="Georgia" w:hAnsi="Georgia"/>
          <w:sz w:val="24"/>
          <w:szCs w:val="24"/>
        </w:rPr>
        <w:t xml:space="preserve"> centuries, the Enlightenment and Romanticism were competing ideologies in many arenas, including gender politics. At first glance, the former would appear to favour masculinity, whereas the latter would champion femininity, but this did not turn out to be the case. Both schools of thought were generally dismissive of women. The Enlightenment’s reason was off-limits to </w:t>
      </w:r>
      <w:r w:rsidR="003F7E9F">
        <w:rPr>
          <w:rFonts w:ascii="Georgia" w:hAnsi="Georgia"/>
          <w:sz w:val="24"/>
          <w:szCs w:val="24"/>
        </w:rPr>
        <w:t xml:space="preserve">supposedly </w:t>
      </w:r>
      <w:r w:rsidR="00253726">
        <w:rPr>
          <w:rFonts w:ascii="Georgia" w:hAnsi="Georgia"/>
          <w:sz w:val="24"/>
          <w:szCs w:val="24"/>
        </w:rPr>
        <w:t xml:space="preserve">hysterical women, while Romanticism’s sensibility sought to disassociate itself from the negative connotations of femininity and rebrand itself as a masculine trait. </w:t>
      </w:r>
      <w:r w:rsidR="00A02A50">
        <w:rPr>
          <w:rFonts w:ascii="Georgia" w:hAnsi="Georgia"/>
          <w:sz w:val="24"/>
          <w:szCs w:val="24"/>
        </w:rPr>
        <w:t xml:space="preserve">Both </w:t>
      </w:r>
      <w:r w:rsidR="00715E1A">
        <w:rPr>
          <w:rFonts w:ascii="Georgia" w:hAnsi="Georgia"/>
          <w:sz w:val="24"/>
          <w:szCs w:val="24"/>
        </w:rPr>
        <w:t>attitudes are born of misogyny</w:t>
      </w:r>
      <w:r w:rsidR="00273586">
        <w:rPr>
          <w:rFonts w:ascii="Georgia" w:hAnsi="Georgia"/>
          <w:sz w:val="24"/>
          <w:szCs w:val="24"/>
        </w:rPr>
        <w:t xml:space="preserve">, even if one is </w:t>
      </w:r>
      <w:r w:rsidR="003F7E9F">
        <w:rPr>
          <w:rFonts w:ascii="Georgia" w:hAnsi="Georgia"/>
          <w:sz w:val="24"/>
          <w:szCs w:val="24"/>
        </w:rPr>
        <w:t>subtler</w:t>
      </w:r>
      <w:r w:rsidR="00B746FC">
        <w:rPr>
          <w:rFonts w:ascii="Georgia" w:hAnsi="Georgia"/>
          <w:sz w:val="24"/>
          <w:szCs w:val="24"/>
        </w:rPr>
        <w:t xml:space="preserve"> </w:t>
      </w:r>
      <w:r w:rsidR="00273586">
        <w:rPr>
          <w:rFonts w:ascii="Georgia" w:hAnsi="Georgia"/>
          <w:sz w:val="24"/>
          <w:szCs w:val="24"/>
        </w:rPr>
        <w:t xml:space="preserve">than the other. </w:t>
      </w:r>
      <w:r w:rsidR="00E709C4">
        <w:rPr>
          <w:rFonts w:ascii="Georgia" w:hAnsi="Georgia"/>
          <w:sz w:val="24"/>
          <w:szCs w:val="24"/>
        </w:rPr>
        <w:t xml:space="preserve">The ideologies of </w:t>
      </w:r>
      <w:r w:rsidR="00E709C4">
        <w:rPr>
          <w:rFonts w:ascii="Georgia" w:hAnsi="Georgia"/>
          <w:sz w:val="24"/>
          <w:szCs w:val="24"/>
        </w:rPr>
        <w:lastRenderedPageBreak/>
        <w:t xml:space="preserve">the two movements remain prevalent in modern culture, </w:t>
      </w:r>
      <w:r w:rsidR="00EA18DD">
        <w:rPr>
          <w:rFonts w:ascii="Georgia" w:hAnsi="Georgia"/>
          <w:sz w:val="24"/>
          <w:szCs w:val="24"/>
        </w:rPr>
        <w:t>and this includes their sexist underpinning. To this day, feminist critics argue that present-day conceptions of ‘reason’ are steeped in patriarchal assumptions that view a male account as objective where a woman is always biased.</w:t>
      </w:r>
      <w:r w:rsidR="00EA18DD">
        <w:rPr>
          <w:rStyle w:val="FootnoteReference"/>
          <w:rFonts w:ascii="Georgia" w:hAnsi="Georgia"/>
          <w:sz w:val="24"/>
          <w:szCs w:val="24"/>
        </w:rPr>
        <w:footnoteReference w:id="23"/>
      </w:r>
      <w:r w:rsidR="000E611A">
        <w:rPr>
          <w:rFonts w:ascii="Georgia" w:hAnsi="Georgia"/>
          <w:sz w:val="24"/>
          <w:szCs w:val="24"/>
        </w:rPr>
        <w:t xml:space="preserve"> Likewise, the dismissal of Romantic literature as overly sentimental has been identified by some critics as originating in a type of unconscious misogyny that devalues this perceived feminine aspect of writing.</w:t>
      </w:r>
      <w:r w:rsidR="000E611A">
        <w:rPr>
          <w:rStyle w:val="FootnoteReference"/>
          <w:rFonts w:ascii="Georgia" w:hAnsi="Georgia"/>
          <w:sz w:val="24"/>
          <w:szCs w:val="24"/>
        </w:rPr>
        <w:footnoteReference w:id="24"/>
      </w:r>
      <w:r w:rsidR="004F5DDC">
        <w:rPr>
          <w:rFonts w:ascii="Georgia" w:hAnsi="Georgia"/>
          <w:sz w:val="24"/>
          <w:szCs w:val="24"/>
        </w:rPr>
        <w:t xml:space="preserve"> </w:t>
      </w:r>
      <w:r w:rsidR="00A115E5">
        <w:rPr>
          <w:rFonts w:ascii="Georgia" w:hAnsi="Georgia"/>
          <w:sz w:val="24"/>
          <w:szCs w:val="24"/>
        </w:rPr>
        <w:t xml:space="preserve">Thus the gender politics of a period some centuries ago remain relevant to us today. </w:t>
      </w:r>
      <w:r w:rsidR="00365FBD">
        <w:rPr>
          <w:rFonts w:ascii="Georgia" w:hAnsi="Georgia"/>
          <w:sz w:val="24"/>
          <w:szCs w:val="24"/>
        </w:rPr>
        <w:t>What then can we take from an analysis of th</w:t>
      </w:r>
      <w:r w:rsidR="00A15757">
        <w:rPr>
          <w:rFonts w:ascii="Georgia" w:hAnsi="Georgia"/>
          <w:sz w:val="24"/>
          <w:szCs w:val="24"/>
        </w:rPr>
        <w:t xml:space="preserve">is gender conflict? In both Enlightenment and Romanticism, there is a common theme: the assignment of certain traits and roles to men and others to women. </w:t>
      </w:r>
      <w:r w:rsidR="00BE3F38">
        <w:rPr>
          <w:rFonts w:ascii="Georgia" w:hAnsi="Georgia"/>
          <w:sz w:val="24"/>
          <w:szCs w:val="24"/>
        </w:rPr>
        <w:t xml:space="preserve">No matter what traits they valued, each ideology managed to confine their followers to the gender-appropriate behaviour. </w:t>
      </w:r>
      <w:r w:rsidR="00F8474E">
        <w:rPr>
          <w:rFonts w:ascii="Georgia" w:hAnsi="Georgia"/>
          <w:sz w:val="24"/>
          <w:szCs w:val="24"/>
        </w:rPr>
        <w:t xml:space="preserve">These attitudes were not only restrictive at the time, but also are echoed in the present day, as our conceptions </w:t>
      </w:r>
      <w:r w:rsidR="00A80DDA">
        <w:rPr>
          <w:rFonts w:ascii="Georgia" w:hAnsi="Georgia"/>
          <w:sz w:val="24"/>
          <w:szCs w:val="24"/>
        </w:rPr>
        <w:t xml:space="preserve">and criticism </w:t>
      </w:r>
      <w:r w:rsidR="00F8474E">
        <w:rPr>
          <w:rFonts w:ascii="Georgia" w:hAnsi="Georgia"/>
          <w:sz w:val="24"/>
          <w:szCs w:val="24"/>
        </w:rPr>
        <w:t>of reason and romanticism remai</w:t>
      </w:r>
      <w:r w:rsidR="00A80DDA">
        <w:rPr>
          <w:rFonts w:ascii="Georgia" w:hAnsi="Georgia"/>
          <w:sz w:val="24"/>
          <w:szCs w:val="24"/>
        </w:rPr>
        <w:t xml:space="preserve">n influenced by our </w:t>
      </w:r>
      <w:r w:rsidR="009E656F">
        <w:rPr>
          <w:rFonts w:ascii="Georgia" w:hAnsi="Georgia"/>
          <w:sz w:val="24"/>
          <w:szCs w:val="24"/>
        </w:rPr>
        <w:t>gendered visions of their associated characteristics</w:t>
      </w:r>
      <w:r w:rsidR="00E61E65">
        <w:rPr>
          <w:rFonts w:ascii="Georgia" w:hAnsi="Georgia"/>
          <w:sz w:val="24"/>
          <w:szCs w:val="24"/>
        </w:rPr>
        <w:t>.</w:t>
      </w:r>
    </w:p>
    <w:p w14:paraId="1D88C6C2" w14:textId="77777777" w:rsidR="003B61A1" w:rsidRDefault="006F64F6" w:rsidP="00F00FD3">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p>
    <w:p w14:paraId="233DB7ED" w14:textId="77777777" w:rsidR="007053F5" w:rsidRDefault="00A8539B" w:rsidP="000A4199">
      <w:pPr>
        <w:shd w:val="clear" w:color="auto" w:fill="FFFFFF"/>
        <w:tabs>
          <w:tab w:val="left" w:pos="1080"/>
        </w:tabs>
        <w:spacing w:after="0" w:line="480" w:lineRule="auto"/>
        <w:jc w:val="both"/>
        <w:rPr>
          <w:rFonts w:ascii="Georgia" w:hAnsi="Georgia"/>
          <w:sz w:val="24"/>
          <w:szCs w:val="24"/>
        </w:rPr>
      </w:pPr>
      <w:r>
        <w:rPr>
          <w:rFonts w:ascii="Georgia" w:hAnsi="Georgia"/>
          <w:sz w:val="24"/>
          <w:szCs w:val="24"/>
        </w:rPr>
        <w:tab/>
      </w:r>
      <w:r w:rsidR="00C70A0A">
        <w:rPr>
          <w:rFonts w:ascii="Georgia" w:hAnsi="Georgia"/>
          <w:sz w:val="24"/>
          <w:szCs w:val="24"/>
        </w:rPr>
        <w:t xml:space="preserve"> </w:t>
      </w:r>
    </w:p>
    <w:p w14:paraId="11C5C276" w14:textId="77777777" w:rsidR="006B630A" w:rsidRDefault="006B630A" w:rsidP="00F00FD3">
      <w:pPr>
        <w:shd w:val="clear" w:color="auto" w:fill="FFFFFF"/>
        <w:tabs>
          <w:tab w:val="left" w:pos="1080"/>
        </w:tabs>
        <w:spacing w:after="0" w:line="480" w:lineRule="auto"/>
        <w:jc w:val="both"/>
        <w:rPr>
          <w:rFonts w:ascii="Georgia" w:hAnsi="Georgia"/>
          <w:sz w:val="24"/>
          <w:szCs w:val="24"/>
        </w:rPr>
      </w:pPr>
    </w:p>
    <w:p w14:paraId="6AC1E7A8" w14:textId="77777777" w:rsidR="002D2DBD" w:rsidRDefault="002D2DBD" w:rsidP="00F00FD3">
      <w:pPr>
        <w:shd w:val="clear" w:color="auto" w:fill="FFFFFF"/>
        <w:tabs>
          <w:tab w:val="left" w:pos="1080"/>
        </w:tabs>
        <w:spacing w:after="0" w:line="480" w:lineRule="auto"/>
        <w:jc w:val="both"/>
        <w:rPr>
          <w:rFonts w:ascii="Georgia" w:hAnsi="Georgia"/>
          <w:sz w:val="24"/>
          <w:szCs w:val="24"/>
        </w:rPr>
      </w:pPr>
    </w:p>
    <w:p w14:paraId="2BE0FA1D" w14:textId="77777777" w:rsidR="002D2DBD" w:rsidRDefault="002D2DBD" w:rsidP="00F00FD3">
      <w:pPr>
        <w:shd w:val="clear" w:color="auto" w:fill="FFFFFF"/>
        <w:tabs>
          <w:tab w:val="left" w:pos="1080"/>
        </w:tabs>
        <w:spacing w:after="0" w:line="480" w:lineRule="auto"/>
        <w:jc w:val="both"/>
        <w:rPr>
          <w:rFonts w:ascii="Georgia" w:hAnsi="Georgia"/>
          <w:sz w:val="24"/>
          <w:szCs w:val="24"/>
        </w:rPr>
      </w:pPr>
    </w:p>
    <w:p w14:paraId="70E7FB74" w14:textId="77777777" w:rsidR="002D2DBD" w:rsidRDefault="002D2DBD" w:rsidP="00F00FD3">
      <w:pPr>
        <w:shd w:val="clear" w:color="auto" w:fill="FFFFFF"/>
        <w:tabs>
          <w:tab w:val="left" w:pos="1080"/>
        </w:tabs>
        <w:spacing w:after="0" w:line="480" w:lineRule="auto"/>
        <w:jc w:val="both"/>
        <w:rPr>
          <w:rFonts w:ascii="Georgia" w:hAnsi="Georgia"/>
          <w:sz w:val="24"/>
          <w:szCs w:val="24"/>
        </w:rPr>
      </w:pPr>
    </w:p>
    <w:p w14:paraId="0EA697F1" w14:textId="77777777" w:rsidR="002D2DBD" w:rsidRDefault="002D2DBD" w:rsidP="00F00FD3">
      <w:pPr>
        <w:shd w:val="clear" w:color="auto" w:fill="FFFFFF"/>
        <w:tabs>
          <w:tab w:val="left" w:pos="1080"/>
        </w:tabs>
        <w:spacing w:after="0" w:line="480" w:lineRule="auto"/>
        <w:jc w:val="both"/>
        <w:rPr>
          <w:rFonts w:ascii="Georgia" w:hAnsi="Georgia"/>
          <w:sz w:val="24"/>
          <w:szCs w:val="24"/>
        </w:rPr>
      </w:pPr>
    </w:p>
    <w:p w14:paraId="6BBC8D51" w14:textId="77777777" w:rsidR="00126D91" w:rsidRDefault="00126D91" w:rsidP="00890603">
      <w:pPr>
        <w:spacing w:line="480" w:lineRule="auto"/>
        <w:jc w:val="center"/>
        <w:rPr>
          <w:rFonts w:ascii="Georgia" w:hAnsi="Georgia"/>
          <w:sz w:val="28"/>
          <w:szCs w:val="28"/>
        </w:rPr>
      </w:pPr>
    </w:p>
    <w:p w14:paraId="0ECB1C40" w14:textId="10B5DC85" w:rsidR="005B6073" w:rsidRPr="00DA33D9" w:rsidRDefault="0014185B" w:rsidP="005B6073">
      <w:pPr>
        <w:spacing w:line="480" w:lineRule="auto"/>
        <w:jc w:val="center"/>
        <w:rPr>
          <w:rFonts w:ascii="Georgia" w:hAnsi="Georgia"/>
          <w:sz w:val="24"/>
          <w:szCs w:val="24"/>
        </w:rPr>
      </w:pPr>
      <w:r w:rsidRPr="00863CDE">
        <w:rPr>
          <w:rFonts w:ascii="Georgia" w:hAnsi="Georgia"/>
          <w:sz w:val="28"/>
          <w:szCs w:val="28"/>
        </w:rPr>
        <w:lastRenderedPageBreak/>
        <w:t>Bibliography</w:t>
      </w:r>
    </w:p>
    <w:p w14:paraId="21078BA2" w14:textId="4F65D038"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rPr>
        <w:t>Alcoff, Linda Martin</w:t>
      </w:r>
      <w:r>
        <w:rPr>
          <w:rFonts w:ascii="Georgia" w:hAnsi="Georgia"/>
          <w:sz w:val="24"/>
          <w:szCs w:val="24"/>
        </w:rPr>
        <w:t>,</w:t>
      </w:r>
      <w:r w:rsidRPr="00D368F2">
        <w:rPr>
          <w:rFonts w:ascii="Georgia" w:hAnsi="Georgia"/>
          <w:sz w:val="24"/>
          <w:szCs w:val="24"/>
        </w:rPr>
        <w:t xml:space="preserve"> ‘</w:t>
      </w:r>
      <w:r w:rsidRPr="00D368F2">
        <w:rPr>
          <w:rFonts w:ascii="Georgia" w:hAnsi="Georgia"/>
          <w:sz w:val="24"/>
          <w:szCs w:val="24"/>
          <w:lang w:val="en-US"/>
        </w:rPr>
        <w:t xml:space="preserve">Is the Feminist Critique of Reason Rational’, </w:t>
      </w:r>
      <w:r w:rsidRPr="00D368F2">
        <w:rPr>
          <w:rFonts w:ascii="Georgia" w:hAnsi="Georgia"/>
          <w:i/>
          <w:sz w:val="24"/>
          <w:szCs w:val="24"/>
          <w:lang w:val="en-US"/>
        </w:rPr>
        <w:t>Philosophic Exchange</w:t>
      </w:r>
      <w:r w:rsidRPr="00D368F2">
        <w:rPr>
          <w:rFonts w:ascii="Georgia" w:hAnsi="Georgia"/>
          <w:sz w:val="24"/>
          <w:szCs w:val="24"/>
          <w:lang w:val="en-US"/>
        </w:rPr>
        <w:t xml:space="preserve"> 26 (1996), 59-79</w:t>
      </w:r>
    </w:p>
    <w:p w14:paraId="39848B29" w14:textId="30C81C50"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rPr>
        <w:t>Burch</w:t>
      </w:r>
      <w:r>
        <w:rPr>
          <w:rFonts w:ascii="Georgia" w:hAnsi="Georgia"/>
          <w:sz w:val="24"/>
          <w:szCs w:val="24"/>
        </w:rPr>
        <w:t>, Dinah</w:t>
      </w:r>
      <w:r w:rsidRPr="00D368F2">
        <w:rPr>
          <w:rFonts w:ascii="Georgia" w:hAnsi="Georgia"/>
          <w:sz w:val="24"/>
          <w:szCs w:val="24"/>
        </w:rPr>
        <w:t xml:space="preserve"> </w:t>
      </w:r>
      <w:r>
        <w:rPr>
          <w:rFonts w:ascii="Georgia" w:hAnsi="Georgia"/>
          <w:sz w:val="24"/>
          <w:szCs w:val="24"/>
        </w:rPr>
        <w:t xml:space="preserve">ed., </w:t>
      </w:r>
      <w:r w:rsidRPr="00D368F2">
        <w:rPr>
          <w:rFonts w:ascii="Georgia" w:hAnsi="Georgia"/>
          <w:sz w:val="24"/>
          <w:szCs w:val="24"/>
        </w:rPr>
        <w:t xml:space="preserve">‘Elegiac Sonnets’ </w:t>
      </w:r>
      <w:r w:rsidRPr="00D368F2">
        <w:rPr>
          <w:rFonts w:ascii="Georgia" w:hAnsi="Georgia"/>
          <w:i/>
          <w:sz w:val="24"/>
          <w:szCs w:val="24"/>
        </w:rPr>
        <w:t>in The Oxford Companion to English Literature</w:t>
      </w:r>
      <w:r>
        <w:rPr>
          <w:rFonts w:ascii="Georgia" w:hAnsi="Georgia"/>
          <w:sz w:val="24"/>
          <w:szCs w:val="24"/>
        </w:rPr>
        <w:t xml:space="preserve"> </w:t>
      </w:r>
      <w:r w:rsidRPr="00D368F2">
        <w:rPr>
          <w:rFonts w:ascii="Georgia" w:hAnsi="Georgia"/>
          <w:sz w:val="24"/>
          <w:szCs w:val="24"/>
        </w:rPr>
        <w:t>(Oxford: Oxford University Press, 2016)</w:t>
      </w:r>
    </w:p>
    <w:p w14:paraId="2CDB7E69" w14:textId="28F95808"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rPr>
        <w:t>Burke</w:t>
      </w:r>
      <w:r>
        <w:rPr>
          <w:rFonts w:ascii="Georgia" w:hAnsi="Georgia"/>
          <w:sz w:val="24"/>
          <w:szCs w:val="24"/>
        </w:rPr>
        <w:t>,</w:t>
      </w:r>
      <w:r w:rsidRPr="00D368F2">
        <w:rPr>
          <w:rFonts w:ascii="Georgia" w:hAnsi="Georgia"/>
          <w:sz w:val="24"/>
          <w:szCs w:val="24"/>
        </w:rPr>
        <w:t xml:space="preserve"> </w:t>
      </w:r>
      <w:r w:rsidR="005553D6">
        <w:rPr>
          <w:rFonts w:ascii="Georgia" w:hAnsi="Georgia"/>
          <w:sz w:val="24"/>
          <w:szCs w:val="24"/>
        </w:rPr>
        <w:t>Edmund</w:t>
      </w:r>
      <w:r w:rsidRPr="00D368F2">
        <w:rPr>
          <w:rFonts w:ascii="Georgia" w:hAnsi="Georgia"/>
          <w:sz w:val="24"/>
          <w:szCs w:val="24"/>
        </w:rPr>
        <w:t xml:space="preserve">, </w:t>
      </w:r>
      <w:r w:rsidRPr="00D368F2">
        <w:rPr>
          <w:rFonts w:ascii="Georgia" w:hAnsi="Georgia"/>
          <w:i/>
          <w:sz w:val="24"/>
          <w:szCs w:val="24"/>
          <w:lang w:val="en-US"/>
        </w:rPr>
        <w:t>Reflections on the Revolution in France, Volumes 1-2</w:t>
      </w:r>
      <w:r w:rsidRPr="00D368F2">
        <w:rPr>
          <w:rFonts w:ascii="Georgia" w:hAnsi="Georgia"/>
          <w:sz w:val="24"/>
          <w:szCs w:val="24"/>
          <w:lang w:val="en-US"/>
        </w:rPr>
        <w:t xml:space="preserve"> (London: John Sharpe, 1820</w:t>
      </w:r>
      <w:r>
        <w:rPr>
          <w:rFonts w:ascii="Georgia" w:hAnsi="Georgia"/>
          <w:sz w:val="24"/>
          <w:szCs w:val="24"/>
          <w:lang w:val="en-US"/>
        </w:rPr>
        <w:t>)</w:t>
      </w:r>
    </w:p>
    <w:p w14:paraId="75BBCA7F" w14:textId="77777777" w:rsidR="005B6073" w:rsidRPr="00D368F2" w:rsidRDefault="005B6073" w:rsidP="00126D91">
      <w:pPr>
        <w:spacing w:after="0" w:line="480" w:lineRule="auto"/>
        <w:ind w:left="360" w:hanging="360"/>
        <w:rPr>
          <w:rFonts w:ascii="Georgia" w:hAnsi="Georgia"/>
          <w:sz w:val="24"/>
          <w:szCs w:val="24"/>
        </w:rPr>
      </w:pPr>
      <w:r w:rsidRPr="00D368F2">
        <w:rPr>
          <w:rFonts w:ascii="Georgia" w:hAnsi="Georgia"/>
          <w:sz w:val="24"/>
          <w:szCs w:val="24"/>
        </w:rPr>
        <w:t>Johnson, Claudia L.</w:t>
      </w:r>
      <w:r>
        <w:rPr>
          <w:rFonts w:ascii="Georgia" w:hAnsi="Georgia"/>
          <w:sz w:val="24"/>
          <w:szCs w:val="24"/>
        </w:rPr>
        <w:t>,</w:t>
      </w:r>
      <w:r w:rsidRPr="00D368F2">
        <w:rPr>
          <w:rFonts w:ascii="Georgia" w:hAnsi="Georgia"/>
          <w:sz w:val="24"/>
          <w:szCs w:val="24"/>
        </w:rPr>
        <w:t xml:space="preserve"> </w:t>
      </w:r>
      <w:r w:rsidRPr="00D368F2">
        <w:rPr>
          <w:rFonts w:ascii="Georgia" w:hAnsi="Georgia"/>
          <w:i/>
          <w:sz w:val="24"/>
          <w:szCs w:val="24"/>
          <w:lang w:val="en-US"/>
        </w:rPr>
        <w:t>Equivocal Beings</w:t>
      </w:r>
      <w:r w:rsidRPr="00D368F2">
        <w:rPr>
          <w:rFonts w:ascii="Georgia" w:hAnsi="Georgia"/>
          <w:sz w:val="24"/>
          <w:szCs w:val="24"/>
          <w:lang w:val="en-US"/>
        </w:rPr>
        <w:t xml:space="preserve"> (Chicago: University of Chicago Press, 1995).</w:t>
      </w:r>
    </w:p>
    <w:p w14:paraId="4054623F" w14:textId="5A645979" w:rsidR="005B6073" w:rsidRPr="00D368F2" w:rsidRDefault="005B6073" w:rsidP="00126D91">
      <w:pPr>
        <w:spacing w:after="0" w:line="480" w:lineRule="auto"/>
        <w:ind w:left="360" w:hanging="360"/>
        <w:rPr>
          <w:rFonts w:ascii="Georgia" w:hAnsi="Georgia"/>
          <w:sz w:val="24"/>
          <w:szCs w:val="24"/>
        </w:rPr>
      </w:pPr>
      <w:r w:rsidRPr="00D368F2">
        <w:rPr>
          <w:rFonts w:ascii="Georgia" w:hAnsi="Georgia"/>
          <w:sz w:val="24"/>
          <w:szCs w:val="24"/>
        </w:rPr>
        <w:t>Kastan</w:t>
      </w:r>
      <w:r>
        <w:rPr>
          <w:rFonts w:ascii="Georgia" w:hAnsi="Georgia"/>
          <w:sz w:val="24"/>
          <w:szCs w:val="24"/>
        </w:rPr>
        <w:t>,</w:t>
      </w:r>
      <w:r w:rsidRPr="00D368F2">
        <w:rPr>
          <w:rFonts w:ascii="Georgia" w:hAnsi="Georgia"/>
          <w:sz w:val="24"/>
          <w:szCs w:val="24"/>
        </w:rPr>
        <w:t xml:space="preserve"> David Scott</w:t>
      </w:r>
      <w:r>
        <w:rPr>
          <w:rFonts w:ascii="Georgia" w:hAnsi="Georgia"/>
          <w:sz w:val="24"/>
          <w:szCs w:val="24"/>
        </w:rPr>
        <w:t>,</w:t>
      </w:r>
      <w:r w:rsidRPr="00D368F2">
        <w:rPr>
          <w:rFonts w:ascii="Georgia" w:hAnsi="Georgia"/>
          <w:sz w:val="24"/>
          <w:szCs w:val="24"/>
        </w:rPr>
        <w:t xml:space="preserve"> ‘Williams, Helen Maria’ in </w:t>
      </w:r>
      <w:r w:rsidRPr="00340F42">
        <w:rPr>
          <w:rFonts w:ascii="Georgia" w:hAnsi="Georgia"/>
          <w:i/>
          <w:sz w:val="24"/>
          <w:szCs w:val="24"/>
        </w:rPr>
        <w:t xml:space="preserve">The Oxford Encyclopedia of English Literature </w:t>
      </w:r>
      <w:r w:rsidRPr="00D368F2">
        <w:rPr>
          <w:rFonts w:ascii="Georgia" w:hAnsi="Georgia"/>
          <w:sz w:val="24"/>
          <w:szCs w:val="24"/>
        </w:rPr>
        <w:t>(Oxford: Oxford University Press, 2006)</w:t>
      </w:r>
    </w:p>
    <w:p w14:paraId="0049EB53" w14:textId="499FD1A5" w:rsidR="005B6073" w:rsidRPr="00D368F2" w:rsidRDefault="005B6073" w:rsidP="00126D91">
      <w:pPr>
        <w:spacing w:after="0" w:line="480" w:lineRule="auto"/>
        <w:ind w:left="360" w:hanging="360"/>
        <w:rPr>
          <w:rFonts w:ascii="Georgia" w:hAnsi="Georgia"/>
          <w:sz w:val="24"/>
          <w:szCs w:val="24"/>
        </w:rPr>
      </w:pPr>
      <w:r w:rsidRPr="00D368F2">
        <w:rPr>
          <w:rFonts w:ascii="Georgia" w:hAnsi="Georgia"/>
          <w:sz w:val="24"/>
          <w:szCs w:val="24"/>
        </w:rPr>
        <w:t>Knowles</w:t>
      </w:r>
      <w:r>
        <w:rPr>
          <w:rFonts w:ascii="Georgia" w:hAnsi="Georgia"/>
          <w:sz w:val="24"/>
          <w:szCs w:val="24"/>
        </w:rPr>
        <w:t xml:space="preserve">, </w:t>
      </w:r>
      <w:r w:rsidRPr="00D368F2">
        <w:rPr>
          <w:rFonts w:ascii="Georgia" w:hAnsi="Georgia"/>
          <w:sz w:val="24"/>
          <w:szCs w:val="24"/>
        </w:rPr>
        <w:t xml:space="preserve">Elizabeth </w:t>
      </w:r>
      <w:r>
        <w:rPr>
          <w:rFonts w:ascii="Georgia" w:hAnsi="Georgia"/>
          <w:sz w:val="24"/>
          <w:szCs w:val="24"/>
        </w:rPr>
        <w:t xml:space="preserve">ed., </w:t>
      </w:r>
      <w:r w:rsidRPr="00D368F2">
        <w:rPr>
          <w:rFonts w:ascii="Georgia" w:hAnsi="Georgia"/>
          <w:sz w:val="24"/>
          <w:szCs w:val="24"/>
        </w:rPr>
        <w:t xml:space="preserve">‘Romanticism’ in </w:t>
      </w:r>
      <w:r w:rsidRPr="00D368F2">
        <w:rPr>
          <w:rFonts w:ascii="Georgia" w:hAnsi="Georgia"/>
          <w:i/>
          <w:sz w:val="24"/>
          <w:szCs w:val="24"/>
        </w:rPr>
        <w:t>The Oxford Dictionary of Phrase and Fable</w:t>
      </w:r>
      <w:r>
        <w:rPr>
          <w:rFonts w:ascii="Georgia" w:hAnsi="Georgia"/>
          <w:sz w:val="24"/>
          <w:szCs w:val="24"/>
        </w:rPr>
        <w:t xml:space="preserve"> </w:t>
      </w:r>
      <w:r w:rsidRPr="00D368F2">
        <w:rPr>
          <w:rFonts w:ascii="Georgia" w:hAnsi="Georgia"/>
          <w:sz w:val="24"/>
          <w:szCs w:val="24"/>
        </w:rPr>
        <w:t>(Oxford: Oxford University Press, 2016)</w:t>
      </w:r>
    </w:p>
    <w:p w14:paraId="2ED579DD" w14:textId="46EDA0E8" w:rsidR="005B6073" w:rsidRPr="00D368F2" w:rsidRDefault="005B6073" w:rsidP="00126D91">
      <w:pPr>
        <w:spacing w:after="0" w:line="480" w:lineRule="auto"/>
        <w:ind w:left="360" w:hanging="360"/>
        <w:rPr>
          <w:rFonts w:ascii="Georgia" w:hAnsi="Georgia"/>
          <w:sz w:val="24"/>
          <w:szCs w:val="24"/>
        </w:rPr>
      </w:pPr>
      <w:r w:rsidRPr="00D368F2">
        <w:rPr>
          <w:rFonts w:ascii="Georgia" w:hAnsi="Georgia"/>
          <w:sz w:val="24"/>
          <w:szCs w:val="24"/>
        </w:rPr>
        <w:t>Kors</w:t>
      </w:r>
      <w:r>
        <w:rPr>
          <w:rFonts w:ascii="Georgia" w:hAnsi="Georgia"/>
          <w:sz w:val="24"/>
          <w:szCs w:val="24"/>
        </w:rPr>
        <w:t xml:space="preserve">, </w:t>
      </w:r>
      <w:r w:rsidRPr="00D368F2">
        <w:rPr>
          <w:rFonts w:ascii="Georgia" w:hAnsi="Georgia"/>
          <w:sz w:val="24"/>
          <w:szCs w:val="24"/>
        </w:rPr>
        <w:t>Alan Charles</w:t>
      </w:r>
      <w:r>
        <w:rPr>
          <w:rFonts w:ascii="Georgia" w:hAnsi="Georgia"/>
          <w:sz w:val="24"/>
          <w:szCs w:val="24"/>
        </w:rPr>
        <w:t xml:space="preserve"> ed.,</w:t>
      </w:r>
      <w:r w:rsidRPr="00D368F2">
        <w:rPr>
          <w:rFonts w:ascii="Georgia" w:hAnsi="Georgia"/>
          <w:sz w:val="24"/>
          <w:szCs w:val="24"/>
        </w:rPr>
        <w:t xml:space="preserve"> ‘Reason’ in </w:t>
      </w:r>
      <w:r w:rsidRPr="00D368F2">
        <w:rPr>
          <w:rFonts w:ascii="Georgia" w:hAnsi="Georgia"/>
          <w:i/>
          <w:sz w:val="24"/>
          <w:szCs w:val="24"/>
        </w:rPr>
        <w:t>Encyclopedia of the Enlightenment</w:t>
      </w:r>
      <w:r>
        <w:rPr>
          <w:rFonts w:ascii="Georgia" w:hAnsi="Georgia"/>
          <w:sz w:val="24"/>
          <w:szCs w:val="24"/>
        </w:rPr>
        <w:t xml:space="preserve"> </w:t>
      </w:r>
      <w:r w:rsidRPr="00D368F2">
        <w:rPr>
          <w:rFonts w:ascii="Georgia" w:hAnsi="Georgia"/>
          <w:sz w:val="24"/>
          <w:szCs w:val="24"/>
        </w:rPr>
        <w:t>(Oxford: Oxford University Press, 2005)</w:t>
      </w:r>
    </w:p>
    <w:p w14:paraId="4EB0DB4B" w14:textId="71903AF4" w:rsidR="005B6073" w:rsidRDefault="005B6073" w:rsidP="00126D91">
      <w:pPr>
        <w:spacing w:after="0" w:line="480" w:lineRule="auto"/>
        <w:ind w:left="360" w:hanging="360"/>
        <w:rPr>
          <w:rFonts w:ascii="Georgia" w:hAnsi="Georgia"/>
          <w:sz w:val="24"/>
          <w:szCs w:val="24"/>
        </w:rPr>
      </w:pPr>
      <w:r>
        <w:rPr>
          <w:rFonts w:ascii="Georgia" w:hAnsi="Georgia"/>
          <w:sz w:val="24"/>
          <w:szCs w:val="24"/>
        </w:rPr>
        <w:t xml:space="preserve">Market House Books, ‘Rousseau, Jean-Jacques’ in </w:t>
      </w:r>
      <w:r>
        <w:rPr>
          <w:rFonts w:ascii="Georgia" w:hAnsi="Georgia"/>
          <w:i/>
          <w:sz w:val="24"/>
          <w:szCs w:val="24"/>
        </w:rPr>
        <w:t>A Dictionary of World History</w:t>
      </w:r>
      <w:r>
        <w:rPr>
          <w:rFonts w:ascii="Georgia" w:hAnsi="Georgia"/>
          <w:sz w:val="24"/>
          <w:szCs w:val="24"/>
        </w:rPr>
        <w:t xml:space="preserve"> (Oxford: Oxford University Press, 2015)</w:t>
      </w:r>
    </w:p>
    <w:p w14:paraId="71D9A376" w14:textId="28D3757B" w:rsidR="005B6073" w:rsidRPr="00D368F2" w:rsidRDefault="005B6073" w:rsidP="00126D91">
      <w:pPr>
        <w:pStyle w:val="FootnoteText"/>
        <w:spacing w:line="480" w:lineRule="auto"/>
        <w:ind w:left="360" w:hanging="360"/>
        <w:rPr>
          <w:rFonts w:ascii="Georgia" w:hAnsi="Georgia"/>
          <w:sz w:val="24"/>
          <w:szCs w:val="24"/>
        </w:rPr>
      </w:pPr>
      <w:r w:rsidRPr="00D368F2">
        <w:rPr>
          <w:rFonts w:ascii="Georgia" w:hAnsi="Georgia"/>
          <w:sz w:val="24"/>
          <w:szCs w:val="24"/>
          <w:lang w:val="en-US"/>
        </w:rPr>
        <w:t>Mellor</w:t>
      </w:r>
      <w:r>
        <w:rPr>
          <w:rFonts w:ascii="Georgia" w:hAnsi="Georgia"/>
          <w:sz w:val="24"/>
          <w:szCs w:val="24"/>
          <w:lang w:val="en-US"/>
        </w:rPr>
        <w:t>,</w:t>
      </w:r>
      <w:r w:rsidRPr="00D368F2">
        <w:rPr>
          <w:rFonts w:ascii="Georgia" w:hAnsi="Georgia"/>
          <w:sz w:val="24"/>
          <w:szCs w:val="24"/>
        </w:rPr>
        <w:t xml:space="preserve"> Anne K.</w:t>
      </w:r>
      <w:r w:rsidRPr="00D368F2">
        <w:rPr>
          <w:rFonts w:ascii="Georgia" w:hAnsi="Georgia"/>
          <w:sz w:val="24"/>
          <w:szCs w:val="24"/>
          <w:lang w:val="en-US"/>
        </w:rPr>
        <w:t xml:space="preserve">, </w:t>
      </w:r>
      <w:r w:rsidRPr="00D368F2">
        <w:rPr>
          <w:rFonts w:ascii="Georgia" w:hAnsi="Georgia"/>
          <w:i/>
          <w:sz w:val="24"/>
          <w:szCs w:val="24"/>
          <w:lang w:val="en-US"/>
        </w:rPr>
        <w:t>Romanticism and Gender</w:t>
      </w:r>
      <w:r w:rsidRPr="00D368F2">
        <w:rPr>
          <w:rFonts w:ascii="Georgia" w:hAnsi="Georgia"/>
          <w:sz w:val="24"/>
          <w:szCs w:val="24"/>
          <w:lang w:val="en-US"/>
        </w:rPr>
        <w:t xml:space="preserve"> (New York: Routledge, 1993</w:t>
      </w:r>
      <w:r w:rsidR="006F7799">
        <w:rPr>
          <w:rFonts w:ascii="Georgia" w:hAnsi="Georgia"/>
          <w:sz w:val="24"/>
          <w:szCs w:val="24"/>
        </w:rPr>
        <w:t>)</w:t>
      </w:r>
    </w:p>
    <w:p w14:paraId="4560D031" w14:textId="2734C31B" w:rsidR="005B6073" w:rsidRPr="00D368F2" w:rsidRDefault="005B6073" w:rsidP="00126D91">
      <w:pPr>
        <w:spacing w:after="0" w:line="480" w:lineRule="auto"/>
        <w:ind w:left="360" w:hanging="360"/>
        <w:rPr>
          <w:rFonts w:ascii="Georgia" w:hAnsi="Georgia"/>
          <w:sz w:val="24"/>
          <w:szCs w:val="24"/>
        </w:rPr>
      </w:pPr>
      <w:r w:rsidRPr="00D368F2">
        <w:rPr>
          <w:rFonts w:ascii="Georgia" w:hAnsi="Georgia"/>
          <w:sz w:val="24"/>
          <w:szCs w:val="24"/>
          <w:lang w:val="en-US"/>
        </w:rPr>
        <w:t>More</w:t>
      </w:r>
      <w:r>
        <w:rPr>
          <w:rFonts w:ascii="Georgia" w:hAnsi="Georgia"/>
          <w:sz w:val="24"/>
          <w:szCs w:val="24"/>
          <w:lang w:val="en-US"/>
        </w:rPr>
        <w:t>,</w:t>
      </w:r>
      <w:r w:rsidRPr="00D368F2">
        <w:rPr>
          <w:rFonts w:ascii="Georgia" w:hAnsi="Georgia"/>
          <w:sz w:val="24"/>
          <w:szCs w:val="24"/>
          <w:lang w:val="en-US"/>
        </w:rPr>
        <w:t xml:space="preserve"> Hannah, ‘Essays on Various Subjects, Principally Designed for Young Ladies’, </w:t>
      </w:r>
      <w:r w:rsidRPr="00D368F2">
        <w:rPr>
          <w:rFonts w:ascii="Georgia" w:hAnsi="Georgia"/>
          <w:i/>
          <w:sz w:val="24"/>
          <w:szCs w:val="24"/>
          <w:lang w:val="en-US"/>
        </w:rPr>
        <w:t>Project Gutenberg</w:t>
      </w:r>
      <w:r w:rsidRPr="00D368F2">
        <w:rPr>
          <w:rFonts w:ascii="Georgia" w:hAnsi="Georgia"/>
          <w:sz w:val="24"/>
          <w:szCs w:val="24"/>
          <w:lang w:val="en-US"/>
        </w:rPr>
        <w:t>, 21 October 2006. &lt;https://www.gutenberg.org/fi</w:t>
      </w:r>
      <w:r w:rsidR="006F7799">
        <w:rPr>
          <w:rFonts w:ascii="Georgia" w:hAnsi="Georgia"/>
          <w:sz w:val="24"/>
          <w:szCs w:val="24"/>
          <w:lang w:val="en-US"/>
        </w:rPr>
        <w:t>l</w:t>
      </w:r>
      <w:r w:rsidRPr="00D368F2">
        <w:rPr>
          <w:rFonts w:ascii="Georgia" w:hAnsi="Georgia"/>
          <w:sz w:val="24"/>
          <w:szCs w:val="24"/>
          <w:lang w:val="en-US"/>
        </w:rPr>
        <w:t>es/19595/19595-h/19595-h.htm&gt; Accessed 12 December 2017</w:t>
      </w:r>
    </w:p>
    <w:p w14:paraId="2E1FB80D" w14:textId="0DB4CEE5"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lang w:val="en-US"/>
        </w:rPr>
        <w:t>Nagl-Docekal, Herta</w:t>
      </w:r>
      <w:r>
        <w:rPr>
          <w:rFonts w:ascii="Georgia" w:hAnsi="Georgia"/>
          <w:sz w:val="24"/>
          <w:szCs w:val="24"/>
          <w:lang w:val="en-US"/>
        </w:rPr>
        <w:t>,</w:t>
      </w:r>
      <w:r w:rsidRPr="00D368F2">
        <w:rPr>
          <w:rFonts w:ascii="Georgia" w:hAnsi="Georgia"/>
          <w:sz w:val="24"/>
          <w:szCs w:val="24"/>
          <w:lang w:val="en-US"/>
        </w:rPr>
        <w:t xml:space="preserve"> ‘The Feminist Critique of Reason Revisited’, </w:t>
      </w:r>
      <w:r w:rsidRPr="00D368F2">
        <w:rPr>
          <w:rFonts w:ascii="Georgia" w:hAnsi="Georgia"/>
          <w:i/>
          <w:sz w:val="24"/>
          <w:szCs w:val="24"/>
          <w:lang w:val="en-US"/>
        </w:rPr>
        <w:t>Hypatia</w:t>
      </w:r>
      <w:r w:rsidRPr="00D368F2">
        <w:rPr>
          <w:rFonts w:ascii="Georgia" w:hAnsi="Georgia"/>
          <w:sz w:val="24"/>
          <w:szCs w:val="24"/>
          <w:lang w:val="en-US"/>
        </w:rPr>
        <w:t xml:space="preserve"> 14.1 (1999), 49-76</w:t>
      </w:r>
    </w:p>
    <w:p w14:paraId="2AD75FDD" w14:textId="77777777" w:rsidR="006F7799" w:rsidRPr="00D368F2" w:rsidRDefault="006F7799" w:rsidP="006F7799">
      <w:pPr>
        <w:spacing w:after="0" w:line="480" w:lineRule="auto"/>
        <w:ind w:left="360" w:hanging="360"/>
        <w:rPr>
          <w:rFonts w:ascii="Georgia" w:hAnsi="Georgia"/>
          <w:sz w:val="24"/>
          <w:szCs w:val="24"/>
          <w:lang w:val="en-US"/>
        </w:rPr>
      </w:pPr>
      <w:r w:rsidRPr="00D368F2">
        <w:rPr>
          <w:rFonts w:ascii="Georgia" w:hAnsi="Georgia"/>
          <w:sz w:val="24"/>
          <w:szCs w:val="24"/>
          <w:lang w:val="en-US"/>
        </w:rPr>
        <w:lastRenderedPageBreak/>
        <w:t>Perry, Seamus</w:t>
      </w:r>
      <w:r>
        <w:rPr>
          <w:rFonts w:ascii="Georgia" w:hAnsi="Georgia"/>
          <w:sz w:val="24"/>
          <w:szCs w:val="24"/>
          <w:lang w:val="en-US"/>
        </w:rPr>
        <w:t>,</w:t>
      </w:r>
      <w:r w:rsidRPr="00D368F2">
        <w:rPr>
          <w:rFonts w:ascii="Georgia" w:hAnsi="Georgia"/>
          <w:sz w:val="24"/>
          <w:szCs w:val="24"/>
          <w:lang w:val="en-US"/>
        </w:rPr>
        <w:t xml:space="preserve"> </w:t>
      </w:r>
      <w:r w:rsidRPr="00D368F2">
        <w:rPr>
          <w:rFonts w:ascii="Georgia" w:hAnsi="Georgia"/>
          <w:i/>
          <w:sz w:val="24"/>
          <w:szCs w:val="24"/>
          <w:lang w:val="en-US"/>
        </w:rPr>
        <w:t>Coleridge and the Uses of Division</w:t>
      </w:r>
      <w:r w:rsidRPr="00D368F2">
        <w:rPr>
          <w:rFonts w:ascii="Georgia" w:hAnsi="Georgia"/>
          <w:sz w:val="24"/>
          <w:szCs w:val="24"/>
          <w:lang w:val="en-US"/>
        </w:rPr>
        <w:t xml:space="preserve"> (Oxford: Clarendon Press, 1999)</w:t>
      </w:r>
    </w:p>
    <w:p w14:paraId="11E492CF" w14:textId="3C344B74" w:rsidR="005B6073" w:rsidRPr="00D368F2" w:rsidRDefault="005B6073" w:rsidP="00126D91">
      <w:pPr>
        <w:spacing w:after="0" w:line="480" w:lineRule="auto"/>
        <w:ind w:left="360" w:hanging="360"/>
        <w:rPr>
          <w:rFonts w:ascii="Georgia" w:hAnsi="Georgia"/>
          <w:sz w:val="24"/>
          <w:szCs w:val="24"/>
          <w:lang w:val="en-US"/>
        </w:rPr>
      </w:pPr>
      <w:r w:rsidRPr="00D368F2">
        <w:rPr>
          <w:rFonts w:ascii="Georgia" w:hAnsi="Georgia"/>
          <w:sz w:val="24"/>
          <w:szCs w:val="24"/>
          <w:lang w:val="en-US"/>
        </w:rPr>
        <w:t>Polwhele, Richard</w:t>
      </w:r>
      <w:r>
        <w:rPr>
          <w:rFonts w:ascii="Georgia" w:hAnsi="Georgia"/>
          <w:sz w:val="24"/>
          <w:szCs w:val="24"/>
          <w:lang w:val="en-US"/>
        </w:rPr>
        <w:t>,</w:t>
      </w:r>
      <w:r w:rsidRPr="00D368F2">
        <w:rPr>
          <w:rFonts w:ascii="Georgia" w:hAnsi="Georgia"/>
          <w:sz w:val="24"/>
          <w:szCs w:val="24"/>
          <w:lang w:val="en-US"/>
        </w:rPr>
        <w:t xml:space="preserve"> ‘The Unsex’d Female’, </w:t>
      </w:r>
      <w:r w:rsidRPr="00D368F2">
        <w:rPr>
          <w:rFonts w:ascii="Georgia" w:hAnsi="Georgia"/>
          <w:i/>
          <w:sz w:val="24"/>
          <w:szCs w:val="24"/>
          <w:lang w:val="en-US"/>
        </w:rPr>
        <w:t>University of Oxford Text Archive</w:t>
      </w:r>
      <w:r w:rsidRPr="00D368F2">
        <w:rPr>
          <w:rFonts w:ascii="Georgia" w:hAnsi="Georgia"/>
          <w:sz w:val="24"/>
          <w:szCs w:val="24"/>
          <w:lang w:val="en-US"/>
        </w:rPr>
        <w:t>, &lt;http://ota.ox.ac.uk/text/3251.html&gt;. Accessed 12 December 2017</w:t>
      </w:r>
    </w:p>
    <w:p w14:paraId="08E0B8A3" w14:textId="77777777"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lang w:val="en-US"/>
        </w:rPr>
        <w:t>Rousseau, Jean-Jacques</w:t>
      </w:r>
      <w:r>
        <w:rPr>
          <w:rFonts w:ascii="Georgia" w:hAnsi="Georgia"/>
          <w:sz w:val="24"/>
          <w:szCs w:val="24"/>
          <w:lang w:val="en-US"/>
        </w:rPr>
        <w:t>,</w:t>
      </w:r>
      <w:r w:rsidRPr="00D368F2">
        <w:rPr>
          <w:rFonts w:ascii="Georgia" w:hAnsi="Georgia"/>
          <w:sz w:val="24"/>
          <w:szCs w:val="24"/>
          <w:lang w:val="en-US"/>
        </w:rPr>
        <w:t xml:space="preserve"> </w:t>
      </w:r>
      <w:r w:rsidRPr="00D368F2">
        <w:rPr>
          <w:rFonts w:ascii="Georgia" w:hAnsi="Georgia"/>
          <w:i/>
          <w:sz w:val="24"/>
          <w:szCs w:val="24"/>
          <w:lang w:val="en-US"/>
        </w:rPr>
        <w:t>Emile</w:t>
      </w:r>
      <w:r w:rsidRPr="00D368F2">
        <w:rPr>
          <w:rFonts w:ascii="Georgia" w:hAnsi="Georgia"/>
          <w:sz w:val="24"/>
          <w:szCs w:val="24"/>
          <w:lang w:val="en-US"/>
        </w:rPr>
        <w:t xml:space="preserve"> (New York: Dover Publications, 2013</w:t>
      </w:r>
      <w:r>
        <w:rPr>
          <w:rFonts w:ascii="Georgia" w:hAnsi="Georgia"/>
          <w:sz w:val="24"/>
          <w:szCs w:val="24"/>
          <w:lang w:val="en-US"/>
        </w:rPr>
        <w:t>)</w:t>
      </w:r>
    </w:p>
    <w:p w14:paraId="301809DA" w14:textId="77777777" w:rsidR="005B6073" w:rsidRPr="00D368F2" w:rsidRDefault="005B6073" w:rsidP="00126D91">
      <w:pPr>
        <w:spacing w:after="0" w:line="480" w:lineRule="auto"/>
        <w:ind w:left="360" w:hanging="360"/>
        <w:rPr>
          <w:rFonts w:ascii="Georgia" w:hAnsi="Georgia"/>
          <w:sz w:val="24"/>
          <w:szCs w:val="24"/>
          <w:lang w:val="en-US"/>
        </w:rPr>
      </w:pPr>
      <w:r w:rsidRPr="00D368F2">
        <w:rPr>
          <w:rFonts w:ascii="Georgia" w:hAnsi="Georgia"/>
          <w:sz w:val="24"/>
          <w:szCs w:val="24"/>
        </w:rPr>
        <w:t>Rousseau</w:t>
      </w:r>
      <w:r>
        <w:rPr>
          <w:rFonts w:ascii="Georgia" w:hAnsi="Georgia"/>
          <w:sz w:val="24"/>
          <w:szCs w:val="24"/>
        </w:rPr>
        <w:t xml:space="preserve">, </w:t>
      </w:r>
      <w:r w:rsidRPr="00D368F2">
        <w:rPr>
          <w:rFonts w:ascii="Georgia" w:hAnsi="Georgia"/>
          <w:sz w:val="24"/>
          <w:szCs w:val="24"/>
        </w:rPr>
        <w:t xml:space="preserve">Jean-Jacques, </w:t>
      </w:r>
      <w:r w:rsidRPr="00D368F2">
        <w:rPr>
          <w:rFonts w:ascii="Georgia" w:hAnsi="Georgia"/>
          <w:i/>
          <w:sz w:val="24"/>
          <w:szCs w:val="24"/>
          <w:lang w:val="en-US"/>
        </w:rPr>
        <w:t>Emile, or On Education</w:t>
      </w:r>
      <w:r w:rsidRPr="00D368F2">
        <w:rPr>
          <w:rFonts w:ascii="Georgia" w:hAnsi="Georgia"/>
          <w:sz w:val="24"/>
          <w:szCs w:val="24"/>
          <w:lang w:val="en-US"/>
        </w:rPr>
        <w:t xml:space="preserve"> (London: Penguin Books</w:t>
      </w:r>
      <w:r>
        <w:rPr>
          <w:rFonts w:ascii="Georgia" w:hAnsi="Georgia"/>
          <w:sz w:val="24"/>
          <w:szCs w:val="24"/>
          <w:lang w:val="en-US"/>
        </w:rPr>
        <w:t>)</w:t>
      </w:r>
    </w:p>
    <w:p w14:paraId="253EB25C" w14:textId="1D8AFD08"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lang w:val="en-US"/>
        </w:rPr>
        <w:t xml:space="preserve">Todd, </w:t>
      </w:r>
      <w:r>
        <w:rPr>
          <w:rFonts w:ascii="Georgia" w:hAnsi="Georgia"/>
          <w:sz w:val="24"/>
          <w:szCs w:val="24"/>
          <w:lang w:val="en-US"/>
        </w:rPr>
        <w:t xml:space="preserve">Janet, </w:t>
      </w:r>
      <w:r w:rsidRPr="00D368F2">
        <w:rPr>
          <w:rFonts w:ascii="Georgia" w:hAnsi="Georgia"/>
          <w:sz w:val="24"/>
          <w:szCs w:val="24"/>
          <w:lang w:val="en-US"/>
        </w:rPr>
        <w:t>Sensibility: An Introduction (London: Methuen, 1986)</w:t>
      </w:r>
    </w:p>
    <w:p w14:paraId="714D35CE" w14:textId="38C25F37" w:rsidR="005B6073" w:rsidRPr="00D368F2" w:rsidRDefault="005B6073" w:rsidP="00126D91">
      <w:pPr>
        <w:spacing w:after="0" w:line="480" w:lineRule="auto"/>
        <w:ind w:left="360" w:hanging="360"/>
        <w:rPr>
          <w:rFonts w:ascii="Georgia" w:hAnsi="Georgia"/>
          <w:sz w:val="24"/>
          <w:szCs w:val="24"/>
          <w:lang w:val="en-US"/>
        </w:rPr>
      </w:pPr>
      <w:r>
        <w:rPr>
          <w:rFonts w:ascii="Georgia" w:hAnsi="Georgia"/>
          <w:sz w:val="24"/>
          <w:szCs w:val="24"/>
          <w:lang w:val="en-US"/>
        </w:rPr>
        <w:t xml:space="preserve">Wollstonecraft, </w:t>
      </w:r>
      <w:r w:rsidRPr="00D368F2">
        <w:rPr>
          <w:rFonts w:ascii="Georgia" w:hAnsi="Georgia"/>
          <w:sz w:val="24"/>
          <w:szCs w:val="24"/>
          <w:lang w:val="en-US"/>
        </w:rPr>
        <w:t xml:space="preserve">Mary, </w:t>
      </w:r>
      <w:r w:rsidRPr="00D368F2">
        <w:rPr>
          <w:rFonts w:ascii="Georgia" w:hAnsi="Georgia"/>
          <w:i/>
          <w:sz w:val="24"/>
          <w:szCs w:val="24"/>
          <w:lang w:val="en-US"/>
        </w:rPr>
        <w:t>A Vindication of the Rights of Woman</w:t>
      </w:r>
      <w:r w:rsidRPr="00D368F2">
        <w:rPr>
          <w:rFonts w:ascii="Georgia" w:hAnsi="Georgia"/>
          <w:sz w:val="24"/>
          <w:szCs w:val="24"/>
          <w:lang w:val="en-US"/>
        </w:rPr>
        <w:t xml:space="preserve"> (London: Penguin Books, 2004)</w:t>
      </w:r>
    </w:p>
    <w:p w14:paraId="3A161D7E" w14:textId="77777777" w:rsidR="005B6073" w:rsidRPr="00D368F2" w:rsidRDefault="005B6073" w:rsidP="00126D91">
      <w:pPr>
        <w:pStyle w:val="FootnoteText"/>
        <w:spacing w:line="480" w:lineRule="auto"/>
        <w:ind w:left="360" w:hanging="360"/>
        <w:rPr>
          <w:rFonts w:ascii="Georgia" w:hAnsi="Georgia"/>
          <w:sz w:val="24"/>
          <w:szCs w:val="24"/>
          <w:lang w:val="en-US"/>
        </w:rPr>
      </w:pPr>
      <w:r w:rsidRPr="00D368F2">
        <w:rPr>
          <w:rFonts w:ascii="Georgia" w:hAnsi="Georgia"/>
          <w:sz w:val="24"/>
          <w:szCs w:val="24"/>
        </w:rPr>
        <w:t>Wordsworth, William</w:t>
      </w:r>
      <w:r>
        <w:rPr>
          <w:rFonts w:ascii="Georgia" w:hAnsi="Georgia"/>
          <w:sz w:val="24"/>
          <w:szCs w:val="24"/>
        </w:rPr>
        <w:t>,</w:t>
      </w:r>
      <w:r w:rsidRPr="00D368F2">
        <w:rPr>
          <w:rFonts w:ascii="Georgia" w:hAnsi="Georgia"/>
          <w:sz w:val="24"/>
          <w:szCs w:val="24"/>
        </w:rPr>
        <w:t xml:space="preserve"> ‘</w:t>
      </w:r>
      <w:r w:rsidRPr="00D368F2">
        <w:rPr>
          <w:rFonts w:ascii="Georgia" w:hAnsi="Georgia"/>
          <w:sz w:val="24"/>
          <w:szCs w:val="24"/>
          <w:lang w:val="en-US"/>
        </w:rPr>
        <w:t xml:space="preserve">Preface to Lyrical Ballads’, </w:t>
      </w:r>
      <w:r w:rsidRPr="00D368F2">
        <w:rPr>
          <w:rFonts w:ascii="Georgia" w:hAnsi="Georgia"/>
          <w:i/>
          <w:sz w:val="24"/>
          <w:szCs w:val="24"/>
          <w:lang w:val="en-US"/>
        </w:rPr>
        <w:t>Bartleby</w:t>
      </w:r>
      <w:r w:rsidRPr="00D368F2">
        <w:rPr>
          <w:rFonts w:ascii="Georgia" w:hAnsi="Georgia"/>
          <w:sz w:val="24"/>
          <w:szCs w:val="24"/>
          <w:lang w:val="en-US"/>
        </w:rPr>
        <w:t>, 26 April 2001. &lt;http://www.bartleby.com/39/36.html&gt;. Accessed 12 December 2017</w:t>
      </w:r>
    </w:p>
    <w:sectPr w:rsidR="005B6073" w:rsidRPr="00D368F2" w:rsidSect="007A6B7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A4F99" w14:textId="77777777" w:rsidR="00A148CB" w:rsidRDefault="00A148CB" w:rsidP="007A6B7C">
      <w:pPr>
        <w:spacing w:after="0" w:line="240" w:lineRule="auto"/>
      </w:pPr>
      <w:r>
        <w:separator/>
      </w:r>
    </w:p>
  </w:endnote>
  <w:endnote w:type="continuationSeparator" w:id="0">
    <w:p w14:paraId="6D690E90" w14:textId="77777777" w:rsidR="00A148CB" w:rsidRDefault="00A148CB" w:rsidP="007A6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6CF6EB" w14:textId="77777777" w:rsidR="00A148CB" w:rsidRDefault="00A148CB" w:rsidP="007A6B7C">
      <w:pPr>
        <w:spacing w:after="0" w:line="240" w:lineRule="auto"/>
      </w:pPr>
      <w:r>
        <w:separator/>
      </w:r>
    </w:p>
  </w:footnote>
  <w:footnote w:type="continuationSeparator" w:id="0">
    <w:p w14:paraId="097282D1" w14:textId="77777777" w:rsidR="00A148CB" w:rsidRDefault="00A148CB" w:rsidP="007A6B7C">
      <w:pPr>
        <w:spacing w:after="0" w:line="240" w:lineRule="auto"/>
      </w:pPr>
      <w:r>
        <w:continuationSeparator/>
      </w:r>
    </w:p>
  </w:footnote>
  <w:footnote w:id="1">
    <w:p w14:paraId="38B045A9" w14:textId="6DBCD561" w:rsidR="002A3D0A" w:rsidRPr="00430B03" w:rsidRDefault="002A3D0A">
      <w:pPr>
        <w:pStyle w:val="FootnoteText"/>
        <w:rPr>
          <w:lang w:val="en-US"/>
        </w:rPr>
      </w:pPr>
      <w:r>
        <w:rPr>
          <w:rStyle w:val="FootnoteReference"/>
        </w:rPr>
        <w:footnoteRef/>
      </w:r>
      <w:r>
        <w:t xml:space="preserve"> ‘Reason’ in </w:t>
      </w:r>
      <w:r w:rsidRPr="006C5F3F">
        <w:rPr>
          <w:i/>
        </w:rPr>
        <w:t>Encyclopedia of the Enlightenment</w:t>
      </w:r>
      <w:r>
        <w:t>, ed. by Alan Charles Kors (Oxford: Oxford University Press, 2005).</w:t>
      </w:r>
    </w:p>
  </w:footnote>
  <w:footnote w:id="2">
    <w:p w14:paraId="52781800" w14:textId="5E6FD07C" w:rsidR="002A3D0A" w:rsidRPr="00846717" w:rsidRDefault="002A3D0A">
      <w:pPr>
        <w:pStyle w:val="FootnoteText"/>
        <w:rPr>
          <w:lang w:val="en-US"/>
        </w:rPr>
      </w:pPr>
      <w:r>
        <w:rPr>
          <w:rStyle w:val="FootnoteReference"/>
        </w:rPr>
        <w:footnoteRef/>
      </w:r>
      <w:r>
        <w:t xml:space="preserve"> </w:t>
      </w:r>
      <w:r>
        <w:rPr>
          <w:lang w:val="en-US"/>
        </w:rPr>
        <w:t xml:space="preserve">Janet Todd, </w:t>
      </w:r>
      <w:r w:rsidRPr="00BD54BA">
        <w:rPr>
          <w:i/>
          <w:lang w:val="en-US"/>
        </w:rPr>
        <w:t>Sensibility: An Introduction</w:t>
      </w:r>
      <w:r>
        <w:rPr>
          <w:lang w:val="en-US"/>
        </w:rPr>
        <w:t xml:space="preserve"> (London: Methuen, 1986), p. 19.</w:t>
      </w:r>
    </w:p>
  </w:footnote>
  <w:footnote w:id="3">
    <w:p w14:paraId="0C6FAC73" w14:textId="00C39406" w:rsidR="002A3D0A" w:rsidRPr="0050526F" w:rsidRDefault="002A3D0A">
      <w:pPr>
        <w:pStyle w:val="FootnoteText"/>
        <w:rPr>
          <w:lang w:val="en-US"/>
        </w:rPr>
      </w:pPr>
      <w:r>
        <w:rPr>
          <w:rStyle w:val="FootnoteReference"/>
        </w:rPr>
        <w:footnoteRef/>
      </w:r>
      <w:r>
        <w:t xml:space="preserve"> </w:t>
      </w:r>
      <w:r>
        <w:rPr>
          <w:lang w:val="en-US"/>
        </w:rPr>
        <w:t>Ibid.</w:t>
      </w:r>
    </w:p>
  </w:footnote>
  <w:footnote w:id="4">
    <w:p w14:paraId="7935F7A6" w14:textId="6EED5B2B" w:rsidR="002A3D0A" w:rsidRPr="000F759E" w:rsidRDefault="002A3D0A" w:rsidP="00430B03">
      <w:pPr>
        <w:pStyle w:val="FootnoteText"/>
        <w:rPr>
          <w:lang w:val="en-US"/>
        </w:rPr>
      </w:pPr>
      <w:r>
        <w:rPr>
          <w:rStyle w:val="FootnoteReference"/>
        </w:rPr>
        <w:footnoteRef/>
      </w:r>
      <w:r>
        <w:t xml:space="preserve"> Jean-Jacques Rousseau, </w:t>
      </w:r>
      <w:r w:rsidRPr="009328F3">
        <w:rPr>
          <w:i/>
          <w:lang w:val="en-US"/>
        </w:rPr>
        <w:t>Emile, or On Education</w:t>
      </w:r>
      <w:r>
        <w:rPr>
          <w:lang w:val="en-US"/>
        </w:rPr>
        <w:t xml:space="preserve"> (London: Penguin Books</w:t>
      </w:r>
      <w:r w:rsidR="00BD54BA">
        <w:rPr>
          <w:lang w:val="en-US"/>
        </w:rPr>
        <w:t>, 1991</w:t>
      </w:r>
      <w:r>
        <w:rPr>
          <w:lang w:val="en-US"/>
        </w:rPr>
        <w:t>), p. 358.</w:t>
      </w:r>
    </w:p>
  </w:footnote>
  <w:footnote w:id="5">
    <w:p w14:paraId="3E41F462" w14:textId="20951E7C" w:rsidR="002A3D0A" w:rsidRPr="00430B03" w:rsidRDefault="002A3D0A">
      <w:pPr>
        <w:pStyle w:val="FootnoteText"/>
        <w:rPr>
          <w:lang w:val="en-US"/>
        </w:rPr>
      </w:pPr>
      <w:r>
        <w:rPr>
          <w:rStyle w:val="FootnoteReference"/>
        </w:rPr>
        <w:footnoteRef/>
      </w:r>
      <w:r>
        <w:t xml:space="preserve"> </w:t>
      </w:r>
      <w:r>
        <w:rPr>
          <w:lang w:val="en-US"/>
        </w:rPr>
        <w:t xml:space="preserve">Jean-Jacques Rousseau, </w:t>
      </w:r>
      <w:r w:rsidRPr="00600B6D">
        <w:rPr>
          <w:i/>
          <w:lang w:val="en-US"/>
        </w:rPr>
        <w:t>Emile</w:t>
      </w:r>
      <w:r>
        <w:rPr>
          <w:lang w:val="en-US"/>
        </w:rPr>
        <w:t xml:space="preserve"> (New York: Dover Publications, 2013), p. 388.</w:t>
      </w:r>
    </w:p>
  </w:footnote>
  <w:footnote w:id="6">
    <w:p w14:paraId="3BB48BCF" w14:textId="2BD0A78F" w:rsidR="002A3D0A" w:rsidRPr="00E54DB2" w:rsidRDefault="002A3D0A">
      <w:pPr>
        <w:pStyle w:val="FootnoteText"/>
        <w:rPr>
          <w:lang w:val="en-US"/>
        </w:rPr>
      </w:pPr>
      <w:r>
        <w:rPr>
          <w:rStyle w:val="FootnoteReference"/>
        </w:rPr>
        <w:footnoteRef/>
      </w:r>
      <w:r>
        <w:t xml:space="preserve"> </w:t>
      </w:r>
      <w:r w:rsidR="005553D6">
        <w:t>Edmund</w:t>
      </w:r>
      <w:r>
        <w:t xml:space="preserve"> Burke, </w:t>
      </w:r>
      <w:r w:rsidRPr="00681A55">
        <w:rPr>
          <w:i/>
          <w:lang w:val="en-US"/>
        </w:rPr>
        <w:t>Reflections on the Revolution in France, Volumes 1-2</w:t>
      </w:r>
      <w:r>
        <w:rPr>
          <w:lang w:val="en-US"/>
        </w:rPr>
        <w:t xml:space="preserve"> (London: John Sharpe, 1820), p. 107.</w:t>
      </w:r>
    </w:p>
  </w:footnote>
  <w:footnote w:id="7">
    <w:p w14:paraId="3E6F28F6" w14:textId="6D0105C5" w:rsidR="002A3D0A" w:rsidRPr="00E632A3" w:rsidRDefault="002A3D0A">
      <w:pPr>
        <w:pStyle w:val="FootnoteText"/>
        <w:rPr>
          <w:lang w:val="en-US"/>
        </w:rPr>
      </w:pPr>
      <w:r>
        <w:rPr>
          <w:rStyle w:val="FootnoteReference"/>
        </w:rPr>
        <w:footnoteRef/>
      </w:r>
      <w:r>
        <w:t xml:space="preserve"> </w:t>
      </w:r>
      <w:r>
        <w:rPr>
          <w:lang w:val="en-US"/>
        </w:rPr>
        <w:t xml:space="preserve">Mary Wollstonecraft, </w:t>
      </w:r>
      <w:r w:rsidRPr="001C0152">
        <w:rPr>
          <w:i/>
          <w:lang w:val="en-US"/>
        </w:rPr>
        <w:t>A Vindication of the Rights of Woman</w:t>
      </w:r>
      <w:r>
        <w:rPr>
          <w:lang w:val="en-US"/>
        </w:rPr>
        <w:t xml:space="preserve"> (London: Penguin Books, 2004), p.48.</w:t>
      </w:r>
    </w:p>
  </w:footnote>
  <w:footnote w:id="8">
    <w:p w14:paraId="74D4166F" w14:textId="41E036EA" w:rsidR="002A3D0A" w:rsidRPr="00AD72D0" w:rsidRDefault="002A3D0A">
      <w:pPr>
        <w:pStyle w:val="FootnoteText"/>
        <w:rPr>
          <w:lang w:val="en-US"/>
        </w:rPr>
      </w:pPr>
      <w:r>
        <w:rPr>
          <w:rStyle w:val="FootnoteReference"/>
        </w:rPr>
        <w:footnoteRef/>
      </w:r>
      <w:r>
        <w:t xml:space="preserve"> </w:t>
      </w:r>
      <w:r>
        <w:rPr>
          <w:lang w:val="en-US"/>
        </w:rPr>
        <w:t>Ibid. pp.40-41.</w:t>
      </w:r>
    </w:p>
  </w:footnote>
  <w:footnote w:id="9">
    <w:p w14:paraId="2431FD03" w14:textId="7B4F657A" w:rsidR="002A3D0A" w:rsidRPr="004B50D4" w:rsidRDefault="002A3D0A">
      <w:pPr>
        <w:pStyle w:val="FootnoteText"/>
        <w:rPr>
          <w:lang w:val="en-US"/>
        </w:rPr>
      </w:pPr>
      <w:r>
        <w:rPr>
          <w:rStyle w:val="FootnoteReference"/>
        </w:rPr>
        <w:footnoteRef/>
      </w:r>
      <w:r>
        <w:t xml:space="preserve"> </w:t>
      </w:r>
      <w:r>
        <w:rPr>
          <w:lang w:val="en-US"/>
        </w:rPr>
        <w:t xml:space="preserve">Richard Polwhele, ‘The Unsex’d Female’, </w:t>
      </w:r>
      <w:r w:rsidRPr="00761947">
        <w:rPr>
          <w:i/>
          <w:lang w:val="en-US"/>
        </w:rPr>
        <w:t>University of Oxford Text Archive</w:t>
      </w:r>
      <w:r>
        <w:rPr>
          <w:lang w:val="en-US"/>
        </w:rPr>
        <w:t>, &lt;http://ota.ox.ac.uk/text/3251.html&gt;. Accessed 12 December 2017.</w:t>
      </w:r>
    </w:p>
  </w:footnote>
  <w:footnote w:id="10">
    <w:p w14:paraId="186E7512" w14:textId="783307CD" w:rsidR="002A3D0A" w:rsidRPr="00630DAF" w:rsidRDefault="002A3D0A">
      <w:pPr>
        <w:pStyle w:val="FootnoteText"/>
        <w:rPr>
          <w:lang w:val="en-US"/>
        </w:rPr>
      </w:pPr>
      <w:r>
        <w:rPr>
          <w:rStyle w:val="FootnoteReference"/>
        </w:rPr>
        <w:footnoteRef/>
      </w:r>
      <w:r>
        <w:t xml:space="preserve"> </w:t>
      </w:r>
      <w:r>
        <w:rPr>
          <w:lang w:val="en-US"/>
        </w:rPr>
        <w:t>Ibid.</w:t>
      </w:r>
    </w:p>
  </w:footnote>
  <w:footnote w:id="11">
    <w:p w14:paraId="1391EB8A" w14:textId="3511FD15" w:rsidR="002A3D0A" w:rsidRPr="00FA67B0" w:rsidRDefault="002A3D0A">
      <w:pPr>
        <w:pStyle w:val="FootnoteText"/>
        <w:rPr>
          <w:lang w:val="en-US"/>
        </w:rPr>
      </w:pPr>
      <w:r>
        <w:rPr>
          <w:rStyle w:val="FootnoteReference"/>
        </w:rPr>
        <w:footnoteRef/>
      </w:r>
      <w:r>
        <w:t xml:space="preserve"> ‘Romanticism’ in </w:t>
      </w:r>
      <w:r w:rsidRPr="00B97404">
        <w:rPr>
          <w:i/>
        </w:rPr>
        <w:t>The Oxford Dictionary of Phrase and Fable</w:t>
      </w:r>
      <w:r>
        <w:t>, ed. by Elizabeth Knowles (Oxford: Oxford University Press, 2016).</w:t>
      </w:r>
    </w:p>
  </w:footnote>
  <w:footnote w:id="12">
    <w:p w14:paraId="3AAF6121" w14:textId="682EFF91" w:rsidR="002A3D0A" w:rsidRPr="004C555C" w:rsidRDefault="002A3D0A">
      <w:pPr>
        <w:pStyle w:val="FootnoteText"/>
        <w:rPr>
          <w:lang w:val="en-US"/>
        </w:rPr>
      </w:pPr>
      <w:r>
        <w:rPr>
          <w:rStyle w:val="FootnoteReference"/>
        </w:rPr>
        <w:footnoteRef/>
      </w:r>
      <w:r>
        <w:t xml:space="preserve"> </w:t>
      </w:r>
      <w:r>
        <w:rPr>
          <w:lang w:val="en-US"/>
        </w:rPr>
        <w:t xml:space="preserve">Herta Nagl-Docekal, ‘The Feminist Critique of Reason Revisited’, </w:t>
      </w:r>
      <w:r w:rsidRPr="004C555C">
        <w:rPr>
          <w:i/>
          <w:lang w:val="en-US"/>
        </w:rPr>
        <w:t>Hypatia</w:t>
      </w:r>
      <w:r>
        <w:rPr>
          <w:lang w:val="en-US"/>
        </w:rPr>
        <w:t xml:space="preserve"> 14.1 (1999)</w:t>
      </w:r>
      <w:r w:rsidR="00EC5B4D">
        <w:rPr>
          <w:lang w:val="en-US"/>
        </w:rPr>
        <w:t>, 49-76.</w:t>
      </w:r>
    </w:p>
  </w:footnote>
  <w:footnote w:id="13">
    <w:p w14:paraId="6F27C89A" w14:textId="3F7DFED5" w:rsidR="002A3D0A" w:rsidRPr="004B6BEC" w:rsidRDefault="002A3D0A">
      <w:pPr>
        <w:pStyle w:val="FootnoteText"/>
        <w:rPr>
          <w:lang w:val="en-US"/>
        </w:rPr>
      </w:pPr>
      <w:r>
        <w:rPr>
          <w:rStyle w:val="FootnoteReference"/>
        </w:rPr>
        <w:footnoteRef/>
      </w:r>
      <w:r>
        <w:t xml:space="preserve"> </w:t>
      </w:r>
      <w:r>
        <w:rPr>
          <w:lang w:val="en-US"/>
        </w:rPr>
        <w:t xml:space="preserve">Samuel Taylor Coleridge, </w:t>
      </w:r>
      <w:r w:rsidRPr="00625C79">
        <w:rPr>
          <w:i/>
          <w:lang w:val="en-US"/>
        </w:rPr>
        <w:t>Table Talk</w:t>
      </w:r>
      <w:r>
        <w:rPr>
          <w:lang w:val="en-US"/>
        </w:rPr>
        <w:t xml:space="preserve">, cited in Seamus Perry, </w:t>
      </w:r>
      <w:r w:rsidRPr="00625C79">
        <w:rPr>
          <w:i/>
          <w:lang w:val="en-US"/>
        </w:rPr>
        <w:t>Coleridge and the Uses of Division</w:t>
      </w:r>
      <w:r>
        <w:rPr>
          <w:lang w:val="en-US"/>
        </w:rPr>
        <w:t xml:space="preserve"> (Oxford: Clarendon Press, 1999), p. 177.</w:t>
      </w:r>
    </w:p>
  </w:footnote>
  <w:footnote w:id="14">
    <w:p w14:paraId="261F266C" w14:textId="4ED90612" w:rsidR="002A3D0A" w:rsidRPr="00EA15D4" w:rsidRDefault="002A3D0A">
      <w:pPr>
        <w:pStyle w:val="FootnoteText"/>
        <w:rPr>
          <w:lang w:val="en-US"/>
        </w:rPr>
      </w:pPr>
      <w:r>
        <w:rPr>
          <w:rStyle w:val="FootnoteReference"/>
        </w:rPr>
        <w:footnoteRef/>
      </w:r>
      <w:r>
        <w:t xml:space="preserve"> Anne K. </w:t>
      </w:r>
      <w:r>
        <w:rPr>
          <w:lang w:val="en-US"/>
        </w:rPr>
        <w:t xml:space="preserve">Mellor, </w:t>
      </w:r>
      <w:r w:rsidRPr="006E6C98">
        <w:rPr>
          <w:i/>
          <w:lang w:val="en-US"/>
        </w:rPr>
        <w:t>Romanticism and Gender</w:t>
      </w:r>
      <w:r>
        <w:rPr>
          <w:lang w:val="en-US"/>
        </w:rPr>
        <w:t xml:space="preserve"> (New York: Routledge, 1993), p</w:t>
      </w:r>
      <w:r w:rsidR="00EC5B4D">
        <w:rPr>
          <w:lang w:val="en-US"/>
        </w:rPr>
        <w:t>.</w:t>
      </w:r>
      <w:r>
        <w:rPr>
          <w:lang w:val="en-US"/>
        </w:rPr>
        <w:t xml:space="preserve"> 27.</w:t>
      </w:r>
    </w:p>
  </w:footnote>
  <w:footnote w:id="15">
    <w:p w14:paraId="4AE60052" w14:textId="2BC5DE6B" w:rsidR="002A3D0A" w:rsidRPr="007B1B06" w:rsidRDefault="002A3D0A">
      <w:pPr>
        <w:pStyle w:val="FootnoteText"/>
        <w:rPr>
          <w:lang w:val="en-US"/>
        </w:rPr>
      </w:pPr>
      <w:r>
        <w:rPr>
          <w:rStyle w:val="FootnoteReference"/>
        </w:rPr>
        <w:footnoteRef/>
      </w:r>
      <w:r>
        <w:t xml:space="preserve"> </w:t>
      </w:r>
      <w:r>
        <w:rPr>
          <w:lang w:val="en-US"/>
        </w:rPr>
        <w:t>Ibid.</w:t>
      </w:r>
    </w:p>
  </w:footnote>
  <w:footnote w:id="16">
    <w:p w14:paraId="687E47A0" w14:textId="15CD1A01" w:rsidR="002A3D0A" w:rsidRPr="00A210FD" w:rsidRDefault="002A3D0A">
      <w:pPr>
        <w:pStyle w:val="FootnoteText"/>
        <w:rPr>
          <w:lang w:val="en-US"/>
        </w:rPr>
      </w:pPr>
      <w:r>
        <w:rPr>
          <w:rStyle w:val="FootnoteReference"/>
        </w:rPr>
        <w:footnoteRef/>
      </w:r>
      <w:r>
        <w:t xml:space="preserve"> Tim Fulford, </w:t>
      </w:r>
      <w:r w:rsidRPr="00EF0260">
        <w:rPr>
          <w:i/>
          <w:lang w:val="en-US"/>
        </w:rPr>
        <w:t>Romanticism and Masculinity</w:t>
      </w:r>
      <w:r>
        <w:rPr>
          <w:lang w:val="en-US"/>
        </w:rPr>
        <w:t xml:space="preserve"> (Basingstoke: Macmillan, 1999), p. 7.</w:t>
      </w:r>
    </w:p>
  </w:footnote>
  <w:footnote w:id="17">
    <w:p w14:paraId="6A36C8DD" w14:textId="06FCE23F" w:rsidR="002C677E" w:rsidRPr="002C677E" w:rsidRDefault="002C677E">
      <w:pPr>
        <w:pStyle w:val="FootnoteText"/>
        <w:rPr>
          <w:lang w:val="en-US"/>
        </w:rPr>
      </w:pPr>
      <w:r>
        <w:rPr>
          <w:rStyle w:val="FootnoteReference"/>
        </w:rPr>
        <w:footnoteRef/>
      </w:r>
      <w:r>
        <w:t xml:space="preserve"> </w:t>
      </w:r>
      <w:r w:rsidR="00796C4F">
        <w:t>William Wordsworth, ‘</w:t>
      </w:r>
      <w:r w:rsidR="00796C4F">
        <w:rPr>
          <w:lang w:val="en-US"/>
        </w:rPr>
        <w:t xml:space="preserve">Preface to Lyrical Ballads’, </w:t>
      </w:r>
      <w:r w:rsidR="00796C4F" w:rsidRPr="00796C4F">
        <w:rPr>
          <w:i/>
          <w:lang w:val="en-US"/>
        </w:rPr>
        <w:t>Bartleby</w:t>
      </w:r>
      <w:r w:rsidR="00796C4F">
        <w:rPr>
          <w:lang w:val="en-US"/>
        </w:rPr>
        <w:t xml:space="preserve">, 26 April 2001. </w:t>
      </w:r>
      <w:r w:rsidR="00A149A1">
        <w:rPr>
          <w:lang w:val="en-US"/>
        </w:rPr>
        <w:t>&lt;</w:t>
      </w:r>
      <w:r w:rsidR="00A149A1" w:rsidRPr="00A149A1">
        <w:rPr>
          <w:lang w:val="en-US"/>
        </w:rPr>
        <w:t>http://www.bartleby.com/39/36.html</w:t>
      </w:r>
      <w:r w:rsidR="00A149A1">
        <w:rPr>
          <w:lang w:val="en-US"/>
        </w:rPr>
        <w:t>&gt;. Accessed 12 December 2017</w:t>
      </w:r>
    </w:p>
  </w:footnote>
  <w:footnote w:id="18">
    <w:p w14:paraId="36DA2984" w14:textId="2E66738F" w:rsidR="002A3D0A" w:rsidRPr="00A93F49" w:rsidRDefault="002A3D0A">
      <w:pPr>
        <w:pStyle w:val="FootnoteText"/>
        <w:rPr>
          <w:lang w:val="en-US"/>
        </w:rPr>
      </w:pPr>
      <w:r>
        <w:rPr>
          <w:rStyle w:val="FootnoteReference"/>
        </w:rPr>
        <w:footnoteRef/>
      </w:r>
      <w:r>
        <w:t xml:space="preserve"> ‘Elegiac Sonnets’ </w:t>
      </w:r>
      <w:r w:rsidRPr="008D1A02">
        <w:rPr>
          <w:i/>
        </w:rPr>
        <w:t>in The Oxford Companion to English Literature</w:t>
      </w:r>
      <w:r>
        <w:t>, ed. by Dinah Burch (Oxford: Oxford University Press, 2016).</w:t>
      </w:r>
    </w:p>
  </w:footnote>
  <w:footnote w:id="19">
    <w:p w14:paraId="4C15EF47" w14:textId="25F0FDC9" w:rsidR="002A3D0A" w:rsidRPr="00A93F49" w:rsidRDefault="002A3D0A">
      <w:pPr>
        <w:pStyle w:val="FootnoteText"/>
        <w:rPr>
          <w:lang w:val="en-US"/>
        </w:rPr>
      </w:pPr>
      <w:r>
        <w:rPr>
          <w:rStyle w:val="FootnoteReference"/>
        </w:rPr>
        <w:footnoteRef/>
      </w:r>
      <w:r>
        <w:t xml:space="preserve"> ‘Williams, Helen Maria’ in The Oxford Encyclopedia of English Literature, ed. by David Scott Kastan (Oxford: Oxford University Press, 2006).</w:t>
      </w:r>
    </w:p>
  </w:footnote>
  <w:footnote w:id="20">
    <w:p w14:paraId="5D230BF4" w14:textId="65465D58" w:rsidR="002A3D0A" w:rsidRPr="00421B09" w:rsidRDefault="002A3D0A">
      <w:pPr>
        <w:pStyle w:val="FootnoteText"/>
        <w:rPr>
          <w:lang w:val="en-US"/>
        </w:rPr>
      </w:pPr>
      <w:r>
        <w:rPr>
          <w:rStyle w:val="FootnoteReference"/>
        </w:rPr>
        <w:footnoteRef/>
      </w:r>
      <w:r>
        <w:t xml:space="preserve"> </w:t>
      </w:r>
      <w:r w:rsidR="00796C4F">
        <w:rPr>
          <w:lang w:val="en-US"/>
        </w:rPr>
        <w:t>Fulford</w:t>
      </w:r>
      <w:r w:rsidR="002C677E">
        <w:rPr>
          <w:lang w:val="en-US"/>
        </w:rPr>
        <w:t xml:space="preserve">, </w:t>
      </w:r>
      <w:r w:rsidR="002C677E" w:rsidRPr="002C677E">
        <w:rPr>
          <w:i/>
          <w:lang w:val="en-US"/>
        </w:rPr>
        <w:t>Romanticism and Masculinity</w:t>
      </w:r>
      <w:r w:rsidR="002C677E">
        <w:rPr>
          <w:lang w:val="en-US"/>
        </w:rPr>
        <w:t>.</w:t>
      </w:r>
    </w:p>
  </w:footnote>
  <w:footnote w:id="21">
    <w:p w14:paraId="2FF074DD" w14:textId="2F49D9DA" w:rsidR="002A3D0A" w:rsidRPr="006A6751" w:rsidRDefault="002A3D0A">
      <w:pPr>
        <w:pStyle w:val="FootnoteText"/>
        <w:rPr>
          <w:lang w:val="en-US"/>
        </w:rPr>
      </w:pPr>
      <w:r>
        <w:rPr>
          <w:rStyle w:val="FootnoteReference"/>
        </w:rPr>
        <w:footnoteRef/>
      </w:r>
      <w:r>
        <w:t xml:space="preserve"> </w:t>
      </w:r>
      <w:r>
        <w:rPr>
          <w:lang w:val="en-US"/>
        </w:rPr>
        <w:t xml:space="preserve">Hannah More, </w:t>
      </w:r>
      <w:r w:rsidR="00DA2555">
        <w:rPr>
          <w:lang w:val="en-US"/>
        </w:rPr>
        <w:t>‘</w:t>
      </w:r>
      <w:r>
        <w:rPr>
          <w:lang w:val="en-US"/>
        </w:rPr>
        <w:t>Essays o</w:t>
      </w:r>
      <w:r w:rsidR="00DA2555">
        <w:rPr>
          <w:lang w:val="en-US"/>
        </w:rPr>
        <w:t>n</w:t>
      </w:r>
      <w:r>
        <w:rPr>
          <w:lang w:val="en-US"/>
        </w:rPr>
        <w:t xml:space="preserve"> Various Subjects,</w:t>
      </w:r>
      <w:r w:rsidR="00DA2555">
        <w:rPr>
          <w:lang w:val="en-US"/>
        </w:rPr>
        <w:t xml:space="preserve"> Principally Designed for Young Ladies’,</w:t>
      </w:r>
      <w:r>
        <w:rPr>
          <w:lang w:val="en-US"/>
        </w:rPr>
        <w:t xml:space="preserve"> </w:t>
      </w:r>
      <w:r w:rsidR="007F60CB" w:rsidRPr="007F60CB">
        <w:rPr>
          <w:i/>
          <w:lang w:val="en-US"/>
        </w:rPr>
        <w:t xml:space="preserve">Project </w:t>
      </w:r>
      <w:r w:rsidR="00DA2555" w:rsidRPr="007F60CB">
        <w:rPr>
          <w:i/>
          <w:lang w:val="en-US"/>
        </w:rPr>
        <w:t>Gutenberg</w:t>
      </w:r>
      <w:r w:rsidR="007F60CB">
        <w:rPr>
          <w:lang w:val="en-US"/>
        </w:rPr>
        <w:t>,</w:t>
      </w:r>
      <w:r w:rsidR="00DA2555">
        <w:rPr>
          <w:lang w:val="en-US"/>
        </w:rPr>
        <w:t xml:space="preserve"> </w:t>
      </w:r>
      <w:r w:rsidR="007F60CB">
        <w:rPr>
          <w:lang w:val="en-US"/>
        </w:rPr>
        <w:t>21 October 2006. &lt;</w:t>
      </w:r>
      <w:r w:rsidR="007F60CB" w:rsidRPr="007F60CB">
        <w:rPr>
          <w:lang w:val="en-US"/>
        </w:rPr>
        <w:t>https://www.gutenberg.org/files/19595/19595-h/19595-h.htm</w:t>
      </w:r>
      <w:r w:rsidR="007F60CB">
        <w:rPr>
          <w:lang w:val="en-US"/>
        </w:rPr>
        <w:t>&gt;</w:t>
      </w:r>
      <w:r>
        <w:rPr>
          <w:lang w:val="en-US"/>
        </w:rPr>
        <w:t xml:space="preserve"> </w:t>
      </w:r>
      <w:r w:rsidR="007F60CB">
        <w:rPr>
          <w:lang w:val="en-US"/>
        </w:rPr>
        <w:t>Accessed 12 December 2017.</w:t>
      </w:r>
    </w:p>
  </w:footnote>
  <w:footnote w:id="22">
    <w:p w14:paraId="151D6959" w14:textId="0155B139" w:rsidR="002A3D0A" w:rsidRPr="002A57C5" w:rsidRDefault="002A3D0A">
      <w:pPr>
        <w:pStyle w:val="FootnoteText"/>
        <w:rPr>
          <w:lang w:val="en-US"/>
        </w:rPr>
      </w:pPr>
      <w:r>
        <w:rPr>
          <w:rStyle w:val="FootnoteReference"/>
        </w:rPr>
        <w:footnoteRef/>
      </w:r>
      <w:r>
        <w:t xml:space="preserve"> </w:t>
      </w:r>
      <w:r>
        <w:rPr>
          <w:lang w:val="en-US"/>
        </w:rPr>
        <w:t>Ibid.</w:t>
      </w:r>
    </w:p>
  </w:footnote>
  <w:footnote w:id="23">
    <w:p w14:paraId="35C9BD9A" w14:textId="70EB60E6" w:rsidR="002A3D0A" w:rsidRPr="00EA18DD" w:rsidRDefault="002A3D0A">
      <w:pPr>
        <w:pStyle w:val="FootnoteText"/>
        <w:rPr>
          <w:lang w:val="en-US"/>
        </w:rPr>
      </w:pPr>
      <w:r>
        <w:rPr>
          <w:rStyle w:val="FootnoteReference"/>
        </w:rPr>
        <w:footnoteRef/>
      </w:r>
      <w:r>
        <w:t xml:space="preserve"> </w:t>
      </w:r>
      <w:r w:rsidR="008A6F4F">
        <w:t>Linda Martin Alcoff, ‘</w:t>
      </w:r>
      <w:r>
        <w:rPr>
          <w:lang w:val="en-US"/>
        </w:rPr>
        <w:t>Is the Feminist Critique of Reason Rational</w:t>
      </w:r>
      <w:r w:rsidR="008A6F4F">
        <w:rPr>
          <w:lang w:val="en-US"/>
        </w:rPr>
        <w:t xml:space="preserve">’, </w:t>
      </w:r>
      <w:r w:rsidR="008A6F4F" w:rsidRPr="008A6F4F">
        <w:rPr>
          <w:i/>
          <w:lang w:val="en-US"/>
        </w:rPr>
        <w:t>Philosophic Exchange</w:t>
      </w:r>
      <w:r w:rsidR="008A6F4F">
        <w:rPr>
          <w:lang w:val="en-US"/>
        </w:rPr>
        <w:t xml:space="preserve"> 26 (1996)</w:t>
      </w:r>
      <w:r w:rsidR="00EC5B4D">
        <w:rPr>
          <w:lang w:val="en-US"/>
        </w:rPr>
        <w:t>, 59-79.</w:t>
      </w:r>
    </w:p>
  </w:footnote>
  <w:footnote w:id="24">
    <w:p w14:paraId="02C5FECD" w14:textId="679F53B6" w:rsidR="002A3D0A" w:rsidRPr="000E611A" w:rsidRDefault="002A3D0A">
      <w:pPr>
        <w:pStyle w:val="FootnoteText"/>
        <w:rPr>
          <w:lang w:val="en-US"/>
        </w:rPr>
      </w:pPr>
      <w:r>
        <w:rPr>
          <w:rStyle w:val="FootnoteReference"/>
        </w:rPr>
        <w:footnoteRef/>
      </w:r>
      <w:r>
        <w:t xml:space="preserve"> </w:t>
      </w:r>
      <w:r w:rsidR="00AA2E6B">
        <w:t xml:space="preserve">Claudia L. Johnson, </w:t>
      </w:r>
      <w:r w:rsidRPr="00AA2E6B">
        <w:rPr>
          <w:i/>
          <w:lang w:val="en-US"/>
        </w:rPr>
        <w:t>Equivocal Beings</w:t>
      </w:r>
      <w:r>
        <w:rPr>
          <w:lang w:val="en-US"/>
        </w:rPr>
        <w:t xml:space="preserve"> </w:t>
      </w:r>
      <w:r w:rsidR="00AA2E6B">
        <w:rPr>
          <w:lang w:val="en-US"/>
        </w:rPr>
        <w:t>(Chicago: University of Chicago Press, 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6BD47" w14:textId="092AE1D2" w:rsidR="002A3D0A" w:rsidRPr="007A6B7C" w:rsidRDefault="002A3D0A">
    <w:pPr>
      <w:pStyle w:val="Header"/>
      <w:jc w:val="right"/>
      <w:rPr>
        <w:rFonts w:ascii="Georgia" w:hAnsi="Georgia"/>
        <w:sz w:val="24"/>
        <w:szCs w:val="24"/>
      </w:rPr>
    </w:pPr>
    <w:r w:rsidRPr="007A6B7C">
      <w:rPr>
        <w:rFonts w:ascii="Georgia" w:hAnsi="Georgia"/>
        <w:sz w:val="24"/>
        <w:szCs w:val="24"/>
      </w:rPr>
      <w:t xml:space="preserve">Bowen-Perkins </w:t>
    </w:r>
    <w:sdt>
      <w:sdtPr>
        <w:rPr>
          <w:rFonts w:ascii="Georgia" w:hAnsi="Georgia"/>
          <w:sz w:val="24"/>
          <w:szCs w:val="24"/>
        </w:rPr>
        <w:id w:val="-120926646"/>
        <w:docPartObj>
          <w:docPartGallery w:val="Page Numbers (Top of Page)"/>
          <w:docPartUnique/>
        </w:docPartObj>
      </w:sdtPr>
      <w:sdtEndPr>
        <w:rPr>
          <w:noProof/>
        </w:rPr>
      </w:sdtEndPr>
      <w:sdtContent>
        <w:r w:rsidRPr="007A6B7C">
          <w:rPr>
            <w:rFonts w:ascii="Georgia" w:hAnsi="Georgia"/>
            <w:sz w:val="24"/>
            <w:szCs w:val="24"/>
          </w:rPr>
          <w:fldChar w:fldCharType="begin"/>
        </w:r>
        <w:r w:rsidRPr="007A6B7C">
          <w:rPr>
            <w:rFonts w:ascii="Georgia" w:hAnsi="Georgia"/>
            <w:sz w:val="24"/>
            <w:szCs w:val="24"/>
          </w:rPr>
          <w:instrText xml:space="preserve"> PAGE   \* MERGEFORMAT </w:instrText>
        </w:r>
        <w:r w:rsidRPr="007A6B7C">
          <w:rPr>
            <w:rFonts w:ascii="Georgia" w:hAnsi="Georgia"/>
            <w:sz w:val="24"/>
            <w:szCs w:val="24"/>
          </w:rPr>
          <w:fldChar w:fldCharType="separate"/>
        </w:r>
        <w:r w:rsidR="0004107B">
          <w:rPr>
            <w:rFonts w:ascii="Georgia" w:hAnsi="Georgia"/>
            <w:noProof/>
            <w:sz w:val="24"/>
            <w:szCs w:val="24"/>
          </w:rPr>
          <w:t>1</w:t>
        </w:r>
        <w:r w:rsidRPr="007A6B7C">
          <w:rPr>
            <w:rFonts w:ascii="Georgia" w:hAnsi="Georgia"/>
            <w:noProof/>
            <w:sz w:val="24"/>
            <w:szCs w:val="24"/>
          </w:rPr>
          <w:fldChar w:fldCharType="end"/>
        </w:r>
      </w:sdtContent>
    </w:sdt>
  </w:p>
  <w:p w14:paraId="3C181819" w14:textId="77777777" w:rsidR="002A3D0A" w:rsidRDefault="002A3D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1660"/>
    <w:multiLevelType w:val="hybridMultilevel"/>
    <w:tmpl w:val="DEB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7A5DEC"/>
    <w:multiLevelType w:val="hybridMultilevel"/>
    <w:tmpl w:val="FE3CE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B0E96"/>
    <w:multiLevelType w:val="hybridMultilevel"/>
    <w:tmpl w:val="95B4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40C06"/>
    <w:multiLevelType w:val="hybridMultilevel"/>
    <w:tmpl w:val="CB1EECF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1182A"/>
    <w:multiLevelType w:val="hybridMultilevel"/>
    <w:tmpl w:val="B750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A0379"/>
    <w:multiLevelType w:val="hybridMultilevel"/>
    <w:tmpl w:val="E8EA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5C17CC"/>
    <w:multiLevelType w:val="hybridMultilevel"/>
    <w:tmpl w:val="3A4016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A0B16"/>
    <w:multiLevelType w:val="hybridMultilevel"/>
    <w:tmpl w:val="ED9C16C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C2474"/>
    <w:multiLevelType w:val="hybridMultilevel"/>
    <w:tmpl w:val="70107B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E2C3E56"/>
    <w:multiLevelType w:val="hybridMultilevel"/>
    <w:tmpl w:val="443E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0"/>
  </w:num>
  <w:num w:numId="6">
    <w:abstractNumId w:val="6"/>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185B"/>
    <w:rsid w:val="00004998"/>
    <w:rsid w:val="00005AA6"/>
    <w:rsid w:val="0001111D"/>
    <w:rsid w:val="00013979"/>
    <w:rsid w:val="00015364"/>
    <w:rsid w:val="000166E1"/>
    <w:rsid w:val="00020BA9"/>
    <w:rsid w:val="0002312F"/>
    <w:rsid w:val="00026059"/>
    <w:rsid w:val="00026E40"/>
    <w:rsid w:val="00027675"/>
    <w:rsid w:val="00027F0D"/>
    <w:rsid w:val="00033DBE"/>
    <w:rsid w:val="0004107B"/>
    <w:rsid w:val="00041DCF"/>
    <w:rsid w:val="00046C16"/>
    <w:rsid w:val="00054FB5"/>
    <w:rsid w:val="00056C77"/>
    <w:rsid w:val="00057115"/>
    <w:rsid w:val="000619D6"/>
    <w:rsid w:val="00062005"/>
    <w:rsid w:val="00062234"/>
    <w:rsid w:val="00063DE3"/>
    <w:rsid w:val="00063DFC"/>
    <w:rsid w:val="0006618C"/>
    <w:rsid w:val="00066679"/>
    <w:rsid w:val="000670B3"/>
    <w:rsid w:val="000714ED"/>
    <w:rsid w:val="000742C5"/>
    <w:rsid w:val="00077681"/>
    <w:rsid w:val="0008436D"/>
    <w:rsid w:val="00086D8D"/>
    <w:rsid w:val="0009018E"/>
    <w:rsid w:val="00093F71"/>
    <w:rsid w:val="00094E2F"/>
    <w:rsid w:val="000A0B85"/>
    <w:rsid w:val="000A17E5"/>
    <w:rsid w:val="000A1F55"/>
    <w:rsid w:val="000A4199"/>
    <w:rsid w:val="000A6373"/>
    <w:rsid w:val="000A78BD"/>
    <w:rsid w:val="000B1913"/>
    <w:rsid w:val="000B5DE0"/>
    <w:rsid w:val="000B7FF8"/>
    <w:rsid w:val="000C0E1A"/>
    <w:rsid w:val="000C2997"/>
    <w:rsid w:val="000C3B66"/>
    <w:rsid w:val="000C7A5B"/>
    <w:rsid w:val="000D19C8"/>
    <w:rsid w:val="000D259F"/>
    <w:rsid w:val="000D3D37"/>
    <w:rsid w:val="000D4407"/>
    <w:rsid w:val="000D454C"/>
    <w:rsid w:val="000D5044"/>
    <w:rsid w:val="000D718F"/>
    <w:rsid w:val="000D7AAB"/>
    <w:rsid w:val="000E12FF"/>
    <w:rsid w:val="000E24B9"/>
    <w:rsid w:val="000E611A"/>
    <w:rsid w:val="000E7704"/>
    <w:rsid w:val="000F1177"/>
    <w:rsid w:val="000F1382"/>
    <w:rsid w:val="000F1705"/>
    <w:rsid w:val="000F2D7D"/>
    <w:rsid w:val="000F44D1"/>
    <w:rsid w:val="000F73EB"/>
    <w:rsid w:val="000F74F8"/>
    <w:rsid w:val="000F759E"/>
    <w:rsid w:val="0010739F"/>
    <w:rsid w:val="00107F5B"/>
    <w:rsid w:val="0011062B"/>
    <w:rsid w:val="001108D6"/>
    <w:rsid w:val="001108EE"/>
    <w:rsid w:val="0011439D"/>
    <w:rsid w:val="001144BF"/>
    <w:rsid w:val="001162A4"/>
    <w:rsid w:val="00120986"/>
    <w:rsid w:val="00122A26"/>
    <w:rsid w:val="00123BEF"/>
    <w:rsid w:val="001244C8"/>
    <w:rsid w:val="00126D91"/>
    <w:rsid w:val="00126F76"/>
    <w:rsid w:val="00131D5E"/>
    <w:rsid w:val="0014185B"/>
    <w:rsid w:val="00141FDC"/>
    <w:rsid w:val="00143019"/>
    <w:rsid w:val="00150EB1"/>
    <w:rsid w:val="001529BF"/>
    <w:rsid w:val="00153FA3"/>
    <w:rsid w:val="0015638C"/>
    <w:rsid w:val="001616DA"/>
    <w:rsid w:val="001625BC"/>
    <w:rsid w:val="00166839"/>
    <w:rsid w:val="0017117F"/>
    <w:rsid w:val="001761B8"/>
    <w:rsid w:val="001817DC"/>
    <w:rsid w:val="00181A5E"/>
    <w:rsid w:val="00184321"/>
    <w:rsid w:val="00185ACA"/>
    <w:rsid w:val="001901A3"/>
    <w:rsid w:val="0019125D"/>
    <w:rsid w:val="001913EB"/>
    <w:rsid w:val="00192E23"/>
    <w:rsid w:val="00193D27"/>
    <w:rsid w:val="00195AD8"/>
    <w:rsid w:val="00195D54"/>
    <w:rsid w:val="00196A57"/>
    <w:rsid w:val="00196B1C"/>
    <w:rsid w:val="00196BD3"/>
    <w:rsid w:val="0019757A"/>
    <w:rsid w:val="001A2BA3"/>
    <w:rsid w:val="001A35C4"/>
    <w:rsid w:val="001A39C4"/>
    <w:rsid w:val="001A72D1"/>
    <w:rsid w:val="001A7436"/>
    <w:rsid w:val="001A7DD7"/>
    <w:rsid w:val="001B0E37"/>
    <w:rsid w:val="001B59A0"/>
    <w:rsid w:val="001B7AE4"/>
    <w:rsid w:val="001B7DE4"/>
    <w:rsid w:val="001C0152"/>
    <w:rsid w:val="001C2480"/>
    <w:rsid w:val="001C38F0"/>
    <w:rsid w:val="001C491D"/>
    <w:rsid w:val="001D14A9"/>
    <w:rsid w:val="001D1F7A"/>
    <w:rsid w:val="001D2013"/>
    <w:rsid w:val="001D42D1"/>
    <w:rsid w:val="001D568C"/>
    <w:rsid w:val="001E12A2"/>
    <w:rsid w:val="001E441F"/>
    <w:rsid w:val="001E4510"/>
    <w:rsid w:val="001E66A0"/>
    <w:rsid w:val="001F0D94"/>
    <w:rsid w:val="001F259F"/>
    <w:rsid w:val="001F301B"/>
    <w:rsid w:val="001F7B16"/>
    <w:rsid w:val="001F7C51"/>
    <w:rsid w:val="00215609"/>
    <w:rsid w:val="00220E81"/>
    <w:rsid w:val="002213A9"/>
    <w:rsid w:val="00221D91"/>
    <w:rsid w:val="002231C3"/>
    <w:rsid w:val="00223317"/>
    <w:rsid w:val="00224110"/>
    <w:rsid w:val="00226ED8"/>
    <w:rsid w:val="00231ADB"/>
    <w:rsid w:val="00234F3D"/>
    <w:rsid w:val="00237C31"/>
    <w:rsid w:val="00243F4D"/>
    <w:rsid w:val="00245427"/>
    <w:rsid w:val="0024590E"/>
    <w:rsid w:val="002462D2"/>
    <w:rsid w:val="00247128"/>
    <w:rsid w:val="00250E2E"/>
    <w:rsid w:val="002512CE"/>
    <w:rsid w:val="002514F9"/>
    <w:rsid w:val="00251BB8"/>
    <w:rsid w:val="00253726"/>
    <w:rsid w:val="00254488"/>
    <w:rsid w:val="0025671C"/>
    <w:rsid w:val="002629C9"/>
    <w:rsid w:val="00262E55"/>
    <w:rsid w:val="00263479"/>
    <w:rsid w:val="00265000"/>
    <w:rsid w:val="0027077D"/>
    <w:rsid w:val="002709CA"/>
    <w:rsid w:val="00270B20"/>
    <w:rsid w:val="00273586"/>
    <w:rsid w:val="00280685"/>
    <w:rsid w:val="00280EC9"/>
    <w:rsid w:val="002820DB"/>
    <w:rsid w:val="00291146"/>
    <w:rsid w:val="00294167"/>
    <w:rsid w:val="00297053"/>
    <w:rsid w:val="002A0174"/>
    <w:rsid w:val="002A1762"/>
    <w:rsid w:val="002A3D0A"/>
    <w:rsid w:val="002A57C5"/>
    <w:rsid w:val="002B20EA"/>
    <w:rsid w:val="002B2203"/>
    <w:rsid w:val="002B24F1"/>
    <w:rsid w:val="002B52D3"/>
    <w:rsid w:val="002C081F"/>
    <w:rsid w:val="002C0D76"/>
    <w:rsid w:val="002C2F27"/>
    <w:rsid w:val="002C5611"/>
    <w:rsid w:val="002C6549"/>
    <w:rsid w:val="002C677E"/>
    <w:rsid w:val="002C7C8F"/>
    <w:rsid w:val="002D2DBD"/>
    <w:rsid w:val="002D3E99"/>
    <w:rsid w:val="002D5DE7"/>
    <w:rsid w:val="002D7360"/>
    <w:rsid w:val="002D7E1E"/>
    <w:rsid w:val="002E1563"/>
    <w:rsid w:val="002E1E24"/>
    <w:rsid w:val="002E46E4"/>
    <w:rsid w:val="002F781F"/>
    <w:rsid w:val="00303E79"/>
    <w:rsid w:val="003109E1"/>
    <w:rsid w:val="0031278C"/>
    <w:rsid w:val="00313CE8"/>
    <w:rsid w:val="00315A01"/>
    <w:rsid w:val="003163F6"/>
    <w:rsid w:val="003209D9"/>
    <w:rsid w:val="00320E25"/>
    <w:rsid w:val="00323F5F"/>
    <w:rsid w:val="003264CA"/>
    <w:rsid w:val="00330275"/>
    <w:rsid w:val="0033190E"/>
    <w:rsid w:val="00332C8D"/>
    <w:rsid w:val="003377D1"/>
    <w:rsid w:val="00340F42"/>
    <w:rsid w:val="003436F7"/>
    <w:rsid w:val="00344049"/>
    <w:rsid w:val="00347CEE"/>
    <w:rsid w:val="0035239E"/>
    <w:rsid w:val="003527FE"/>
    <w:rsid w:val="003565CE"/>
    <w:rsid w:val="00365FBD"/>
    <w:rsid w:val="003660AA"/>
    <w:rsid w:val="00366C7F"/>
    <w:rsid w:val="00366CE3"/>
    <w:rsid w:val="00367DBA"/>
    <w:rsid w:val="00370B37"/>
    <w:rsid w:val="00372904"/>
    <w:rsid w:val="00373AEC"/>
    <w:rsid w:val="00373D24"/>
    <w:rsid w:val="00375166"/>
    <w:rsid w:val="00377CFF"/>
    <w:rsid w:val="003805FA"/>
    <w:rsid w:val="00384E8F"/>
    <w:rsid w:val="00385327"/>
    <w:rsid w:val="00386BF9"/>
    <w:rsid w:val="00390413"/>
    <w:rsid w:val="00392520"/>
    <w:rsid w:val="003928AA"/>
    <w:rsid w:val="0039310C"/>
    <w:rsid w:val="003A3119"/>
    <w:rsid w:val="003A4F26"/>
    <w:rsid w:val="003A520E"/>
    <w:rsid w:val="003A5366"/>
    <w:rsid w:val="003A6415"/>
    <w:rsid w:val="003B0550"/>
    <w:rsid w:val="003B0B76"/>
    <w:rsid w:val="003B0F47"/>
    <w:rsid w:val="003B5AE4"/>
    <w:rsid w:val="003B5B09"/>
    <w:rsid w:val="003B61A1"/>
    <w:rsid w:val="003C17A6"/>
    <w:rsid w:val="003C3F0D"/>
    <w:rsid w:val="003C5963"/>
    <w:rsid w:val="003D08EA"/>
    <w:rsid w:val="003D1C3F"/>
    <w:rsid w:val="003D2512"/>
    <w:rsid w:val="003D2A0F"/>
    <w:rsid w:val="003E05FA"/>
    <w:rsid w:val="003E4C8A"/>
    <w:rsid w:val="003F1307"/>
    <w:rsid w:val="003F16A6"/>
    <w:rsid w:val="003F3705"/>
    <w:rsid w:val="003F656A"/>
    <w:rsid w:val="003F7E9F"/>
    <w:rsid w:val="00402B7D"/>
    <w:rsid w:val="00405849"/>
    <w:rsid w:val="00406DAB"/>
    <w:rsid w:val="00407FA6"/>
    <w:rsid w:val="00411036"/>
    <w:rsid w:val="0041109F"/>
    <w:rsid w:val="00412CD9"/>
    <w:rsid w:val="00413398"/>
    <w:rsid w:val="004141CE"/>
    <w:rsid w:val="00415D54"/>
    <w:rsid w:val="0041685B"/>
    <w:rsid w:val="00421B09"/>
    <w:rsid w:val="0042210E"/>
    <w:rsid w:val="00424441"/>
    <w:rsid w:val="00427231"/>
    <w:rsid w:val="00430B03"/>
    <w:rsid w:val="00431099"/>
    <w:rsid w:val="00434C2D"/>
    <w:rsid w:val="00436090"/>
    <w:rsid w:val="004402B5"/>
    <w:rsid w:val="00443028"/>
    <w:rsid w:val="004436BA"/>
    <w:rsid w:val="00443B64"/>
    <w:rsid w:val="00446214"/>
    <w:rsid w:val="00447E15"/>
    <w:rsid w:val="00447EF7"/>
    <w:rsid w:val="00452D95"/>
    <w:rsid w:val="00453FD9"/>
    <w:rsid w:val="00454BA5"/>
    <w:rsid w:val="00455065"/>
    <w:rsid w:val="0045653E"/>
    <w:rsid w:val="00456578"/>
    <w:rsid w:val="004600E2"/>
    <w:rsid w:val="00464323"/>
    <w:rsid w:val="00466E19"/>
    <w:rsid w:val="00467080"/>
    <w:rsid w:val="00471208"/>
    <w:rsid w:val="00472D07"/>
    <w:rsid w:val="004735DB"/>
    <w:rsid w:val="00476418"/>
    <w:rsid w:val="00476D26"/>
    <w:rsid w:val="00476D9E"/>
    <w:rsid w:val="004779FC"/>
    <w:rsid w:val="00481A44"/>
    <w:rsid w:val="0048442D"/>
    <w:rsid w:val="00485C81"/>
    <w:rsid w:val="0048635C"/>
    <w:rsid w:val="00491DFB"/>
    <w:rsid w:val="00491E44"/>
    <w:rsid w:val="00494A4B"/>
    <w:rsid w:val="00495541"/>
    <w:rsid w:val="004A1033"/>
    <w:rsid w:val="004A4FAA"/>
    <w:rsid w:val="004A56D1"/>
    <w:rsid w:val="004A77A3"/>
    <w:rsid w:val="004B1985"/>
    <w:rsid w:val="004B2216"/>
    <w:rsid w:val="004B3C9F"/>
    <w:rsid w:val="004B50D4"/>
    <w:rsid w:val="004B6BEC"/>
    <w:rsid w:val="004B786B"/>
    <w:rsid w:val="004C0EED"/>
    <w:rsid w:val="004C110D"/>
    <w:rsid w:val="004C1950"/>
    <w:rsid w:val="004C1A2A"/>
    <w:rsid w:val="004C30B9"/>
    <w:rsid w:val="004C555C"/>
    <w:rsid w:val="004C6242"/>
    <w:rsid w:val="004D07B0"/>
    <w:rsid w:val="004D798E"/>
    <w:rsid w:val="004E3556"/>
    <w:rsid w:val="004E4272"/>
    <w:rsid w:val="004E49E6"/>
    <w:rsid w:val="004F17E1"/>
    <w:rsid w:val="004F5DDC"/>
    <w:rsid w:val="004F7FC6"/>
    <w:rsid w:val="00503A55"/>
    <w:rsid w:val="00504820"/>
    <w:rsid w:val="0050526F"/>
    <w:rsid w:val="00507108"/>
    <w:rsid w:val="005071DB"/>
    <w:rsid w:val="00510E59"/>
    <w:rsid w:val="00512A3A"/>
    <w:rsid w:val="0051406B"/>
    <w:rsid w:val="00514C5B"/>
    <w:rsid w:val="005175F0"/>
    <w:rsid w:val="0051782E"/>
    <w:rsid w:val="005209F2"/>
    <w:rsid w:val="00523C74"/>
    <w:rsid w:val="005246D7"/>
    <w:rsid w:val="00524B86"/>
    <w:rsid w:val="0052514B"/>
    <w:rsid w:val="00526C50"/>
    <w:rsid w:val="00527FD7"/>
    <w:rsid w:val="00536B7E"/>
    <w:rsid w:val="00540DA5"/>
    <w:rsid w:val="005429FF"/>
    <w:rsid w:val="0054415C"/>
    <w:rsid w:val="00545836"/>
    <w:rsid w:val="00547820"/>
    <w:rsid w:val="005479E2"/>
    <w:rsid w:val="00550D70"/>
    <w:rsid w:val="00554FBA"/>
    <w:rsid w:val="005553D6"/>
    <w:rsid w:val="00562E18"/>
    <w:rsid w:val="00563496"/>
    <w:rsid w:val="005653C8"/>
    <w:rsid w:val="00575AC1"/>
    <w:rsid w:val="005826BC"/>
    <w:rsid w:val="00583D9B"/>
    <w:rsid w:val="00583E9A"/>
    <w:rsid w:val="00596C3C"/>
    <w:rsid w:val="005A0312"/>
    <w:rsid w:val="005A2445"/>
    <w:rsid w:val="005A3A37"/>
    <w:rsid w:val="005A41D0"/>
    <w:rsid w:val="005A65EA"/>
    <w:rsid w:val="005A77B6"/>
    <w:rsid w:val="005A7C41"/>
    <w:rsid w:val="005A7DFE"/>
    <w:rsid w:val="005B11C5"/>
    <w:rsid w:val="005B1F3B"/>
    <w:rsid w:val="005B20EA"/>
    <w:rsid w:val="005B2CC0"/>
    <w:rsid w:val="005B6073"/>
    <w:rsid w:val="005B6DBF"/>
    <w:rsid w:val="005C1FBF"/>
    <w:rsid w:val="005C24B1"/>
    <w:rsid w:val="005C30BA"/>
    <w:rsid w:val="005C4747"/>
    <w:rsid w:val="005C5A90"/>
    <w:rsid w:val="005C6F4F"/>
    <w:rsid w:val="005D1B63"/>
    <w:rsid w:val="005D2F10"/>
    <w:rsid w:val="005D6502"/>
    <w:rsid w:val="005E3713"/>
    <w:rsid w:val="005E53F9"/>
    <w:rsid w:val="005E601E"/>
    <w:rsid w:val="005F0A51"/>
    <w:rsid w:val="005F224E"/>
    <w:rsid w:val="005F4489"/>
    <w:rsid w:val="005F53D8"/>
    <w:rsid w:val="005F6052"/>
    <w:rsid w:val="006009BF"/>
    <w:rsid w:val="00600B6D"/>
    <w:rsid w:val="00602105"/>
    <w:rsid w:val="0060291D"/>
    <w:rsid w:val="00605AE6"/>
    <w:rsid w:val="0060702A"/>
    <w:rsid w:val="00612EAB"/>
    <w:rsid w:val="00613A6D"/>
    <w:rsid w:val="0061570C"/>
    <w:rsid w:val="00620DDF"/>
    <w:rsid w:val="00622942"/>
    <w:rsid w:val="0062318C"/>
    <w:rsid w:val="0062346B"/>
    <w:rsid w:val="006255B0"/>
    <w:rsid w:val="00625774"/>
    <w:rsid w:val="00625C79"/>
    <w:rsid w:val="00626E9E"/>
    <w:rsid w:val="00630DAF"/>
    <w:rsid w:val="00631134"/>
    <w:rsid w:val="006315D5"/>
    <w:rsid w:val="00636A68"/>
    <w:rsid w:val="00636EA7"/>
    <w:rsid w:val="00636F23"/>
    <w:rsid w:val="00637E9A"/>
    <w:rsid w:val="00644DE8"/>
    <w:rsid w:val="00646480"/>
    <w:rsid w:val="00647986"/>
    <w:rsid w:val="00650E16"/>
    <w:rsid w:val="00651E18"/>
    <w:rsid w:val="00653DA6"/>
    <w:rsid w:val="006567AC"/>
    <w:rsid w:val="00657B57"/>
    <w:rsid w:val="0066052F"/>
    <w:rsid w:val="00661B59"/>
    <w:rsid w:val="00661C6F"/>
    <w:rsid w:val="00663CCE"/>
    <w:rsid w:val="00666FDD"/>
    <w:rsid w:val="00670F25"/>
    <w:rsid w:val="00671F34"/>
    <w:rsid w:val="006733A6"/>
    <w:rsid w:val="006747C3"/>
    <w:rsid w:val="00676145"/>
    <w:rsid w:val="00676213"/>
    <w:rsid w:val="00677460"/>
    <w:rsid w:val="00677CCE"/>
    <w:rsid w:val="00677E04"/>
    <w:rsid w:val="00681169"/>
    <w:rsid w:val="00681A55"/>
    <w:rsid w:val="006820C4"/>
    <w:rsid w:val="0068297D"/>
    <w:rsid w:val="00684DAC"/>
    <w:rsid w:val="00686B4E"/>
    <w:rsid w:val="00686DCD"/>
    <w:rsid w:val="00691792"/>
    <w:rsid w:val="00691E25"/>
    <w:rsid w:val="00692D5D"/>
    <w:rsid w:val="00692DEA"/>
    <w:rsid w:val="006949AE"/>
    <w:rsid w:val="00695F92"/>
    <w:rsid w:val="006A01FD"/>
    <w:rsid w:val="006A16DF"/>
    <w:rsid w:val="006A193F"/>
    <w:rsid w:val="006A1A77"/>
    <w:rsid w:val="006A43ED"/>
    <w:rsid w:val="006A499C"/>
    <w:rsid w:val="006A4DE6"/>
    <w:rsid w:val="006A5629"/>
    <w:rsid w:val="006A633E"/>
    <w:rsid w:val="006A6751"/>
    <w:rsid w:val="006A6AAD"/>
    <w:rsid w:val="006B31CF"/>
    <w:rsid w:val="006B451E"/>
    <w:rsid w:val="006B630A"/>
    <w:rsid w:val="006B75AA"/>
    <w:rsid w:val="006C0236"/>
    <w:rsid w:val="006C2269"/>
    <w:rsid w:val="006C5F3F"/>
    <w:rsid w:val="006D02B6"/>
    <w:rsid w:val="006D127B"/>
    <w:rsid w:val="006D2EAF"/>
    <w:rsid w:val="006E0243"/>
    <w:rsid w:val="006E1F2F"/>
    <w:rsid w:val="006E61CD"/>
    <w:rsid w:val="006E6C98"/>
    <w:rsid w:val="006F21C1"/>
    <w:rsid w:val="006F29AF"/>
    <w:rsid w:val="006F34BA"/>
    <w:rsid w:val="006F5F6D"/>
    <w:rsid w:val="006F64F6"/>
    <w:rsid w:val="006F7799"/>
    <w:rsid w:val="00703402"/>
    <w:rsid w:val="00704CF3"/>
    <w:rsid w:val="00704F3F"/>
    <w:rsid w:val="007052C1"/>
    <w:rsid w:val="007053F5"/>
    <w:rsid w:val="007057F9"/>
    <w:rsid w:val="007070D6"/>
    <w:rsid w:val="00715E1A"/>
    <w:rsid w:val="007241DF"/>
    <w:rsid w:val="0072604B"/>
    <w:rsid w:val="007264B4"/>
    <w:rsid w:val="007342DA"/>
    <w:rsid w:val="00740B23"/>
    <w:rsid w:val="007424CB"/>
    <w:rsid w:val="00745E4D"/>
    <w:rsid w:val="00747542"/>
    <w:rsid w:val="00747820"/>
    <w:rsid w:val="00752F62"/>
    <w:rsid w:val="0075495C"/>
    <w:rsid w:val="00754F25"/>
    <w:rsid w:val="00761947"/>
    <w:rsid w:val="00764F9F"/>
    <w:rsid w:val="00771B6C"/>
    <w:rsid w:val="00775046"/>
    <w:rsid w:val="00780953"/>
    <w:rsid w:val="00780CBE"/>
    <w:rsid w:val="00781A8D"/>
    <w:rsid w:val="007824CD"/>
    <w:rsid w:val="007826B3"/>
    <w:rsid w:val="00782FA9"/>
    <w:rsid w:val="007840A4"/>
    <w:rsid w:val="007842F8"/>
    <w:rsid w:val="00784F36"/>
    <w:rsid w:val="007924B0"/>
    <w:rsid w:val="00796C4F"/>
    <w:rsid w:val="007A045D"/>
    <w:rsid w:val="007A24FA"/>
    <w:rsid w:val="007A3421"/>
    <w:rsid w:val="007A5FD8"/>
    <w:rsid w:val="007A6B7C"/>
    <w:rsid w:val="007B13AE"/>
    <w:rsid w:val="007B1B06"/>
    <w:rsid w:val="007B40E7"/>
    <w:rsid w:val="007B4337"/>
    <w:rsid w:val="007B5067"/>
    <w:rsid w:val="007B585B"/>
    <w:rsid w:val="007B7142"/>
    <w:rsid w:val="007C5EE4"/>
    <w:rsid w:val="007D1629"/>
    <w:rsid w:val="007D364E"/>
    <w:rsid w:val="007D716C"/>
    <w:rsid w:val="007D7DCE"/>
    <w:rsid w:val="007E0B8F"/>
    <w:rsid w:val="007E1A5E"/>
    <w:rsid w:val="007E3BEE"/>
    <w:rsid w:val="007E5B74"/>
    <w:rsid w:val="007F2E3D"/>
    <w:rsid w:val="007F324F"/>
    <w:rsid w:val="007F60CB"/>
    <w:rsid w:val="00803BED"/>
    <w:rsid w:val="008079B7"/>
    <w:rsid w:val="00807A6F"/>
    <w:rsid w:val="008119C3"/>
    <w:rsid w:val="00812371"/>
    <w:rsid w:val="00814811"/>
    <w:rsid w:val="00814D5D"/>
    <w:rsid w:val="008155CE"/>
    <w:rsid w:val="00815DD3"/>
    <w:rsid w:val="008164F1"/>
    <w:rsid w:val="00816CED"/>
    <w:rsid w:val="00817A44"/>
    <w:rsid w:val="008200C3"/>
    <w:rsid w:val="00822D69"/>
    <w:rsid w:val="00823C2B"/>
    <w:rsid w:val="00824535"/>
    <w:rsid w:val="00826419"/>
    <w:rsid w:val="00830B53"/>
    <w:rsid w:val="00830D7C"/>
    <w:rsid w:val="008318B7"/>
    <w:rsid w:val="00831AE8"/>
    <w:rsid w:val="00832C74"/>
    <w:rsid w:val="00832EF0"/>
    <w:rsid w:val="00834511"/>
    <w:rsid w:val="00841334"/>
    <w:rsid w:val="00842CB9"/>
    <w:rsid w:val="00844F5D"/>
    <w:rsid w:val="00846717"/>
    <w:rsid w:val="0085075A"/>
    <w:rsid w:val="00850A28"/>
    <w:rsid w:val="00853044"/>
    <w:rsid w:val="00853719"/>
    <w:rsid w:val="0085612E"/>
    <w:rsid w:val="00863CDE"/>
    <w:rsid w:val="00864A79"/>
    <w:rsid w:val="008662BE"/>
    <w:rsid w:val="0086681E"/>
    <w:rsid w:val="00870B74"/>
    <w:rsid w:val="0087361B"/>
    <w:rsid w:val="00873A09"/>
    <w:rsid w:val="00880B68"/>
    <w:rsid w:val="0088155F"/>
    <w:rsid w:val="00883563"/>
    <w:rsid w:val="008841D9"/>
    <w:rsid w:val="00890603"/>
    <w:rsid w:val="00893838"/>
    <w:rsid w:val="00893A74"/>
    <w:rsid w:val="00894EC5"/>
    <w:rsid w:val="00896194"/>
    <w:rsid w:val="008A0439"/>
    <w:rsid w:val="008A14F1"/>
    <w:rsid w:val="008A173C"/>
    <w:rsid w:val="008A28BE"/>
    <w:rsid w:val="008A3B43"/>
    <w:rsid w:val="008A3B6B"/>
    <w:rsid w:val="008A6F4F"/>
    <w:rsid w:val="008B25FA"/>
    <w:rsid w:val="008B2DC3"/>
    <w:rsid w:val="008B5A72"/>
    <w:rsid w:val="008B5CB6"/>
    <w:rsid w:val="008B640A"/>
    <w:rsid w:val="008B757E"/>
    <w:rsid w:val="008C1246"/>
    <w:rsid w:val="008D125F"/>
    <w:rsid w:val="008D1A02"/>
    <w:rsid w:val="008D3AAC"/>
    <w:rsid w:val="008D3E83"/>
    <w:rsid w:val="008D5C13"/>
    <w:rsid w:val="008D6455"/>
    <w:rsid w:val="008E1750"/>
    <w:rsid w:val="008E290F"/>
    <w:rsid w:val="008E2BF6"/>
    <w:rsid w:val="008E3607"/>
    <w:rsid w:val="008F15F8"/>
    <w:rsid w:val="008F183A"/>
    <w:rsid w:val="008F252A"/>
    <w:rsid w:val="008F2C32"/>
    <w:rsid w:val="009023B6"/>
    <w:rsid w:val="00902922"/>
    <w:rsid w:val="009031DB"/>
    <w:rsid w:val="009059AF"/>
    <w:rsid w:val="00912119"/>
    <w:rsid w:val="009133D6"/>
    <w:rsid w:val="0091443C"/>
    <w:rsid w:val="00917DA5"/>
    <w:rsid w:val="0092043F"/>
    <w:rsid w:val="00920A77"/>
    <w:rsid w:val="009214BA"/>
    <w:rsid w:val="00921634"/>
    <w:rsid w:val="00922842"/>
    <w:rsid w:val="00926EC6"/>
    <w:rsid w:val="009328F3"/>
    <w:rsid w:val="00942787"/>
    <w:rsid w:val="00942F1A"/>
    <w:rsid w:val="0094410F"/>
    <w:rsid w:val="009448BB"/>
    <w:rsid w:val="00951013"/>
    <w:rsid w:val="00951F06"/>
    <w:rsid w:val="0095413A"/>
    <w:rsid w:val="00955960"/>
    <w:rsid w:val="00956DCC"/>
    <w:rsid w:val="00957C12"/>
    <w:rsid w:val="00962A5D"/>
    <w:rsid w:val="00974D65"/>
    <w:rsid w:val="009752B7"/>
    <w:rsid w:val="00975E85"/>
    <w:rsid w:val="009806E8"/>
    <w:rsid w:val="00981F72"/>
    <w:rsid w:val="00982A6C"/>
    <w:rsid w:val="00986441"/>
    <w:rsid w:val="00986466"/>
    <w:rsid w:val="00986975"/>
    <w:rsid w:val="00987672"/>
    <w:rsid w:val="0099336F"/>
    <w:rsid w:val="00993724"/>
    <w:rsid w:val="0099753F"/>
    <w:rsid w:val="00997B7A"/>
    <w:rsid w:val="009A0AA6"/>
    <w:rsid w:val="009A0B4B"/>
    <w:rsid w:val="009A1339"/>
    <w:rsid w:val="009A4BE2"/>
    <w:rsid w:val="009B0412"/>
    <w:rsid w:val="009B053E"/>
    <w:rsid w:val="009B0CF4"/>
    <w:rsid w:val="009B116D"/>
    <w:rsid w:val="009B1800"/>
    <w:rsid w:val="009C4322"/>
    <w:rsid w:val="009C5225"/>
    <w:rsid w:val="009C642F"/>
    <w:rsid w:val="009C68BE"/>
    <w:rsid w:val="009D239D"/>
    <w:rsid w:val="009D4205"/>
    <w:rsid w:val="009D7837"/>
    <w:rsid w:val="009D7F47"/>
    <w:rsid w:val="009E2E9E"/>
    <w:rsid w:val="009E56CD"/>
    <w:rsid w:val="009E656F"/>
    <w:rsid w:val="009E7A5C"/>
    <w:rsid w:val="009F0F12"/>
    <w:rsid w:val="009F266D"/>
    <w:rsid w:val="009F37AB"/>
    <w:rsid w:val="009F6900"/>
    <w:rsid w:val="00A02A50"/>
    <w:rsid w:val="00A02B36"/>
    <w:rsid w:val="00A05076"/>
    <w:rsid w:val="00A06934"/>
    <w:rsid w:val="00A079DA"/>
    <w:rsid w:val="00A115E5"/>
    <w:rsid w:val="00A139E0"/>
    <w:rsid w:val="00A13A1F"/>
    <w:rsid w:val="00A13A32"/>
    <w:rsid w:val="00A13D96"/>
    <w:rsid w:val="00A148CB"/>
    <w:rsid w:val="00A149A1"/>
    <w:rsid w:val="00A15757"/>
    <w:rsid w:val="00A15C75"/>
    <w:rsid w:val="00A210FD"/>
    <w:rsid w:val="00A211E5"/>
    <w:rsid w:val="00A22DD9"/>
    <w:rsid w:val="00A247D1"/>
    <w:rsid w:val="00A25633"/>
    <w:rsid w:val="00A266CF"/>
    <w:rsid w:val="00A30C06"/>
    <w:rsid w:val="00A3166B"/>
    <w:rsid w:val="00A3554E"/>
    <w:rsid w:val="00A365E3"/>
    <w:rsid w:val="00A43047"/>
    <w:rsid w:val="00A43E4B"/>
    <w:rsid w:val="00A43FB3"/>
    <w:rsid w:val="00A44C0D"/>
    <w:rsid w:val="00A46152"/>
    <w:rsid w:val="00A51960"/>
    <w:rsid w:val="00A522AF"/>
    <w:rsid w:val="00A52572"/>
    <w:rsid w:val="00A54FB6"/>
    <w:rsid w:val="00A5567B"/>
    <w:rsid w:val="00A557EF"/>
    <w:rsid w:val="00A608B8"/>
    <w:rsid w:val="00A60F50"/>
    <w:rsid w:val="00A618AD"/>
    <w:rsid w:val="00A63EC1"/>
    <w:rsid w:val="00A6600C"/>
    <w:rsid w:val="00A67842"/>
    <w:rsid w:val="00A714D6"/>
    <w:rsid w:val="00A73EFF"/>
    <w:rsid w:val="00A77CDB"/>
    <w:rsid w:val="00A80DDA"/>
    <w:rsid w:val="00A840DB"/>
    <w:rsid w:val="00A8539B"/>
    <w:rsid w:val="00A86BD5"/>
    <w:rsid w:val="00A90088"/>
    <w:rsid w:val="00A90111"/>
    <w:rsid w:val="00A92745"/>
    <w:rsid w:val="00A93B33"/>
    <w:rsid w:val="00A93F49"/>
    <w:rsid w:val="00A96360"/>
    <w:rsid w:val="00A96908"/>
    <w:rsid w:val="00A97F36"/>
    <w:rsid w:val="00AA0925"/>
    <w:rsid w:val="00AA25F8"/>
    <w:rsid w:val="00AA2E6B"/>
    <w:rsid w:val="00AA5792"/>
    <w:rsid w:val="00AA5D12"/>
    <w:rsid w:val="00AB0A43"/>
    <w:rsid w:val="00AB24E0"/>
    <w:rsid w:val="00AB5A26"/>
    <w:rsid w:val="00AB6FBE"/>
    <w:rsid w:val="00AC2AB1"/>
    <w:rsid w:val="00AC36A8"/>
    <w:rsid w:val="00AC6EF9"/>
    <w:rsid w:val="00AD082F"/>
    <w:rsid w:val="00AD376A"/>
    <w:rsid w:val="00AD4CF6"/>
    <w:rsid w:val="00AD6D00"/>
    <w:rsid w:val="00AD72D0"/>
    <w:rsid w:val="00AE5059"/>
    <w:rsid w:val="00AE6ECD"/>
    <w:rsid w:val="00AF47E6"/>
    <w:rsid w:val="00AF50D2"/>
    <w:rsid w:val="00AF51CF"/>
    <w:rsid w:val="00AF6AE5"/>
    <w:rsid w:val="00AF79C5"/>
    <w:rsid w:val="00B01104"/>
    <w:rsid w:val="00B04A4D"/>
    <w:rsid w:val="00B04F26"/>
    <w:rsid w:val="00B06BA3"/>
    <w:rsid w:val="00B119F0"/>
    <w:rsid w:val="00B121D1"/>
    <w:rsid w:val="00B215D6"/>
    <w:rsid w:val="00B21770"/>
    <w:rsid w:val="00B228C6"/>
    <w:rsid w:val="00B22986"/>
    <w:rsid w:val="00B22B30"/>
    <w:rsid w:val="00B23E48"/>
    <w:rsid w:val="00B254C5"/>
    <w:rsid w:val="00B258BC"/>
    <w:rsid w:val="00B26FBD"/>
    <w:rsid w:val="00B31468"/>
    <w:rsid w:val="00B31B8C"/>
    <w:rsid w:val="00B32BA6"/>
    <w:rsid w:val="00B33B66"/>
    <w:rsid w:val="00B36FF7"/>
    <w:rsid w:val="00B371D8"/>
    <w:rsid w:val="00B37561"/>
    <w:rsid w:val="00B57070"/>
    <w:rsid w:val="00B61F25"/>
    <w:rsid w:val="00B63E90"/>
    <w:rsid w:val="00B66F2D"/>
    <w:rsid w:val="00B70DC1"/>
    <w:rsid w:val="00B71251"/>
    <w:rsid w:val="00B746FC"/>
    <w:rsid w:val="00B748B3"/>
    <w:rsid w:val="00B77681"/>
    <w:rsid w:val="00B86A11"/>
    <w:rsid w:val="00B87FBB"/>
    <w:rsid w:val="00B915CF"/>
    <w:rsid w:val="00B931EF"/>
    <w:rsid w:val="00B97404"/>
    <w:rsid w:val="00BA08F3"/>
    <w:rsid w:val="00BA464F"/>
    <w:rsid w:val="00BA5E99"/>
    <w:rsid w:val="00BA6C71"/>
    <w:rsid w:val="00BB0CCC"/>
    <w:rsid w:val="00BB27AA"/>
    <w:rsid w:val="00BB29CD"/>
    <w:rsid w:val="00BB3465"/>
    <w:rsid w:val="00BB4186"/>
    <w:rsid w:val="00BC09AD"/>
    <w:rsid w:val="00BC0C75"/>
    <w:rsid w:val="00BC13C1"/>
    <w:rsid w:val="00BC3B3C"/>
    <w:rsid w:val="00BD07BF"/>
    <w:rsid w:val="00BD134D"/>
    <w:rsid w:val="00BD544E"/>
    <w:rsid w:val="00BD54BA"/>
    <w:rsid w:val="00BD7C68"/>
    <w:rsid w:val="00BE055C"/>
    <w:rsid w:val="00BE12A3"/>
    <w:rsid w:val="00BE3841"/>
    <w:rsid w:val="00BE3F38"/>
    <w:rsid w:val="00BE4D94"/>
    <w:rsid w:val="00BF0612"/>
    <w:rsid w:val="00BF0722"/>
    <w:rsid w:val="00BF2508"/>
    <w:rsid w:val="00BF7072"/>
    <w:rsid w:val="00C006ED"/>
    <w:rsid w:val="00C01BA1"/>
    <w:rsid w:val="00C04854"/>
    <w:rsid w:val="00C06392"/>
    <w:rsid w:val="00C11FE9"/>
    <w:rsid w:val="00C128D7"/>
    <w:rsid w:val="00C14505"/>
    <w:rsid w:val="00C1462B"/>
    <w:rsid w:val="00C15A90"/>
    <w:rsid w:val="00C1603F"/>
    <w:rsid w:val="00C232DC"/>
    <w:rsid w:val="00C23E22"/>
    <w:rsid w:val="00C263F5"/>
    <w:rsid w:val="00C26C95"/>
    <w:rsid w:val="00C301E2"/>
    <w:rsid w:val="00C3248B"/>
    <w:rsid w:val="00C32BF3"/>
    <w:rsid w:val="00C33C6D"/>
    <w:rsid w:val="00C3607C"/>
    <w:rsid w:val="00C41065"/>
    <w:rsid w:val="00C423FB"/>
    <w:rsid w:val="00C4263D"/>
    <w:rsid w:val="00C44865"/>
    <w:rsid w:val="00C45AB3"/>
    <w:rsid w:val="00C62143"/>
    <w:rsid w:val="00C64B6D"/>
    <w:rsid w:val="00C64DA0"/>
    <w:rsid w:val="00C67B26"/>
    <w:rsid w:val="00C67F5A"/>
    <w:rsid w:val="00C70A0A"/>
    <w:rsid w:val="00C71C9D"/>
    <w:rsid w:val="00C74961"/>
    <w:rsid w:val="00C80FB1"/>
    <w:rsid w:val="00C82160"/>
    <w:rsid w:val="00C82852"/>
    <w:rsid w:val="00C82B26"/>
    <w:rsid w:val="00C82CB9"/>
    <w:rsid w:val="00C859CD"/>
    <w:rsid w:val="00C864D3"/>
    <w:rsid w:val="00C934F8"/>
    <w:rsid w:val="00C96C37"/>
    <w:rsid w:val="00CA0A04"/>
    <w:rsid w:val="00CA527E"/>
    <w:rsid w:val="00CC186E"/>
    <w:rsid w:val="00CC19C1"/>
    <w:rsid w:val="00CC2A4E"/>
    <w:rsid w:val="00CC5890"/>
    <w:rsid w:val="00CC7D5A"/>
    <w:rsid w:val="00CD0EA7"/>
    <w:rsid w:val="00CD4437"/>
    <w:rsid w:val="00CD60E1"/>
    <w:rsid w:val="00CD62FD"/>
    <w:rsid w:val="00CE0B9F"/>
    <w:rsid w:val="00CE2DAB"/>
    <w:rsid w:val="00CE593C"/>
    <w:rsid w:val="00CE6838"/>
    <w:rsid w:val="00CF4EE0"/>
    <w:rsid w:val="00CF56A8"/>
    <w:rsid w:val="00CF5FB7"/>
    <w:rsid w:val="00CF6234"/>
    <w:rsid w:val="00CF625A"/>
    <w:rsid w:val="00D02A5C"/>
    <w:rsid w:val="00D03083"/>
    <w:rsid w:val="00D03F5A"/>
    <w:rsid w:val="00D04E99"/>
    <w:rsid w:val="00D06E9B"/>
    <w:rsid w:val="00D07C1B"/>
    <w:rsid w:val="00D10532"/>
    <w:rsid w:val="00D15056"/>
    <w:rsid w:val="00D1569C"/>
    <w:rsid w:val="00D21A4C"/>
    <w:rsid w:val="00D22413"/>
    <w:rsid w:val="00D22D0A"/>
    <w:rsid w:val="00D238F4"/>
    <w:rsid w:val="00D25466"/>
    <w:rsid w:val="00D25EFA"/>
    <w:rsid w:val="00D30816"/>
    <w:rsid w:val="00D3099B"/>
    <w:rsid w:val="00D338AD"/>
    <w:rsid w:val="00D33DE5"/>
    <w:rsid w:val="00D345AC"/>
    <w:rsid w:val="00D368F2"/>
    <w:rsid w:val="00D507E6"/>
    <w:rsid w:val="00D50CE8"/>
    <w:rsid w:val="00D51ABE"/>
    <w:rsid w:val="00D54304"/>
    <w:rsid w:val="00D55B08"/>
    <w:rsid w:val="00D5615B"/>
    <w:rsid w:val="00D56439"/>
    <w:rsid w:val="00D64037"/>
    <w:rsid w:val="00D650E5"/>
    <w:rsid w:val="00D6787C"/>
    <w:rsid w:val="00D707BB"/>
    <w:rsid w:val="00D771DA"/>
    <w:rsid w:val="00D77289"/>
    <w:rsid w:val="00D82D4E"/>
    <w:rsid w:val="00D8387C"/>
    <w:rsid w:val="00D83BA6"/>
    <w:rsid w:val="00D845D4"/>
    <w:rsid w:val="00D84D8C"/>
    <w:rsid w:val="00D91E40"/>
    <w:rsid w:val="00D97764"/>
    <w:rsid w:val="00DA2555"/>
    <w:rsid w:val="00DA33D9"/>
    <w:rsid w:val="00DA47FB"/>
    <w:rsid w:val="00DA6DEC"/>
    <w:rsid w:val="00DA748E"/>
    <w:rsid w:val="00DB06EE"/>
    <w:rsid w:val="00DB3C5E"/>
    <w:rsid w:val="00DB4440"/>
    <w:rsid w:val="00DB792A"/>
    <w:rsid w:val="00DC55B2"/>
    <w:rsid w:val="00DC5A03"/>
    <w:rsid w:val="00DC6D46"/>
    <w:rsid w:val="00DC7327"/>
    <w:rsid w:val="00DD5706"/>
    <w:rsid w:val="00DD7391"/>
    <w:rsid w:val="00DE5BF8"/>
    <w:rsid w:val="00DE7551"/>
    <w:rsid w:val="00DE7A19"/>
    <w:rsid w:val="00DE7BC7"/>
    <w:rsid w:val="00DF542A"/>
    <w:rsid w:val="00DF570E"/>
    <w:rsid w:val="00DF6702"/>
    <w:rsid w:val="00DF6984"/>
    <w:rsid w:val="00E00257"/>
    <w:rsid w:val="00E007B5"/>
    <w:rsid w:val="00E0123F"/>
    <w:rsid w:val="00E01668"/>
    <w:rsid w:val="00E01768"/>
    <w:rsid w:val="00E028A4"/>
    <w:rsid w:val="00E037C3"/>
    <w:rsid w:val="00E107DD"/>
    <w:rsid w:val="00E10A97"/>
    <w:rsid w:val="00E11F02"/>
    <w:rsid w:val="00E13C7F"/>
    <w:rsid w:val="00E143BD"/>
    <w:rsid w:val="00E16944"/>
    <w:rsid w:val="00E21DF3"/>
    <w:rsid w:val="00E22B2D"/>
    <w:rsid w:val="00E24018"/>
    <w:rsid w:val="00E3363D"/>
    <w:rsid w:val="00E33AB0"/>
    <w:rsid w:val="00E3446C"/>
    <w:rsid w:val="00E41299"/>
    <w:rsid w:val="00E41353"/>
    <w:rsid w:val="00E43D18"/>
    <w:rsid w:val="00E45BA8"/>
    <w:rsid w:val="00E46CF1"/>
    <w:rsid w:val="00E5011B"/>
    <w:rsid w:val="00E54146"/>
    <w:rsid w:val="00E54DB2"/>
    <w:rsid w:val="00E60C62"/>
    <w:rsid w:val="00E60C6F"/>
    <w:rsid w:val="00E61E65"/>
    <w:rsid w:val="00E632A3"/>
    <w:rsid w:val="00E633F9"/>
    <w:rsid w:val="00E637C4"/>
    <w:rsid w:val="00E63EF8"/>
    <w:rsid w:val="00E66797"/>
    <w:rsid w:val="00E709C4"/>
    <w:rsid w:val="00E71E09"/>
    <w:rsid w:val="00E72306"/>
    <w:rsid w:val="00E7393B"/>
    <w:rsid w:val="00E753F2"/>
    <w:rsid w:val="00E7589F"/>
    <w:rsid w:val="00E7762F"/>
    <w:rsid w:val="00E80ABB"/>
    <w:rsid w:val="00E8170D"/>
    <w:rsid w:val="00E8217C"/>
    <w:rsid w:val="00E8338B"/>
    <w:rsid w:val="00E84588"/>
    <w:rsid w:val="00E84AD1"/>
    <w:rsid w:val="00E85935"/>
    <w:rsid w:val="00E8630B"/>
    <w:rsid w:val="00E96B97"/>
    <w:rsid w:val="00EA0FDE"/>
    <w:rsid w:val="00EA111E"/>
    <w:rsid w:val="00EA15D4"/>
    <w:rsid w:val="00EA18DD"/>
    <w:rsid w:val="00EA1A0F"/>
    <w:rsid w:val="00EA4A09"/>
    <w:rsid w:val="00EA60EE"/>
    <w:rsid w:val="00EB34DA"/>
    <w:rsid w:val="00EB6C94"/>
    <w:rsid w:val="00EC06BB"/>
    <w:rsid w:val="00EC49B1"/>
    <w:rsid w:val="00EC5B4D"/>
    <w:rsid w:val="00EC646E"/>
    <w:rsid w:val="00ED0151"/>
    <w:rsid w:val="00ED4B40"/>
    <w:rsid w:val="00ED575B"/>
    <w:rsid w:val="00ED5921"/>
    <w:rsid w:val="00ED7448"/>
    <w:rsid w:val="00EE0436"/>
    <w:rsid w:val="00EE1856"/>
    <w:rsid w:val="00EE232B"/>
    <w:rsid w:val="00EE30E5"/>
    <w:rsid w:val="00EE476D"/>
    <w:rsid w:val="00EE530D"/>
    <w:rsid w:val="00EE7211"/>
    <w:rsid w:val="00EE7300"/>
    <w:rsid w:val="00EE74A1"/>
    <w:rsid w:val="00EF0260"/>
    <w:rsid w:val="00EF1E37"/>
    <w:rsid w:val="00EF38E8"/>
    <w:rsid w:val="00EF73C0"/>
    <w:rsid w:val="00F00FD3"/>
    <w:rsid w:val="00F017FB"/>
    <w:rsid w:val="00F02033"/>
    <w:rsid w:val="00F0241C"/>
    <w:rsid w:val="00F02CCA"/>
    <w:rsid w:val="00F0486C"/>
    <w:rsid w:val="00F07159"/>
    <w:rsid w:val="00F10944"/>
    <w:rsid w:val="00F1232D"/>
    <w:rsid w:val="00F14D86"/>
    <w:rsid w:val="00F21D11"/>
    <w:rsid w:val="00F21E85"/>
    <w:rsid w:val="00F22444"/>
    <w:rsid w:val="00F255CA"/>
    <w:rsid w:val="00F26A09"/>
    <w:rsid w:val="00F3003B"/>
    <w:rsid w:val="00F3030E"/>
    <w:rsid w:val="00F34956"/>
    <w:rsid w:val="00F349E6"/>
    <w:rsid w:val="00F34C6E"/>
    <w:rsid w:val="00F35B67"/>
    <w:rsid w:val="00F41A5A"/>
    <w:rsid w:val="00F47335"/>
    <w:rsid w:val="00F47936"/>
    <w:rsid w:val="00F548D0"/>
    <w:rsid w:val="00F55B35"/>
    <w:rsid w:val="00F5665B"/>
    <w:rsid w:val="00F56A94"/>
    <w:rsid w:val="00F678E2"/>
    <w:rsid w:val="00F76BD4"/>
    <w:rsid w:val="00F810E1"/>
    <w:rsid w:val="00F82D04"/>
    <w:rsid w:val="00F83686"/>
    <w:rsid w:val="00F836DA"/>
    <w:rsid w:val="00F8474E"/>
    <w:rsid w:val="00F84819"/>
    <w:rsid w:val="00F86F74"/>
    <w:rsid w:val="00F909A5"/>
    <w:rsid w:val="00F9183F"/>
    <w:rsid w:val="00F922C2"/>
    <w:rsid w:val="00F92C73"/>
    <w:rsid w:val="00F93354"/>
    <w:rsid w:val="00F949B6"/>
    <w:rsid w:val="00FA0111"/>
    <w:rsid w:val="00FA0802"/>
    <w:rsid w:val="00FA2B64"/>
    <w:rsid w:val="00FA47D6"/>
    <w:rsid w:val="00FA47E0"/>
    <w:rsid w:val="00FA67B0"/>
    <w:rsid w:val="00FB1C22"/>
    <w:rsid w:val="00FB3B4C"/>
    <w:rsid w:val="00FB5C67"/>
    <w:rsid w:val="00FB63AA"/>
    <w:rsid w:val="00FB6EC7"/>
    <w:rsid w:val="00FC0309"/>
    <w:rsid w:val="00FC4AFA"/>
    <w:rsid w:val="00FC4D9D"/>
    <w:rsid w:val="00FC79B7"/>
    <w:rsid w:val="00FD146D"/>
    <w:rsid w:val="00FD14D1"/>
    <w:rsid w:val="00FD2717"/>
    <w:rsid w:val="00FD32EA"/>
    <w:rsid w:val="00FD3D41"/>
    <w:rsid w:val="00FE01C4"/>
    <w:rsid w:val="00FE2A79"/>
    <w:rsid w:val="00FE4EB0"/>
    <w:rsid w:val="00FE5B48"/>
    <w:rsid w:val="00FE6477"/>
    <w:rsid w:val="00FF1CD2"/>
    <w:rsid w:val="00FF224C"/>
    <w:rsid w:val="00FF6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AB635"/>
  <w15:docId w15:val="{251FE788-CBA1-4A73-86B2-6B538DAA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85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841"/>
    <w:pPr>
      <w:ind w:left="720"/>
      <w:contextualSpacing/>
    </w:pPr>
    <w:rPr>
      <w:rFonts w:eastAsiaTheme="minorEastAsia"/>
      <w:lang w:val="en-US"/>
    </w:rPr>
  </w:style>
  <w:style w:type="character" w:styleId="Hyperlink">
    <w:name w:val="Hyperlink"/>
    <w:basedOn w:val="DefaultParagraphFont"/>
    <w:uiPriority w:val="99"/>
    <w:unhideWhenUsed/>
    <w:rsid w:val="00832C74"/>
    <w:rPr>
      <w:color w:val="0000FF" w:themeColor="hyperlink"/>
      <w:u w:val="single"/>
    </w:rPr>
  </w:style>
  <w:style w:type="paragraph" w:styleId="Header">
    <w:name w:val="header"/>
    <w:basedOn w:val="Normal"/>
    <w:link w:val="HeaderChar"/>
    <w:uiPriority w:val="99"/>
    <w:unhideWhenUsed/>
    <w:rsid w:val="007A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B7C"/>
    <w:rPr>
      <w:lang w:val="en-GB"/>
    </w:rPr>
  </w:style>
  <w:style w:type="paragraph" w:styleId="Footer">
    <w:name w:val="footer"/>
    <w:basedOn w:val="Normal"/>
    <w:link w:val="FooterChar"/>
    <w:uiPriority w:val="99"/>
    <w:unhideWhenUsed/>
    <w:rsid w:val="007A6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B7C"/>
    <w:rPr>
      <w:lang w:val="en-GB"/>
    </w:rPr>
  </w:style>
  <w:style w:type="paragraph" w:styleId="BalloonText">
    <w:name w:val="Balloon Text"/>
    <w:basedOn w:val="Normal"/>
    <w:link w:val="BalloonTextChar"/>
    <w:uiPriority w:val="99"/>
    <w:semiHidden/>
    <w:unhideWhenUsed/>
    <w:rsid w:val="007A6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7C"/>
    <w:rPr>
      <w:rFonts w:ascii="Tahoma" w:hAnsi="Tahoma" w:cs="Tahoma"/>
      <w:sz w:val="16"/>
      <w:szCs w:val="16"/>
      <w:lang w:val="en-GB"/>
    </w:rPr>
  </w:style>
  <w:style w:type="paragraph" w:styleId="FootnoteText">
    <w:name w:val="footnote text"/>
    <w:basedOn w:val="Normal"/>
    <w:link w:val="FootnoteTextChar"/>
    <w:uiPriority w:val="99"/>
    <w:semiHidden/>
    <w:unhideWhenUsed/>
    <w:rsid w:val="00B776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7681"/>
    <w:rPr>
      <w:sz w:val="20"/>
      <w:szCs w:val="20"/>
      <w:lang w:val="en-GB"/>
    </w:rPr>
  </w:style>
  <w:style w:type="character" w:styleId="FootnoteReference">
    <w:name w:val="footnote reference"/>
    <w:basedOn w:val="DefaultParagraphFont"/>
    <w:uiPriority w:val="99"/>
    <w:semiHidden/>
    <w:unhideWhenUsed/>
    <w:rsid w:val="00B77681"/>
    <w:rPr>
      <w:vertAlign w:val="superscript"/>
    </w:rPr>
  </w:style>
  <w:style w:type="character" w:styleId="UnresolvedMention">
    <w:name w:val="Unresolved Mention"/>
    <w:basedOn w:val="DefaultParagraphFont"/>
    <w:uiPriority w:val="99"/>
    <w:semiHidden/>
    <w:unhideWhenUsed/>
    <w:rsid w:val="00B06B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8362">
      <w:bodyDiv w:val="1"/>
      <w:marLeft w:val="0"/>
      <w:marRight w:val="0"/>
      <w:marTop w:val="0"/>
      <w:marBottom w:val="0"/>
      <w:divBdr>
        <w:top w:val="none" w:sz="0" w:space="0" w:color="auto"/>
        <w:left w:val="none" w:sz="0" w:space="0" w:color="auto"/>
        <w:bottom w:val="none" w:sz="0" w:space="0" w:color="auto"/>
        <w:right w:val="none" w:sz="0" w:space="0" w:color="auto"/>
      </w:divBdr>
      <w:divsChild>
        <w:div w:id="1480031837">
          <w:marLeft w:val="0"/>
          <w:marRight w:val="0"/>
          <w:marTop w:val="0"/>
          <w:marBottom w:val="0"/>
          <w:divBdr>
            <w:top w:val="none" w:sz="0" w:space="0" w:color="auto"/>
            <w:left w:val="none" w:sz="0" w:space="0" w:color="auto"/>
            <w:bottom w:val="none" w:sz="0" w:space="0" w:color="auto"/>
            <w:right w:val="none" w:sz="0" w:space="0" w:color="auto"/>
          </w:divBdr>
        </w:div>
        <w:div w:id="1480417680">
          <w:marLeft w:val="0"/>
          <w:marRight w:val="0"/>
          <w:marTop w:val="0"/>
          <w:marBottom w:val="0"/>
          <w:divBdr>
            <w:top w:val="none" w:sz="0" w:space="0" w:color="auto"/>
            <w:left w:val="none" w:sz="0" w:space="0" w:color="auto"/>
            <w:bottom w:val="none" w:sz="0" w:space="0" w:color="auto"/>
            <w:right w:val="none" w:sz="0" w:space="0" w:color="auto"/>
          </w:divBdr>
        </w:div>
      </w:divsChild>
    </w:div>
    <w:div w:id="949707144">
      <w:bodyDiv w:val="1"/>
      <w:marLeft w:val="0"/>
      <w:marRight w:val="0"/>
      <w:marTop w:val="0"/>
      <w:marBottom w:val="0"/>
      <w:divBdr>
        <w:top w:val="none" w:sz="0" w:space="0" w:color="auto"/>
        <w:left w:val="none" w:sz="0" w:space="0" w:color="auto"/>
        <w:bottom w:val="none" w:sz="0" w:space="0" w:color="auto"/>
        <w:right w:val="none" w:sz="0" w:space="0" w:color="auto"/>
      </w:divBdr>
      <w:divsChild>
        <w:div w:id="2077824075">
          <w:marLeft w:val="0"/>
          <w:marRight w:val="0"/>
          <w:marTop w:val="0"/>
          <w:marBottom w:val="0"/>
          <w:divBdr>
            <w:top w:val="none" w:sz="0" w:space="0" w:color="auto"/>
            <w:left w:val="none" w:sz="0" w:space="0" w:color="auto"/>
            <w:bottom w:val="none" w:sz="0" w:space="0" w:color="auto"/>
            <w:right w:val="none" w:sz="0" w:space="0" w:color="auto"/>
          </w:divBdr>
        </w:div>
        <w:div w:id="528832062">
          <w:marLeft w:val="0"/>
          <w:marRight w:val="0"/>
          <w:marTop w:val="0"/>
          <w:marBottom w:val="0"/>
          <w:divBdr>
            <w:top w:val="none" w:sz="0" w:space="0" w:color="auto"/>
            <w:left w:val="none" w:sz="0" w:space="0" w:color="auto"/>
            <w:bottom w:val="none" w:sz="0" w:space="0" w:color="auto"/>
            <w:right w:val="none" w:sz="0" w:space="0" w:color="auto"/>
          </w:divBdr>
        </w:div>
        <w:div w:id="418216371">
          <w:marLeft w:val="0"/>
          <w:marRight w:val="0"/>
          <w:marTop w:val="0"/>
          <w:marBottom w:val="0"/>
          <w:divBdr>
            <w:top w:val="none" w:sz="0" w:space="0" w:color="auto"/>
            <w:left w:val="none" w:sz="0" w:space="0" w:color="auto"/>
            <w:bottom w:val="none" w:sz="0" w:space="0" w:color="auto"/>
            <w:right w:val="none" w:sz="0" w:space="0" w:color="auto"/>
          </w:divBdr>
        </w:div>
        <w:div w:id="1901360374">
          <w:marLeft w:val="0"/>
          <w:marRight w:val="0"/>
          <w:marTop w:val="0"/>
          <w:marBottom w:val="0"/>
          <w:divBdr>
            <w:top w:val="none" w:sz="0" w:space="0" w:color="auto"/>
            <w:left w:val="none" w:sz="0" w:space="0" w:color="auto"/>
            <w:bottom w:val="none" w:sz="0" w:space="0" w:color="auto"/>
            <w:right w:val="none" w:sz="0" w:space="0" w:color="auto"/>
          </w:divBdr>
        </w:div>
      </w:divsChild>
    </w:div>
    <w:div w:id="1041369206">
      <w:bodyDiv w:val="1"/>
      <w:marLeft w:val="0"/>
      <w:marRight w:val="0"/>
      <w:marTop w:val="0"/>
      <w:marBottom w:val="0"/>
      <w:divBdr>
        <w:top w:val="none" w:sz="0" w:space="0" w:color="auto"/>
        <w:left w:val="none" w:sz="0" w:space="0" w:color="auto"/>
        <w:bottom w:val="none" w:sz="0" w:space="0" w:color="auto"/>
        <w:right w:val="none" w:sz="0" w:space="0" w:color="auto"/>
      </w:divBdr>
      <w:divsChild>
        <w:div w:id="81340124">
          <w:marLeft w:val="0"/>
          <w:marRight w:val="0"/>
          <w:marTop w:val="0"/>
          <w:marBottom w:val="0"/>
          <w:divBdr>
            <w:top w:val="none" w:sz="0" w:space="0" w:color="auto"/>
            <w:left w:val="none" w:sz="0" w:space="0" w:color="auto"/>
            <w:bottom w:val="none" w:sz="0" w:space="0" w:color="auto"/>
            <w:right w:val="none" w:sz="0" w:space="0" w:color="auto"/>
          </w:divBdr>
        </w:div>
        <w:div w:id="1722752981">
          <w:marLeft w:val="0"/>
          <w:marRight w:val="0"/>
          <w:marTop w:val="0"/>
          <w:marBottom w:val="0"/>
          <w:divBdr>
            <w:top w:val="none" w:sz="0" w:space="0" w:color="auto"/>
            <w:left w:val="none" w:sz="0" w:space="0" w:color="auto"/>
            <w:bottom w:val="none" w:sz="0" w:space="0" w:color="auto"/>
            <w:right w:val="none" w:sz="0" w:space="0" w:color="auto"/>
          </w:divBdr>
        </w:div>
      </w:divsChild>
    </w:div>
    <w:div w:id="1835105472">
      <w:bodyDiv w:val="1"/>
      <w:marLeft w:val="0"/>
      <w:marRight w:val="0"/>
      <w:marTop w:val="0"/>
      <w:marBottom w:val="0"/>
      <w:divBdr>
        <w:top w:val="none" w:sz="0" w:space="0" w:color="auto"/>
        <w:left w:val="none" w:sz="0" w:space="0" w:color="auto"/>
        <w:bottom w:val="none" w:sz="0" w:space="0" w:color="auto"/>
        <w:right w:val="none" w:sz="0" w:space="0" w:color="auto"/>
      </w:divBdr>
    </w:div>
    <w:div w:id="1890266457">
      <w:bodyDiv w:val="1"/>
      <w:marLeft w:val="0"/>
      <w:marRight w:val="0"/>
      <w:marTop w:val="0"/>
      <w:marBottom w:val="0"/>
      <w:divBdr>
        <w:top w:val="none" w:sz="0" w:space="0" w:color="auto"/>
        <w:left w:val="none" w:sz="0" w:space="0" w:color="auto"/>
        <w:bottom w:val="none" w:sz="0" w:space="0" w:color="auto"/>
        <w:right w:val="none" w:sz="0" w:space="0" w:color="auto"/>
      </w:divBdr>
      <w:divsChild>
        <w:div w:id="1961256713">
          <w:marLeft w:val="0"/>
          <w:marRight w:val="0"/>
          <w:marTop w:val="0"/>
          <w:marBottom w:val="0"/>
          <w:divBdr>
            <w:top w:val="none" w:sz="0" w:space="0" w:color="auto"/>
            <w:left w:val="none" w:sz="0" w:space="0" w:color="auto"/>
            <w:bottom w:val="none" w:sz="0" w:space="0" w:color="auto"/>
            <w:right w:val="none" w:sz="0" w:space="0" w:color="auto"/>
          </w:divBdr>
        </w:div>
        <w:div w:id="1989938078">
          <w:marLeft w:val="0"/>
          <w:marRight w:val="0"/>
          <w:marTop w:val="0"/>
          <w:marBottom w:val="0"/>
          <w:divBdr>
            <w:top w:val="none" w:sz="0" w:space="0" w:color="auto"/>
            <w:left w:val="none" w:sz="0" w:space="0" w:color="auto"/>
            <w:bottom w:val="none" w:sz="0" w:space="0" w:color="auto"/>
            <w:right w:val="none" w:sz="0" w:space="0" w:color="auto"/>
          </w:divBdr>
        </w:div>
        <w:div w:id="866673128">
          <w:marLeft w:val="0"/>
          <w:marRight w:val="0"/>
          <w:marTop w:val="0"/>
          <w:marBottom w:val="0"/>
          <w:divBdr>
            <w:top w:val="none" w:sz="0" w:space="0" w:color="auto"/>
            <w:left w:val="none" w:sz="0" w:space="0" w:color="auto"/>
            <w:bottom w:val="none" w:sz="0" w:space="0" w:color="auto"/>
            <w:right w:val="none" w:sz="0" w:space="0" w:color="auto"/>
          </w:divBdr>
        </w:div>
        <w:div w:id="722562232">
          <w:marLeft w:val="0"/>
          <w:marRight w:val="0"/>
          <w:marTop w:val="0"/>
          <w:marBottom w:val="0"/>
          <w:divBdr>
            <w:top w:val="none" w:sz="0" w:space="0" w:color="auto"/>
            <w:left w:val="none" w:sz="0" w:space="0" w:color="auto"/>
            <w:bottom w:val="none" w:sz="0" w:space="0" w:color="auto"/>
            <w:right w:val="none" w:sz="0" w:space="0" w:color="auto"/>
          </w:divBdr>
        </w:div>
      </w:divsChild>
    </w:div>
    <w:div w:id="2014139207">
      <w:bodyDiv w:val="1"/>
      <w:marLeft w:val="0"/>
      <w:marRight w:val="0"/>
      <w:marTop w:val="0"/>
      <w:marBottom w:val="0"/>
      <w:divBdr>
        <w:top w:val="none" w:sz="0" w:space="0" w:color="auto"/>
        <w:left w:val="none" w:sz="0" w:space="0" w:color="auto"/>
        <w:bottom w:val="none" w:sz="0" w:space="0" w:color="auto"/>
        <w:right w:val="none" w:sz="0" w:space="0" w:color="auto"/>
      </w:divBdr>
      <w:divsChild>
        <w:div w:id="1818765678">
          <w:marLeft w:val="0"/>
          <w:marRight w:val="0"/>
          <w:marTop w:val="0"/>
          <w:marBottom w:val="0"/>
          <w:divBdr>
            <w:top w:val="none" w:sz="0" w:space="0" w:color="auto"/>
            <w:left w:val="none" w:sz="0" w:space="0" w:color="auto"/>
            <w:bottom w:val="none" w:sz="0" w:space="0" w:color="auto"/>
            <w:right w:val="none" w:sz="0" w:space="0" w:color="auto"/>
          </w:divBdr>
        </w:div>
        <w:div w:id="1976792382">
          <w:marLeft w:val="0"/>
          <w:marRight w:val="0"/>
          <w:marTop w:val="0"/>
          <w:marBottom w:val="0"/>
          <w:divBdr>
            <w:top w:val="none" w:sz="0" w:space="0" w:color="auto"/>
            <w:left w:val="none" w:sz="0" w:space="0" w:color="auto"/>
            <w:bottom w:val="none" w:sz="0" w:space="0" w:color="auto"/>
            <w:right w:val="none" w:sz="0" w:space="0" w:color="auto"/>
          </w:divBdr>
        </w:div>
      </w:divsChild>
    </w:div>
    <w:div w:id="211898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C3699-A78B-448A-99A4-18FDA5727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3911</Words>
  <Characters>22297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Tim</cp:lastModifiedBy>
  <cp:revision>2</cp:revision>
  <dcterms:created xsi:type="dcterms:W3CDTF">2017-12-14T18:04:00Z</dcterms:created>
  <dcterms:modified xsi:type="dcterms:W3CDTF">2017-12-14T18:04:00Z</dcterms:modified>
</cp:coreProperties>
</file>