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0224855"/>
        <w:docPartObj>
          <w:docPartGallery w:val="Cover Pages"/>
          <w:docPartUnique/>
        </w:docPartObj>
      </w:sdtPr>
      <w:sdtEndPr>
        <w:rPr>
          <w:rFonts w:ascii="Times New Roman" w:hAnsi="Times New Roman"/>
          <w:lang w:val="en-GB"/>
        </w:rPr>
      </w:sdtEndPr>
      <w:sdtContent>
        <w:p w14:paraId="338C650D" w14:textId="4C6B5382" w:rsidR="00666DD6" w:rsidRDefault="00666DD6">
          <w:r>
            <w:rPr>
              <w:noProof/>
            </w:rPr>
            <mc:AlternateContent>
              <mc:Choice Requires="wpg">
                <w:drawing>
                  <wp:anchor distT="0" distB="0" distL="114300" distR="114300" simplePos="0" relativeHeight="251659264" behindDoc="1" locked="0" layoutInCell="1" allowOverlap="1" wp14:anchorId="2C0D71E0" wp14:editId="1AD6632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256AB"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Student Name: MD ROSHID AHMED</w:t>
                                  </w:r>
                                </w:p>
                                <w:p w14:paraId="2A63D063"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Student ID: 1922561</w:t>
                                  </w:r>
                                </w:p>
                                <w:p w14:paraId="523E3FF4"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Course Lecturer: </w:t>
                                  </w:r>
                                  <w:r>
                                    <w:rPr>
                                      <w:rFonts w:ascii="Times New Roman" w:hAnsi="Times New Roman"/>
                                      <w:b/>
                                      <w:sz w:val="32"/>
                                      <w:szCs w:val="32"/>
                                    </w:rPr>
                                    <w:t>Sian Turvey</w:t>
                                  </w:r>
                                </w:p>
                                <w:p w14:paraId="39285340"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Property Law</w:t>
                                  </w:r>
                                </w:p>
                                <w:p w14:paraId="5B0E8F65"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Course Code: </w:t>
                                  </w:r>
                                  <w:r>
                                    <w:rPr>
                                      <w:rFonts w:ascii="Times New Roman" w:hAnsi="Times New Roman"/>
                                      <w:b/>
                                      <w:sz w:val="32"/>
                                      <w:szCs w:val="32"/>
                                    </w:rPr>
                                    <w:t>BMLW6006</w:t>
                                  </w:r>
                                </w:p>
                                <w:p w14:paraId="58A00B07" w14:textId="721BF515"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Submission Deadline: </w:t>
                                  </w:r>
                                  <w:r>
                                    <w:rPr>
                                      <w:rFonts w:ascii="Times New Roman" w:hAnsi="Times New Roman"/>
                                      <w:b/>
                                      <w:sz w:val="32"/>
                                      <w:szCs w:val="32"/>
                                    </w:rPr>
                                    <w:t>21 April 2023</w:t>
                                  </w:r>
                                </w:p>
                                <w:p w14:paraId="546B7153" w14:textId="14B5DCC7" w:rsidR="00666DD6" w:rsidRDefault="00666DD6" w:rsidP="00666DD6">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E5D1BCF" w14:textId="31BCA093" w:rsidR="00666DD6" w:rsidRDefault="00666DD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Property Law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0D71E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22256AB"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Student Name: MD ROSHID AHMED</w:t>
                            </w:r>
                          </w:p>
                          <w:p w14:paraId="2A63D063"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Student ID: 1922561</w:t>
                            </w:r>
                          </w:p>
                          <w:p w14:paraId="523E3FF4"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Course Lecturer: </w:t>
                            </w:r>
                            <w:r>
                              <w:rPr>
                                <w:rFonts w:ascii="Times New Roman" w:hAnsi="Times New Roman"/>
                                <w:b/>
                                <w:sz w:val="32"/>
                                <w:szCs w:val="32"/>
                              </w:rPr>
                              <w:t>Sian Turvey</w:t>
                            </w:r>
                          </w:p>
                          <w:p w14:paraId="39285340"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Property Law</w:t>
                            </w:r>
                          </w:p>
                          <w:p w14:paraId="5B0E8F65" w14:textId="77777777"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Course Code: </w:t>
                            </w:r>
                            <w:r>
                              <w:rPr>
                                <w:rFonts w:ascii="Times New Roman" w:hAnsi="Times New Roman"/>
                                <w:b/>
                                <w:sz w:val="32"/>
                                <w:szCs w:val="32"/>
                              </w:rPr>
                              <w:t>BMLW6006</w:t>
                            </w:r>
                          </w:p>
                          <w:p w14:paraId="58A00B07" w14:textId="721BF515" w:rsidR="00666DD6" w:rsidRPr="00357783" w:rsidRDefault="00666DD6" w:rsidP="00666DD6">
                            <w:pPr>
                              <w:jc w:val="both"/>
                              <w:rPr>
                                <w:rFonts w:ascii="Times New Roman" w:hAnsi="Times New Roman"/>
                                <w:b/>
                                <w:sz w:val="32"/>
                                <w:szCs w:val="32"/>
                              </w:rPr>
                            </w:pPr>
                            <w:r w:rsidRPr="00357783">
                              <w:rPr>
                                <w:rFonts w:ascii="Times New Roman" w:hAnsi="Times New Roman"/>
                                <w:b/>
                                <w:sz w:val="32"/>
                                <w:szCs w:val="32"/>
                              </w:rPr>
                              <w:t xml:space="preserve">Submission Deadline: </w:t>
                            </w:r>
                            <w:r>
                              <w:rPr>
                                <w:rFonts w:ascii="Times New Roman" w:hAnsi="Times New Roman"/>
                                <w:b/>
                                <w:sz w:val="32"/>
                                <w:szCs w:val="32"/>
                              </w:rPr>
                              <w:t>21 April 2023</w:t>
                            </w:r>
                          </w:p>
                          <w:p w14:paraId="546B7153" w14:textId="14B5DCC7" w:rsidR="00666DD6" w:rsidRDefault="00666DD6" w:rsidP="00666DD6">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E5D1BCF" w14:textId="31BCA093" w:rsidR="00666DD6" w:rsidRDefault="00666DD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Property Law assignment</w:t>
                                </w:r>
                              </w:p>
                            </w:sdtContent>
                          </w:sdt>
                        </w:txbxContent>
                      </v:textbox>
                    </v:shape>
                    <w10:wrap anchorx="page" anchory="page"/>
                  </v:group>
                </w:pict>
              </mc:Fallback>
            </mc:AlternateContent>
          </w:r>
        </w:p>
        <w:p w14:paraId="6E65FAC5" w14:textId="2986D3FA" w:rsidR="00666DD6" w:rsidRDefault="00666DD6">
          <w:pPr>
            <w:spacing w:after="160" w:line="259" w:lineRule="auto"/>
            <w:rPr>
              <w:rFonts w:ascii="Times New Roman" w:hAnsi="Times New Roman"/>
              <w:lang w:val="en-GB"/>
            </w:rPr>
          </w:pPr>
          <w:r>
            <w:rPr>
              <w:rFonts w:ascii="Times New Roman" w:hAnsi="Times New Roman"/>
              <w:lang w:val="en-GB"/>
            </w:rPr>
            <w:br w:type="page"/>
          </w:r>
        </w:p>
      </w:sdtContent>
    </w:sdt>
    <w:p w14:paraId="5FCDA40A" w14:textId="32CC9B13" w:rsidR="00644A19" w:rsidRPr="0048209A" w:rsidRDefault="00644A19" w:rsidP="00644A19">
      <w:pPr>
        <w:spacing w:after="0" w:line="480" w:lineRule="auto"/>
        <w:contextualSpacing/>
        <w:jc w:val="both"/>
        <w:rPr>
          <w:rFonts w:ascii="Times New Roman" w:hAnsi="Times New Roman"/>
          <w:lang w:val="en-GB"/>
        </w:rPr>
      </w:pPr>
      <w:r w:rsidRPr="0048209A">
        <w:rPr>
          <w:rFonts w:ascii="Times New Roman" w:hAnsi="Times New Roman"/>
          <w:lang w:val="en-GB"/>
        </w:rPr>
        <w:lastRenderedPageBreak/>
        <w:tab/>
      </w:r>
      <w:r w:rsidR="00373257" w:rsidRPr="0048209A">
        <w:rPr>
          <w:rFonts w:ascii="Times New Roman" w:hAnsi="Times New Roman"/>
          <w:lang w:val="en-GB"/>
        </w:rPr>
        <w:t>Property</w:t>
      </w:r>
      <w:r w:rsidRPr="0048209A">
        <w:rPr>
          <w:rFonts w:ascii="Times New Roman" w:hAnsi="Times New Roman"/>
          <w:lang w:val="en-GB"/>
        </w:rPr>
        <w:t xml:space="preserve"> law is connected with the </w:t>
      </w:r>
      <w:r w:rsidR="00373257" w:rsidRPr="0048209A">
        <w:rPr>
          <w:rFonts w:ascii="Times New Roman" w:hAnsi="Times New Roman"/>
          <w:lang w:val="en-GB"/>
        </w:rPr>
        <w:t>land</w:t>
      </w:r>
      <w:r w:rsidRPr="0048209A">
        <w:rPr>
          <w:rFonts w:ascii="Times New Roman" w:hAnsi="Times New Roman"/>
          <w:lang w:val="en-GB"/>
        </w:rPr>
        <w:t xml:space="preserve"> rights acquired from the registration system, equity, and common law. The land ownership is decided by the contract of sale, where the buyer and seller indulge in the registry of the land. The Law of Property Act 1925 was developed in England and Wales to overlook the enactments specific to conveyancing and decide the equitable powers in cases of lease and land disposal. However, the land has various limitations, such as prohibited trespassing </w:t>
      </w:r>
      <w:r w:rsidRPr="0048209A">
        <w:rPr>
          <w:rFonts w:ascii="Times New Roman" w:hAnsi="Times New Roman"/>
          <w:i/>
          <w:iCs/>
          <w:lang w:val="en-GB"/>
        </w:rPr>
        <w:t>(Roche, 2018).</w:t>
      </w:r>
      <w:r w:rsidR="00327401" w:rsidRPr="0048209A">
        <w:rPr>
          <w:rFonts w:ascii="Times New Roman" w:hAnsi="Times New Roman"/>
          <w:lang w:val="en-GB"/>
        </w:rPr>
        <w:t xml:space="preserve"> </w:t>
      </w:r>
      <w:r w:rsidR="00280E4C" w:rsidRPr="0048209A">
        <w:rPr>
          <w:rFonts w:ascii="Times New Roman" w:hAnsi="Times New Roman"/>
          <w:lang w:val="en-GB"/>
        </w:rPr>
        <w:t>In the context of the easement, the prescription is defined as acquiring rights through utili</w:t>
      </w:r>
      <w:r w:rsidR="00A33E73" w:rsidRPr="0048209A">
        <w:rPr>
          <w:rFonts w:ascii="Times New Roman" w:hAnsi="Times New Roman"/>
          <w:lang w:val="en-GB"/>
        </w:rPr>
        <w:t>s</w:t>
      </w:r>
      <w:r w:rsidR="00280E4C" w:rsidRPr="0048209A">
        <w:rPr>
          <w:rFonts w:ascii="Times New Roman" w:hAnsi="Times New Roman"/>
          <w:lang w:val="en-GB"/>
        </w:rPr>
        <w:t xml:space="preserve">ing or enjoying property in the long term in accordance with the manner set by the law. To acquire an easement through prescription, three methods are used: common law, the Prescription Act 1832 and the doctrine of lost modern grant. An easement is referred to as property right-handed over to another individual </w:t>
      </w:r>
      <w:r w:rsidR="006D085B" w:rsidRPr="0048209A">
        <w:rPr>
          <w:rFonts w:ascii="Times New Roman" w:hAnsi="Times New Roman"/>
          <w:lang w:val="en-GB"/>
        </w:rPr>
        <w:t>related</w:t>
      </w:r>
      <w:r w:rsidR="00280E4C" w:rsidRPr="0048209A">
        <w:rPr>
          <w:rFonts w:ascii="Times New Roman" w:hAnsi="Times New Roman"/>
          <w:lang w:val="en-GB"/>
        </w:rPr>
        <w:t xml:space="preserve"> to land property and can be taken in any form, such as the right to use cable, pipes or drainage. Easement rights are considered private rights and comprise two parcels of land: dominant tenement and servient tenement</w:t>
      </w:r>
      <w:r w:rsidR="00B41EB3" w:rsidRPr="0048209A">
        <w:rPr>
          <w:rFonts w:ascii="Times New Roman" w:hAnsi="Times New Roman"/>
          <w:lang w:val="en-GB"/>
        </w:rPr>
        <w:t xml:space="preserve"> (UK Government 2021)</w:t>
      </w:r>
      <w:r w:rsidR="00280E4C" w:rsidRPr="0048209A">
        <w:rPr>
          <w:rFonts w:ascii="Times New Roman" w:hAnsi="Times New Roman"/>
          <w:lang w:val="en-GB"/>
        </w:rPr>
        <w:t xml:space="preserve">. Section 62 of LPA 1925 presented that beneficial easement also passes with the land. Furthermore, section 62(1) presents the convenience of land related to buildings, fixtures, erections, hedges and easement rights that should be considered part or parcel of land (UK Legislation, 2016). In this regard, the judgements derived from Re </w:t>
      </w:r>
      <w:r w:rsidR="00280E4C" w:rsidRPr="0048209A">
        <w:rPr>
          <w:rFonts w:ascii="Times New Roman" w:hAnsi="Times New Roman"/>
          <w:i/>
          <w:iCs/>
          <w:lang w:val="en-GB"/>
        </w:rPr>
        <w:t>Ellenborough</w:t>
      </w:r>
      <w:r w:rsidR="00280E4C" w:rsidRPr="0048209A">
        <w:rPr>
          <w:rFonts w:ascii="Times New Roman" w:hAnsi="Times New Roman"/>
          <w:lang w:val="en-GB"/>
        </w:rPr>
        <w:t xml:space="preserve"> Park presented four key characteristics: the presence of servient and dominant easement, accommodation of easement by dominant tenement, same individuals and easement should not occupy both positions must have the capability to develop grant.</w:t>
      </w:r>
      <w:r w:rsidR="00E91F99" w:rsidRPr="0048209A">
        <w:rPr>
          <w:rFonts w:ascii="Times New Roman" w:hAnsi="Times New Roman"/>
          <w:lang w:val="en-GB"/>
        </w:rPr>
        <w:t xml:space="preserve"> </w:t>
      </w:r>
      <w:r w:rsidRPr="0048209A">
        <w:rPr>
          <w:rFonts w:ascii="Times New Roman" w:hAnsi="Times New Roman"/>
          <w:lang w:val="en-GB"/>
        </w:rPr>
        <w:t xml:space="preserve">For example, in the case, </w:t>
      </w:r>
      <w:bookmarkStart w:id="0" w:name="_Hlk117589282"/>
      <w:r w:rsidRPr="0048209A">
        <w:rPr>
          <w:rFonts w:ascii="Times New Roman" w:hAnsi="Times New Roman"/>
          <w:i/>
          <w:lang w:val="en-GB"/>
        </w:rPr>
        <w:t xml:space="preserve">Anchor Brewhouse Developments v Berkley House (Docklands) Developments [1987], </w:t>
      </w:r>
      <w:bookmarkEnd w:id="0"/>
      <w:r w:rsidRPr="0048209A">
        <w:rPr>
          <w:rFonts w:ascii="Times New Roman" w:hAnsi="Times New Roman"/>
          <w:lang w:val="en-GB"/>
        </w:rPr>
        <w:t xml:space="preserve">the crane's jib was trespassing in the air directly upwards to the claimant's property due to which an injunction was initiated to reduce such activities in future. Furthermore, land law also includes easement, which is a right provided to the owner of land for acquiring advantages of the land by commencing activities of their choice or prohibiting certain activities. </w:t>
      </w:r>
    </w:p>
    <w:p w14:paraId="49D00343" w14:textId="1D23FEF1" w:rsidR="00644A19" w:rsidRPr="0048209A" w:rsidRDefault="00644A19" w:rsidP="00644A19">
      <w:pPr>
        <w:spacing w:after="0" w:line="480" w:lineRule="auto"/>
        <w:ind w:firstLine="720"/>
        <w:contextualSpacing/>
        <w:jc w:val="both"/>
        <w:rPr>
          <w:rFonts w:ascii="Times New Roman" w:hAnsi="Times New Roman"/>
          <w:lang w:val="en-GB"/>
        </w:rPr>
      </w:pPr>
      <w:r w:rsidRPr="0048209A">
        <w:rPr>
          <w:rFonts w:ascii="Times New Roman" w:hAnsi="Times New Roman"/>
          <w:lang w:val="en-GB"/>
        </w:rPr>
        <w:t>The concept of easement is defined as the non-possessory rights to enter and utilise the real property of others without actually owning it</w:t>
      </w:r>
      <w:r w:rsidR="00CE5AB9" w:rsidRPr="0048209A">
        <w:rPr>
          <w:rFonts w:ascii="Times New Roman" w:hAnsi="Times New Roman"/>
          <w:lang w:val="en-GB"/>
        </w:rPr>
        <w:t xml:space="preserve"> (Fuselier, 2019)</w:t>
      </w:r>
      <w:r w:rsidRPr="0048209A">
        <w:rPr>
          <w:rFonts w:ascii="Times New Roman" w:hAnsi="Times New Roman"/>
          <w:lang w:val="en-GB"/>
        </w:rPr>
        <w:t xml:space="preserve">. In a positive context, easement means </w:t>
      </w:r>
      <w:r w:rsidRPr="0048209A">
        <w:rPr>
          <w:rFonts w:ascii="Times New Roman" w:hAnsi="Times New Roman"/>
          <w:lang w:val="en-GB"/>
        </w:rPr>
        <w:lastRenderedPageBreak/>
        <w:t>a person has the right to exercise activities on another's land, also known as the right of way.</w:t>
      </w:r>
      <w:r w:rsidR="00480B94" w:rsidRPr="0048209A">
        <w:rPr>
          <w:rFonts w:ascii="Times New Roman" w:hAnsi="Times New Roman"/>
          <w:lang w:val="en-GB"/>
        </w:rPr>
        <w:t xml:space="preserve"> </w:t>
      </w:r>
      <w:r w:rsidR="00A46D3D" w:rsidRPr="0048209A">
        <w:rPr>
          <w:rFonts w:ascii="Times New Roman" w:hAnsi="Times New Roman"/>
          <w:lang w:val="en-GB"/>
        </w:rPr>
        <w:t>For instance, A is a landowner having a land property having a fishing hole which is provided to B, who is a fisher under an easement that provides him with the right to utili</w:t>
      </w:r>
      <w:r w:rsidR="00B91DD2" w:rsidRPr="0048209A">
        <w:rPr>
          <w:rFonts w:ascii="Times New Roman" w:hAnsi="Times New Roman"/>
          <w:lang w:val="en-GB"/>
        </w:rPr>
        <w:t>s</w:t>
      </w:r>
      <w:r w:rsidR="00A46D3D" w:rsidRPr="0048209A">
        <w:rPr>
          <w:rFonts w:ascii="Times New Roman" w:hAnsi="Times New Roman"/>
          <w:lang w:val="en-GB"/>
        </w:rPr>
        <w:t xml:space="preserve">e the fishing hole; however, the easement right ceases to exist when the land of sell by A or on B death </w:t>
      </w:r>
      <w:r w:rsidR="008B1B8A" w:rsidRPr="0048209A">
        <w:rPr>
          <w:rFonts w:ascii="Times New Roman" w:hAnsi="Times New Roman"/>
          <w:lang w:val="en-GB"/>
        </w:rPr>
        <w:t>(Bowling, 2023)</w:t>
      </w:r>
      <w:r w:rsidR="00480B94" w:rsidRPr="0048209A">
        <w:rPr>
          <w:rFonts w:ascii="Times New Roman" w:hAnsi="Times New Roman"/>
          <w:lang w:val="en-GB"/>
        </w:rPr>
        <w:t>.</w:t>
      </w:r>
      <w:r w:rsidRPr="0048209A">
        <w:rPr>
          <w:rFonts w:ascii="Times New Roman" w:hAnsi="Times New Roman"/>
          <w:lang w:val="en-GB"/>
        </w:rPr>
        <w:t xml:space="preserve"> In contrast, the negative easement is considered the rights showcased by the rights holder to restrict the landowner from acting in a specific way on the land, known as the right of light. The easement rights are considered private, and two land parcels are always involved, also known as tenements. Moreover, the land which acquires immense benefits and pros of easement is considered a dominant tenement. However, the land which is prone to burden and on which the rights of the landowner are exercised is referred to as a servient tenement </w:t>
      </w:r>
      <w:r w:rsidRPr="0048209A">
        <w:rPr>
          <w:rFonts w:ascii="Times New Roman" w:hAnsi="Times New Roman"/>
          <w:i/>
          <w:iCs/>
          <w:lang w:val="en-GB"/>
        </w:rPr>
        <w:t>(Gray and Gray, 2013).</w:t>
      </w:r>
      <w:r w:rsidRPr="0048209A">
        <w:rPr>
          <w:rFonts w:ascii="Times New Roman" w:hAnsi="Times New Roman"/>
          <w:lang w:val="en-GB"/>
        </w:rPr>
        <w:t xml:space="preserve"> In several cases, the servient owner is restricted from any expenditures of the easement. However, situations such as easement are exerted for taking care of or developing a fence and obligation to ensure proper cleanliness and well-maintained. These are the two exceptions where the servient owner is subjected to bear the expenditure of easement. Furthermore, the concept of easement depicts that dominant and servient land should be owned by different people, so it is easy to provide easement rights</w:t>
      </w:r>
      <w:r w:rsidR="00B3439B" w:rsidRPr="0048209A">
        <w:rPr>
          <w:rFonts w:ascii="Times New Roman" w:hAnsi="Times New Roman"/>
          <w:lang w:val="en-GB"/>
        </w:rPr>
        <w:t xml:space="preserve"> </w:t>
      </w:r>
      <w:proofErr w:type="gramStart"/>
      <w:r w:rsidR="00B3439B" w:rsidRPr="0048209A">
        <w:rPr>
          <w:rFonts w:ascii="Times New Roman" w:hAnsi="Times New Roman"/>
          <w:lang w:val="en-GB"/>
        </w:rPr>
        <w:t>As</w:t>
      </w:r>
      <w:proofErr w:type="gramEnd"/>
      <w:r w:rsidR="00B3439B" w:rsidRPr="0048209A">
        <w:rPr>
          <w:rFonts w:ascii="Times New Roman" w:hAnsi="Times New Roman"/>
          <w:lang w:val="en-GB"/>
        </w:rPr>
        <w:t xml:space="preserve"> examined in the case of </w:t>
      </w:r>
      <w:proofErr w:type="spellStart"/>
      <w:r w:rsidR="00B3439B" w:rsidRPr="0048209A">
        <w:rPr>
          <w:rFonts w:ascii="Times New Roman" w:hAnsi="Times New Roman"/>
          <w:i/>
          <w:lang w:val="en-GB"/>
        </w:rPr>
        <w:t>Rance</w:t>
      </w:r>
      <w:proofErr w:type="spellEnd"/>
      <w:r w:rsidR="00B3439B" w:rsidRPr="0048209A">
        <w:rPr>
          <w:rFonts w:ascii="Times New Roman" w:hAnsi="Times New Roman"/>
          <w:i/>
          <w:lang w:val="en-GB"/>
        </w:rPr>
        <w:t xml:space="preserve"> V Elvin </w:t>
      </w:r>
      <w:r w:rsidR="00B3439B" w:rsidRPr="0048209A">
        <w:rPr>
          <w:rFonts w:ascii="Times New Roman" w:hAnsi="Times New Roman"/>
          <w:lang w:val="en-GB"/>
        </w:rPr>
        <w:t xml:space="preserve">(1985) the case was transferred to court where court promoted positive obligation. However, the servient owner was not obligated to that water reaches the private system. </w:t>
      </w:r>
      <w:r w:rsidRPr="0048209A">
        <w:rPr>
          <w:rFonts w:ascii="Times New Roman" w:hAnsi="Times New Roman"/>
          <w:lang w:val="en-GB"/>
        </w:rPr>
        <w:t xml:space="preserve"> </w:t>
      </w:r>
      <w:r w:rsidRPr="0048209A">
        <w:rPr>
          <w:rFonts w:ascii="Times New Roman" w:hAnsi="Times New Roman"/>
          <w:i/>
          <w:iCs/>
          <w:lang w:val="en-GB"/>
        </w:rPr>
        <w:t>(Waite, 1985).</w:t>
      </w:r>
    </w:p>
    <w:p w14:paraId="4C19F389" w14:textId="4A5682D3" w:rsidR="00644A19" w:rsidRPr="0048209A" w:rsidRDefault="00644A19" w:rsidP="00644A19">
      <w:pPr>
        <w:spacing w:after="0" w:line="480" w:lineRule="auto"/>
        <w:contextualSpacing/>
        <w:jc w:val="both"/>
        <w:rPr>
          <w:rFonts w:ascii="Times New Roman" w:hAnsi="Times New Roman"/>
          <w:lang w:val="en-GB"/>
        </w:rPr>
      </w:pPr>
      <w:r w:rsidRPr="0048209A">
        <w:rPr>
          <w:rFonts w:ascii="Times New Roman" w:hAnsi="Times New Roman"/>
          <w:lang w:val="en-GB"/>
        </w:rPr>
        <w:tab/>
      </w:r>
      <w:r w:rsidR="00B328D3" w:rsidRPr="0048209A">
        <w:rPr>
          <w:rFonts w:ascii="Times New Roman" w:hAnsi="Times New Roman"/>
          <w:lang w:val="en-GB"/>
        </w:rPr>
        <w:t>Under the legal easement, it is required to comply with the registration procedure specified in para 7 schedule 2 under the Land Registration Act 2002. However, notice must be sent to register servient land, but if it is registered under the dominant land, all the benefits would be provided to the dominant land (UK Legislation, 2016). Although, an easement constructed for uncertain and irregular duration has no potential to become legal as per section S1 (3) Law of Property Act 1925. In addition, it was also presented that if the right to use land is available subject to taking permission, then easement legality cannot be claimed</w:t>
      </w:r>
      <w:r w:rsidR="00880CF3" w:rsidRPr="0048209A">
        <w:rPr>
          <w:rFonts w:ascii="Times New Roman" w:hAnsi="Times New Roman"/>
          <w:lang w:val="en-GB"/>
        </w:rPr>
        <w:t xml:space="preserve">. </w:t>
      </w:r>
      <w:r w:rsidRPr="0048209A">
        <w:rPr>
          <w:rFonts w:ascii="Times New Roman" w:hAnsi="Times New Roman"/>
          <w:lang w:val="en-GB"/>
        </w:rPr>
        <w:t xml:space="preserve">Furthermore, new easements are often considered as becoming </w:t>
      </w:r>
      <w:r w:rsidRPr="0048209A">
        <w:rPr>
          <w:rFonts w:ascii="Times New Roman" w:hAnsi="Times New Roman"/>
          <w:lang w:val="en-GB"/>
        </w:rPr>
        <w:lastRenderedPageBreak/>
        <w:t xml:space="preserve">analogous to the already existing easements. For instance- the right to park corresponds to the easement right for storage </w:t>
      </w:r>
      <w:r w:rsidRPr="0048209A">
        <w:rPr>
          <w:rFonts w:ascii="Times New Roman" w:hAnsi="Times New Roman"/>
          <w:i/>
          <w:iCs/>
          <w:lang w:val="en-GB"/>
        </w:rPr>
        <w:t>(Romero, 2013).</w:t>
      </w:r>
    </w:p>
    <w:p w14:paraId="1AA0B294" w14:textId="75C85607" w:rsidR="00644A19" w:rsidRPr="0048209A" w:rsidRDefault="00644A19" w:rsidP="00644A19">
      <w:pPr>
        <w:spacing w:after="0" w:line="480" w:lineRule="auto"/>
        <w:contextualSpacing/>
        <w:jc w:val="both"/>
        <w:rPr>
          <w:rFonts w:ascii="Times New Roman" w:hAnsi="Times New Roman"/>
          <w:i/>
          <w:iCs/>
          <w:lang w:val="en-GB"/>
        </w:rPr>
      </w:pPr>
      <w:r w:rsidRPr="0048209A">
        <w:rPr>
          <w:rFonts w:ascii="Times New Roman" w:hAnsi="Times New Roman"/>
          <w:lang w:val="en-GB"/>
        </w:rPr>
        <w:tab/>
        <w:t xml:space="preserve">In addition, according to </w:t>
      </w:r>
      <w:bookmarkStart w:id="1" w:name="_Hlk117589488"/>
      <w:r w:rsidR="003A0E70" w:rsidRPr="0048209A">
        <w:rPr>
          <w:rFonts w:ascii="Times New Roman" w:hAnsi="Times New Roman"/>
          <w:i/>
          <w:iCs/>
          <w:lang w:val="en-GB"/>
        </w:rPr>
        <w:t>Re-</w:t>
      </w:r>
      <w:r w:rsidRPr="0048209A">
        <w:rPr>
          <w:rFonts w:ascii="Times New Roman" w:hAnsi="Times New Roman"/>
          <w:i/>
          <w:iCs/>
          <w:lang w:val="en-GB"/>
        </w:rPr>
        <w:t>Ellenborough Park [1956] CH 131,</w:t>
      </w:r>
      <w:r w:rsidRPr="0048209A">
        <w:rPr>
          <w:rFonts w:ascii="Times New Roman" w:hAnsi="Times New Roman"/>
          <w:lang w:val="en-GB"/>
        </w:rPr>
        <w:t xml:space="preserve"> </w:t>
      </w:r>
      <w:bookmarkEnd w:id="1"/>
      <w:r w:rsidRPr="0048209A">
        <w:rPr>
          <w:rFonts w:ascii="Times New Roman" w:hAnsi="Times New Roman"/>
          <w:lang w:val="en-GB"/>
        </w:rPr>
        <w:t xml:space="preserve">the critical features of easement state that easement should compulsorily consist of a dominant and a servient tenement where the easement is accommodated and offered to the dominant tenement. The benefits and rights ensured in the easement should be enjoyed by the dominant tenement. Moreover, the claimed rights should have the potential to be presented in a written document. The easement only pertains to its value when linked to the dominant land. However, an easement cannot sustain in gross where only service tenement is known and has no signs of the dominant land. Future owners or buyers of the dominant land have the potential to acquire easement rights and benefits </w:t>
      </w:r>
      <w:r w:rsidRPr="0048209A">
        <w:rPr>
          <w:rFonts w:ascii="Times New Roman" w:hAnsi="Times New Roman"/>
          <w:i/>
          <w:iCs/>
          <w:lang w:val="en-GB"/>
        </w:rPr>
        <w:t>(Egan-</w:t>
      </w:r>
      <w:proofErr w:type="spellStart"/>
      <w:r w:rsidRPr="0048209A">
        <w:rPr>
          <w:rFonts w:ascii="Times New Roman" w:hAnsi="Times New Roman"/>
          <w:i/>
          <w:iCs/>
          <w:lang w:val="en-GB"/>
        </w:rPr>
        <w:t>Ronayne</w:t>
      </w:r>
      <w:proofErr w:type="spellEnd"/>
      <w:r w:rsidRPr="0048209A">
        <w:rPr>
          <w:rFonts w:ascii="Times New Roman" w:hAnsi="Times New Roman"/>
          <w:i/>
          <w:iCs/>
          <w:lang w:val="en-GB"/>
        </w:rPr>
        <w:t>, 2017).</w:t>
      </w:r>
      <w:r w:rsidRPr="0048209A">
        <w:rPr>
          <w:rFonts w:ascii="Times New Roman" w:hAnsi="Times New Roman"/>
          <w:lang w:val="en-GB"/>
        </w:rPr>
        <w:t xml:space="preserve"> As per </w:t>
      </w:r>
      <w:bookmarkStart w:id="2" w:name="_Hlk117589560"/>
      <w:r w:rsidRPr="0048209A">
        <w:rPr>
          <w:rFonts w:ascii="Times New Roman" w:hAnsi="Times New Roman"/>
          <w:i/>
          <w:lang w:val="en-GB"/>
        </w:rPr>
        <w:t xml:space="preserve">Metropolitan Railway Co v Fowler (1893), </w:t>
      </w:r>
      <w:bookmarkEnd w:id="2"/>
      <w:r w:rsidRPr="0048209A">
        <w:rPr>
          <w:rFonts w:ascii="Times New Roman" w:hAnsi="Times New Roman"/>
          <w:lang w:val="en-GB"/>
        </w:rPr>
        <w:t xml:space="preserve">an easement can never happen on your land because it comes under the rights over the </w:t>
      </w:r>
      <w:proofErr w:type="spellStart"/>
      <w:r w:rsidRPr="0048209A">
        <w:rPr>
          <w:rFonts w:ascii="Times New Roman" w:hAnsi="Times New Roman"/>
          <w:lang w:val="en-GB"/>
        </w:rPr>
        <w:t>servient's</w:t>
      </w:r>
      <w:proofErr w:type="spellEnd"/>
      <w:r w:rsidRPr="0048209A">
        <w:rPr>
          <w:rFonts w:ascii="Times New Roman" w:hAnsi="Times New Roman"/>
          <w:lang w:val="en-GB"/>
        </w:rPr>
        <w:t xml:space="preserve"> land. However, a tenant can exert rights over the landlord's land. Moreover, the grantor and grantee involved in the easement should be competent, and the rights should also be entirely fulfilling </w:t>
      </w:r>
      <w:r w:rsidRPr="0048209A">
        <w:rPr>
          <w:rFonts w:ascii="Times New Roman" w:hAnsi="Times New Roman"/>
          <w:i/>
          <w:iCs/>
          <w:lang w:val="en-GB"/>
        </w:rPr>
        <w:t>(</w:t>
      </w:r>
      <w:proofErr w:type="spellStart"/>
      <w:r w:rsidRPr="0048209A">
        <w:rPr>
          <w:rFonts w:ascii="Times New Roman" w:hAnsi="Times New Roman"/>
          <w:i/>
          <w:iCs/>
          <w:lang w:val="en-GB"/>
        </w:rPr>
        <w:t>Kowallis</w:t>
      </w:r>
      <w:proofErr w:type="spellEnd"/>
      <w:r w:rsidRPr="0048209A">
        <w:rPr>
          <w:rFonts w:ascii="Times New Roman" w:hAnsi="Times New Roman"/>
          <w:i/>
          <w:iCs/>
          <w:lang w:val="en-GB"/>
        </w:rPr>
        <w:t>, 2018).</w:t>
      </w:r>
    </w:p>
    <w:p w14:paraId="69426E7A" w14:textId="71D930D2" w:rsidR="00543CFA" w:rsidRPr="0048209A" w:rsidRDefault="00543CFA" w:rsidP="00543CFA">
      <w:pPr>
        <w:spacing w:after="0" w:line="480" w:lineRule="auto"/>
        <w:ind w:firstLine="720"/>
        <w:contextualSpacing/>
        <w:jc w:val="both"/>
        <w:rPr>
          <w:rFonts w:ascii="Times New Roman" w:hAnsi="Times New Roman"/>
          <w:lang w:val="en-GB"/>
        </w:rPr>
      </w:pPr>
      <w:r w:rsidRPr="0048209A">
        <w:rPr>
          <w:rFonts w:ascii="Times New Roman" w:hAnsi="Times New Roman"/>
          <w:lang w:val="en-GB"/>
        </w:rPr>
        <w:t>It was presented that negative easement right is mainly exercised where the rights are being executed through the dominant owner, which prevents the servient owner from using or making modifications in the land. All types of the negative easement are not recogni</w:t>
      </w:r>
      <w:r w:rsidR="0059439E" w:rsidRPr="0048209A">
        <w:rPr>
          <w:rFonts w:ascii="Times New Roman" w:hAnsi="Times New Roman"/>
          <w:lang w:val="en-GB"/>
        </w:rPr>
        <w:t>s</w:t>
      </w:r>
      <w:r w:rsidRPr="0048209A">
        <w:rPr>
          <w:rFonts w:ascii="Times New Roman" w:hAnsi="Times New Roman"/>
          <w:lang w:val="en-GB"/>
        </w:rPr>
        <w:t>ed under the law except light, support and air. Furthermore, it is also presented that the right of light is not provided automatically, although its legal right exists relative to the defined aperture in the easement. In this regard, the case of House of Lords in Hunter v Canary Wharf Ltd (1997), where it was presented that the right to use light or television reception is not available with the claimant and servient owner having the burden of proof present evidence for negative easement rights.</w:t>
      </w:r>
    </w:p>
    <w:p w14:paraId="4B763EF6" w14:textId="380586DD" w:rsidR="00D84E2B" w:rsidRPr="0048209A" w:rsidRDefault="00543CFA" w:rsidP="00543CFA">
      <w:pPr>
        <w:spacing w:after="0" w:line="480" w:lineRule="auto"/>
        <w:ind w:firstLine="720"/>
        <w:contextualSpacing/>
        <w:jc w:val="both"/>
        <w:rPr>
          <w:rFonts w:ascii="Times New Roman" w:hAnsi="Times New Roman"/>
          <w:lang w:val="en-GB"/>
        </w:rPr>
      </w:pPr>
      <w:r w:rsidRPr="0048209A">
        <w:rPr>
          <w:rFonts w:ascii="Times New Roman" w:hAnsi="Times New Roman"/>
          <w:lang w:val="en-GB"/>
        </w:rPr>
        <w:t xml:space="preserve">Presumed Grant is considered an easement by prescription which is also a long user easement and is mainly developed through legal fiction. If it is proved that the rights had been used for a long term and are continuously used, then it is presumed that the easement right was granted in the past. It </w:t>
      </w:r>
      <w:r w:rsidRPr="0048209A">
        <w:rPr>
          <w:rFonts w:ascii="Times New Roman" w:hAnsi="Times New Roman"/>
          <w:lang w:val="en-GB"/>
        </w:rPr>
        <w:lastRenderedPageBreak/>
        <w:t xml:space="preserve">is also presented that easement by prescription is considered legal, with the presumption that the deed was passed through a fictional grant. In addition, some criteria set for prescription are continuous user, prescriptive period, the user through right and simple fees (Bevan, 2022). In this regard, the Prescription Act 1832 presented two periods, namely, 20 years where the easement is enjoyed without interference and 40 years where absolute right is granted subject to written deeds. In addition, the easement of light is available for 20 years without any interruption; however, it is also subject to written consent </w:t>
      </w:r>
      <w:r w:rsidR="00C320A6" w:rsidRPr="0048209A">
        <w:rPr>
          <w:rFonts w:ascii="Times New Roman" w:hAnsi="Times New Roman"/>
          <w:lang w:val="en-GB"/>
        </w:rPr>
        <w:t>(UK Legislation, 2017)</w:t>
      </w:r>
      <w:r w:rsidR="009B458C" w:rsidRPr="0048209A">
        <w:rPr>
          <w:rFonts w:ascii="Times New Roman" w:hAnsi="Times New Roman"/>
          <w:lang w:val="en-GB"/>
        </w:rPr>
        <w:t>.</w:t>
      </w:r>
    </w:p>
    <w:p w14:paraId="222FDAC6" w14:textId="505A3EEA" w:rsidR="00614460" w:rsidRPr="0048209A" w:rsidRDefault="00614460" w:rsidP="00614460">
      <w:pPr>
        <w:shd w:val="clear" w:color="auto" w:fill="FFFFFF"/>
        <w:spacing w:after="0" w:line="480" w:lineRule="auto"/>
        <w:ind w:firstLine="720"/>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t xml:space="preserve">On the other hand, it has also been asserted that the legislation of the UK also determines the extent to which the interest of both parties would go as well as how that interest could be dealt with under the Trusts of Land and Appointment of Trustees Act 1996 </w:t>
      </w:r>
      <w:r w:rsidRPr="0048209A">
        <w:rPr>
          <w:rFonts w:ascii="Times New Roman" w:eastAsia="Times New Roman" w:hAnsi="Times New Roman"/>
          <w:i/>
          <w:iCs/>
          <w:lang w:val="en-GB" w:eastAsia="en-GB"/>
        </w:rPr>
        <w:t xml:space="preserve">(TOLATA 1996). </w:t>
      </w:r>
      <w:r w:rsidRPr="0048209A">
        <w:rPr>
          <w:rFonts w:ascii="Times New Roman" w:eastAsia="Times New Roman" w:hAnsi="Times New Roman"/>
          <w:lang w:val="en-GB" w:eastAsia="en-GB"/>
        </w:rPr>
        <w:t xml:space="preserve">It allows the owner to sell his property </w:t>
      </w:r>
      <w:r w:rsidR="005A6D45" w:rsidRPr="0048209A">
        <w:rPr>
          <w:rFonts w:ascii="Times New Roman" w:eastAsia="Times New Roman" w:hAnsi="Times New Roman"/>
          <w:lang w:val="en-GB" w:eastAsia="en-GB"/>
        </w:rPr>
        <w:t xml:space="preserve">along with transferring easement rights. </w:t>
      </w:r>
      <w:r w:rsidRPr="0048209A">
        <w:rPr>
          <w:rFonts w:ascii="Times New Roman" w:eastAsia="Times New Roman" w:hAnsi="Times New Roman"/>
          <w:lang w:val="en-GB" w:eastAsia="en-GB"/>
        </w:rPr>
        <w:t xml:space="preserve">Not only this, but it also offers many benefits to the owner of the property who owns the prescription of easement. Under section 12 of this act, beneficiaries are also allowed to occupy the property </w:t>
      </w:r>
      <w:r w:rsidRPr="0048209A">
        <w:rPr>
          <w:rFonts w:ascii="Times New Roman" w:eastAsia="Times New Roman" w:hAnsi="Times New Roman"/>
          <w:i/>
          <w:iCs/>
          <w:lang w:val="en-GB" w:eastAsia="en-GB"/>
        </w:rPr>
        <w:t>(Dickinson, 2020).</w:t>
      </w:r>
      <w:r w:rsidRPr="0048209A">
        <w:rPr>
          <w:rFonts w:ascii="Times New Roman" w:eastAsia="Times New Roman" w:hAnsi="Times New Roman"/>
          <w:lang w:val="en-GB" w:eastAsia="en-GB"/>
        </w:rPr>
        <w:t xml:space="preserve"> </w:t>
      </w:r>
    </w:p>
    <w:p w14:paraId="190D2731" w14:textId="455EF8B3" w:rsidR="00614460" w:rsidRPr="0048209A" w:rsidRDefault="00614460" w:rsidP="00614460">
      <w:pPr>
        <w:shd w:val="clear" w:color="auto" w:fill="FFFFFF"/>
        <w:spacing w:after="0" w:line="480" w:lineRule="auto"/>
        <w:ind w:firstLine="709"/>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t xml:space="preserve">Even though there were already a significant number of laws and acts concerning easements, the legislation of easement needs more effectiveness. So, in order to enhance effectiveness of legislation regarding the easement, the UK Act of Parliament passed The </w:t>
      </w:r>
      <w:r w:rsidR="0048209A" w:rsidRPr="0048209A">
        <w:rPr>
          <w:rFonts w:ascii="Times New Roman" w:eastAsia="Times New Roman" w:hAnsi="Times New Roman"/>
          <w:lang w:val="en-GB" w:eastAsia="en-GB"/>
        </w:rPr>
        <w:t>Land Charges</w:t>
      </w:r>
      <w:r w:rsidRPr="0048209A">
        <w:rPr>
          <w:rFonts w:ascii="Times New Roman" w:eastAsia="Times New Roman" w:hAnsi="Times New Roman"/>
          <w:lang w:val="en-GB" w:eastAsia="en-GB"/>
        </w:rPr>
        <w:t xml:space="preserve"> Act in 1972, which entails updating the system for registering charges on unregistered land in England and Wales. The Land Charges Act of 1925 as well as some other laws that were affecting real property rights from owner’s perspective were modified in order reflect effectiveness of this act in easement </w:t>
      </w:r>
      <w:r w:rsidRPr="0048209A">
        <w:rPr>
          <w:rFonts w:ascii="Times New Roman" w:eastAsia="Times New Roman" w:hAnsi="Times New Roman"/>
          <w:i/>
          <w:iCs/>
          <w:lang w:val="en-GB" w:eastAsia="en-GB"/>
        </w:rPr>
        <w:t>(Legislation UK, 2022</w:t>
      </w:r>
      <w:r w:rsidRPr="0048209A">
        <w:rPr>
          <w:rFonts w:ascii="Times New Roman" w:eastAsia="Times New Roman" w:hAnsi="Times New Roman"/>
          <w:i/>
          <w:iCs/>
          <w:vertAlign w:val="subscript"/>
          <w:lang w:val="en-GB" w:eastAsia="en-GB"/>
        </w:rPr>
        <w:t>2</w:t>
      </w:r>
      <w:r w:rsidRPr="0048209A">
        <w:rPr>
          <w:rFonts w:ascii="Times New Roman" w:eastAsia="Times New Roman" w:hAnsi="Times New Roman"/>
          <w:i/>
          <w:iCs/>
          <w:lang w:val="en-GB" w:eastAsia="en-GB"/>
        </w:rPr>
        <w:t>).</w:t>
      </w:r>
    </w:p>
    <w:p w14:paraId="28A54544" w14:textId="77777777" w:rsidR="00614460" w:rsidRPr="0048209A" w:rsidRDefault="00614460" w:rsidP="00614460">
      <w:pPr>
        <w:shd w:val="clear" w:color="auto" w:fill="FFFFFF"/>
        <w:spacing w:after="0" w:line="480" w:lineRule="auto"/>
        <w:ind w:firstLine="709"/>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t xml:space="preserve">Besides that, the legislation also established the Prescription Act of 1832. It states that if land under easement has been used by a non-owner openly for an adequate period without even granting permission from its owner, then a grant has to be made for easement so that the non-owner would be continued to use the land without seeking the owner’s permission. As per this act, the minimum period for land to be used without an owner's permission is twenty years </w:t>
      </w:r>
      <w:r w:rsidRPr="0048209A">
        <w:rPr>
          <w:rFonts w:ascii="Times New Roman" w:eastAsia="Times New Roman" w:hAnsi="Times New Roman"/>
          <w:i/>
          <w:iCs/>
          <w:lang w:val="en-GB" w:eastAsia="en-GB"/>
        </w:rPr>
        <w:t>(LexisNexis, 2022).</w:t>
      </w:r>
    </w:p>
    <w:p w14:paraId="419A4FC1" w14:textId="6BC83730" w:rsidR="00614460" w:rsidRPr="0048209A" w:rsidRDefault="00614460" w:rsidP="00614460">
      <w:pPr>
        <w:shd w:val="clear" w:color="auto" w:fill="FFFFFF"/>
        <w:spacing w:after="0" w:line="480" w:lineRule="auto"/>
        <w:ind w:firstLine="720"/>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lastRenderedPageBreak/>
        <w:t xml:space="preserve">When establishing an easement by prescription, it is common to consider taking time immemorial. Time immemorial is typically defined as a period of unending tradition or history. In other words, a time immemorial is a time period which is extended beyond the reach of records, tradition or memory as it is indefinitely ancient. Meanwhile in legal terms, time immemorial defines any date or year that does not have any legal evidence or </w:t>
      </w:r>
      <w:r w:rsidR="0048209A" w:rsidRPr="0048209A">
        <w:rPr>
          <w:rFonts w:ascii="Times New Roman" w:eastAsia="Times New Roman" w:hAnsi="Times New Roman"/>
          <w:lang w:val="en-GB" w:eastAsia="en-GB"/>
        </w:rPr>
        <w:t>through</w:t>
      </w:r>
      <w:r w:rsidRPr="0048209A">
        <w:rPr>
          <w:rFonts w:ascii="Times New Roman" w:eastAsia="Times New Roman" w:hAnsi="Times New Roman"/>
          <w:lang w:val="en-GB" w:eastAsia="en-GB"/>
        </w:rPr>
        <w:t xml:space="preserve"> which legal memory could not go. </w:t>
      </w:r>
    </w:p>
    <w:p w14:paraId="57F26B8A" w14:textId="77777777" w:rsidR="00614460" w:rsidRPr="0048209A" w:rsidRDefault="00614460" w:rsidP="00614460">
      <w:pPr>
        <w:shd w:val="clear" w:color="auto" w:fill="FFFFFF"/>
        <w:spacing w:after="0" w:line="480" w:lineRule="auto"/>
        <w:ind w:firstLine="720"/>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t>In addition, a law prescription is founded on a principle that can be traced back to Time Immemorial. Where it has been stated that a right has been enjoyed since time immemorial, it is presumed to have a lawful basis; the statute defines "since time immemorial" as beginning in 1189. Under common law, the applicant is responsible for proving that the property has been used "since the beginning of time." The Statute of Westminster 1275 established 1189 as the current year in its ruling. It should not be surprising that such a claim is straightforward to invalidate.</w:t>
      </w:r>
    </w:p>
    <w:p w14:paraId="72A43085" w14:textId="6164A9D6" w:rsidR="00E035BA" w:rsidRPr="0048209A" w:rsidRDefault="00614460" w:rsidP="00614460">
      <w:pPr>
        <w:shd w:val="clear" w:color="auto" w:fill="FFFFFF"/>
        <w:spacing w:after="0" w:line="480" w:lineRule="auto"/>
        <w:ind w:firstLine="720"/>
        <w:contextualSpacing/>
        <w:jc w:val="both"/>
        <w:rPr>
          <w:rFonts w:ascii="Times New Roman" w:eastAsia="Times New Roman" w:hAnsi="Times New Roman"/>
          <w:lang w:val="en-GB" w:eastAsia="en-GB"/>
        </w:rPr>
      </w:pPr>
      <w:r w:rsidRPr="0048209A">
        <w:rPr>
          <w:rFonts w:ascii="Times New Roman" w:eastAsia="Times New Roman" w:hAnsi="Times New Roman"/>
          <w:lang w:val="en-GB" w:eastAsia="en-GB"/>
        </w:rPr>
        <w:t xml:space="preserve">The creation of easement hence practices an existing rule of law which states that if used as of right for 20 years can be shown, then it is presumed that this has been the case since 1189. Despite this, if it has been shown that the enjoyment of the right commenced in 1189 or that it could not have existed at that date, then a prescription for easement would be disapproved </w:t>
      </w:r>
      <w:r w:rsidRPr="0048209A">
        <w:rPr>
          <w:rFonts w:ascii="Times New Roman" w:eastAsia="Times New Roman" w:hAnsi="Times New Roman"/>
          <w:i/>
          <w:iCs/>
          <w:lang w:val="en-GB" w:eastAsia="en-GB"/>
        </w:rPr>
        <w:t>(Law Commission, 2011).</w:t>
      </w:r>
      <w:r w:rsidRPr="0048209A">
        <w:rPr>
          <w:rFonts w:ascii="Times New Roman" w:eastAsia="Times New Roman" w:hAnsi="Times New Roman"/>
          <w:lang w:val="en-GB" w:eastAsia="en-GB"/>
        </w:rPr>
        <w:t xml:space="preserve"> For instance, in the case of </w:t>
      </w:r>
      <w:bookmarkStart w:id="3" w:name="_Hlk117589990"/>
      <w:r w:rsidRPr="0048209A">
        <w:rPr>
          <w:rFonts w:ascii="Times New Roman" w:eastAsia="Times New Roman" w:hAnsi="Times New Roman"/>
          <w:i/>
          <w:lang w:val="en-GB" w:eastAsia="en-GB"/>
        </w:rPr>
        <w:t>Hollins v Verney [7],</w:t>
      </w:r>
      <w:r w:rsidRPr="0048209A">
        <w:rPr>
          <w:rFonts w:ascii="Times New Roman" w:eastAsia="Times New Roman" w:hAnsi="Times New Roman"/>
          <w:lang w:val="en-GB" w:eastAsia="en-GB"/>
        </w:rPr>
        <w:t xml:space="preserve"> </w:t>
      </w:r>
      <w:bookmarkEnd w:id="3"/>
      <w:r w:rsidRPr="0048209A">
        <w:rPr>
          <w:rFonts w:ascii="Times New Roman" w:eastAsia="Times New Roman" w:hAnsi="Times New Roman"/>
          <w:lang w:val="en-GB" w:eastAsia="en-GB"/>
        </w:rPr>
        <w:t>the court in the UK had rejected the claim that had been charged for a prescriptive easement only in consideration of the fact that the right had only been exercised on three occasions and each of them is separated by a period of 12 years. It also implies that a continuous user for the past 20 years or even longer could raise a presumption of the user since time immemorial which is the year 1189</w:t>
      </w:r>
      <w:r w:rsidRPr="0048209A">
        <w:rPr>
          <w:rFonts w:ascii="Times New Roman" w:eastAsia="Times New Roman" w:hAnsi="Times New Roman"/>
          <w:i/>
          <w:iCs/>
          <w:lang w:val="en-GB" w:eastAsia="en-GB"/>
        </w:rPr>
        <w:t xml:space="preserve"> (Davis, 2000).</w:t>
      </w:r>
    </w:p>
    <w:p w14:paraId="4E933741" w14:textId="3AFF63CB" w:rsidR="00644A19" w:rsidRPr="0048209A" w:rsidRDefault="00644A19" w:rsidP="00644A19">
      <w:pPr>
        <w:spacing w:after="0" w:line="480" w:lineRule="auto"/>
        <w:ind w:firstLine="720"/>
        <w:contextualSpacing/>
        <w:jc w:val="both"/>
        <w:rPr>
          <w:rFonts w:ascii="Times New Roman" w:hAnsi="Times New Roman"/>
          <w:lang w:val="en-GB"/>
        </w:rPr>
      </w:pPr>
      <w:r w:rsidRPr="0048209A">
        <w:rPr>
          <w:rFonts w:ascii="Times New Roman" w:hAnsi="Times New Roman"/>
          <w:lang w:val="en-GB"/>
        </w:rPr>
        <w:t xml:space="preserve">The doctrine of the Lost Modern Grant mainly depicts the continuous and prolonged use or possession of land with a legal presumption that the right associated with the use of land or property is already conveyed to the individuals using it. In contrast, the physical instrument associated with conveyance was lost. Judges developed it to overcome the ease associated with the common claim. It mainly focuses on preventing a claim that can be overpowered through easement proof. Further, </w:t>
      </w:r>
      <w:r w:rsidRPr="0048209A">
        <w:rPr>
          <w:rFonts w:ascii="Times New Roman" w:hAnsi="Times New Roman"/>
          <w:lang w:val="en-GB"/>
        </w:rPr>
        <w:lastRenderedPageBreak/>
        <w:t xml:space="preserve">the court also does not agree towards the preservation of lost grants in case of the survivor donor is a disabled individual. The doctrine presents that an individual continuously using for more than 20 years with their free will, permission or stealth is considered a formal grant of easement and is not rebuttable. The court mainly introduced it with the aim of combatting the issue of making claims regarding common law prescriptions </w:t>
      </w:r>
      <w:r w:rsidRPr="0048209A">
        <w:rPr>
          <w:rFonts w:ascii="Times New Roman" w:hAnsi="Times New Roman"/>
          <w:i/>
          <w:iCs/>
          <w:lang w:val="en-GB"/>
        </w:rPr>
        <w:t>(French, 2016).</w:t>
      </w:r>
      <w:r w:rsidRPr="0048209A">
        <w:rPr>
          <w:rFonts w:ascii="Times New Roman" w:hAnsi="Times New Roman"/>
          <w:lang w:val="en-GB"/>
        </w:rPr>
        <w:t xml:space="preserve"> In this regard, the case of </w:t>
      </w:r>
      <w:r w:rsidRPr="0048209A">
        <w:rPr>
          <w:rFonts w:ascii="Times New Roman" w:hAnsi="Times New Roman"/>
          <w:i/>
          <w:iCs/>
          <w:lang w:val="en-GB"/>
        </w:rPr>
        <w:t>Dalton v Angus (1881),</w:t>
      </w:r>
      <w:r w:rsidRPr="0048209A">
        <w:rPr>
          <w:rFonts w:ascii="Times New Roman" w:hAnsi="Times New Roman"/>
          <w:lang w:val="en-GB"/>
        </w:rPr>
        <w:t xml:space="preserve"> where both the parties to the case adjoined their houses independently; however, lateral support was rested, and the use of arrangement was above 20 years. The court held that the lateral support right could be taken due to using land for more than 20 years uninterruptedly, and the right does not dissolve on making changes to the building. Thus, the plaintiff had the right to support and get paid for the damages by virtue of using the ease of enjoyment for more than 20 years </w:t>
      </w:r>
      <w:r w:rsidRPr="0048209A">
        <w:rPr>
          <w:rFonts w:ascii="Times New Roman" w:hAnsi="Times New Roman"/>
          <w:i/>
          <w:iCs/>
          <w:lang w:val="en-GB"/>
        </w:rPr>
        <w:t>(Mee, 2015).</w:t>
      </w:r>
      <w:r w:rsidRPr="0048209A">
        <w:rPr>
          <w:rFonts w:ascii="Times New Roman" w:hAnsi="Times New Roman"/>
          <w:lang w:val="en-GB"/>
        </w:rPr>
        <w:t xml:space="preserve"> </w:t>
      </w:r>
    </w:p>
    <w:p w14:paraId="00BB8B43" w14:textId="77777777" w:rsidR="00644A19" w:rsidRPr="0048209A" w:rsidRDefault="00644A19" w:rsidP="00644A19">
      <w:pPr>
        <w:spacing w:after="0" w:line="480" w:lineRule="auto"/>
        <w:ind w:firstLine="720"/>
        <w:contextualSpacing/>
        <w:jc w:val="both"/>
        <w:rPr>
          <w:rFonts w:ascii="Times New Roman" w:hAnsi="Times New Roman"/>
          <w:lang w:val="en-GB"/>
        </w:rPr>
      </w:pPr>
      <w:r w:rsidRPr="0048209A">
        <w:rPr>
          <w:rFonts w:ascii="Times New Roman" w:hAnsi="Times New Roman"/>
          <w:lang w:val="en-GB"/>
        </w:rPr>
        <w:t xml:space="preserve">The easement by prescription mainly comprises vital features, namely, openly enjoyed without restrictions, interruption, and continuous use for 20 years or more. Further, Section 17 of the Prescription Act 1832 also presented that easement by prescription cannot be acquired if the right results in the destruction of property, free passage associated with air or light on the ground, open space, and surface water. Further, section 71 of the Prescription Act 1832 also presented that rights regarding easement by prescription cannot be provided in case of damaging property </w:t>
      </w:r>
      <w:r w:rsidRPr="0048209A">
        <w:rPr>
          <w:rFonts w:ascii="Times New Roman" w:hAnsi="Times New Roman"/>
          <w:i/>
          <w:iCs/>
          <w:lang w:val="en-GB"/>
        </w:rPr>
        <w:t>(Bright, 2011).</w:t>
      </w:r>
      <w:r w:rsidRPr="0048209A">
        <w:rPr>
          <w:rFonts w:ascii="Times New Roman" w:hAnsi="Times New Roman"/>
          <w:lang w:val="en-GB"/>
        </w:rPr>
        <w:t xml:space="preserve"> In this regard, the case of </w:t>
      </w:r>
      <w:r w:rsidRPr="0048209A">
        <w:rPr>
          <w:rFonts w:ascii="Times New Roman" w:hAnsi="Times New Roman"/>
          <w:i/>
          <w:iCs/>
          <w:lang w:val="en-GB"/>
        </w:rPr>
        <w:t xml:space="preserve">Duke of Norfolk v Arbuthnot, </w:t>
      </w:r>
      <w:r w:rsidRPr="0048209A">
        <w:rPr>
          <w:rFonts w:ascii="Times New Roman" w:hAnsi="Times New Roman"/>
          <w:lang w:val="en-GB"/>
        </w:rPr>
        <w:t xml:space="preserve">where the wall was pulled down by the defendant and presented that he was the chancel of the church. However, the court held that he had no right to make changes on the property as proper justification was not provided regarding the pulling down of walls for the purpose of accessing light. Thus, section 71 is applicable, and no right is provided under common law for the destruction of property </w:t>
      </w:r>
      <w:r w:rsidRPr="0048209A">
        <w:rPr>
          <w:rFonts w:ascii="Times New Roman" w:hAnsi="Times New Roman"/>
          <w:i/>
          <w:iCs/>
          <w:lang w:val="en-GB"/>
        </w:rPr>
        <w:t>(</w:t>
      </w:r>
      <w:proofErr w:type="spellStart"/>
      <w:r w:rsidRPr="0048209A">
        <w:rPr>
          <w:rFonts w:ascii="Times New Roman" w:hAnsi="Times New Roman"/>
          <w:i/>
          <w:iCs/>
          <w:lang w:val="en-GB"/>
        </w:rPr>
        <w:t>Akkerman</w:t>
      </w:r>
      <w:proofErr w:type="spellEnd"/>
      <w:r w:rsidRPr="0048209A">
        <w:rPr>
          <w:rFonts w:ascii="Times New Roman" w:hAnsi="Times New Roman"/>
          <w:i/>
          <w:iCs/>
          <w:lang w:val="en-GB"/>
        </w:rPr>
        <w:t xml:space="preserve"> and </w:t>
      </w:r>
      <w:proofErr w:type="spellStart"/>
      <w:r w:rsidRPr="0048209A">
        <w:rPr>
          <w:rFonts w:ascii="Times New Roman" w:hAnsi="Times New Roman"/>
          <w:i/>
          <w:iCs/>
          <w:lang w:val="en-GB"/>
        </w:rPr>
        <w:t>Erp</w:t>
      </w:r>
      <w:proofErr w:type="spellEnd"/>
      <w:r w:rsidRPr="0048209A">
        <w:rPr>
          <w:rFonts w:ascii="Times New Roman" w:hAnsi="Times New Roman"/>
          <w:i/>
          <w:iCs/>
          <w:lang w:val="en-GB"/>
        </w:rPr>
        <w:t>, 2012).</w:t>
      </w:r>
    </w:p>
    <w:p w14:paraId="35DA4A3B" w14:textId="77777777" w:rsidR="00644A19" w:rsidRPr="0048209A" w:rsidRDefault="00644A19" w:rsidP="00644A19">
      <w:pPr>
        <w:spacing w:after="0" w:line="480" w:lineRule="auto"/>
        <w:ind w:firstLine="720"/>
        <w:contextualSpacing/>
        <w:jc w:val="both"/>
        <w:rPr>
          <w:rFonts w:ascii="Times New Roman" w:hAnsi="Times New Roman"/>
          <w:lang w:val="en-GB"/>
        </w:rPr>
      </w:pPr>
      <w:r w:rsidRPr="0048209A">
        <w:rPr>
          <w:rFonts w:ascii="Times New Roman" w:hAnsi="Times New Roman"/>
          <w:lang w:val="en-GB"/>
        </w:rPr>
        <w:t xml:space="preserve">Easement by prescription also faces issues regarding the continuity of use in the case of easement on the land. For example, the case of </w:t>
      </w:r>
      <w:bookmarkStart w:id="4" w:name="_Hlk117590664"/>
      <w:r w:rsidRPr="0048209A">
        <w:rPr>
          <w:rFonts w:ascii="Times New Roman" w:hAnsi="Times New Roman"/>
          <w:i/>
          <w:iCs/>
          <w:lang w:val="en-GB"/>
        </w:rPr>
        <w:t>Orme v Lyons (2012)</w:t>
      </w:r>
      <w:r w:rsidRPr="0048209A">
        <w:rPr>
          <w:rFonts w:ascii="Times New Roman" w:hAnsi="Times New Roman"/>
          <w:lang w:val="en-GB"/>
        </w:rPr>
        <w:t xml:space="preserve"> </w:t>
      </w:r>
      <w:bookmarkEnd w:id="4"/>
      <w:r w:rsidRPr="0048209A">
        <w:rPr>
          <w:rFonts w:ascii="Times New Roman" w:hAnsi="Times New Roman"/>
          <w:lang w:val="en-GB"/>
        </w:rPr>
        <w:t xml:space="preserve">presented that Lyons had claimed the benefit of having vehicular rights concerning the track on the Orme property. Orme disputed the claim as its frequency of use was not regular. However, the district adjudicator presented that the </w:t>
      </w:r>
      <w:r w:rsidRPr="0048209A">
        <w:rPr>
          <w:rFonts w:ascii="Times New Roman" w:hAnsi="Times New Roman"/>
          <w:lang w:val="en-GB"/>
        </w:rPr>
        <w:lastRenderedPageBreak/>
        <w:t xml:space="preserve">Lyons' had the right regarding the continuous drive irrespective of the use of the track on occasions and is used as an alternative in case of a block to the main entrance. Thus, it was analysed that the easement was based on prescription, and the doctrine of the lost modern grant is applicable to the case </w:t>
      </w:r>
      <w:r w:rsidRPr="0048209A">
        <w:rPr>
          <w:rFonts w:ascii="Times New Roman" w:hAnsi="Times New Roman"/>
          <w:i/>
          <w:iCs/>
          <w:lang w:val="en-GB"/>
        </w:rPr>
        <w:t>(George and Layard, 2019).</w:t>
      </w:r>
    </w:p>
    <w:p w14:paraId="125E7874" w14:textId="77777777" w:rsidR="00644A19" w:rsidRPr="0048209A" w:rsidRDefault="00644A19" w:rsidP="00644A19">
      <w:pPr>
        <w:spacing w:after="0" w:line="480" w:lineRule="auto"/>
        <w:contextualSpacing/>
        <w:jc w:val="both"/>
        <w:rPr>
          <w:rFonts w:ascii="Times New Roman" w:hAnsi="Times New Roman"/>
          <w:lang w:val="en-GB"/>
        </w:rPr>
      </w:pPr>
      <w:r w:rsidRPr="0048209A">
        <w:rPr>
          <w:rFonts w:ascii="Times New Roman" w:hAnsi="Times New Roman"/>
          <w:lang w:val="en-GB"/>
        </w:rPr>
        <w:t xml:space="preserve">On the other hand, the case of </w:t>
      </w:r>
      <w:bookmarkStart w:id="5" w:name="_Hlk117590121"/>
      <w:r w:rsidRPr="0048209A">
        <w:rPr>
          <w:rFonts w:ascii="Times New Roman" w:hAnsi="Times New Roman"/>
          <w:i/>
          <w:iCs/>
          <w:lang w:val="en-GB"/>
        </w:rPr>
        <w:t>Gardner v Hodgson’s Kingston Brewery (1903</w:t>
      </w:r>
      <w:r w:rsidRPr="0048209A">
        <w:rPr>
          <w:rFonts w:ascii="Times New Roman" w:hAnsi="Times New Roman"/>
          <w:lang w:val="en-GB"/>
        </w:rPr>
        <w:t xml:space="preserve">) </w:t>
      </w:r>
      <w:bookmarkEnd w:id="5"/>
      <w:r w:rsidRPr="0048209A">
        <w:rPr>
          <w:rFonts w:ascii="Times New Roman" w:hAnsi="Times New Roman"/>
          <w:lang w:val="en-GB"/>
        </w:rPr>
        <w:t xml:space="preserve">is applied in case of dispute among the parties concerning easement by prescription where the burden of proof regarding the easement right is upon the claiming party. The case highlighted that the burden of proof regarding using land or property without permission is with the claiming party. Further, the payment was received, which was held as a licence fee or rent; therefore, it cannot be considered under easement based on prescription. Thus, the claimant has the burden of proof regarding the right of easement and has rebuttable assumptions where the doctrine of a lost modern grant is applicable </w:t>
      </w:r>
      <w:r w:rsidRPr="0048209A">
        <w:rPr>
          <w:rFonts w:ascii="Times New Roman" w:hAnsi="Times New Roman"/>
          <w:i/>
          <w:iCs/>
          <w:lang w:val="en-GB"/>
        </w:rPr>
        <w:t>(Burn and Cartwright, 2011).</w:t>
      </w:r>
    </w:p>
    <w:p w14:paraId="49FB9853" w14:textId="1B8EB488" w:rsidR="00614460" w:rsidRPr="0048209A" w:rsidRDefault="00644A19" w:rsidP="00644A19">
      <w:pPr>
        <w:spacing w:after="0" w:line="480" w:lineRule="auto"/>
        <w:ind w:firstLine="720"/>
        <w:contextualSpacing/>
        <w:jc w:val="both"/>
        <w:rPr>
          <w:rFonts w:ascii="Times New Roman" w:hAnsi="Times New Roman"/>
          <w:lang w:val="en-GB"/>
        </w:rPr>
      </w:pPr>
      <w:r w:rsidRPr="0048209A">
        <w:rPr>
          <w:rFonts w:ascii="Times New Roman" w:hAnsi="Times New Roman"/>
          <w:lang w:val="en-GB"/>
        </w:rPr>
        <w:t xml:space="preserve">Overall, it was reviewed that the Easement concept depicts the </w:t>
      </w:r>
      <w:r w:rsidRPr="0048209A">
        <w:rPr>
          <w:rFonts w:ascii="Times New Roman" w:hAnsi="Times New Roman"/>
          <w:shd w:val="clear" w:color="auto" w:fill="FFFFFF"/>
          <w:lang w:val="en-GB"/>
        </w:rPr>
        <w:t xml:space="preserve">non-possessory rights to enter and utilise the real property of others without actually owning it. </w:t>
      </w:r>
      <w:r w:rsidRPr="0048209A">
        <w:rPr>
          <w:rFonts w:ascii="Times New Roman" w:hAnsi="Times New Roman"/>
          <w:lang w:val="en-GB"/>
        </w:rPr>
        <w:t xml:space="preserve">It is considered a private right where two land parcels are involved. </w:t>
      </w:r>
      <w:r w:rsidRPr="0048209A">
        <w:rPr>
          <w:rFonts w:ascii="Times New Roman" w:hAnsi="Times New Roman"/>
          <w:shd w:val="clear" w:color="auto" w:fill="FFFFFF"/>
          <w:lang w:val="en-GB"/>
        </w:rPr>
        <w:t xml:space="preserve">The easement is legally enforceable when it fulfils the demands of 1(2)(a) of the </w:t>
      </w:r>
      <w:r w:rsidRPr="0048209A">
        <w:rPr>
          <w:rFonts w:ascii="Times New Roman" w:hAnsi="Times New Roman"/>
          <w:i/>
          <w:iCs/>
          <w:shd w:val="clear" w:color="auto" w:fill="FFFFFF"/>
          <w:lang w:val="en-GB"/>
        </w:rPr>
        <w:t>Law of Property Act 1925,</w:t>
      </w:r>
      <w:r w:rsidRPr="0048209A">
        <w:rPr>
          <w:rFonts w:ascii="Times New Roman" w:hAnsi="Times New Roman"/>
          <w:shd w:val="clear" w:color="auto" w:fill="FFFFFF"/>
          <w:lang w:val="en-GB"/>
        </w:rPr>
        <w:t xml:space="preserve"> which states that the privilege offered should be equivalent to either forever or for a fixed and unchangeable ascertainable duration</w:t>
      </w:r>
      <w:r w:rsidRPr="0048209A">
        <w:rPr>
          <w:rFonts w:ascii="Times New Roman" w:hAnsi="Times New Roman"/>
          <w:lang w:val="en-GB"/>
        </w:rPr>
        <w:t xml:space="preserve">. The doctrine of a lost modern grant highlighted that an individual continuously using for more than 20 years with their free will, permission or stealth is considered a formal grant of easement and is not rebuttable. In this regard, the court, in the case of </w:t>
      </w:r>
      <w:bookmarkStart w:id="6" w:name="_Hlk117590221"/>
      <w:r w:rsidRPr="0048209A">
        <w:rPr>
          <w:rFonts w:ascii="Times New Roman" w:hAnsi="Times New Roman"/>
          <w:i/>
          <w:iCs/>
          <w:lang w:val="en-GB"/>
        </w:rPr>
        <w:t>Dalton v Angus (1881),</w:t>
      </w:r>
      <w:r w:rsidRPr="0048209A">
        <w:rPr>
          <w:rFonts w:ascii="Times New Roman" w:hAnsi="Times New Roman"/>
          <w:lang w:val="en-GB"/>
        </w:rPr>
        <w:t xml:space="preserve"> </w:t>
      </w:r>
      <w:bookmarkEnd w:id="6"/>
      <w:r w:rsidRPr="0048209A">
        <w:rPr>
          <w:rFonts w:ascii="Times New Roman" w:hAnsi="Times New Roman"/>
          <w:lang w:val="en-GB"/>
        </w:rPr>
        <w:t xml:space="preserve">held that lateral support rights could be taken due to the use of land for more than 20 years. The right does not get dissolved on making changes to the building; therefore, it is liable to make payment for damages. Further, the </w:t>
      </w:r>
      <w:bookmarkStart w:id="7" w:name="_Hlk117590265"/>
      <w:r w:rsidRPr="0048209A">
        <w:rPr>
          <w:rFonts w:ascii="Times New Roman" w:hAnsi="Times New Roman"/>
          <w:i/>
          <w:iCs/>
          <w:lang w:val="en-GB"/>
        </w:rPr>
        <w:t>Duke of Norfolk v Arbuthnot</w:t>
      </w:r>
      <w:bookmarkEnd w:id="7"/>
      <w:r w:rsidRPr="0048209A">
        <w:rPr>
          <w:rFonts w:ascii="Times New Roman" w:hAnsi="Times New Roman"/>
          <w:i/>
          <w:iCs/>
          <w:lang w:val="en-GB"/>
        </w:rPr>
        <w:t xml:space="preserve"> </w:t>
      </w:r>
      <w:r w:rsidR="00CE798C" w:rsidRPr="0048209A">
        <w:rPr>
          <w:rFonts w:ascii="Times New Roman" w:hAnsi="Times New Roman"/>
          <w:i/>
          <w:iCs/>
          <w:lang w:val="en-GB"/>
        </w:rPr>
        <w:t xml:space="preserve">(1880) </w:t>
      </w:r>
      <w:r w:rsidRPr="0048209A">
        <w:rPr>
          <w:rFonts w:ascii="Times New Roman" w:hAnsi="Times New Roman"/>
          <w:lang w:val="en-GB"/>
        </w:rPr>
        <w:t>case presented that no right in relation to easement on the basis of the prescription can be considered in case of damage to property or land.</w:t>
      </w:r>
      <w:bookmarkStart w:id="8" w:name="_Toc117176252"/>
    </w:p>
    <w:p w14:paraId="4403E12E" w14:textId="77777777" w:rsidR="00863C14" w:rsidRDefault="00863C14" w:rsidP="00863C14">
      <w:pPr>
        <w:spacing w:after="160" w:line="259" w:lineRule="auto"/>
        <w:rPr>
          <w:rFonts w:ascii="Times New Roman" w:hAnsi="Times New Roman"/>
          <w:lang w:val="en-GB"/>
        </w:rPr>
      </w:pPr>
    </w:p>
    <w:p w14:paraId="540F959F" w14:textId="5926E3F4" w:rsidR="00644A19" w:rsidRPr="00863C14" w:rsidRDefault="00644A19" w:rsidP="00863C14">
      <w:pPr>
        <w:spacing w:after="160" w:line="259" w:lineRule="auto"/>
        <w:rPr>
          <w:rFonts w:ascii="Times New Roman" w:hAnsi="Times New Roman"/>
          <w:lang w:val="en-GB"/>
        </w:rPr>
      </w:pPr>
      <w:r w:rsidRPr="00B91DD2">
        <w:rPr>
          <w:rFonts w:ascii="Times New Roman" w:eastAsiaTheme="majorEastAsia" w:hAnsi="Times New Roman"/>
          <w:b/>
          <w:lang w:val="en-GB"/>
        </w:rPr>
        <w:lastRenderedPageBreak/>
        <w:t>References</w:t>
      </w:r>
      <w:bookmarkEnd w:id="8"/>
    </w:p>
    <w:p w14:paraId="61F956CB" w14:textId="63E27DDF" w:rsidR="0001743F" w:rsidRPr="00B91DD2" w:rsidRDefault="0001743F" w:rsidP="00644A19">
      <w:pPr>
        <w:shd w:val="clear" w:color="auto" w:fill="FFFFFF"/>
        <w:spacing w:after="0" w:line="480" w:lineRule="auto"/>
        <w:ind w:left="720" w:hanging="720"/>
        <w:contextualSpacing/>
        <w:jc w:val="both"/>
        <w:rPr>
          <w:rFonts w:ascii="Times New Roman" w:eastAsia="Times New Roman" w:hAnsi="Times New Roman"/>
          <w:color w:val="222222"/>
          <w:lang w:val="en-GB" w:eastAsia="en-GB"/>
        </w:rPr>
      </w:pPr>
      <w:r w:rsidRPr="00B91DD2">
        <w:rPr>
          <w:rFonts w:ascii="Times New Roman" w:eastAsia="Times New Roman" w:hAnsi="Times New Roman"/>
          <w:color w:val="222222"/>
          <w:lang w:val="en-GB" w:eastAsia="en-GB"/>
        </w:rPr>
        <w:t>Legislation UK. (2022</w:t>
      </w:r>
      <w:r w:rsidRPr="00B91DD2">
        <w:rPr>
          <w:rFonts w:ascii="Times New Roman" w:eastAsia="Times New Roman" w:hAnsi="Times New Roman"/>
          <w:color w:val="222222"/>
          <w:vertAlign w:val="subscript"/>
          <w:lang w:val="en-GB" w:eastAsia="en-GB"/>
        </w:rPr>
        <w:t>2</w:t>
      </w:r>
      <w:r w:rsidRPr="00B91DD2">
        <w:rPr>
          <w:rFonts w:ascii="Times New Roman" w:eastAsia="Times New Roman" w:hAnsi="Times New Roman"/>
          <w:color w:val="222222"/>
          <w:lang w:val="en-GB" w:eastAsia="en-GB"/>
        </w:rPr>
        <w:t xml:space="preserve">). Land Charges Act 1925. [Online]. Available at: </w:t>
      </w:r>
      <w:hyperlink r:id="rId8" w:anchor=":~:text=An%20Act%20to%20consolidate%20the,land%20charges%2C%20and%20to%20searches" w:history="1">
        <w:r w:rsidRPr="00B91DD2">
          <w:rPr>
            <w:rFonts w:ascii="Times New Roman" w:eastAsia="Times New Roman" w:hAnsi="Times New Roman"/>
            <w:color w:val="0563C1" w:themeColor="hyperlink"/>
            <w:u w:val="single"/>
            <w:lang w:val="en-GB" w:eastAsia="en-GB"/>
          </w:rPr>
          <w:t>https://www.legislation.gov.uk/ukpga/1925/22/enacted#:~:text=An%20Act%20to%20consolidate%20the,land%20charges%2C%20and%20to%20searches</w:t>
        </w:r>
      </w:hyperlink>
      <w:r w:rsidRPr="00B91DD2">
        <w:rPr>
          <w:rFonts w:ascii="Times New Roman" w:eastAsia="Times New Roman" w:hAnsi="Times New Roman"/>
          <w:color w:val="222222"/>
          <w:lang w:val="en-GB" w:eastAsia="en-GB"/>
        </w:rPr>
        <w:t xml:space="preserve"> [Accessed on: 20 October 2022].</w:t>
      </w:r>
    </w:p>
    <w:p w14:paraId="3583A0CF" w14:textId="77777777" w:rsidR="0001743F" w:rsidRPr="00B91DD2" w:rsidRDefault="0001743F" w:rsidP="00644A19">
      <w:pPr>
        <w:spacing w:after="0" w:line="480" w:lineRule="auto"/>
        <w:ind w:left="709" w:hanging="709"/>
        <w:contextualSpacing/>
        <w:jc w:val="both"/>
        <w:rPr>
          <w:rFonts w:ascii="Times New Roman" w:hAnsi="Times New Roman"/>
          <w:lang w:val="en-GB"/>
        </w:rPr>
      </w:pPr>
      <w:proofErr w:type="spellStart"/>
      <w:r w:rsidRPr="00B91DD2">
        <w:rPr>
          <w:rFonts w:ascii="Times New Roman" w:hAnsi="Times New Roman"/>
          <w:lang w:val="en-GB"/>
        </w:rPr>
        <w:t>Akkermans</w:t>
      </w:r>
      <w:proofErr w:type="spellEnd"/>
      <w:r w:rsidRPr="00B91DD2">
        <w:rPr>
          <w:rFonts w:ascii="Times New Roman" w:hAnsi="Times New Roman"/>
          <w:lang w:val="en-GB"/>
        </w:rPr>
        <w:t xml:space="preserve">, B. and </w:t>
      </w:r>
      <w:proofErr w:type="spellStart"/>
      <w:r w:rsidRPr="00B91DD2">
        <w:rPr>
          <w:rFonts w:ascii="Times New Roman" w:hAnsi="Times New Roman"/>
          <w:lang w:val="en-GB"/>
        </w:rPr>
        <w:t>Erp</w:t>
      </w:r>
      <w:proofErr w:type="spellEnd"/>
      <w:r w:rsidRPr="00B91DD2">
        <w:rPr>
          <w:rFonts w:ascii="Times New Roman" w:hAnsi="Times New Roman"/>
          <w:lang w:val="en-GB"/>
        </w:rPr>
        <w:t xml:space="preserve">, S.V. (2012) </w:t>
      </w:r>
      <w:r w:rsidRPr="00B91DD2">
        <w:rPr>
          <w:rFonts w:ascii="Times New Roman" w:hAnsi="Times New Roman"/>
          <w:i/>
          <w:iCs/>
          <w:lang w:val="en-GB"/>
        </w:rPr>
        <w:t>Cases, Materials and Text on Property Law.</w:t>
      </w:r>
      <w:r w:rsidRPr="00B91DD2">
        <w:rPr>
          <w:rFonts w:ascii="Times New Roman" w:hAnsi="Times New Roman"/>
          <w:lang w:val="en-GB"/>
        </w:rPr>
        <w:t> London: Bloomsbury Publishing.</w:t>
      </w:r>
    </w:p>
    <w:p w14:paraId="15BCFC32" w14:textId="77777777" w:rsidR="0001743F" w:rsidRDefault="0001743F" w:rsidP="0001743F">
      <w:pPr>
        <w:ind w:left="709" w:hanging="709"/>
        <w:divId w:val="278148768"/>
        <w:rPr>
          <w:rFonts w:ascii="Times New Roman" w:hAnsi="Times New Roman"/>
          <w:color w:val="538135" w:themeColor="accent6" w:themeShade="BF"/>
          <w:lang w:val="en-GB"/>
        </w:rPr>
      </w:pPr>
      <w:r w:rsidRPr="00B91DD2">
        <w:rPr>
          <w:rFonts w:ascii="Times New Roman" w:hAnsi="Times New Roman"/>
          <w:color w:val="538135" w:themeColor="accent6" w:themeShade="BF"/>
          <w:lang w:val="en-GB"/>
        </w:rPr>
        <w:t xml:space="preserve">Bevan, C. 2022. </w:t>
      </w:r>
      <w:r w:rsidRPr="00B91DD2">
        <w:rPr>
          <w:rFonts w:ascii="Times New Roman" w:hAnsi="Times New Roman"/>
          <w:i/>
          <w:iCs/>
          <w:color w:val="538135" w:themeColor="accent6" w:themeShade="BF"/>
          <w:lang w:val="en-GB"/>
        </w:rPr>
        <w:t>Land Law. </w:t>
      </w:r>
      <w:r w:rsidRPr="00B91DD2">
        <w:rPr>
          <w:rFonts w:ascii="Times New Roman" w:hAnsi="Times New Roman"/>
          <w:color w:val="538135" w:themeColor="accent6" w:themeShade="BF"/>
          <w:lang w:val="en-GB"/>
        </w:rPr>
        <w:t>London: Oxford University Press.</w:t>
      </w:r>
    </w:p>
    <w:p w14:paraId="0E23B939" w14:textId="4EF0F0B1" w:rsidR="0001743F" w:rsidRPr="00B91DD2" w:rsidRDefault="0001743F" w:rsidP="00CA6367">
      <w:pPr>
        <w:ind w:left="709" w:hanging="709"/>
        <w:divId w:val="278148768"/>
        <w:rPr>
          <w:rFonts w:ascii="Times New Roman" w:hAnsi="Times New Roman"/>
          <w:color w:val="538135" w:themeColor="accent6" w:themeShade="BF"/>
          <w:lang w:val="en-GB"/>
        </w:rPr>
      </w:pPr>
      <w:r w:rsidRPr="00B91DD2">
        <w:rPr>
          <w:rFonts w:ascii="Times New Roman" w:hAnsi="Times New Roman"/>
          <w:color w:val="538135" w:themeColor="accent6" w:themeShade="BF"/>
          <w:lang w:val="en-GB"/>
        </w:rPr>
        <w:t xml:space="preserve">Bowling, L. (2023). Easement In Gross: A Definition. [Online]. Available at: </w:t>
      </w:r>
      <w:hyperlink r:id="rId9" w:history="1">
        <w:r w:rsidRPr="00B91DD2">
          <w:rPr>
            <w:rStyle w:val="Hyperlink"/>
            <w:rFonts w:ascii="Times New Roman" w:hAnsi="Times New Roman"/>
            <w:color w:val="538135" w:themeColor="accent6" w:themeShade="BF"/>
            <w:lang w:val="en-GB"/>
          </w:rPr>
          <w:t>https://www.rocketmortgage.com/learn/easement-in-gross</w:t>
        </w:r>
      </w:hyperlink>
      <w:r w:rsidRPr="00B91DD2">
        <w:rPr>
          <w:rFonts w:ascii="Times New Roman" w:hAnsi="Times New Roman"/>
          <w:color w:val="538135" w:themeColor="accent6" w:themeShade="BF"/>
          <w:lang w:val="en-GB"/>
        </w:rPr>
        <w:t xml:space="preserve"> [Accessed on: 1</w:t>
      </w:r>
      <w:r w:rsidR="0048209A">
        <w:rPr>
          <w:rFonts w:ascii="Times New Roman" w:hAnsi="Times New Roman"/>
          <w:color w:val="538135" w:themeColor="accent6" w:themeShade="BF"/>
          <w:lang w:val="en-GB"/>
        </w:rPr>
        <w:t>7</w:t>
      </w:r>
      <w:r w:rsidRPr="00B91DD2">
        <w:rPr>
          <w:rFonts w:ascii="Times New Roman" w:hAnsi="Times New Roman"/>
          <w:color w:val="538135" w:themeColor="accent6" w:themeShade="BF"/>
          <w:lang w:val="en-GB"/>
        </w:rPr>
        <w:t xml:space="preserve"> </w:t>
      </w:r>
      <w:r w:rsidR="0048209A">
        <w:rPr>
          <w:rFonts w:ascii="Times New Roman" w:hAnsi="Times New Roman"/>
          <w:color w:val="538135" w:themeColor="accent6" w:themeShade="BF"/>
          <w:lang w:val="en-GB"/>
        </w:rPr>
        <w:t xml:space="preserve">April </w:t>
      </w:r>
      <w:r w:rsidRPr="00B91DD2">
        <w:rPr>
          <w:rFonts w:ascii="Times New Roman" w:hAnsi="Times New Roman"/>
          <w:color w:val="538135" w:themeColor="accent6" w:themeShade="BF"/>
          <w:lang w:val="en-GB"/>
        </w:rPr>
        <w:t>2023].</w:t>
      </w:r>
    </w:p>
    <w:p w14:paraId="0B8575E2" w14:textId="77777777" w:rsidR="0001743F" w:rsidRPr="00B91DD2" w:rsidRDefault="0001743F" w:rsidP="00644A19">
      <w:pPr>
        <w:spacing w:after="0" w:line="480" w:lineRule="auto"/>
        <w:ind w:left="709" w:hanging="709"/>
        <w:contextualSpacing/>
        <w:jc w:val="both"/>
        <w:rPr>
          <w:rFonts w:ascii="Times New Roman" w:hAnsi="Times New Roman"/>
          <w:lang w:val="en-GB"/>
        </w:rPr>
      </w:pPr>
      <w:r w:rsidRPr="00B91DD2">
        <w:rPr>
          <w:rFonts w:ascii="Times New Roman" w:hAnsi="Times New Roman"/>
          <w:lang w:val="en-GB"/>
        </w:rPr>
        <w:t xml:space="preserve">Bright, S. (2011) </w:t>
      </w:r>
      <w:r w:rsidRPr="00B91DD2">
        <w:rPr>
          <w:rFonts w:ascii="Times New Roman" w:hAnsi="Times New Roman"/>
          <w:i/>
          <w:iCs/>
          <w:lang w:val="en-GB"/>
        </w:rPr>
        <w:t>Modern Studies in Property Law - Volume 6</w:t>
      </w:r>
      <w:r w:rsidRPr="00B91DD2">
        <w:rPr>
          <w:rFonts w:ascii="Times New Roman" w:hAnsi="Times New Roman"/>
          <w:lang w:val="en-GB"/>
        </w:rPr>
        <w:t>. London: Bloomsbury Publishing.</w:t>
      </w:r>
    </w:p>
    <w:p w14:paraId="1A081F18" w14:textId="77777777" w:rsidR="0001743F" w:rsidRPr="00B91DD2" w:rsidRDefault="0001743F" w:rsidP="00644A19">
      <w:pPr>
        <w:spacing w:after="0" w:line="480" w:lineRule="auto"/>
        <w:ind w:left="709" w:hanging="709"/>
        <w:contextualSpacing/>
        <w:jc w:val="both"/>
        <w:rPr>
          <w:rFonts w:ascii="Times New Roman" w:hAnsi="Times New Roman"/>
          <w:lang w:val="en-GB"/>
        </w:rPr>
      </w:pPr>
      <w:r w:rsidRPr="00B91DD2">
        <w:rPr>
          <w:rFonts w:ascii="Times New Roman" w:hAnsi="Times New Roman"/>
          <w:lang w:val="en-GB"/>
        </w:rPr>
        <w:t>Burn, E.H. and Cartwright, J. (2011) </w:t>
      </w:r>
      <w:r w:rsidRPr="00B91DD2">
        <w:rPr>
          <w:rFonts w:ascii="Times New Roman" w:hAnsi="Times New Roman"/>
          <w:i/>
          <w:iCs/>
          <w:lang w:val="en-GB"/>
        </w:rPr>
        <w:t>Cheshire and Burn's Modern Law of Real Property</w:t>
      </w:r>
      <w:r w:rsidRPr="00B91DD2">
        <w:rPr>
          <w:rFonts w:ascii="Times New Roman" w:hAnsi="Times New Roman"/>
          <w:lang w:val="en-GB"/>
        </w:rPr>
        <w:t>. London: Oxford University Press.</w:t>
      </w:r>
    </w:p>
    <w:p w14:paraId="449D93D7" w14:textId="77777777" w:rsidR="0001743F" w:rsidRPr="00B91DD2" w:rsidRDefault="0001743F" w:rsidP="00644A19">
      <w:pPr>
        <w:shd w:val="clear" w:color="auto" w:fill="FFFFFF"/>
        <w:spacing w:after="0" w:line="480" w:lineRule="auto"/>
        <w:ind w:left="720" w:hanging="720"/>
        <w:contextualSpacing/>
        <w:jc w:val="both"/>
        <w:rPr>
          <w:rFonts w:ascii="Times New Roman" w:hAnsi="Times New Roman"/>
          <w:lang w:val="en-GB"/>
        </w:rPr>
      </w:pPr>
      <w:r w:rsidRPr="00B91DD2">
        <w:rPr>
          <w:rFonts w:ascii="Times New Roman" w:hAnsi="Times New Roman"/>
          <w:color w:val="222222"/>
          <w:shd w:val="clear" w:color="auto" w:fill="FFFFFF"/>
          <w:lang w:val="en-GB"/>
        </w:rPr>
        <w:t xml:space="preserve">Davis, C.J. (2000) ‘Informal acquisition and loss of rights in land: what justifies the doctrines?’, </w:t>
      </w:r>
      <w:r w:rsidRPr="00B91DD2">
        <w:rPr>
          <w:rFonts w:ascii="Times New Roman" w:hAnsi="Times New Roman"/>
          <w:i/>
          <w:iCs/>
          <w:color w:val="222222"/>
          <w:shd w:val="clear" w:color="auto" w:fill="FFFFFF"/>
          <w:lang w:val="en-GB"/>
        </w:rPr>
        <w:t>Legal Studies</w:t>
      </w:r>
      <w:r w:rsidRPr="00B91DD2">
        <w:rPr>
          <w:rFonts w:ascii="Times New Roman" w:hAnsi="Times New Roman"/>
          <w:color w:val="222222"/>
          <w:shd w:val="clear" w:color="auto" w:fill="FFFFFF"/>
          <w:lang w:val="en-GB"/>
        </w:rPr>
        <w:t xml:space="preserve">, 20(2), pp. 198-221. DOI: </w:t>
      </w:r>
      <w:hyperlink r:id="rId10" w:history="1">
        <w:r w:rsidRPr="00B91DD2">
          <w:rPr>
            <w:rFonts w:ascii="Times New Roman" w:hAnsi="Times New Roman"/>
            <w:color w:val="0563C1" w:themeColor="hyperlink"/>
            <w:u w:val="single"/>
            <w:shd w:val="clear" w:color="auto" w:fill="FFFFFF"/>
            <w:lang w:val="en-GB"/>
          </w:rPr>
          <w:t>https://doi.org/10.1111/j.1748-121X.2000.tb00140.x</w:t>
        </w:r>
      </w:hyperlink>
      <w:r w:rsidRPr="00B91DD2">
        <w:rPr>
          <w:rFonts w:ascii="Times New Roman" w:hAnsi="Times New Roman"/>
          <w:color w:val="222222"/>
          <w:shd w:val="clear" w:color="auto" w:fill="FFFFFF"/>
          <w:lang w:val="en-GB"/>
        </w:rPr>
        <w:t xml:space="preserve"> </w:t>
      </w:r>
    </w:p>
    <w:p w14:paraId="6C3D7AD1" w14:textId="77777777" w:rsidR="0001743F" w:rsidRPr="00B91DD2" w:rsidRDefault="0001743F" w:rsidP="00644A19">
      <w:pPr>
        <w:shd w:val="clear" w:color="auto" w:fill="FFFFFF"/>
        <w:spacing w:after="0" w:line="480" w:lineRule="auto"/>
        <w:ind w:left="720" w:hanging="720"/>
        <w:contextualSpacing/>
        <w:jc w:val="both"/>
        <w:rPr>
          <w:rFonts w:ascii="Times New Roman" w:eastAsia="Times New Roman" w:hAnsi="Times New Roman"/>
          <w:color w:val="222222"/>
          <w:lang w:val="en-GB" w:eastAsia="en-GB"/>
        </w:rPr>
      </w:pPr>
      <w:r w:rsidRPr="00B91DD2">
        <w:rPr>
          <w:rFonts w:ascii="Times New Roman" w:eastAsia="Times New Roman" w:hAnsi="Times New Roman"/>
          <w:color w:val="222222"/>
          <w:lang w:val="en-GB" w:eastAsia="en-GB"/>
        </w:rPr>
        <w:t>Dickinson, J. (2020). Land law.</w:t>
      </w:r>
      <w:r w:rsidRPr="00B91DD2">
        <w:rPr>
          <w:rFonts w:ascii="Times New Roman" w:eastAsia="Times New Roman" w:hAnsi="Times New Roman"/>
          <w:b/>
          <w:bCs/>
          <w:color w:val="222222"/>
          <w:lang w:val="en-GB" w:eastAsia="en-GB"/>
        </w:rPr>
        <w:t xml:space="preserve"> </w:t>
      </w:r>
      <w:r w:rsidRPr="00B91DD2">
        <w:rPr>
          <w:rFonts w:ascii="Times New Roman" w:eastAsia="Times New Roman" w:hAnsi="Times New Roman"/>
          <w:color w:val="222222"/>
          <w:lang w:val="en-GB" w:eastAsia="en-GB"/>
        </w:rPr>
        <w:t xml:space="preserve">[Online]. Available at: </w:t>
      </w:r>
      <w:hyperlink r:id="rId11" w:history="1">
        <w:r w:rsidRPr="00B91DD2">
          <w:rPr>
            <w:rFonts w:ascii="Times New Roman" w:eastAsia="Times New Roman" w:hAnsi="Times New Roman"/>
            <w:color w:val="0563C1" w:themeColor="hyperlink"/>
            <w:u w:val="single"/>
            <w:lang w:val="en-GB" w:eastAsia="en-GB"/>
          </w:rPr>
          <w:t>http://shura.shu.ac.uk/26722/</w:t>
        </w:r>
      </w:hyperlink>
      <w:r w:rsidRPr="00B91DD2">
        <w:rPr>
          <w:rFonts w:ascii="Times New Roman" w:eastAsia="Times New Roman" w:hAnsi="Times New Roman"/>
          <w:color w:val="222222"/>
          <w:lang w:val="en-GB" w:eastAsia="en-GB"/>
        </w:rPr>
        <w:t xml:space="preserve"> [Accessed on: 20 October 2022].</w:t>
      </w:r>
    </w:p>
    <w:p w14:paraId="0D9D8A5B" w14:textId="77777777" w:rsidR="0001743F" w:rsidRPr="00B91DD2" w:rsidRDefault="0001743F" w:rsidP="00644A19">
      <w:pPr>
        <w:spacing w:after="0" w:line="480" w:lineRule="auto"/>
        <w:ind w:left="720" w:hanging="720"/>
        <w:contextualSpacing/>
        <w:rPr>
          <w:rFonts w:ascii="Times New Roman" w:hAnsi="Times New Roman"/>
          <w:lang w:val="en-GB"/>
        </w:rPr>
      </w:pPr>
      <w:r w:rsidRPr="00B91DD2">
        <w:rPr>
          <w:rFonts w:ascii="Times New Roman" w:hAnsi="Times New Roman"/>
          <w:lang w:val="en-GB"/>
        </w:rPr>
        <w:t>Egan-</w:t>
      </w:r>
      <w:proofErr w:type="spellStart"/>
      <w:r w:rsidRPr="00B91DD2">
        <w:rPr>
          <w:rFonts w:ascii="Times New Roman" w:hAnsi="Times New Roman"/>
          <w:lang w:val="en-GB"/>
        </w:rPr>
        <w:t>Ronayne</w:t>
      </w:r>
      <w:proofErr w:type="spellEnd"/>
      <w:r w:rsidRPr="00B91DD2">
        <w:rPr>
          <w:rFonts w:ascii="Times New Roman" w:hAnsi="Times New Roman"/>
          <w:lang w:val="en-GB"/>
        </w:rPr>
        <w:t xml:space="preserve">, N. (2017). RE ELLENBOROUGH PARK. [Online]. Available at: </w:t>
      </w:r>
      <w:hyperlink r:id="rId12" w:history="1">
        <w:r w:rsidRPr="00B91DD2">
          <w:rPr>
            <w:rFonts w:ascii="Times New Roman" w:hAnsi="Times New Roman"/>
            <w:color w:val="0563C1" w:themeColor="hyperlink"/>
            <w:u w:val="single"/>
            <w:lang w:val="en-GB"/>
          </w:rPr>
          <w:t>https://theblackletter.co.uk/2017/03/08/re-ellenborough-park-1956-ch-131/</w:t>
        </w:r>
      </w:hyperlink>
      <w:r w:rsidRPr="00B91DD2">
        <w:rPr>
          <w:rFonts w:ascii="Times New Roman" w:hAnsi="Times New Roman"/>
          <w:lang w:val="en-GB"/>
        </w:rPr>
        <w:t xml:space="preserve"> [Accessed on: 25 October 2022].</w:t>
      </w:r>
    </w:p>
    <w:p w14:paraId="6FD18438" w14:textId="77777777" w:rsidR="0001743F" w:rsidRPr="00B91DD2" w:rsidRDefault="0001743F" w:rsidP="00644A19">
      <w:pPr>
        <w:spacing w:after="0" w:line="480" w:lineRule="auto"/>
        <w:ind w:left="709" w:hanging="709"/>
        <w:contextualSpacing/>
        <w:jc w:val="both"/>
        <w:rPr>
          <w:rFonts w:ascii="Times New Roman" w:hAnsi="Times New Roman"/>
          <w:b/>
          <w:bCs/>
          <w:lang w:val="en-GB"/>
        </w:rPr>
      </w:pPr>
      <w:r w:rsidRPr="00B91DD2">
        <w:rPr>
          <w:rFonts w:ascii="Times New Roman" w:hAnsi="Times New Roman"/>
          <w:lang w:val="en-GB"/>
        </w:rPr>
        <w:t>French, G. (2016)</w:t>
      </w:r>
      <w:r w:rsidRPr="00B91DD2">
        <w:rPr>
          <w:rFonts w:ascii="Times New Roman" w:hAnsi="Times New Roman"/>
          <w:b/>
          <w:bCs/>
          <w:lang w:val="en-GB"/>
        </w:rPr>
        <w:t xml:space="preserve"> ‘</w:t>
      </w:r>
      <w:r w:rsidRPr="00B91DD2">
        <w:rPr>
          <w:rFonts w:ascii="Times New Roman" w:hAnsi="Times New Roman"/>
          <w:lang w:val="en-GB"/>
        </w:rPr>
        <w:t xml:space="preserve">The Doctrine of Lost Modern Grant and Prescriptive Easements in Newfoundland’, </w:t>
      </w:r>
      <w:r w:rsidRPr="00B91DD2">
        <w:rPr>
          <w:rFonts w:ascii="Times New Roman" w:hAnsi="Times New Roman"/>
          <w:i/>
          <w:iCs/>
          <w:lang w:val="en-GB"/>
        </w:rPr>
        <w:t>Dalhousie Law Journal</w:t>
      </w:r>
      <w:r w:rsidRPr="00B91DD2">
        <w:rPr>
          <w:rFonts w:ascii="Times New Roman" w:hAnsi="Times New Roman"/>
          <w:lang w:val="en-GB"/>
        </w:rPr>
        <w:t>, 39(2), pp. 1-14.</w:t>
      </w:r>
      <w:r w:rsidRPr="00B91DD2">
        <w:rPr>
          <w:rFonts w:ascii="Times New Roman" w:hAnsi="Times New Roman"/>
          <w:b/>
          <w:bCs/>
          <w:lang w:val="en-GB"/>
        </w:rPr>
        <w:t xml:space="preserve"> </w:t>
      </w:r>
    </w:p>
    <w:p w14:paraId="53CA5D44" w14:textId="77777777" w:rsidR="0001743F" w:rsidRPr="00B91DD2" w:rsidRDefault="0001743F" w:rsidP="00CA6367">
      <w:pPr>
        <w:ind w:left="709" w:hanging="709"/>
        <w:divId w:val="278148768"/>
        <w:rPr>
          <w:lang w:val="en-GB"/>
        </w:rPr>
      </w:pPr>
      <w:r w:rsidRPr="00B91DD2">
        <w:rPr>
          <w:rFonts w:ascii="Times New Roman" w:hAnsi="Times New Roman"/>
          <w:color w:val="538135" w:themeColor="accent6" w:themeShade="BF"/>
          <w:lang w:val="en-GB"/>
        </w:rPr>
        <w:t>Fuselier, B.M. (2019). </w:t>
      </w:r>
      <w:r w:rsidRPr="00B91DD2">
        <w:rPr>
          <w:rFonts w:ascii="Times New Roman" w:hAnsi="Times New Roman"/>
          <w:i/>
          <w:iCs/>
          <w:color w:val="538135" w:themeColor="accent6" w:themeShade="BF"/>
          <w:lang w:val="en-GB"/>
        </w:rPr>
        <w:t>Defining and Acquiring Interests in Property</w:t>
      </w:r>
      <w:r w:rsidRPr="00B91DD2">
        <w:rPr>
          <w:rFonts w:ascii="Times New Roman" w:hAnsi="Times New Roman"/>
          <w:color w:val="538135" w:themeColor="accent6" w:themeShade="BF"/>
          <w:lang w:val="en-GB"/>
        </w:rPr>
        <w:t>. London: Wolters Kluwer</w:t>
      </w:r>
      <w:r w:rsidRPr="00B91DD2">
        <w:rPr>
          <w:lang w:val="en-GB"/>
        </w:rPr>
        <w:t>.</w:t>
      </w:r>
    </w:p>
    <w:p w14:paraId="1568DC89" w14:textId="77777777" w:rsidR="0001743F" w:rsidRPr="00B91DD2" w:rsidRDefault="0001743F" w:rsidP="00644A19">
      <w:pPr>
        <w:spacing w:after="0" w:line="480" w:lineRule="auto"/>
        <w:ind w:left="709" w:hanging="709"/>
        <w:contextualSpacing/>
        <w:jc w:val="both"/>
        <w:rPr>
          <w:rFonts w:ascii="Times New Roman" w:hAnsi="Times New Roman"/>
          <w:lang w:val="en-GB"/>
        </w:rPr>
      </w:pPr>
      <w:r w:rsidRPr="00B91DD2">
        <w:rPr>
          <w:rFonts w:ascii="Times New Roman" w:hAnsi="Times New Roman"/>
          <w:lang w:val="en-GB"/>
        </w:rPr>
        <w:t>George, M. and Layard, A. (2019) </w:t>
      </w:r>
      <w:r w:rsidRPr="00B91DD2">
        <w:rPr>
          <w:rFonts w:ascii="Times New Roman" w:hAnsi="Times New Roman"/>
          <w:i/>
          <w:iCs/>
          <w:lang w:val="en-GB"/>
        </w:rPr>
        <w:t>Thompson's Modern Land Law</w:t>
      </w:r>
      <w:r w:rsidRPr="00B91DD2">
        <w:rPr>
          <w:rFonts w:ascii="Times New Roman" w:hAnsi="Times New Roman"/>
          <w:lang w:val="en-GB"/>
        </w:rPr>
        <w:t>. London: Oxford University Press.</w:t>
      </w:r>
    </w:p>
    <w:p w14:paraId="72E13DA5" w14:textId="77777777" w:rsidR="0001743F" w:rsidRPr="00B91DD2" w:rsidRDefault="0001743F" w:rsidP="00644A19">
      <w:pPr>
        <w:spacing w:after="0" w:line="480" w:lineRule="auto"/>
        <w:ind w:left="720" w:hanging="720"/>
        <w:contextualSpacing/>
        <w:rPr>
          <w:rFonts w:ascii="Times New Roman" w:hAnsi="Times New Roman"/>
          <w:lang w:val="en-GB"/>
        </w:rPr>
      </w:pPr>
      <w:r w:rsidRPr="00B91DD2">
        <w:rPr>
          <w:rFonts w:ascii="Times New Roman" w:hAnsi="Times New Roman"/>
          <w:lang w:val="en-GB"/>
        </w:rPr>
        <w:t xml:space="preserve">Gray, K.J. and Gray, S.F. (2009) </w:t>
      </w:r>
      <w:r w:rsidRPr="00B91DD2">
        <w:rPr>
          <w:rFonts w:ascii="Times New Roman" w:hAnsi="Times New Roman"/>
          <w:i/>
          <w:lang w:val="en-GB"/>
        </w:rPr>
        <w:t>Elements of land law.</w:t>
      </w:r>
      <w:r w:rsidRPr="00B91DD2">
        <w:rPr>
          <w:rFonts w:ascii="Times New Roman" w:hAnsi="Times New Roman"/>
          <w:lang w:val="en-GB"/>
        </w:rPr>
        <w:t xml:space="preserve"> London: Oxford: Oxford University Press.</w:t>
      </w:r>
    </w:p>
    <w:p w14:paraId="4606E6E4" w14:textId="77777777" w:rsidR="0001743F" w:rsidRPr="00B91DD2" w:rsidRDefault="0001743F" w:rsidP="00644A19">
      <w:pPr>
        <w:spacing w:after="0" w:line="480" w:lineRule="auto"/>
        <w:ind w:left="720" w:hanging="720"/>
        <w:contextualSpacing/>
        <w:rPr>
          <w:rFonts w:ascii="Times New Roman" w:hAnsi="Times New Roman"/>
          <w:lang w:val="en-GB"/>
        </w:rPr>
      </w:pPr>
      <w:proofErr w:type="spellStart"/>
      <w:r w:rsidRPr="00B91DD2">
        <w:rPr>
          <w:rFonts w:ascii="Times New Roman" w:hAnsi="Times New Roman"/>
          <w:lang w:val="en-GB"/>
        </w:rPr>
        <w:lastRenderedPageBreak/>
        <w:t>Kowallis</w:t>
      </w:r>
      <w:proofErr w:type="spellEnd"/>
      <w:r w:rsidRPr="00B91DD2">
        <w:rPr>
          <w:rFonts w:ascii="Times New Roman" w:hAnsi="Times New Roman"/>
          <w:lang w:val="en-GB"/>
        </w:rPr>
        <w:t xml:space="preserve">, K. (2018) ‘Treating Fair Use as an Easement on Intellectual Property’, </w:t>
      </w:r>
      <w:r w:rsidRPr="00B91DD2">
        <w:rPr>
          <w:rFonts w:ascii="Times New Roman" w:hAnsi="Times New Roman"/>
          <w:i/>
          <w:lang w:val="en-GB"/>
        </w:rPr>
        <w:t>BYU L. Rev.,</w:t>
      </w:r>
      <w:r w:rsidRPr="00B91DD2">
        <w:rPr>
          <w:rFonts w:ascii="Times New Roman" w:hAnsi="Times New Roman"/>
          <w:lang w:val="en-GB"/>
        </w:rPr>
        <w:t xml:space="preserve"> p.1073.</w:t>
      </w:r>
    </w:p>
    <w:p w14:paraId="11D48DBA" w14:textId="77777777" w:rsidR="0001743F" w:rsidRPr="00B91DD2" w:rsidRDefault="0001743F" w:rsidP="00644A19">
      <w:pPr>
        <w:shd w:val="clear" w:color="auto" w:fill="FFFFFF"/>
        <w:spacing w:after="0" w:line="480" w:lineRule="auto"/>
        <w:ind w:left="720" w:hanging="720"/>
        <w:contextualSpacing/>
        <w:jc w:val="both"/>
        <w:rPr>
          <w:rFonts w:ascii="Times New Roman" w:eastAsia="Times New Roman" w:hAnsi="Times New Roman"/>
          <w:color w:val="222222"/>
          <w:lang w:val="en-GB" w:eastAsia="en-GB"/>
        </w:rPr>
      </w:pPr>
      <w:r w:rsidRPr="00B91DD2">
        <w:rPr>
          <w:rFonts w:ascii="Times New Roman" w:hAnsi="Times New Roman"/>
          <w:lang w:val="en-GB"/>
        </w:rPr>
        <w:t xml:space="preserve">Law Commission. (2011). Making Land Work: Easements, Covenants and Profits à Prendre. </w:t>
      </w:r>
      <w:r w:rsidRPr="00B91DD2">
        <w:rPr>
          <w:rFonts w:ascii="Times New Roman" w:eastAsia="Times New Roman" w:hAnsi="Times New Roman"/>
          <w:color w:val="222222"/>
          <w:lang w:val="en-GB" w:eastAsia="en-GB"/>
        </w:rPr>
        <w:t xml:space="preserve">[Online]. Available at: </w:t>
      </w:r>
      <w:hyperlink r:id="rId13" w:history="1">
        <w:r w:rsidRPr="00B91DD2">
          <w:rPr>
            <w:rFonts w:ascii="Times New Roman" w:eastAsia="Times New Roman" w:hAnsi="Times New Roman"/>
            <w:color w:val="0563C1" w:themeColor="hyperlink"/>
            <w:u w:val="single"/>
            <w:lang w:val="en-GB" w:eastAsia="en-GB"/>
          </w:rPr>
          <w:t>https://assets.publishing.service.gov.uk/government/uploads/system/uploads/attachment_data/file/229064/1067.pdf</w:t>
        </w:r>
      </w:hyperlink>
      <w:r w:rsidRPr="00B91DD2">
        <w:rPr>
          <w:rFonts w:ascii="Times New Roman" w:eastAsia="Times New Roman" w:hAnsi="Times New Roman"/>
          <w:color w:val="222222"/>
          <w:lang w:val="en-GB" w:eastAsia="en-GB"/>
        </w:rPr>
        <w:t xml:space="preserve"> [Accessed on: 25 October 2022].</w:t>
      </w:r>
    </w:p>
    <w:p w14:paraId="224DC455" w14:textId="77777777" w:rsidR="0001743F" w:rsidRPr="00B91DD2" w:rsidRDefault="0001743F" w:rsidP="00644A19">
      <w:pPr>
        <w:shd w:val="clear" w:color="auto" w:fill="FFFFFF"/>
        <w:spacing w:after="0" w:line="480" w:lineRule="auto"/>
        <w:ind w:left="720" w:hanging="720"/>
        <w:contextualSpacing/>
        <w:jc w:val="both"/>
        <w:rPr>
          <w:rFonts w:ascii="Times New Roman" w:eastAsia="Times New Roman" w:hAnsi="Times New Roman"/>
          <w:color w:val="222222"/>
          <w:lang w:val="en-GB" w:eastAsia="en-GB"/>
        </w:rPr>
      </w:pPr>
      <w:r w:rsidRPr="00B91DD2">
        <w:rPr>
          <w:rFonts w:ascii="Times New Roman" w:eastAsia="Times New Roman" w:hAnsi="Times New Roman"/>
          <w:color w:val="222222"/>
          <w:lang w:val="en-GB" w:eastAsia="en-GB"/>
        </w:rPr>
        <w:t xml:space="preserve">LexisNexis. (2022). Real Property and Registration (Volume 87 (2022)). [Online]. Available at: </w:t>
      </w:r>
      <w:hyperlink r:id="rId14" w:history="1">
        <w:r w:rsidRPr="00B91DD2">
          <w:rPr>
            <w:rFonts w:ascii="Times New Roman" w:eastAsia="Times New Roman" w:hAnsi="Times New Roman"/>
            <w:color w:val="0563C1" w:themeColor="hyperlink"/>
            <w:u w:val="single"/>
            <w:lang w:val="en-GB" w:eastAsia="en-GB"/>
          </w:rPr>
          <w:t>https://www.lexisnexis.co.uk/legal/commentary/halsburys-laws-of-england/real-property-registration</w:t>
        </w:r>
      </w:hyperlink>
      <w:r w:rsidRPr="00B91DD2">
        <w:rPr>
          <w:rFonts w:ascii="Times New Roman" w:eastAsia="Times New Roman" w:hAnsi="Times New Roman"/>
          <w:color w:val="222222"/>
          <w:lang w:val="en-GB" w:eastAsia="en-GB"/>
        </w:rPr>
        <w:t xml:space="preserve"> [Accessed on: 20 October 2022].</w:t>
      </w:r>
    </w:p>
    <w:p w14:paraId="1C71A75B" w14:textId="77777777" w:rsidR="0001743F" w:rsidRPr="00B91DD2" w:rsidRDefault="0001743F" w:rsidP="00644A19">
      <w:pPr>
        <w:spacing w:after="0" w:line="480" w:lineRule="auto"/>
        <w:ind w:left="709" w:hanging="709"/>
        <w:contextualSpacing/>
        <w:jc w:val="both"/>
        <w:rPr>
          <w:rFonts w:ascii="Times New Roman" w:hAnsi="Times New Roman"/>
          <w:lang w:val="en-GB"/>
        </w:rPr>
      </w:pPr>
      <w:r w:rsidRPr="00B91DD2">
        <w:rPr>
          <w:rFonts w:ascii="Times New Roman" w:hAnsi="Times New Roman"/>
          <w:lang w:val="en-GB"/>
        </w:rPr>
        <w:t xml:space="preserve">Mee, J. (2015) ‘Reforming the Law of Prescription: A Cautionary Tale from Ireland’, </w:t>
      </w:r>
      <w:r w:rsidRPr="00B91DD2">
        <w:rPr>
          <w:rFonts w:ascii="Times New Roman" w:hAnsi="Times New Roman"/>
          <w:i/>
          <w:iCs/>
          <w:lang w:val="en-GB"/>
        </w:rPr>
        <w:t>Modern Studies in Property Law</w:t>
      </w:r>
      <w:r w:rsidRPr="00B91DD2">
        <w:rPr>
          <w:rFonts w:ascii="Times New Roman" w:hAnsi="Times New Roman"/>
          <w:lang w:val="en-GB"/>
        </w:rPr>
        <w:t>, 8, pp. 31-48.</w:t>
      </w:r>
    </w:p>
    <w:p w14:paraId="4F2E038F" w14:textId="77777777" w:rsidR="0001743F" w:rsidRPr="00B91DD2" w:rsidRDefault="0001743F" w:rsidP="00C119FA">
      <w:pPr>
        <w:spacing w:after="0" w:line="480" w:lineRule="auto"/>
        <w:ind w:left="720" w:hanging="720"/>
        <w:contextualSpacing/>
        <w:rPr>
          <w:rFonts w:ascii="Times New Roman" w:hAnsi="Times New Roman"/>
          <w:lang w:val="en-GB"/>
        </w:rPr>
      </w:pPr>
      <w:r w:rsidRPr="00B91DD2">
        <w:rPr>
          <w:rFonts w:ascii="Times New Roman" w:hAnsi="Times New Roman"/>
          <w:lang w:val="en-GB"/>
        </w:rPr>
        <w:t xml:space="preserve">Romero, R.A. (2013) </w:t>
      </w:r>
      <w:r w:rsidRPr="00B91DD2">
        <w:rPr>
          <w:rFonts w:ascii="Times New Roman" w:hAnsi="Times New Roman"/>
          <w:i/>
          <w:iCs/>
          <w:lang w:val="en-GB"/>
        </w:rPr>
        <w:t xml:space="preserve">Property Law </w:t>
      </w:r>
      <w:proofErr w:type="gramStart"/>
      <w:r w:rsidRPr="00B91DD2">
        <w:rPr>
          <w:rFonts w:ascii="Times New Roman" w:hAnsi="Times New Roman"/>
          <w:i/>
          <w:iCs/>
          <w:lang w:val="en-GB"/>
        </w:rPr>
        <w:t>For</w:t>
      </w:r>
      <w:proofErr w:type="gramEnd"/>
      <w:r w:rsidRPr="00B91DD2">
        <w:rPr>
          <w:rFonts w:ascii="Times New Roman" w:hAnsi="Times New Roman"/>
          <w:i/>
          <w:iCs/>
          <w:lang w:val="en-GB"/>
        </w:rPr>
        <w:t xml:space="preserve"> Dummies</w:t>
      </w:r>
      <w:r w:rsidRPr="00B91DD2">
        <w:rPr>
          <w:rFonts w:ascii="Times New Roman" w:hAnsi="Times New Roman"/>
          <w:lang w:val="en-GB"/>
        </w:rPr>
        <w:t>. London: Wiley Publication.</w:t>
      </w:r>
    </w:p>
    <w:p w14:paraId="334B52F3" w14:textId="485049CC" w:rsidR="0001743F" w:rsidRPr="00B91DD2" w:rsidRDefault="0001743F" w:rsidP="00644A19">
      <w:pPr>
        <w:spacing w:after="0" w:line="480" w:lineRule="auto"/>
        <w:ind w:left="720" w:hanging="720"/>
        <w:contextualSpacing/>
        <w:rPr>
          <w:rFonts w:ascii="Times New Roman" w:hAnsi="Times New Roman"/>
          <w:color w:val="538135" w:themeColor="accent6" w:themeShade="BF"/>
          <w:lang w:val="en-GB"/>
        </w:rPr>
      </w:pPr>
      <w:r w:rsidRPr="00B91DD2">
        <w:rPr>
          <w:rFonts w:ascii="Times New Roman" w:hAnsi="Times New Roman"/>
          <w:color w:val="538135" w:themeColor="accent6" w:themeShade="BF"/>
          <w:lang w:val="en-GB"/>
        </w:rPr>
        <w:t xml:space="preserve">UK Government. (2021). Practice guide 52: easements claimed by prescription. [Online]. Available at: </w:t>
      </w:r>
      <w:hyperlink r:id="rId15" w:anchor=":~:text=Prescription%20is%20the%20acquisition%20of,under%20the%20Prescription%20Act%201832" w:history="1">
        <w:r w:rsidRPr="00B91DD2">
          <w:rPr>
            <w:rStyle w:val="Hyperlink"/>
            <w:rFonts w:ascii="Times New Roman" w:hAnsi="Times New Roman"/>
            <w:color w:val="538135" w:themeColor="accent6" w:themeShade="BF"/>
            <w:lang w:val="en-GB"/>
          </w:rPr>
          <w:t>https://www.gov.uk/government/publications/easements-claimed-by-prescription/practice-guide-52-easements-claimed-by-prescription#:~:text=Prescription%20is%20the%20acquisition%20of,under%20the%20Prescription%20Act%201832</w:t>
        </w:r>
      </w:hyperlink>
      <w:r w:rsidRPr="00B91DD2">
        <w:rPr>
          <w:rFonts w:ascii="Times New Roman" w:hAnsi="Times New Roman"/>
          <w:color w:val="538135" w:themeColor="accent6" w:themeShade="BF"/>
          <w:lang w:val="en-GB"/>
        </w:rPr>
        <w:t xml:space="preserve"> [Accessed on: </w:t>
      </w:r>
      <w:r w:rsidR="00F11F46">
        <w:rPr>
          <w:rFonts w:ascii="Times New Roman" w:hAnsi="Times New Roman"/>
          <w:color w:val="538135" w:themeColor="accent6" w:themeShade="BF"/>
          <w:lang w:val="en-GB"/>
        </w:rPr>
        <w:t>18 April</w:t>
      </w:r>
      <w:r w:rsidRPr="00B91DD2">
        <w:rPr>
          <w:rFonts w:ascii="Times New Roman" w:hAnsi="Times New Roman"/>
          <w:color w:val="538135" w:themeColor="accent6" w:themeShade="BF"/>
          <w:lang w:val="en-GB"/>
        </w:rPr>
        <w:t xml:space="preserve"> 2023].</w:t>
      </w:r>
    </w:p>
    <w:p w14:paraId="6BBA117C" w14:textId="62EEC411" w:rsidR="0001743F" w:rsidRPr="00B91DD2" w:rsidRDefault="0001743F" w:rsidP="00CA6367">
      <w:pPr>
        <w:ind w:left="709" w:hanging="709"/>
        <w:divId w:val="278148768"/>
        <w:rPr>
          <w:rFonts w:ascii="Times New Roman" w:hAnsi="Times New Roman"/>
          <w:color w:val="538135" w:themeColor="accent6" w:themeShade="BF"/>
          <w:lang w:val="en-GB"/>
        </w:rPr>
      </w:pPr>
      <w:r w:rsidRPr="00B91DD2">
        <w:rPr>
          <w:rFonts w:ascii="Times New Roman" w:hAnsi="Times New Roman"/>
          <w:color w:val="538135" w:themeColor="accent6" w:themeShade="BF"/>
          <w:lang w:val="en-GB"/>
        </w:rPr>
        <w:t xml:space="preserve">UK Legislation. (2016). Law of Property Act. [Online]. Available at: </w:t>
      </w:r>
      <w:hyperlink r:id="rId16" w:history="1">
        <w:r w:rsidRPr="00B91DD2">
          <w:rPr>
            <w:rStyle w:val="Hyperlink"/>
            <w:rFonts w:ascii="Times New Roman" w:hAnsi="Times New Roman"/>
            <w:color w:val="034990" w:themeColor="hyperlink" w:themeShade="BF"/>
            <w:lang w:val="en-GB"/>
          </w:rPr>
          <w:t>https://www.legislation.gov.uk/ukpga/Geo5/15-16/20/section/62</w:t>
        </w:r>
      </w:hyperlink>
      <w:r w:rsidRPr="00B91DD2">
        <w:rPr>
          <w:rFonts w:ascii="Times New Roman" w:hAnsi="Times New Roman"/>
          <w:color w:val="538135" w:themeColor="accent6" w:themeShade="BF"/>
          <w:lang w:val="en-GB"/>
        </w:rPr>
        <w:t xml:space="preserve"> [Accessed on: </w:t>
      </w:r>
      <w:r w:rsidR="00F81D17">
        <w:rPr>
          <w:rFonts w:ascii="Times New Roman" w:hAnsi="Times New Roman"/>
          <w:color w:val="538135" w:themeColor="accent6" w:themeShade="BF"/>
          <w:lang w:val="en-GB"/>
        </w:rPr>
        <w:t>17 April</w:t>
      </w:r>
      <w:r w:rsidRPr="00B91DD2">
        <w:rPr>
          <w:rFonts w:ascii="Times New Roman" w:hAnsi="Times New Roman"/>
          <w:color w:val="538135" w:themeColor="accent6" w:themeShade="BF"/>
          <w:lang w:val="en-GB"/>
        </w:rPr>
        <w:t xml:space="preserve"> 2023].</w:t>
      </w:r>
    </w:p>
    <w:p w14:paraId="5C3DC0C0" w14:textId="3FB8EC67" w:rsidR="0001743F" w:rsidRPr="00B91DD2" w:rsidRDefault="0001743F" w:rsidP="00CA6367">
      <w:pPr>
        <w:ind w:left="709" w:hanging="709"/>
        <w:divId w:val="278148768"/>
        <w:rPr>
          <w:rFonts w:ascii="Times New Roman" w:hAnsi="Times New Roman"/>
          <w:color w:val="538135" w:themeColor="accent6" w:themeShade="BF"/>
          <w:lang w:val="en-GB"/>
        </w:rPr>
      </w:pPr>
      <w:r w:rsidRPr="00B91DD2">
        <w:rPr>
          <w:rFonts w:ascii="Times New Roman" w:hAnsi="Times New Roman"/>
          <w:color w:val="538135" w:themeColor="accent6" w:themeShade="BF"/>
          <w:lang w:val="en-GB"/>
        </w:rPr>
        <w:t xml:space="preserve">UK Legislation. (2017). Prescription Act 1832. [Online]. Available at: </w:t>
      </w:r>
      <w:hyperlink r:id="rId17" w:history="1">
        <w:r w:rsidRPr="00B91DD2">
          <w:rPr>
            <w:rStyle w:val="Hyperlink"/>
            <w:rFonts w:ascii="Times New Roman" w:hAnsi="Times New Roman"/>
            <w:color w:val="034990" w:themeColor="hyperlink" w:themeShade="BF"/>
            <w:lang w:val="en-GB"/>
          </w:rPr>
          <w:t>https://www.legislation.gov.uk/ukpga/Will4/2-3/71</w:t>
        </w:r>
      </w:hyperlink>
      <w:r w:rsidRPr="00B91DD2">
        <w:rPr>
          <w:rFonts w:ascii="Times New Roman" w:hAnsi="Times New Roman"/>
          <w:color w:val="538135" w:themeColor="accent6" w:themeShade="BF"/>
          <w:lang w:val="en-GB"/>
        </w:rPr>
        <w:t xml:space="preserve"> [Accessed on: </w:t>
      </w:r>
      <w:r w:rsidR="00F81D17">
        <w:rPr>
          <w:rFonts w:ascii="Times New Roman" w:hAnsi="Times New Roman"/>
          <w:color w:val="538135" w:themeColor="accent6" w:themeShade="BF"/>
          <w:lang w:val="en-GB"/>
        </w:rPr>
        <w:t>18 April</w:t>
      </w:r>
      <w:r w:rsidRPr="00B91DD2">
        <w:rPr>
          <w:rFonts w:ascii="Times New Roman" w:hAnsi="Times New Roman"/>
          <w:color w:val="538135" w:themeColor="accent6" w:themeShade="BF"/>
          <w:lang w:val="en-GB"/>
        </w:rPr>
        <w:t xml:space="preserve"> 2023].</w:t>
      </w:r>
    </w:p>
    <w:p w14:paraId="48186595" w14:textId="77777777" w:rsidR="0001743F" w:rsidRPr="00B91DD2" w:rsidRDefault="0001743F" w:rsidP="00644A19">
      <w:pPr>
        <w:spacing w:after="0" w:line="480" w:lineRule="auto"/>
        <w:ind w:left="720" w:hanging="720"/>
        <w:contextualSpacing/>
        <w:rPr>
          <w:rFonts w:ascii="Times New Roman" w:hAnsi="Times New Roman"/>
          <w:lang w:val="en-GB"/>
        </w:rPr>
      </w:pPr>
      <w:r w:rsidRPr="00B91DD2">
        <w:rPr>
          <w:rFonts w:ascii="Times New Roman" w:hAnsi="Times New Roman"/>
          <w:lang w:val="en-GB"/>
        </w:rPr>
        <w:t xml:space="preserve">Waite, A.J. (1985) ‘Easements: Positive Duties on the Servient Owner?’, </w:t>
      </w:r>
      <w:r w:rsidRPr="00B91DD2">
        <w:rPr>
          <w:rFonts w:ascii="Times New Roman" w:hAnsi="Times New Roman"/>
          <w:i/>
          <w:lang w:val="en-GB"/>
        </w:rPr>
        <w:t xml:space="preserve">The Cambridge Law Journal, </w:t>
      </w:r>
      <w:r w:rsidRPr="00B91DD2">
        <w:rPr>
          <w:rFonts w:ascii="Times New Roman" w:hAnsi="Times New Roman"/>
          <w:lang w:val="en-GB"/>
        </w:rPr>
        <w:t xml:space="preserve">44(3), pp. 458-476. DOI: </w:t>
      </w:r>
      <w:hyperlink r:id="rId18" w:history="1">
        <w:r w:rsidRPr="00B91DD2">
          <w:rPr>
            <w:rStyle w:val="Hyperlink"/>
            <w:rFonts w:ascii="Times New Roman" w:hAnsi="Times New Roman"/>
            <w:lang w:val="en-GB"/>
          </w:rPr>
          <w:t>https://doi.org/10.1017/S0008197300114941</w:t>
        </w:r>
      </w:hyperlink>
      <w:r w:rsidRPr="00B91DD2">
        <w:rPr>
          <w:rFonts w:ascii="Times New Roman" w:hAnsi="Times New Roman"/>
          <w:lang w:val="en-GB"/>
        </w:rPr>
        <w:t>.</w:t>
      </w:r>
    </w:p>
    <w:p w14:paraId="2C4F2BE6" w14:textId="77777777" w:rsidR="0001743F" w:rsidRPr="0001743F" w:rsidRDefault="0001743F" w:rsidP="0001743F">
      <w:pPr>
        <w:ind w:left="709" w:hanging="709"/>
        <w:divId w:val="278148768"/>
        <w:rPr>
          <w:rFonts w:ascii="Times New Roman" w:hAnsi="Times New Roman"/>
          <w:color w:val="538135" w:themeColor="accent6" w:themeShade="BF"/>
          <w:lang w:val="en-GB"/>
        </w:rPr>
      </w:pPr>
    </w:p>
    <w:p w14:paraId="0B8E6B86" w14:textId="77777777" w:rsidR="006B2085" w:rsidRDefault="006B2085" w:rsidP="00644A19">
      <w:pPr>
        <w:spacing w:after="0" w:line="480" w:lineRule="auto"/>
        <w:contextualSpacing/>
        <w:jc w:val="both"/>
        <w:rPr>
          <w:rFonts w:ascii="Times New Roman" w:hAnsi="Times New Roman"/>
          <w:b/>
          <w:bCs/>
          <w:lang w:val="en-GB"/>
        </w:rPr>
      </w:pPr>
    </w:p>
    <w:p w14:paraId="6284C3CB" w14:textId="77777777" w:rsidR="006B2085" w:rsidRDefault="006B2085" w:rsidP="00644A19">
      <w:pPr>
        <w:spacing w:after="0" w:line="480" w:lineRule="auto"/>
        <w:contextualSpacing/>
        <w:jc w:val="both"/>
        <w:rPr>
          <w:rFonts w:ascii="Times New Roman" w:hAnsi="Times New Roman"/>
          <w:b/>
          <w:bCs/>
          <w:lang w:val="en-GB"/>
        </w:rPr>
      </w:pPr>
    </w:p>
    <w:p w14:paraId="5B56DF05" w14:textId="71BFB4B7" w:rsidR="00644A19" w:rsidRPr="00B91DD2" w:rsidRDefault="003F54FE" w:rsidP="00644A19">
      <w:pPr>
        <w:spacing w:after="0" w:line="480" w:lineRule="auto"/>
        <w:contextualSpacing/>
        <w:jc w:val="both"/>
        <w:rPr>
          <w:rFonts w:ascii="Times New Roman" w:hAnsi="Times New Roman"/>
          <w:b/>
          <w:bCs/>
          <w:lang w:val="en-GB"/>
        </w:rPr>
      </w:pPr>
      <w:r w:rsidRPr="00B91DD2">
        <w:rPr>
          <w:rFonts w:ascii="Times New Roman" w:hAnsi="Times New Roman"/>
          <w:b/>
          <w:bCs/>
          <w:lang w:val="en-GB"/>
        </w:rPr>
        <w:lastRenderedPageBreak/>
        <w:t>Relevant Cases:</w:t>
      </w:r>
    </w:p>
    <w:p w14:paraId="31A5BD16" w14:textId="0FB819B7" w:rsidR="003F54FE" w:rsidRPr="00B91DD2" w:rsidRDefault="003F54FE" w:rsidP="00644A19">
      <w:pPr>
        <w:spacing w:after="0" w:line="480" w:lineRule="auto"/>
        <w:contextualSpacing/>
        <w:jc w:val="both"/>
        <w:rPr>
          <w:rFonts w:ascii="Times New Roman" w:hAnsi="Times New Roman"/>
          <w:i/>
          <w:lang w:val="en-GB"/>
        </w:rPr>
      </w:pPr>
      <w:r w:rsidRPr="00B91DD2">
        <w:rPr>
          <w:rFonts w:ascii="Times New Roman" w:hAnsi="Times New Roman"/>
          <w:i/>
          <w:lang w:val="en-GB"/>
        </w:rPr>
        <w:t>Anchor Brewhouse Developments v Berkley House (Docklands) Developments [1987],</w:t>
      </w:r>
    </w:p>
    <w:p w14:paraId="07FDFEB9" w14:textId="77777777" w:rsidR="000C45BA" w:rsidRPr="00B91DD2" w:rsidRDefault="000C45BA" w:rsidP="000C45BA">
      <w:pPr>
        <w:spacing w:after="0" w:line="480" w:lineRule="auto"/>
        <w:contextualSpacing/>
        <w:jc w:val="both"/>
        <w:rPr>
          <w:rFonts w:ascii="Times New Roman" w:hAnsi="Times New Roman"/>
          <w:i/>
          <w:iCs/>
          <w:lang w:val="en-GB"/>
        </w:rPr>
      </w:pPr>
      <w:r w:rsidRPr="00B91DD2">
        <w:rPr>
          <w:rFonts w:ascii="Times New Roman" w:hAnsi="Times New Roman"/>
          <w:i/>
          <w:iCs/>
          <w:lang w:val="en-GB"/>
        </w:rPr>
        <w:t>Bakewell Management Brandwood (2004)</w:t>
      </w:r>
    </w:p>
    <w:p w14:paraId="30BAB0DF" w14:textId="77777777" w:rsidR="000C45BA" w:rsidRPr="00B91DD2" w:rsidRDefault="000C45BA" w:rsidP="000C45BA">
      <w:pPr>
        <w:spacing w:after="0" w:line="480" w:lineRule="auto"/>
        <w:contextualSpacing/>
        <w:jc w:val="both"/>
        <w:rPr>
          <w:rFonts w:ascii="Times New Roman" w:hAnsi="Times New Roman"/>
          <w:i/>
          <w:iCs/>
          <w:lang w:val="en-GB"/>
        </w:rPr>
      </w:pPr>
      <w:r w:rsidRPr="00B91DD2">
        <w:rPr>
          <w:rFonts w:ascii="Times New Roman" w:hAnsi="Times New Roman"/>
          <w:i/>
          <w:iCs/>
          <w:lang w:val="en-GB"/>
        </w:rPr>
        <w:t>Dalton v Angus (1881),</w:t>
      </w:r>
    </w:p>
    <w:p w14:paraId="05202725" w14:textId="77777777" w:rsidR="000C45BA" w:rsidRPr="00B91DD2" w:rsidRDefault="000C45BA" w:rsidP="000C45BA">
      <w:pPr>
        <w:spacing w:after="0" w:line="480" w:lineRule="auto"/>
        <w:contextualSpacing/>
        <w:jc w:val="both"/>
        <w:rPr>
          <w:rFonts w:ascii="Times New Roman" w:hAnsi="Times New Roman"/>
          <w:i/>
          <w:iCs/>
          <w:lang w:val="en-GB"/>
        </w:rPr>
      </w:pPr>
      <w:r w:rsidRPr="00B91DD2">
        <w:rPr>
          <w:rFonts w:ascii="Times New Roman" w:hAnsi="Times New Roman"/>
          <w:i/>
          <w:iCs/>
          <w:lang w:val="en-GB"/>
        </w:rPr>
        <w:t>Duke of Norfolk v Arbuthnot (1880)</w:t>
      </w:r>
    </w:p>
    <w:p w14:paraId="22378B7D" w14:textId="77777777" w:rsidR="005A03DE" w:rsidRPr="00B91DD2" w:rsidRDefault="005A03DE" w:rsidP="005A03DE">
      <w:pPr>
        <w:spacing w:after="0" w:line="480" w:lineRule="auto"/>
        <w:contextualSpacing/>
        <w:jc w:val="both"/>
        <w:rPr>
          <w:rFonts w:ascii="Times New Roman" w:hAnsi="Times New Roman"/>
          <w:lang w:val="en-GB"/>
        </w:rPr>
      </w:pPr>
      <w:r w:rsidRPr="00B91DD2">
        <w:rPr>
          <w:rFonts w:ascii="Times New Roman" w:hAnsi="Times New Roman"/>
          <w:i/>
          <w:iCs/>
          <w:lang w:val="en-GB"/>
        </w:rPr>
        <w:t>Gardner v Hodgson’s Kingston Brewery (1903</w:t>
      </w:r>
      <w:r w:rsidRPr="00B91DD2">
        <w:rPr>
          <w:rFonts w:ascii="Times New Roman" w:hAnsi="Times New Roman"/>
          <w:lang w:val="en-GB"/>
        </w:rPr>
        <w:t>)</w:t>
      </w:r>
    </w:p>
    <w:p w14:paraId="0DEFDC9F" w14:textId="77777777" w:rsidR="005A03DE" w:rsidRPr="00B91DD2" w:rsidRDefault="005A03DE" w:rsidP="005A03DE">
      <w:pPr>
        <w:spacing w:after="0" w:line="480" w:lineRule="auto"/>
        <w:contextualSpacing/>
        <w:jc w:val="both"/>
        <w:rPr>
          <w:rFonts w:ascii="Times New Roman" w:eastAsia="Times New Roman" w:hAnsi="Times New Roman"/>
          <w:i/>
          <w:color w:val="222222"/>
          <w:lang w:val="en-GB" w:eastAsia="en-GB"/>
        </w:rPr>
      </w:pPr>
      <w:r w:rsidRPr="00B91DD2">
        <w:rPr>
          <w:rFonts w:ascii="Times New Roman" w:eastAsia="Times New Roman" w:hAnsi="Times New Roman"/>
          <w:i/>
          <w:color w:val="222222"/>
          <w:lang w:val="en-GB" w:eastAsia="en-GB"/>
        </w:rPr>
        <w:t>Hollins v Verney [7], CA 1884</w:t>
      </w:r>
    </w:p>
    <w:p w14:paraId="38495827" w14:textId="77777777" w:rsidR="005A03DE" w:rsidRPr="00B91DD2" w:rsidRDefault="005A03DE" w:rsidP="005A03DE">
      <w:pPr>
        <w:spacing w:after="0" w:line="480" w:lineRule="auto"/>
        <w:contextualSpacing/>
        <w:jc w:val="both"/>
        <w:rPr>
          <w:rFonts w:ascii="Times New Roman" w:hAnsi="Times New Roman"/>
          <w:i/>
          <w:iCs/>
          <w:lang w:val="en-GB"/>
        </w:rPr>
      </w:pPr>
      <w:r w:rsidRPr="00B91DD2">
        <w:rPr>
          <w:rFonts w:ascii="Times New Roman" w:hAnsi="Times New Roman"/>
          <w:i/>
          <w:iCs/>
          <w:lang w:val="en-GB"/>
        </w:rPr>
        <w:t>Liverpool Corp v Coghill (1918)</w:t>
      </w:r>
    </w:p>
    <w:p w14:paraId="469A8841" w14:textId="77777777" w:rsidR="005A03DE" w:rsidRPr="00B91DD2" w:rsidRDefault="005A03DE" w:rsidP="005A03DE">
      <w:pPr>
        <w:spacing w:after="0" w:line="480" w:lineRule="auto"/>
        <w:contextualSpacing/>
        <w:jc w:val="both"/>
        <w:rPr>
          <w:rFonts w:ascii="Times New Roman" w:hAnsi="Times New Roman"/>
          <w:i/>
          <w:lang w:val="en-GB"/>
        </w:rPr>
      </w:pPr>
      <w:r w:rsidRPr="00B91DD2">
        <w:rPr>
          <w:rFonts w:ascii="Times New Roman" w:hAnsi="Times New Roman"/>
          <w:i/>
          <w:lang w:val="en-GB"/>
        </w:rPr>
        <w:t>Metropolitan Railway Co v Fowler (1893),</w:t>
      </w:r>
    </w:p>
    <w:p w14:paraId="3EAF950A" w14:textId="77777777" w:rsidR="005A03DE" w:rsidRPr="00B91DD2" w:rsidRDefault="005A03DE" w:rsidP="005A03DE">
      <w:pPr>
        <w:spacing w:after="0" w:line="480" w:lineRule="auto"/>
        <w:contextualSpacing/>
        <w:jc w:val="both"/>
        <w:rPr>
          <w:rFonts w:ascii="Times New Roman" w:hAnsi="Times New Roman"/>
          <w:i/>
          <w:iCs/>
          <w:lang w:val="en-GB"/>
        </w:rPr>
      </w:pPr>
      <w:r w:rsidRPr="00B91DD2">
        <w:rPr>
          <w:rFonts w:ascii="Times New Roman" w:hAnsi="Times New Roman"/>
          <w:i/>
          <w:iCs/>
          <w:lang w:val="en-GB"/>
        </w:rPr>
        <w:t>Orme v Lyons (2012)</w:t>
      </w:r>
    </w:p>
    <w:p w14:paraId="7F4DDC13" w14:textId="3BB7BD66" w:rsidR="003A0E70" w:rsidRPr="00B91DD2" w:rsidRDefault="003A0E70" w:rsidP="00644A19">
      <w:pPr>
        <w:spacing w:after="0" w:line="480" w:lineRule="auto"/>
        <w:contextualSpacing/>
        <w:jc w:val="both"/>
        <w:rPr>
          <w:rFonts w:ascii="Times New Roman" w:hAnsi="Times New Roman"/>
          <w:i/>
          <w:iCs/>
          <w:lang w:val="en-GB"/>
        </w:rPr>
      </w:pPr>
      <w:r w:rsidRPr="00B91DD2">
        <w:rPr>
          <w:rFonts w:ascii="Times New Roman" w:hAnsi="Times New Roman"/>
          <w:i/>
          <w:iCs/>
          <w:lang w:val="en-GB"/>
        </w:rPr>
        <w:t>Re-Ellenborough Park [1956] CH 131,</w:t>
      </w:r>
    </w:p>
    <w:p w14:paraId="2C4607A8" w14:textId="31B0513B" w:rsidR="00623217" w:rsidRPr="006B2085" w:rsidRDefault="00623217" w:rsidP="00644A19">
      <w:pPr>
        <w:spacing w:after="0" w:line="480" w:lineRule="auto"/>
        <w:contextualSpacing/>
        <w:jc w:val="both"/>
        <w:rPr>
          <w:rFonts w:ascii="Times New Roman" w:hAnsi="Times New Roman"/>
          <w:lang w:val="en-GB"/>
        </w:rPr>
      </w:pPr>
      <w:proofErr w:type="spellStart"/>
      <w:r w:rsidRPr="006B2085">
        <w:rPr>
          <w:rFonts w:ascii="Times New Roman" w:hAnsi="Times New Roman"/>
          <w:i/>
          <w:lang w:val="en-GB"/>
        </w:rPr>
        <w:t>Rance</w:t>
      </w:r>
      <w:proofErr w:type="spellEnd"/>
      <w:r w:rsidRPr="006B2085">
        <w:rPr>
          <w:rFonts w:ascii="Times New Roman" w:hAnsi="Times New Roman"/>
          <w:i/>
          <w:lang w:val="en-GB"/>
        </w:rPr>
        <w:t xml:space="preserve"> V Elvin </w:t>
      </w:r>
      <w:r w:rsidRPr="006B2085">
        <w:rPr>
          <w:rFonts w:ascii="Times New Roman" w:hAnsi="Times New Roman"/>
          <w:lang w:val="en-GB"/>
        </w:rPr>
        <w:t>(1985)</w:t>
      </w:r>
    </w:p>
    <w:p w14:paraId="54291102" w14:textId="681D03F6" w:rsidR="00934C41" w:rsidRPr="00B91DD2" w:rsidRDefault="00934C41" w:rsidP="00644A19">
      <w:pPr>
        <w:spacing w:after="0" w:line="480" w:lineRule="auto"/>
        <w:contextualSpacing/>
        <w:jc w:val="both"/>
        <w:rPr>
          <w:rFonts w:ascii="Times New Roman" w:hAnsi="Times New Roman"/>
          <w:i/>
          <w:iCs/>
          <w:color w:val="538135" w:themeColor="accent6" w:themeShade="BF"/>
          <w:lang w:val="en-GB"/>
        </w:rPr>
      </w:pPr>
      <w:r w:rsidRPr="00B91DD2">
        <w:rPr>
          <w:rFonts w:ascii="Times New Roman" w:hAnsi="Times New Roman"/>
          <w:i/>
          <w:iCs/>
          <w:color w:val="538135" w:themeColor="accent6" w:themeShade="BF"/>
          <w:lang w:val="en-GB"/>
        </w:rPr>
        <w:t>House of Lords in Hunter v Canary Wharf Ltd [1997] 2 All ER 426</w:t>
      </w:r>
    </w:p>
    <w:p w14:paraId="4B658488" w14:textId="77777777" w:rsidR="00C95A12" w:rsidRPr="00B91DD2" w:rsidRDefault="00C95A12" w:rsidP="00C95A12">
      <w:pPr>
        <w:spacing w:after="0" w:line="480" w:lineRule="auto"/>
        <w:contextualSpacing/>
        <w:jc w:val="both"/>
        <w:rPr>
          <w:rFonts w:ascii="Times New Roman" w:hAnsi="Times New Roman"/>
          <w:b/>
          <w:bCs/>
          <w:lang w:val="en-GB"/>
        </w:rPr>
      </w:pPr>
    </w:p>
    <w:p w14:paraId="54F8DD02" w14:textId="77777777" w:rsidR="003F54FE" w:rsidRPr="00B91DD2" w:rsidRDefault="003F54FE" w:rsidP="00644A19">
      <w:pPr>
        <w:spacing w:after="0" w:line="480" w:lineRule="auto"/>
        <w:contextualSpacing/>
        <w:jc w:val="both"/>
        <w:rPr>
          <w:rFonts w:ascii="Times New Roman" w:hAnsi="Times New Roman"/>
          <w:b/>
          <w:bCs/>
          <w:lang w:val="en-GB"/>
        </w:rPr>
      </w:pPr>
    </w:p>
    <w:p w14:paraId="2EB6A247" w14:textId="77777777" w:rsidR="00644A19" w:rsidRPr="00B91DD2" w:rsidRDefault="00644A19" w:rsidP="00644A19">
      <w:pPr>
        <w:spacing w:after="0" w:line="480" w:lineRule="auto"/>
        <w:ind w:left="360"/>
        <w:contextualSpacing/>
        <w:rPr>
          <w:rFonts w:ascii="Times New Roman" w:hAnsi="Times New Roman"/>
          <w:lang w:val="en-GB"/>
        </w:rPr>
      </w:pPr>
    </w:p>
    <w:p w14:paraId="2F7C4101" w14:textId="77777777" w:rsidR="00644A19" w:rsidRPr="00B91DD2" w:rsidRDefault="00644A19" w:rsidP="00644A19">
      <w:pPr>
        <w:spacing w:after="0" w:line="480" w:lineRule="auto"/>
        <w:ind w:left="360"/>
        <w:contextualSpacing/>
        <w:rPr>
          <w:rFonts w:ascii="Times New Roman" w:hAnsi="Times New Roman"/>
          <w:lang w:val="en-GB"/>
        </w:rPr>
      </w:pPr>
    </w:p>
    <w:p w14:paraId="68618CBF" w14:textId="77777777" w:rsidR="00172EC1" w:rsidRPr="00B91DD2" w:rsidRDefault="00172EC1" w:rsidP="00172EC1">
      <w:pPr>
        <w:spacing w:line="360" w:lineRule="auto"/>
        <w:jc w:val="both"/>
        <w:rPr>
          <w:rFonts w:ascii="Times New Roman" w:hAnsi="Times New Roman"/>
          <w:color w:val="000000" w:themeColor="text1"/>
          <w:lang w:val="en-GB"/>
        </w:rPr>
      </w:pPr>
    </w:p>
    <w:p w14:paraId="2FE44480" w14:textId="016168F0" w:rsidR="00DD3F16" w:rsidRPr="00B91DD2" w:rsidRDefault="00DD3F16" w:rsidP="00AF795D">
      <w:pPr>
        <w:spacing w:line="480" w:lineRule="auto"/>
        <w:jc w:val="both"/>
        <w:rPr>
          <w:rFonts w:ascii="Times New Roman" w:hAnsi="Times New Roman"/>
          <w:lang w:val="en-GB"/>
        </w:rPr>
      </w:pPr>
    </w:p>
    <w:sectPr w:rsidR="00DD3F16" w:rsidRPr="00B91DD2" w:rsidSect="00666DD6">
      <w:headerReference w:type="default" r:id="rId19"/>
      <w:footerReference w:type="default" r:id="rId20"/>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FDE56" w14:textId="77777777" w:rsidR="002A6E6F" w:rsidRDefault="002A6E6F" w:rsidP="00DB01DD">
      <w:pPr>
        <w:spacing w:after="0" w:line="240" w:lineRule="auto"/>
      </w:pPr>
      <w:r>
        <w:separator/>
      </w:r>
    </w:p>
  </w:endnote>
  <w:endnote w:type="continuationSeparator" w:id="0">
    <w:p w14:paraId="70E4CB02" w14:textId="77777777" w:rsidR="002A6E6F" w:rsidRDefault="002A6E6F"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EB1B" w14:textId="77777777" w:rsidR="008210E1" w:rsidRDefault="008210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D56F" w14:textId="77777777" w:rsidR="002A6E6F" w:rsidRDefault="002A6E6F" w:rsidP="00DB01DD">
      <w:pPr>
        <w:spacing w:after="0" w:line="240" w:lineRule="auto"/>
      </w:pPr>
      <w:r>
        <w:separator/>
      </w:r>
    </w:p>
  </w:footnote>
  <w:footnote w:type="continuationSeparator" w:id="0">
    <w:p w14:paraId="36A042D4" w14:textId="77777777" w:rsidR="002A6E6F" w:rsidRDefault="002A6E6F" w:rsidP="00DB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5BE1A" w14:textId="11C432B1" w:rsidR="00273072" w:rsidRDefault="00273072">
    <w:pPr>
      <w:pStyle w:val="Header"/>
    </w:pPr>
  </w:p>
  <w:p w14:paraId="2ED9662D" w14:textId="653196D3" w:rsidR="00273072" w:rsidRDefault="00273072">
    <w:pPr>
      <w:pStyle w:val="Header"/>
    </w:pPr>
  </w:p>
  <w:p w14:paraId="3A740B9F" w14:textId="77777777" w:rsidR="00273072" w:rsidRDefault="00273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163810">
    <w:abstractNumId w:val="0"/>
  </w:num>
  <w:num w:numId="2" w16cid:durableId="65130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12006"/>
    <w:rsid w:val="0001743F"/>
    <w:rsid w:val="00022486"/>
    <w:rsid w:val="00031A0F"/>
    <w:rsid w:val="000419A0"/>
    <w:rsid w:val="0004769A"/>
    <w:rsid w:val="000528DD"/>
    <w:rsid w:val="0005485F"/>
    <w:rsid w:val="00064CE4"/>
    <w:rsid w:val="000778BB"/>
    <w:rsid w:val="00083161"/>
    <w:rsid w:val="00084688"/>
    <w:rsid w:val="00084E5B"/>
    <w:rsid w:val="000916A7"/>
    <w:rsid w:val="00093034"/>
    <w:rsid w:val="00097D5B"/>
    <w:rsid w:val="000A2FF0"/>
    <w:rsid w:val="000B1223"/>
    <w:rsid w:val="000C3DB2"/>
    <w:rsid w:val="000C45BA"/>
    <w:rsid w:val="000D16B0"/>
    <w:rsid w:val="000D3EB0"/>
    <w:rsid w:val="000D535E"/>
    <w:rsid w:val="000E6BD1"/>
    <w:rsid w:val="000F0379"/>
    <w:rsid w:val="00111452"/>
    <w:rsid w:val="00122D8E"/>
    <w:rsid w:val="00134479"/>
    <w:rsid w:val="001370F8"/>
    <w:rsid w:val="00140E1D"/>
    <w:rsid w:val="00144C76"/>
    <w:rsid w:val="00152884"/>
    <w:rsid w:val="001650C4"/>
    <w:rsid w:val="001700EC"/>
    <w:rsid w:val="001715C5"/>
    <w:rsid w:val="001715DC"/>
    <w:rsid w:val="00172EC1"/>
    <w:rsid w:val="001769CD"/>
    <w:rsid w:val="00181629"/>
    <w:rsid w:val="0018522C"/>
    <w:rsid w:val="00190BF9"/>
    <w:rsid w:val="0019198C"/>
    <w:rsid w:val="001B04D4"/>
    <w:rsid w:val="001D69F0"/>
    <w:rsid w:val="001E5747"/>
    <w:rsid w:val="001F6F81"/>
    <w:rsid w:val="002164C8"/>
    <w:rsid w:val="00222017"/>
    <w:rsid w:val="00227F68"/>
    <w:rsid w:val="002333FA"/>
    <w:rsid w:val="00233F97"/>
    <w:rsid w:val="00252D55"/>
    <w:rsid w:val="00262544"/>
    <w:rsid w:val="00271102"/>
    <w:rsid w:val="00273072"/>
    <w:rsid w:val="00280E4C"/>
    <w:rsid w:val="00283F9E"/>
    <w:rsid w:val="00290474"/>
    <w:rsid w:val="00293772"/>
    <w:rsid w:val="0029713F"/>
    <w:rsid w:val="002A0FA0"/>
    <w:rsid w:val="002A3B15"/>
    <w:rsid w:val="002A6749"/>
    <w:rsid w:val="002A6E6F"/>
    <w:rsid w:val="002A7F46"/>
    <w:rsid w:val="002B1F8F"/>
    <w:rsid w:val="002B320F"/>
    <w:rsid w:val="002D0F24"/>
    <w:rsid w:val="002E5751"/>
    <w:rsid w:val="002F1DEB"/>
    <w:rsid w:val="002F23A5"/>
    <w:rsid w:val="002F30D7"/>
    <w:rsid w:val="00317001"/>
    <w:rsid w:val="00323843"/>
    <w:rsid w:val="00326D3C"/>
    <w:rsid w:val="00327401"/>
    <w:rsid w:val="00330A2B"/>
    <w:rsid w:val="00337937"/>
    <w:rsid w:val="00340E35"/>
    <w:rsid w:val="00344D81"/>
    <w:rsid w:val="00354C42"/>
    <w:rsid w:val="00357783"/>
    <w:rsid w:val="00373257"/>
    <w:rsid w:val="0038159D"/>
    <w:rsid w:val="00386449"/>
    <w:rsid w:val="003874B8"/>
    <w:rsid w:val="003959FD"/>
    <w:rsid w:val="003A05EC"/>
    <w:rsid w:val="003A0E70"/>
    <w:rsid w:val="003A22A4"/>
    <w:rsid w:val="003A5F51"/>
    <w:rsid w:val="003B1303"/>
    <w:rsid w:val="003B6011"/>
    <w:rsid w:val="003B6B5D"/>
    <w:rsid w:val="003D20D9"/>
    <w:rsid w:val="003D4A7A"/>
    <w:rsid w:val="003E6350"/>
    <w:rsid w:val="003F3263"/>
    <w:rsid w:val="003F45E2"/>
    <w:rsid w:val="003F54FE"/>
    <w:rsid w:val="0041498C"/>
    <w:rsid w:val="00422FEB"/>
    <w:rsid w:val="00425FCC"/>
    <w:rsid w:val="004310D7"/>
    <w:rsid w:val="00433B4C"/>
    <w:rsid w:val="0044098F"/>
    <w:rsid w:val="00441A63"/>
    <w:rsid w:val="00474757"/>
    <w:rsid w:val="004764D2"/>
    <w:rsid w:val="00480B94"/>
    <w:rsid w:val="0048209A"/>
    <w:rsid w:val="00482CCC"/>
    <w:rsid w:val="00494D1B"/>
    <w:rsid w:val="004A72F6"/>
    <w:rsid w:val="004B1DDE"/>
    <w:rsid w:val="004B21FD"/>
    <w:rsid w:val="004C6C0C"/>
    <w:rsid w:val="004C79BA"/>
    <w:rsid w:val="004D35E1"/>
    <w:rsid w:val="004F0757"/>
    <w:rsid w:val="00507B96"/>
    <w:rsid w:val="00514B9F"/>
    <w:rsid w:val="00520E4B"/>
    <w:rsid w:val="00540D2F"/>
    <w:rsid w:val="00543CFA"/>
    <w:rsid w:val="00545158"/>
    <w:rsid w:val="0058731B"/>
    <w:rsid w:val="0059198C"/>
    <w:rsid w:val="00592996"/>
    <w:rsid w:val="0059439E"/>
    <w:rsid w:val="005A03DE"/>
    <w:rsid w:val="005A218F"/>
    <w:rsid w:val="005A3A55"/>
    <w:rsid w:val="005A6D45"/>
    <w:rsid w:val="005B2D0E"/>
    <w:rsid w:val="005D2221"/>
    <w:rsid w:val="005D3DCB"/>
    <w:rsid w:val="005D52D2"/>
    <w:rsid w:val="006011EA"/>
    <w:rsid w:val="006028E6"/>
    <w:rsid w:val="00606F2D"/>
    <w:rsid w:val="00614460"/>
    <w:rsid w:val="00623217"/>
    <w:rsid w:val="00630C99"/>
    <w:rsid w:val="00632857"/>
    <w:rsid w:val="00636E0A"/>
    <w:rsid w:val="0064333B"/>
    <w:rsid w:val="006442D2"/>
    <w:rsid w:val="00644A19"/>
    <w:rsid w:val="00660D1B"/>
    <w:rsid w:val="00666DD6"/>
    <w:rsid w:val="006712BC"/>
    <w:rsid w:val="00677BB4"/>
    <w:rsid w:val="00677F43"/>
    <w:rsid w:val="006837BF"/>
    <w:rsid w:val="00687A8E"/>
    <w:rsid w:val="006A384E"/>
    <w:rsid w:val="006A44D8"/>
    <w:rsid w:val="006B2085"/>
    <w:rsid w:val="006C06DC"/>
    <w:rsid w:val="006C4F47"/>
    <w:rsid w:val="006C6F7D"/>
    <w:rsid w:val="006D085B"/>
    <w:rsid w:val="006D1BAC"/>
    <w:rsid w:val="006E2178"/>
    <w:rsid w:val="006E77A7"/>
    <w:rsid w:val="00712757"/>
    <w:rsid w:val="007417C5"/>
    <w:rsid w:val="007612DA"/>
    <w:rsid w:val="0076285F"/>
    <w:rsid w:val="00774DB2"/>
    <w:rsid w:val="00774F34"/>
    <w:rsid w:val="00785E6A"/>
    <w:rsid w:val="00794DCF"/>
    <w:rsid w:val="00795AC8"/>
    <w:rsid w:val="007B2C54"/>
    <w:rsid w:val="007B7AE7"/>
    <w:rsid w:val="007B7DFD"/>
    <w:rsid w:val="007D7E7F"/>
    <w:rsid w:val="007E44F6"/>
    <w:rsid w:val="007E5D62"/>
    <w:rsid w:val="007F0677"/>
    <w:rsid w:val="007F286D"/>
    <w:rsid w:val="007F7AA3"/>
    <w:rsid w:val="00805885"/>
    <w:rsid w:val="00807752"/>
    <w:rsid w:val="008210E1"/>
    <w:rsid w:val="00821867"/>
    <w:rsid w:val="00830F7F"/>
    <w:rsid w:val="008329E0"/>
    <w:rsid w:val="00835A6A"/>
    <w:rsid w:val="008457F8"/>
    <w:rsid w:val="008527E0"/>
    <w:rsid w:val="00853F19"/>
    <w:rsid w:val="00863C14"/>
    <w:rsid w:val="0086637C"/>
    <w:rsid w:val="00867B96"/>
    <w:rsid w:val="008716CE"/>
    <w:rsid w:val="00875450"/>
    <w:rsid w:val="00875D11"/>
    <w:rsid w:val="008774A0"/>
    <w:rsid w:val="00877D8D"/>
    <w:rsid w:val="00880CF3"/>
    <w:rsid w:val="008A352F"/>
    <w:rsid w:val="008B1B8A"/>
    <w:rsid w:val="008D7EE4"/>
    <w:rsid w:val="008E0664"/>
    <w:rsid w:val="008E698D"/>
    <w:rsid w:val="008F571C"/>
    <w:rsid w:val="00903B6B"/>
    <w:rsid w:val="00905E0D"/>
    <w:rsid w:val="00906362"/>
    <w:rsid w:val="00912AAC"/>
    <w:rsid w:val="00934C41"/>
    <w:rsid w:val="00936BDD"/>
    <w:rsid w:val="00962736"/>
    <w:rsid w:val="00982D2C"/>
    <w:rsid w:val="009837BF"/>
    <w:rsid w:val="009A32E0"/>
    <w:rsid w:val="009A7ABE"/>
    <w:rsid w:val="009B458C"/>
    <w:rsid w:val="009B6BB9"/>
    <w:rsid w:val="009B6E64"/>
    <w:rsid w:val="009B6F56"/>
    <w:rsid w:val="00A00E04"/>
    <w:rsid w:val="00A02A47"/>
    <w:rsid w:val="00A12942"/>
    <w:rsid w:val="00A14BAC"/>
    <w:rsid w:val="00A17A48"/>
    <w:rsid w:val="00A263DC"/>
    <w:rsid w:val="00A26BAE"/>
    <w:rsid w:val="00A33E73"/>
    <w:rsid w:val="00A364ED"/>
    <w:rsid w:val="00A4166C"/>
    <w:rsid w:val="00A426D8"/>
    <w:rsid w:val="00A46C17"/>
    <w:rsid w:val="00A46D3D"/>
    <w:rsid w:val="00A46F9E"/>
    <w:rsid w:val="00A5080F"/>
    <w:rsid w:val="00A61245"/>
    <w:rsid w:val="00A64075"/>
    <w:rsid w:val="00A67040"/>
    <w:rsid w:val="00A67DB2"/>
    <w:rsid w:val="00A75668"/>
    <w:rsid w:val="00A769A0"/>
    <w:rsid w:val="00A935F0"/>
    <w:rsid w:val="00A94B22"/>
    <w:rsid w:val="00AA2558"/>
    <w:rsid w:val="00AA3DB7"/>
    <w:rsid w:val="00AB6D0E"/>
    <w:rsid w:val="00AC0CA2"/>
    <w:rsid w:val="00AC1BAA"/>
    <w:rsid w:val="00AC79F4"/>
    <w:rsid w:val="00AD23EA"/>
    <w:rsid w:val="00AD7F83"/>
    <w:rsid w:val="00AE464C"/>
    <w:rsid w:val="00AF38D2"/>
    <w:rsid w:val="00AF6B6A"/>
    <w:rsid w:val="00AF795D"/>
    <w:rsid w:val="00AF7B62"/>
    <w:rsid w:val="00B12358"/>
    <w:rsid w:val="00B2346E"/>
    <w:rsid w:val="00B24969"/>
    <w:rsid w:val="00B276EE"/>
    <w:rsid w:val="00B31938"/>
    <w:rsid w:val="00B328D3"/>
    <w:rsid w:val="00B3439B"/>
    <w:rsid w:val="00B41EB3"/>
    <w:rsid w:val="00B613FA"/>
    <w:rsid w:val="00B61E6B"/>
    <w:rsid w:val="00B73710"/>
    <w:rsid w:val="00B74123"/>
    <w:rsid w:val="00B90362"/>
    <w:rsid w:val="00B91DD2"/>
    <w:rsid w:val="00BA4064"/>
    <w:rsid w:val="00BA5A40"/>
    <w:rsid w:val="00BA7600"/>
    <w:rsid w:val="00BB2583"/>
    <w:rsid w:val="00BC7252"/>
    <w:rsid w:val="00BD25D2"/>
    <w:rsid w:val="00BE085E"/>
    <w:rsid w:val="00BE6495"/>
    <w:rsid w:val="00BF791D"/>
    <w:rsid w:val="00C0077A"/>
    <w:rsid w:val="00C04468"/>
    <w:rsid w:val="00C06915"/>
    <w:rsid w:val="00C119FA"/>
    <w:rsid w:val="00C26745"/>
    <w:rsid w:val="00C26C66"/>
    <w:rsid w:val="00C2783D"/>
    <w:rsid w:val="00C320A6"/>
    <w:rsid w:val="00C372C9"/>
    <w:rsid w:val="00C41EB7"/>
    <w:rsid w:val="00C42F45"/>
    <w:rsid w:val="00C54742"/>
    <w:rsid w:val="00C5474A"/>
    <w:rsid w:val="00C6285B"/>
    <w:rsid w:val="00C62EB0"/>
    <w:rsid w:val="00C71A70"/>
    <w:rsid w:val="00C759D6"/>
    <w:rsid w:val="00C769FC"/>
    <w:rsid w:val="00C86EB4"/>
    <w:rsid w:val="00C86F04"/>
    <w:rsid w:val="00C8789D"/>
    <w:rsid w:val="00C87B82"/>
    <w:rsid w:val="00C903A3"/>
    <w:rsid w:val="00C9074D"/>
    <w:rsid w:val="00C95A12"/>
    <w:rsid w:val="00CA3923"/>
    <w:rsid w:val="00CA6367"/>
    <w:rsid w:val="00CC37AC"/>
    <w:rsid w:val="00CC41FE"/>
    <w:rsid w:val="00CD13C4"/>
    <w:rsid w:val="00CD420E"/>
    <w:rsid w:val="00CE5AB9"/>
    <w:rsid w:val="00CE798C"/>
    <w:rsid w:val="00D143A2"/>
    <w:rsid w:val="00D216E3"/>
    <w:rsid w:val="00D454AB"/>
    <w:rsid w:val="00D47C9A"/>
    <w:rsid w:val="00D50247"/>
    <w:rsid w:val="00D55CCF"/>
    <w:rsid w:val="00D6456B"/>
    <w:rsid w:val="00D740E9"/>
    <w:rsid w:val="00D8370C"/>
    <w:rsid w:val="00D84E2B"/>
    <w:rsid w:val="00D94903"/>
    <w:rsid w:val="00DA4D7C"/>
    <w:rsid w:val="00DB01DD"/>
    <w:rsid w:val="00DC19C3"/>
    <w:rsid w:val="00DC1F76"/>
    <w:rsid w:val="00DD270E"/>
    <w:rsid w:val="00DD3F16"/>
    <w:rsid w:val="00DE27EB"/>
    <w:rsid w:val="00DE3C41"/>
    <w:rsid w:val="00DE4A19"/>
    <w:rsid w:val="00DF3646"/>
    <w:rsid w:val="00DF4F5B"/>
    <w:rsid w:val="00E02D0C"/>
    <w:rsid w:val="00E035BA"/>
    <w:rsid w:val="00E2659D"/>
    <w:rsid w:val="00E33EF1"/>
    <w:rsid w:val="00E42CF1"/>
    <w:rsid w:val="00E47AC6"/>
    <w:rsid w:val="00E505EF"/>
    <w:rsid w:val="00E568DF"/>
    <w:rsid w:val="00E65C17"/>
    <w:rsid w:val="00E65F3D"/>
    <w:rsid w:val="00E67864"/>
    <w:rsid w:val="00E7340D"/>
    <w:rsid w:val="00E87F7D"/>
    <w:rsid w:val="00E916CE"/>
    <w:rsid w:val="00E91F99"/>
    <w:rsid w:val="00E95074"/>
    <w:rsid w:val="00EB140E"/>
    <w:rsid w:val="00EB4696"/>
    <w:rsid w:val="00EB5204"/>
    <w:rsid w:val="00EB68A1"/>
    <w:rsid w:val="00EC2EA9"/>
    <w:rsid w:val="00EC395F"/>
    <w:rsid w:val="00EE3A13"/>
    <w:rsid w:val="00F11F46"/>
    <w:rsid w:val="00F13C20"/>
    <w:rsid w:val="00F14EFE"/>
    <w:rsid w:val="00F15A55"/>
    <w:rsid w:val="00F24795"/>
    <w:rsid w:val="00F5500E"/>
    <w:rsid w:val="00F6053E"/>
    <w:rsid w:val="00F710F0"/>
    <w:rsid w:val="00F724F0"/>
    <w:rsid w:val="00F776E3"/>
    <w:rsid w:val="00F81D17"/>
    <w:rsid w:val="00F875E4"/>
    <w:rsid w:val="00F912B9"/>
    <w:rsid w:val="00F951EB"/>
    <w:rsid w:val="00FA4684"/>
    <w:rsid w:val="00FA6B34"/>
    <w:rsid w:val="00FA7590"/>
    <w:rsid w:val="00FB13A8"/>
    <w:rsid w:val="00FB340A"/>
    <w:rsid w:val="00FC20D3"/>
    <w:rsid w:val="00FC2B0A"/>
    <w:rsid w:val="00FE0491"/>
    <w:rsid w:val="00FE5CCA"/>
    <w:rsid w:val="00FF0460"/>
    <w:rsid w:val="00FF4E17"/>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3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qFormat/>
    <w:rsid w:val="00273072"/>
    <w:rPr>
      <w:i/>
      <w:iCs/>
    </w:rPr>
  </w:style>
  <w:style w:type="paragraph" w:styleId="NormalWeb">
    <w:name w:val="Normal (Web)"/>
    <w:rsid w:val="00273072"/>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273072"/>
    <w:pPr>
      <w:spacing w:after="100" w:line="240" w:lineRule="auto"/>
    </w:pPr>
    <w:rPr>
      <w:rFonts w:asciiTheme="minorHAnsi" w:eastAsiaTheme="minorEastAsia" w:hAnsiTheme="minorHAnsi" w:cstheme="minorBidi"/>
      <w:sz w:val="20"/>
      <w:szCs w:val="20"/>
      <w:lang w:eastAsia="zh-CN"/>
    </w:rPr>
  </w:style>
  <w:style w:type="paragraph" w:styleId="TOCHeading">
    <w:name w:val="TOC Heading"/>
    <w:basedOn w:val="Heading1"/>
    <w:next w:val="Normal"/>
    <w:uiPriority w:val="39"/>
    <w:semiHidden/>
    <w:unhideWhenUsed/>
    <w:qFormat/>
    <w:rsid w:val="00DD3F16"/>
    <w:pPr>
      <w:spacing w:before="240"/>
      <w:outlineLvl w:val="9"/>
    </w:pPr>
    <w:rPr>
      <w:b w:val="0"/>
      <w:bCs w:val="0"/>
      <w:sz w:val="32"/>
      <w:szCs w:val="32"/>
      <w:lang w:val="en-US"/>
    </w:rPr>
  </w:style>
  <w:style w:type="paragraph" w:styleId="TOC2">
    <w:name w:val="toc 2"/>
    <w:basedOn w:val="Normal"/>
    <w:next w:val="Normal"/>
    <w:autoRedefine/>
    <w:uiPriority w:val="39"/>
    <w:unhideWhenUsed/>
    <w:rsid w:val="00DD3F16"/>
    <w:pPr>
      <w:spacing w:after="100"/>
      <w:ind w:left="220"/>
    </w:pPr>
    <w:rPr>
      <w:rFonts w:asciiTheme="minorHAnsi" w:hAnsiTheme="minorHAnsi" w:cstheme="minorBidi"/>
      <w:sz w:val="22"/>
      <w:szCs w:val="22"/>
      <w:lang w:val="en-IN"/>
    </w:rPr>
  </w:style>
  <w:style w:type="paragraph" w:styleId="FootnoteText">
    <w:name w:val="footnote text"/>
    <w:basedOn w:val="Normal"/>
    <w:link w:val="FootnoteTextChar"/>
    <w:uiPriority w:val="99"/>
    <w:semiHidden/>
    <w:unhideWhenUsed/>
    <w:rsid w:val="00172EC1"/>
    <w:pPr>
      <w:spacing w:after="0" w:line="240" w:lineRule="auto"/>
    </w:pPr>
    <w:rPr>
      <w:rFonts w:ascii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172EC1"/>
    <w:rPr>
      <w:sz w:val="20"/>
      <w:szCs w:val="20"/>
    </w:rPr>
  </w:style>
  <w:style w:type="character" w:styleId="FootnoteReference">
    <w:name w:val="footnote reference"/>
    <w:basedOn w:val="DefaultParagraphFont"/>
    <w:uiPriority w:val="99"/>
    <w:semiHidden/>
    <w:unhideWhenUsed/>
    <w:rsid w:val="00172EC1"/>
    <w:rPr>
      <w:vertAlign w:val="superscript"/>
    </w:rPr>
  </w:style>
  <w:style w:type="paragraph" w:customStyle="1" w:styleId="cpe2">
    <w:name w:val="cpe2"/>
    <w:basedOn w:val="Normal"/>
    <w:rsid w:val="00E916CE"/>
    <w:pPr>
      <w:spacing w:after="0" w:line="240" w:lineRule="auto"/>
    </w:pPr>
    <w:rPr>
      <w:rFonts w:ascii="Times New Roman" w:eastAsia="Times New Roman" w:hAnsi="Times New Roman"/>
      <w:b/>
      <w:sz w:val="28"/>
      <w:szCs w:val="20"/>
      <w:lang w:val="en-GB" w:eastAsia="en-GB"/>
    </w:rPr>
  </w:style>
  <w:style w:type="character" w:styleId="CommentReference">
    <w:name w:val="annotation reference"/>
    <w:basedOn w:val="DefaultParagraphFont"/>
    <w:uiPriority w:val="99"/>
    <w:semiHidden/>
    <w:unhideWhenUsed/>
    <w:rsid w:val="00545158"/>
    <w:rPr>
      <w:sz w:val="16"/>
      <w:szCs w:val="16"/>
    </w:rPr>
  </w:style>
  <w:style w:type="paragraph" w:styleId="CommentText">
    <w:name w:val="annotation text"/>
    <w:basedOn w:val="Normal"/>
    <w:link w:val="CommentTextChar"/>
    <w:uiPriority w:val="99"/>
    <w:unhideWhenUsed/>
    <w:rsid w:val="00545158"/>
    <w:pPr>
      <w:spacing w:line="240" w:lineRule="auto"/>
    </w:pPr>
    <w:rPr>
      <w:sz w:val="20"/>
      <w:szCs w:val="20"/>
    </w:rPr>
  </w:style>
  <w:style w:type="character" w:customStyle="1" w:styleId="CommentTextChar">
    <w:name w:val="Comment Text Char"/>
    <w:basedOn w:val="DefaultParagraphFont"/>
    <w:link w:val="CommentText"/>
    <w:uiPriority w:val="99"/>
    <w:rsid w:val="00545158"/>
    <w:rPr>
      <w:rFonts w:ascii="Calibri Light" w:hAnsi="Calibri Ligh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45158"/>
    <w:rPr>
      <w:b/>
      <w:bCs/>
    </w:rPr>
  </w:style>
  <w:style w:type="character" w:customStyle="1" w:styleId="CommentSubjectChar">
    <w:name w:val="Comment Subject Char"/>
    <w:basedOn w:val="CommentTextChar"/>
    <w:link w:val="CommentSubject"/>
    <w:uiPriority w:val="99"/>
    <w:semiHidden/>
    <w:rsid w:val="00545158"/>
    <w:rPr>
      <w:rFonts w:ascii="Calibri Light" w:hAnsi="Calibri Light" w:cs="Times New Roman"/>
      <w:b/>
      <w:bCs/>
      <w:sz w:val="20"/>
      <w:szCs w:val="20"/>
      <w:lang w:val="en-US"/>
    </w:rPr>
  </w:style>
  <w:style w:type="paragraph" w:styleId="BalloonText">
    <w:name w:val="Balloon Text"/>
    <w:basedOn w:val="Normal"/>
    <w:link w:val="BalloonTextChar"/>
    <w:uiPriority w:val="99"/>
    <w:semiHidden/>
    <w:unhideWhenUsed/>
    <w:rsid w:val="00271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102"/>
    <w:rPr>
      <w:rFonts w:ascii="Tahoma" w:hAnsi="Tahoma" w:cs="Tahoma"/>
      <w:sz w:val="16"/>
      <w:szCs w:val="16"/>
      <w:lang w:val="en-US"/>
    </w:rPr>
  </w:style>
  <w:style w:type="character" w:customStyle="1" w:styleId="UnresolvedMention1">
    <w:name w:val="Unresolved Mention1"/>
    <w:basedOn w:val="DefaultParagraphFont"/>
    <w:uiPriority w:val="99"/>
    <w:semiHidden/>
    <w:unhideWhenUsed/>
    <w:rsid w:val="00C759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278148768">
      <w:bodyDiv w:val="1"/>
      <w:marLeft w:val="0"/>
      <w:marRight w:val="0"/>
      <w:marTop w:val="0"/>
      <w:marBottom w:val="0"/>
      <w:divBdr>
        <w:top w:val="none" w:sz="0" w:space="0" w:color="auto"/>
        <w:left w:val="none" w:sz="0" w:space="0" w:color="auto"/>
        <w:bottom w:val="none" w:sz="0" w:space="0" w:color="auto"/>
        <w:right w:val="none" w:sz="0" w:space="0" w:color="auto"/>
      </w:divBdr>
      <w:divsChild>
        <w:div w:id="142087462">
          <w:marLeft w:val="0"/>
          <w:marRight w:val="60"/>
          <w:marTop w:val="0"/>
          <w:marBottom w:val="0"/>
          <w:divBdr>
            <w:top w:val="none" w:sz="0" w:space="0" w:color="auto"/>
            <w:left w:val="none" w:sz="0" w:space="0" w:color="auto"/>
            <w:bottom w:val="none" w:sz="0" w:space="0" w:color="auto"/>
            <w:right w:val="none" w:sz="0" w:space="0" w:color="auto"/>
          </w:divBdr>
        </w:div>
        <w:div w:id="1742631656">
          <w:marLeft w:val="0"/>
          <w:marRight w:val="60"/>
          <w:marTop w:val="0"/>
          <w:marBottom w:val="0"/>
          <w:divBdr>
            <w:top w:val="none" w:sz="0" w:space="0" w:color="auto"/>
            <w:left w:val="none" w:sz="0" w:space="0" w:color="auto"/>
            <w:bottom w:val="none" w:sz="0" w:space="0" w:color="auto"/>
            <w:right w:val="none" w:sz="0" w:space="0" w:color="auto"/>
          </w:divBdr>
        </w:div>
        <w:div w:id="1555046017">
          <w:marLeft w:val="0"/>
          <w:marRight w:val="60"/>
          <w:marTop w:val="0"/>
          <w:marBottom w:val="0"/>
          <w:divBdr>
            <w:top w:val="none" w:sz="0" w:space="0" w:color="auto"/>
            <w:left w:val="none" w:sz="0" w:space="0" w:color="auto"/>
            <w:bottom w:val="none" w:sz="0" w:space="0" w:color="auto"/>
            <w:right w:val="none" w:sz="0" w:space="0" w:color="auto"/>
          </w:divBdr>
        </w:div>
        <w:div w:id="996495766">
          <w:marLeft w:val="0"/>
          <w:marRight w:val="60"/>
          <w:marTop w:val="0"/>
          <w:marBottom w:val="0"/>
          <w:divBdr>
            <w:top w:val="none" w:sz="0" w:space="0" w:color="auto"/>
            <w:left w:val="none" w:sz="0" w:space="0" w:color="auto"/>
            <w:bottom w:val="none" w:sz="0" w:space="0" w:color="auto"/>
            <w:right w:val="none" w:sz="0" w:space="0" w:color="auto"/>
          </w:divBdr>
        </w:div>
        <w:div w:id="275908148">
          <w:marLeft w:val="0"/>
          <w:marRight w:val="60"/>
          <w:marTop w:val="0"/>
          <w:marBottom w:val="0"/>
          <w:divBdr>
            <w:top w:val="none" w:sz="0" w:space="0" w:color="auto"/>
            <w:left w:val="none" w:sz="0" w:space="0" w:color="auto"/>
            <w:bottom w:val="none" w:sz="0" w:space="0" w:color="auto"/>
            <w:right w:val="none" w:sz="0" w:space="0" w:color="auto"/>
          </w:divBdr>
        </w:div>
        <w:div w:id="532815251">
          <w:marLeft w:val="0"/>
          <w:marRight w:val="0"/>
          <w:marTop w:val="0"/>
          <w:marBottom w:val="0"/>
          <w:divBdr>
            <w:top w:val="none" w:sz="0" w:space="0" w:color="auto"/>
            <w:left w:val="none" w:sz="0" w:space="0" w:color="auto"/>
            <w:bottom w:val="none" w:sz="0" w:space="0" w:color="auto"/>
            <w:right w:val="none" w:sz="0" w:space="0" w:color="auto"/>
          </w:divBdr>
        </w:div>
      </w:divsChild>
    </w:div>
    <w:div w:id="282537449">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 w:id="214272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https://doi.org/10.1017/S000819730011494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https://www.legislation.gov.uk/ukpga/Will4/2-3/71" TargetMode="External"/><Relationship Id="rId2" Type="http://schemas.openxmlformats.org/officeDocument/2006/relationships/numbering" Target="numbering.xml"/><Relationship Id="rId16" Type="http://schemas.openxmlformats.org/officeDocument/2006/relationships/hyperlink" Target="https://www.legislation.gov.uk/ukpga/Geo5/15-16/20/section/6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https://www.gov.uk/government/publications/easements-claimed-by-prescription/practice-guide-52-easements-claimed-by-prescription" TargetMode="External"/><Relationship Id="rId10" Type="http://schemas.openxmlformats.org/officeDocument/2006/relationships/hyperlink" Target="about:blan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ocketmortgage.com/learn/easement-in-gross"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DF81A-3F17-4D75-8F34-CB64727DF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3147</Words>
  <Characters>17941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Law assignment</dc:title>
  <dc:creator/>
  <cp:keywords/>
  <dc:description/>
  <cp:lastModifiedBy/>
  <cp:revision>1</cp:revision>
  <dcterms:created xsi:type="dcterms:W3CDTF">2023-04-20T21:32:00Z</dcterms:created>
  <dcterms:modified xsi:type="dcterms:W3CDTF">2023-04-20T21:48:00Z</dcterms:modified>
</cp:coreProperties>
</file>