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44EF" w:rsidRDefault="00FF1695">
      <w:pPr>
        <w:spacing w:line="360" w:lineRule="auto"/>
        <w:jc w:val="center"/>
        <w:rPr>
          <w:b/>
          <w:sz w:val="32"/>
          <w:szCs w:val="32"/>
        </w:rPr>
      </w:pPr>
      <w:r>
        <w:rPr>
          <w:b/>
          <w:sz w:val="32"/>
          <w:szCs w:val="32"/>
        </w:rPr>
        <w:t>Student name : Cătălina Elena Luca</w:t>
      </w:r>
    </w:p>
    <w:p w:rsidR="00FF1695" w:rsidRDefault="00FF1695">
      <w:pPr>
        <w:spacing w:line="360" w:lineRule="auto"/>
        <w:jc w:val="center"/>
        <w:rPr>
          <w:b/>
          <w:sz w:val="32"/>
          <w:szCs w:val="32"/>
        </w:rPr>
      </w:pPr>
      <w:r>
        <w:rPr>
          <w:b/>
          <w:sz w:val="32"/>
          <w:szCs w:val="32"/>
        </w:rPr>
        <w:t>Student number:1916220</w:t>
      </w:r>
    </w:p>
    <w:p w:rsidR="00FF1695" w:rsidRDefault="00FF1695">
      <w:pPr>
        <w:spacing w:line="360" w:lineRule="auto"/>
        <w:jc w:val="center"/>
        <w:rPr>
          <w:b/>
          <w:sz w:val="32"/>
          <w:szCs w:val="32"/>
        </w:rPr>
      </w:pPr>
    </w:p>
    <w:p w:rsidR="00FF1695" w:rsidRDefault="00FF1695">
      <w:pPr>
        <w:spacing w:line="360" w:lineRule="auto"/>
        <w:jc w:val="center"/>
        <w:rPr>
          <w:b/>
          <w:sz w:val="32"/>
          <w:szCs w:val="32"/>
        </w:rPr>
      </w:pPr>
    </w:p>
    <w:p w:rsidR="00101A64" w:rsidRDefault="00101A64" w:rsidP="00154ADF">
      <w:pPr>
        <w:spacing w:line="360" w:lineRule="auto"/>
        <w:jc w:val="center"/>
        <w:rPr>
          <w:b/>
          <w:sz w:val="32"/>
          <w:szCs w:val="32"/>
        </w:rPr>
      </w:pPr>
    </w:p>
    <w:p w:rsidR="00754439" w:rsidRDefault="00754439" w:rsidP="00154ADF">
      <w:pPr>
        <w:spacing w:line="360" w:lineRule="auto"/>
        <w:jc w:val="center"/>
        <w:rPr>
          <w:b/>
          <w:sz w:val="32"/>
          <w:szCs w:val="32"/>
        </w:rPr>
      </w:pPr>
      <w:r>
        <w:rPr>
          <w:b/>
          <w:sz w:val="32"/>
          <w:szCs w:val="32"/>
        </w:rPr>
        <w:t>BMSW6104</w:t>
      </w:r>
    </w:p>
    <w:p w:rsidR="00754439" w:rsidRDefault="00754439" w:rsidP="00154ADF">
      <w:pPr>
        <w:spacing w:line="360" w:lineRule="auto"/>
        <w:jc w:val="center"/>
        <w:rPr>
          <w:b/>
          <w:sz w:val="32"/>
          <w:szCs w:val="32"/>
        </w:rPr>
      </w:pPr>
      <w:r>
        <w:rPr>
          <w:b/>
          <w:sz w:val="32"/>
          <w:szCs w:val="32"/>
        </w:rPr>
        <w:t>Strategic Management for SMEs</w:t>
      </w:r>
    </w:p>
    <w:p w:rsidR="00754439" w:rsidRDefault="00754439" w:rsidP="00154ADF">
      <w:pPr>
        <w:spacing w:line="360" w:lineRule="auto"/>
        <w:jc w:val="center"/>
        <w:rPr>
          <w:b/>
          <w:sz w:val="32"/>
          <w:szCs w:val="32"/>
        </w:rPr>
      </w:pPr>
      <w:r>
        <w:rPr>
          <w:b/>
          <w:sz w:val="32"/>
          <w:szCs w:val="32"/>
        </w:rPr>
        <w:t>Strategic Development and Implementation for SMEs</w:t>
      </w: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jc w:val="center"/>
        <w:rPr>
          <w:b/>
          <w:sz w:val="32"/>
          <w:szCs w:val="32"/>
        </w:rPr>
      </w:pPr>
    </w:p>
    <w:p w:rsidR="00E744EF" w:rsidRDefault="00E744EF">
      <w:pPr>
        <w:spacing w:line="360" w:lineRule="auto"/>
        <w:rPr>
          <w:b/>
          <w:sz w:val="32"/>
          <w:szCs w:val="32"/>
        </w:rPr>
      </w:pPr>
    </w:p>
    <w:p w:rsidR="00E744EF" w:rsidRDefault="006250E4" w:rsidP="00805453">
      <w:pPr>
        <w:spacing w:line="360" w:lineRule="auto"/>
        <w:jc w:val="center"/>
        <w:rPr>
          <w:b/>
          <w:sz w:val="28"/>
          <w:szCs w:val="28"/>
        </w:rPr>
      </w:pPr>
      <w:r w:rsidRPr="00805453">
        <w:rPr>
          <w:b/>
          <w:sz w:val="28"/>
          <w:szCs w:val="28"/>
        </w:rPr>
        <w:t>Executive Summary</w:t>
      </w:r>
    </w:p>
    <w:p w:rsidR="00805453" w:rsidRPr="00805453" w:rsidRDefault="006250E4" w:rsidP="00805453">
      <w:pPr>
        <w:spacing w:line="360" w:lineRule="auto"/>
        <w:jc w:val="both"/>
        <w:rPr>
          <w:szCs w:val="28"/>
        </w:rPr>
      </w:pPr>
      <w:r>
        <w:rPr>
          <w:szCs w:val="28"/>
        </w:rPr>
        <w:t>This report has analysed the strategic business performance of the UK-based SME Subcon Laser Cutting Ltd. The analysis utilised various internal and external analysis frameworks, such as the VRIN model and the PESTEL model. Other strategy analysis discussions were detailed using Porter’s Five Forces, Ansoff Matrix and Porter’s Generic Strategies. The stakeholder analysis also shows the SME in a favourable position. The recommendations incorporate developments in business digitisation and sustainability to provide practical suggestions that can be implemented in a real-world scenario as well.</w:t>
      </w: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p w:rsidR="00805453" w:rsidRDefault="00805453">
      <w:pPr>
        <w:spacing w:line="360" w:lineRule="auto"/>
        <w:jc w:val="both"/>
        <w:rPr>
          <w:b/>
          <w:sz w:val="28"/>
          <w:szCs w:val="28"/>
        </w:rPr>
      </w:pPr>
    </w:p>
    <w:sdt>
      <w:sdtPr>
        <w:rPr>
          <w:rFonts w:ascii="Arial" w:eastAsia="Arial" w:hAnsi="Arial" w:cs="Arial"/>
          <w:b w:val="0"/>
          <w:bCs w:val="0"/>
          <w:color w:val="auto"/>
          <w:sz w:val="32"/>
          <w:szCs w:val="22"/>
          <w:lang w:eastAsia="en-US"/>
        </w:rPr>
        <w:id w:val="-1028028320"/>
        <w:docPartObj>
          <w:docPartGallery w:val="Table of Contents"/>
          <w:docPartUnique/>
        </w:docPartObj>
      </w:sdtPr>
      <w:sdtEndPr>
        <w:rPr>
          <w:noProof/>
          <w:sz w:val="22"/>
        </w:rPr>
      </w:sdtEndPr>
      <w:sdtContent>
        <w:p w:rsidR="00BC1B73" w:rsidRPr="00BC1B73" w:rsidRDefault="006250E4" w:rsidP="00BC1B73">
          <w:pPr>
            <w:pStyle w:val="Titlucuprins"/>
            <w:spacing w:line="360" w:lineRule="auto"/>
            <w:jc w:val="center"/>
            <w:rPr>
              <w:rFonts w:ascii="Arial" w:hAnsi="Arial" w:cs="Arial"/>
              <w:color w:val="000000" w:themeColor="text1"/>
              <w:szCs w:val="24"/>
            </w:rPr>
          </w:pPr>
          <w:r w:rsidRPr="00BC1B73">
            <w:rPr>
              <w:rFonts w:ascii="Arial" w:hAnsi="Arial" w:cs="Arial"/>
              <w:color w:val="000000" w:themeColor="text1"/>
              <w:szCs w:val="24"/>
            </w:rPr>
            <w:t>Table of Contents</w:t>
          </w:r>
        </w:p>
        <w:p w:rsidR="00BC1B73" w:rsidRPr="00BC1B73" w:rsidRDefault="006250E4" w:rsidP="00BC1B73">
          <w:pPr>
            <w:pStyle w:val="Cuprins1"/>
            <w:tabs>
              <w:tab w:val="right" w:leader="dot" w:pos="9350"/>
            </w:tabs>
            <w:spacing w:line="360" w:lineRule="auto"/>
            <w:jc w:val="center"/>
            <w:rPr>
              <w:noProof/>
              <w:color w:val="000000" w:themeColor="text1"/>
              <w:sz w:val="24"/>
              <w:szCs w:val="24"/>
            </w:rPr>
          </w:pPr>
          <w:r w:rsidRPr="00BC1B73">
            <w:rPr>
              <w:color w:val="000000" w:themeColor="text1"/>
              <w:sz w:val="24"/>
              <w:szCs w:val="24"/>
            </w:rPr>
            <w:fldChar w:fldCharType="begin"/>
          </w:r>
          <w:r w:rsidRPr="00BC1B73">
            <w:rPr>
              <w:color w:val="000000" w:themeColor="text1"/>
              <w:sz w:val="24"/>
              <w:szCs w:val="24"/>
            </w:rPr>
            <w:instrText xml:space="preserve"> TOC \o "1-3" \h \z \u </w:instrText>
          </w:r>
          <w:r w:rsidRPr="00BC1B73">
            <w:rPr>
              <w:color w:val="000000" w:themeColor="text1"/>
              <w:sz w:val="24"/>
              <w:szCs w:val="24"/>
            </w:rPr>
            <w:fldChar w:fldCharType="separate"/>
          </w:r>
          <w:hyperlink w:anchor="_Toc132710167" w:history="1">
            <w:r w:rsidRPr="00BC1B73">
              <w:rPr>
                <w:rStyle w:val="Hyperlink"/>
                <w:noProof/>
                <w:color w:val="000000" w:themeColor="text1"/>
                <w:sz w:val="24"/>
                <w:szCs w:val="24"/>
              </w:rPr>
              <w:t>1.0 Introduction</w:t>
            </w:r>
            <w:r w:rsidRPr="00BC1B73">
              <w:rPr>
                <w:noProof/>
                <w:webHidden/>
                <w:color w:val="000000" w:themeColor="text1"/>
                <w:sz w:val="24"/>
                <w:szCs w:val="24"/>
              </w:rPr>
              <w:tab/>
            </w:r>
            <w:r w:rsidRPr="00BC1B73">
              <w:rPr>
                <w:noProof/>
                <w:webHidden/>
                <w:color w:val="000000" w:themeColor="text1"/>
                <w:sz w:val="24"/>
                <w:szCs w:val="24"/>
              </w:rPr>
              <w:fldChar w:fldCharType="begin"/>
            </w:r>
            <w:r w:rsidRPr="00BC1B73">
              <w:rPr>
                <w:noProof/>
                <w:webHidden/>
                <w:color w:val="000000" w:themeColor="text1"/>
                <w:sz w:val="24"/>
                <w:szCs w:val="24"/>
              </w:rPr>
              <w:instrText xml:space="preserve"> PAGEREF _Toc132710167 \h </w:instrText>
            </w:r>
            <w:r w:rsidRPr="00BC1B73">
              <w:rPr>
                <w:noProof/>
                <w:webHidden/>
                <w:color w:val="000000" w:themeColor="text1"/>
                <w:sz w:val="24"/>
                <w:szCs w:val="24"/>
              </w:rPr>
            </w:r>
            <w:r w:rsidRPr="00BC1B73">
              <w:rPr>
                <w:noProof/>
                <w:webHidden/>
                <w:color w:val="000000" w:themeColor="text1"/>
                <w:sz w:val="24"/>
                <w:szCs w:val="24"/>
              </w:rPr>
              <w:fldChar w:fldCharType="separate"/>
            </w:r>
            <w:r w:rsidR="00040694">
              <w:rPr>
                <w:noProof/>
                <w:webHidden/>
                <w:color w:val="000000" w:themeColor="text1"/>
                <w:sz w:val="24"/>
                <w:szCs w:val="24"/>
              </w:rPr>
              <w:t>4</w:t>
            </w:r>
            <w:r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68" w:history="1">
            <w:r w:rsidR="006250E4" w:rsidRPr="00BC1B73">
              <w:rPr>
                <w:rStyle w:val="Hyperlink"/>
                <w:noProof/>
                <w:color w:val="000000" w:themeColor="text1"/>
                <w:sz w:val="24"/>
                <w:szCs w:val="24"/>
              </w:rPr>
              <w:t>2.0 Strategic external analysis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_Toc132710168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4</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69" w:history="1">
            <w:r w:rsidR="006250E4" w:rsidRPr="00BC1B73">
              <w:rPr>
                <w:rStyle w:val="Hyperlink"/>
                <w:noProof/>
                <w:color w:val="000000" w:themeColor="text1"/>
                <w:sz w:val="24"/>
                <w:szCs w:val="24"/>
              </w:rPr>
              <w:t>2.1 PESTEL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_Toc132710169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4</w:t>
            </w:r>
            <w:r w:rsidR="006250E4"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70" w:history="1">
            <w:r w:rsidR="006250E4" w:rsidRPr="00BC1B73">
              <w:rPr>
                <w:rStyle w:val="Hyperlink"/>
                <w:noProof/>
                <w:color w:val="000000" w:themeColor="text1"/>
                <w:sz w:val="24"/>
                <w:szCs w:val="24"/>
              </w:rPr>
              <w:t>3.0 Strategic internal analysis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_Toc132710170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7</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1" w:history="1">
            <w:r w:rsidR="006250E4" w:rsidRPr="00BC1B73">
              <w:rPr>
                <w:rStyle w:val="Hyperlink"/>
                <w:noProof/>
                <w:color w:val="000000" w:themeColor="text1"/>
                <w:sz w:val="24"/>
                <w:szCs w:val="24"/>
              </w:rPr>
              <w:t>3.1 VRIN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_Toc132710171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7</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2" w:history="1">
            <w:r w:rsidR="006250E4" w:rsidRPr="00BC1B73">
              <w:rPr>
                <w:rStyle w:val="Hyperlink"/>
                <w:noProof/>
                <w:color w:val="000000" w:themeColor="text1"/>
                <w:sz w:val="24"/>
                <w:szCs w:val="24"/>
              </w:rPr>
              <w:t>3.2 Porter's Value Chain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_Toc132710172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8</w:t>
            </w:r>
            <w:r w:rsidR="006250E4"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73" w:history="1">
            <w:r w:rsidR="006250E4" w:rsidRPr="00BC1B73">
              <w:rPr>
                <w:rStyle w:val="Hyperlink"/>
                <w:noProof/>
                <w:color w:val="000000" w:themeColor="text1"/>
                <w:sz w:val="24"/>
                <w:szCs w:val="24"/>
              </w:rPr>
              <w:t>4.0 Strategic industry analysis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_Toc132710173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9</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4" w:history="1">
            <w:r w:rsidR="006250E4" w:rsidRPr="00BC1B73">
              <w:rPr>
                <w:rStyle w:val="Hyperlink"/>
                <w:noProof/>
                <w:color w:val="000000" w:themeColor="text1"/>
                <w:sz w:val="24"/>
                <w:szCs w:val="24"/>
              </w:rPr>
              <w:t>4.1 Porter's Five Forces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_Toc132710174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9</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5" w:history="1">
            <w:r w:rsidR="006250E4" w:rsidRPr="00BC1B73">
              <w:rPr>
                <w:rStyle w:val="Hyperlink"/>
                <w:noProof/>
                <w:color w:val="000000" w:themeColor="text1"/>
                <w:sz w:val="24"/>
                <w:szCs w:val="24"/>
              </w:rPr>
              <w:t>4.2 Summary of Internal and external analysis with SWOT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_Toc132710175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11</w:t>
            </w:r>
            <w:r w:rsidR="006250E4"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76" w:history="1">
            <w:r w:rsidR="006250E4" w:rsidRPr="00BC1B73">
              <w:rPr>
                <w:rStyle w:val="Hyperlink"/>
                <w:noProof/>
                <w:color w:val="000000" w:themeColor="text1"/>
                <w:sz w:val="24"/>
                <w:szCs w:val="24"/>
              </w:rPr>
              <w:t>5.0 Strategic options analysis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_Toc132710176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12</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7" w:history="1">
            <w:r w:rsidR="006250E4" w:rsidRPr="00BC1B73">
              <w:rPr>
                <w:rStyle w:val="Hyperlink"/>
                <w:noProof/>
                <w:color w:val="000000" w:themeColor="text1"/>
                <w:sz w:val="24"/>
                <w:szCs w:val="24"/>
              </w:rPr>
              <w:t>5.1 Ansoff Matrix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_Toc132710177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12</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8" w:history="1">
            <w:r w:rsidR="006250E4" w:rsidRPr="00BC1B73">
              <w:rPr>
                <w:rStyle w:val="Hyperlink"/>
                <w:noProof/>
                <w:color w:val="000000" w:themeColor="text1"/>
                <w:sz w:val="24"/>
                <w:szCs w:val="24"/>
              </w:rPr>
              <w:t>5.2 Porter's Generic Strategies Model</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_Toc132710178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13</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79" w:history="1">
            <w:r w:rsidR="006250E4" w:rsidRPr="00BC1B73">
              <w:rPr>
                <w:rStyle w:val="Hyperlink"/>
                <w:noProof/>
                <w:color w:val="000000" w:themeColor="text1"/>
                <w:sz w:val="24"/>
                <w:szCs w:val="24"/>
              </w:rPr>
              <w:t>5.3 SFA framework analysis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_Toc132710179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14</w:t>
            </w:r>
            <w:r w:rsidR="006250E4" w:rsidRPr="00BC1B73">
              <w:rPr>
                <w:noProof/>
                <w:webHidden/>
                <w:color w:val="000000" w:themeColor="text1"/>
                <w:sz w:val="24"/>
                <w:szCs w:val="24"/>
              </w:rPr>
              <w:fldChar w:fldCharType="end"/>
            </w:r>
          </w:hyperlink>
        </w:p>
        <w:p w:rsidR="00BC1B73" w:rsidRPr="00BC1B73" w:rsidRDefault="00000000" w:rsidP="00BC1B73">
          <w:pPr>
            <w:pStyle w:val="Cuprins2"/>
            <w:tabs>
              <w:tab w:val="right" w:leader="dot" w:pos="9350"/>
            </w:tabs>
            <w:spacing w:line="360" w:lineRule="auto"/>
            <w:jc w:val="center"/>
            <w:rPr>
              <w:noProof/>
              <w:color w:val="000000" w:themeColor="text1"/>
              <w:sz w:val="24"/>
              <w:szCs w:val="24"/>
            </w:rPr>
          </w:pPr>
          <w:hyperlink w:anchor="_Toc132710180" w:history="1">
            <w:r w:rsidR="006250E4" w:rsidRPr="00BC1B73">
              <w:rPr>
                <w:rStyle w:val="Hyperlink"/>
                <w:noProof/>
                <w:color w:val="000000" w:themeColor="text1"/>
                <w:sz w:val="24"/>
                <w:szCs w:val="24"/>
              </w:rPr>
              <w:t>5.4 Mendelow's Stakeholder Matrix Analysis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_Toc132710180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14</w:t>
            </w:r>
            <w:r w:rsidR="006250E4"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81" w:history="1">
            <w:r w:rsidR="006250E4" w:rsidRPr="00BC1B73">
              <w:rPr>
                <w:rStyle w:val="Hyperlink"/>
                <w:noProof/>
                <w:color w:val="000000" w:themeColor="text1"/>
                <w:sz w:val="24"/>
                <w:szCs w:val="24"/>
              </w:rPr>
              <w:t>6.0 Recommendations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_Toc132710181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15</w:t>
            </w:r>
            <w:r w:rsidR="006250E4"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82" w:history="1">
            <w:r w:rsidR="006250E4" w:rsidRPr="00BC1B73">
              <w:rPr>
                <w:rStyle w:val="Hyperlink"/>
                <w:noProof/>
                <w:color w:val="000000" w:themeColor="text1"/>
                <w:sz w:val="24"/>
                <w:szCs w:val="24"/>
              </w:rPr>
              <w:t>7.0 Conclusion</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_Toc132710182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16</w:t>
            </w:r>
            <w:r w:rsidR="006250E4" w:rsidRPr="00BC1B73">
              <w:rPr>
                <w:noProof/>
                <w:webHidden/>
                <w:color w:val="000000" w:themeColor="text1"/>
                <w:sz w:val="24"/>
                <w:szCs w:val="24"/>
              </w:rPr>
              <w:fldChar w:fldCharType="end"/>
            </w:r>
          </w:hyperlink>
        </w:p>
        <w:p w:rsidR="00BC1B73" w:rsidRPr="00BC1B73" w:rsidRDefault="00000000" w:rsidP="00BC1B73">
          <w:pPr>
            <w:pStyle w:val="Cuprins1"/>
            <w:tabs>
              <w:tab w:val="right" w:leader="dot" w:pos="9350"/>
            </w:tabs>
            <w:spacing w:line="360" w:lineRule="auto"/>
            <w:jc w:val="center"/>
            <w:rPr>
              <w:noProof/>
              <w:color w:val="000000" w:themeColor="text1"/>
              <w:sz w:val="24"/>
              <w:szCs w:val="24"/>
            </w:rPr>
          </w:pPr>
          <w:hyperlink w:anchor="_Toc132710183" w:history="1">
            <w:r w:rsidR="006250E4" w:rsidRPr="00BC1B73">
              <w:rPr>
                <w:rStyle w:val="Hyperlink"/>
                <w:noProof/>
                <w:color w:val="000000" w:themeColor="text1"/>
                <w:sz w:val="24"/>
                <w:szCs w:val="24"/>
              </w:rPr>
              <w:t>References</w:t>
            </w:r>
            <w:r w:rsidR="006250E4" w:rsidRPr="00BC1B73">
              <w:rPr>
                <w:noProof/>
                <w:webHidden/>
                <w:color w:val="000000" w:themeColor="text1"/>
                <w:sz w:val="24"/>
                <w:szCs w:val="24"/>
              </w:rPr>
              <w:tab/>
            </w:r>
            <w:r w:rsidR="006250E4" w:rsidRPr="00BC1B73">
              <w:rPr>
                <w:noProof/>
                <w:webHidden/>
                <w:color w:val="000000" w:themeColor="text1"/>
                <w:sz w:val="24"/>
                <w:szCs w:val="24"/>
              </w:rPr>
              <w:fldChar w:fldCharType="begin"/>
            </w:r>
            <w:r w:rsidR="006250E4" w:rsidRPr="00BC1B73">
              <w:rPr>
                <w:noProof/>
                <w:webHidden/>
                <w:color w:val="000000" w:themeColor="text1"/>
                <w:sz w:val="24"/>
                <w:szCs w:val="24"/>
              </w:rPr>
              <w:instrText xml:space="preserve"> PAGEREF _Toc132710183 \h </w:instrText>
            </w:r>
            <w:r w:rsidR="006250E4" w:rsidRPr="00BC1B73">
              <w:rPr>
                <w:noProof/>
                <w:webHidden/>
                <w:color w:val="000000" w:themeColor="text1"/>
                <w:sz w:val="24"/>
                <w:szCs w:val="24"/>
              </w:rPr>
            </w:r>
            <w:r w:rsidR="006250E4" w:rsidRPr="00BC1B73">
              <w:rPr>
                <w:noProof/>
                <w:webHidden/>
                <w:color w:val="000000" w:themeColor="text1"/>
                <w:sz w:val="24"/>
                <w:szCs w:val="24"/>
              </w:rPr>
              <w:fldChar w:fldCharType="separate"/>
            </w:r>
            <w:r w:rsidR="00040694">
              <w:rPr>
                <w:noProof/>
                <w:webHidden/>
                <w:color w:val="000000" w:themeColor="text1"/>
                <w:sz w:val="24"/>
                <w:szCs w:val="24"/>
              </w:rPr>
              <w:t>17</w:t>
            </w:r>
            <w:r w:rsidR="006250E4" w:rsidRPr="00BC1B73">
              <w:rPr>
                <w:noProof/>
                <w:webHidden/>
                <w:color w:val="000000" w:themeColor="text1"/>
                <w:sz w:val="24"/>
                <w:szCs w:val="24"/>
              </w:rPr>
              <w:fldChar w:fldCharType="end"/>
            </w:r>
          </w:hyperlink>
        </w:p>
        <w:p w:rsidR="00BC1B73" w:rsidRDefault="006250E4" w:rsidP="00BC1B73">
          <w:pPr>
            <w:spacing w:line="360" w:lineRule="auto"/>
            <w:jc w:val="center"/>
          </w:pPr>
          <w:r w:rsidRPr="00BC1B73">
            <w:rPr>
              <w:b/>
              <w:bCs/>
              <w:noProof/>
              <w:color w:val="000000" w:themeColor="text1"/>
              <w:sz w:val="24"/>
              <w:szCs w:val="24"/>
            </w:rPr>
            <w:fldChar w:fldCharType="end"/>
          </w:r>
        </w:p>
      </w:sdtContent>
    </w:sdt>
    <w:p w:rsidR="00BC1B73" w:rsidRDefault="00BC1B73">
      <w:pPr>
        <w:spacing w:line="360" w:lineRule="auto"/>
        <w:jc w:val="both"/>
        <w:rPr>
          <w:b/>
          <w:sz w:val="28"/>
          <w:szCs w:val="28"/>
        </w:rPr>
      </w:pPr>
    </w:p>
    <w:p w:rsidR="00BC1B73" w:rsidRDefault="00BC1B73">
      <w:pPr>
        <w:spacing w:line="360" w:lineRule="auto"/>
        <w:jc w:val="both"/>
        <w:rPr>
          <w:b/>
          <w:sz w:val="28"/>
          <w:szCs w:val="28"/>
        </w:rPr>
      </w:pPr>
    </w:p>
    <w:p w:rsidR="00BC1B73" w:rsidRDefault="00BC1B73">
      <w:pPr>
        <w:spacing w:line="360" w:lineRule="auto"/>
        <w:jc w:val="both"/>
        <w:rPr>
          <w:b/>
          <w:sz w:val="28"/>
          <w:szCs w:val="28"/>
        </w:rPr>
      </w:pPr>
    </w:p>
    <w:p w:rsidR="00BC1B73" w:rsidRDefault="00BC1B73">
      <w:pPr>
        <w:spacing w:line="360" w:lineRule="auto"/>
        <w:jc w:val="both"/>
        <w:rPr>
          <w:b/>
          <w:sz w:val="28"/>
          <w:szCs w:val="28"/>
        </w:rPr>
      </w:pPr>
    </w:p>
    <w:p w:rsidR="00BC1B73" w:rsidRDefault="00BC1B73">
      <w:pPr>
        <w:spacing w:line="360" w:lineRule="auto"/>
        <w:jc w:val="both"/>
        <w:rPr>
          <w:b/>
          <w:sz w:val="28"/>
          <w:szCs w:val="28"/>
        </w:rPr>
      </w:pPr>
    </w:p>
    <w:p w:rsidR="00BC1B73" w:rsidRDefault="00BC1B73">
      <w:pPr>
        <w:spacing w:line="360" w:lineRule="auto"/>
        <w:jc w:val="both"/>
        <w:rPr>
          <w:b/>
          <w:sz w:val="28"/>
          <w:szCs w:val="28"/>
        </w:rPr>
      </w:pPr>
    </w:p>
    <w:p w:rsidR="00BC1B73" w:rsidRDefault="00BC1B73">
      <w:pPr>
        <w:spacing w:line="360" w:lineRule="auto"/>
        <w:jc w:val="both"/>
        <w:rPr>
          <w:b/>
          <w:sz w:val="28"/>
          <w:szCs w:val="28"/>
        </w:rPr>
      </w:pPr>
    </w:p>
    <w:p w:rsidR="00E744EF" w:rsidRDefault="006250E4" w:rsidP="00BC1B73">
      <w:pPr>
        <w:pStyle w:val="Titlu1"/>
      </w:pPr>
      <w:bookmarkStart w:id="0" w:name="_Toc132710167"/>
      <w:r>
        <w:t>1.0 Introduction</w:t>
      </w:r>
      <w:bookmarkEnd w:id="0"/>
    </w:p>
    <w:p w:rsidR="005F24BE" w:rsidRPr="005F24BE" w:rsidRDefault="006250E4">
      <w:pPr>
        <w:spacing w:line="360" w:lineRule="auto"/>
        <w:jc w:val="both"/>
        <w:rPr>
          <w:b/>
          <w:sz w:val="24"/>
          <w:szCs w:val="28"/>
        </w:rPr>
      </w:pPr>
      <w:r w:rsidRPr="005F24BE">
        <w:rPr>
          <w:szCs w:val="24"/>
        </w:rPr>
        <w:t>This report presents a strategic analysis of the UK-based SME Subcon Laser Cutting Ltd, or Subcon as it will be referred to throughout the report. Subcon is one of the longest-standing laser cutting companies in the UK, with a strong market position and global footprint of operations despite having around 30 employees as per the company's microsite (Subcon Laser Cutting, 2023). This qualifies it as an appropriate choice of SME, and the wide scope for business performance for this company ensures it is suitable for an in-depth strategic analysis as well, which will be explained in the main discussion. The report is presented across the following main sections of external and internal analysis, followed by industry and strategic options analysis. This leads the report to develop a thorough perspective of the business performance and market environment position of Subcon. The report uses various models to perform the theoretical discussion of the company, such as PESTEL, VRIN, Porter's Value Chain, and several other relevant models into the discussion. Towards the conclusion, the report provides suggestions for business improvement through the stated recommendations.</w:t>
      </w:r>
    </w:p>
    <w:p w:rsidR="00E744EF" w:rsidRDefault="006250E4" w:rsidP="00BC1B73">
      <w:pPr>
        <w:pStyle w:val="Titlu1"/>
      </w:pPr>
      <w:bookmarkStart w:id="1" w:name="_Toc132710168"/>
      <w:r>
        <w:t>2.0 Strategic external analysis</w:t>
      </w:r>
      <w:bookmarkEnd w:id="1"/>
    </w:p>
    <w:p w:rsidR="00E744EF" w:rsidRDefault="006250E4" w:rsidP="00BC1B73">
      <w:pPr>
        <w:pStyle w:val="Titlu2"/>
      </w:pPr>
      <w:bookmarkStart w:id="2" w:name="_Toc132710169"/>
      <w:r>
        <w:t>2.1 PESTEL model</w:t>
      </w:r>
      <w:bookmarkEnd w:id="2"/>
    </w:p>
    <w:p w:rsidR="00E744EF" w:rsidRPr="005F24BE" w:rsidRDefault="006250E4">
      <w:pPr>
        <w:spacing w:line="360" w:lineRule="auto"/>
        <w:jc w:val="both"/>
        <w:rPr>
          <w:b/>
          <w:szCs w:val="24"/>
        </w:rPr>
      </w:pPr>
      <w:r w:rsidRPr="005F24BE">
        <w:rPr>
          <w:b/>
          <w:szCs w:val="24"/>
        </w:rPr>
        <w:t>Political</w:t>
      </w:r>
    </w:p>
    <w:p w:rsidR="005F24BE" w:rsidRDefault="006250E4">
      <w:pPr>
        <w:spacing w:line="360" w:lineRule="auto"/>
        <w:jc w:val="both"/>
        <w:rPr>
          <w:szCs w:val="24"/>
        </w:rPr>
      </w:pPr>
      <w:r w:rsidRPr="005F24BE">
        <w:rPr>
          <w:szCs w:val="24"/>
        </w:rPr>
        <w:t>Firstly, the UK government has increased its directive support of SME-sized firms in the country. This includes various financial and non-financial supportive measures designed to promote the growth and development of SME businesses in the country (GOV.UK, 2023). SMEs are a large part of the overall private sector in the UK, and therefore companies like Subcon need to be supported to ensure their continuity in growth and expansion towards generating d</w:t>
      </w:r>
      <w:r>
        <w:rPr>
          <w:szCs w:val="24"/>
        </w:rPr>
        <w:t>omestic revenue (GOV.UK, 2023).</w:t>
      </w:r>
    </w:p>
    <w:p w:rsidR="00E744EF" w:rsidRPr="005F24BE" w:rsidRDefault="006250E4">
      <w:pPr>
        <w:spacing w:line="360" w:lineRule="auto"/>
        <w:jc w:val="both"/>
        <w:rPr>
          <w:szCs w:val="24"/>
        </w:rPr>
      </w:pPr>
      <w:r w:rsidRPr="005F24BE">
        <w:rPr>
          <w:szCs w:val="24"/>
        </w:rPr>
        <w:t>Secondly, the UK government has increased its corporate tax rate from the previous rate of 19% to the current rate of 25% (King, 2023). This tax rate hike was planned years ago and was sustained across changes in government in the country (BBC News, 2023); however, Subcon as an SME is not liable to pay the full scope of 25% taxation in the country. Therefore, this development is not a detrimental consequence for the continuity of business at Subcon.</w:t>
      </w:r>
    </w:p>
    <w:p w:rsidR="00E744EF" w:rsidRPr="005F24BE" w:rsidRDefault="006250E4">
      <w:pPr>
        <w:spacing w:line="360" w:lineRule="auto"/>
        <w:jc w:val="both"/>
        <w:rPr>
          <w:szCs w:val="24"/>
        </w:rPr>
      </w:pPr>
      <w:r w:rsidRPr="005F24BE">
        <w:rPr>
          <w:szCs w:val="24"/>
        </w:rPr>
        <w:t>Thirdly, the UK government under the leadership of current Prime Minister Rishi Sunak has forged trade agreements and deals with various nations outside of the G7, such as India (Elgot, 2022). This increases the scope of business growth for SME firms like Subcon, as it can expand its laser-cutting services through export and other internationalisation measures in such countries as India (Williamson, 2016).</w:t>
      </w:r>
    </w:p>
    <w:p w:rsidR="00E744EF" w:rsidRPr="005F24BE" w:rsidRDefault="006250E4">
      <w:pPr>
        <w:spacing w:line="360" w:lineRule="auto"/>
        <w:jc w:val="both"/>
        <w:rPr>
          <w:szCs w:val="24"/>
        </w:rPr>
      </w:pPr>
      <w:r w:rsidRPr="005F24BE">
        <w:rPr>
          <w:szCs w:val="24"/>
        </w:rPr>
        <w:t>Fourthly, the overall political stability in the UK is preserved across the successive changes in government leadership in recent years. This positions the UK as a free democracy which offers continuity of business to firms like Subcon, as a stable government system ensures that no adverse developments can occur unforeseen such as trade protectionist policies.</w:t>
      </w:r>
    </w:p>
    <w:p w:rsidR="00E744EF" w:rsidRPr="005F24BE" w:rsidRDefault="006250E4">
      <w:pPr>
        <w:spacing w:line="360" w:lineRule="auto"/>
        <w:jc w:val="both"/>
        <w:rPr>
          <w:b/>
          <w:szCs w:val="24"/>
        </w:rPr>
      </w:pPr>
      <w:r w:rsidRPr="005F24BE">
        <w:rPr>
          <w:b/>
          <w:szCs w:val="24"/>
        </w:rPr>
        <w:t>Economic</w:t>
      </w:r>
    </w:p>
    <w:p w:rsidR="00E744EF" w:rsidRPr="005F24BE" w:rsidRDefault="006250E4">
      <w:pPr>
        <w:spacing w:line="360" w:lineRule="auto"/>
        <w:jc w:val="both"/>
        <w:rPr>
          <w:szCs w:val="24"/>
        </w:rPr>
      </w:pPr>
      <w:r w:rsidRPr="005F24BE">
        <w:rPr>
          <w:szCs w:val="24"/>
        </w:rPr>
        <w:t>Firstly, the economic growth of the UK has been supported by the service sector businesses, which have a considerable lead compared to manufacturing and extraction-based businesses. Companies like Subcon contribute to this, as Subcon’s laser cutting services offer non-manufacturing value to their clients.</w:t>
      </w:r>
    </w:p>
    <w:p w:rsidR="00E744EF" w:rsidRPr="005F24BE" w:rsidRDefault="006250E4">
      <w:pPr>
        <w:spacing w:line="360" w:lineRule="auto"/>
        <w:jc w:val="both"/>
        <w:rPr>
          <w:szCs w:val="24"/>
        </w:rPr>
      </w:pPr>
      <w:r w:rsidRPr="005F24BE">
        <w:rPr>
          <w:szCs w:val="24"/>
        </w:rPr>
        <w:t>Secondly, the inflation rate in the UK has been consistently high since Q4 2021. This has been attributed to diverse macro-environmental factors, ranging from the Brexit movement to the Russian-Ukrainian war. The consequence of it sees inflation trending at double-digit levels in recent months. While it was recently decreasing over three months, inflation has grown to 10.4%, remaining above the defined target limit of 2% by the Bank of England (Smith, 2023).</w:t>
      </w:r>
    </w:p>
    <w:p w:rsidR="00E744EF" w:rsidRPr="005F24BE" w:rsidRDefault="006250E4">
      <w:pPr>
        <w:spacing w:line="360" w:lineRule="auto"/>
        <w:jc w:val="both"/>
        <w:rPr>
          <w:szCs w:val="24"/>
        </w:rPr>
      </w:pPr>
      <w:r w:rsidRPr="005F24BE">
        <w:rPr>
          <w:szCs w:val="24"/>
        </w:rPr>
        <w:t>Thirdly, the interest rates charged by the Central Bank of England have been progressively hiked in response to inflation. The central bank aimed to reduce inflation through interest rate hikes, and the present rate stands at 4.25%, which acts as a significant deterrent to commercial lending (Partington, 2023). Therefore, this reduces the availability of commercial loans for enterprises like Subcon, should they require commercial loans.</w:t>
      </w:r>
    </w:p>
    <w:p w:rsidR="00E744EF" w:rsidRPr="005F24BE" w:rsidRDefault="006250E4">
      <w:pPr>
        <w:spacing w:line="360" w:lineRule="auto"/>
        <w:jc w:val="both"/>
        <w:rPr>
          <w:szCs w:val="24"/>
        </w:rPr>
      </w:pPr>
      <w:r w:rsidRPr="005F24BE">
        <w:rPr>
          <w:szCs w:val="24"/>
        </w:rPr>
        <w:t>Fourthly, the unemployment rate in the UK has been satisfactorily low at 3.7%, representing about 1.3 million citizens in the country (Zakir-Hussain, 2023). These safeguards the economic performance from the burden of labour market upsets against trends like inflationary growth.</w:t>
      </w:r>
    </w:p>
    <w:p w:rsidR="00E744EF" w:rsidRPr="005F24BE" w:rsidRDefault="006250E4">
      <w:pPr>
        <w:spacing w:line="360" w:lineRule="auto"/>
        <w:jc w:val="both"/>
        <w:rPr>
          <w:b/>
          <w:szCs w:val="24"/>
        </w:rPr>
      </w:pPr>
      <w:r w:rsidRPr="005F24BE">
        <w:rPr>
          <w:b/>
          <w:szCs w:val="24"/>
        </w:rPr>
        <w:t>Social</w:t>
      </w:r>
    </w:p>
    <w:p w:rsidR="00E744EF" w:rsidRPr="005F24BE" w:rsidRDefault="006250E4">
      <w:pPr>
        <w:spacing w:line="360" w:lineRule="auto"/>
        <w:jc w:val="both"/>
        <w:rPr>
          <w:szCs w:val="24"/>
        </w:rPr>
      </w:pPr>
      <w:r w:rsidRPr="005F24BE">
        <w:rPr>
          <w:szCs w:val="24"/>
        </w:rPr>
        <w:t>Firstly, the age distribution in the UK indicates that the share of the old-age population will increase considerably in the long term. This will strain the delivery of social services such as healthcare for the elderly and therefore is not relevant to the business of laser cutting services at Subcon.</w:t>
      </w:r>
    </w:p>
    <w:p w:rsidR="00E744EF" w:rsidRPr="005F24BE" w:rsidRDefault="006250E4">
      <w:pPr>
        <w:spacing w:line="360" w:lineRule="auto"/>
        <w:jc w:val="both"/>
        <w:rPr>
          <w:szCs w:val="24"/>
        </w:rPr>
      </w:pPr>
      <w:r w:rsidRPr="005F24BE">
        <w:rPr>
          <w:szCs w:val="24"/>
        </w:rPr>
        <w:t xml:space="preserve">Secondly, consumer behaviour in the UK has developed an inclination towards securing sustainability in the consumer lifestyle. This is characterised by following trends of sustainable consumer actions that reduce the carbon footprint of consumption activities. For Subcon, this social trend is indicative of a long-term shift towards sustainability as indicated in the Net Zero 2050 agreement. </w:t>
      </w:r>
    </w:p>
    <w:p w:rsidR="00E744EF" w:rsidRPr="005F24BE" w:rsidRDefault="006250E4">
      <w:pPr>
        <w:spacing w:line="360" w:lineRule="auto"/>
        <w:jc w:val="both"/>
        <w:rPr>
          <w:b/>
          <w:szCs w:val="24"/>
        </w:rPr>
      </w:pPr>
      <w:r w:rsidRPr="005F24BE">
        <w:rPr>
          <w:b/>
          <w:szCs w:val="24"/>
        </w:rPr>
        <w:t>Technological</w:t>
      </w:r>
    </w:p>
    <w:p w:rsidR="00E744EF" w:rsidRPr="005F24BE" w:rsidRDefault="006250E4">
      <w:pPr>
        <w:spacing w:line="360" w:lineRule="auto"/>
        <w:jc w:val="both"/>
        <w:rPr>
          <w:szCs w:val="24"/>
        </w:rPr>
      </w:pPr>
      <w:r w:rsidRPr="005F24BE">
        <w:rPr>
          <w:szCs w:val="24"/>
        </w:rPr>
        <w:t>Firstly, the UK has been proactive in securing the growth and penetration of 5G networking capabilities across the country. This is a positive development for Subcon in particular, as the company uses expensive and automated machinery that is designed for autonomous performance. In such operations, the benefits of 5G offer lower latency and higher bandwidth transmission, increasing the responsiveness and efficiency of digital technologies and automated machines used in such business operations (Kiesel, Roessel and Schmitt, 2020).</w:t>
      </w:r>
    </w:p>
    <w:p w:rsidR="00E744EF" w:rsidRPr="005F24BE" w:rsidRDefault="006250E4">
      <w:pPr>
        <w:spacing w:line="360" w:lineRule="auto"/>
        <w:jc w:val="both"/>
        <w:rPr>
          <w:szCs w:val="24"/>
        </w:rPr>
      </w:pPr>
      <w:r w:rsidRPr="005F24BE">
        <w:rPr>
          <w:szCs w:val="24"/>
        </w:rPr>
        <w:t>Secondly, the UK is actively creating an electric vehicle-friendly infrastructure following the aforementioned Net Zero 2050 agreement (Marteau, Chater and Garnett, 2021). For Subcon, this can allow the company to incorporate green electric systems in the long term that are adjacent to the infrastructural use of green electricity designed for commercial and public electric vehicle transport.</w:t>
      </w:r>
    </w:p>
    <w:p w:rsidR="00E744EF" w:rsidRPr="005F24BE" w:rsidRDefault="006250E4">
      <w:pPr>
        <w:spacing w:line="360" w:lineRule="auto"/>
        <w:jc w:val="both"/>
        <w:rPr>
          <w:szCs w:val="24"/>
        </w:rPr>
      </w:pPr>
      <w:r w:rsidRPr="005F24BE">
        <w:rPr>
          <w:szCs w:val="24"/>
        </w:rPr>
        <w:t>Thirdly, Subcon is one of the few companies in the UK that has ownership of the TRUMPF laser. This increases the level of innovation of the company and expands its potential for research and development activities internally. In conjunction with the use of advanced 5G technologies, Subcon will become capable of utilising a higher degree of competitive business performance.</w:t>
      </w:r>
    </w:p>
    <w:p w:rsidR="00E744EF" w:rsidRPr="005F24BE" w:rsidRDefault="006250E4">
      <w:pPr>
        <w:spacing w:line="360" w:lineRule="auto"/>
        <w:jc w:val="both"/>
        <w:rPr>
          <w:b/>
          <w:szCs w:val="24"/>
        </w:rPr>
      </w:pPr>
      <w:r w:rsidRPr="005F24BE">
        <w:rPr>
          <w:b/>
          <w:szCs w:val="24"/>
        </w:rPr>
        <w:t>Environmental</w:t>
      </w:r>
    </w:p>
    <w:p w:rsidR="005F24BE" w:rsidRPr="005F24BE" w:rsidRDefault="006250E4">
      <w:pPr>
        <w:spacing w:line="360" w:lineRule="auto"/>
        <w:jc w:val="both"/>
        <w:rPr>
          <w:szCs w:val="24"/>
        </w:rPr>
      </w:pPr>
      <w:r w:rsidRPr="005F24BE">
        <w:rPr>
          <w:szCs w:val="24"/>
        </w:rPr>
        <w:t>Firstly, Subcon is liable for being a net carbon-neutral business enterprise in the long term, as it is based in the UK. The UK itself is a participant in the global Net Zero 2050 arrangement, which sees participating countries like the UK, US and EU bloc nations develop their internal sustainability performance to attain a level of net carbon neutrality. For Subcon, this will mean becoming carbon neutral in its value-chain activities by 2050 (Marteau, Chater and Garnett, 2021).</w:t>
      </w:r>
    </w:p>
    <w:p w:rsidR="00E744EF" w:rsidRPr="005F24BE" w:rsidRDefault="006250E4">
      <w:pPr>
        <w:spacing w:line="360" w:lineRule="auto"/>
        <w:jc w:val="both"/>
        <w:rPr>
          <w:szCs w:val="24"/>
        </w:rPr>
      </w:pPr>
      <w:r w:rsidRPr="005F24BE">
        <w:rPr>
          <w:szCs w:val="24"/>
        </w:rPr>
        <w:t>Secondly, the climate change impact of global warming is the key issue that aims to be solved through the Net Zero arrangement. It aims to reduce global temperatures by 1.5 degrees Celsius, thereby reducing the negative impact of high global temperatures (Marteau, Chater and Garnett, 2021). For Subcon, an investment in environmentally friendly and sustainable practices such as smart lighting systems will increase the sustainable performance of its indoor operations.</w:t>
      </w:r>
    </w:p>
    <w:p w:rsidR="00E744EF" w:rsidRPr="005F24BE" w:rsidRDefault="006250E4">
      <w:pPr>
        <w:spacing w:line="360" w:lineRule="auto"/>
        <w:jc w:val="both"/>
        <w:rPr>
          <w:b/>
          <w:szCs w:val="24"/>
        </w:rPr>
      </w:pPr>
      <w:r w:rsidRPr="005F24BE">
        <w:rPr>
          <w:b/>
          <w:szCs w:val="24"/>
        </w:rPr>
        <w:t>Legal</w:t>
      </w:r>
    </w:p>
    <w:p w:rsidR="00E744EF" w:rsidRPr="005F24BE" w:rsidRDefault="006250E4">
      <w:pPr>
        <w:spacing w:line="360" w:lineRule="auto"/>
        <w:jc w:val="both"/>
        <w:rPr>
          <w:szCs w:val="24"/>
        </w:rPr>
      </w:pPr>
      <w:r w:rsidRPr="005F24BE">
        <w:rPr>
          <w:szCs w:val="24"/>
        </w:rPr>
        <w:t>Firstly, Subcon is subject to laws governing the performance of SME operations in the UK.</w:t>
      </w:r>
    </w:p>
    <w:p w:rsidR="00E744EF" w:rsidRDefault="006250E4" w:rsidP="00BC1B73">
      <w:pPr>
        <w:pStyle w:val="Titlu1"/>
        <w:rPr>
          <w:sz w:val="24"/>
          <w:szCs w:val="24"/>
        </w:rPr>
      </w:pPr>
      <w:bookmarkStart w:id="3" w:name="_Toc132710170"/>
      <w:r>
        <w:t>3.0 Strategic internal analysis</w:t>
      </w:r>
      <w:bookmarkEnd w:id="3"/>
    </w:p>
    <w:p w:rsidR="00E744EF" w:rsidRPr="005F24BE" w:rsidRDefault="006250E4" w:rsidP="00BC1B73">
      <w:pPr>
        <w:pStyle w:val="Titlu2"/>
      </w:pPr>
      <w:bookmarkStart w:id="4" w:name="_Toc132710171"/>
      <w:r w:rsidRPr="005F24BE">
        <w:t>3.1 VRIN model</w:t>
      </w:r>
      <w:bookmarkEnd w:id="4"/>
    </w:p>
    <w:p w:rsidR="00E744EF" w:rsidRPr="005F24BE" w:rsidRDefault="006250E4">
      <w:pPr>
        <w:spacing w:line="360" w:lineRule="auto"/>
        <w:jc w:val="both"/>
        <w:rPr>
          <w:b/>
          <w:szCs w:val="24"/>
        </w:rPr>
      </w:pPr>
      <w:r w:rsidRPr="005F24BE">
        <w:rPr>
          <w:b/>
          <w:szCs w:val="24"/>
        </w:rPr>
        <w:t>Valuable</w:t>
      </w:r>
    </w:p>
    <w:p w:rsidR="00E744EF" w:rsidRPr="005F24BE" w:rsidRDefault="006250E4">
      <w:pPr>
        <w:spacing w:line="360" w:lineRule="auto"/>
        <w:jc w:val="both"/>
        <w:rPr>
          <w:szCs w:val="24"/>
        </w:rPr>
      </w:pPr>
      <w:r w:rsidRPr="005F24BE">
        <w:rPr>
          <w:szCs w:val="24"/>
        </w:rPr>
        <w:t xml:space="preserve">Subcon’s resources are valuable, as the company’s business performance is driven by the leadership of its founders. It owns key assets such as TRUMPF lasers that are equipped with BrightLine fibre technology. The company also owns other key assets such as TruLaser 5030 and TruLaser 5040 fibre machines, which are housed in the company’s 60,000 sq ft main operations facility (Mansfield, 2015). </w:t>
      </w:r>
    </w:p>
    <w:p w:rsidR="00E744EF" w:rsidRPr="005F24BE" w:rsidRDefault="006250E4">
      <w:pPr>
        <w:spacing w:line="360" w:lineRule="auto"/>
        <w:jc w:val="both"/>
        <w:rPr>
          <w:b/>
          <w:szCs w:val="24"/>
        </w:rPr>
      </w:pPr>
      <w:r w:rsidRPr="005F24BE">
        <w:rPr>
          <w:b/>
          <w:szCs w:val="24"/>
        </w:rPr>
        <w:t>Rare</w:t>
      </w:r>
    </w:p>
    <w:p w:rsidR="00E744EF" w:rsidRPr="005F24BE" w:rsidRDefault="006250E4">
      <w:pPr>
        <w:spacing w:line="360" w:lineRule="auto"/>
        <w:jc w:val="both"/>
        <w:rPr>
          <w:szCs w:val="24"/>
        </w:rPr>
      </w:pPr>
      <w:r w:rsidRPr="005F24BE">
        <w:rPr>
          <w:szCs w:val="24"/>
        </w:rPr>
        <w:t>The accumulation of these technologies and assets is made rarer by the strength of leadership and ownership at Subcon. Founded by Bill and Christine Brown in 1989, Subcon has continued to grow and take advantage of early market opportunities made possible through an early mover advantage. This early mover advantage saw the firm capitalise on new technologies such as the first 2D laser inspection and reverse engineering scanners in the UK, allowing it to sustain its growth trajectory against new market rivals (Mansfield, 2015).</w:t>
      </w:r>
    </w:p>
    <w:p w:rsidR="00E744EF" w:rsidRPr="005F24BE" w:rsidRDefault="006250E4">
      <w:pPr>
        <w:spacing w:line="360" w:lineRule="auto"/>
        <w:jc w:val="both"/>
        <w:rPr>
          <w:b/>
          <w:szCs w:val="24"/>
        </w:rPr>
      </w:pPr>
      <w:r w:rsidRPr="005F24BE">
        <w:rPr>
          <w:b/>
          <w:szCs w:val="24"/>
        </w:rPr>
        <w:t>Imitable</w:t>
      </w:r>
    </w:p>
    <w:p w:rsidR="00E744EF" w:rsidRPr="005F24BE" w:rsidRDefault="006250E4">
      <w:pPr>
        <w:spacing w:line="360" w:lineRule="auto"/>
        <w:jc w:val="both"/>
        <w:rPr>
          <w:szCs w:val="24"/>
        </w:rPr>
      </w:pPr>
      <w:r w:rsidRPr="005F24BE">
        <w:rPr>
          <w:szCs w:val="24"/>
        </w:rPr>
        <w:t>The quality of imitability is present at Subcon, as its ownership of assets is not exclusive to the firm itself. However, the rarity of its market expertise and presence affords it an inimitable quality of veteran industry knowledge, which was made possible through its early mover advantage. Subcon also enjoys recognition from prominent political leaders over the years, such as visits from various Prime Ministers in previous years (Mansfield, 2015). These advantages are inimitable and strengthen the resource advantage of Subcon.</w:t>
      </w:r>
    </w:p>
    <w:p w:rsidR="00E744EF" w:rsidRPr="005F24BE" w:rsidRDefault="006250E4">
      <w:pPr>
        <w:spacing w:line="360" w:lineRule="auto"/>
        <w:jc w:val="both"/>
        <w:rPr>
          <w:b/>
          <w:szCs w:val="24"/>
        </w:rPr>
      </w:pPr>
      <w:r w:rsidRPr="005F24BE">
        <w:rPr>
          <w:b/>
          <w:szCs w:val="24"/>
        </w:rPr>
        <w:t>Non-substitutable</w:t>
      </w:r>
    </w:p>
    <w:p w:rsidR="00E744EF" w:rsidRPr="005F24BE" w:rsidRDefault="006250E4">
      <w:pPr>
        <w:spacing w:line="360" w:lineRule="auto"/>
        <w:jc w:val="both"/>
        <w:rPr>
          <w:szCs w:val="24"/>
        </w:rPr>
      </w:pPr>
      <w:r w:rsidRPr="005F24BE">
        <w:rPr>
          <w:szCs w:val="24"/>
        </w:rPr>
        <w:t>The ownership of key assets, the experience of its owners and the recognition that Subcon gained as an SME is all non-substitutable. Rivals intending to compete with Subcon must have similar ownership of expense laser cutting machines, which perform various business services that meet the demanding needs of global clients. The knowledge mastery of the owners is also imperative to understand market demand potential, identify opportunities as well as oversee the day-to-day performance of the business through these specialised machines. These qualities cannot be substituted indirectly, and therefore Subcon exists in a sustained competitive advantage within the VRIN framework.</w:t>
      </w:r>
    </w:p>
    <w:p w:rsidR="00E744EF" w:rsidRDefault="006250E4" w:rsidP="00BC1B73">
      <w:pPr>
        <w:pStyle w:val="Titlu2"/>
      </w:pPr>
      <w:bookmarkStart w:id="5" w:name="_Toc132710172"/>
      <w:r>
        <w:t>3.2 Porter's Value Chain Model</w:t>
      </w:r>
      <w:bookmarkEnd w:id="5"/>
    </w:p>
    <w:p w:rsidR="00E744EF" w:rsidRPr="005F24BE" w:rsidRDefault="006250E4">
      <w:pPr>
        <w:spacing w:line="360" w:lineRule="auto"/>
        <w:jc w:val="both"/>
        <w:rPr>
          <w:b/>
          <w:szCs w:val="24"/>
          <w:u w:val="single"/>
        </w:rPr>
      </w:pPr>
      <w:r w:rsidRPr="005F24BE">
        <w:rPr>
          <w:b/>
          <w:szCs w:val="24"/>
          <w:u w:val="single"/>
        </w:rPr>
        <w:t>Primary activities</w:t>
      </w:r>
    </w:p>
    <w:p w:rsidR="00E744EF" w:rsidRPr="005F24BE" w:rsidRDefault="006250E4">
      <w:pPr>
        <w:spacing w:line="360" w:lineRule="auto"/>
        <w:jc w:val="both"/>
        <w:rPr>
          <w:b/>
          <w:szCs w:val="24"/>
        </w:rPr>
      </w:pPr>
      <w:r w:rsidRPr="005F24BE">
        <w:rPr>
          <w:b/>
          <w:szCs w:val="24"/>
        </w:rPr>
        <w:t>Inbound logistics</w:t>
      </w:r>
    </w:p>
    <w:p w:rsidR="00E744EF" w:rsidRPr="005F24BE" w:rsidRDefault="006250E4">
      <w:pPr>
        <w:spacing w:line="360" w:lineRule="auto"/>
        <w:jc w:val="both"/>
        <w:rPr>
          <w:szCs w:val="24"/>
        </w:rPr>
      </w:pPr>
      <w:r w:rsidRPr="005F24BE">
        <w:rPr>
          <w:szCs w:val="24"/>
        </w:rPr>
        <w:t>Subcon’s 60,000 sq ft facility is custom designed to accommodate inbound logistics as well as on-site operations equipment such as laser cutting machines (Mansfield, 2015). Subcon’s raw materials needed for daily business operations are therefore received on-site, reducing the time flow between inbound logistics and its lead into operations. This increases the efficiency of the overall value chain as the inbound logistics is streamlined and optimised to minimise delay towards operations.</w:t>
      </w:r>
    </w:p>
    <w:p w:rsidR="00E744EF" w:rsidRPr="005F24BE" w:rsidRDefault="006250E4">
      <w:pPr>
        <w:spacing w:line="360" w:lineRule="auto"/>
        <w:jc w:val="both"/>
        <w:rPr>
          <w:b/>
          <w:szCs w:val="24"/>
        </w:rPr>
      </w:pPr>
      <w:r w:rsidRPr="005F24BE">
        <w:rPr>
          <w:b/>
          <w:szCs w:val="24"/>
        </w:rPr>
        <w:t>Operations</w:t>
      </w:r>
    </w:p>
    <w:p w:rsidR="005F24BE" w:rsidRPr="005F24BE" w:rsidRDefault="006250E4">
      <w:pPr>
        <w:spacing w:line="360" w:lineRule="auto"/>
        <w:jc w:val="both"/>
        <w:rPr>
          <w:b/>
          <w:szCs w:val="24"/>
        </w:rPr>
      </w:pPr>
      <w:r w:rsidRPr="005F24BE">
        <w:rPr>
          <w:szCs w:val="24"/>
        </w:rPr>
        <w:t>The Subcon facility is equipped with various laser-cutting devices acquired over the years of the company's business operations. These devices allow Subcon to fulfil client orders directly across diverse industries and at large volumes, such as delivering half a million parts to a particular customer (Tudor, 2016). The company's operations also rely on driving exports to foreign partners such as India, which is made possible due to the unique advantage of the laser devices being remotely controllable (Williamson, 2016). This allows clients to participate in the value-creation process and ensures deliverables are specified to meet their need parameters.</w:t>
      </w:r>
    </w:p>
    <w:p w:rsidR="00E744EF" w:rsidRPr="005F24BE" w:rsidRDefault="006250E4">
      <w:pPr>
        <w:spacing w:line="360" w:lineRule="auto"/>
        <w:jc w:val="both"/>
        <w:rPr>
          <w:b/>
          <w:szCs w:val="24"/>
        </w:rPr>
      </w:pPr>
      <w:r w:rsidRPr="005F24BE">
        <w:rPr>
          <w:b/>
          <w:szCs w:val="24"/>
        </w:rPr>
        <w:t>Outbound logistics</w:t>
      </w:r>
    </w:p>
    <w:p w:rsidR="00E744EF" w:rsidRPr="005F24BE" w:rsidRDefault="006250E4">
      <w:pPr>
        <w:spacing w:line="360" w:lineRule="auto"/>
        <w:jc w:val="both"/>
        <w:rPr>
          <w:szCs w:val="24"/>
        </w:rPr>
      </w:pPr>
      <w:r w:rsidRPr="005F24BE">
        <w:rPr>
          <w:szCs w:val="24"/>
        </w:rPr>
        <w:t>Subcon’s facility also handles outbound logistics such as the delivery of finished parts to various customers. Finished goods are made from materials ranging from stainless steel to aluminium for end-user clients that require precision machine inputs for their business operations.</w:t>
      </w:r>
    </w:p>
    <w:p w:rsidR="00E744EF" w:rsidRPr="005F24BE" w:rsidRDefault="006250E4">
      <w:pPr>
        <w:spacing w:line="360" w:lineRule="auto"/>
        <w:jc w:val="both"/>
        <w:rPr>
          <w:b/>
          <w:szCs w:val="24"/>
        </w:rPr>
      </w:pPr>
      <w:r w:rsidRPr="005F24BE">
        <w:rPr>
          <w:b/>
          <w:szCs w:val="24"/>
        </w:rPr>
        <w:t>Marketing and sales</w:t>
      </w:r>
    </w:p>
    <w:p w:rsidR="00E744EF" w:rsidRPr="005F24BE" w:rsidRDefault="006250E4">
      <w:pPr>
        <w:spacing w:line="360" w:lineRule="auto"/>
        <w:jc w:val="both"/>
        <w:rPr>
          <w:szCs w:val="24"/>
        </w:rPr>
      </w:pPr>
      <w:r w:rsidRPr="005F24BE">
        <w:rPr>
          <w:szCs w:val="24"/>
        </w:rPr>
        <w:t>Subcon invites customers to email their requirements directly to the listed email address on the company website. It also offers one-off orders and large-volume orders, thereby offering customisable production possibilities for its customers (Tudor, 2016). Previous jobs can be reordered and additional accommodations can be made as well. This allows ease of ordering for customers as they can opt to receive their quotes over phone calls as well as emails.</w:t>
      </w:r>
    </w:p>
    <w:p w:rsidR="00E744EF" w:rsidRPr="005F24BE" w:rsidRDefault="006250E4">
      <w:pPr>
        <w:spacing w:line="360" w:lineRule="auto"/>
        <w:jc w:val="both"/>
        <w:rPr>
          <w:b/>
          <w:szCs w:val="24"/>
        </w:rPr>
      </w:pPr>
      <w:r w:rsidRPr="005F24BE">
        <w:rPr>
          <w:b/>
          <w:szCs w:val="24"/>
        </w:rPr>
        <w:t>Service</w:t>
      </w:r>
    </w:p>
    <w:p w:rsidR="00E744EF" w:rsidRPr="005F24BE" w:rsidRDefault="006250E4">
      <w:pPr>
        <w:spacing w:line="360" w:lineRule="auto"/>
        <w:jc w:val="both"/>
        <w:rPr>
          <w:b/>
          <w:szCs w:val="24"/>
          <w:u w:val="single"/>
        </w:rPr>
      </w:pPr>
      <w:r w:rsidRPr="005F24BE">
        <w:rPr>
          <w:b/>
          <w:szCs w:val="24"/>
          <w:u w:val="single"/>
        </w:rPr>
        <w:t>Support activities</w:t>
      </w:r>
    </w:p>
    <w:p w:rsidR="00E744EF" w:rsidRPr="005F24BE" w:rsidRDefault="006250E4">
      <w:pPr>
        <w:spacing w:line="360" w:lineRule="auto"/>
        <w:jc w:val="both"/>
        <w:rPr>
          <w:b/>
          <w:szCs w:val="24"/>
        </w:rPr>
      </w:pPr>
      <w:r w:rsidRPr="005F24BE">
        <w:rPr>
          <w:b/>
          <w:szCs w:val="24"/>
        </w:rPr>
        <w:t>Procurement</w:t>
      </w:r>
    </w:p>
    <w:p w:rsidR="00E744EF" w:rsidRPr="005F24BE" w:rsidRDefault="006250E4">
      <w:pPr>
        <w:spacing w:line="360" w:lineRule="auto"/>
        <w:jc w:val="both"/>
        <w:rPr>
          <w:szCs w:val="24"/>
        </w:rPr>
      </w:pPr>
      <w:r w:rsidRPr="005F24BE">
        <w:rPr>
          <w:szCs w:val="24"/>
        </w:rPr>
        <w:t>Subcon’s market position, early mover advantage and expertise allow it to develop strong relations with its suppliers. Raw materials such as stainless steel sheets and other metals of various sizes are kept in stock on-site, and customers can provide their raw materials for custom orders to their satisfaction. This ensures the continuity of business operations and maintains the competitive performance of Subcon in the UK's laser cutting industry, primarily as an SME (Tudor, 2016).</w:t>
      </w:r>
    </w:p>
    <w:p w:rsidR="00E744EF" w:rsidRPr="005F24BE" w:rsidRDefault="006250E4">
      <w:pPr>
        <w:spacing w:line="360" w:lineRule="auto"/>
        <w:jc w:val="both"/>
        <w:rPr>
          <w:b/>
          <w:szCs w:val="24"/>
        </w:rPr>
      </w:pPr>
      <w:r w:rsidRPr="005F24BE">
        <w:rPr>
          <w:b/>
          <w:szCs w:val="24"/>
        </w:rPr>
        <w:t>Human resources</w:t>
      </w:r>
    </w:p>
    <w:p w:rsidR="00E744EF" w:rsidRPr="005F24BE" w:rsidRDefault="006250E4">
      <w:pPr>
        <w:spacing w:line="360" w:lineRule="auto"/>
        <w:jc w:val="both"/>
        <w:rPr>
          <w:szCs w:val="24"/>
        </w:rPr>
      </w:pPr>
      <w:r w:rsidRPr="005F24BE">
        <w:rPr>
          <w:szCs w:val="24"/>
        </w:rPr>
        <w:t>Subcon is led by its founders and the workforce consists of selected specialists recruited for working with the laser cutting machines. Internal training and development of the workforce allow them to be capable of engaging with new machines as they are upgraded on-site, securing a synergistic alignment of the workforce skills and knowledge with the upgrades in operations.</w:t>
      </w:r>
    </w:p>
    <w:p w:rsidR="00E744EF" w:rsidRPr="005F24BE" w:rsidRDefault="006250E4">
      <w:pPr>
        <w:spacing w:line="360" w:lineRule="auto"/>
        <w:jc w:val="both"/>
        <w:rPr>
          <w:b/>
          <w:szCs w:val="24"/>
        </w:rPr>
      </w:pPr>
      <w:r w:rsidRPr="005F24BE">
        <w:rPr>
          <w:b/>
          <w:szCs w:val="24"/>
        </w:rPr>
        <w:t>Technology development</w:t>
      </w:r>
    </w:p>
    <w:p w:rsidR="00E744EF" w:rsidRPr="005F24BE" w:rsidRDefault="006250E4">
      <w:pPr>
        <w:spacing w:line="360" w:lineRule="auto"/>
        <w:jc w:val="both"/>
        <w:rPr>
          <w:szCs w:val="24"/>
        </w:rPr>
      </w:pPr>
      <w:r w:rsidRPr="005F24BE">
        <w:rPr>
          <w:szCs w:val="24"/>
        </w:rPr>
        <w:t>Subcon maintains a competitive technology development internally to sustain its market advantage in the laser cutting industry. Since its founding, Subcon has invested in being competitive with the use of new-generation TRUMPF laser cutting devices as well as other technologies, allowing the firm to satisfy changing needs of its clients (Tudor, 2016). Internal investment and leadership of Subcon secure this quality in enabling its value-chain operations.</w:t>
      </w:r>
    </w:p>
    <w:p w:rsidR="00E744EF" w:rsidRPr="005F24BE" w:rsidRDefault="006250E4">
      <w:pPr>
        <w:spacing w:line="360" w:lineRule="auto"/>
        <w:jc w:val="both"/>
        <w:rPr>
          <w:b/>
          <w:szCs w:val="24"/>
        </w:rPr>
      </w:pPr>
      <w:r w:rsidRPr="005F24BE">
        <w:rPr>
          <w:b/>
          <w:szCs w:val="24"/>
        </w:rPr>
        <w:t>Firm infrastructure</w:t>
      </w:r>
    </w:p>
    <w:p w:rsidR="00E744EF" w:rsidRPr="005F24BE" w:rsidRDefault="006250E4">
      <w:pPr>
        <w:spacing w:line="360" w:lineRule="auto"/>
        <w:jc w:val="both"/>
        <w:rPr>
          <w:szCs w:val="24"/>
        </w:rPr>
      </w:pPr>
      <w:r w:rsidRPr="005F24BE">
        <w:rPr>
          <w:szCs w:val="24"/>
        </w:rPr>
        <w:t>As an SME, the small organisational structure of 30 employees creates a flatter organisation structure that is an advantage for SME-sized businesses. Operations aspects such as line management, administration and financial management contribute to the firm's value-creation process across the value chain.</w:t>
      </w:r>
    </w:p>
    <w:p w:rsidR="00E744EF" w:rsidRDefault="006250E4" w:rsidP="00BC1B73">
      <w:pPr>
        <w:pStyle w:val="Titlu1"/>
      </w:pPr>
      <w:bookmarkStart w:id="6" w:name="_Toc132710173"/>
      <w:r>
        <w:t>4.0 Strategic industry analysis</w:t>
      </w:r>
      <w:bookmarkEnd w:id="6"/>
    </w:p>
    <w:p w:rsidR="00E744EF" w:rsidRDefault="006250E4" w:rsidP="00BC1B73">
      <w:pPr>
        <w:pStyle w:val="Titlu2"/>
      </w:pPr>
      <w:bookmarkStart w:id="7" w:name="_Toc132710174"/>
      <w:r>
        <w:t>4.1 Porter's Five Forces Model</w:t>
      </w:r>
      <w:bookmarkEnd w:id="7"/>
    </w:p>
    <w:p w:rsidR="00E744EF" w:rsidRPr="005F24BE" w:rsidRDefault="006250E4">
      <w:pPr>
        <w:spacing w:line="360" w:lineRule="auto"/>
        <w:jc w:val="both"/>
        <w:rPr>
          <w:b/>
          <w:szCs w:val="24"/>
        </w:rPr>
      </w:pPr>
      <w:r w:rsidRPr="005F24BE">
        <w:rPr>
          <w:b/>
          <w:szCs w:val="24"/>
        </w:rPr>
        <w:t>The bargaining position of buyers</w:t>
      </w:r>
    </w:p>
    <w:p w:rsidR="00E744EF" w:rsidRPr="005F24BE" w:rsidRDefault="006250E4">
      <w:pPr>
        <w:spacing w:line="360" w:lineRule="auto"/>
        <w:jc w:val="both"/>
        <w:rPr>
          <w:szCs w:val="24"/>
        </w:rPr>
      </w:pPr>
      <w:r w:rsidRPr="005F24BE">
        <w:rPr>
          <w:szCs w:val="24"/>
        </w:rPr>
        <w:t>Buyers in this context are represented by diverse clients across various industries. Subcon provides its services to buyers across one-off orders and large-volume orders as well. This allows it to engage with small clients as well as large organisations present in a multi-national capacity. Therefore, the bargaining position for the clients is determined by their access to quality laser-cutting service providers. Subcon has created a market position that thrives on its internal expertise, asset ownership and business experience. This reduces the bargaining position of buyers, as Subcon has differentiated itself as a reputed and quality provider of laser cutting services while being an SME. Subcon’s growth over the years evidences this development as the firm has been growing actively in providing export services to global clients.</w:t>
      </w:r>
    </w:p>
    <w:p w:rsidR="00E744EF" w:rsidRPr="005F24BE" w:rsidRDefault="006250E4">
      <w:pPr>
        <w:spacing w:line="360" w:lineRule="auto"/>
        <w:jc w:val="both"/>
        <w:rPr>
          <w:b/>
          <w:szCs w:val="24"/>
        </w:rPr>
      </w:pPr>
      <w:r w:rsidRPr="005F24BE">
        <w:rPr>
          <w:b/>
          <w:szCs w:val="24"/>
        </w:rPr>
        <w:t>The bargaining position of suppliers</w:t>
      </w:r>
    </w:p>
    <w:p w:rsidR="00E744EF" w:rsidRPr="005F24BE" w:rsidRDefault="006250E4">
      <w:pPr>
        <w:spacing w:line="360" w:lineRule="auto"/>
        <w:jc w:val="both"/>
        <w:rPr>
          <w:szCs w:val="24"/>
        </w:rPr>
      </w:pPr>
      <w:r w:rsidRPr="005F24BE">
        <w:rPr>
          <w:szCs w:val="24"/>
        </w:rPr>
        <w:t>Suppliers in the industry are similarly positioned in a less secure bargaining position. This is owing to the specialised industry of laser cutting services, which requires engagement with expensive and specialised laser cutting tools. The VRIN resources that require the usage of these tools are limited to selected firms such as Subcon, and therefore these firms have a stronger bargaining position as there are limited clients for suppliers in this industry. In particular, Subcon’s market growth and position make it more resilient to supply-side bargaining changes, as it is a unique and differentiated SME in the industry. Therefore, the bargaining position of suppliers is intermediate as materials such as stainless steel or upkeep material for the maintenance of laser cutting machines are niche supply activities.</w:t>
      </w:r>
    </w:p>
    <w:p w:rsidR="00E744EF" w:rsidRPr="005F24BE" w:rsidRDefault="006250E4">
      <w:pPr>
        <w:spacing w:line="360" w:lineRule="auto"/>
        <w:jc w:val="both"/>
        <w:rPr>
          <w:b/>
          <w:szCs w:val="24"/>
        </w:rPr>
      </w:pPr>
      <w:r w:rsidRPr="005F24BE">
        <w:rPr>
          <w:b/>
          <w:szCs w:val="24"/>
        </w:rPr>
        <w:t>The threat of new entrants</w:t>
      </w:r>
    </w:p>
    <w:p w:rsidR="00E744EF" w:rsidRPr="005F24BE" w:rsidRDefault="006250E4">
      <w:pPr>
        <w:spacing w:line="360" w:lineRule="auto"/>
        <w:jc w:val="both"/>
        <w:rPr>
          <w:szCs w:val="24"/>
        </w:rPr>
      </w:pPr>
      <w:r w:rsidRPr="005F24BE">
        <w:rPr>
          <w:szCs w:val="24"/>
        </w:rPr>
        <w:t>The market of laser cutting services is highly specialised and difficult to enter competitively, as these tools for laser cutting activities require a high degree of expertise. Furthermore, the knowledge and skills involved need to be at a higher level to ensure the specialised laser cutting tools are used to their maximum utility. These developments, therefore, restrict the threat of new market entrants in the industry, as they will not have similar VRIN resources to compete appropriately with legacy market firms like Subcon. In summary, the high cost of entry is expressed through the expensive price of the laser cutting machines, and the skills and knowledge required to act competitively with existing firms like Subcon limits the potential development of this threat for the company.</w:t>
      </w:r>
    </w:p>
    <w:p w:rsidR="00E744EF" w:rsidRPr="005F24BE" w:rsidRDefault="006250E4">
      <w:pPr>
        <w:spacing w:line="360" w:lineRule="auto"/>
        <w:jc w:val="both"/>
        <w:rPr>
          <w:b/>
          <w:szCs w:val="24"/>
        </w:rPr>
      </w:pPr>
      <w:r w:rsidRPr="005F24BE">
        <w:rPr>
          <w:b/>
          <w:szCs w:val="24"/>
        </w:rPr>
        <w:t>The threat of product substitutes</w:t>
      </w:r>
    </w:p>
    <w:p w:rsidR="00E744EF" w:rsidRPr="005F24BE" w:rsidRDefault="006250E4">
      <w:pPr>
        <w:spacing w:line="360" w:lineRule="auto"/>
        <w:jc w:val="both"/>
        <w:rPr>
          <w:szCs w:val="24"/>
        </w:rPr>
      </w:pPr>
      <w:r w:rsidRPr="005F24BE">
        <w:rPr>
          <w:szCs w:val="24"/>
        </w:rPr>
        <w:t>This threat is present in a limited capacity for Subcon, as its business operations require the use of advanced laser-cutting machines. There are no comparable product substitutes that can replace this essential functioning of the business. The thorough precision of laser cutting tools creates a uniform and consistent finish to the final goods, resulting in less waste such as burrs or dust. The use of digital technology in automating laser cutting activities ensures there are no variations in the laser cutting operations, resulting in quality control and perfect attunement to client requirements. Therefore, manual tools or other tools are not capable of substituting the performance of digitally automated laser cutting machines.</w:t>
      </w:r>
    </w:p>
    <w:p w:rsidR="00E744EF" w:rsidRPr="005F24BE" w:rsidRDefault="006250E4">
      <w:pPr>
        <w:spacing w:line="360" w:lineRule="auto"/>
        <w:jc w:val="both"/>
        <w:rPr>
          <w:b/>
          <w:szCs w:val="24"/>
        </w:rPr>
      </w:pPr>
      <w:r w:rsidRPr="005F24BE">
        <w:rPr>
          <w:b/>
          <w:szCs w:val="24"/>
        </w:rPr>
        <w:t>Industry rivalry</w:t>
      </w:r>
    </w:p>
    <w:p w:rsidR="00E744EF" w:rsidRPr="005F24BE" w:rsidRDefault="006250E4">
      <w:pPr>
        <w:spacing w:line="360" w:lineRule="auto"/>
        <w:jc w:val="both"/>
        <w:rPr>
          <w:szCs w:val="24"/>
        </w:rPr>
      </w:pPr>
      <w:r w:rsidRPr="005F24BE">
        <w:rPr>
          <w:szCs w:val="24"/>
        </w:rPr>
        <w:t>The industry rivalry is present in a moderate capacity, as SMEs like Subcon have maintained their market position over the decades. The high barrier to entry and low threat of product substitutes reduces the scope of industry rivalry in this context. Therefore, the industry rivalry analysis positions Subcon in a favourable spot where it can maintain its continuity in business performance.</w:t>
      </w:r>
    </w:p>
    <w:p w:rsidR="00E744EF" w:rsidRDefault="006250E4" w:rsidP="00BC1B73">
      <w:pPr>
        <w:pStyle w:val="Titlu2"/>
      </w:pPr>
      <w:bookmarkStart w:id="8" w:name="_Toc132710175"/>
      <w:r>
        <w:t>4.2 Summary of Internal and external analysis with SWOT Model</w:t>
      </w:r>
      <w:bookmarkEnd w:id="8"/>
    </w:p>
    <w:p w:rsidR="00E744EF" w:rsidRPr="005F24BE" w:rsidRDefault="006250E4">
      <w:pPr>
        <w:spacing w:line="360" w:lineRule="auto"/>
        <w:jc w:val="both"/>
        <w:rPr>
          <w:b/>
          <w:szCs w:val="24"/>
        </w:rPr>
      </w:pPr>
      <w:r w:rsidRPr="005F24BE">
        <w:rPr>
          <w:b/>
          <w:szCs w:val="24"/>
        </w:rPr>
        <w:t>Strengths</w:t>
      </w:r>
    </w:p>
    <w:p w:rsidR="00E744EF" w:rsidRPr="005F24BE" w:rsidRDefault="006250E4">
      <w:pPr>
        <w:spacing w:line="360" w:lineRule="auto"/>
        <w:jc w:val="both"/>
        <w:rPr>
          <w:szCs w:val="24"/>
        </w:rPr>
      </w:pPr>
      <w:r w:rsidRPr="005F24BE">
        <w:rPr>
          <w:szCs w:val="24"/>
        </w:rPr>
        <w:t>Firstly, Subcon has the strength of guided leadership led by the owner's Bill and Christine Brown. Their expertise in the field of guided laser cutting has allowed Subcon to grow over the decades since it was founded in 1989. It allowed Subcon to incorporate contemporary developments in the industry, such as TRUMPF laser devices that created a competitive market advantage for Subcon. Therefore, the strength of leadership is among the key strengths of Subcon from this given analysis.</w:t>
      </w:r>
    </w:p>
    <w:p w:rsidR="00E744EF" w:rsidRPr="005F24BE" w:rsidRDefault="006250E4">
      <w:pPr>
        <w:spacing w:line="360" w:lineRule="auto"/>
        <w:jc w:val="both"/>
        <w:rPr>
          <w:szCs w:val="24"/>
        </w:rPr>
      </w:pPr>
      <w:r w:rsidRPr="005F24BE">
        <w:rPr>
          <w:szCs w:val="24"/>
        </w:rPr>
        <w:t>Secondly, Subcon has a competitive advantage in its ownership of advanced laser cutting systems. In conjunction with the advantage of leadership knowledge and experience, Subcon becomes capable of satisfying the broader needs of discerning clients in the industry. The capability of delivering finished goods with precision and minimal wastage provides a sustained competitive advantage for Subcon in this way (BossLaser, 2022).</w:t>
      </w:r>
    </w:p>
    <w:p w:rsidR="00E744EF" w:rsidRPr="005F24BE" w:rsidRDefault="006250E4">
      <w:pPr>
        <w:spacing w:line="360" w:lineRule="auto"/>
        <w:jc w:val="both"/>
        <w:rPr>
          <w:szCs w:val="24"/>
        </w:rPr>
      </w:pPr>
      <w:r w:rsidRPr="005F24BE">
        <w:rPr>
          <w:szCs w:val="24"/>
        </w:rPr>
        <w:t>Thirdly, Subcon’s network of international clients creates a broader network of connections through which Subcon can increase its global market presence. This allows the firm to build a higher level of market presence through the existing client relationships it has developed over the years, ensuring that it can position itself more securely against any new market threats.</w:t>
      </w:r>
    </w:p>
    <w:p w:rsidR="00E744EF" w:rsidRPr="005F24BE" w:rsidRDefault="006250E4">
      <w:pPr>
        <w:spacing w:line="360" w:lineRule="auto"/>
        <w:jc w:val="both"/>
        <w:rPr>
          <w:b/>
          <w:szCs w:val="24"/>
        </w:rPr>
      </w:pPr>
      <w:r w:rsidRPr="005F24BE">
        <w:rPr>
          <w:b/>
          <w:szCs w:val="24"/>
        </w:rPr>
        <w:t>Weaknesses</w:t>
      </w:r>
    </w:p>
    <w:p w:rsidR="005F24BE" w:rsidRDefault="006250E4">
      <w:pPr>
        <w:spacing w:line="360" w:lineRule="auto"/>
        <w:jc w:val="both"/>
        <w:rPr>
          <w:szCs w:val="24"/>
        </w:rPr>
      </w:pPr>
      <w:r w:rsidRPr="005F24BE">
        <w:rPr>
          <w:szCs w:val="24"/>
        </w:rPr>
        <w:t>Firstly, Subcon is a small SME company which makes it unable to take advantage of the amenities available to larger corporations. Advantages such as tax breaks and higher loan amounts are not available for SMEs, and therefore Subcon’s expansion potential is limited by this factor. However, this weakness is a necessary occurrence as Subcon’s small size allows it to retain a higher degree of control and ownership of advanced laser cutting machines, through which it can satisfy the discerning needs of i</w:t>
      </w:r>
      <w:r>
        <w:rPr>
          <w:szCs w:val="24"/>
        </w:rPr>
        <w:t>ts clients.</w:t>
      </w:r>
    </w:p>
    <w:p w:rsidR="00E744EF" w:rsidRPr="005F24BE" w:rsidRDefault="006250E4">
      <w:pPr>
        <w:spacing w:line="360" w:lineRule="auto"/>
        <w:jc w:val="both"/>
        <w:rPr>
          <w:szCs w:val="24"/>
        </w:rPr>
      </w:pPr>
      <w:r w:rsidRPr="005F24BE">
        <w:rPr>
          <w:szCs w:val="24"/>
        </w:rPr>
        <w:t>Secondly, the expensive tools at Subcon are housed at the same 60,000 sq ft location in the UK. This renders the entire operation vulnerable to physical disruptions such as on-site fires or breakdown of equipment, as laser cutting services cannot be fully digitised to safeguard them from physical threats like fire hazards.</w:t>
      </w:r>
    </w:p>
    <w:p w:rsidR="00E744EF" w:rsidRPr="005F24BE" w:rsidRDefault="006250E4">
      <w:pPr>
        <w:spacing w:line="360" w:lineRule="auto"/>
        <w:jc w:val="both"/>
        <w:rPr>
          <w:b/>
          <w:szCs w:val="24"/>
        </w:rPr>
      </w:pPr>
      <w:r w:rsidRPr="005F24BE">
        <w:rPr>
          <w:b/>
          <w:szCs w:val="24"/>
        </w:rPr>
        <w:t>Opportunities</w:t>
      </w:r>
    </w:p>
    <w:p w:rsidR="00E744EF" w:rsidRPr="005F24BE" w:rsidRDefault="006250E4">
      <w:pPr>
        <w:spacing w:line="360" w:lineRule="auto"/>
        <w:jc w:val="both"/>
        <w:rPr>
          <w:szCs w:val="24"/>
        </w:rPr>
      </w:pPr>
      <w:r w:rsidRPr="005F24BE">
        <w:rPr>
          <w:szCs w:val="24"/>
        </w:rPr>
        <w:t>Firstly, Subcon’s ownership of key laser-cutting assets allows it to capitalise on foreign market customers. The laser cutting machines have the advantage of being operated remotely, which allows remote and foreign clients to directly control the laser cutting process as per their specifications (BossLaser, 2022). This offers a higher level of satisfaction through the customisation of the product, and Subcon has the market position and capabilities to engage with its clients in this interactive and profitable way.</w:t>
      </w:r>
    </w:p>
    <w:p w:rsidR="00E744EF" w:rsidRPr="005F24BE" w:rsidRDefault="006250E4">
      <w:pPr>
        <w:spacing w:line="360" w:lineRule="auto"/>
        <w:jc w:val="both"/>
        <w:rPr>
          <w:b/>
          <w:szCs w:val="24"/>
        </w:rPr>
      </w:pPr>
      <w:r w:rsidRPr="005F24BE">
        <w:rPr>
          <w:b/>
          <w:szCs w:val="24"/>
        </w:rPr>
        <w:t>Threats</w:t>
      </w:r>
    </w:p>
    <w:p w:rsidR="00E744EF" w:rsidRPr="005F24BE" w:rsidRDefault="006250E4">
      <w:pPr>
        <w:spacing w:line="360" w:lineRule="auto"/>
        <w:jc w:val="both"/>
        <w:rPr>
          <w:szCs w:val="24"/>
        </w:rPr>
      </w:pPr>
      <w:r w:rsidRPr="005F24BE">
        <w:rPr>
          <w:szCs w:val="24"/>
        </w:rPr>
        <w:t>Firstly, Subcon may be affected in the long term as the diffusion of innovations increases the prevalence of advanced technologies in a commercial and accessible manner (Toorajipour et al., 2021). For instance, future technologies can allow companies to perform laser cutting services economically through AI-controlled machines, which would drive obsolescence at the business model of Subcon. While this is not a present threat, the rapid development of artificial intelligence and accessibility of advanced technologies presents this as a likely occurrence in the long term.</w:t>
      </w:r>
    </w:p>
    <w:p w:rsidR="00E744EF" w:rsidRDefault="006250E4" w:rsidP="00BC1B73">
      <w:pPr>
        <w:pStyle w:val="Titlu1"/>
      </w:pPr>
      <w:bookmarkStart w:id="9" w:name="_Toc132710176"/>
      <w:r>
        <w:t>5.0 Strategic options analysis</w:t>
      </w:r>
      <w:bookmarkEnd w:id="9"/>
    </w:p>
    <w:p w:rsidR="00E744EF" w:rsidRDefault="006250E4" w:rsidP="00BC1B73">
      <w:pPr>
        <w:pStyle w:val="Titlu2"/>
      </w:pPr>
      <w:bookmarkStart w:id="10" w:name="_Toc132710177"/>
      <w:r>
        <w:t>5.1 Ansoff Matrix model</w:t>
      </w:r>
      <w:bookmarkEnd w:id="10"/>
    </w:p>
    <w:p w:rsidR="00E744EF" w:rsidRDefault="006250E4">
      <w:pPr>
        <w:spacing w:line="360" w:lineRule="auto"/>
        <w:jc w:val="both"/>
        <w:rPr>
          <w:b/>
          <w:szCs w:val="24"/>
        </w:rPr>
      </w:pPr>
      <w:r w:rsidRPr="005F24BE">
        <w:rPr>
          <w:b/>
          <w:szCs w:val="24"/>
        </w:rPr>
        <w:t>Market penetration</w:t>
      </w:r>
    </w:p>
    <w:p w:rsidR="00A7778B" w:rsidRPr="00A7778B" w:rsidRDefault="006250E4">
      <w:pPr>
        <w:spacing w:line="360" w:lineRule="auto"/>
        <w:jc w:val="both"/>
        <w:rPr>
          <w:szCs w:val="24"/>
        </w:rPr>
      </w:pPr>
      <w:r>
        <w:rPr>
          <w:szCs w:val="24"/>
        </w:rPr>
        <w:t>Under this dimension of the Ansoff Matrix model, the firm seeks to increase its market share through its existing products in the existing markets. For Subcon, this would mean increasing its market share in the existing domestic market of the UK as well as other foreign markets like India. Subcon can achieve this by increasing the quality of efficiency in its service delivery, such as customer relationship management to manage quotes and enquiries regarding its laser cutting services. It can also use digital marketing to drive differentiation in brand perception for its business services, thereby increasing the outcome of greater market penetration in the existing markets.</w:t>
      </w:r>
    </w:p>
    <w:p w:rsidR="00E744EF" w:rsidRDefault="006250E4">
      <w:pPr>
        <w:spacing w:line="360" w:lineRule="auto"/>
        <w:jc w:val="both"/>
        <w:rPr>
          <w:b/>
          <w:szCs w:val="24"/>
        </w:rPr>
      </w:pPr>
      <w:r w:rsidRPr="005F24BE">
        <w:rPr>
          <w:b/>
          <w:szCs w:val="24"/>
        </w:rPr>
        <w:t>Market development</w:t>
      </w:r>
    </w:p>
    <w:p w:rsidR="000732EF" w:rsidRPr="000732EF" w:rsidRDefault="006250E4">
      <w:pPr>
        <w:spacing w:line="360" w:lineRule="auto"/>
        <w:jc w:val="both"/>
        <w:rPr>
          <w:szCs w:val="24"/>
        </w:rPr>
      </w:pPr>
      <w:r>
        <w:rPr>
          <w:szCs w:val="24"/>
        </w:rPr>
        <w:t>Under this dimension of the model, the firm seeks to create a new market for its products through the use of existing products. For Subcon, this would mean increasing the export potential for its laser-cutting services across the global markets. Doing so will allow Subcon to maximise its global business potential by tapping into customer demand, particularly in emerging economies like Brazil. Subcon’s existing facilities allow for the remote operation of its laser-cutting devices, which will be able to meet the precise needs of global clients across cultures and borders.</w:t>
      </w:r>
    </w:p>
    <w:p w:rsidR="00E744EF" w:rsidRDefault="006250E4">
      <w:pPr>
        <w:spacing w:line="360" w:lineRule="auto"/>
        <w:jc w:val="both"/>
        <w:rPr>
          <w:b/>
          <w:szCs w:val="24"/>
        </w:rPr>
      </w:pPr>
      <w:r w:rsidRPr="005F24BE">
        <w:rPr>
          <w:b/>
          <w:szCs w:val="24"/>
        </w:rPr>
        <w:t>Product development</w:t>
      </w:r>
    </w:p>
    <w:p w:rsidR="000732EF" w:rsidRPr="000732EF" w:rsidRDefault="006250E4">
      <w:pPr>
        <w:spacing w:line="360" w:lineRule="auto"/>
        <w:jc w:val="both"/>
        <w:rPr>
          <w:szCs w:val="24"/>
        </w:rPr>
      </w:pPr>
      <w:r>
        <w:rPr>
          <w:szCs w:val="24"/>
        </w:rPr>
        <w:t>Under this strategic approach, the firm develops a new product for its markets. This approach is less applicable for Subcon, as it is an SME-type firm with a highly specialised focus on laser cutting services. As such, the firm cannot engage in product development by diversifying from its core business functioning; this would dilute the existing performance of the firm and its focused growth within its existing business sector. Therefore, the product development approach is not considered for its lack of applicability in this firm’s instance.</w:t>
      </w:r>
    </w:p>
    <w:p w:rsidR="00E744EF" w:rsidRDefault="006250E4">
      <w:pPr>
        <w:spacing w:line="360" w:lineRule="auto"/>
        <w:jc w:val="both"/>
        <w:rPr>
          <w:b/>
          <w:szCs w:val="24"/>
        </w:rPr>
      </w:pPr>
      <w:r w:rsidRPr="005F24BE">
        <w:rPr>
          <w:b/>
          <w:szCs w:val="24"/>
        </w:rPr>
        <w:t>Diversification</w:t>
      </w:r>
    </w:p>
    <w:p w:rsidR="000732EF" w:rsidRPr="000732EF" w:rsidRDefault="006250E4">
      <w:pPr>
        <w:spacing w:line="360" w:lineRule="auto"/>
        <w:jc w:val="both"/>
        <w:rPr>
          <w:szCs w:val="24"/>
        </w:rPr>
      </w:pPr>
      <w:r>
        <w:rPr>
          <w:szCs w:val="24"/>
        </w:rPr>
        <w:t xml:space="preserve">This approach is also not recommended as it is a highly resource-intensive strategy that involves developing a new strategic direction of products and markets for the firm. Diversification to this degree will only divest existing resources from existing business operations into other areas that will not generate </w:t>
      </w:r>
      <w:r w:rsidR="00CF79B1">
        <w:rPr>
          <w:szCs w:val="24"/>
        </w:rPr>
        <w:t>similar</w:t>
      </w:r>
      <w:r>
        <w:rPr>
          <w:szCs w:val="24"/>
        </w:rPr>
        <w:t>, steady profitable revenue through business operations.</w:t>
      </w:r>
    </w:p>
    <w:p w:rsidR="00E744EF" w:rsidRDefault="006250E4" w:rsidP="00BC1B73">
      <w:pPr>
        <w:pStyle w:val="Titlu2"/>
      </w:pPr>
      <w:bookmarkStart w:id="11" w:name="_Toc132710178"/>
      <w:r>
        <w:t>5.2 Porter's Generic Strategies Model</w:t>
      </w:r>
      <w:bookmarkEnd w:id="11"/>
    </w:p>
    <w:p w:rsidR="00E744EF" w:rsidRDefault="006250E4">
      <w:pPr>
        <w:spacing w:line="360" w:lineRule="auto"/>
        <w:jc w:val="both"/>
        <w:rPr>
          <w:b/>
          <w:szCs w:val="24"/>
        </w:rPr>
      </w:pPr>
      <w:r w:rsidRPr="005F24BE">
        <w:rPr>
          <w:b/>
          <w:szCs w:val="24"/>
        </w:rPr>
        <w:t>Cost leadership</w:t>
      </w:r>
    </w:p>
    <w:p w:rsidR="00CF79B1" w:rsidRPr="00CF79B1" w:rsidRDefault="006250E4">
      <w:pPr>
        <w:spacing w:line="360" w:lineRule="auto"/>
        <w:jc w:val="both"/>
        <w:rPr>
          <w:szCs w:val="24"/>
        </w:rPr>
      </w:pPr>
      <w:r>
        <w:rPr>
          <w:szCs w:val="24"/>
        </w:rPr>
        <w:t>The cost leadership strategy sees the firm reduce its operating expenses while preserving the profit margin, thereby increasing the net profit earned through cost reductions in its value-chain operations. This strategic approach is suitable for Subcon, as the firm’s market expertise in laser cutting services makes it capable of identifying areas for lean improvement within its value-chain systems. The high degree of knowledge and skills of the specialised workforce at Subcon ensures such an outcome is possible, as internal analysis may reveal ways to cut back on costs without compromising on quality offerings for its customers. It will allow Subcon to be in a leading position in cost terms in the industry.</w:t>
      </w:r>
    </w:p>
    <w:p w:rsidR="00E744EF" w:rsidRDefault="006250E4">
      <w:pPr>
        <w:spacing w:line="360" w:lineRule="auto"/>
        <w:jc w:val="both"/>
        <w:rPr>
          <w:b/>
          <w:szCs w:val="24"/>
        </w:rPr>
      </w:pPr>
      <w:r w:rsidRPr="005F24BE">
        <w:rPr>
          <w:b/>
          <w:szCs w:val="24"/>
        </w:rPr>
        <w:t>Differentiation</w:t>
      </w:r>
    </w:p>
    <w:p w:rsidR="00CF79B1" w:rsidRPr="00CF79B1" w:rsidRDefault="006250E4">
      <w:pPr>
        <w:spacing w:line="360" w:lineRule="auto"/>
        <w:jc w:val="both"/>
        <w:rPr>
          <w:szCs w:val="24"/>
        </w:rPr>
      </w:pPr>
      <w:r>
        <w:rPr>
          <w:szCs w:val="24"/>
        </w:rPr>
        <w:t>This strategy secures the firm’s competitive edge through a differentiation of the quality of its products, offerings and services compared to those of its rivals. For Subcon, this would require focusing on internal innovation development through focused investment in research and development. This will equip the firm with the capabilities to upgrade its product quality, such as incorporating advanced laser cutting tools that creates a differentiation advantage for the firm. An increased focus on marketing and sales growth can also be used to secure the firms' advantage in this context.</w:t>
      </w:r>
    </w:p>
    <w:p w:rsidR="00E744EF" w:rsidRDefault="006250E4">
      <w:pPr>
        <w:spacing w:line="360" w:lineRule="auto"/>
        <w:jc w:val="both"/>
        <w:rPr>
          <w:b/>
          <w:szCs w:val="24"/>
        </w:rPr>
      </w:pPr>
      <w:r w:rsidRPr="005F24BE">
        <w:rPr>
          <w:b/>
          <w:szCs w:val="24"/>
        </w:rPr>
        <w:t>Cost focus</w:t>
      </w:r>
    </w:p>
    <w:p w:rsidR="00627754" w:rsidRPr="00627754" w:rsidRDefault="006250E4">
      <w:pPr>
        <w:spacing w:line="360" w:lineRule="auto"/>
        <w:jc w:val="both"/>
        <w:rPr>
          <w:szCs w:val="24"/>
        </w:rPr>
      </w:pPr>
      <w:r>
        <w:rPr>
          <w:szCs w:val="24"/>
        </w:rPr>
        <w:t>The cost-focus strategy is less applicable for Subcon, as this strategy seeks to create competitive earning potential through low-cost products. However, the specialised nature of laser cutting services prevents them from being offered in a low-cost manner, as this would affect the strength of digitally powered autonomous laser cutting operations over manual cutting operations that are available at a lower cost corresponding with a lower quality as well.</w:t>
      </w:r>
    </w:p>
    <w:p w:rsidR="00E744EF" w:rsidRDefault="006250E4">
      <w:pPr>
        <w:spacing w:line="360" w:lineRule="auto"/>
        <w:jc w:val="both"/>
        <w:rPr>
          <w:b/>
          <w:szCs w:val="24"/>
        </w:rPr>
      </w:pPr>
      <w:r w:rsidRPr="005F24BE">
        <w:rPr>
          <w:b/>
          <w:szCs w:val="24"/>
        </w:rPr>
        <w:t>Differentiation focus</w:t>
      </w:r>
    </w:p>
    <w:p w:rsidR="00627754" w:rsidRPr="00627754" w:rsidRDefault="006250E4">
      <w:pPr>
        <w:spacing w:line="360" w:lineRule="auto"/>
        <w:jc w:val="both"/>
        <w:rPr>
          <w:szCs w:val="24"/>
        </w:rPr>
      </w:pPr>
      <w:r>
        <w:rPr>
          <w:szCs w:val="24"/>
        </w:rPr>
        <w:t>Differentiation focus can be deployed on narrow segments such as clients from engineering, scientific and other rigorous industries with high-quality control standards and discerning requirements. High-efficiency laser-cutting services for these clients will satisfy their needs, as they may need laser-cut equipment to empower their in-house machinery or other components. This will also secure the competitive edge of differentiation for Subcon against its market rivals.</w:t>
      </w:r>
    </w:p>
    <w:p w:rsidR="00E744EF" w:rsidRDefault="006250E4" w:rsidP="00BC1B73">
      <w:pPr>
        <w:pStyle w:val="Titlu2"/>
      </w:pPr>
      <w:bookmarkStart w:id="12" w:name="_Toc132710179"/>
      <w:r>
        <w:t>5.3 SFA framework analysis</w:t>
      </w:r>
      <w:bookmarkEnd w:id="12"/>
    </w:p>
    <w:p w:rsidR="00E744EF" w:rsidRDefault="006250E4">
      <w:pPr>
        <w:spacing w:line="360" w:lineRule="auto"/>
        <w:jc w:val="both"/>
        <w:rPr>
          <w:b/>
          <w:szCs w:val="24"/>
        </w:rPr>
      </w:pPr>
      <w:r w:rsidRPr="005F24BE">
        <w:rPr>
          <w:b/>
          <w:szCs w:val="24"/>
        </w:rPr>
        <w:t>Suitability</w:t>
      </w:r>
    </w:p>
    <w:p w:rsidR="00B80FB4" w:rsidRPr="00B80FB4" w:rsidRDefault="006250E4">
      <w:pPr>
        <w:spacing w:line="360" w:lineRule="auto"/>
        <w:jc w:val="both"/>
        <w:rPr>
          <w:szCs w:val="24"/>
        </w:rPr>
      </w:pPr>
      <w:r>
        <w:rPr>
          <w:szCs w:val="24"/>
        </w:rPr>
        <w:t>The suitability of the firm’s operations is positive in this context, as Subcon can utilise its strengths to drive the capacity for capitalising on business opportunities. This sees Subcon being positioned to engage with clients from diverse global markets, enhancing the overall business performance of the company.</w:t>
      </w:r>
    </w:p>
    <w:p w:rsidR="00E744EF" w:rsidRDefault="006250E4">
      <w:pPr>
        <w:spacing w:line="360" w:lineRule="auto"/>
        <w:jc w:val="both"/>
        <w:rPr>
          <w:b/>
          <w:szCs w:val="24"/>
        </w:rPr>
      </w:pPr>
      <w:r w:rsidRPr="005F24BE">
        <w:rPr>
          <w:b/>
          <w:szCs w:val="24"/>
        </w:rPr>
        <w:t>Feasibility</w:t>
      </w:r>
    </w:p>
    <w:p w:rsidR="00B80FB4" w:rsidRPr="00B80FB4" w:rsidRDefault="006250E4">
      <w:pPr>
        <w:spacing w:line="360" w:lineRule="auto"/>
        <w:jc w:val="both"/>
        <w:rPr>
          <w:szCs w:val="24"/>
        </w:rPr>
      </w:pPr>
      <w:r>
        <w:rPr>
          <w:szCs w:val="24"/>
        </w:rPr>
        <w:t>The feasibility of the strategic decision-making at Subcon in expanding exports is also feasible, owing to the firm’s SME size and ownership of assets. The small size of the firm creates a flatter organisational structure, which is capable of driving business innovation growth. The ownership of key assets like TRUMPF laser cutting devices allows Subcon to customise the laser cutting devices following customer requirements.</w:t>
      </w:r>
    </w:p>
    <w:p w:rsidR="00E744EF" w:rsidRDefault="006250E4">
      <w:pPr>
        <w:spacing w:line="360" w:lineRule="auto"/>
        <w:jc w:val="both"/>
        <w:rPr>
          <w:b/>
          <w:szCs w:val="24"/>
        </w:rPr>
      </w:pPr>
      <w:r w:rsidRPr="005F24BE">
        <w:rPr>
          <w:b/>
          <w:szCs w:val="24"/>
        </w:rPr>
        <w:t>Acceptability</w:t>
      </w:r>
    </w:p>
    <w:p w:rsidR="00B80FB4" w:rsidRPr="00B80FB4" w:rsidRDefault="006250E4">
      <w:pPr>
        <w:spacing w:line="360" w:lineRule="auto"/>
        <w:jc w:val="both"/>
        <w:rPr>
          <w:sz w:val="24"/>
          <w:szCs w:val="24"/>
        </w:rPr>
      </w:pPr>
      <w:r>
        <w:rPr>
          <w:szCs w:val="24"/>
        </w:rPr>
        <w:t>Subcon’s potential for exporting to global markets remains strong, as laser cutting services can be performed remotely. This safeguards Subcon from having to invest in another operations site, as the existing site and facilities can accommodate such business expansion goals.</w:t>
      </w:r>
    </w:p>
    <w:p w:rsidR="00E744EF" w:rsidRDefault="006250E4" w:rsidP="00BC1B73">
      <w:pPr>
        <w:pStyle w:val="Titlu2"/>
      </w:pPr>
      <w:bookmarkStart w:id="13" w:name="_Toc132710180"/>
      <w:r>
        <w:t>5.4 Mendelow’s Stakeholder Matrix Analysis</w:t>
      </w:r>
      <w:bookmarkEnd w:id="13"/>
    </w:p>
    <w:p w:rsidR="00E744EF" w:rsidRDefault="006250E4">
      <w:pPr>
        <w:spacing w:line="360" w:lineRule="auto"/>
        <w:jc w:val="both"/>
        <w:rPr>
          <w:b/>
          <w:szCs w:val="24"/>
        </w:rPr>
      </w:pPr>
      <w:r w:rsidRPr="005F24BE">
        <w:rPr>
          <w:b/>
          <w:szCs w:val="24"/>
        </w:rPr>
        <w:t>Low power-low interest</w:t>
      </w:r>
    </w:p>
    <w:p w:rsidR="002B661C" w:rsidRPr="002B661C" w:rsidRDefault="006250E4">
      <w:pPr>
        <w:spacing w:line="360" w:lineRule="auto"/>
        <w:jc w:val="both"/>
        <w:rPr>
          <w:szCs w:val="24"/>
        </w:rPr>
      </w:pPr>
      <w:r>
        <w:rPr>
          <w:szCs w:val="24"/>
        </w:rPr>
        <w:t>These stakeholders have a low power influence on the firm’s operations, as well as a low personal interest in the operations of the firm. Such stakeholders can include local NGOs and suppliers, and Subcon must monitor their interests to ensure the necessary minimum engagement is performed to maintain satisfaction with these stakeholders.</w:t>
      </w:r>
    </w:p>
    <w:p w:rsidR="00E744EF" w:rsidRDefault="006250E4">
      <w:pPr>
        <w:spacing w:line="360" w:lineRule="auto"/>
        <w:jc w:val="both"/>
        <w:rPr>
          <w:b/>
          <w:szCs w:val="24"/>
        </w:rPr>
      </w:pPr>
      <w:r w:rsidRPr="005F24BE">
        <w:rPr>
          <w:b/>
          <w:szCs w:val="24"/>
        </w:rPr>
        <w:t>High power-low interest</w:t>
      </w:r>
    </w:p>
    <w:p w:rsidR="002B661C" w:rsidRPr="002B661C" w:rsidRDefault="006250E4">
      <w:pPr>
        <w:spacing w:line="360" w:lineRule="auto"/>
        <w:jc w:val="both"/>
        <w:rPr>
          <w:szCs w:val="24"/>
        </w:rPr>
      </w:pPr>
      <w:r>
        <w:rPr>
          <w:szCs w:val="24"/>
        </w:rPr>
        <w:t>For Subcon, stakeholders in this dimension are present in the form of governments and banks. Their high power influence leads to their capability for affecting the firm's business performance through lobbying and protests if they experience negative engagement with the firm. Therefore, it is valuable to satisfy these stakeholders proactively to secure their long-term satisfaction.</w:t>
      </w:r>
    </w:p>
    <w:p w:rsidR="00E744EF" w:rsidRDefault="006250E4">
      <w:pPr>
        <w:spacing w:line="360" w:lineRule="auto"/>
        <w:jc w:val="both"/>
        <w:rPr>
          <w:b/>
          <w:szCs w:val="24"/>
        </w:rPr>
      </w:pPr>
      <w:r w:rsidRPr="005F24BE">
        <w:rPr>
          <w:b/>
          <w:szCs w:val="24"/>
        </w:rPr>
        <w:t>Low power-high interest</w:t>
      </w:r>
    </w:p>
    <w:p w:rsidR="002B661C" w:rsidRPr="002B661C" w:rsidRDefault="006250E4">
      <w:pPr>
        <w:spacing w:line="360" w:lineRule="auto"/>
        <w:jc w:val="both"/>
        <w:rPr>
          <w:szCs w:val="24"/>
        </w:rPr>
      </w:pPr>
      <w:r>
        <w:rPr>
          <w:szCs w:val="24"/>
        </w:rPr>
        <w:t>Similarly, the customers and employees of the firm are represented under this category. Their satisfaction is integral to the satisfactory performance of the firm in the long term.</w:t>
      </w:r>
    </w:p>
    <w:p w:rsidR="00E744EF" w:rsidRDefault="006250E4">
      <w:pPr>
        <w:spacing w:line="360" w:lineRule="auto"/>
        <w:jc w:val="both"/>
        <w:rPr>
          <w:b/>
          <w:szCs w:val="24"/>
        </w:rPr>
      </w:pPr>
      <w:r w:rsidRPr="005F24BE">
        <w:rPr>
          <w:b/>
          <w:szCs w:val="24"/>
        </w:rPr>
        <w:t>High power-high interest</w:t>
      </w:r>
    </w:p>
    <w:p w:rsidR="002B661C" w:rsidRPr="002B661C" w:rsidRDefault="006250E4">
      <w:pPr>
        <w:spacing w:line="360" w:lineRule="auto"/>
        <w:jc w:val="both"/>
        <w:rPr>
          <w:szCs w:val="24"/>
        </w:rPr>
      </w:pPr>
      <w:r>
        <w:rPr>
          <w:szCs w:val="24"/>
        </w:rPr>
        <w:t>Key stakeholders like owners and investors are represented in this dimension. Stakeholder management with these representatives is critical as their support will be influential towards affecting the firm’s long-term development.</w:t>
      </w:r>
    </w:p>
    <w:p w:rsidR="00E744EF" w:rsidRDefault="006250E4" w:rsidP="00BC1B73">
      <w:pPr>
        <w:pStyle w:val="Titlu1"/>
      </w:pPr>
      <w:bookmarkStart w:id="14" w:name="_Toc132710181"/>
      <w:r>
        <w:t>6.0 Recommendations</w:t>
      </w:r>
      <w:bookmarkEnd w:id="14"/>
    </w:p>
    <w:p w:rsidR="00E744EF" w:rsidRPr="005F24BE" w:rsidRDefault="006250E4">
      <w:pPr>
        <w:spacing w:line="360" w:lineRule="auto"/>
        <w:jc w:val="both"/>
        <w:rPr>
          <w:szCs w:val="24"/>
        </w:rPr>
      </w:pPr>
      <w:r w:rsidRPr="005F24BE">
        <w:rPr>
          <w:szCs w:val="24"/>
        </w:rPr>
        <w:t>Firstly, Subcon must diversify its business operations to become resilient against future disruptions in the market. For instance, the ongoing advancement of digital technologies is proceeding within the framework of Industry 4.0. This includes various technologies such as artificial intelligence and robotics, which are utilised in present-day laser-cutting businesses as well. It is possible that the same laser cutting services can be performed in-house with ease at companies in the future, which would threaten the continuity of business operations at Subcon.</w:t>
      </w:r>
    </w:p>
    <w:p w:rsidR="00E744EF" w:rsidRPr="005F24BE" w:rsidRDefault="006250E4">
      <w:pPr>
        <w:spacing w:line="360" w:lineRule="auto"/>
        <w:jc w:val="both"/>
        <w:rPr>
          <w:szCs w:val="24"/>
        </w:rPr>
      </w:pPr>
      <w:r w:rsidRPr="005F24BE">
        <w:rPr>
          <w:szCs w:val="24"/>
        </w:rPr>
        <w:t>Secondly, Subcon can also invest in these technologies to gain a further competitive advantage that is driven by the use of its existing expertise in business operations. By using these experiences proactively and creatively through technologies like artificial intelligence, Subcon will be able to create a further competitive edge for itself in the long term that may be more effective than in-house laser cutting solutions. This would preserve the continuity of business operations by capitalising on the existing strengths of the company.</w:t>
      </w:r>
    </w:p>
    <w:p w:rsidR="00E744EF" w:rsidRPr="005F24BE" w:rsidRDefault="006250E4">
      <w:pPr>
        <w:spacing w:line="360" w:lineRule="auto"/>
        <w:jc w:val="both"/>
        <w:rPr>
          <w:szCs w:val="24"/>
        </w:rPr>
      </w:pPr>
      <w:r w:rsidRPr="005F24BE">
        <w:rPr>
          <w:szCs w:val="24"/>
        </w:rPr>
        <w:t>Thirdly, Subcon must invest in green energy systems such as renewable electricity or solar power generators for its main operations premises. This will ensure that Subcon’s value-chain activities are driven through green energy, which reduces the carbon footprint from the operations activities. It also safeguards Subcon against green compliance measures in the future that may be introduced under the Net Zero 2050 initiative. Therefore, these recommendations presented along with developments in business digitisation and sustainability ensure that Subcon will be future-ready in its SME capacity.</w:t>
      </w:r>
    </w:p>
    <w:p w:rsidR="00E744EF" w:rsidRDefault="006250E4" w:rsidP="00BC1B73">
      <w:pPr>
        <w:pStyle w:val="Titlu1"/>
      </w:pPr>
      <w:bookmarkStart w:id="15" w:name="_Toc132710182"/>
      <w:r>
        <w:t>7.0 Conclusion</w:t>
      </w:r>
      <w:bookmarkEnd w:id="15"/>
    </w:p>
    <w:p w:rsidR="00E744EF" w:rsidRDefault="006250E4">
      <w:pPr>
        <w:spacing w:line="360" w:lineRule="auto"/>
        <w:jc w:val="both"/>
        <w:rPr>
          <w:b/>
          <w:sz w:val="28"/>
          <w:szCs w:val="28"/>
        </w:rPr>
      </w:pPr>
      <w:r w:rsidRPr="005F24BE">
        <w:rPr>
          <w:szCs w:val="24"/>
        </w:rPr>
        <w:t>The report has analysed the strategic performance of Subcon as an SME in the UK. The findings demonstrate how Subcon is a unique SME in that it is capable of engaging with domestic and foreign clients with ease, owing to the nature of its business. Laser-cutting contracts can be fulfilled remotely through the laser-cutting machines present on-site at the main premises of the company. The laser cutting machines themselves are also capable of being operated remotely, which increases the firm's capability of meeting the customisation needs of its clients globally. These qualities allow Subcon to be a competitive business in the laser cutting industry, whose future continuity in business is made secure by its expertise and VRIN resources.</w:t>
      </w:r>
    </w:p>
    <w:p w:rsidR="00E744EF" w:rsidRDefault="00E744EF">
      <w:pPr>
        <w:spacing w:line="360" w:lineRule="auto"/>
        <w:jc w:val="both"/>
        <w:rPr>
          <w:b/>
          <w:sz w:val="28"/>
          <w:szCs w:val="28"/>
        </w:rPr>
      </w:pPr>
    </w:p>
    <w:p w:rsidR="00E744EF" w:rsidRDefault="00E744EF">
      <w:pPr>
        <w:spacing w:line="360" w:lineRule="auto"/>
        <w:jc w:val="both"/>
        <w:rPr>
          <w:b/>
          <w:sz w:val="28"/>
          <w:szCs w:val="28"/>
        </w:rPr>
      </w:pPr>
    </w:p>
    <w:p w:rsidR="00E744EF" w:rsidRDefault="00E744EF">
      <w:pPr>
        <w:spacing w:line="360" w:lineRule="auto"/>
        <w:jc w:val="both"/>
        <w:rPr>
          <w:b/>
          <w:sz w:val="28"/>
          <w:szCs w:val="28"/>
        </w:rPr>
      </w:pPr>
    </w:p>
    <w:p w:rsidR="00E744EF" w:rsidRDefault="00E744EF">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627754" w:rsidRDefault="00627754">
      <w:pPr>
        <w:spacing w:line="360" w:lineRule="auto"/>
        <w:jc w:val="both"/>
        <w:rPr>
          <w:b/>
          <w:sz w:val="28"/>
          <w:szCs w:val="28"/>
        </w:rPr>
      </w:pPr>
    </w:p>
    <w:p w:rsidR="00E744EF" w:rsidRDefault="006250E4" w:rsidP="00BC1B73">
      <w:pPr>
        <w:pStyle w:val="Titlu1"/>
      </w:pPr>
      <w:bookmarkStart w:id="16" w:name="_Toc132710183"/>
      <w:r>
        <w:t>References</w:t>
      </w:r>
      <w:bookmarkEnd w:id="16"/>
    </w:p>
    <w:p w:rsidR="005F24BE" w:rsidRDefault="006250E4">
      <w:pPr>
        <w:shd w:val="clear" w:color="auto" w:fill="FFFFFF"/>
        <w:spacing w:after="220" w:line="360" w:lineRule="auto"/>
        <w:jc w:val="both"/>
      </w:pPr>
      <w:r>
        <w:t xml:space="preserve">BBC News (2023). Corporation tax: Jeremy Hunt confirms rise to 25% from April. </w:t>
      </w:r>
      <w:r>
        <w:rPr>
          <w:i/>
        </w:rPr>
        <w:t>BBC News</w:t>
      </w:r>
      <w:r>
        <w:t>. [online] 15 Mar. Available at: https://www.bbc.com/news/business-64963631 [Accessed 6 Apr. 2023].</w:t>
      </w:r>
    </w:p>
    <w:p w:rsidR="005F24BE" w:rsidRDefault="006250E4">
      <w:pPr>
        <w:shd w:val="clear" w:color="auto" w:fill="FFFFFF"/>
        <w:spacing w:after="220" w:line="360" w:lineRule="auto"/>
        <w:jc w:val="both"/>
      </w:pPr>
      <w:r>
        <w:t xml:space="preserve">BossLaser (2022). </w:t>
      </w:r>
      <w:r>
        <w:rPr>
          <w:i/>
        </w:rPr>
        <w:t>Industries that rely on laser cutting services - Subcon Laser Cutting Ltd</w:t>
      </w:r>
      <w:r>
        <w:t>. [online] Bosslaser University. Available at: https://bosslaseru.com/industries-that-rely-on-laser-cutting-services-subcon-laser-cutting-ltd/ [Accessed 6 Apr. 2023].</w:t>
      </w:r>
    </w:p>
    <w:p w:rsidR="005F24BE" w:rsidRDefault="006250E4">
      <w:pPr>
        <w:shd w:val="clear" w:color="auto" w:fill="FFFFFF"/>
        <w:spacing w:after="220" w:line="360" w:lineRule="auto"/>
        <w:jc w:val="both"/>
      </w:pPr>
      <w:r>
        <w:t xml:space="preserve">Elgot, J. (2022). Sunak hints he will slow down progress on India trade deal. </w:t>
      </w:r>
      <w:r>
        <w:rPr>
          <w:i/>
        </w:rPr>
        <w:t>The Guardian</w:t>
      </w:r>
      <w:r>
        <w:t>. [online] 15 Nov. Available at: https://www.theguardian.com/politics/2022/nov/15/rishi-sunak-uk-india-trade-deal-g20 [Accessed 6 Apr. 2023].</w:t>
      </w:r>
    </w:p>
    <w:p w:rsidR="005F24BE" w:rsidRDefault="006250E4">
      <w:pPr>
        <w:shd w:val="clear" w:color="auto" w:fill="FFFFFF"/>
        <w:spacing w:after="220" w:line="360" w:lineRule="auto"/>
        <w:jc w:val="both"/>
      </w:pPr>
      <w:r>
        <w:t xml:space="preserve">GOV.UK (2023). </w:t>
      </w:r>
      <w:r>
        <w:rPr>
          <w:i/>
        </w:rPr>
        <w:t>BEIS small and medium enterprises (SMEs) action plan: 2022 to 2025 (accessible webpage)</w:t>
      </w:r>
      <w:r>
        <w:t>. [online] GOV.UK. Available at: https://www.gov.uk/government/publications/beis-small-and-medium-enterprises-sme-action-plan-2022-to-2025/beis-small-and-medium-enterprises-smes-action-plan-2022-to-2025-accessible-webpage [Accessed 6 Apr. 2023].</w:t>
      </w:r>
    </w:p>
    <w:p w:rsidR="005F24BE" w:rsidRDefault="006250E4">
      <w:pPr>
        <w:shd w:val="clear" w:color="auto" w:fill="FFFFFF"/>
        <w:spacing w:after="220" w:line="360" w:lineRule="auto"/>
        <w:jc w:val="both"/>
      </w:pPr>
      <w:r>
        <w:t xml:space="preserve">Kiesel, R., Roessel, J. van and Schmitt, R.H. (2020). Quantification of economic potential of 5G for latency critical applications in production. </w:t>
      </w:r>
      <w:r>
        <w:rPr>
          <w:i/>
        </w:rPr>
        <w:t>Procedia Manufacturing</w:t>
      </w:r>
      <w:r>
        <w:t>, [online] 52, pp.113–120. doi:https://doi.org/10.1016/j.promfg.2020.11.021.</w:t>
      </w:r>
    </w:p>
    <w:p w:rsidR="005F24BE" w:rsidRDefault="006250E4">
      <w:pPr>
        <w:shd w:val="clear" w:color="auto" w:fill="FFFFFF"/>
        <w:spacing w:after="220" w:line="360" w:lineRule="auto"/>
        <w:jc w:val="both"/>
      </w:pPr>
      <w:r>
        <w:t xml:space="preserve">King, I. (2023). </w:t>
      </w:r>
      <w:r>
        <w:rPr>
          <w:i/>
        </w:rPr>
        <w:t>Budget 2023: Corporation tax set to rise from 19% to 25% in April</w:t>
      </w:r>
      <w:r>
        <w:t>. [online] Sky News. Available at: https://news.sky.com/story/budget-2023-corporation-tax-set-to-rise-from-19-to-25-in-april-12827274 [Accessed 6 Apr. 2023].</w:t>
      </w:r>
    </w:p>
    <w:p w:rsidR="005F24BE" w:rsidRDefault="006250E4">
      <w:pPr>
        <w:shd w:val="clear" w:color="auto" w:fill="FFFFFF"/>
        <w:spacing w:after="220" w:line="360" w:lineRule="auto"/>
        <w:jc w:val="both"/>
      </w:pPr>
      <w:r>
        <w:t xml:space="preserve">Mansfield, S. (2015). </w:t>
      </w:r>
      <w:r>
        <w:rPr>
          <w:i/>
        </w:rPr>
        <w:t>Subcon Laser orders second TRUMPF TruLaser with BrightLine technology | Qimtek</w:t>
      </w:r>
      <w:r>
        <w:t>. [online] www.qimtek.co.uk. Available at: https://www.qimtek.co.uk/news/subcon-laser-orders-second-trumpf-trulaser-brightline-technology [Accessed 6 Apr. 2023].</w:t>
      </w:r>
    </w:p>
    <w:p w:rsidR="005F24BE" w:rsidRDefault="006250E4">
      <w:pPr>
        <w:shd w:val="clear" w:color="auto" w:fill="FFFFFF"/>
        <w:spacing w:after="220" w:line="360" w:lineRule="auto"/>
        <w:jc w:val="both"/>
      </w:pPr>
      <w:r>
        <w:t xml:space="preserve">Marteau, T.M., Chater, N. and Garnett, E.E. (2021). Changing behaviour for net zero 2050. </w:t>
      </w:r>
      <w:r>
        <w:rPr>
          <w:i/>
        </w:rPr>
        <w:t>BMJ</w:t>
      </w:r>
      <w:r>
        <w:t>, [online] 375. doi:https://doi.org/10.1136/bmj.n2293.</w:t>
      </w:r>
    </w:p>
    <w:p w:rsidR="005F24BE" w:rsidRDefault="006250E4">
      <w:pPr>
        <w:shd w:val="clear" w:color="auto" w:fill="FFFFFF"/>
        <w:spacing w:after="220" w:line="360" w:lineRule="auto"/>
        <w:jc w:val="both"/>
      </w:pPr>
      <w:r>
        <w:t xml:space="preserve">Partington, R. (2023). Bank of England raises UK interest rates by quarter-point to 4.25%. </w:t>
      </w:r>
      <w:r>
        <w:rPr>
          <w:i/>
        </w:rPr>
        <w:t>The Guardian</w:t>
      </w:r>
      <w:r>
        <w:t>. [online] 23 Mar. Available at: https://www.theguardian.com/business/2023/mar/23/bank-of-england-raises-uk-interest-rates-inflation [Accessed 6 Apr. 2023].</w:t>
      </w:r>
    </w:p>
    <w:p w:rsidR="005F24BE" w:rsidRDefault="006250E4">
      <w:pPr>
        <w:shd w:val="clear" w:color="auto" w:fill="FFFFFF"/>
        <w:spacing w:after="220" w:line="360" w:lineRule="auto"/>
        <w:jc w:val="both"/>
      </w:pPr>
      <w:r>
        <w:t xml:space="preserve">Smith, E. (2023). </w:t>
      </w:r>
      <w:r>
        <w:rPr>
          <w:i/>
        </w:rPr>
        <w:t>UK inflation rate breaks 3-month stretch of declines with surprise rise to 10.4%</w:t>
      </w:r>
      <w:r>
        <w:t>. [online] CNBC. Available at: https://www.cnbc.com/2023/03/22/uk-inflation-rate-breaks-3-month-stretch-of-declines-with-surprise-rise-to-10point4percent.html [Accessed 6 Apr. 2023].</w:t>
      </w:r>
    </w:p>
    <w:p w:rsidR="005F24BE" w:rsidRDefault="006250E4">
      <w:pPr>
        <w:shd w:val="clear" w:color="auto" w:fill="FFFFFF"/>
        <w:spacing w:after="220" w:line="360" w:lineRule="auto"/>
        <w:jc w:val="both"/>
      </w:pPr>
      <w:r>
        <w:t xml:space="preserve">Subcon Laser Cutting (2023). </w:t>
      </w:r>
      <w:r>
        <w:rPr>
          <w:i/>
        </w:rPr>
        <w:t>Subcon Laser Cutting | Made in the Midlands</w:t>
      </w:r>
      <w:r>
        <w:t>. [online] dynamxmfg.com. Available at: https://subconlaser.madeinthemidlands.com/ [Accessed 6 Apr. 2023].</w:t>
      </w:r>
    </w:p>
    <w:p w:rsidR="005F24BE" w:rsidRDefault="006250E4">
      <w:pPr>
        <w:shd w:val="clear" w:color="auto" w:fill="FFFFFF"/>
        <w:spacing w:after="220" w:line="360" w:lineRule="auto"/>
        <w:jc w:val="both"/>
      </w:pPr>
      <w:r>
        <w:t xml:space="preserve">Toorajipour, R., Sohrabpour, V., Nazarpour, A., Oghazi, P. and Fischl, M. (2021). Artificial intelligence in supply chain management: A systematic literature review. </w:t>
      </w:r>
      <w:r>
        <w:rPr>
          <w:i/>
        </w:rPr>
        <w:t>Journal of Business Research</w:t>
      </w:r>
      <w:r>
        <w:t>, [online] 122, pp.502–517. doi:https://doi.org/10.1016/j.jbusres.2020.09.009.</w:t>
      </w:r>
    </w:p>
    <w:p w:rsidR="005F24BE" w:rsidRDefault="006250E4">
      <w:pPr>
        <w:shd w:val="clear" w:color="auto" w:fill="FFFFFF"/>
        <w:spacing w:after="220" w:line="360" w:lineRule="auto"/>
        <w:jc w:val="both"/>
      </w:pPr>
      <w:r>
        <w:t xml:space="preserve">Tudor, D. (2016). </w:t>
      </w:r>
      <w:r>
        <w:rPr>
          <w:i/>
        </w:rPr>
        <w:t>Subcon Laser Cutting rewarded for excellence - PES Media</w:t>
      </w:r>
      <w:r>
        <w:t>. [online] pesmedia.com. Available at: https://www.pesmedia.com/subcon-laser-rewarded-for-excellence?amp [Accessed 6 Apr. 2023].</w:t>
      </w:r>
    </w:p>
    <w:p w:rsidR="005F24BE" w:rsidRDefault="006250E4">
      <w:pPr>
        <w:shd w:val="clear" w:color="auto" w:fill="FFFFFF"/>
        <w:spacing w:after="220" w:line="360" w:lineRule="auto"/>
        <w:jc w:val="both"/>
      </w:pPr>
      <w:r>
        <w:t xml:space="preserve">Williamson, J. (2016). </w:t>
      </w:r>
      <w:r>
        <w:rPr>
          <w:i/>
        </w:rPr>
        <w:t>UK laser firm targets Indian export market</w:t>
      </w:r>
      <w:r>
        <w:t>. [online] The Manufacturer. Available at: https://www.themanufacturer.com/articles/uk-laser-firm-targets-indian-export-market/ [Accessed 6 Apr. 2023].</w:t>
      </w:r>
    </w:p>
    <w:p w:rsidR="005F24BE" w:rsidRDefault="006250E4">
      <w:pPr>
        <w:shd w:val="clear" w:color="auto" w:fill="FFFFFF"/>
        <w:spacing w:after="220" w:line="360" w:lineRule="auto"/>
        <w:jc w:val="both"/>
      </w:pPr>
      <w:r>
        <w:t xml:space="preserve">Zakir-Hussain, M. (2023). </w:t>
      </w:r>
      <w:r>
        <w:rPr>
          <w:i/>
        </w:rPr>
        <w:t>Unemployment rate remains at 3.7% but job vacancies fall for eighth month in a row</w:t>
      </w:r>
      <w:r>
        <w:t>. [online] The Independent. Available at: https://www.independent.co.uk/news/uk/home-news/current-unemployment-rate-uk-b2300293.html [Accessed 6 Apr. 2023].</w:t>
      </w:r>
    </w:p>
    <w:p w:rsidR="00E744EF" w:rsidRDefault="006250E4">
      <w:pPr>
        <w:shd w:val="clear" w:color="auto" w:fill="FFFFFF"/>
        <w:spacing w:line="360" w:lineRule="auto"/>
        <w:jc w:val="both"/>
      </w:pPr>
      <w:r>
        <w:t>‌</w:t>
      </w:r>
    </w:p>
    <w:p w:rsidR="00E744EF" w:rsidRDefault="00E744EF">
      <w:pPr>
        <w:spacing w:line="360" w:lineRule="auto"/>
        <w:jc w:val="both"/>
      </w:pPr>
    </w:p>
    <w:p w:rsidR="00E744EF" w:rsidRDefault="00E744EF">
      <w:pPr>
        <w:spacing w:line="360" w:lineRule="auto"/>
        <w:jc w:val="both"/>
        <w:rPr>
          <w:b/>
          <w:sz w:val="28"/>
          <w:szCs w:val="28"/>
        </w:rPr>
      </w:pPr>
    </w:p>
    <w:sectPr w:rsidR="00E744EF" w:rsidSect="007C3106">
      <w:footerReference w:type="default" r:id="rId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C12DD" w:rsidRDefault="004C12DD">
      <w:pPr>
        <w:spacing w:line="240" w:lineRule="auto"/>
      </w:pPr>
      <w:r>
        <w:separator/>
      </w:r>
    </w:p>
  </w:endnote>
  <w:endnote w:type="continuationSeparator" w:id="0">
    <w:p w:rsidR="004C12DD" w:rsidRDefault="004C12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606320"/>
      <w:docPartObj>
        <w:docPartGallery w:val="Page Numbers (Bottom of Page)"/>
        <w:docPartUnique/>
      </w:docPartObj>
    </w:sdtPr>
    <w:sdtEndPr>
      <w:rPr>
        <w:noProof/>
      </w:rPr>
    </w:sdtEndPr>
    <w:sdtContent>
      <w:p w:rsidR="007C3106" w:rsidRDefault="006250E4">
        <w:pPr>
          <w:pStyle w:val="Subsol"/>
          <w:jc w:val="right"/>
        </w:pPr>
        <w:r>
          <w:fldChar w:fldCharType="begin"/>
        </w:r>
        <w:r>
          <w:instrText xml:space="preserve"> PAGE   \* MERGEFORMAT </w:instrText>
        </w:r>
        <w:r>
          <w:fldChar w:fldCharType="separate"/>
        </w:r>
        <w:r w:rsidR="00040694">
          <w:rPr>
            <w:noProof/>
          </w:rPr>
          <w:t>1</w:t>
        </w:r>
        <w:r>
          <w:rPr>
            <w:noProof/>
          </w:rPr>
          <w:fldChar w:fldCharType="end"/>
        </w:r>
      </w:p>
    </w:sdtContent>
  </w:sdt>
  <w:p w:rsidR="007C3106" w:rsidRDefault="007C310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C12DD" w:rsidRDefault="004C12DD">
      <w:pPr>
        <w:spacing w:line="240" w:lineRule="auto"/>
      </w:pPr>
      <w:r>
        <w:separator/>
      </w:r>
    </w:p>
  </w:footnote>
  <w:footnote w:type="continuationSeparator" w:id="0">
    <w:p w:rsidR="004C12DD" w:rsidRDefault="004C12D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744EF"/>
    <w:rsid w:val="00040694"/>
    <w:rsid w:val="000732EF"/>
    <w:rsid w:val="00101A64"/>
    <w:rsid w:val="002B661C"/>
    <w:rsid w:val="003F647C"/>
    <w:rsid w:val="004C12DD"/>
    <w:rsid w:val="005C3DD1"/>
    <w:rsid w:val="005F24BE"/>
    <w:rsid w:val="006250E4"/>
    <w:rsid w:val="00627754"/>
    <w:rsid w:val="006759A4"/>
    <w:rsid w:val="006B6BE8"/>
    <w:rsid w:val="006D1185"/>
    <w:rsid w:val="00754439"/>
    <w:rsid w:val="007C3106"/>
    <w:rsid w:val="00805453"/>
    <w:rsid w:val="00826947"/>
    <w:rsid w:val="00910F97"/>
    <w:rsid w:val="00952273"/>
    <w:rsid w:val="00A7778B"/>
    <w:rsid w:val="00B54CB6"/>
    <w:rsid w:val="00B80FB4"/>
    <w:rsid w:val="00BC1B73"/>
    <w:rsid w:val="00CF79B1"/>
    <w:rsid w:val="00DE4996"/>
    <w:rsid w:val="00E62DCB"/>
    <w:rsid w:val="00E744EF"/>
    <w:rsid w:val="00FF1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680EBC1-58DD-0748-A712-DDE534866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BC1B73"/>
    <w:pPr>
      <w:keepNext/>
      <w:keepLines/>
      <w:spacing w:before="400" w:after="120" w:line="360" w:lineRule="auto"/>
      <w:jc w:val="both"/>
      <w:outlineLvl w:val="0"/>
    </w:pPr>
    <w:rPr>
      <w:b/>
      <w:sz w:val="28"/>
      <w:szCs w:val="40"/>
    </w:rPr>
  </w:style>
  <w:style w:type="paragraph" w:styleId="Titlu2">
    <w:name w:val="heading 2"/>
    <w:basedOn w:val="Normal"/>
    <w:next w:val="Normal"/>
    <w:rsid w:val="00BC1B73"/>
    <w:pPr>
      <w:keepNext/>
      <w:keepLines/>
      <w:spacing w:before="360" w:after="120" w:line="360" w:lineRule="auto"/>
      <w:jc w:val="both"/>
      <w:outlineLvl w:val="1"/>
    </w:pPr>
    <w:rPr>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7C3106"/>
    <w:pPr>
      <w:tabs>
        <w:tab w:val="center" w:pos="4680"/>
        <w:tab w:val="right" w:pos="9360"/>
      </w:tabs>
      <w:spacing w:line="240" w:lineRule="auto"/>
    </w:pPr>
  </w:style>
  <w:style w:type="character" w:customStyle="1" w:styleId="AntetCaracter">
    <w:name w:val="Antet Caracter"/>
    <w:basedOn w:val="Fontdeparagrafimplicit"/>
    <w:link w:val="Antet"/>
    <w:uiPriority w:val="99"/>
    <w:rsid w:val="007C3106"/>
  </w:style>
  <w:style w:type="paragraph" w:styleId="Subsol">
    <w:name w:val="footer"/>
    <w:basedOn w:val="Normal"/>
    <w:link w:val="SubsolCaracter"/>
    <w:uiPriority w:val="99"/>
    <w:unhideWhenUsed/>
    <w:rsid w:val="007C310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C3106"/>
  </w:style>
  <w:style w:type="paragraph" w:styleId="Titlucuprins">
    <w:name w:val="TOC Heading"/>
    <w:basedOn w:val="Titlu1"/>
    <w:next w:val="Normal"/>
    <w:uiPriority w:val="39"/>
    <w:semiHidden/>
    <w:unhideWhenUsed/>
    <w:qFormat/>
    <w:rsid w:val="00BC1B73"/>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Cuprins1">
    <w:name w:val="toc 1"/>
    <w:basedOn w:val="Normal"/>
    <w:next w:val="Normal"/>
    <w:autoRedefine/>
    <w:uiPriority w:val="39"/>
    <w:unhideWhenUsed/>
    <w:rsid w:val="00BC1B73"/>
    <w:pPr>
      <w:spacing w:after="100"/>
    </w:pPr>
  </w:style>
  <w:style w:type="paragraph" w:styleId="Cuprins2">
    <w:name w:val="toc 2"/>
    <w:basedOn w:val="Normal"/>
    <w:next w:val="Normal"/>
    <w:autoRedefine/>
    <w:uiPriority w:val="39"/>
    <w:unhideWhenUsed/>
    <w:rsid w:val="00BC1B73"/>
    <w:pPr>
      <w:spacing w:after="100"/>
      <w:ind w:left="220"/>
    </w:pPr>
  </w:style>
  <w:style w:type="character" w:styleId="Hyperlink">
    <w:name w:val="Hyperlink"/>
    <w:basedOn w:val="Fontdeparagrafimplicit"/>
    <w:uiPriority w:val="99"/>
    <w:unhideWhenUsed/>
    <w:rsid w:val="00BC1B73"/>
    <w:rPr>
      <w:color w:val="0000FF" w:themeColor="hyperlink"/>
      <w:u w:val="single"/>
    </w:rPr>
  </w:style>
  <w:style w:type="paragraph" w:styleId="TextnBalon">
    <w:name w:val="Balloon Text"/>
    <w:basedOn w:val="Normal"/>
    <w:link w:val="TextnBalonCaracter"/>
    <w:uiPriority w:val="99"/>
    <w:semiHidden/>
    <w:unhideWhenUsed/>
    <w:rsid w:val="00BC1B7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C1B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96D212-B1F5-49EF-82AB-14EE031FDB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5330</Words>
  <Characters>30919</Characters>
  <Application>Microsoft Office Word</Application>
  <DocSecurity>0</DocSecurity>
  <Lines>257</Lines>
  <Paragraphs>72</Paragraphs>
  <ScaleCrop>false</ScaleCrop>
  <Company/>
  <LinksUpToDate>false</LinksUpToDate>
  <CharactersWithSpaces>36177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Elena Luca (1916220)</cp:lastModifiedBy>
  <cp:revision>6</cp:revision>
  <dcterms:created xsi:type="dcterms:W3CDTF">2023-04-18T13:04:00Z</dcterms:created>
  <dcterms:modified xsi:type="dcterms:W3CDTF">2023-04-18T13:09:00Z</dcterms:modified>
</cp:coreProperties>
</file>