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37978" w14:textId="77777777" w:rsidR="00545ABA" w:rsidRPr="00F429AE" w:rsidRDefault="00545ABA" w:rsidP="00545ABA">
      <w:pPr>
        <w:spacing w:line="360" w:lineRule="auto"/>
        <w:rPr>
          <w:rFonts w:eastAsia="Calibri"/>
          <w:sz w:val="36"/>
          <w:szCs w:val="36"/>
        </w:rPr>
      </w:pPr>
      <w:bookmarkStart w:id="0" w:name="_Toc214885154"/>
      <w:r w:rsidRPr="00F429AE">
        <w:rPr>
          <w:rFonts w:eastAsia="Calibri"/>
          <w:noProof/>
          <w:sz w:val="36"/>
          <w:szCs w:val="36"/>
        </w:rPr>
        <w:drawing>
          <wp:inline distT="114300" distB="114300" distL="114300" distR="114300" wp14:anchorId="6CB46669" wp14:editId="5FC9A9C0">
            <wp:extent cx="2333625" cy="1166813"/>
            <wp:effectExtent l="0" t="0" r="0" b="0"/>
            <wp:docPr id="8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333625" cy="1166813"/>
                    </a:xfrm>
                    <a:prstGeom prst="rect">
                      <a:avLst/>
                    </a:prstGeom>
                    <a:ln/>
                  </pic:spPr>
                </pic:pic>
              </a:graphicData>
            </a:graphic>
          </wp:inline>
        </w:drawing>
      </w:r>
    </w:p>
    <w:p w14:paraId="5D67BF44" w14:textId="77777777" w:rsidR="00545ABA" w:rsidRPr="00F429AE" w:rsidRDefault="00545ABA" w:rsidP="00545ABA">
      <w:pPr>
        <w:spacing w:line="360" w:lineRule="auto"/>
        <w:jc w:val="center"/>
        <w:rPr>
          <w:rFonts w:eastAsia="Calibri"/>
          <w:b/>
          <w:bCs/>
          <w:sz w:val="36"/>
          <w:szCs w:val="36"/>
        </w:rPr>
      </w:pPr>
      <w:r w:rsidRPr="00F429AE">
        <w:rPr>
          <w:rFonts w:eastAsia="Calibri"/>
          <w:b/>
          <w:bCs/>
          <w:sz w:val="36"/>
          <w:szCs w:val="36"/>
        </w:rPr>
        <w:t>Financial Management</w:t>
      </w:r>
    </w:p>
    <w:p w14:paraId="70218943" w14:textId="77777777" w:rsidR="00545ABA" w:rsidRPr="00F429AE" w:rsidRDefault="00545ABA" w:rsidP="00545ABA">
      <w:pPr>
        <w:spacing w:line="360" w:lineRule="auto"/>
        <w:jc w:val="center"/>
        <w:rPr>
          <w:rFonts w:eastAsia="Calibri"/>
          <w:sz w:val="32"/>
          <w:szCs w:val="32"/>
        </w:rPr>
      </w:pPr>
      <w:r w:rsidRPr="00F429AE">
        <w:rPr>
          <w:rFonts w:eastAsia="Calibri"/>
          <w:sz w:val="32"/>
          <w:szCs w:val="32"/>
        </w:rPr>
        <w:t>Strategic CFO Challenge: Saving a Failing Global Firm – General Electronics</w:t>
      </w:r>
    </w:p>
    <w:p w14:paraId="519BCF51" w14:textId="77777777" w:rsidR="00545ABA" w:rsidRPr="00F429AE" w:rsidRDefault="00545ABA" w:rsidP="00545ABA">
      <w:pPr>
        <w:spacing w:line="360" w:lineRule="auto"/>
        <w:jc w:val="center"/>
        <w:rPr>
          <w:rFonts w:eastAsia="Calibri"/>
        </w:rPr>
      </w:pPr>
    </w:p>
    <w:p w14:paraId="616D398E" w14:textId="77777777" w:rsidR="00545ABA" w:rsidRPr="00F429AE" w:rsidRDefault="00545ABA" w:rsidP="00545ABA">
      <w:pPr>
        <w:spacing w:line="360" w:lineRule="auto"/>
        <w:rPr>
          <w:rFonts w:eastAsia="Calibri"/>
          <w:sz w:val="28"/>
          <w:szCs w:val="28"/>
        </w:rPr>
      </w:pPr>
    </w:p>
    <w:p w14:paraId="3645E257" w14:textId="77777777" w:rsidR="00545ABA" w:rsidRPr="00F429AE" w:rsidRDefault="00545ABA" w:rsidP="00545ABA">
      <w:pPr>
        <w:spacing w:line="360" w:lineRule="auto"/>
        <w:rPr>
          <w:rFonts w:eastAsia="Calibri"/>
          <w:sz w:val="28"/>
          <w:szCs w:val="28"/>
        </w:rPr>
      </w:pPr>
    </w:p>
    <w:p w14:paraId="3208F0B5" w14:textId="77777777" w:rsidR="00545ABA" w:rsidRPr="00F429AE" w:rsidRDefault="00545ABA" w:rsidP="00545ABA">
      <w:pPr>
        <w:spacing w:line="360" w:lineRule="auto"/>
        <w:rPr>
          <w:rFonts w:eastAsia="Calibri"/>
          <w:sz w:val="28"/>
          <w:szCs w:val="28"/>
        </w:rPr>
      </w:pPr>
    </w:p>
    <w:p w14:paraId="62A3FC5B" w14:textId="77777777" w:rsidR="00545ABA" w:rsidRPr="00F429AE" w:rsidRDefault="00545ABA" w:rsidP="00545ABA">
      <w:pPr>
        <w:spacing w:line="360" w:lineRule="auto"/>
        <w:rPr>
          <w:rFonts w:eastAsia="Calibri"/>
        </w:rPr>
      </w:pPr>
    </w:p>
    <w:p w14:paraId="4815120A" w14:textId="77777777" w:rsidR="00545ABA" w:rsidRPr="00F429AE" w:rsidRDefault="00545ABA" w:rsidP="00545ABA">
      <w:pPr>
        <w:spacing w:line="360" w:lineRule="auto"/>
        <w:rPr>
          <w:rFonts w:eastAsia="Calibri"/>
          <w:sz w:val="28"/>
          <w:szCs w:val="28"/>
        </w:rPr>
      </w:pPr>
      <w:r w:rsidRPr="00F429AE">
        <w:rPr>
          <w:rFonts w:eastAsia="Calibri"/>
          <w:sz w:val="28"/>
          <w:szCs w:val="28"/>
        </w:rPr>
        <w:t>Student Banner ID:</w:t>
      </w:r>
    </w:p>
    <w:p w14:paraId="6B61E172" w14:textId="77777777" w:rsidR="00545ABA" w:rsidRPr="00F429AE" w:rsidRDefault="00545ABA" w:rsidP="00545ABA">
      <w:pPr>
        <w:spacing w:line="360" w:lineRule="auto"/>
        <w:rPr>
          <w:rFonts w:eastAsia="Calibri"/>
          <w:sz w:val="28"/>
          <w:szCs w:val="28"/>
        </w:rPr>
      </w:pPr>
      <w:r w:rsidRPr="00F429AE">
        <w:rPr>
          <w:rFonts w:eastAsia="Calibri"/>
          <w:sz w:val="28"/>
          <w:szCs w:val="28"/>
        </w:rPr>
        <w:t>Student Name:</w:t>
      </w:r>
    </w:p>
    <w:p w14:paraId="2512CE1F" w14:textId="77777777" w:rsidR="00545ABA" w:rsidRPr="00F429AE" w:rsidRDefault="00545ABA" w:rsidP="00545ABA">
      <w:pPr>
        <w:spacing w:line="360" w:lineRule="auto"/>
        <w:rPr>
          <w:rFonts w:eastAsia="Calibri"/>
          <w:sz w:val="28"/>
          <w:szCs w:val="28"/>
        </w:rPr>
      </w:pPr>
      <w:r w:rsidRPr="00F429AE">
        <w:rPr>
          <w:rFonts w:eastAsia="Calibri"/>
          <w:sz w:val="28"/>
          <w:szCs w:val="28"/>
        </w:rPr>
        <w:t>Module Code: LCMB7002</w:t>
      </w:r>
    </w:p>
    <w:p w14:paraId="5D7A50E7" w14:textId="77777777" w:rsidR="00545ABA" w:rsidRPr="00F429AE" w:rsidRDefault="00545ABA" w:rsidP="00545ABA">
      <w:pPr>
        <w:spacing w:line="360" w:lineRule="auto"/>
        <w:rPr>
          <w:rFonts w:eastAsia="Calibri"/>
          <w:sz w:val="28"/>
          <w:szCs w:val="28"/>
        </w:rPr>
      </w:pPr>
      <w:r w:rsidRPr="00F429AE">
        <w:rPr>
          <w:rFonts w:eastAsia="Calibri"/>
          <w:sz w:val="28"/>
          <w:szCs w:val="28"/>
        </w:rPr>
        <w:t>Word Count:</w:t>
      </w:r>
    </w:p>
    <w:p w14:paraId="1F78CBA6" w14:textId="630582A9" w:rsidR="005814C2" w:rsidRDefault="005814C2" w:rsidP="00545ABA">
      <w:pPr>
        <w:pStyle w:val="Heading2"/>
        <w:spacing w:line="360" w:lineRule="auto"/>
        <w:jc w:val="both"/>
        <w:rPr>
          <w:rFonts w:ascii="Times New Roman" w:hAnsi="Times New Roman" w:cs="Times New Roman"/>
          <w:b/>
          <w:bCs/>
        </w:rPr>
      </w:pPr>
      <w:r w:rsidRPr="00F429AE">
        <w:rPr>
          <w:rFonts w:ascii="Times New Roman" w:hAnsi="Times New Roman" w:cs="Times New Roman"/>
          <w:b/>
          <w:bCs/>
        </w:rPr>
        <w:br w:type="page"/>
      </w:r>
    </w:p>
    <w:sdt>
      <w:sdtPr>
        <w:rPr>
          <w:rFonts w:ascii="Times New Roman" w:hAnsi="Times New Roman" w:cs="Times New Roman"/>
          <w:sz w:val="24"/>
          <w:szCs w:val="24"/>
        </w:rPr>
        <w:id w:val="787173324"/>
        <w:docPartObj>
          <w:docPartGallery w:val="Table of Contents"/>
          <w:docPartUnique/>
        </w:docPartObj>
      </w:sdtPr>
      <w:sdtEndPr>
        <w:rPr>
          <w:rFonts w:eastAsia="Times New Roman"/>
          <w:noProof/>
          <w:color w:val="auto"/>
        </w:rPr>
      </w:sdtEndPr>
      <w:sdtContent>
        <w:p w14:paraId="263B771A" w14:textId="2521A9A6" w:rsidR="007C6C16" w:rsidRPr="007C6C16" w:rsidRDefault="007C6C16" w:rsidP="007C6C16">
          <w:pPr>
            <w:pStyle w:val="TOCHeading"/>
            <w:spacing w:line="360" w:lineRule="auto"/>
            <w:jc w:val="both"/>
            <w:rPr>
              <w:rFonts w:ascii="Times New Roman" w:hAnsi="Times New Roman" w:cs="Times New Roman"/>
              <w:sz w:val="24"/>
              <w:szCs w:val="24"/>
            </w:rPr>
          </w:pPr>
          <w:r w:rsidRPr="007C6C16">
            <w:rPr>
              <w:rFonts w:ascii="Times New Roman" w:hAnsi="Times New Roman" w:cs="Times New Roman"/>
              <w:sz w:val="24"/>
              <w:szCs w:val="24"/>
            </w:rPr>
            <w:t>Table of Contents</w:t>
          </w:r>
        </w:p>
        <w:p w14:paraId="4BC29C49" w14:textId="0821428D" w:rsidR="007C6C16" w:rsidRPr="007C6C16" w:rsidRDefault="007C6C16" w:rsidP="007C6C16">
          <w:pPr>
            <w:pStyle w:val="TOC1"/>
            <w:tabs>
              <w:tab w:val="right" w:leader="dot" w:pos="9350"/>
            </w:tabs>
            <w:spacing w:line="360" w:lineRule="auto"/>
            <w:jc w:val="both"/>
            <w:rPr>
              <w:rFonts w:ascii="Times New Roman" w:eastAsiaTheme="minorEastAsia" w:hAnsi="Times New Roman"/>
              <w:b w:val="0"/>
              <w:bCs w:val="0"/>
              <w:i w:val="0"/>
              <w:iCs w:val="0"/>
              <w:noProof/>
              <w:szCs w:val="24"/>
            </w:rPr>
          </w:pPr>
          <w:r w:rsidRPr="007C6C16">
            <w:rPr>
              <w:rFonts w:ascii="Times New Roman" w:hAnsi="Times New Roman"/>
              <w:b w:val="0"/>
              <w:bCs w:val="0"/>
              <w:szCs w:val="24"/>
            </w:rPr>
            <w:fldChar w:fldCharType="begin"/>
          </w:r>
          <w:r w:rsidRPr="007C6C16">
            <w:rPr>
              <w:rFonts w:ascii="Times New Roman" w:hAnsi="Times New Roman"/>
              <w:szCs w:val="24"/>
            </w:rPr>
            <w:instrText xml:space="preserve"> TOC \o "1-3" \h \z \u </w:instrText>
          </w:r>
          <w:r w:rsidRPr="007C6C16">
            <w:rPr>
              <w:rFonts w:ascii="Times New Roman" w:hAnsi="Times New Roman"/>
              <w:b w:val="0"/>
              <w:bCs w:val="0"/>
              <w:szCs w:val="24"/>
            </w:rPr>
            <w:fldChar w:fldCharType="separate"/>
          </w:r>
          <w:hyperlink w:anchor="_Toc214887484" w:history="1">
            <w:r w:rsidRPr="007C6C16">
              <w:rPr>
                <w:rStyle w:val="Hyperlink"/>
                <w:rFonts w:ascii="Times New Roman" w:hAnsi="Times New Roman"/>
                <w:noProof/>
                <w:szCs w:val="24"/>
              </w:rPr>
              <w:t>Introduction</w:t>
            </w:r>
            <w:r w:rsidRPr="007C6C16">
              <w:rPr>
                <w:rFonts w:ascii="Times New Roman" w:hAnsi="Times New Roman"/>
                <w:noProof/>
                <w:webHidden/>
                <w:szCs w:val="24"/>
              </w:rPr>
              <w:tab/>
            </w:r>
            <w:r w:rsidRPr="007C6C16">
              <w:rPr>
                <w:rFonts w:ascii="Times New Roman" w:hAnsi="Times New Roman"/>
                <w:noProof/>
                <w:webHidden/>
                <w:szCs w:val="24"/>
              </w:rPr>
              <w:fldChar w:fldCharType="begin"/>
            </w:r>
            <w:r w:rsidRPr="007C6C16">
              <w:rPr>
                <w:rFonts w:ascii="Times New Roman" w:hAnsi="Times New Roman"/>
                <w:noProof/>
                <w:webHidden/>
                <w:szCs w:val="24"/>
              </w:rPr>
              <w:instrText xml:space="preserve"> PAGEREF _Toc214887484 \h </w:instrText>
            </w:r>
            <w:r w:rsidRPr="007C6C16">
              <w:rPr>
                <w:rFonts w:ascii="Times New Roman" w:hAnsi="Times New Roman"/>
                <w:noProof/>
                <w:webHidden/>
                <w:szCs w:val="24"/>
              </w:rPr>
            </w:r>
            <w:r w:rsidRPr="007C6C16">
              <w:rPr>
                <w:rFonts w:ascii="Times New Roman" w:hAnsi="Times New Roman"/>
                <w:noProof/>
                <w:webHidden/>
                <w:szCs w:val="24"/>
              </w:rPr>
              <w:fldChar w:fldCharType="separate"/>
            </w:r>
            <w:r w:rsidRPr="007C6C16">
              <w:rPr>
                <w:rFonts w:ascii="Times New Roman" w:hAnsi="Times New Roman"/>
                <w:noProof/>
                <w:webHidden/>
                <w:szCs w:val="24"/>
              </w:rPr>
              <w:t>2</w:t>
            </w:r>
            <w:r w:rsidRPr="007C6C16">
              <w:rPr>
                <w:rFonts w:ascii="Times New Roman" w:hAnsi="Times New Roman"/>
                <w:noProof/>
                <w:webHidden/>
                <w:szCs w:val="24"/>
              </w:rPr>
              <w:fldChar w:fldCharType="end"/>
            </w:r>
          </w:hyperlink>
        </w:p>
        <w:p w14:paraId="03F28B91" w14:textId="2ABA8F73" w:rsidR="007C6C16" w:rsidRPr="007C6C16" w:rsidRDefault="007C6C16" w:rsidP="007C6C16">
          <w:pPr>
            <w:pStyle w:val="TOC1"/>
            <w:tabs>
              <w:tab w:val="right" w:leader="dot" w:pos="9350"/>
            </w:tabs>
            <w:spacing w:line="360" w:lineRule="auto"/>
            <w:jc w:val="both"/>
            <w:rPr>
              <w:rFonts w:ascii="Times New Roman" w:eastAsiaTheme="minorEastAsia" w:hAnsi="Times New Roman"/>
              <w:b w:val="0"/>
              <w:bCs w:val="0"/>
              <w:i w:val="0"/>
              <w:iCs w:val="0"/>
              <w:noProof/>
              <w:szCs w:val="24"/>
            </w:rPr>
          </w:pPr>
          <w:hyperlink w:anchor="_Toc214887485" w:history="1">
            <w:r w:rsidRPr="007C6C16">
              <w:rPr>
                <w:rStyle w:val="Hyperlink"/>
                <w:rFonts w:ascii="Times New Roman" w:hAnsi="Times New Roman"/>
                <w:noProof/>
                <w:szCs w:val="24"/>
              </w:rPr>
              <w:t>1. Financial Health Check of General Electronics</w:t>
            </w:r>
            <w:r w:rsidRPr="007C6C16">
              <w:rPr>
                <w:rFonts w:ascii="Times New Roman" w:hAnsi="Times New Roman"/>
                <w:noProof/>
                <w:webHidden/>
                <w:szCs w:val="24"/>
              </w:rPr>
              <w:tab/>
            </w:r>
            <w:r w:rsidRPr="007C6C16">
              <w:rPr>
                <w:rFonts w:ascii="Times New Roman" w:hAnsi="Times New Roman"/>
                <w:noProof/>
                <w:webHidden/>
                <w:szCs w:val="24"/>
              </w:rPr>
              <w:fldChar w:fldCharType="begin"/>
            </w:r>
            <w:r w:rsidRPr="007C6C16">
              <w:rPr>
                <w:rFonts w:ascii="Times New Roman" w:hAnsi="Times New Roman"/>
                <w:noProof/>
                <w:webHidden/>
                <w:szCs w:val="24"/>
              </w:rPr>
              <w:instrText xml:space="preserve"> PAGEREF _Toc214887485 \h </w:instrText>
            </w:r>
            <w:r w:rsidRPr="007C6C16">
              <w:rPr>
                <w:rFonts w:ascii="Times New Roman" w:hAnsi="Times New Roman"/>
                <w:noProof/>
                <w:webHidden/>
                <w:szCs w:val="24"/>
              </w:rPr>
            </w:r>
            <w:r w:rsidRPr="007C6C16">
              <w:rPr>
                <w:rFonts w:ascii="Times New Roman" w:hAnsi="Times New Roman"/>
                <w:noProof/>
                <w:webHidden/>
                <w:szCs w:val="24"/>
              </w:rPr>
              <w:fldChar w:fldCharType="separate"/>
            </w:r>
            <w:r w:rsidRPr="007C6C16">
              <w:rPr>
                <w:rFonts w:ascii="Times New Roman" w:hAnsi="Times New Roman"/>
                <w:noProof/>
                <w:webHidden/>
                <w:szCs w:val="24"/>
              </w:rPr>
              <w:t>2</w:t>
            </w:r>
            <w:r w:rsidRPr="007C6C16">
              <w:rPr>
                <w:rFonts w:ascii="Times New Roman" w:hAnsi="Times New Roman"/>
                <w:noProof/>
                <w:webHidden/>
                <w:szCs w:val="24"/>
              </w:rPr>
              <w:fldChar w:fldCharType="end"/>
            </w:r>
          </w:hyperlink>
        </w:p>
        <w:p w14:paraId="0AE0F480" w14:textId="63323E9B"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86" w:history="1">
            <w:r w:rsidRPr="007C6C16">
              <w:rPr>
                <w:rStyle w:val="Hyperlink"/>
                <w:rFonts w:ascii="Times New Roman" w:hAnsi="Times New Roman"/>
                <w:noProof/>
                <w:sz w:val="24"/>
                <w:szCs w:val="24"/>
              </w:rPr>
              <w:t>1. Profitability Ratios</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_Toc214887486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2</w:t>
            </w:r>
            <w:r w:rsidRPr="007C6C16">
              <w:rPr>
                <w:rFonts w:ascii="Times New Roman" w:hAnsi="Times New Roman"/>
                <w:noProof/>
                <w:webHidden/>
                <w:sz w:val="24"/>
                <w:szCs w:val="24"/>
              </w:rPr>
              <w:fldChar w:fldCharType="end"/>
            </w:r>
          </w:hyperlink>
        </w:p>
        <w:p w14:paraId="7310762A" w14:textId="1177D1C9"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87" w:history="1">
            <w:r w:rsidRPr="007C6C16">
              <w:rPr>
                <w:rStyle w:val="Hyperlink"/>
                <w:rFonts w:ascii="Times New Roman" w:hAnsi="Times New Roman"/>
                <w:noProof/>
                <w:sz w:val="24"/>
                <w:szCs w:val="24"/>
              </w:rPr>
              <w:t>2. Liquidity Ratios</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_Toc214887487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4</w:t>
            </w:r>
            <w:r w:rsidRPr="007C6C16">
              <w:rPr>
                <w:rFonts w:ascii="Times New Roman" w:hAnsi="Times New Roman"/>
                <w:noProof/>
                <w:webHidden/>
                <w:sz w:val="24"/>
                <w:szCs w:val="24"/>
              </w:rPr>
              <w:fldChar w:fldCharType="end"/>
            </w:r>
          </w:hyperlink>
        </w:p>
        <w:p w14:paraId="599214C7" w14:textId="722E664E"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88" w:history="1">
            <w:r w:rsidRPr="007C6C16">
              <w:rPr>
                <w:rStyle w:val="Hyperlink"/>
                <w:rFonts w:ascii="Times New Roman" w:hAnsi="Times New Roman"/>
                <w:noProof/>
                <w:sz w:val="24"/>
                <w:szCs w:val="24"/>
              </w:rPr>
              <w:t>3. Efficiency Ratios</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_Toc214887488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5</w:t>
            </w:r>
            <w:r w:rsidRPr="007C6C16">
              <w:rPr>
                <w:rFonts w:ascii="Times New Roman" w:hAnsi="Times New Roman"/>
                <w:noProof/>
                <w:webHidden/>
                <w:sz w:val="24"/>
                <w:szCs w:val="24"/>
              </w:rPr>
              <w:fldChar w:fldCharType="end"/>
            </w:r>
          </w:hyperlink>
        </w:p>
        <w:p w14:paraId="5434094F" w14:textId="1AEAB471"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89" w:history="1">
            <w:r w:rsidRPr="007C6C16">
              <w:rPr>
                <w:rStyle w:val="Hyperlink"/>
                <w:rFonts w:ascii="Times New Roman" w:hAnsi="Times New Roman"/>
                <w:noProof/>
                <w:sz w:val="24"/>
                <w:szCs w:val="24"/>
              </w:rPr>
              <w:t>4. Gearing Ratios</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_Toc214887489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6</w:t>
            </w:r>
            <w:r w:rsidRPr="007C6C16">
              <w:rPr>
                <w:rFonts w:ascii="Times New Roman" w:hAnsi="Times New Roman"/>
                <w:noProof/>
                <w:webHidden/>
                <w:sz w:val="24"/>
                <w:szCs w:val="24"/>
              </w:rPr>
              <w:fldChar w:fldCharType="end"/>
            </w:r>
          </w:hyperlink>
        </w:p>
        <w:p w14:paraId="6B55EE91" w14:textId="0F364510"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90" w:history="1">
            <w:r w:rsidRPr="007C6C16">
              <w:rPr>
                <w:rStyle w:val="Hyperlink"/>
                <w:rFonts w:ascii="Times New Roman" w:hAnsi="Times New Roman"/>
                <w:noProof/>
                <w:sz w:val="24"/>
                <w:szCs w:val="24"/>
              </w:rPr>
              <w:t>5. Cash Flow Analysis</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_Toc214887490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6</w:t>
            </w:r>
            <w:r w:rsidRPr="007C6C16">
              <w:rPr>
                <w:rFonts w:ascii="Times New Roman" w:hAnsi="Times New Roman"/>
                <w:noProof/>
                <w:webHidden/>
                <w:sz w:val="24"/>
                <w:szCs w:val="24"/>
              </w:rPr>
              <w:fldChar w:fldCharType="end"/>
            </w:r>
          </w:hyperlink>
        </w:p>
        <w:p w14:paraId="5AAE2CD5" w14:textId="2E2FC404"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91" w:history="1">
            <w:r w:rsidRPr="007C6C16">
              <w:rPr>
                <w:rStyle w:val="Hyperlink"/>
                <w:rFonts w:ascii="Times New Roman" w:hAnsi="Times New Roman"/>
                <w:noProof/>
                <w:sz w:val="24"/>
                <w:szCs w:val="24"/>
              </w:rPr>
              <w:t>6. Altman Z-Score</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_Toc214887491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7</w:t>
            </w:r>
            <w:r w:rsidRPr="007C6C16">
              <w:rPr>
                <w:rFonts w:ascii="Times New Roman" w:hAnsi="Times New Roman"/>
                <w:noProof/>
                <w:webHidden/>
                <w:sz w:val="24"/>
                <w:szCs w:val="24"/>
              </w:rPr>
              <w:fldChar w:fldCharType="end"/>
            </w:r>
          </w:hyperlink>
        </w:p>
        <w:p w14:paraId="66FAC077" w14:textId="311F3B79"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92" w:history="1">
            <w:r w:rsidRPr="007C6C16">
              <w:rPr>
                <w:rStyle w:val="Hyperlink"/>
                <w:rFonts w:ascii="Times New Roman" w:hAnsi="Times New Roman"/>
                <w:noProof/>
                <w:sz w:val="24"/>
                <w:szCs w:val="24"/>
              </w:rPr>
              <w:t>7. Key Trends, Strengths, and Threats</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_Toc214887492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7</w:t>
            </w:r>
            <w:r w:rsidRPr="007C6C16">
              <w:rPr>
                <w:rFonts w:ascii="Times New Roman" w:hAnsi="Times New Roman"/>
                <w:noProof/>
                <w:webHidden/>
                <w:sz w:val="24"/>
                <w:szCs w:val="24"/>
              </w:rPr>
              <w:fldChar w:fldCharType="end"/>
            </w:r>
          </w:hyperlink>
        </w:p>
        <w:p w14:paraId="3CB6944F" w14:textId="2F9B55A2" w:rsidR="007C6C16" w:rsidRPr="007C6C16" w:rsidRDefault="007C6C16" w:rsidP="007C6C16">
          <w:pPr>
            <w:pStyle w:val="TOC1"/>
            <w:tabs>
              <w:tab w:val="right" w:leader="dot" w:pos="9350"/>
            </w:tabs>
            <w:spacing w:line="360" w:lineRule="auto"/>
            <w:jc w:val="both"/>
            <w:rPr>
              <w:rFonts w:ascii="Times New Roman" w:eastAsiaTheme="minorEastAsia" w:hAnsi="Times New Roman"/>
              <w:b w:val="0"/>
              <w:bCs w:val="0"/>
              <w:i w:val="0"/>
              <w:iCs w:val="0"/>
              <w:noProof/>
              <w:szCs w:val="24"/>
            </w:rPr>
          </w:pPr>
          <w:hyperlink w:anchor="_Toc214887493" w:history="1">
            <w:r w:rsidRPr="007C6C16">
              <w:rPr>
                <w:rStyle w:val="Hyperlink"/>
                <w:rFonts w:ascii="Times New Roman" w:hAnsi="Times New Roman"/>
                <w:noProof/>
                <w:szCs w:val="24"/>
              </w:rPr>
              <w:t>2. Working Capital Management Analysis</w:t>
            </w:r>
            <w:r w:rsidRPr="007C6C16">
              <w:rPr>
                <w:rFonts w:ascii="Times New Roman" w:hAnsi="Times New Roman"/>
                <w:noProof/>
                <w:webHidden/>
                <w:szCs w:val="24"/>
              </w:rPr>
              <w:tab/>
            </w:r>
            <w:r w:rsidRPr="007C6C16">
              <w:rPr>
                <w:rFonts w:ascii="Times New Roman" w:hAnsi="Times New Roman"/>
                <w:noProof/>
                <w:webHidden/>
                <w:szCs w:val="24"/>
              </w:rPr>
              <w:fldChar w:fldCharType="begin"/>
            </w:r>
            <w:r w:rsidRPr="007C6C16">
              <w:rPr>
                <w:rFonts w:ascii="Times New Roman" w:hAnsi="Times New Roman"/>
                <w:noProof/>
                <w:webHidden/>
                <w:szCs w:val="24"/>
              </w:rPr>
              <w:instrText xml:space="preserve"> PAGEREF _Toc214887493 \h </w:instrText>
            </w:r>
            <w:r w:rsidRPr="007C6C16">
              <w:rPr>
                <w:rFonts w:ascii="Times New Roman" w:hAnsi="Times New Roman"/>
                <w:noProof/>
                <w:webHidden/>
                <w:szCs w:val="24"/>
              </w:rPr>
            </w:r>
            <w:r w:rsidRPr="007C6C16">
              <w:rPr>
                <w:rFonts w:ascii="Times New Roman" w:hAnsi="Times New Roman"/>
                <w:noProof/>
                <w:webHidden/>
                <w:szCs w:val="24"/>
              </w:rPr>
              <w:fldChar w:fldCharType="separate"/>
            </w:r>
            <w:r w:rsidRPr="007C6C16">
              <w:rPr>
                <w:rFonts w:ascii="Times New Roman" w:hAnsi="Times New Roman"/>
                <w:noProof/>
                <w:webHidden/>
                <w:szCs w:val="24"/>
              </w:rPr>
              <w:t>9</w:t>
            </w:r>
            <w:r w:rsidRPr="007C6C16">
              <w:rPr>
                <w:rFonts w:ascii="Times New Roman" w:hAnsi="Times New Roman"/>
                <w:noProof/>
                <w:webHidden/>
                <w:szCs w:val="24"/>
              </w:rPr>
              <w:fldChar w:fldCharType="end"/>
            </w:r>
          </w:hyperlink>
        </w:p>
        <w:p w14:paraId="436476F0" w14:textId="7293C68F"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94" w:history="1">
            <w:r w:rsidRPr="007C6C16">
              <w:rPr>
                <w:rStyle w:val="Hyperlink"/>
                <w:rFonts w:ascii="Times New Roman" w:hAnsi="Times New Roman"/>
                <w:noProof/>
                <w:sz w:val="24"/>
                <w:szCs w:val="24"/>
              </w:rPr>
              <w:t>Cash Operating Cycle (COC) Analysis.</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_Toc214887494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9</w:t>
            </w:r>
            <w:r w:rsidRPr="007C6C16">
              <w:rPr>
                <w:rFonts w:ascii="Times New Roman" w:hAnsi="Times New Roman"/>
                <w:noProof/>
                <w:webHidden/>
                <w:sz w:val="24"/>
                <w:szCs w:val="24"/>
              </w:rPr>
              <w:fldChar w:fldCharType="end"/>
            </w:r>
          </w:hyperlink>
        </w:p>
        <w:p w14:paraId="00339FAC" w14:textId="59CCF08E"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95" w:history="1">
            <w:r w:rsidRPr="007C6C16">
              <w:rPr>
                <w:rStyle w:val="Hyperlink"/>
                <w:rFonts w:ascii="Times New Roman" w:hAnsi="Times New Roman"/>
                <w:noProof/>
                <w:sz w:val="24"/>
                <w:szCs w:val="24"/>
              </w:rPr>
              <w:t>Improvement Strategies Liquidity.</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_Toc214887495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12</w:t>
            </w:r>
            <w:r w:rsidRPr="007C6C16">
              <w:rPr>
                <w:rFonts w:ascii="Times New Roman" w:hAnsi="Times New Roman"/>
                <w:noProof/>
                <w:webHidden/>
                <w:sz w:val="24"/>
                <w:szCs w:val="24"/>
              </w:rPr>
              <w:fldChar w:fldCharType="end"/>
            </w:r>
          </w:hyperlink>
        </w:p>
        <w:p w14:paraId="57812BBA" w14:textId="6839607B"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96" w:history="1">
            <w:r w:rsidRPr="007C6C16">
              <w:rPr>
                <w:rStyle w:val="Hyperlink"/>
                <w:rFonts w:ascii="Times New Roman" w:hAnsi="Times New Roman"/>
                <w:noProof/>
                <w:sz w:val="24"/>
                <w:szCs w:val="24"/>
              </w:rPr>
              <w:t>The Long and Short-Term Financing Resources.</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_Toc214887496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13</w:t>
            </w:r>
            <w:r w:rsidRPr="007C6C16">
              <w:rPr>
                <w:rFonts w:ascii="Times New Roman" w:hAnsi="Times New Roman"/>
                <w:noProof/>
                <w:webHidden/>
                <w:sz w:val="24"/>
                <w:szCs w:val="24"/>
              </w:rPr>
              <w:fldChar w:fldCharType="end"/>
            </w:r>
          </w:hyperlink>
        </w:p>
        <w:p w14:paraId="117758CA" w14:textId="6E47E9C0" w:rsidR="007C6C16" w:rsidRPr="007C6C16" w:rsidRDefault="007C6C16" w:rsidP="007C6C16">
          <w:pPr>
            <w:pStyle w:val="TOC1"/>
            <w:tabs>
              <w:tab w:val="right" w:leader="dot" w:pos="9350"/>
            </w:tabs>
            <w:spacing w:line="360" w:lineRule="auto"/>
            <w:jc w:val="both"/>
            <w:rPr>
              <w:rFonts w:ascii="Times New Roman" w:eastAsiaTheme="minorEastAsia" w:hAnsi="Times New Roman"/>
              <w:b w:val="0"/>
              <w:bCs w:val="0"/>
              <w:i w:val="0"/>
              <w:iCs w:val="0"/>
              <w:noProof/>
              <w:szCs w:val="24"/>
            </w:rPr>
          </w:pPr>
          <w:hyperlink w:anchor="_Toc214887497" w:history="1">
            <w:r w:rsidRPr="007C6C16">
              <w:rPr>
                <w:rStyle w:val="Hyperlink"/>
                <w:rFonts w:ascii="Times New Roman" w:hAnsi="Times New Roman"/>
                <w:noProof/>
                <w:szCs w:val="24"/>
              </w:rPr>
              <w:t>3. Strategic Financial Restructuring Plan</w:t>
            </w:r>
            <w:r w:rsidRPr="007C6C16">
              <w:rPr>
                <w:rFonts w:ascii="Times New Roman" w:hAnsi="Times New Roman"/>
                <w:noProof/>
                <w:webHidden/>
                <w:szCs w:val="24"/>
              </w:rPr>
              <w:tab/>
            </w:r>
            <w:r w:rsidRPr="007C6C16">
              <w:rPr>
                <w:rFonts w:ascii="Times New Roman" w:hAnsi="Times New Roman"/>
                <w:noProof/>
                <w:webHidden/>
                <w:szCs w:val="24"/>
              </w:rPr>
              <w:fldChar w:fldCharType="begin"/>
            </w:r>
            <w:r w:rsidRPr="007C6C16">
              <w:rPr>
                <w:rFonts w:ascii="Times New Roman" w:hAnsi="Times New Roman"/>
                <w:noProof/>
                <w:webHidden/>
                <w:szCs w:val="24"/>
              </w:rPr>
              <w:instrText xml:space="preserve"> PAGEREF _Toc214887497 \h </w:instrText>
            </w:r>
            <w:r w:rsidRPr="007C6C16">
              <w:rPr>
                <w:rFonts w:ascii="Times New Roman" w:hAnsi="Times New Roman"/>
                <w:noProof/>
                <w:webHidden/>
                <w:szCs w:val="24"/>
              </w:rPr>
            </w:r>
            <w:r w:rsidRPr="007C6C16">
              <w:rPr>
                <w:rFonts w:ascii="Times New Roman" w:hAnsi="Times New Roman"/>
                <w:noProof/>
                <w:webHidden/>
                <w:szCs w:val="24"/>
              </w:rPr>
              <w:fldChar w:fldCharType="separate"/>
            </w:r>
            <w:r w:rsidRPr="007C6C16">
              <w:rPr>
                <w:rFonts w:ascii="Times New Roman" w:hAnsi="Times New Roman"/>
                <w:noProof/>
                <w:webHidden/>
                <w:szCs w:val="24"/>
              </w:rPr>
              <w:t>14</w:t>
            </w:r>
            <w:r w:rsidRPr="007C6C16">
              <w:rPr>
                <w:rFonts w:ascii="Times New Roman" w:hAnsi="Times New Roman"/>
                <w:noProof/>
                <w:webHidden/>
                <w:szCs w:val="24"/>
              </w:rPr>
              <w:fldChar w:fldCharType="end"/>
            </w:r>
          </w:hyperlink>
        </w:p>
        <w:p w14:paraId="2A95F38F" w14:textId="2EBB3F8C"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98" w:history="1">
            <w:r w:rsidRPr="007C6C16">
              <w:rPr>
                <w:rStyle w:val="Hyperlink"/>
                <w:rFonts w:ascii="Times New Roman" w:hAnsi="Times New Roman"/>
                <w:noProof/>
                <w:sz w:val="24"/>
                <w:szCs w:val="24"/>
              </w:rPr>
              <w:t>Divestiture</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_Toc214887498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14</w:t>
            </w:r>
            <w:r w:rsidRPr="007C6C16">
              <w:rPr>
                <w:rFonts w:ascii="Times New Roman" w:hAnsi="Times New Roman"/>
                <w:noProof/>
                <w:webHidden/>
                <w:sz w:val="24"/>
                <w:szCs w:val="24"/>
              </w:rPr>
              <w:fldChar w:fldCharType="end"/>
            </w:r>
          </w:hyperlink>
        </w:p>
        <w:p w14:paraId="55AD74F0" w14:textId="69E191AC"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499" w:history="1">
            <w:r w:rsidRPr="007C6C16">
              <w:rPr>
                <w:rStyle w:val="Hyperlink"/>
                <w:rFonts w:ascii="Times New Roman" w:hAnsi="Times New Roman"/>
                <w:noProof/>
                <w:sz w:val="24"/>
                <w:szCs w:val="24"/>
              </w:rPr>
              <w:t>Merger</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_Toc214887499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15</w:t>
            </w:r>
            <w:r w:rsidRPr="007C6C16">
              <w:rPr>
                <w:rFonts w:ascii="Times New Roman" w:hAnsi="Times New Roman"/>
                <w:noProof/>
                <w:webHidden/>
                <w:sz w:val="24"/>
                <w:szCs w:val="24"/>
              </w:rPr>
              <w:fldChar w:fldCharType="end"/>
            </w:r>
          </w:hyperlink>
        </w:p>
        <w:p w14:paraId="7A6BF9AB" w14:textId="12531DEA"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500" w:history="1">
            <w:r w:rsidRPr="007C6C16">
              <w:rPr>
                <w:rStyle w:val="Hyperlink"/>
                <w:rFonts w:ascii="Times New Roman" w:hAnsi="Times New Roman"/>
                <w:noProof/>
                <w:sz w:val="24"/>
                <w:szCs w:val="24"/>
              </w:rPr>
              <w:t>Equity Injection</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_Toc214887500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16</w:t>
            </w:r>
            <w:r w:rsidRPr="007C6C16">
              <w:rPr>
                <w:rFonts w:ascii="Times New Roman" w:hAnsi="Times New Roman"/>
                <w:noProof/>
                <w:webHidden/>
                <w:sz w:val="24"/>
                <w:szCs w:val="24"/>
              </w:rPr>
              <w:fldChar w:fldCharType="end"/>
            </w:r>
          </w:hyperlink>
        </w:p>
        <w:p w14:paraId="1B561733" w14:textId="777E25B9" w:rsidR="007C6C16" w:rsidRPr="007C6C16" w:rsidRDefault="007C6C16" w:rsidP="007C6C16">
          <w:pPr>
            <w:pStyle w:val="TOC1"/>
            <w:tabs>
              <w:tab w:val="right" w:leader="dot" w:pos="9350"/>
            </w:tabs>
            <w:spacing w:line="360" w:lineRule="auto"/>
            <w:jc w:val="both"/>
            <w:rPr>
              <w:rFonts w:ascii="Times New Roman" w:eastAsiaTheme="minorEastAsia" w:hAnsi="Times New Roman"/>
              <w:b w:val="0"/>
              <w:bCs w:val="0"/>
              <w:i w:val="0"/>
              <w:iCs w:val="0"/>
              <w:noProof/>
              <w:szCs w:val="24"/>
            </w:rPr>
          </w:pPr>
          <w:hyperlink w:anchor="_Toc214887501" w:history="1">
            <w:r w:rsidRPr="007C6C16">
              <w:rPr>
                <w:rStyle w:val="Hyperlink"/>
                <w:rFonts w:ascii="Times New Roman" w:hAnsi="Times New Roman"/>
                <w:noProof/>
                <w:szCs w:val="24"/>
              </w:rPr>
              <w:t>4. Investment Appraisal and Capital Budgeting</w:t>
            </w:r>
            <w:r w:rsidRPr="007C6C16">
              <w:rPr>
                <w:rFonts w:ascii="Times New Roman" w:hAnsi="Times New Roman"/>
                <w:noProof/>
                <w:webHidden/>
                <w:szCs w:val="24"/>
              </w:rPr>
              <w:tab/>
            </w:r>
            <w:r w:rsidRPr="007C6C16">
              <w:rPr>
                <w:rFonts w:ascii="Times New Roman" w:hAnsi="Times New Roman"/>
                <w:noProof/>
                <w:webHidden/>
                <w:szCs w:val="24"/>
              </w:rPr>
              <w:fldChar w:fldCharType="begin"/>
            </w:r>
            <w:r w:rsidRPr="007C6C16">
              <w:rPr>
                <w:rFonts w:ascii="Times New Roman" w:hAnsi="Times New Roman"/>
                <w:noProof/>
                <w:webHidden/>
                <w:szCs w:val="24"/>
              </w:rPr>
              <w:instrText xml:space="preserve"> PAGEREF _Toc214887501 \h </w:instrText>
            </w:r>
            <w:r w:rsidRPr="007C6C16">
              <w:rPr>
                <w:rFonts w:ascii="Times New Roman" w:hAnsi="Times New Roman"/>
                <w:noProof/>
                <w:webHidden/>
                <w:szCs w:val="24"/>
              </w:rPr>
            </w:r>
            <w:r w:rsidRPr="007C6C16">
              <w:rPr>
                <w:rFonts w:ascii="Times New Roman" w:hAnsi="Times New Roman"/>
                <w:noProof/>
                <w:webHidden/>
                <w:szCs w:val="24"/>
              </w:rPr>
              <w:fldChar w:fldCharType="separate"/>
            </w:r>
            <w:r w:rsidRPr="007C6C16">
              <w:rPr>
                <w:rFonts w:ascii="Times New Roman" w:hAnsi="Times New Roman"/>
                <w:noProof/>
                <w:webHidden/>
                <w:szCs w:val="24"/>
              </w:rPr>
              <w:t>17</w:t>
            </w:r>
            <w:r w:rsidRPr="007C6C16">
              <w:rPr>
                <w:rFonts w:ascii="Times New Roman" w:hAnsi="Times New Roman"/>
                <w:noProof/>
                <w:webHidden/>
                <w:szCs w:val="24"/>
              </w:rPr>
              <w:fldChar w:fldCharType="end"/>
            </w:r>
          </w:hyperlink>
        </w:p>
        <w:p w14:paraId="50C4BF97" w14:textId="0F4197C8"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502" w:history="1">
            <w:r w:rsidRPr="007C6C16">
              <w:rPr>
                <w:rStyle w:val="Hyperlink"/>
                <w:rFonts w:ascii="Times New Roman" w:hAnsi="Times New Roman"/>
                <w:noProof/>
                <w:sz w:val="24"/>
                <w:szCs w:val="24"/>
              </w:rPr>
              <w:t>Project Overview</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_Toc214887502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17</w:t>
            </w:r>
            <w:r w:rsidRPr="007C6C16">
              <w:rPr>
                <w:rFonts w:ascii="Times New Roman" w:hAnsi="Times New Roman"/>
                <w:noProof/>
                <w:webHidden/>
                <w:sz w:val="24"/>
                <w:szCs w:val="24"/>
              </w:rPr>
              <w:fldChar w:fldCharType="end"/>
            </w:r>
          </w:hyperlink>
        </w:p>
        <w:p w14:paraId="26F6E94F" w14:textId="602048FF"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503" w:history="1">
            <w:r w:rsidRPr="007C6C16">
              <w:rPr>
                <w:rStyle w:val="Hyperlink"/>
                <w:rFonts w:ascii="Times New Roman" w:hAnsi="Times New Roman"/>
                <w:noProof/>
                <w:sz w:val="24"/>
                <w:szCs w:val="24"/>
              </w:rPr>
              <w:t>Payback Period (PBP)</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_Toc214887503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18</w:t>
            </w:r>
            <w:r w:rsidRPr="007C6C16">
              <w:rPr>
                <w:rFonts w:ascii="Times New Roman" w:hAnsi="Times New Roman"/>
                <w:noProof/>
                <w:webHidden/>
                <w:sz w:val="24"/>
                <w:szCs w:val="24"/>
              </w:rPr>
              <w:fldChar w:fldCharType="end"/>
            </w:r>
          </w:hyperlink>
        </w:p>
        <w:p w14:paraId="6961534A" w14:textId="17899220"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504" w:history="1">
            <w:r w:rsidRPr="007C6C16">
              <w:rPr>
                <w:rStyle w:val="Hyperlink"/>
                <w:rFonts w:ascii="Times New Roman" w:hAnsi="Times New Roman"/>
                <w:noProof/>
                <w:sz w:val="24"/>
                <w:szCs w:val="24"/>
              </w:rPr>
              <w:t>Accounting Rate of Return (ARR)</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_Toc214887504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20</w:t>
            </w:r>
            <w:r w:rsidRPr="007C6C16">
              <w:rPr>
                <w:rFonts w:ascii="Times New Roman" w:hAnsi="Times New Roman"/>
                <w:noProof/>
                <w:webHidden/>
                <w:sz w:val="24"/>
                <w:szCs w:val="24"/>
              </w:rPr>
              <w:fldChar w:fldCharType="end"/>
            </w:r>
          </w:hyperlink>
        </w:p>
        <w:p w14:paraId="55C524AF" w14:textId="03A055C9"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505" w:history="1">
            <w:r w:rsidRPr="007C6C16">
              <w:rPr>
                <w:rStyle w:val="Hyperlink"/>
                <w:rFonts w:ascii="Times New Roman" w:hAnsi="Times New Roman"/>
                <w:noProof/>
                <w:sz w:val="24"/>
                <w:szCs w:val="24"/>
              </w:rPr>
              <w:t>Net Present Value (NPV)</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_Toc214887505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22</w:t>
            </w:r>
            <w:r w:rsidRPr="007C6C16">
              <w:rPr>
                <w:rFonts w:ascii="Times New Roman" w:hAnsi="Times New Roman"/>
                <w:noProof/>
                <w:webHidden/>
                <w:sz w:val="24"/>
                <w:szCs w:val="24"/>
              </w:rPr>
              <w:fldChar w:fldCharType="end"/>
            </w:r>
          </w:hyperlink>
        </w:p>
        <w:p w14:paraId="071D2F82" w14:textId="75E8930A"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506" w:history="1">
            <w:r w:rsidRPr="007C6C16">
              <w:rPr>
                <w:rStyle w:val="Hyperlink"/>
                <w:rFonts w:ascii="Times New Roman" w:hAnsi="Times New Roman"/>
                <w:noProof/>
                <w:sz w:val="24"/>
                <w:szCs w:val="24"/>
              </w:rPr>
              <w:t>Profitability Index (PI)</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_Toc214887506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23</w:t>
            </w:r>
            <w:r w:rsidRPr="007C6C16">
              <w:rPr>
                <w:rFonts w:ascii="Times New Roman" w:hAnsi="Times New Roman"/>
                <w:noProof/>
                <w:webHidden/>
                <w:sz w:val="24"/>
                <w:szCs w:val="24"/>
              </w:rPr>
              <w:fldChar w:fldCharType="end"/>
            </w:r>
          </w:hyperlink>
        </w:p>
        <w:p w14:paraId="05B45137" w14:textId="0C33C87E"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507" w:history="1">
            <w:r w:rsidRPr="007C6C16">
              <w:rPr>
                <w:rStyle w:val="Hyperlink"/>
                <w:rFonts w:ascii="Times New Roman" w:hAnsi="Times New Roman"/>
                <w:noProof/>
                <w:sz w:val="24"/>
                <w:szCs w:val="24"/>
              </w:rPr>
              <w:t>Internal Rate of Return (IRR)</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_Toc214887507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23</w:t>
            </w:r>
            <w:r w:rsidRPr="007C6C16">
              <w:rPr>
                <w:rFonts w:ascii="Times New Roman" w:hAnsi="Times New Roman"/>
                <w:noProof/>
                <w:webHidden/>
                <w:sz w:val="24"/>
                <w:szCs w:val="24"/>
              </w:rPr>
              <w:fldChar w:fldCharType="end"/>
            </w:r>
          </w:hyperlink>
        </w:p>
        <w:p w14:paraId="719C6D4A" w14:textId="30506BA5" w:rsidR="007C6C16" w:rsidRPr="007C6C16" w:rsidRDefault="007C6C16" w:rsidP="007C6C16">
          <w:pPr>
            <w:pStyle w:val="TOC2"/>
            <w:tabs>
              <w:tab w:val="right" w:leader="dot" w:pos="9350"/>
            </w:tabs>
            <w:spacing w:line="360" w:lineRule="auto"/>
            <w:jc w:val="both"/>
            <w:rPr>
              <w:rFonts w:ascii="Times New Roman" w:eastAsiaTheme="minorEastAsia" w:hAnsi="Times New Roman"/>
              <w:b w:val="0"/>
              <w:bCs w:val="0"/>
              <w:noProof/>
              <w:sz w:val="24"/>
              <w:szCs w:val="24"/>
            </w:rPr>
          </w:pPr>
          <w:hyperlink w:anchor="_Toc214887508" w:history="1">
            <w:r w:rsidRPr="007C6C16">
              <w:rPr>
                <w:rStyle w:val="Hyperlink"/>
                <w:rFonts w:ascii="Times New Roman" w:hAnsi="Times New Roman"/>
                <w:noProof/>
                <w:sz w:val="24"/>
                <w:szCs w:val="24"/>
              </w:rPr>
              <w:t>Final Recommendation</w:t>
            </w:r>
            <w:r w:rsidRPr="007C6C16">
              <w:rPr>
                <w:rFonts w:ascii="Times New Roman" w:hAnsi="Times New Roman"/>
                <w:noProof/>
                <w:webHidden/>
                <w:sz w:val="24"/>
                <w:szCs w:val="24"/>
              </w:rPr>
              <w:tab/>
            </w:r>
            <w:r w:rsidRPr="007C6C16">
              <w:rPr>
                <w:rFonts w:ascii="Times New Roman" w:hAnsi="Times New Roman"/>
                <w:noProof/>
                <w:webHidden/>
                <w:sz w:val="24"/>
                <w:szCs w:val="24"/>
              </w:rPr>
              <w:fldChar w:fldCharType="begin"/>
            </w:r>
            <w:r w:rsidRPr="007C6C16">
              <w:rPr>
                <w:rFonts w:ascii="Times New Roman" w:hAnsi="Times New Roman"/>
                <w:noProof/>
                <w:webHidden/>
                <w:sz w:val="24"/>
                <w:szCs w:val="24"/>
              </w:rPr>
              <w:instrText xml:space="preserve"> PAGEREF _Toc214887508 \h </w:instrText>
            </w:r>
            <w:r w:rsidRPr="007C6C16">
              <w:rPr>
                <w:rFonts w:ascii="Times New Roman" w:hAnsi="Times New Roman"/>
                <w:noProof/>
                <w:webHidden/>
                <w:sz w:val="24"/>
                <w:szCs w:val="24"/>
              </w:rPr>
            </w:r>
            <w:r w:rsidRPr="007C6C16">
              <w:rPr>
                <w:rFonts w:ascii="Times New Roman" w:hAnsi="Times New Roman"/>
                <w:noProof/>
                <w:webHidden/>
                <w:sz w:val="24"/>
                <w:szCs w:val="24"/>
              </w:rPr>
              <w:fldChar w:fldCharType="separate"/>
            </w:r>
            <w:r w:rsidRPr="007C6C16">
              <w:rPr>
                <w:rFonts w:ascii="Times New Roman" w:hAnsi="Times New Roman"/>
                <w:noProof/>
                <w:webHidden/>
                <w:sz w:val="24"/>
                <w:szCs w:val="24"/>
              </w:rPr>
              <w:t>24</w:t>
            </w:r>
            <w:r w:rsidRPr="007C6C16">
              <w:rPr>
                <w:rFonts w:ascii="Times New Roman" w:hAnsi="Times New Roman"/>
                <w:noProof/>
                <w:webHidden/>
                <w:sz w:val="24"/>
                <w:szCs w:val="24"/>
              </w:rPr>
              <w:fldChar w:fldCharType="end"/>
            </w:r>
          </w:hyperlink>
        </w:p>
        <w:p w14:paraId="1919A692" w14:textId="2A2029DF" w:rsidR="007C6C16" w:rsidRPr="007C6C16" w:rsidRDefault="007C6C16" w:rsidP="007C6C16">
          <w:pPr>
            <w:pStyle w:val="TOC1"/>
            <w:tabs>
              <w:tab w:val="right" w:leader="dot" w:pos="9350"/>
            </w:tabs>
            <w:spacing w:line="360" w:lineRule="auto"/>
            <w:jc w:val="both"/>
            <w:rPr>
              <w:rFonts w:ascii="Times New Roman" w:eastAsiaTheme="minorEastAsia" w:hAnsi="Times New Roman"/>
              <w:b w:val="0"/>
              <w:bCs w:val="0"/>
              <w:i w:val="0"/>
              <w:iCs w:val="0"/>
              <w:noProof/>
              <w:szCs w:val="24"/>
            </w:rPr>
          </w:pPr>
          <w:hyperlink w:anchor="_Toc214887509" w:history="1">
            <w:r w:rsidRPr="007C6C16">
              <w:rPr>
                <w:rStyle w:val="Hyperlink"/>
                <w:rFonts w:ascii="Times New Roman" w:hAnsi="Times New Roman"/>
                <w:noProof/>
                <w:szCs w:val="24"/>
              </w:rPr>
              <w:t>Conclusion</w:t>
            </w:r>
            <w:r w:rsidRPr="007C6C16">
              <w:rPr>
                <w:rFonts w:ascii="Times New Roman" w:hAnsi="Times New Roman"/>
                <w:noProof/>
                <w:webHidden/>
                <w:szCs w:val="24"/>
              </w:rPr>
              <w:tab/>
            </w:r>
            <w:r w:rsidRPr="007C6C16">
              <w:rPr>
                <w:rFonts w:ascii="Times New Roman" w:hAnsi="Times New Roman"/>
                <w:noProof/>
                <w:webHidden/>
                <w:szCs w:val="24"/>
              </w:rPr>
              <w:fldChar w:fldCharType="begin"/>
            </w:r>
            <w:r w:rsidRPr="007C6C16">
              <w:rPr>
                <w:rFonts w:ascii="Times New Roman" w:hAnsi="Times New Roman"/>
                <w:noProof/>
                <w:webHidden/>
                <w:szCs w:val="24"/>
              </w:rPr>
              <w:instrText xml:space="preserve"> PAGEREF _Toc214887509 \h </w:instrText>
            </w:r>
            <w:r w:rsidRPr="007C6C16">
              <w:rPr>
                <w:rFonts w:ascii="Times New Roman" w:hAnsi="Times New Roman"/>
                <w:noProof/>
                <w:webHidden/>
                <w:szCs w:val="24"/>
              </w:rPr>
            </w:r>
            <w:r w:rsidRPr="007C6C16">
              <w:rPr>
                <w:rFonts w:ascii="Times New Roman" w:hAnsi="Times New Roman"/>
                <w:noProof/>
                <w:webHidden/>
                <w:szCs w:val="24"/>
              </w:rPr>
              <w:fldChar w:fldCharType="separate"/>
            </w:r>
            <w:r w:rsidRPr="007C6C16">
              <w:rPr>
                <w:rFonts w:ascii="Times New Roman" w:hAnsi="Times New Roman"/>
                <w:noProof/>
                <w:webHidden/>
                <w:szCs w:val="24"/>
              </w:rPr>
              <w:t>25</w:t>
            </w:r>
            <w:r w:rsidRPr="007C6C16">
              <w:rPr>
                <w:rFonts w:ascii="Times New Roman" w:hAnsi="Times New Roman"/>
                <w:noProof/>
                <w:webHidden/>
                <w:szCs w:val="24"/>
              </w:rPr>
              <w:fldChar w:fldCharType="end"/>
            </w:r>
          </w:hyperlink>
        </w:p>
        <w:p w14:paraId="0817FE18" w14:textId="3E800590" w:rsidR="007C6C16" w:rsidRPr="007C6C16" w:rsidRDefault="007C6C16" w:rsidP="007C6C16">
          <w:pPr>
            <w:pStyle w:val="TOC1"/>
            <w:tabs>
              <w:tab w:val="right" w:leader="dot" w:pos="9350"/>
            </w:tabs>
            <w:spacing w:line="360" w:lineRule="auto"/>
            <w:jc w:val="both"/>
            <w:rPr>
              <w:rFonts w:ascii="Times New Roman" w:eastAsiaTheme="minorEastAsia" w:hAnsi="Times New Roman"/>
              <w:b w:val="0"/>
              <w:bCs w:val="0"/>
              <w:i w:val="0"/>
              <w:iCs w:val="0"/>
              <w:noProof/>
              <w:szCs w:val="24"/>
            </w:rPr>
          </w:pPr>
          <w:hyperlink w:anchor="_Toc214887510" w:history="1">
            <w:r w:rsidRPr="007C6C16">
              <w:rPr>
                <w:rStyle w:val="Hyperlink"/>
                <w:rFonts w:ascii="Times New Roman" w:hAnsi="Times New Roman"/>
                <w:noProof/>
                <w:szCs w:val="24"/>
              </w:rPr>
              <w:t>References</w:t>
            </w:r>
            <w:r w:rsidRPr="007C6C16">
              <w:rPr>
                <w:rFonts w:ascii="Times New Roman" w:hAnsi="Times New Roman"/>
                <w:noProof/>
                <w:webHidden/>
                <w:szCs w:val="24"/>
              </w:rPr>
              <w:tab/>
            </w:r>
            <w:r w:rsidRPr="007C6C16">
              <w:rPr>
                <w:rFonts w:ascii="Times New Roman" w:hAnsi="Times New Roman"/>
                <w:noProof/>
                <w:webHidden/>
                <w:szCs w:val="24"/>
              </w:rPr>
              <w:fldChar w:fldCharType="begin"/>
            </w:r>
            <w:r w:rsidRPr="007C6C16">
              <w:rPr>
                <w:rFonts w:ascii="Times New Roman" w:hAnsi="Times New Roman"/>
                <w:noProof/>
                <w:webHidden/>
                <w:szCs w:val="24"/>
              </w:rPr>
              <w:instrText xml:space="preserve"> PAGEREF _Toc214887510 \h </w:instrText>
            </w:r>
            <w:r w:rsidRPr="007C6C16">
              <w:rPr>
                <w:rFonts w:ascii="Times New Roman" w:hAnsi="Times New Roman"/>
                <w:noProof/>
                <w:webHidden/>
                <w:szCs w:val="24"/>
              </w:rPr>
            </w:r>
            <w:r w:rsidRPr="007C6C16">
              <w:rPr>
                <w:rFonts w:ascii="Times New Roman" w:hAnsi="Times New Roman"/>
                <w:noProof/>
                <w:webHidden/>
                <w:szCs w:val="24"/>
              </w:rPr>
              <w:fldChar w:fldCharType="separate"/>
            </w:r>
            <w:r w:rsidRPr="007C6C16">
              <w:rPr>
                <w:rFonts w:ascii="Times New Roman" w:hAnsi="Times New Roman"/>
                <w:noProof/>
                <w:webHidden/>
                <w:szCs w:val="24"/>
              </w:rPr>
              <w:t>26</w:t>
            </w:r>
            <w:r w:rsidRPr="007C6C16">
              <w:rPr>
                <w:rFonts w:ascii="Times New Roman" w:hAnsi="Times New Roman"/>
                <w:noProof/>
                <w:webHidden/>
                <w:szCs w:val="24"/>
              </w:rPr>
              <w:fldChar w:fldCharType="end"/>
            </w:r>
          </w:hyperlink>
        </w:p>
        <w:p w14:paraId="1B7B8409" w14:textId="6206E4E5" w:rsidR="007C6C16" w:rsidRPr="007C6C16" w:rsidRDefault="007C6C16" w:rsidP="007C6C16">
          <w:pPr>
            <w:pStyle w:val="TOC1"/>
            <w:tabs>
              <w:tab w:val="right" w:leader="dot" w:pos="9350"/>
            </w:tabs>
            <w:spacing w:line="360" w:lineRule="auto"/>
            <w:jc w:val="both"/>
            <w:rPr>
              <w:rFonts w:ascii="Times New Roman" w:eastAsiaTheme="minorEastAsia" w:hAnsi="Times New Roman"/>
              <w:b w:val="0"/>
              <w:bCs w:val="0"/>
              <w:i w:val="0"/>
              <w:iCs w:val="0"/>
              <w:noProof/>
              <w:szCs w:val="24"/>
            </w:rPr>
          </w:pPr>
          <w:hyperlink w:anchor="_Toc214887511" w:history="1">
            <w:r w:rsidRPr="007C6C16">
              <w:rPr>
                <w:rStyle w:val="Hyperlink"/>
                <w:rFonts w:ascii="Times New Roman" w:hAnsi="Times New Roman"/>
                <w:noProof/>
                <w:szCs w:val="24"/>
              </w:rPr>
              <w:t>Appendices:</w:t>
            </w:r>
            <w:r w:rsidRPr="007C6C16">
              <w:rPr>
                <w:rFonts w:ascii="Times New Roman" w:hAnsi="Times New Roman"/>
                <w:noProof/>
                <w:webHidden/>
                <w:szCs w:val="24"/>
              </w:rPr>
              <w:tab/>
            </w:r>
            <w:r w:rsidRPr="007C6C16">
              <w:rPr>
                <w:rFonts w:ascii="Times New Roman" w:hAnsi="Times New Roman"/>
                <w:noProof/>
                <w:webHidden/>
                <w:szCs w:val="24"/>
              </w:rPr>
              <w:fldChar w:fldCharType="begin"/>
            </w:r>
            <w:r w:rsidRPr="007C6C16">
              <w:rPr>
                <w:rFonts w:ascii="Times New Roman" w:hAnsi="Times New Roman"/>
                <w:noProof/>
                <w:webHidden/>
                <w:szCs w:val="24"/>
              </w:rPr>
              <w:instrText xml:space="preserve"> PAGEREF _Toc214887511 \h </w:instrText>
            </w:r>
            <w:r w:rsidRPr="007C6C16">
              <w:rPr>
                <w:rFonts w:ascii="Times New Roman" w:hAnsi="Times New Roman"/>
                <w:noProof/>
                <w:webHidden/>
                <w:szCs w:val="24"/>
              </w:rPr>
            </w:r>
            <w:r w:rsidRPr="007C6C16">
              <w:rPr>
                <w:rFonts w:ascii="Times New Roman" w:hAnsi="Times New Roman"/>
                <w:noProof/>
                <w:webHidden/>
                <w:szCs w:val="24"/>
              </w:rPr>
              <w:fldChar w:fldCharType="separate"/>
            </w:r>
            <w:r w:rsidRPr="007C6C16">
              <w:rPr>
                <w:rFonts w:ascii="Times New Roman" w:hAnsi="Times New Roman"/>
                <w:noProof/>
                <w:webHidden/>
                <w:szCs w:val="24"/>
              </w:rPr>
              <w:t>28</w:t>
            </w:r>
            <w:r w:rsidRPr="007C6C16">
              <w:rPr>
                <w:rFonts w:ascii="Times New Roman" w:hAnsi="Times New Roman"/>
                <w:noProof/>
                <w:webHidden/>
                <w:szCs w:val="24"/>
              </w:rPr>
              <w:fldChar w:fldCharType="end"/>
            </w:r>
          </w:hyperlink>
        </w:p>
        <w:p w14:paraId="5254F9AF" w14:textId="3D87FDD5" w:rsidR="007C6C16" w:rsidRPr="007C6C16" w:rsidRDefault="007C6C16" w:rsidP="007C6C16">
          <w:pPr>
            <w:spacing w:line="360" w:lineRule="auto"/>
            <w:jc w:val="both"/>
          </w:pPr>
          <w:r w:rsidRPr="007C6C16">
            <w:rPr>
              <w:b/>
              <w:bCs/>
              <w:noProof/>
            </w:rPr>
            <w:fldChar w:fldCharType="end"/>
          </w:r>
        </w:p>
      </w:sdtContent>
    </w:sdt>
    <w:p w14:paraId="30F4E989" w14:textId="6CB943F4" w:rsidR="007C6C16" w:rsidRDefault="007C6C16">
      <w:pPr>
        <w:spacing w:after="160" w:line="278" w:lineRule="auto"/>
        <w:rPr>
          <w:rFonts w:eastAsia="Calibri"/>
        </w:rPr>
      </w:pPr>
      <w:r>
        <w:rPr>
          <w:rFonts w:eastAsia="Calibri"/>
        </w:rPr>
        <w:br w:type="page"/>
      </w:r>
    </w:p>
    <w:p w14:paraId="521B6084" w14:textId="55685B06" w:rsidR="0058121E" w:rsidRPr="007C6C16" w:rsidRDefault="0058121E" w:rsidP="007C6C16">
      <w:pPr>
        <w:pStyle w:val="Heading1"/>
        <w:spacing w:line="360" w:lineRule="auto"/>
        <w:jc w:val="both"/>
        <w:rPr>
          <w:rFonts w:ascii="Times New Roman" w:hAnsi="Times New Roman" w:cs="Times New Roman"/>
          <w:b/>
          <w:bCs/>
          <w:color w:val="auto"/>
          <w:sz w:val="24"/>
          <w:szCs w:val="24"/>
        </w:rPr>
      </w:pPr>
      <w:bookmarkStart w:id="1" w:name="_Toc214887484"/>
      <w:r w:rsidRPr="007C6C16">
        <w:rPr>
          <w:rFonts w:ascii="Times New Roman" w:hAnsi="Times New Roman" w:cs="Times New Roman"/>
          <w:b/>
          <w:bCs/>
          <w:color w:val="auto"/>
          <w:sz w:val="24"/>
          <w:szCs w:val="24"/>
        </w:rPr>
        <w:lastRenderedPageBreak/>
        <w:t>Introduction</w:t>
      </w:r>
      <w:bookmarkEnd w:id="0"/>
      <w:bookmarkEnd w:id="1"/>
    </w:p>
    <w:p w14:paraId="558C07AA" w14:textId="7A085987" w:rsidR="0058121E" w:rsidRPr="007C6C16" w:rsidRDefault="0058121E" w:rsidP="007C6C16">
      <w:pPr>
        <w:spacing w:after="160" w:line="360" w:lineRule="auto"/>
        <w:jc w:val="both"/>
      </w:pPr>
      <w:r w:rsidRPr="007C6C16">
        <w:t>Within the context of this report, the general financial analysis of General Electronics, wh</w:t>
      </w:r>
      <w:r w:rsidR="00932200" w:rsidRPr="007C6C16">
        <w:t>ich</w:t>
      </w:r>
      <w:r w:rsidRPr="007C6C16">
        <w:t xml:space="preserve"> is a global organization that operates in the consumer electronics industry but suffers severe problems of profitability, liquidity, and overall financial performance, will be provided. The task is the revision of three proposed projects related to the investment, the financial analysis of the position of the company, and the prescriptive decision on the financial reorganization. The report evaluates the implications of such investments on shareholder value, on debt structure</w:t>
      </w:r>
      <w:r w:rsidR="00932200" w:rsidRPr="007C6C16">
        <w:t>,</w:t>
      </w:r>
      <w:r w:rsidRPr="007C6C16">
        <w:t xml:space="preserve"> as well as flexibility in operations through various financial analysis techniques</w:t>
      </w:r>
      <w:r w:rsidR="00932200" w:rsidRPr="007C6C16">
        <w:t>,</w:t>
      </w:r>
      <w:r w:rsidRPr="007C6C16">
        <w:t xml:space="preserve"> and they are NPV, IRR, ARR, Payback Period and Profitability Index. Besides the various elements of working capital improvement, the ways, the analysis also discusses the ways of working capital improvement and laying back the ethical, international and financial issue</w:t>
      </w:r>
      <w:r w:rsidR="00932200" w:rsidRPr="007C6C16">
        <w:t>s</w:t>
      </w:r>
      <w:r w:rsidRPr="007C6C16">
        <w:t xml:space="preserve"> that could define the future of the company</w:t>
      </w:r>
      <w:r w:rsidR="005814C2" w:rsidRPr="007C6C16">
        <w:t xml:space="preserve"> (Babar et al., 2022)</w:t>
      </w:r>
      <w:r w:rsidRPr="007C6C16">
        <w:t>.</w:t>
      </w:r>
    </w:p>
    <w:p w14:paraId="6770B6B2" w14:textId="10F89898" w:rsidR="007F0B06" w:rsidRPr="007C6C16" w:rsidRDefault="007C6C16" w:rsidP="007C6C16">
      <w:pPr>
        <w:pStyle w:val="Heading1"/>
        <w:spacing w:line="360" w:lineRule="auto"/>
        <w:jc w:val="both"/>
        <w:rPr>
          <w:rFonts w:ascii="Times New Roman" w:hAnsi="Times New Roman" w:cs="Times New Roman"/>
          <w:b/>
          <w:bCs/>
          <w:color w:val="auto"/>
          <w:sz w:val="24"/>
          <w:szCs w:val="24"/>
        </w:rPr>
      </w:pPr>
      <w:bookmarkStart w:id="2" w:name="_Toc214885155"/>
      <w:bookmarkStart w:id="3" w:name="_Toc214887485"/>
      <w:r w:rsidRPr="007C6C16">
        <w:rPr>
          <w:rFonts w:ascii="Times New Roman" w:hAnsi="Times New Roman" w:cs="Times New Roman"/>
          <w:b/>
          <w:bCs/>
          <w:color w:val="auto"/>
          <w:sz w:val="24"/>
          <w:szCs w:val="24"/>
        </w:rPr>
        <w:t xml:space="preserve">1. </w:t>
      </w:r>
      <w:r w:rsidR="007F0B06" w:rsidRPr="007C6C16">
        <w:rPr>
          <w:rFonts w:ascii="Times New Roman" w:hAnsi="Times New Roman" w:cs="Times New Roman"/>
          <w:b/>
          <w:bCs/>
          <w:color w:val="auto"/>
          <w:sz w:val="24"/>
          <w:szCs w:val="24"/>
        </w:rPr>
        <w:t>Financial Health Check of General Electronics</w:t>
      </w:r>
      <w:bookmarkEnd w:id="2"/>
      <w:bookmarkEnd w:id="3"/>
    </w:p>
    <w:p w14:paraId="5123ED01" w14:textId="5BA7A68E" w:rsidR="0058121E" w:rsidRPr="007C6C16" w:rsidRDefault="0058121E" w:rsidP="007C6C16">
      <w:pPr>
        <w:spacing w:before="100" w:beforeAutospacing="1" w:after="100" w:afterAutospacing="1" w:line="360" w:lineRule="auto"/>
        <w:jc w:val="both"/>
      </w:pPr>
      <w:r w:rsidRPr="007C6C16">
        <w:t>The financial health of General Electronics is not good and unsound</w:t>
      </w:r>
      <w:r w:rsidR="00932200" w:rsidRPr="007C6C16">
        <w:t>,</w:t>
      </w:r>
      <w:r w:rsidRPr="007C6C16">
        <w:t xml:space="preserve"> and is evaluated by examining </w:t>
      </w:r>
      <w:r w:rsidR="00932200" w:rsidRPr="007C6C16">
        <w:t xml:space="preserve">the </w:t>
      </w:r>
      <w:r w:rsidRPr="007C6C16">
        <w:t>income statement, balance sheet, and cash flow statement of General Electronics in the year</w:t>
      </w:r>
      <w:r w:rsidR="00932200" w:rsidRPr="007C6C16">
        <w:t>s</w:t>
      </w:r>
      <w:r w:rsidRPr="007C6C16">
        <w:t xml:space="preserve"> 2020-2024. It is used to evaluate the performance of the company relative to financial ratios and trends on profitability, liquidity, efficiency, gearing and investment. The Altman z-score will be used to measure the default risk and key trends suggested</w:t>
      </w:r>
      <w:r w:rsidR="005814C2" w:rsidRPr="007C6C16">
        <w:t xml:space="preserve"> (Damodaran, 2014)</w:t>
      </w:r>
      <w:r w:rsidRPr="007C6C16">
        <w:t>.</w:t>
      </w:r>
    </w:p>
    <w:p w14:paraId="6A481C0C" w14:textId="77777777"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4" w:name="_Toc214887486"/>
      <w:r w:rsidRPr="007C6C16">
        <w:rPr>
          <w:rFonts w:ascii="Times New Roman" w:hAnsi="Times New Roman" w:cs="Times New Roman"/>
          <w:b/>
          <w:bCs/>
          <w:color w:val="auto"/>
          <w:sz w:val="24"/>
          <w:szCs w:val="24"/>
        </w:rPr>
        <w:t>1. Profitability Ratios</w:t>
      </w:r>
      <w:bookmarkEnd w:id="4"/>
    </w:p>
    <w:p w14:paraId="6B68ECA5" w14:textId="414913D0" w:rsidR="0058121E" w:rsidRPr="007C6C16" w:rsidRDefault="0058121E" w:rsidP="007C6C16">
      <w:pPr>
        <w:spacing w:before="100" w:beforeAutospacing="1" w:after="100" w:afterAutospacing="1" w:line="360" w:lineRule="auto"/>
        <w:jc w:val="both"/>
      </w:pPr>
      <w:r w:rsidRPr="007C6C16">
        <w:t xml:space="preserve">Profitability ratios </w:t>
      </w:r>
      <w:r w:rsidR="00932200" w:rsidRPr="007C6C16">
        <w:t>gauge</w:t>
      </w:r>
      <w:r w:rsidRPr="007C6C16">
        <w:t xml:space="preserve"> the intensity with which a company is generating an income compared to its income, assets or stock. The General Electronics</w:t>
      </w:r>
      <w:r w:rsidR="00932200" w:rsidRPr="007C6C16">
        <w:t>’</w:t>
      </w:r>
      <w:r w:rsidRPr="007C6C16">
        <w:t xml:space="preserve"> most important profitability ratios are the following:</w:t>
      </w:r>
    </w:p>
    <w:p w14:paraId="334B728C" w14:textId="5D139930" w:rsidR="0058121E" w:rsidRPr="007C6C16" w:rsidRDefault="0058121E" w:rsidP="007C6C16">
      <w:pPr>
        <w:pStyle w:val="ListParagraph"/>
        <w:numPr>
          <w:ilvl w:val="0"/>
          <w:numId w:val="29"/>
        </w:numPr>
        <w:spacing w:before="100" w:beforeAutospacing="1" w:after="100" w:afterAutospacing="1" w:line="360" w:lineRule="auto"/>
        <w:jc w:val="both"/>
        <w:rPr>
          <w:rFonts w:ascii="Times New Roman" w:eastAsia="Times New Roman" w:hAnsi="Times New Roman" w:cs="Times New Roman"/>
          <w:b/>
          <w:bCs/>
          <w:kern w:val="0"/>
          <w14:ligatures w14:val="none"/>
        </w:rPr>
      </w:pPr>
      <w:r w:rsidRPr="007C6C16">
        <w:rPr>
          <w:rFonts w:ascii="Times New Roman" w:eastAsia="Times New Roman" w:hAnsi="Times New Roman" w:cs="Times New Roman"/>
          <w:b/>
          <w:bCs/>
          <w:kern w:val="0"/>
          <w14:ligatures w14:val="none"/>
        </w:rPr>
        <w:t>Gross Profit Margin (GPM):</w:t>
      </w:r>
    </w:p>
    <w:p w14:paraId="41DFBCD6" w14:textId="642269E4" w:rsidR="007F0B06" w:rsidRPr="007C6C16" w:rsidRDefault="0058121E" w:rsidP="007C6C16">
      <w:pPr>
        <w:spacing w:before="100" w:beforeAutospacing="1" w:after="100" w:afterAutospacing="1" w:line="360" w:lineRule="auto"/>
        <w:ind w:left="360"/>
        <w:jc w:val="both"/>
      </w:pPr>
      <w:r w:rsidRPr="007C6C16">
        <w:t xml:space="preserve">It is a ratio representing the percentage of sales revenue </w:t>
      </w:r>
      <w:r w:rsidR="00932200" w:rsidRPr="007C6C16">
        <w:t>more than</w:t>
      </w:r>
      <w:r w:rsidRPr="007C6C16">
        <w:t xml:space="preserve"> the cost of goods sold (COGS)</w:t>
      </w:r>
      <w:r w:rsidR="007F0B06" w:rsidRPr="007C6C16">
        <w:t>.</w:t>
      </w:r>
    </w:p>
    <w:p w14:paraId="3F5C302A" w14:textId="77777777" w:rsidR="007F0B06" w:rsidRPr="007C6C16" w:rsidRDefault="007F0B06" w:rsidP="007C6C16">
      <w:pPr>
        <w:spacing w:beforeAutospacing="1" w:afterAutospacing="1" w:line="360" w:lineRule="auto"/>
        <w:ind w:left="720"/>
        <w:jc w:val="both"/>
      </w:pPr>
      <m:oMathPara>
        <m:oMath>
          <m:r>
            <m:rPr>
              <m:nor/>
            </m:rPr>
            <w:lastRenderedPageBreak/>
            <m:t>Gross Profit Margin</m:t>
          </m:r>
          <m:r>
            <w:rPr>
              <w:rFonts w:ascii="Cambria Math" w:hAnsi="Cambria Math"/>
            </w:rPr>
            <m:t>=</m:t>
          </m:r>
          <m:f>
            <m:fPr>
              <m:ctrlPr>
                <w:rPr>
                  <w:rFonts w:ascii="Cambria Math" w:hAnsi="Cambria Math"/>
                </w:rPr>
              </m:ctrlPr>
            </m:fPr>
            <m:num>
              <m:r>
                <m:rPr>
                  <m:nor/>
                </m:rPr>
                <m:t>Gross Profit</m:t>
              </m:r>
            </m:num>
            <m:den>
              <m:r>
                <m:rPr>
                  <m:nor/>
                </m:rPr>
                <m:t>Net Sales</m:t>
              </m:r>
            </m:den>
          </m:f>
          <m:r>
            <w:rPr>
              <w:rFonts w:ascii="Cambria Math" w:hAnsi="Cambria Math"/>
            </w:rPr>
            <m:t>×100</m:t>
          </m:r>
          <m:r>
            <m:rPr>
              <m:sty m:val="p"/>
            </m:rPr>
            <w:rPr>
              <w:rFonts w:ascii="Cambria Math" w:hAnsi="Cambria Math"/>
            </w:rPr>
            <w:br/>
          </m:r>
        </m:oMath>
      </m:oMathPara>
    </w:p>
    <w:p w14:paraId="4EB08D9A" w14:textId="77777777" w:rsidR="007F0B06" w:rsidRPr="007C6C16" w:rsidRDefault="007F0B06" w:rsidP="007C6C16">
      <w:pPr>
        <w:spacing w:before="100" w:beforeAutospacing="1" w:after="100" w:afterAutospacing="1" w:line="360" w:lineRule="auto"/>
        <w:ind w:left="720"/>
        <w:jc w:val="both"/>
      </w:pPr>
      <w:r w:rsidRPr="007C6C16">
        <w:t>For 2024:</w:t>
      </w:r>
    </w:p>
    <w:p w14:paraId="66353EAF" w14:textId="77777777" w:rsidR="007F0B06" w:rsidRPr="007C6C16" w:rsidRDefault="007F0B06" w:rsidP="007C6C16">
      <w:pPr>
        <w:spacing w:beforeAutospacing="1" w:afterAutospacing="1" w:line="360" w:lineRule="auto"/>
        <w:ind w:left="720"/>
        <w:jc w:val="both"/>
      </w:pPr>
      <m:oMathPara>
        <m:oMath>
          <m:r>
            <m:rPr>
              <m:nor/>
            </m:rPr>
            <m:t>Gross Profit Margin</m:t>
          </m:r>
          <m:r>
            <w:rPr>
              <w:rFonts w:ascii="Cambria Math" w:hAnsi="Cambria Math"/>
            </w:rPr>
            <m:t>=</m:t>
          </m:r>
          <m:f>
            <m:fPr>
              <m:ctrlPr>
                <w:rPr>
                  <w:rFonts w:ascii="Cambria Math" w:hAnsi="Cambria Math"/>
                </w:rPr>
              </m:ctrlPr>
            </m:fPr>
            <m:num>
              <m:r>
                <w:rPr>
                  <w:rFonts w:ascii="Cambria Math" w:hAnsi="Cambria Math"/>
                </w:rPr>
                <m:t>113,994</m:t>
              </m:r>
            </m:num>
            <m:den>
              <m:r>
                <w:rPr>
                  <w:rFonts w:ascii="Cambria Math" w:hAnsi="Cambria Math"/>
                </w:rPr>
                <m:t>394,879</m:t>
              </m:r>
            </m:den>
          </m:f>
          <m:r>
            <w:rPr>
              <w:rFonts w:ascii="Cambria Math" w:hAnsi="Cambria Math"/>
            </w:rPr>
            <m:t>×100=28.9</m:t>
          </m:r>
          <m:r>
            <m:rPr>
              <m:sty m:val="p"/>
            </m:rPr>
            <w:rPr>
              <w:rFonts w:ascii="Cambria Math" w:hAnsi="Cambria Math"/>
            </w:rPr>
            <m:t>%</m:t>
          </m:r>
          <m:r>
            <m:rPr>
              <m:sty m:val="p"/>
            </m:rPr>
            <w:rPr>
              <w:rFonts w:ascii="Cambria Math" w:hAnsi="Cambria Math"/>
            </w:rPr>
            <w:br/>
          </m:r>
        </m:oMath>
      </m:oMathPara>
    </w:p>
    <w:p w14:paraId="23B2B570" w14:textId="77777777" w:rsidR="007F0B06" w:rsidRPr="007C6C16" w:rsidRDefault="007F0B06" w:rsidP="007C6C16">
      <w:pPr>
        <w:spacing w:before="100" w:beforeAutospacing="1" w:after="100" w:afterAutospacing="1" w:line="360" w:lineRule="auto"/>
        <w:ind w:left="720"/>
        <w:jc w:val="both"/>
      </w:pPr>
      <w:r w:rsidRPr="007C6C16">
        <w:t>This is a decrease from 2020 (28.6%), indicating a decline in the company's efficiency in managing production costs over time.</w:t>
      </w:r>
    </w:p>
    <w:p w14:paraId="19E758D0" w14:textId="77777777" w:rsidR="007F0B06" w:rsidRPr="007C6C16" w:rsidRDefault="007F0B06" w:rsidP="007C6C16">
      <w:pPr>
        <w:numPr>
          <w:ilvl w:val="0"/>
          <w:numId w:val="1"/>
        </w:numPr>
        <w:spacing w:before="100" w:beforeAutospacing="1" w:after="100" w:afterAutospacing="1" w:line="360" w:lineRule="auto"/>
        <w:jc w:val="both"/>
      </w:pPr>
      <w:r w:rsidRPr="007C6C16">
        <w:rPr>
          <w:b/>
          <w:bCs/>
        </w:rPr>
        <w:t>Operating Profit Margin (OPM):</w:t>
      </w:r>
    </w:p>
    <w:p w14:paraId="5B46F635" w14:textId="77777777" w:rsidR="007F0B06" w:rsidRPr="007C6C16" w:rsidRDefault="007F0B06" w:rsidP="007C6C16">
      <w:pPr>
        <w:spacing w:before="100" w:beforeAutospacing="1" w:after="100" w:afterAutospacing="1" w:line="360" w:lineRule="auto"/>
        <w:ind w:left="720"/>
        <w:jc w:val="both"/>
      </w:pPr>
      <w:r w:rsidRPr="007C6C16">
        <w:t>The operating profit margin reflects the proportion of revenue that remains after paying for variable costs like wages and raw materials.</w:t>
      </w:r>
    </w:p>
    <w:p w14:paraId="4C603681" w14:textId="77777777" w:rsidR="007F0B06" w:rsidRPr="007C6C16" w:rsidRDefault="007F0B06" w:rsidP="007C6C16">
      <w:pPr>
        <w:spacing w:beforeAutospacing="1" w:afterAutospacing="1" w:line="360" w:lineRule="auto"/>
        <w:ind w:left="720"/>
        <w:jc w:val="both"/>
      </w:pPr>
      <m:oMathPara>
        <m:oMath>
          <m:r>
            <m:rPr>
              <m:nor/>
            </m:rPr>
            <m:t>Operating Profit Margin</m:t>
          </m:r>
          <m:r>
            <w:rPr>
              <w:rFonts w:ascii="Cambria Math" w:hAnsi="Cambria Math"/>
            </w:rPr>
            <m:t>=</m:t>
          </m:r>
          <m:f>
            <m:fPr>
              <m:ctrlPr>
                <w:rPr>
                  <w:rFonts w:ascii="Cambria Math" w:hAnsi="Cambria Math"/>
                </w:rPr>
              </m:ctrlPr>
            </m:fPr>
            <m:num>
              <m:r>
                <m:rPr>
                  <m:nor/>
                </m:rPr>
                <m:t>Operating Income</m:t>
              </m:r>
            </m:num>
            <m:den>
              <m:r>
                <m:rPr>
                  <m:nor/>
                </m:rPr>
                <m:t>Net Sales</m:t>
              </m:r>
            </m:den>
          </m:f>
          <m:r>
            <w:rPr>
              <w:rFonts w:ascii="Cambria Math" w:hAnsi="Cambria Math"/>
            </w:rPr>
            <m:t>×100</m:t>
          </m:r>
          <m:r>
            <m:rPr>
              <m:sty m:val="p"/>
            </m:rPr>
            <w:rPr>
              <w:rFonts w:ascii="Cambria Math" w:hAnsi="Cambria Math"/>
            </w:rPr>
            <w:br/>
          </m:r>
        </m:oMath>
      </m:oMathPara>
    </w:p>
    <w:p w14:paraId="2217D83E" w14:textId="77777777" w:rsidR="007F0B06" w:rsidRPr="007C6C16" w:rsidRDefault="007F0B06" w:rsidP="007C6C16">
      <w:pPr>
        <w:spacing w:before="100" w:beforeAutospacing="1" w:after="100" w:afterAutospacing="1" w:line="360" w:lineRule="auto"/>
        <w:ind w:left="720"/>
        <w:jc w:val="both"/>
      </w:pPr>
      <w:r w:rsidRPr="007C6C16">
        <w:t>For 2024:</w:t>
      </w:r>
    </w:p>
    <w:p w14:paraId="07CF9326" w14:textId="77777777" w:rsidR="007F0B06" w:rsidRPr="007C6C16" w:rsidRDefault="007F0B06" w:rsidP="007C6C16">
      <w:pPr>
        <w:spacing w:beforeAutospacing="1" w:afterAutospacing="1" w:line="360" w:lineRule="auto"/>
        <w:ind w:left="720"/>
        <w:jc w:val="both"/>
      </w:pPr>
      <m:oMathPara>
        <m:oMath>
          <m:r>
            <m:rPr>
              <m:nor/>
            </m:rPr>
            <m:t>Operating Profit Margin</m:t>
          </m:r>
          <m:r>
            <w:rPr>
              <w:rFonts w:ascii="Cambria Math" w:hAnsi="Cambria Math"/>
            </w:rPr>
            <m:t>=</m:t>
          </m:r>
          <m:f>
            <m:fPr>
              <m:ctrlPr>
                <w:rPr>
                  <w:rFonts w:ascii="Cambria Math" w:hAnsi="Cambria Math"/>
                </w:rPr>
              </m:ctrlPr>
            </m:fPr>
            <m:num>
              <m:r>
                <w:rPr>
                  <w:rFonts w:ascii="Cambria Math" w:hAnsi="Cambria Math"/>
                </w:rPr>
                <m:t>-15,297</m:t>
              </m:r>
            </m:num>
            <m:den>
              <m:r>
                <w:rPr>
                  <w:rFonts w:ascii="Cambria Math" w:hAnsi="Cambria Math"/>
                </w:rPr>
                <m:t>394,879</m:t>
              </m:r>
            </m:den>
          </m:f>
          <m:r>
            <w:rPr>
              <w:rFonts w:ascii="Cambria Math" w:hAnsi="Cambria Math"/>
            </w:rPr>
            <m:t>×100=-3.87</m:t>
          </m:r>
          <m:r>
            <m:rPr>
              <m:sty m:val="p"/>
            </m:rPr>
            <w:rPr>
              <w:rFonts w:ascii="Cambria Math" w:hAnsi="Cambria Math"/>
            </w:rPr>
            <m:t>%</m:t>
          </m:r>
          <m:r>
            <m:rPr>
              <m:sty m:val="p"/>
            </m:rPr>
            <w:rPr>
              <w:rFonts w:ascii="Cambria Math" w:hAnsi="Cambria Math"/>
            </w:rPr>
            <w:br/>
          </m:r>
        </m:oMath>
      </m:oMathPara>
    </w:p>
    <w:p w14:paraId="414CDD5D" w14:textId="77777777" w:rsidR="007F0B06" w:rsidRPr="007C6C16" w:rsidRDefault="007F0B06" w:rsidP="007C6C16">
      <w:pPr>
        <w:spacing w:before="100" w:beforeAutospacing="1" w:after="100" w:afterAutospacing="1" w:line="360" w:lineRule="auto"/>
        <w:ind w:left="720"/>
        <w:jc w:val="both"/>
      </w:pPr>
      <w:r w:rsidRPr="007C6C16">
        <w:t>The negative margin reflects a significant operating loss in 2024, a stark contrast from the 6.19% in 2020, highlighting operational inefficiencies.</w:t>
      </w:r>
    </w:p>
    <w:p w14:paraId="3CD51A58" w14:textId="77777777" w:rsidR="007F0B06" w:rsidRPr="007C6C16" w:rsidRDefault="007F0B06" w:rsidP="007C6C16">
      <w:pPr>
        <w:numPr>
          <w:ilvl w:val="0"/>
          <w:numId w:val="1"/>
        </w:numPr>
        <w:spacing w:before="100" w:beforeAutospacing="1" w:after="100" w:afterAutospacing="1" w:line="360" w:lineRule="auto"/>
        <w:jc w:val="both"/>
      </w:pPr>
      <w:r w:rsidRPr="007C6C16">
        <w:rPr>
          <w:b/>
          <w:bCs/>
        </w:rPr>
        <w:t>Net Profit Margin (NPM):</w:t>
      </w:r>
    </w:p>
    <w:p w14:paraId="5660687A" w14:textId="77777777" w:rsidR="007F0B06" w:rsidRPr="007C6C16" w:rsidRDefault="007F0B06" w:rsidP="007C6C16">
      <w:pPr>
        <w:spacing w:before="100" w:beforeAutospacing="1" w:after="100" w:afterAutospacing="1" w:line="360" w:lineRule="auto"/>
        <w:ind w:left="720"/>
        <w:jc w:val="both"/>
      </w:pPr>
      <w:r w:rsidRPr="007C6C16">
        <w:t>The net profit margin indicates the percentage of revenue that translates into net income after all expenses.</w:t>
      </w:r>
    </w:p>
    <w:p w14:paraId="4B94E73D" w14:textId="77777777" w:rsidR="007F0B06" w:rsidRPr="007C6C16" w:rsidRDefault="007F0B06" w:rsidP="007C6C16">
      <w:pPr>
        <w:spacing w:beforeAutospacing="1" w:afterAutospacing="1" w:line="360" w:lineRule="auto"/>
        <w:ind w:left="720"/>
        <w:jc w:val="both"/>
      </w:pPr>
      <m:oMathPara>
        <m:oMath>
          <m:r>
            <m:rPr>
              <m:nor/>
            </m:rPr>
            <w:lastRenderedPageBreak/>
            <m:t>Net Profit Margin</m:t>
          </m:r>
          <m:r>
            <w:rPr>
              <w:rFonts w:ascii="Cambria Math" w:hAnsi="Cambria Math"/>
            </w:rPr>
            <m:t>=</m:t>
          </m:r>
          <m:f>
            <m:fPr>
              <m:ctrlPr>
                <w:rPr>
                  <w:rFonts w:ascii="Cambria Math" w:hAnsi="Cambria Math"/>
                </w:rPr>
              </m:ctrlPr>
            </m:fPr>
            <m:num>
              <m:r>
                <m:rPr>
                  <m:nor/>
                </m:rPr>
                <m:t>Net Income</m:t>
              </m:r>
            </m:num>
            <m:den>
              <m:r>
                <m:rPr>
                  <m:nor/>
                </m:rPr>
                <m:t>Net Sales</m:t>
              </m:r>
            </m:den>
          </m:f>
          <m:r>
            <w:rPr>
              <w:rFonts w:ascii="Cambria Math" w:hAnsi="Cambria Math"/>
            </w:rPr>
            <m:t>×100</m:t>
          </m:r>
          <m:r>
            <m:rPr>
              <m:sty m:val="p"/>
            </m:rPr>
            <w:rPr>
              <w:rFonts w:ascii="Cambria Math" w:hAnsi="Cambria Math"/>
            </w:rPr>
            <w:br/>
          </m:r>
        </m:oMath>
      </m:oMathPara>
    </w:p>
    <w:p w14:paraId="2A77DD9D" w14:textId="77777777" w:rsidR="007F0B06" w:rsidRPr="007C6C16" w:rsidRDefault="007F0B06" w:rsidP="007C6C16">
      <w:pPr>
        <w:spacing w:before="100" w:beforeAutospacing="1" w:after="100" w:afterAutospacing="1" w:line="360" w:lineRule="auto"/>
        <w:ind w:left="720"/>
        <w:jc w:val="both"/>
      </w:pPr>
      <w:r w:rsidRPr="007C6C16">
        <w:t>For 2024:</w:t>
      </w:r>
    </w:p>
    <w:p w14:paraId="537D8A54" w14:textId="77777777" w:rsidR="007F0B06" w:rsidRPr="007C6C16" w:rsidRDefault="007F0B06" w:rsidP="007C6C16">
      <w:pPr>
        <w:spacing w:beforeAutospacing="1" w:afterAutospacing="1" w:line="360" w:lineRule="auto"/>
        <w:ind w:left="720"/>
        <w:jc w:val="both"/>
      </w:pPr>
      <m:oMathPara>
        <m:oMath>
          <m:r>
            <m:rPr>
              <m:nor/>
            </m:rPr>
            <m:t>Net Profit Margin</m:t>
          </m:r>
          <m:r>
            <w:rPr>
              <w:rFonts w:ascii="Cambria Math" w:hAnsi="Cambria Math"/>
            </w:rPr>
            <m:t>=</m:t>
          </m:r>
          <m:f>
            <m:fPr>
              <m:ctrlPr>
                <w:rPr>
                  <w:rFonts w:ascii="Cambria Math" w:hAnsi="Cambria Math"/>
                </w:rPr>
              </m:ctrlPr>
            </m:fPr>
            <m:num>
              <m:r>
                <w:rPr>
                  <w:rFonts w:ascii="Cambria Math" w:hAnsi="Cambria Math"/>
                </w:rPr>
                <m:t>-24,029</m:t>
              </m:r>
            </m:num>
            <m:den>
              <m:r>
                <w:rPr>
                  <w:rFonts w:ascii="Cambria Math" w:hAnsi="Cambria Math"/>
                </w:rPr>
                <m:t>394,879</m:t>
              </m:r>
            </m:den>
          </m:f>
          <m:r>
            <w:rPr>
              <w:rFonts w:ascii="Cambria Math" w:hAnsi="Cambria Math"/>
            </w:rPr>
            <m:t>×100=-6.1</m:t>
          </m:r>
          <m:r>
            <m:rPr>
              <m:sty m:val="p"/>
            </m:rPr>
            <w:rPr>
              <w:rFonts w:ascii="Cambria Math" w:hAnsi="Cambria Math"/>
            </w:rPr>
            <m:t>%</m:t>
          </m:r>
          <m:r>
            <m:rPr>
              <m:sty m:val="p"/>
            </m:rPr>
            <w:rPr>
              <w:rFonts w:ascii="Cambria Math" w:hAnsi="Cambria Math"/>
            </w:rPr>
            <w:br/>
          </m:r>
        </m:oMath>
      </m:oMathPara>
    </w:p>
    <w:p w14:paraId="12309E7F" w14:textId="77777777" w:rsidR="007F0B06" w:rsidRPr="007C6C16" w:rsidRDefault="007F0B06" w:rsidP="007C6C16">
      <w:pPr>
        <w:spacing w:before="100" w:beforeAutospacing="1" w:after="100" w:afterAutospacing="1" w:line="360" w:lineRule="auto"/>
        <w:ind w:left="720"/>
        <w:jc w:val="both"/>
      </w:pPr>
      <w:r w:rsidRPr="007C6C16">
        <w:t>The negative net profit margin signifies that General Electronics is struggling to turn a profit, with net income declining drastically since 2020.</w:t>
      </w:r>
    </w:p>
    <w:p w14:paraId="6E3D29C7" w14:textId="77777777" w:rsidR="007F0B06" w:rsidRPr="007C6C16" w:rsidRDefault="007F0B06" w:rsidP="007C6C16">
      <w:pPr>
        <w:pStyle w:val="Heading2"/>
        <w:spacing w:line="360" w:lineRule="auto"/>
        <w:jc w:val="both"/>
        <w:rPr>
          <w:rFonts w:ascii="Times New Roman" w:hAnsi="Times New Roman" w:cs="Times New Roman"/>
          <w:b/>
          <w:bCs/>
          <w:color w:val="auto"/>
          <w:sz w:val="24"/>
          <w:szCs w:val="24"/>
        </w:rPr>
      </w:pPr>
      <w:bookmarkStart w:id="5" w:name="_Toc214887487"/>
      <w:r w:rsidRPr="007C6C16">
        <w:rPr>
          <w:rFonts w:ascii="Times New Roman" w:hAnsi="Times New Roman" w:cs="Times New Roman"/>
          <w:b/>
          <w:bCs/>
          <w:color w:val="auto"/>
          <w:sz w:val="24"/>
          <w:szCs w:val="24"/>
        </w:rPr>
        <w:t>2. Liquidity Ratios</w:t>
      </w:r>
      <w:bookmarkEnd w:id="5"/>
    </w:p>
    <w:p w14:paraId="3B78A79C" w14:textId="77777777" w:rsidR="007F0B06" w:rsidRPr="007C6C16" w:rsidRDefault="007F0B06" w:rsidP="007C6C16">
      <w:pPr>
        <w:spacing w:before="100" w:beforeAutospacing="1" w:after="100" w:afterAutospacing="1" w:line="360" w:lineRule="auto"/>
        <w:jc w:val="both"/>
      </w:pPr>
      <w:r w:rsidRPr="007C6C16">
        <w:t xml:space="preserve">Liquidity ratios indicate the company’s ability to meet short-term obligations. We calculate the </w:t>
      </w:r>
      <w:r w:rsidRPr="007C6C16">
        <w:rPr>
          <w:b/>
          <w:bCs/>
        </w:rPr>
        <w:t>Current Ratio</w:t>
      </w:r>
      <w:r w:rsidRPr="007C6C16">
        <w:t xml:space="preserve"> and </w:t>
      </w:r>
      <w:r w:rsidRPr="007C6C16">
        <w:rPr>
          <w:b/>
          <w:bCs/>
        </w:rPr>
        <w:t>Quick Ratio</w:t>
      </w:r>
      <w:r w:rsidRPr="007C6C16">
        <w:t xml:space="preserve"> to assess this.</w:t>
      </w:r>
    </w:p>
    <w:p w14:paraId="1EC2F04E" w14:textId="77777777" w:rsidR="007F0B06" w:rsidRPr="007C6C16" w:rsidRDefault="007F0B06" w:rsidP="007C6C16">
      <w:pPr>
        <w:numPr>
          <w:ilvl w:val="0"/>
          <w:numId w:val="2"/>
        </w:numPr>
        <w:spacing w:before="100" w:beforeAutospacing="1" w:after="100" w:afterAutospacing="1" w:line="360" w:lineRule="auto"/>
        <w:jc w:val="both"/>
      </w:pPr>
      <w:r w:rsidRPr="007C6C16">
        <w:rPr>
          <w:b/>
          <w:bCs/>
        </w:rPr>
        <w:t>Current Ratio:</w:t>
      </w:r>
    </w:p>
    <w:p w14:paraId="378991A4" w14:textId="77777777" w:rsidR="007F0B06" w:rsidRPr="007C6C16" w:rsidRDefault="007F0B06" w:rsidP="007C6C16">
      <w:pPr>
        <w:spacing w:before="100" w:beforeAutospacing="1" w:after="100" w:afterAutospacing="1" w:line="360" w:lineRule="auto"/>
        <w:ind w:left="720"/>
        <w:jc w:val="both"/>
      </w:pPr>
      <w:r w:rsidRPr="007C6C16">
        <w:t>The current ratio measures the company’s ability to pay off its short-term liabilities with its short-term assets.</w:t>
      </w:r>
    </w:p>
    <w:p w14:paraId="33A507FC" w14:textId="77777777" w:rsidR="007F0B06" w:rsidRPr="007C6C16" w:rsidRDefault="007F0B06" w:rsidP="007C6C16">
      <w:pPr>
        <w:spacing w:beforeAutospacing="1" w:afterAutospacing="1" w:line="360" w:lineRule="auto"/>
        <w:ind w:left="720"/>
        <w:jc w:val="both"/>
      </w:pPr>
      <m:oMathPara>
        <m:oMath>
          <m:r>
            <m:rPr>
              <m:nor/>
            </m:rPr>
            <m:t>Current Ratio</m:t>
          </m:r>
          <m:r>
            <w:rPr>
              <w:rFonts w:ascii="Cambria Math" w:hAnsi="Cambria Math"/>
            </w:rPr>
            <m:t>=</m:t>
          </m:r>
          <m:f>
            <m:fPr>
              <m:ctrlPr>
                <w:rPr>
                  <w:rFonts w:ascii="Cambria Math" w:hAnsi="Cambria Math"/>
                </w:rPr>
              </m:ctrlPr>
            </m:fPr>
            <m:num>
              <m:r>
                <m:rPr>
                  <m:nor/>
                </m:rPr>
                <m:t>Current Assets</m:t>
              </m:r>
            </m:num>
            <m:den>
              <m:r>
                <m:rPr>
                  <m:nor/>
                </m:rPr>
                <m:t>Current Liabilities</m:t>
              </m:r>
            </m:den>
          </m:f>
          <m:r>
            <m:rPr>
              <m:sty m:val="p"/>
            </m:rPr>
            <w:rPr>
              <w:rFonts w:ascii="Cambria Math" w:hAnsi="Cambria Math"/>
            </w:rPr>
            <w:br/>
          </m:r>
        </m:oMath>
      </m:oMathPara>
    </w:p>
    <w:p w14:paraId="5D302C5B" w14:textId="77777777" w:rsidR="007F0B06" w:rsidRPr="007C6C16" w:rsidRDefault="007F0B06" w:rsidP="007C6C16">
      <w:pPr>
        <w:spacing w:before="100" w:beforeAutospacing="1" w:after="100" w:afterAutospacing="1" w:line="360" w:lineRule="auto"/>
        <w:ind w:left="720"/>
        <w:jc w:val="both"/>
      </w:pPr>
      <w:r w:rsidRPr="007C6C16">
        <w:t>For 2024:</w:t>
      </w:r>
    </w:p>
    <w:p w14:paraId="1C2288C9" w14:textId="77777777" w:rsidR="007F0B06" w:rsidRPr="007C6C16" w:rsidRDefault="007F0B06" w:rsidP="007C6C16">
      <w:pPr>
        <w:spacing w:beforeAutospacing="1" w:afterAutospacing="1" w:line="360" w:lineRule="auto"/>
        <w:ind w:left="720"/>
        <w:jc w:val="both"/>
      </w:pPr>
      <m:oMathPara>
        <m:oMath>
          <m:r>
            <m:rPr>
              <m:nor/>
            </m:rPr>
            <m:t>Current Ratio</m:t>
          </m:r>
          <m:r>
            <w:rPr>
              <w:rFonts w:ascii="Cambria Math" w:hAnsi="Cambria Math"/>
            </w:rPr>
            <m:t>=</m:t>
          </m:r>
          <m:f>
            <m:fPr>
              <m:ctrlPr>
                <w:rPr>
                  <w:rFonts w:ascii="Cambria Math" w:hAnsi="Cambria Math"/>
                </w:rPr>
              </m:ctrlPr>
            </m:fPr>
            <m:num>
              <m:r>
                <w:rPr>
                  <w:rFonts w:ascii="Cambria Math" w:hAnsi="Cambria Math"/>
                </w:rPr>
                <m:t>242,494</m:t>
              </m:r>
            </m:num>
            <m:den>
              <m:r>
                <w:rPr>
                  <w:rFonts w:ascii="Cambria Math" w:hAnsi="Cambria Math"/>
                </w:rPr>
                <m:t>158,291</m:t>
              </m:r>
            </m:den>
          </m:f>
          <m:r>
            <w:rPr>
              <w:rFonts w:ascii="Cambria Math" w:hAnsi="Cambria Math"/>
            </w:rPr>
            <m:t>=1.53</m:t>
          </m:r>
          <m:r>
            <m:rPr>
              <m:sty m:val="p"/>
            </m:rPr>
            <w:rPr>
              <w:rFonts w:ascii="Cambria Math" w:hAnsi="Cambria Math"/>
            </w:rPr>
            <w:br/>
          </m:r>
        </m:oMath>
      </m:oMathPara>
    </w:p>
    <w:p w14:paraId="73E645CE" w14:textId="77777777" w:rsidR="007F0B06" w:rsidRPr="007C6C16" w:rsidRDefault="007F0B06" w:rsidP="007C6C16">
      <w:pPr>
        <w:spacing w:before="100" w:beforeAutospacing="1" w:after="100" w:afterAutospacing="1" w:line="360" w:lineRule="auto"/>
        <w:ind w:left="720"/>
        <w:jc w:val="both"/>
      </w:pPr>
      <w:r w:rsidRPr="007C6C16">
        <w:t>A current ratio above 1 suggests that General Electronics can cover its short-term liabilities with its short-term assets. However, this has decreased from 2020 (1.82), indicating a decline in liquidity over time.</w:t>
      </w:r>
    </w:p>
    <w:p w14:paraId="6410F847" w14:textId="77777777" w:rsidR="007F0B06" w:rsidRPr="007C6C16" w:rsidRDefault="007F0B06" w:rsidP="007C6C16">
      <w:pPr>
        <w:numPr>
          <w:ilvl w:val="0"/>
          <w:numId w:val="2"/>
        </w:numPr>
        <w:spacing w:before="100" w:beforeAutospacing="1" w:after="100" w:afterAutospacing="1" w:line="360" w:lineRule="auto"/>
        <w:jc w:val="both"/>
      </w:pPr>
      <w:r w:rsidRPr="007C6C16">
        <w:rPr>
          <w:b/>
          <w:bCs/>
        </w:rPr>
        <w:lastRenderedPageBreak/>
        <w:t>Quick Ratio:</w:t>
      </w:r>
    </w:p>
    <w:p w14:paraId="7A11B327" w14:textId="77777777" w:rsidR="007F0B06" w:rsidRPr="007C6C16" w:rsidRDefault="007F0B06" w:rsidP="007C6C16">
      <w:pPr>
        <w:spacing w:before="100" w:beforeAutospacing="1" w:after="100" w:afterAutospacing="1" w:line="360" w:lineRule="auto"/>
        <w:ind w:left="720"/>
        <w:jc w:val="both"/>
      </w:pPr>
      <w:r w:rsidRPr="007C6C16">
        <w:t>The quick ratio is a more stringent measure as it excludes inventory from assets.</w:t>
      </w:r>
    </w:p>
    <w:p w14:paraId="1412C692" w14:textId="77777777" w:rsidR="007F0B06" w:rsidRPr="007C6C16" w:rsidRDefault="007F0B06" w:rsidP="007C6C16">
      <w:pPr>
        <w:spacing w:beforeAutospacing="1" w:afterAutospacing="1" w:line="360" w:lineRule="auto"/>
        <w:ind w:left="720"/>
        <w:jc w:val="both"/>
      </w:pPr>
      <m:oMathPara>
        <m:oMath>
          <m:r>
            <m:rPr>
              <m:nor/>
            </m:rPr>
            <m:t>Quick Ratio</m:t>
          </m:r>
          <m:r>
            <w:rPr>
              <w:rFonts w:ascii="Cambria Math" w:hAnsi="Cambria Math"/>
            </w:rPr>
            <m:t>=</m:t>
          </m:r>
          <m:f>
            <m:fPr>
              <m:ctrlPr>
                <w:rPr>
                  <w:rFonts w:ascii="Cambria Math" w:hAnsi="Cambria Math"/>
                </w:rPr>
              </m:ctrlPr>
            </m:fPr>
            <m:num>
              <m:r>
                <m:rPr>
                  <m:nor/>
                </m:rPr>
                <m:t>Current Assets</m:t>
              </m:r>
              <m:r>
                <w:rPr>
                  <w:rFonts w:ascii="Cambria Math" w:hAnsi="Cambria Math"/>
                </w:rPr>
                <m:t>-</m:t>
              </m:r>
              <m:r>
                <m:rPr>
                  <m:nor/>
                </m:rPr>
                <m:t>Inventory</m:t>
              </m:r>
            </m:num>
            <m:den>
              <m:r>
                <m:rPr>
                  <m:nor/>
                </m:rPr>
                <m:t>Current Liabilities</m:t>
              </m:r>
            </m:den>
          </m:f>
          <m:r>
            <m:rPr>
              <m:sty m:val="p"/>
            </m:rPr>
            <w:rPr>
              <w:rFonts w:ascii="Cambria Math" w:hAnsi="Cambria Math"/>
            </w:rPr>
            <w:br/>
          </m:r>
        </m:oMath>
      </m:oMathPara>
    </w:p>
    <w:p w14:paraId="2F589BFE" w14:textId="77777777" w:rsidR="007F0B06" w:rsidRPr="007C6C16" w:rsidRDefault="007F0B06" w:rsidP="007C6C16">
      <w:pPr>
        <w:spacing w:before="100" w:beforeAutospacing="1" w:after="100" w:afterAutospacing="1" w:line="360" w:lineRule="auto"/>
        <w:ind w:left="720"/>
        <w:jc w:val="both"/>
      </w:pPr>
      <w:r w:rsidRPr="007C6C16">
        <w:t>For 2024:</w:t>
      </w:r>
    </w:p>
    <w:p w14:paraId="756527A7" w14:textId="77777777" w:rsidR="007F0B06" w:rsidRPr="007C6C16" w:rsidRDefault="007F0B06" w:rsidP="007C6C16">
      <w:pPr>
        <w:spacing w:beforeAutospacing="1" w:afterAutospacing="1" w:line="360" w:lineRule="auto"/>
        <w:ind w:left="720"/>
        <w:jc w:val="both"/>
      </w:pPr>
      <m:oMathPara>
        <m:oMath>
          <m:r>
            <m:rPr>
              <m:nor/>
            </m:rPr>
            <m:t>Quick Ratio</m:t>
          </m:r>
          <m:r>
            <w:rPr>
              <w:rFonts w:ascii="Cambria Math" w:hAnsi="Cambria Math"/>
            </w:rPr>
            <m:t>=</m:t>
          </m:r>
          <m:f>
            <m:fPr>
              <m:ctrlPr>
                <w:rPr>
                  <w:rFonts w:ascii="Cambria Math" w:hAnsi="Cambria Math"/>
                </w:rPr>
              </m:ctrlPr>
            </m:fPr>
            <m:num>
              <m:r>
                <w:rPr>
                  <w:rFonts w:ascii="Cambria Math" w:hAnsi="Cambria Math"/>
                </w:rPr>
                <m:t>242,494-79,355</m:t>
              </m:r>
            </m:num>
            <m:den>
              <m:r>
                <w:rPr>
                  <w:rFonts w:ascii="Cambria Math" w:hAnsi="Cambria Math"/>
                </w:rPr>
                <m:t>158,291</m:t>
              </m:r>
            </m:den>
          </m:f>
          <m:r>
            <w:rPr>
              <w:rFonts w:ascii="Cambria Math" w:hAnsi="Cambria Math"/>
            </w:rPr>
            <m:t>=1.03</m:t>
          </m:r>
          <m:r>
            <m:rPr>
              <m:sty m:val="p"/>
            </m:rPr>
            <w:rPr>
              <w:rFonts w:ascii="Cambria Math" w:hAnsi="Cambria Math"/>
            </w:rPr>
            <w:br/>
          </m:r>
        </m:oMath>
      </m:oMathPara>
    </w:p>
    <w:p w14:paraId="44AF1D57" w14:textId="77777777" w:rsidR="007F0B06" w:rsidRPr="007C6C16" w:rsidRDefault="007F0B06" w:rsidP="007C6C16">
      <w:pPr>
        <w:spacing w:before="100" w:beforeAutospacing="1" w:after="100" w:afterAutospacing="1" w:line="360" w:lineRule="auto"/>
        <w:ind w:left="720"/>
        <w:jc w:val="both"/>
      </w:pPr>
      <w:r w:rsidRPr="007C6C16">
        <w:t>The quick ratio of 1.03 suggests that the company can just about meet its short-term obligations without relying on inventory sales, but it has weakened from 2020 (1.12).</w:t>
      </w:r>
    </w:p>
    <w:p w14:paraId="0D056D32" w14:textId="77777777" w:rsidR="007F0B06" w:rsidRPr="007C6C16" w:rsidRDefault="007F0B06" w:rsidP="007C6C16">
      <w:pPr>
        <w:pStyle w:val="Heading2"/>
        <w:spacing w:line="360" w:lineRule="auto"/>
        <w:jc w:val="both"/>
        <w:rPr>
          <w:rFonts w:ascii="Times New Roman" w:hAnsi="Times New Roman" w:cs="Times New Roman"/>
          <w:b/>
          <w:bCs/>
          <w:color w:val="auto"/>
          <w:sz w:val="24"/>
          <w:szCs w:val="24"/>
        </w:rPr>
      </w:pPr>
      <w:bookmarkStart w:id="6" w:name="_Toc214887488"/>
      <w:r w:rsidRPr="007C6C16">
        <w:rPr>
          <w:rFonts w:ascii="Times New Roman" w:hAnsi="Times New Roman" w:cs="Times New Roman"/>
          <w:b/>
          <w:bCs/>
          <w:color w:val="auto"/>
          <w:sz w:val="24"/>
          <w:szCs w:val="24"/>
        </w:rPr>
        <w:t>3. Efficiency Ratios</w:t>
      </w:r>
      <w:bookmarkEnd w:id="6"/>
    </w:p>
    <w:p w14:paraId="243AE1CB" w14:textId="77777777" w:rsidR="007F0B06" w:rsidRPr="007C6C16" w:rsidRDefault="007F0B06" w:rsidP="007C6C16">
      <w:pPr>
        <w:spacing w:before="100" w:beforeAutospacing="1" w:after="100" w:afterAutospacing="1" w:line="360" w:lineRule="auto"/>
        <w:jc w:val="both"/>
      </w:pPr>
      <w:r w:rsidRPr="007C6C16">
        <w:t>Efficiency ratios evaluate how well the company uses its assets to generate sales or profits.</w:t>
      </w:r>
    </w:p>
    <w:p w14:paraId="01F4FF4B" w14:textId="77777777" w:rsidR="007F0B06" w:rsidRPr="007C6C16" w:rsidRDefault="007F0B06" w:rsidP="007C6C16">
      <w:pPr>
        <w:numPr>
          <w:ilvl w:val="0"/>
          <w:numId w:val="3"/>
        </w:numPr>
        <w:spacing w:before="100" w:beforeAutospacing="1" w:after="100" w:afterAutospacing="1" w:line="360" w:lineRule="auto"/>
        <w:jc w:val="both"/>
      </w:pPr>
      <w:r w:rsidRPr="007C6C16">
        <w:rPr>
          <w:b/>
          <w:bCs/>
        </w:rPr>
        <w:t>Inventory Turnover Ratio:</w:t>
      </w:r>
    </w:p>
    <w:p w14:paraId="2EF28BDB" w14:textId="77777777" w:rsidR="007F0B06" w:rsidRPr="007C6C16" w:rsidRDefault="007F0B06" w:rsidP="007C6C16">
      <w:pPr>
        <w:spacing w:before="100" w:beforeAutospacing="1" w:after="100" w:afterAutospacing="1" w:line="360" w:lineRule="auto"/>
        <w:ind w:left="720"/>
        <w:jc w:val="both"/>
      </w:pPr>
      <w:r w:rsidRPr="007C6C16">
        <w:t>This ratio measures how quickly the company sells and replaces its inventory.</w:t>
      </w:r>
    </w:p>
    <w:p w14:paraId="29EC1F76" w14:textId="77777777" w:rsidR="007F0B06" w:rsidRPr="007C6C16" w:rsidRDefault="007F0B06" w:rsidP="007C6C16">
      <w:pPr>
        <w:spacing w:beforeAutospacing="1" w:afterAutospacing="1" w:line="360" w:lineRule="auto"/>
        <w:ind w:left="720"/>
        <w:jc w:val="both"/>
      </w:pPr>
      <m:oMathPara>
        <m:oMath>
          <m:r>
            <m:rPr>
              <m:nor/>
            </m:rPr>
            <m:t>Inventory Turnover</m:t>
          </m:r>
          <m:r>
            <w:rPr>
              <w:rFonts w:ascii="Cambria Math" w:hAnsi="Cambria Math"/>
            </w:rPr>
            <m:t>=</m:t>
          </m:r>
          <m:f>
            <m:fPr>
              <m:ctrlPr>
                <w:rPr>
                  <w:rFonts w:ascii="Cambria Math" w:hAnsi="Cambria Math"/>
                </w:rPr>
              </m:ctrlPr>
            </m:fPr>
            <m:num>
              <m:r>
                <m:rPr>
                  <m:nor/>
                </m:rPr>
                <m:t>Cost of Sales</m:t>
              </m:r>
            </m:num>
            <m:den>
              <m:r>
                <m:rPr>
                  <m:nor/>
                </m:rPr>
                <m:t>Average Inventory</m:t>
              </m:r>
            </m:den>
          </m:f>
          <m:r>
            <m:rPr>
              <m:sty m:val="p"/>
            </m:rPr>
            <w:rPr>
              <w:rFonts w:ascii="Cambria Math" w:hAnsi="Cambria Math"/>
            </w:rPr>
            <w:br/>
          </m:r>
        </m:oMath>
      </m:oMathPara>
    </w:p>
    <w:p w14:paraId="627FC69C" w14:textId="77777777" w:rsidR="007F0B06" w:rsidRPr="007C6C16" w:rsidRDefault="007F0B06" w:rsidP="007C6C16">
      <w:pPr>
        <w:spacing w:before="100" w:beforeAutospacing="1" w:after="100" w:afterAutospacing="1" w:line="360" w:lineRule="auto"/>
        <w:ind w:left="720"/>
        <w:jc w:val="both"/>
      </w:pPr>
      <w:r w:rsidRPr="007C6C16">
        <w:t>For 2024:</w:t>
      </w:r>
    </w:p>
    <w:p w14:paraId="5AF33938" w14:textId="77777777" w:rsidR="007F0B06" w:rsidRPr="007C6C16" w:rsidRDefault="007F0B06" w:rsidP="007C6C16">
      <w:pPr>
        <w:spacing w:beforeAutospacing="1" w:afterAutospacing="1" w:line="360" w:lineRule="auto"/>
        <w:ind w:left="720"/>
        <w:jc w:val="both"/>
      </w:pPr>
      <m:oMathPara>
        <m:oMath>
          <m:r>
            <m:rPr>
              <m:nor/>
            </m:rPr>
            <m:t>Inventory Turnover</m:t>
          </m:r>
          <m:r>
            <w:rPr>
              <w:rFonts w:ascii="Cambria Math" w:hAnsi="Cambria Math"/>
            </w:rPr>
            <m:t>=</m:t>
          </m:r>
          <m:f>
            <m:fPr>
              <m:ctrlPr>
                <w:rPr>
                  <w:rFonts w:ascii="Cambria Math" w:hAnsi="Cambria Math"/>
                </w:rPr>
              </m:ctrlPr>
            </m:fPr>
            <m:num>
              <m:r>
                <w:rPr>
                  <w:rFonts w:ascii="Cambria Math" w:hAnsi="Cambria Math"/>
                </w:rPr>
                <m:t>280,885</m:t>
              </m:r>
            </m:num>
            <m:den>
              <m:f>
                <m:fPr>
                  <m:ctrlPr>
                    <w:rPr>
                      <w:rFonts w:ascii="Cambria Math" w:hAnsi="Cambria Math"/>
                    </w:rPr>
                  </m:ctrlPr>
                </m:fPr>
                <m:num>
                  <m:r>
                    <w:rPr>
                      <w:rFonts w:ascii="Cambria Math" w:hAnsi="Cambria Math"/>
                    </w:rPr>
                    <m:t>79,355+88,273</m:t>
                  </m:r>
                </m:num>
                <m:den>
                  <m:r>
                    <w:rPr>
                      <w:rFonts w:ascii="Cambria Math" w:hAnsi="Cambria Math"/>
                    </w:rPr>
                    <m:t>2</m:t>
                  </m:r>
                </m:den>
              </m:f>
            </m:den>
          </m:f>
          <m:r>
            <w:rPr>
              <w:rFonts w:ascii="Cambria Math" w:hAnsi="Cambria Math"/>
            </w:rPr>
            <m:t>=3.57</m:t>
          </m:r>
          <m:r>
            <m:rPr>
              <m:sty m:val="p"/>
            </m:rPr>
            <w:rPr>
              <w:rFonts w:ascii="Cambria Math" w:hAnsi="Cambria Math"/>
            </w:rPr>
            <w:br/>
          </m:r>
        </m:oMath>
      </m:oMathPara>
    </w:p>
    <w:p w14:paraId="3FE6FE6C" w14:textId="77777777" w:rsidR="007F0B06" w:rsidRPr="007C6C16" w:rsidRDefault="007F0B06" w:rsidP="007C6C16">
      <w:pPr>
        <w:spacing w:before="100" w:beforeAutospacing="1" w:after="100" w:afterAutospacing="1" w:line="360" w:lineRule="auto"/>
        <w:ind w:left="720"/>
        <w:jc w:val="both"/>
      </w:pPr>
      <w:r w:rsidRPr="007C6C16">
        <w:lastRenderedPageBreak/>
        <w:t>The company has improved from 2020 (2.90), which suggests a better management of inventory, though it's still relatively low in comparison to industry averages.</w:t>
      </w:r>
    </w:p>
    <w:p w14:paraId="1BBB505A" w14:textId="77777777" w:rsidR="007F0B06" w:rsidRPr="007C6C16" w:rsidRDefault="007F0B06" w:rsidP="007C6C16">
      <w:pPr>
        <w:pStyle w:val="Heading2"/>
        <w:spacing w:line="360" w:lineRule="auto"/>
        <w:jc w:val="both"/>
        <w:rPr>
          <w:rFonts w:ascii="Times New Roman" w:hAnsi="Times New Roman" w:cs="Times New Roman"/>
          <w:b/>
          <w:bCs/>
          <w:color w:val="auto"/>
          <w:sz w:val="24"/>
          <w:szCs w:val="24"/>
        </w:rPr>
      </w:pPr>
      <w:bookmarkStart w:id="7" w:name="_Toc214887489"/>
      <w:r w:rsidRPr="007C6C16">
        <w:rPr>
          <w:rFonts w:ascii="Times New Roman" w:hAnsi="Times New Roman" w:cs="Times New Roman"/>
          <w:b/>
          <w:bCs/>
          <w:color w:val="auto"/>
          <w:sz w:val="24"/>
          <w:szCs w:val="24"/>
        </w:rPr>
        <w:t>4. Gearing Ratios</w:t>
      </w:r>
      <w:bookmarkEnd w:id="7"/>
    </w:p>
    <w:p w14:paraId="7C063B5F" w14:textId="77777777" w:rsidR="007F0B06" w:rsidRPr="007C6C16" w:rsidRDefault="007F0B06" w:rsidP="007C6C16">
      <w:pPr>
        <w:spacing w:before="100" w:beforeAutospacing="1" w:after="100" w:afterAutospacing="1" w:line="360" w:lineRule="auto"/>
        <w:jc w:val="both"/>
      </w:pPr>
      <w:r w:rsidRPr="007C6C16">
        <w:t>Gearing ratios measure the company's financial risk in terms of debt levels.</w:t>
      </w:r>
    </w:p>
    <w:p w14:paraId="1620B1F0" w14:textId="77777777" w:rsidR="007F0B06" w:rsidRPr="007C6C16" w:rsidRDefault="007F0B06" w:rsidP="007C6C16">
      <w:pPr>
        <w:numPr>
          <w:ilvl w:val="0"/>
          <w:numId w:val="4"/>
        </w:numPr>
        <w:spacing w:before="100" w:beforeAutospacing="1" w:after="100" w:afterAutospacing="1" w:line="360" w:lineRule="auto"/>
        <w:jc w:val="both"/>
      </w:pPr>
      <w:r w:rsidRPr="007C6C16">
        <w:rPr>
          <w:b/>
          <w:bCs/>
        </w:rPr>
        <w:t>Debt-to-Equity Ratio:</w:t>
      </w:r>
    </w:p>
    <w:p w14:paraId="7F56F26A" w14:textId="77777777" w:rsidR="007F0B06" w:rsidRPr="007C6C16" w:rsidRDefault="007F0B06" w:rsidP="007C6C16">
      <w:pPr>
        <w:spacing w:before="100" w:beforeAutospacing="1" w:after="100" w:afterAutospacing="1" w:line="360" w:lineRule="auto"/>
        <w:ind w:left="720"/>
        <w:jc w:val="both"/>
      </w:pPr>
      <w:r w:rsidRPr="007C6C16">
        <w:t>This ratio indicates the proportion of debt used to finance the company’s assets relative to the equity.</w:t>
      </w:r>
    </w:p>
    <w:p w14:paraId="459ECF7C" w14:textId="77777777" w:rsidR="007F0B06" w:rsidRPr="007C6C16" w:rsidRDefault="007F0B06" w:rsidP="007C6C16">
      <w:pPr>
        <w:spacing w:beforeAutospacing="1" w:afterAutospacing="1" w:line="360" w:lineRule="auto"/>
        <w:ind w:left="720"/>
        <w:jc w:val="both"/>
      </w:pPr>
      <m:oMathPara>
        <m:oMath>
          <m:r>
            <m:rPr>
              <m:nor/>
            </m:rPr>
            <m:t>Debt-to-Equity</m:t>
          </m:r>
          <m:r>
            <w:rPr>
              <w:rFonts w:ascii="Cambria Math" w:hAnsi="Cambria Math"/>
            </w:rPr>
            <m:t>=</m:t>
          </m:r>
          <m:f>
            <m:fPr>
              <m:ctrlPr>
                <w:rPr>
                  <w:rFonts w:ascii="Cambria Math" w:hAnsi="Cambria Math"/>
                </w:rPr>
              </m:ctrlPr>
            </m:fPr>
            <m:num>
              <m:r>
                <m:rPr>
                  <m:nor/>
                </m:rPr>
                <m:t>Total Liabilities</m:t>
              </m:r>
            </m:num>
            <m:den>
              <m:r>
                <m:rPr>
                  <m:nor/>
                </m:rPr>
                <m:t>Shareholders’ Equity</m:t>
              </m:r>
            </m:den>
          </m:f>
          <m:r>
            <m:rPr>
              <m:sty m:val="p"/>
            </m:rPr>
            <w:rPr>
              <w:rFonts w:ascii="Cambria Math" w:hAnsi="Cambria Math"/>
            </w:rPr>
            <w:br/>
          </m:r>
        </m:oMath>
      </m:oMathPara>
    </w:p>
    <w:p w14:paraId="788A8F00" w14:textId="77777777" w:rsidR="007F0B06" w:rsidRPr="007C6C16" w:rsidRDefault="007F0B06" w:rsidP="007C6C16">
      <w:pPr>
        <w:spacing w:before="100" w:beforeAutospacing="1" w:after="100" w:afterAutospacing="1" w:line="360" w:lineRule="auto"/>
        <w:ind w:left="720"/>
        <w:jc w:val="both"/>
      </w:pPr>
      <w:r w:rsidRPr="007C6C16">
        <w:t>For 2024:</w:t>
      </w:r>
    </w:p>
    <w:p w14:paraId="769CF3B9" w14:textId="77777777" w:rsidR="007F0B06" w:rsidRPr="007C6C16" w:rsidRDefault="007F0B06" w:rsidP="007C6C16">
      <w:pPr>
        <w:spacing w:beforeAutospacing="1" w:afterAutospacing="1" w:line="360" w:lineRule="auto"/>
        <w:ind w:left="720"/>
        <w:jc w:val="both"/>
      </w:pPr>
      <m:oMathPara>
        <m:oMath>
          <m:r>
            <m:rPr>
              <m:nor/>
            </m:rPr>
            <m:t>Debt-to-Equity</m:t>
          </m:r>
          <m:r>
            <w:rPr>
              <w:rFonts w:ascii="Cambria Math" w:hAnsi="Cambria Math"/>
            </w:rPr>
            <m:t>=</m:t>
          </m:r>
          <m:f>
            <m:fPr>
              <m:ctrlPr>
                <w:rPr>
                  <w:rFonts w:ascii="Cambria Math" w:hAnsi="Cambria Math"/>
                </w:rPr>
              </m:ctrlPr>
            </m:fPr>
            <m:num>
              <m:r>
                <w:rPr>
                  <w:rFonts w:ascii="Cambria Math" w:hAnsi="Cambria Math"/>
                </w:rPr>
                <m:t>170,249</m:t>
              </m:r>
            </m:num>
            <m:den>
              <m:r>
                <w:rPr>
                  <w:rFonts w:ascii="Cambria Math" w:hAnsi="Cambria Math"/>
                </w:rPr>
                <m:t>153,105</m:t>
              </m:r>
            </m:den>
          </m:f>
          <m:r>
            <w:rPr>
              <w:rFonts w:ascii="Cambria Math" w:hAnsi="Cambria Math"/>
            </w:rPr>
            <m:t>=1.11</m:t>
          </m:r>
          <m:r>
            <m:rPr>
              <m:sty m:val="p"/>
            </m:rPr>
            <w:rPr>
              <w:rFonts w:ascii="Cambria Math" w:hAnsi="Cambria Math"/>
            </w:rPr>
            <w:br/>
          </m:r>
        </m:oMath>
      </m:oMathPara>
    </w:p>
    <w:p w14:paraId="7E3F02A7" w14:textId="77777777" w:rsidR="007F0B06" w:rsidRPr="007C6C16" w:rsidRDefault="007F0B06" w:rsidP="007C6C16">
      <w:pPr>
        <w:spacing w:before="100" w:beforeAutospacing="1" w:after="100" w:afterAutospacing="1" w:line="360" w:lineRule="auto"/>
        <w:ind w:left="720"/>
        <w:jc w:val="both"/>
      </w:pPr>
      <w:r w:rsidRPr="007C6C16">
        <w:t>A ratio of 1.11 indicates a higher reliance on debt, which is a concern, particularly as the company has experienced financial losses. This is an increase from 2020 (0.63), suggesting rising financial leverage.</w:t>
      </w:r>
    </w:p>
    <w:p w14:paraId="5255CA03" w14:textId="77777777" w:rsidR="007F0B06" w:rsidRPr="007C6C16" w:rsidRDefault="007F0B06" w:rsidP="007C6C16">
      <w:pPr>
        <w:pStyle w:val="Heading2"/>
        <w:spacing w:line="360" w:lineRule="auto"/>
        <w:jc w:val="both"/>
        <w:rPr>
          <w:rFonts w:ascii="Times New Roman" w:hAnsi="Times New Roman" w:cs="Times New Roman"/>
          <w:b/>
          <w:bCs/>
          <w:color w:val="auto"/>
          <w:sz w:val="24"/>
          <w:szCs w:val="24"/>
        </w:rPr>
      </w:pPr>
      <w:bookmarkStart w:id="8" w:name="_Toc214887490"/>
      <w:r w:rsidRPr="007C6C16">
        <w:rPr>
          <w:rFonts w:ascii="Times New Roman" w:hAnsi="Times New Roman" w:cs="Times New Roman"/>
          <w:b/>
          <w:bCs/>
          <w:color w:val="auto"/>
          <w:sz w:val="24"/>
          <w:szCs w:val="24"/>
        </w:rPr>
        <w:t>5. Cash Flow Analysis</w:t>
      </w:r>
      <w:bookmarkEnd w:id="8"/>
    </w:p>
    <w:p w14:paraId="4033ACFB" w14:textId="77777777" w:rsidR="007F0B06" w:rsidRPr="007C6C16" w:rsidRDefault="007F0B06" w:rsidP="007C6C16">
      <w:pPr>
        <w:spacing w:before="100" w:beforeAutospacing="1" w:after="100" w:afterAutospacing="1" w:line="360" w:lineRule="auto"/>
        <w:jc w:val="both"/>
      </w:pPr>
      <w:r w:rsidRPr="007C6C16">
        <w:t>The cash flow analysis provides insight into the company's liquidity and how well it manages its cash to fund its operations and growth.</w:t>
      </w:r>
    </w:p>
    <w:p w14:paraId="197FF57F" w14:textId="77777777" w:rsidR="007F0B06" w:rsidRPr="007C6C16" w:rsidRDefault="007F0B06" w:rsidP="007C6C16">
      <w:pPr>
        <w:numPr>
          <w:ilvl w:val="0"/>
          <w:numId w:val="5"/>
        </w:numPr>
        <w:spacing w:before="100" w:beforeAutospacing="1" w:after="100" w:afterAutospacing="1" w:line="360" w:lineRule="auto"/>
        <w:jc w:val="both"/>
      </w:pPr>
      <w:r w:rsidRPr="007C6C16">
        <w:rPr>
          <w:b/>
          <w:bCs/>
        </w:rPr>
        <w:t>Operating Cash Flow:</w:t>
      </w:r>
    </w:p>
    <w:p w14:paraId="5CF9DA95" w14:textId="77777777" w:rsidR="007F0B06" w:rsidRPr="007C6C16" w:rsidRDefault="007F0B06" w:rsidP="007C6C16">
      <w:pPr>
        <w:spacing w:before="100" w:beforeAutospacing="1" w:after="100" w:afterAutospacing="1" w:line="360" w:lineRule="auto"/>
        <w:ind w:left="720"/>
        <w:jc w:val="both"/>
      </w:pPr>
      <w:r w:rsidRPr="007C6C16">
        <w:t>Cash from operations is a key indicator of the company’s ability to generate sufficient cash to sustain its operations.</w:t>
      </w:r>
    </w:p>
    <w:p w14:paraId="784370F9" w14:textId="77777777" w:rsidR="007F0B06" w:rsidRPr="007C6C16" w:rsidRDefault="007F0B06" w:rsidP="007C6C16">
      <w:pPr>
        <w:spacing w:beforeAutospacing="1" w:afterAutospacing="1" w:line="360" w:lineRule="auto"/>
        <w:ind w:left="720"/>
        <w:jc w:val="both"/>
      </w:pPr>
      <m:oMathPara>
        <m:oMath>
          <m:r>
            <m:rPr>
              <m:nor/>
            </m:rPr>
            <w:lastRenderedPageBreak/>
            <m:t>Operating Cash Flow</m:t>
          </m:r>
          <m:r>
            <w:rPr>
              <w:rFonts w:ascii="Cambria Math" w:hAnsi="Cambria Math"/>
            </w:rPr>
            <m:t>=14,822</m:t>
          </m:r>
          <m:r>
            <m:rPr>
              <m:nor/>
            </m:rPr>
            <m:t xml:space="preserve"> million</m:t>
          </m:r>
          <m:r>
            <m:rPr>
              <m:sty m:val="p"/>
            </m:rPr>
            <w:rPr>
              <w:rFonts w:ascii="Cambria Math" w:hAnsi="Cambria Math"/>
            </w:rPr>
            <w:br/>
          </m:r>
        </m:oMath>
      </m:oMathPara>
    </w:p>
    <w:p w14:paraId="4E520168" w14:textId="77777777" w:rsidR="007F0B06" w:rsidRPr="007C6C16" w:rsidRDefault="007F0B06" w:rsidP="007C6C16">
      <w:pPr>
        <w:spacing w:before="100" w:beforeAutospacing="1" w:after="100" w:afterAutospacing="1" w:line="360" w:lineRule="auto"/>
        <w:ind w:left="720"/>
        <w:jc w:val="both"/>
      </w:pPr>
      <w:r w:rsidRPr="007C6C16">
        <w:t>Operating cash flow has decreased significantly from 73,392 million in 2020 to 14,822 million in 2024, suggesting weakening operational efficiency.</w:t>
      </w:r>
    </w:p>
    <w:p w14:paraId="3B0CE3D9" w14:textId="77777777" w:rsidR="007F0B06" w:rsidRPr="007C6C16" w:rsidRDefault="007F0B06" w:rsidP="007C6C16">
      <w:pPr>
        <w:pStyle w:val="Heading2"/>
        <w:spacing w:line="360" w:lineRule="auto"/>
        <w:jc w:val="both"/>
        <w:rPr>
          <w:rFonts w:ascii="Times New Roman" w:hAnsi="Times New Roman" w:cs="Times New Roman"/>
          <w:b/>
          <w:bCs/>
          <w:color w:val="auto"/>
          <w:sz w:val="24"/>
          <w:szCs w:val="24"/>
        </w:rPr>
      </w:pPr>
      <w:bookmarkStart w:id="9" w:name="_Toc214887491"/>
      <w:r w:rsidRPr="007C6C16">
        <w:rPr>
          <w:rFonts w:ascii="Times New Roman" w:hAnsi="Times New Roman" w:cs="Times New Roman"/>
          <w:b/>
          <w:bCs/>
          <w:color w:val="auto"/>
          <w:sz w:val="24"/>
          <w:szCs w:val="24"/>
        </w:rPr>
        <w:t>6. Altman Z-Score</w:t>
      </w:r>
      <w:bookmarkEnd w:id="9"/>
    </w:p>
    <w:p w14:paraId="788DD957" w14:textId="77777777" w:rsidR="007F0B06" w:rsidRPr="007C6C16" w:rsidRDefault="007F0B06" w:rsidP="007C6C16">
      <w:pPr>
        <w:spacing w:before="100" w:beforeAutospacing="1" w:after="100" w:afterAutospacing="1" w:line="360" w:lineRule="auto"/>
        <w:jc w:val="both"/>
      </w:pPr>
      <w:r w:rsidRPr="007C6C16">
        <w:t>The Altman Z-Score is a corporate failure prediction model used to assess the likelihood of a company going bankrupt. The formula is:</w:t>
      </w:r>
    </w:p>
    <w:p w14:paraId="74D7D2D1" w14:textId="77777777" w:rsidR="007F0B06" w:rsidRPr="007C6C16" w:rsidRDefault="007F0B06" w:rsidP="007C6C16">
      <w:pPr>
        <w:spacing w:line="360" w:lineRule="auto"/>
        <w:jc w:val="both"/>
      </w:pPr>
      <m:oMathPara>
        <m:oMath>
          <m:r>
            <w:rPr>
              <w:rFonts w:ascii="Cambria Math" w:hAnsi="Cambria Math"/>
            </w:rPr>
            <m:t>Z=1.2×</m:t>
          </m:r>
          <m:r>
            <m:rPr>
              <m:nor/>
            </m:rPr>
            <m:t>Working Capital/Total Assets</m:t>
          </m:r>
          <m:r>
            <w:rPr>
              <w:rFonts w:ascii="Cambria Math" w:hAnsi="Cambria Math"/>
            </w:rPr>
            <m:t>+1.4×</m:t>
          </m:r>
          <m:f>
            <m:fPr>
              <m:ctrlPr>
                <w:rPr>
                  <w:rFonts w:ascii="Cambria Math" w:hAnsi="Cambria Math"/>
                </w:rPr>
              </m:ctrlPr>
            </m:fPr>
            <m:num>
              <m:r>
                <m:rPr>
                  <m:nor/>
                </m:rPr>
                <m:t>Retained Earnings</m:t>
              </m:r>
            </m:num>
            <m:den>
              <m:r>
                <m:rPr>
                  <m:nor/>
                </m:rPr>
                <m:t>Total Assets</m:t>
              </m:r>
            </m:den>
          </m:f>
          <m:r>
            <w:rPr>
              <w:rFonts w:ascii="Cambria Math" w:hAnsi="Cambria Math"/>
            </w:rPr>
            <m:t>+3.3×</m:t>
          </m:r>
          <m:f>
            <m:fPr>
              <m:ctrlPr>
                <w:rPr>
                  <w:rFonts w:ascii="Cambria Math" w:hAnsi="Cambria Math"/>
                </w:rPr>
              </m:ctrlPr>
            </m:fPr>
            <m:num>
              <m:r>
                <m:rPr>
                  <m:nor/>
                </m:rPr>
                <m:t>EBIT</m:t>
              </m:r>
            </m:num>
            <m:den>
              <m:r>
                <m:rPr>
                  <m:nor/>
                </m:rPr>
                <m:t>Total Assets</m:t>
              </m:r>
            </m:den>
          </m:f>
          <m:r>
            <w:rPr>
              <w:rFonts w:ascii="Cambria Math" w:hAnsi="Cambria Math"/>
            </w:rPr>
            <m:t>+0.6×</m:t>
          </m:r>
          <m:f>
            <m:fPr>
              <m:ctrlPr>
                <w:rPr>
                  <w:rFonts w:ascii="Cambria Math" w:hAnsi="Cambria Math"/>
                </w:rPr>
              </m:ctrlPr>
            </m:fPr>
            <m:num>
              <m:r>
                <m:rPr>
                  <m:nor/>
                </m:rPr>
                <m:t>Market Value of Equity</m:t>
              </m:r>
            </m:num>
            <m:den>
              <m:r>
                <m:rPr>
                  <m:nor/>
                </m:rPr>
                <m:t>Total Liabilities</m:t>
              </m:r>
            </m:den>
          </m:f>
          <m:r>
            <w:rPr>
              <w:rFonts w:ascii="Cambria Math" w:hAnsi="Cambria Math"/>
            </w:rPr>
            <m:t>+1.0×</m:t>
          </m:r>
          <m:f>
            <m:fPr>
              <m:ctrlPr>
                <w:rPr>
                  <w:rFonts w:ascii="Cambria Math" w:hAnsi="Cambria Math"/>
                </w:rPr>
              </m:ctrlPr>
            </m:fPr>
            <m:num>
              <m:r>
                <m:rPr>
                  <m:nor/>
                </m:rPr>
                <m:t>Sales</m:t>
              </m:r>
            </m:num>
            <m:den>
              <m:r>
                <m:rPr>
                  <m:nor/>
                </m:rPr>
                <m:t>Total Assets</m:t>
              </m:r>
            </m:den>
          </m:f>
          <m:r>
            <m:rPr>
              <m:sty m:val="p"/>
            </m:rPr>
            <w:rPr>
              <w:rFonts w:ascii="Cambria Math" w:hAnsi="Cambria Math"/>
            </w:rPr>
            <w:br/>
          </m:r>
        </m:oMath>
      </m:oMathPara>
    </w:p>
    <w:p w14:paraId="16BF91A4" w14:textId="48DB7F04" w:rsidR="007F0B06" w:rsidRPr="007C6C16" w:rsidRDefault="007F0B06" w:rsidP="007C6C16">
      <w:pPr>
        <w:spacing w:before="100" w:beforeAutospacing="1" w:after="100" w:afterAutospacing="1" w:line="360" w:lineRule="auto"/>
        <w:jc w:val="both"/>
      </w:pPr>
      <w:r w:rsidRPr="007C6C16">
        <w:t>For General Electronics, based on the 2024 data, the calculated Z-</w:t>
      </w:r>
      <w:r w:rsidR="00932200" w:rsidRPr="007C6C16">
        <w:t>s</w:t>
      </w:r>
      <w:r w:rsidRPr="007C6C16">
        <w:t>core is low, indicating a high probability of financial distress.</w:t>
      </w:r>
    </w:p>
    <w:p w14:paraId="4E4301D7" w14:textId="77777777" w:rsidR="007F0B06" w:rsidRPr="007C6C16" w:rsidRDefault="007F0B06" w:rsidP="007C6C16">
      <w:pPr>
        <w:pStyle w:val="Heading2"/>
        <w:spacing w:line="360" w:lineRule="auto"/>
        <w:jc w:val="both"/>
        <w:rPr>
          <w:rFonts w:ascii="Times New Roman" w:hAnsi="Times New Roman" w:cs="Times New Roman"/>
          <w:b/>
          <w:bCs/>
          <w:color w:val="auto"/>
          <w:sz w:val="24"/>
          <w:szCs w:val="24"/>
        </w:rPr>
      </w:pPr>
      <w:bookmarkStart w:id="10" w:name="_Toc214887492"/>
      <w:r w:rsidRPr="007C6C16">
        <w:rPr>
          <w:rFonts w:ascii="Times New Roman" w:hAnsi="Times New Roman" w:cs="Times New Roman"/>
          <w:b/>
          <w:bCs/>
          <w:color w:val="auto"/>
          <w:sz w:val="24"/>
          <w:szCs w:val="24"/>
        </w:rPr>
        <w:t>7. Key Trends, Strengths, and Threats</w:t>
      </w:r>
      <w:bookmarkEnd w:id="10"/>
    </w:p>
    <w:p w14:paraId="69E6D8B2" w14:textId="77777777" w:rsidR="007F0B06" w:rsidRPr="007C6C16" w:rsidRDefault="007F0B06" w:rsidP="007C6C16">
      <w:pPr>
        <w:spacing w:before="100" w:beforeAutospacing="1" w:after="100" w:afterAutospacing="1" w:line="360" w:lineRule="auto"/>
        <w:jc w:val="both"/>
        <w:outlineLvl w:val="3"/>
        <w:rPr>
          <w:b/>
          <w:bCs/>
        </w:rPr>
      </w:pPr>
      <w:r w:rsidRPr="007C6C16">
        <w:rPr>
          <w:b/>
          <w:bCs/>
        </w:rPr>
        <w:t>Key Trends</w:t>
      </w:r>
    </w:p>
    <w:p w14:paraId="4A30C5FA" w14:textId="5F75DD4C" w:rsidR="0058121E" w:rsidRPr="007C6C16" w:rsidRDefault="0058121E" w:rsidP="007C6C16">
      <w:pPr>
        <w:spacing w:before="100" w:beforeAutospacing="1" w:after="100" w:afterAutospacing="1" w:line="360" w:lineRule="auto"/>
        <w:jc w:val="both"/>
      </w:pPr>
      <w:r w:rsidRPr="007C6C16">
        <w:t>The 5</w:t>
      </w:r>
      <w:r w:rsidR="00932200" w:rsidRPr="007C6C16">
        <w:t>-year</w:t>
      </w:r>
      <w:r w:rsidRPr="007C6C16">
        <w:t xml:space="preserve"> operating financial background of General Electric is not a promising sign of a declining performance. Among the trends is the subduing profitability of the firm. The gross and operating profit margin has been registering a negative </w:t>
      </w:r>
      <w:r w:rsidR="00932200" w:rsidRPr="007C6C16">
        <w:t>trend,</w:t>
      </w:r>
      <w:r w:rsidRPr="007C6C16">
        <w:t xml:space="preserve"> and this not only depict</w:t>
      </w:r>
      <w:r w:rsidR="00932200" w:rsidRPr="007C6C16">
        <w:t>s</w:t>
      </w:r>
      <w:r w:rsidRPr="007C6C16">
        <w:t xml:space="preserve"> that cost is on the upswing, but also </w:t>
      </w:r>
      <w:r w:rsidR="00932200" w:rsidRPr="007C6C16">
        <w:t xml:space="preserve">that </w:t>
      </w:r>
      <w:r w:rsidRPr="007C6C16">
        <w:t>the power to charge price is not easily held. This overall trend has made the company record negative operating income and net income in the past few years</w:t>
      </w:r>
      <w:r w:rsidR="00932200" w:rsidRPr="007C6C16">
        <w:t>,</w:t>
      </w:r>
      <w:r w:rsidRPr="007C6C16">
        <w:t xml:space="preserve"> and in this way</w:t>
      </w:r>
      <w:r w:rsidR="00932200" w:rsidRPr="007C6C16">
        <w:t>,</w:t>
      </w:r>
      <w:r w:rsidRPr="007C6C16">
        <w:t xml:space="preserve"> we can notice that General Electronics has failed to maintain its ability to make profits</w:t>
      </w:r>
      <w:r w:rsidR="00932200" w:rsidRPr="007C6C16">
        <w:t>,</w:t>
      </w:r>
      <w:r w:rsidRPr="007C6C16">
        <w:t xml:space="preserve"> even though it </w:t>
      </w:r>
      <w:r w:rsidR="00932200" w:rsidRPr="007C6C16">
        <w:t>can realize</w:t>
      </w:r>
      <w:r w:rsidRPr="007C6C16">
        <w:t xml:space="preserve"> its revenues.</w:t>
      </w:r>
    </w:p>
    <w:p w14:paraId="4C27E960" w14:textId="2A00E3E5" w:rsidR="0058121E" w:rsidRPr="007C6C16" w:rsidRDefault="0058121E" w:rsidP="007C6C16">
      <w:pPr>
        <w:spacing w:before="100" w:beforeAutospacing="1" w:after="100" w:afterAutospacing="1" w:line="360" w:lineRule="auto"/>
        <w:jc w:val="both"/>
      </w:pPr>
      <w:r w:rsidRPr="007C6C16">
        <w:t xml:space="preserve">The other key trend is the decline in liquidity; the trend is shown by the declining current ratios and quick ratios. The following drops show that General </w:t>
      </w:r>
      <w:r w:rsidR="00932200" w:rsidRPr="007C6C16">
        <w:t>E</w:t>
      </w:r>
      <w:r w:rsidRPr="007C6C16">
        <w:t>lectronics is finding it increasingly difficult to meet its short</w:t>
      </w:r>
      <w:r w:rsidR="00932200" w:rsidRPr="007C6C16">
        <w:t>-</w:t>
      </w:r>
      <w:r w:rsidRPr="007C6C16">
        <w:t xml:space="preserve">term obligations and </w:t>
      </w:r>
      <w:r w:rsidR="00932200" w:rsidRPr="007C6C16">
        <w:t>which</w:t>
      </w:r>
      <w:r w:rsidRPr="007C6C16">
        <w:t xml:space="preserve"> will lead to problems in cash flow </w:t>
      </w:r>
      <w:r w:rsidR="00932200" w:rsidRPr="007C6C16">
        <w:t>if</w:t>
      </w:r>
      <w:r w:rsidRPr="007C6C16">
        <w:t xml:space="preserve"> the </w:t>
      </w:r>
      <w:r w:rsidRPr="007C6C16">
        <w:lastRenderedPageBreak/>
        <w:t>situation does not improve. Although the company is not close to the critical level of liquidity (the quick ratio is slightly above 1), the worsened condition is worth pointing out to avoid solvency issues in the future. The underlying trend was also an increased reliance on debt since the debt-to-equity ratio was increasing. This high leverage contributes to the financial risk</w:t>
      </w:r>
      <w:r w:rsidR="00932200" w:rsidRPr="007C6C16">
        <w:t>,</w:t>
      </w:r>
      <w:r w:rsidRPr="007C6C16">
        <w:t xml:space="preserve"> particularly when the profit levels are low</w:t>
      </w:r>
      <w:r w:rsidR="005814C2" w:rsidRPr="007C6C16">
        <w:t xml:space="preserve"> (Pike &amp; Neale, 2006)</w:t>
      </w:r>
      <w:r w:rsidRPr="007C6C16">
        <w:t>.</w:t>
      </w:r>
    </w:p>
    <w:p w14:paraId="3230F4BF" w14:textId="77777777" w:rsidR="0058121E" w:rsidRPr="007C6C16" w:rsidRDefault="0058121E" w:rsidP="007C6C16">
      <w:pPr>
        <w:spacing w:before="100" w:beforeAutospacing="1" w:after="100" w:afterAutospacing="1" w:line="360" w:lineRule="auto"/>
        <w:jc w:val="both"/>
        <w:rPr>
          <w:b/>
          <w:bCs/>
        </w:rPr>
      </w:pPr>
      <w:r w:rsidRPr="007C6C16">
        <w:rPr>
          <w:b/>
          <w:bCs/>
        </w:rPr>
        <w:t>Strengths</w:t>
      </w:r>
    </w:p>
    <w:p w14:paraId="1B2A1A4E" w14:textId="3E5EC83A" w:rsidR="0058121E" w:rsidRPr="007C6C16" w:rsidRDefault="00932200" w:rsidP="007C6C16">
      <w:pPr>
        <w:spacing w:before="100" w:beforeAutospacing="1" w:after="100" w:afterAutospacing="1" w:line="360" w:lineRule="auto"/>
        <w:jc w:val="both"/>
      </w:pPr>
      <w:r w:rsidRPr="007C6C16">
        <w:t>The f</w:t>
      </w:r>
      <w:r w:rsidR="0058121E" w:rsidRPr="007C6C16">
        <w:t>inancial position of General Electronics has several areas of strength, which it can use as part of its turnaround strategy. Among the strengths noted is the strong asset base of the company</w:t>
      </w:r>
      <w:r w:rsidRPr="007C6C16">
        <w:t>,</w:t>
      </w:r>
      <w:r w:rsidR="0058121E" w:rsidRPr="007C6C16">
        <w:t xml:space="preserve"> which has made significant investments in property, plant and equipment. This gives General Electronics the capacity to generate production, innovate and meet the customer demand in </w:t>
      </w:r>
      <w:r w:rsidRPr="007C6C16">
        <w:t xml:space="preserve">the </w:t>
      </w:r>
      <w:r w:rsidR="0058121E" w:rsidRPr="007C6C16">
        <w:t>consumer electronic market. In addition, the liquidity position of General Electric remains favorable</w:t>
      </w:r>
      <w:r w:rsidRPr="007C6C16">
        <w:t>,</w:t>
      </w:r>
      <w:r w:rsidR="0058121E" w:rsidRPr="007C6C16">
        <w:t xml:space="preserve"> particularly when compared with that of its industry counterparts</w:t>
      </w:r>
      <w:r w:rsidRPr="007C6C16">
        <w:t>,</w:t>
      </w:r>
      <w:r w:rsidR="0058121E" w:rsidRPr="007C6C16">
        <w:t xml:space="preserve"> as its current ratio (1.53 in 2024) indicates it still has the capacity to settle its short-term </w:t>
      </w:r>
      <w:r w:rsidRPr="007C6C16">
        <w:t>liabilities,</w:t>
      </w:r>
      <w:r w:rsidR="0058121E" w:rsidRPr="007C6C16">
        <w:t xml:space="preserve"> but the situation is on a downward trend.</w:t>
      </w:r>
    </w:p>
    <w:p w14:paraId="393FF0C9" w14:textId="79B6C3E7" w:rsidR="0058121E" w:rsidRPr="007C6C16" w:rsidRDefault="0058121E" w:rsidP="007C6C16">
      <w:pPr>
        <w:spacing w:before="100" w:beforeAutospacing="1" w:after="100" w:afterAutospacing="1" w:line="360" w:lineRule="auto"/>
        <w:jc w:val="both"/>
      </w:pPr>
      <w:r w:rsidRPr="007C6C16">
        <w:t xml:space="preserve">A strength can as well be the company brand recognition and market share in the current consumer electronics business around the world. The degree of profitability is poor, but the client base is extensive and well developed, and the equipment is extensive </w:t>
      </w:r>
      <w:r w:rsidR="00932200" w:rsidRPr="007C6C16">
        <w:t xml:space="preserve">enough </w:t>
      </w:r>
      <w:r w:rsidRPr="007C6C16">
        <w:t>to endure the current recession</w:t>
      </w:r>
      <w:r w:rsidR="00932200" w:rsidRPr="007C6C16">
        <w:t>, potentially</w:t>
      </w:r>
      <w:r w:rsidRPr="007C6C16">
        <w:t xml:space="preserve">. These are the areas that can help regain market trust </w:t>
      </w:r>
      <w:r w:rsidR="00932200" w:rsidRPr="007C6C16">
        <w:t>if</w:t>
      </w:r>
      <w:r w:rsidRPr="007C6C16">
        <w:t xml:space="preserve"> the company has put the right restructuring strategies in place</w:t>
      </w:r>
      <w:r w:rsidR="005814C2" w:rsidRPr="007C6C16">
        <w:t xml:space="preserve"> (Corporate Finance Institute, 2025)</w:t>
      </w:r>
      <w:r w:rsidRPr="007C6C16">
        <w:t>.</w:t>
      </w:r>
    </w:p>
    <w:p w14:paraId="65052FAD" w14:textId="77777777" w:rsidR="0058121E" w:rsidRPr="007C6C16" w:rsidRDefault="0058121E" w:rsidP="007C6C16">
      <w:pPr>
        <w:spacing w:before="100" w:beforeAutospacing="1" w:after="100" w:afterAutospacing="1" w:line="360" w:lineRule="auto"/>
        <w:jc w:val="both"/>
        <w:rPr>
          <w:b/>
          <w:bCs/>
        </w:rPr>
      </w:pPr>
      <w:r w:rsidRPr="007C6C16">
        <w:rPr>
          <w:b/>
          <w:bCs/>
        </w:rPr>
        <w:t>Threats</w:t>
      </w:r>
    </w:p>
    <w:p w14:paraId="1302E5D4" w14:textId="53369ECB" w:rsidR="0058121E" w:rsidRPr="007C6C16" w:rsidRDefault="0058121E" w:rsidP="007C6C16">
      <w:pPr>
        <w:spacing w:before="100" w:beforeAutospacing="1" w:after="100" w:afterAutospacing="1" w:line="360" w:lineRule="auto"/>
        <w:jc w:val="both"/>
      </w:pPr>
      <w:r w:rsidRPr="007C6C16">
        <w:t>General Electronics faces a host of dangers that can destroy its financial condition even more. The first of these falls under the category of falling profitability</w:t>
      </w:r>
      <w:r w:rsidR="00932200" w:rsidRPr="007C6C16">
        <w:t>,</w:t>
      </w:r>
      <w:r w:rsidRPr="007C6C16">
        <w:t xml:space="preserve"> </w:t>
      </w:r>
      <w:r w:rsidR="00932200" w:rsidRPr="007C6C16">
        <w:t>which</w:t>
      </w:r>
      <w:r w:rsidRPr="007C6C16">
        <w:t xml:space="preserve"> is the immediate. The continuing depreciation of the net income in the past five years was evidenced by further competition in the consumer electronics market, the rising production cost, and the lack of efficiency in its operations. The trend can lead to the financial misfortunes of the company or even the impossibility </w:t>
      </w:r>
      <w:r w:rsidR="00932200" w:rsidRPr="007C6C16">
        <w:t>of</w:t>
      </w:r>
      <w:r w:rsidRPr="007C6C16">
        <w:t xml:space="preserve"> sustain</w:t>
      </w:r>
      <w:r w:rsidR="00932200" w:rsidRPr="007C6C16">
        <w:t>ing</w:t>
      </w:r>
      <w:r w:rsidRPr="007C6C16">
        <w:t xml:space="preserve"> it within the frameworks in the same basic pattern.</w:t>
      </w:r>
    </w:p>
    <w:p w14:paraId="44E27C3B" w14:textId="1BE60CAB" w:rsidR="007F0B06" w:rsidRPr="007C6C16" w:rsidRDefault="0058121E" w:rsidP="007C6C16">
      <w:pPr>
        <w:spacing w:before="100" w:beforeAutospacing="1" w:after="100" w:afterAutospacing="1" w:line="360" w:lineRule="auto"/>
        <w:jc w:val="both"/>
      </w:pPr>
      <w:r w:rsidRPr="007C6C16">
        <w:lastRenderedPageBreak/>
        <w:t>The other threat is the financial leverage of the company. This kind of over</w:t>
      </w:r>
      <w:r w:rsidR="00932200" w:rsidRPr="007C6C16">
        <w:t>-</w:t>
      </w:r>
      <w:r w:rsidRPr="007C6C16">
        <w:t>reliance on the use of debt funds has made General Electronics vulnerable to interest rate fluctuations or any disadvantage that it might have in its operations</w:t>
      </w:r>
      <w:r w:rsidR="00932200" w:rsidRPr="007C6C16">
        <w:t>,</w:t>
      </w:r>
      <w:r w:rsidRPr="007C6C16">
        <w:t xml:space="preserve"> </w:t>
      </w:r>
      <w:r w:rsidR="00932200" w:rsidRPr="007C6C16">
        <w:t>which</w:t>
      </w:r>
      <w:r w:rsidRPr="007C6C16">
        <w:t xml:space="preserve"> can limit its ability to generate the necessary cash flow. There is a rise in the debt-to-equity ratio to 1.11 in 2024, which indicates the firm is susceptible to financial risks than it was in 2020. It could lead to higher interest payments</w:t>
      </w:r>
      <w:r w:rsidR="00932200" w:rsidRPr="007C6C16">
        <w:t>,</w:t>
      </w:r>
      <w:r w:rsidRPr="007C6C16">
        <w:t xml:space="preserve"> and in </w:t>
      </w:r>
      <w:r w:rsidR="00932200" w:rsidRPr="007C6C16">
        <w:t>the worst-case</w:t>
      </w:r>
      <w:r w:rsidRPr="007C6C16">
        <w:t xml:space="preserve"> downgrade of credit can be meted out to further escalate the lending cost</w:t>
      </w:r>
      <w:r w:rsidR="005814C2" w:rsidRPr="007C6C16">
        <w:t xml:space="preserve"> (The Association of Chartered Certified Accountants, 2025)</w:t>
      </w:r>
      <w:r w:rsidR="007F0B06" w:rsidRPr="007C6C16">
        <w:t>.</w:t>
      </w:r>
    </w:p>
    <w:p w14:paraId="507CD2CA" w14:textId="13DE61E4" w:rsidR="00CE4009" w:rsidRPr="007C6C16" w:rsidRDefault="007C6C16" w:rsidP="007C6C16">
      <w:pPr>
        <w:pStyle w:val="Heading1"/>
        <w:spacing w:line="360" w:lineRule="auto"/>
        <w:jc w:val="both"/>
        <w:rPr>
          <w:rFonts w:ascii="Times New Roman" w:hAnsi="Times New Roman" w:cs="Times New Roman"/>
          <w:b/>
          <w:bCs/>
          <w:color w:val="auto"/>
          <w:sz w:val="24"/>
          <w:szCs w:val="24"/>
        </w:rPr>
      </w:pPr>
      <w:bookmarkStart w:id="11" w:name="_Toc214885156"/>
      <w:bookmarkStart w:id="12" w:name="_Toc214887493"/>
      <w:r w:rsidRPr="007C6C16">
        <w:rPr>
          <w:rFonts w:ascii="Times New Roman" w:hAnsi="Times New Roman" w:cs="Times New Roman"/>
          <w:b/>
          <w:bCs/>
          <w:color w:val="auto"/>
          <w:sz w:val="24"/>
          <w:szCs w:val="24"/>
        </w:rPr>
        <w:t xml:space="preserve">2. </w:t>
      </w:r>
      <w:r w:rsidR="00CE4009" w:rsidRPr="007C6C16">
        <w:rPr>
          <w:rFonts w:ascii="Times New Roman" w:hAnsi="Times New Roman" w:cs="Times New Roman"/>
          <w:b/>
          <w:bCs/>
          <w:color w:val="auto"/>
          <w:sz w:val="24"/>
          <w:szCs w:val="24"/>
        </w:rPr>
        <w:t>Working Capital Management Analysis</w:t>
      </w:r>
      <w:bookmarkEnd w:id="11"/>
      <w:bookmarkEnd w:id="12"/>
    </w:p>
    <w:p w14:paraId="114C556B" w14:textId="20C2E278" w:rsidR="0058121E" w:rsidRPr="007C6C16" w:rsidRDefault="0058121E" w:rsidP="007C6C16">
      <w:pPr>
        <w:spacing w:before="100" w:beforeAutospacing="1" w:after="100" w:afterAutospacing="1" w:line="360" w:lineRule="auto"/>
        <w:jc w:val="both"/>
      </w:pPr>
      <w:r w:rsidRPr="007C6C16">
        <w:t>Working capital management holds the greatest significance to the daily operation of any business as it is directly related to the liquidity, operational efficiency and financial flexibility of any business. Cash operating cycle (COC) can be listed among some of the key indicators of the performance of a firm when it comes to utilizing its working capital effectively. It is the period involved in cash expenditure on raw material</w:t>
      </w:r>
      <w:r w:rsidR="00932200" w:rsidRPr="007C6C16">
        <w:t>s</w:t>
      </w:r>
      <w:r w:rsidRPr="007C6C16">
        <w:t xml:space="preserve"> and cash receipt</w:t>
      </w:r>
      <w:r w:rsidR="00932200" w:rsidRPr="007C6C16">
        <w:t>s</w:t>
      </w:r>
      <w:r w:rsidRPr="007C6C16">
        <w:t xml:space="preserve"> </w:t>
      </w:r>
      <w:r w:rsidR="00932200" w:rsidRPr="007C6C16">
        <w:t>from</w:t>
      </w:r>
      <w:r w:rsidRPr="007C6C16">
        <w:t xml:space="preserve"> goods sales. What is leaving General Electronics in jeopardy is the fact that its financial health is at risk due to the declining profitability and liquidity, and the efficient utilization of the working capital is highly crucial to the survival and rehabilitation of the establishment</w:t>
      </w:r>
      <w:r w:rsidR="005814C2" w:rsidRPr="007C6C16">
        <w:t xml:space="preserve"> (Sokolov, 2023)</w:t>
      </w:r>
      <w:r w:rsidRPr="007C6C16">
        <w:t>.</w:t>
      </w:r>
    </w:p>
    <w:p w14:paraId="38759E19" w14:textId="77777777"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13" w:name="_Toc214887494"/>
      <w:r w:rsidRPr="007C6C16">
        <w:rPr>
          <w:rFonts w:ascii="Times New Roman" w:hAnsi="Times New Roman" w:cs="Times New Roman"/>
          <w:b/>
          <w:bCs/>
          <w:color w:val="auto"/>
          <w:sz w:val="24"/>
          <w:szCs w:val="24"/>
        </w:rPr>
        <w:t>Cash Operating Cycle (COC) Analysis.</w:t>
      </w:r>
      <w:bookmarkEnd w:id="13"/>
    </w:p>
    <w:p w14:paraId="6E834B47" w14:textId="3B09A957" w:rsidR="00CE4009" w:rsidRPr="007C6C16" w:rsidRDefault="0058121E" w:rsidP="007C6C16">
      <w:pPr>
        <w:spacing w:before="100" w:beforeAutospacing="1" w:after="100" w:afterAutospacing="1" w:line="360" w:lineRule="auto"/>
        <w:jc w:val="both"/>
      </w:pPr>
      <w:r w:rsidRPr="007C6C16">
        <w:t xml:space="preserve">Cash operating cycle or cash conversion cycle (COC) is a </w:t>
      </w:r>
      <w:r w:rsidR="00932200" w:rsidRPr="007C6C16">
        <w:t>metric</w:t>
      </w:r>
      <w:r w:rsidRPr="007C6C16">
        <w:t xml:space="preserve"> to identify the number of days in which a company must turn its investments in its inventory and other inputs of its resources into cash sales. It is calculated as</w:t>
      </w:r>
      <w:r w:rsidR="00CE4009" w:rsidRPr="007C6C16">
        <w:t>:</w:t>
      </w:r>
    </w:p>
    <w:p w14:paraId="3DEBE385" w14:textId="77777777" w:rsidR="00CE4009" w:rsidRPr="007C6C16" w:rsidRDefault="00CE4009" w:rsidP="007C6C16">
      <w:pPr>
        <w:spacing w:line="360" w:lineRule="auto"/>
        <w:jc w:val="both"/>
      </w:pPr>
      <m:oMathPara>
        <m:oMath>
          <m:r>
            <w:rPr>
              <w:rFonts w:ascii="Cambria Math" w:hAnsi="Cambria Math"/>
            </w:rPr>
            <m:t>COC=</m:t>
          </m:r>
          <m:r>
            <m:rPr>
              <m:nor/>
            </m:rPr>
            <m:t>Inventory Days</m:t>
          </m:r>
          <m:r>
            <w:rPr>
              <w:rFonts w:ascii="Cambria Math" w:hAnsi="Cambria Math"/>
            </w:rPr>
            <m:t>+</m:t>
          </m:r>
          <m:r>
            <m:rPr>
              <m:nor/>
            </m:rPr>
            <m:t>Receivables Days</m:t>
          </m:r>
          <m:r>
            <w:rPr>
              <w:rFonts w:ascii="Cambria Math" w:hAnsi="Cambria Math"/>
            </w:rPr>
            <m:t>-</m:t>
          </m:r>
          <m:r>
            <m:rPr>
              <m:nor/>
            </m:rPr>
            <m:t>Payables Days</m:t>
          </m:r>
          <m:r>
            <m:rPr>
              <m:sty m:val="p"/>
            </m:rPr>
            <w:rPr>
              <w:rFonts w:ascii="Cambria Math" w:hAnsi="Cambria Math"/>
            </w:rPr>
            <w:br/>
          </m:r>
        </m:oMath>
      </m:oMathPara>
    </w:p>
    <w:p w14:paraId="1D844168" w14:textId="77777777" w:rsidR="00CE4009" w:rsidRPr="007C6C16" w:rsidRDefault="00CE4009" w:rsidP="007C6C16">
      <w:pPr>
        <w:spacing w:before="100" w:beforeAutospacing="1" w:after="100" w:afterAutospacing="1" w:line="360" w:lineRule="auto"/>
        <w:jc w:val="both"/>
      </w:pPr>
      <w:r w:rsidRPr="007C6C16">
        <w:t>Where:</w:t>
      </w:r>
    </w:p>
    <w:p w14:paraId="75CDEF52" w14:textId="77777777" w:rsidR="00CE4009" w:rsidRPr="007C6C16" w:rsidRDefault="00CE4009" w:rsidP="007C6C16">
      <w:pPr>
        <w:numPr>
          <w:ilvl w:val="0"/>
          <w:numId w:val="8"/>
        </w:numPr>
        <w:spacing w:before="100" w:beforeAutospacing="1" w:after="100" w:afterAutospacing="1" w:line="360" w:lineRule="auto"/>
        <w:jc w:val="both"/>
      </w:pPr>
      <w:r w:rsidRPr="007C6C16">
        <w:rPr>
          <w:b/>
          <w:bCs/>
        </w:rPr>
        <w:t>Inventory Days</w:t>
      </w:r>
      <w:r w:rsidRPr="007C6C16">
        <w:t xml:space="preserve"> = </w:t>
      </w:r>
      <m:oMath>
        <m:f>
          <m:fPr>
            <m:ctrlPr>
              <w:rPr>
                <w:rFonts w:ascii="Cambria Math" w:hAnsi="Cambria Math"/>
              </w:rPr>
            </m:ctrlPr>
          </m:fPr>
          <m:num>
            <m:r>
              <m:rPr>
                <m:nor/>
              </m:rPr>
              <m:t>Average Inventory</m:t>
            </m:r>
          </m:num>
          <m:den>
            <m:r>
              <m:rPr>
                <m:nor/>
              </m:rPr>
              <m:t>Cost of Goods Sold per day</m:t>
            </m:r>
          </m:den>
        </m:f>
      </m:oMath>
    </w:p>
    <w:p w14:paraId="786313FF" w14:textId="77777777" w:rsidR="00CE4009" w:rsidRPr="007C6C16" w:rsidRDefault="00CE4009" w:rsidP="007C6C16">
      <w:pPr>
        <w:numPr>
          <w:ilvl w:val="0"/>
          <w:numId w:val="8"/>
        </w:numPr>
        <w:spacing w:before="100" w:beforeAutospacing="1" w:after="100" w:afterAutospacing="1" w:line="360" w:lineRule="auto"/>
        <w:jc w:val="both"/>
      </w:pPr>
      <w:r w:rsidRPr="007C6C16">
        <w:rPr>
          <w:b/>
          <w:bCs/>
        </w:rPr>
        <w:t>Receivables Days</w:t>
      </w:r>
      <w:r w:rsidRPr="007C6C16">
        <w:t xml:space="preserve"> = </w:t>
      </w:r>
      <m:oMath>
        <m:f>
          <m:fPr>
            <m:ctrlPr>
              <w:rPr>
                <w:rFonts w:ascii="Cambria Math" w:hAnsi="Cambria Math"/>
              </w:rPr>
            </m:ctrlPr>
          </m:fPr>
          <m:num>
            <m:r>
              <m:rPr>
                <m:nor/>
              </m:rPr>
              <m:t>Accounts Receivable</m:t>
            </m:r>
          </m:num>
          <m:den>
            <m:r>
              <m:rPr>
                <m:nor/>
              </m:rPr>
              <m:t>Net Sales per day</m:t>
            </m:r>
          </m:den>
        </m:f>
      </m:oMath>
    </w:p>
    <w:p w14:paraId="0C031D8B" w14:textId="77777777" w:rsidR="00CE4009" w:rsidRPr="007C6C16" w:rsidRDefault="00CE4009" w:rsidP="007C6C16">
      <w:pPr>
        <w:numPr>
          <w:ilvl w:val="0"/>
          <w:numId w:val="8"/>
        </w:numPr>
        <w:spacing w:before="100" w:beforeAutospacing="1" w:after="100" w:afterAutospacing="1" w:line="360" w:lineRule="auto"/>
        <w:jc w:val="both"/>
      </w:pPr>
      <w:r w:rsidRPr="007C6C16">
        <w:rPr>
          <w:b/>
          <w:bCs/>
        </w:rPr>
        <w:lastRenderedPageBreak/>
        <w:t>Payables Days</w:t>
      </w:r>
      <w:r w:rsidRPr="007C6C16">
        <w:t xml:space="preserve"> = </w:t>
      </w:r>
      <m:oMath>
        <m:f>
          <m:fPr>
            <m:ctrlPr>
              <w:rPr>
                <w:rFonts w:ascii="Cambria Math" w:hAnsi="Cambria Math"/>
              </w:rPr>
            </m:ctrlPr>
          </m:fPr>
          <m:num>
            <m:r>
              <m:rPr>
                <m:nor/>
              </m:rPr>
              <m:t>Accounts Payable</m:t>
            </m:r>
          </m:num>
          <m:den>
            <m:r>
              <m:rPr>
                <m:nor/>
              </m:rPr>
              <m:t>Cost of Goods Sold per day</m:t>
            </m:r>
          </m:den>
        </m:f>
      </m:oMath>
    </w:p>
    <w:p w14:paraId="6E91135E" w14:textId="77777777" w:rsidR="00CE4009" w:rsidRPr="007C6C16" w:rsidRDefault="00CE4009" w:rsidP="007C6C16">
      <w:pPr>
        <w:spacing w:before="100" w:beforeAutospacing="1" w:after="100" w:afterAutospacing="1" w:line="360" w:lineRule="auto"/>
        <w:jc w:val="both"/>
      </w:pPr>
      <w:r w:rsidRPr="007C6C16">
        <w:t xml:space="preserve">Using the financial data for </w:t>
      </w:r>
      <w:r w:rsidRPr="007C6C16">
        <w:rPr>
          <w:b/>
          <w:bCs/>
        </w:rPr>
        <w:t>2024</w:t>
      </w:r>
      <w:r w:rsidRPr="007C6C16">
        <w:t xml:space="preserve">, we can calculate the </w:t>
      </w:r>
      <w:r w:rsidRPr="007C6C16">
        <w:rPr>
          <w:b/>
          <w:bCs/>
        </w:rPr>
        <w:t>days for inventory</w:t>
      </w:r>
      <w:r w:rsidRPr="007C6C16">
        <w:t xml:space="preserve">, </w:t>
      </w:r>
      <w:r w:rsidRPr="007C6C16">
        <w:rPr>
          <w:b/>
          <w:bCs/>
        </w:rPr>
        <w:t>receivables</w:t>
      </w:r>
      <w:r w:rsidRPr="007C6C16">
        <w:t xml:space="preserve">, and </w:t>
      </w:r>
      <w:r w:rsidRPr="007C6C16">
        <w:rPr>
          <w:b/>
          <w:bCs/>
        </w:rPr>
        <w:t>payables</w:t>
      </w:r>
      <w:r w:rsidRPr="007C6C16">
        <w:t xml:space="preserve"> to evaluate General Electronics' cash operating cycle.</w:t>
      </w:r>
    </w:p>
    <w:p w14:paraId="4EA0EDFD" w14:textId="77777777" w:rsidR="00CE4009" w:rsidRPr="007C6C16" w:rsidRDefault="00CE4009" w:rsidP="007C6C16">
      <w:pPr>
        <w:spacing w:before="100" w:beforeAutospacing="1" w:after="100" w:afterAutospacing="1" w:line="360" w:lineRule="auto"/>
        <w:jc w:val="both"/>
        <w:outlineLvl w:val="4"/>
        <w:rPr>
          <w:b/>
          <w:bCs/>
        </w:rPr>
      </w:pPr>
      <w:r w:rsidRPr="007C6C16">
        <w:rPr>
          <w:b/>
          <w:bCs/>
        </w:rPr>
        <w:t>Inventory Days:</w:t>
      </w:r>
    </w:p>
    <w:p w14:paraId="0ED6F1E2" w14:textId="77777777" w:rsidR="00CE4009" w:rsidRPr="007C6C16" w:rsidRDefault="00CE4009" w:rsidP="007C6C16">
      <w:pPr>
        <w:spacing w:before="100" w:beforeAutospacing="1" w:after="100" w:afterAutospacing="1" w:line="360" w:lineRule="auto"/>
        <w:jc w:val="both"/>
      </w:pPr>
      <w:r w:rsidRPr="007C6C16">
        <w:t>The formula for Inventory Days is:</w:t>
      </w:r>
    </w:p>
    <w:p w14:paraId="670A1EF3" w14:textId="77777777" w:rsidR="00CE4009" w:rsidRPr="007C6C16" w:rsidRDefault="00CE4009" w:rsidP="007C6C16">
      <w:pPr>
        <w:spacing w:line="360" w:lineRule="auto"/>
        <w:jc w:val="both"/>
      </w:pPr>
      <m:oMathPara>
        <m:oMath>
          <m:r>
            <m:rPr>
              <m:nor/>
            </m:rPr>
            <m:t>Inventory Days</m:t>
          </m:r>
          <m:r>
            <w:rPr>
              <w:rFonts w:ascii="Cambria Math" w:hAnsi="Cambria Math"/>
            </w:rPr>
            <m:t>=</m:t>
          </m:r>
          <m:f>
            <m:fPr>
              <m:ctrlPr>
                <w:rPr>
                  <w:rFonts w:ascii="Cambria Math" w:hAnsi="Cambria Math"/>
                </w:rPr>
              </m:ctrlPr>
            </m:fPr>
            <m:num>
              <m:r>
                <m:rPr>
                  <m:nor/>
                </m:rPr>
                <m:t>Inventory</m:t>
              </m:r>
            </m:num>
            <m:den>
              <m:r>
                <m:rPr>
                  <m:nor/>
                </m:rPr>
                <m:t>COGS per day</m:t>
              </m:r>
            </m:den>
          </m:f>
          <m:r>
            <m:rPr>
              <m:sty m:val="p"/>
            </m:rPr>
            <w:rPr>
              <w:rFonts w:ascii="Cambria Math" w:hAnsi="Cambria Math"/>
            </w:rPr>
            <w:br/>
          </m:r>
        </m:oMath>
      </m:oMathPara>
    </w:p>
    <w:p w14:paraId="0A5244CB" w14:textId="77777777" w:rsidR="00CE4009" w:rsidRPr="007C6C16" w:rsidRDefault="00CE4009" w:rsidP="007C6C16">
      <w:pPr>
        <w:spacing w:before="100" w:beforeAutospacing="1" w:after="100" w:afterAutospacing="1" w:line="360" w:lineRule="auto"/>
        <w:jc w:val="both"/>
      </w:pPr>
      <w:r w:rsidRPr="007C6C16">
        <w:t>For 2024:</w:t>
      </w:r>
    </w:p>
    <w:p w14:paraId="1125E489" w14:textId="77777777" w:rsidR="00CE4009" w:rsidRPr="007C6C16" w:rsidRDefault="00CE4009" w:rsidP="007C6C16">
      <w:pPr>
        <w:spacing w:line="360" w:lineRule="auto"/>
        <w:jc w:val="both"/>
      </w:pPr>
      <m:oMathPara>
        <m:oMath>
          <m:r>
            <m:rPr>
              <m:nor/>
            </m:rPr>
            <m:t>Inventory</m:t>
          </m:r>
          <m:r>
            <w:rPr>
              <w:rFonts w:ascii="Cambria Math" w:hAnsi="Cambria Math"/>
            </w:rPr>
            <m:t>=79,355</m:t>
          </m:r>
          <m:r>
            <m:rPr>
              <m:nor/>
            </m:rPr>
            <m:t xml:space="preserve"> million</m:t>
          </m:r>
          <m:r>
            <w:rPr>
              <w:rFonts w:ascii="Cambria Math" w:hAnsi="Cambria Math"/>
            </w:rPr>
            <m:t>,</m:t>
          </m:r>
          <m:r>
            <m:rPr>
              <m:nor/>
            </m:rPr>
            <m:t>COGS</m:t>
          </m:r>
          <m:r>
            <w:rPr>
              <w:rFonts w:ascii="Cambria Math" w:hAnsi="Cambria Math"/>
            </w:rPr>
            <m:t>=280,885</m:t>
          </m:r>
          <m:r>
            <m:rPr>
              <m:nor/>
            </m:rPr>
            <m:t xml:space="preserve"> million</m:t>
          </m:r>
          <m:r>
            <m:rPr>
              <m:sty m:val="p"/>
            </m:rPr>
            <w:rPr>
              <w:rFonts w:ascii="Cambria Math" w:hAnsi="Cambria Math"/>
            </w:rPr>
            <w:br/>
          </m:r>
        </m:oMath>
        <m:oMath>
          <m:r>
            <m:rPr>
              <m:nor/>
            </m:rPr>
            <m:t>COGS per day</m:t>
          </m:r>
          <m:r>
            <w:rPr>
              <w:rFonts w:ascii="Cambria Math" w:hAnsi="Cambria Math"/>
            </w:rPr>
            <m:t>=</m:t>
          </m:r>
          <m:f>
            <m:fPr>
              <m:ctrlPr>
                <w:rPr>
                  <w:rFonts w:ascii="Cambria Math" w:hAnsi="Cambria Math"/>
                </w:rPr>
              </m:ctrlPr>
            </m:fPr>
            <m:num>
              <m:r>
                <w:rPr>
                  <w:rFonts w:ascii="Cambria Math" w:hAnsi="Cambria Math"/>
                </w:rPr>
                <m:t>280,885</m:t>
              </m:r>
            </m:num>
            <m:den>
              <m:r>
                <w:rPr>
                  <w:rFonts w:ascii="Cambria Math" w:hAnsi="Cambria Math"/>
                </w:rPr>
                <m:t>365</m:t>
              </m:r>
            </m:den>
          </m:f>
          <m:r>
            <w:rPr>
              <w:rFonts w:ascii="Cambria Math" w:hAnsi="Cambria Math"/>
            </w:rPr>
            <m:t>=769.05</m:t>
          </m:r>
          <m:r>
            <m:rPr>
              <m:nor/>
            </m:rPr>
            <m:t xml:space="preserve"> million</m:t>
          </m:r>
          <m:r>
            <m:rPr>
              <m:sty m:val="p"/>
            </m:rPr>
            <w:rPr>
              <w:rFonts w:ascii="Cambria Math" w:hAnsi="Cambria Math"/>
            </w:rPr>
            <w:br/>
          </m:r>
        </m:oMath>
        <m:oMath>
          <m:r>
            <m:rPr>
              <m:nor/>
            </m:rPr>
            <m:t>Inventory Days</m:t>
          </m:r>
          <m:r>
            <w:rPr>
              <w:rFonts w:ascii="Cambria Math" w:hAnsi="Cambria Math"/>
            </w:rPr>
            <m:t>=</m:t>
          </m:r>
          <m:f>
            <m:fPr>
              <m:ctrlPr>
                <w:rPr>
                  <w:rFonts w:ascii="Cambria Math" w:hAnsi="Cambria Math"/>
                </w:rPr>
              </m:ctrlPr>
            </m:fPr>
            <m:num>
              <m:r>
                <w:rPr>
                  <w:rFonts w:ascii="Cambria Math" w:hAnsi="Cambria Math"/>
                </w:rPr>
                <m:t>79,355</m:t>
              </m:r>
            </m:num>
            <m:den>
              <m:r>
                <w:rPr>
                  <w:rFonts w:ascii="Cambria Math" w:hAnsi="Cambria Math"/>
                </w:rPr>
                <m:t>769.05</m:t>
              </m:r>
            </m:den>
          </m:f>
          <m:r>
            <w:rPr>
              <w:rFonts w:ascii="Cambria Math" w:hAnsi="Cambria Math"/>
            </w:rPr>
            <m:t>≈103.0</m:t>
          </m:r>
          <m:r>
            <m:rPr>
              <m:nor/>
            </m:rPr>
            <m:t xml:space="preserve"> days</m:t>
          </m:r>
          <m:r>
            <m:rPr>
              <m:sty m:val="p"/>
            </m:rPr>
            <w:rPr>
              <w:rFonts w:ascii="Cambria Math" w:hAnsi="Cambria Math"/>
            </w:rPr>
            <w:br/>
          </m:r>
        </m:oMath>
      </m:oMathPara>
    </w:p>
    <w:p w14:paraId="75BD0580" w14:textId="77777777" w:rsidR="00CE4009" w:rsidRPr="007C6C16" w:rsidRDefault="00CE4009" w:rsidP="007C6C16">
      <w:pPr>
        <w:spacing w:before="100" w:beforeAutospacing="1" w:after="100" w:afterAutospacing="1" w:line="360" w:lineRule="auto"/>
        <w:jc w:val="both"/>
        <w:outlineLvl w:val="4"/>
        <w:rPr>
          <w:b/>
          <w:bCs/>
        </w:rPr>
      </w:pPr>
      <w:r w:rsidRPr="007C6C16">
        <w:rPr>
          <w:b/>
          <w:bCs/>
        </w:rPr>
        <w:t>Receivables Days:</w:t>
      </w:r>
    </w:p>
    <w:p w14:paraId="6F89065E" w14:textId="77777777" w:rsidR="00CE4009" w:rsidRPr="007C6C16" w:rsidRDefault="00CE4009" w:rsidP="007C6C16">
      <w:pPr>
        <w:spacing w:before="100" w:beforeAutospacing="1" w:after="100" w:afterAutospacing="1" w:line="360" w:lineRule="auto"/>
        <w:jc w:val="both"/>
      </w:pPr>
      <w:r w:rsidRPr="007C6C16">
        <w:t>The formula for Receivables Days is:</w:t>
      </w:r>
    </w:p>
    <w:p w14:paraId="76C6428D" w14:textId="77777777" w:rsidR="00CE4009" w:rsidRPr="007C6C16" w:rsidRDefault="00CE4009" w:rsidP="007C6C16">
      <w:pPr>
        <w:spacing w:line="360" w:lineRule="auto"/>
        <w:jc w:val="both"/>
      </w:pPr>
      <m:oMathPara>
        <m:oMath>
          <m:r>
            <m:rPr>
              <m:nor/>
            </m:rPr>
            <m:t>Receivables Days</m:t>
          </m:r>
          <m:r>
            <w:rPr>
              <w:rFonts w:ascii="Cambria Math" w:hAnsi="Cambria Math"/>
            </w:rPr>
            <m:t>=</m:t>
          </m:r>
          <m:f>
            <m:fPr>
              <m:ctrlPr>
                <w:rPr>
                  <w:rFonts w:ascii="Cambria Math" w:hAnsi="Cambria Math"/>
                </w:rPr>
              </m:ctrlPr>
            </m:fPr>
            <m:num>
              <m:r>
                <m:rPr>
                  <m:nor/>
                </m:rPr>
                <m:t>Accounts Receivable</m:t>
              </m:r>
            </m:num>
            <m:den>
              <m:r>
                <m:rPr>
                  <m:nor/>
                </m:rPr>
                <m:t>Net Sales per day</m:t>
              </m:r>
            </m:den>
          </m:f>
          <m:r>
            <m:rPr>
              <m:sty m:val="p"/>
            </m:rPr>
            <w:rPr>
              <w:rFonts w:ascii="Cambria Math" w:hAnsi="Cambria Math"/>
            </w:rPr>
            <w:br/>
          </m:r>
        </m:oMath>
      </m:oMathPara>
    </w:p>
    <w:p w14:paraId="2EF4058C" w14:textId="77777777" w:rsidR="00CE4009" w:rsidRPr="007C6C16" w:rsidRDefault="00CE4009" w:rsidP="007C6C16">
      <w:pPr>
        <w:spacing w:before="100" w:beforeAutospacing="1" w:after="100" w:afterAutospacing="1" w:line="360" w:lineRule="auto"/>
        <w:jc w:val="both"/>
      </w:pPr>
      <w:r w:rsidRPr="007C6C16">
        <w:t>For 2024:</w:t>
      </w:r>
    </w:p>
    <w:p w14:paraId="62859C1B" w14:textId="77777777" w:rsidR="00CE4009" w:rsidRPr="007C6C16" w:rsidRDefault="00CE4009" w:rsidP="007C6C16">
      <w:pPr>
        <w:spacing w:line="360" w:lineRule="auto"/>
        <w:jc w:val="both"/>
      </w:pPr>
      <m:oMathPara>
        <m:oMath>
          <m:r>
            <m:rPr>
              <m:nor/>
            </m:rPr>
            <w:lastRenderedPageBreak/>
            <m:t>Accounts Receivable</m:t>
          </m:r>
          <m:r>
            <w:rPr>
              <w:rFonts w:ascii="Cambria Math" w:hAnsi="Cambria Math"/>
            </w:rPr>
            <m:t>=114,182</m:t>
          </m:r>
          <m:r>
            <m:rPr>
              <m:nor/>
            </m:rPr>
            <m:t xml:space="preserve"> million</m:t>
          </m:r>
          <m:r>
            <w:rPr>
              <w:rFonts w:ascii="Cambria Math" w:hAnsi="Cambria Math"/>
            </w:rPr>
            <m:t>,</m:t>
          </m:r>
          <m:r>
            <m:rPr>
              <m:nor/>
            </m:rPr>
            <m:t>Net Sales</m:t>
          </m:r>
          <m:r>
            <w:rPr>
              <w:rFonts w:ascii="Cambria Math" w:hAnsi="Cambria Math"/>
            </w:rPr>
            <m:t>=394,879</m:t>
          </m:r>
          <m:r>
            <m:rPr>
              <m:nor/>
            </m:rPr>
            <m:t xml:space="preserve"> million</m:t>
          </m:r>
          <m:r>
            <m:rPr>
              <m:sty m:val="p"/>
            </m:rPr>
            <w:rPr>
              <w:rFonts w:ascii="Cambria Math" w:hAnsi="Cambria Math"/>
            </w:rPr>
            <w:br/>
          </m:r>
        </m:oMath>
        <m:oMath>
          <m:r>
            <m:rPr>
              <m:nor/>
            </m:rPr>
            <m:t>Net Sales per day</m:t>
          </m:r>
          <m:r>
            <w:rPr>
              <w:rFonts w:ascii="Cambria Math" w:hAnsi="Cambria Math"/>
            </w:rPr>
            <m:t>=</m:t>
          </m:r>
          <m:f>
            <m:fPr>
              <m:ctrlPr>
                <w:rPr>
                  <w:rFonts w:ascii="Cambria Math" w:hAnsi="Cambria Math"/>
                </w:rPr>
              </m:ctrlPr>
            </m:fPr>
            <m:num>
              <m:r>
                <w:rPr>
                  <w:rFonts w:ascii="Cambria Math" w:hAnsi="Cambria Math"/>
                </w:rPr>
                <m:t>394,879</m:t>
              </m:r>
            </m:num>
            <m:den>
              <m:r>
                <w:rPr>
                  <w:rFonts w:ascii="Cambria Math" w:hAnsi="Cambria Math"/>
                </w:rPr>
                <m:t>365</m:t>
              </m:r>
            </m:den>
          </m:f>
          <m:r>
            <w:rPr>
              <w:rFonts w:ascii="Cambria Math" w:hAnsi="Cambria Math"/>
            </w:rPr>
            <m:t>=1,081.4</m:t>
          </m:r>
          <m:r>
            <m:rPr>
              <m:nor/>
            </m:rPr>
            <m:t xml:space="preserve"> million</m:t>
          </m:r>
          <m:r>
            <m:rPr>
              <m:sty m:val="p"/>
            </m:rPr>
            <w:rPr>
              <w:rFonts w:ascii="Cambria Math" w:hAnsi="Cambria Math"/>
            </w:rPr>
            <w:br/>
          </m:r>
        </m:oMath>
        <m:oMath>
          <m:r>
            <m:rPr>
              <m:nor/>
            </m:rPr>
            <m:t>Receivables Days</m:t>
          </m:r>
          <m:r>
            <w:rPr>
              <w:rFonts w:ascii="Cambria Math" w:hAnsi="Cambria Math"/>
            </w:rPr>
            <m:t>=</m:t>
          </m:r>
          <m:f>
            <m:fPr>
              <m:ctrlPr>
                <w:rPr>
                  <w:rFonts w:ascii="Cambria Math" w:hAnsi="Cambria Math"/>
                </w:rPr>
              </m:ctrlPr>
            </m:fPr>
            <m:num>
              <m:r>
                <w:rPr>
                  <w:rFonts w:ascii="Cambria Math" w:hAnsi="Cambria Math"/>
                </w:rPr>
                <m:t>114,182</m:t>
              </m:r>
            </m:num>
            <m:den>
              <m:r>
                <w:rPr>
                  <w:rFonts w:ascii="Cambria Math" w:hAnsi="Cambria Math"/>
                </w:rPr>
                <m:t>1,081.4</m:t>
              </m:r>
            </m:den>
          </m:f>
          <m:r>
            <w:rPr>
              <w:rFonts w:ascii="Cambria Math" w:hAnsi="Cambria Math"/>
            </w:rPr>
            <m:t>≈105.6</m:t>
          </m:r>
          <m:r>
            <m:rPr>
              <m:nor/>
            </m:rPr>
            <m:t xml:space="preserve"> days</m:t>
          </m:r>
          <m:r>
            <m:rPr>
              <m:sty m:val="p"/>
            </m:rPr>
            <w:rPr>
              <w:rFonts w:ascii="Cambria Math" w:hAnsi="Cambria Math"/>
            </w:rPr>
            <w:br/>
          </m:r>
        </m:oMath>
      </m:oMathPara>
    </w:p>
    <w:p w14:paraId="3AC2A641" w14:textId="77777777" w:rsidR="00CE4009" w:rsidRPr="007C6C16" w:rsidRDefault="00CE4009" w:rsidP="007C6C16">
      <w:pPr>
        <w:spacing w:before="100" w:beforeAutospacing="1" w:after="100" w:afterAutospacing="1" w:line="360" w:lineRule="auto"/>
        <w:jc w:val="both"/>
        <w:outlineLvl w:val="4"/>
        <w:rPr>
          <w:b/>
          <w:bCs/>
        </w:rPr>
      </w:pPr>
      <w:r w:rsidRPr="007C6C16">
        <w:rPr>
          <w:b/>
          <w:bCs/>
        </w:rPr>
        <w:t>Payables Days:</w:t>
      </w:r>
    </w:p>
    <w:p w14:paraId="5870DB69" w14:textId="77777777" w:rsidR="00CE4009" w:rsidRPr="007C6C16" w:rsidRDefault="00CE4009" w:rsidP="007C6C16">
      <w:pPr>
        <w:spacing w:before="100" w:beforeAutospacing="1" w:after="100" w:afterAutospacing="1" w:line="360" w:lineRule="auto"/>
        <w:jc w:val="both"/>
      </w:pPr>
      <w:r w:rsidRPr="007C6C16">
        <w:t>The formula for Payables Days is:</w:t>
      </w:r>
    </w:p>
    <w:p w14:paraId="7C9E3624" w14:textId="77777777" w:rsidR="00CE4009" w:rsidRPr="007C6C16" w:rsidRDefault="00CE4009" w:rsidP="007C6C16">
      <w:pPr>
        <w:spacing w:line="360" w:lineRule="auto"/>
        <w:jc w:val="both"/>
      </w:pPr>
      <m:oMathPara>
        <m:oMath>
          <m:r>
            <m:rPr>
              <m:nor/>
            </m:rPr>
            <m:t>Payables Days</m:t>
          </m:r>
          <m:r>
            <w:rPr>
              <w:rFonts w:ascii="Cambria Math" w:hAnsi="Cambria Math"/>
            </w:rPr>
            <m:t>=</m:t>
          </m:r>
          <m:f>
            <m:fPr>
              <m:ctrlPr>
                <w:rPr>
                  <w:rFonts w:ascii="Cambria Math" w:hAnsi="Cambria Math"/>
                </w:rPr>
              </m:ctrlPr>
            </m:fPr>
            <m:num>
              <m:r>
                <m:rPr>
                  <m:nor/>
                </m:rPr>
                <m:t>Accounts Payable</m:t>
              </m:r>
            </m:num>
            <m:den>
              <m:r>
                <m:rPr>
                  <m:nor/>
                </m:rPr>
                <m:t>COGS per day</m:t>
              </m:r>
            </m:den>
          </m:f>
          <m:r>
            <m:rPr>
              <m:sty m:val="p"/>
            </m:rPr>
            <w:rPr>
              <w:rFonts w:ascii="Cambria Math" w:hAnsi="Cambria Math"/>
            </w:rPr>
            <w:br/>
          </m:r>
        </m:oMath>
      </m:oMathPara>
    </w:p>
    <w:p w14:paraId="5C8FEB9A" w14:textId="77777777" w:rsidR="00CE4009" w:rsidRPr="007C6C16" w:rsidRDefault="00CE4009" w:rsidP="007C6C16">
      <w:pPr>
        <w:spacing w:before="100" w:beforeAutospacing="1" w:after="100" w:afterAutospacing="1" w:line="360" w:lineRule="auto"/>
        <w:jc w:val="both"/>
      </w:pPr>
      <w:r w:rsidRPr="007C6C16">
        <w:t>For 2024:</w:t>
      </w:r>
    </w:p>
    <w:p w14:paraId="184E5BC6" w14:textId="77777777" w:rsidR="00CE4009" w:rsidRPr="007C6C16" w:rsidRDefault="00CE4009" w:rsidP="007C6C16">
      <w:pPr>
        <w:spacing w:line="360" w:lineRule="auto"/>
        <w:jc w:val="both"/>
      </w:pPr>
      <m:oMathPara>
        <m:oMath>
          <m:r>
            <m:rPr>
              <m:nor/>
            </m:rPr>
            <m:t>Accounts Payable</m:t>
          </m:r>
          <m:r>
            <w:rPr>
              <w:rFonts w:ascii="Cambria Math" w:hAnsi="Cambria Math"/>
            </w:rPr>
            <m:t>=72,031</m:t>
          </m:r>
          <m:r>
            <m:rPr>
              <m:nor/>
            </m:rPr>
            <m:t xml:space="preserve"> million</m:t>
          </m:r>
          <m:r>
            <m:rPr>
              <m:sty m:val="p"/>
            </m:rPr>
            <w:rPr>
              <w:rFonts w:ascii="Cambria Math" w:hAnsi="Cambria Math"/>
            </w:rPr>
            <w:br/>
          </m:r>
        </m:oMath>
        <m:oMath>
          <m:r>
            <m:rPr>
              <m:nor/>
            </m:rPr>
            <m:t>Payables Days</m:t>
          </m:r>
          <m:r>
            <w:rPr>
              <w:rFonts w:ascii="Cambria Math" w:hAnsi="Cambria Math"/>
            </w:rPr>
            <m:t>=</m:t>
          </m:r>
          <m:f>
            <m:fPr>
              <m:ctrlPr>
                <w:rPr>
                  <w:rFonts w:ascii="Cambria Math" w:hAnsi="Cambria Math"/>
                </w:rPr>
              </m:ctrlPr>
            </m:fPr>
            <m:num>
              <m:r>
                <w:rPr>
                  <w:rFonts w:ascii="Cambria Math" w:hAnsi="Cambria Math"/>
                </w:rPr>
                <m:t>72,031</m:t>
              </m:r>
            </m:num>
            <m:den>
              <m:r>
                <w:rPr>
                  <w:rFonts w:ascii="Cambria Math" w:hAnsi="Cambria Math"/>
                </w:rPr>
                <m:t>769.05</m:t>
              </m:r>
            </m:den>
          </m:f>
          <m:r>
            <w:rPr>
              <w:rFonts w:ascii="Cambria Math" w:hAnsi="Cambria Math"/>
            </w:rPr>
            <m:t>≈93.6</m:t>
          </m:r>
          <m:r>
            <m:rPr>
              <m:nor/>
            </m:rPr>
            <m:t xml:space="preserve"> days</m:t>
          </m:r>
          <m:r>
            <m:rPr>
              <m:sty m:val="p"/>
            </m:rPr>
            <w:rPr>
              <w:rFonts w:ascii="Cambria Math" w:hAnsi="Cambria Math"/>
            </w:rPr>
            <w:br/>
          </m:r>
        </m:oMath>
      </m:oMathPara>
    </w:p>
    <w:p w14:paraId="112372D4" w14:textId="77777777" w:rsidR="00CE4009" w:rsidRPr="007C6C16" w:rsidRDefault="00CE4009" w:rsidP="007C6C16">
      <w:pPr>
        <w:spacing w:before="100" w:beforeAutospacing="1" w:after="100" w:afterAutospacing="1" w:line="360" w:lineRule="auto"/>
        <w:jc w:val="both"/>
        <w:outlineLvl w:val="3"/>
        <w:rPr>
          <w:b/>
          <w:bCs/>
        </w:rPr>
      </w:pPr>
      <w:r w:rsidRPr="007C6C16">
        <w:rPr>
          <w:b/>
          <w:bCs/>
        </w:rPr>
        <w:t>Cash Operating Cycle (COC):</w:t>
      </w:r>
    </w:p>
    <w:p w14:paraId="17F8F5D3" w14:textId="77777777" w:rsidR="00CE4009" w:rsidRPr="007C6C16" w:rsidRDefault="00CE4009" w:rsidP="007C6C16">
      <w:pPr>
        <w:spacing w:before="100" w:beforeAutospacing="1" w:after="100" w:afterAutospacing="1" w:line="360" w:lineRule="auto"/>
        <w:jc w:val="both"/>
      </w:pPr>
      <w:r w:rsidRPr="007C6C16">
        <w:t xml:space="preserve">Now we can calculate the </w:t>
      </w:r>
      <w:r w:rsidRPr="007C6C16">
        <w:rPr>
          <w:b/>
          <w:bCs/>
        </w:rPr>
        <w:t>cash operating cycle</w:t>
      </w:r>
      <w:r w:rsidRPr="007C6C16">
        <w:t>:</w:t>
      </w:r>
    </w:p>
    <w:p w14:paraId="44FB6C14" w14:textId="77777777" w:rsidR="00CE4009" w:rsidRPr="007C6C16" w:rsidRDefault="00CE4009" w:rsidP="007C6C16">
      <w:pPr>
        <w:spacing w:line="360" w:lineRule="auto"/>
        <w:jc w:val="both"/>
      </w:pPr>
      <m:oMathPara>
        <m:oMath>
          <m:r>
            <w:rPr>
              <w:rFonts w:ascii="Cambria Math" w:hAnsi="Cambria Math"/>
            </w:rPr>
            <m:t>COC=</m:t>
          </m:r>
          <m:r>
            <m:rPr>
              <m:nor/>
            </m:rPr>
            <m:t>Inventory Days</m:t>
          </m:r>
          <m:r>
            <w:rPr>
              <w:rFonts w:ascii="Cambria Math" w:hAnsi="Cambria Math"/>
            </w:rPr>
            <m:t>+</m:t>
          </m:r>
          <m:r>
            <m:rPr>
              <m:nor/>
            </m:rPr>
            <m:t>Receivables Days</m:t>
          </m:r>
          <m:r>
            <w:rPr>
              <w:rFonts w:ascii="Cambria Math" w:hAnsi="Cambria Math"/>
            </w:rPr>
            <m:t>-</m:t>
          </m:r>
          <m:r>
            <m:rPr>
              <m:nor/>
            </m:rPr>
            <m:t>Payables Days</m:t>
          </m:r>
          <m:r>
            <m:rPr>
              <m:sty m:val="p"/>
            </m:rPr>
            <w:rPr>
              <w:rFonts w:ascii="Cambria Math" w:hAnsi="Cambria Math"/>
            </w:rPr>
            <w:br/>
          </m:r>
        </m:oMath>
        <m:oMath>
          <m:r>
            <w:rPr>
              <w:rFonts w:ascii="Cambria Math" w:hAnsi="Cambria Math"/>
            </w:rPr>
            <m:t>COC=103.0+105.6-93.6=115.0</m:t>
          </m:r>
          <m:r>
            <m:rPr>
              <m:nor/>
            </m:rPr>
            <m:t xml:space="preserve"> days</m:t>
          </m:r>
          <m:r>
            <m:rPr>
              <m:sty m:val="p"/>
            </m:rPr>
            <w:rPr>
              <w:rFonts w:ascii="Cambria Math" w:hAnsi="Cambria Math"/>
            </w:rPr>
            <w:br/>
          </m:r>
        </m:oMath>
      </m:oMathPara>
    </w:p>
    <w:p w14:paraId="1D49BD77" w14:textId="7CB24C30" w:rsidR="0058121E" w:rsidRPr="007C6C16" w:rsidRDefault="0058121E" w:rsidP="007C6C16">
      <w:pPr>
        <w:spacing w:before="100" w:beforeAutospacing="1" w:after="100" w:afterAutospacing="1" w:line="360" w:lineRule="auto"/>
        <w:jc w:val="both"/>
      </w:pPr>
      <w:r w:rsidRPr="007C6C16">
        <w:t>It implies that the General Electric Company requires an average of 115 days to convert its inventory and receivables investments into cash. As a result of this long cash cycle, there is a worry that a great part of the capital is tied up in inventory and receivables and that this capital can be utilized either in increasing liquidity or decreasing debt.</w:t>
      </w:r>
    </w:p>
    <w:p w14:paraId="30F64800" w14:textId="77777777"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14" w:name="_Toc214887495"/>
      <w:r w:rsidRPr="007C6C16">
        <w:rPr>
          <w:rFonts w:ascii="Times New Roman" w:hAnsi="Times New Roman" w:cs="Times New Roman"/>
          <w:b/>
          <w:bCs/>
          <w:color w:val="auto"/>
          <w:sz w:val="24"/>
          <w:szCs w:val="24"/>
        </w:rPr>
        <w:lastRenderedPageBreak/>
        <w:t>Improvement Strategies Liquidity.</w:t>
      </w:r>
      <w:bookmarkEnd w:id="14"/>
    </w:p>
    <w:p w14:paraId="7334E7F3" w14:textId="07116604" w:rsidR="0058121E" w:rsidRPr="007C6C16" w:rsidRDefault="0058121E" w:rsidP="007C6C16">
      <w:pPr>
        <w:spacing w:before="100" w:beforeAutospacing="1" w:after="100" w:afterAutospacing="1" w:line="360" w:lineRule="auto"/>
        <w:jc w:val="both"/>
      </w:pPr>
      <w:r w:rsidRPr="007C6C16">
        <w:t xml:space="preserve">Given a lengthy cash operating cycle, General Electric should consider improving liquidity through </w:t>
      </w:r>
      <w:r w:rsidR="00932200" w:rsidRPr="007C6C16">
        <w:t xml:space="preserve">the </w:t>
      </w:r>
      <w:r w:rsidRPr="007C6C16">
        <w:t xml:space="preserve">maximization of working capital. Some of these strategies that were suggested </w:t>
      </w:r>
      <w:r w:rsidR="00932200" w:rsidRPr="007C6C16">
        <w:t>including</w:t>
      </w:r>
      <w:r w:rsidRPr="007C6C16">
        <w:t xml:space="preserve"> the following:</w:t>
      </w:r>
    </w:p>
    <w:p w14:paraId="4FB34375" w14:textId="77777777" w:rsidR="0058121E" w:rsidRPr="007C6C16" w:rsidRDefault="0058121E" w:rsidP="007C6C16">
      <w:pPr>
        <w:spacing w:before="100" w:beforeAutospacing="1" w:after="100" w:afterAutospacing="1" w:line="360" w:lineRule="auto"/>
        <w:jc w:val="both"/>
        <w:rPr>
          <w:b/>
          <w:bCs/>
        </w:rPr>
      </w:pPr>
      <w:r w:rsidRPr="007C6C16">
        <w:rPr>
          <w:b/>
          <w:bCs/>
        </w:rPr>
        <w:t>Inventory Management:</w:t>
      </w:r>
    </w:p>
    <w:p w14:paraId="645B8ECE" w14:textId="7A2822DA" w:rsidR="0058121E" w:rsidRPr="007C6C16" w:rsidRDefault="0058121E" w:rsidP="007C6C16">
      <w:pPr>
        <w:spacing w:after="160" w:line="360" w:lineRule="auto"/>
        <w:jc w:val="both"/>
      </w:pPr>
      <w:r w:rsidRPr="007C6C16">
        <w:t xml:space="preserve">Just-in-Time Inventory </w:t>
      </w:r>
      <w:r w:rsidR="00932200" w:rsidRPr="007C6C16">
        <w:t>can</w:t>
      </w:r>
      <w:r w:rsidRPr="007C6C16">
        <w:t xml:space="preserve"> reduce inventory and carrying cost</w:t>
      </w:r>
      <w:r w:rsidR="00932200" w:rsidRPr="007C6C16">
        <w:t>s</w:t>
      </w:r>
      <w:r w:rsidRPr="007C6C16">
        <w:t>, since only the required inventory is ordered. This can considerably decrease the days of inventory.</w:t>
      </w:r>
      <w:r w:rsidR="00793182" w:rsidRPr="007C6C16">
        <w:t xml:space="preserve"> </w:t>
      </w:r>
      <w:r w:rsidRPr="007C6C16">
        <w:t>General Electronics will be able to sell its products faster</w:t>
      </w:r>
      <w:r w:rsidR="00932200" w:rsidRPr="007C6C16">
        <w:t>,</w:t>
      </w:r>
      <w:r w:rsidRPr="007C6C16">
        <w:t xml:space="preserve"> and the cash flow will be higher because the inventory turnover ratios will </w:t>
      </w:r>
      <w:r w:rsidR="00932200" w:rsidRPr="007C6C16">
        <w:t>increase</w:t>
      </w:r>
      <w:r w:rsidRPr="007C6C16">
        <w:t>. It can accomplish this by means of enhanced demand forecasting and supply chain economies</w:t>
      </w:r>
      <w:r w:rsidR="005814C2" w:rsidRPr="007C6C16">
        <w:t xml:space="preserve"> (Brealey et al., 2018)</w:t>
      </w:r>
      <w:r w:rsidRPr="007C6C16">
        <w:t>.</w:t>
      </w:r>
    </w:p>
    <w:p w14:paraId="2782714B" w14:textId="77777777" w:rsidR="0058121E" w:rsidRPr="007C6C16" w:rsidRDefault="0058121E" w:rsidP="007C6C16">
      <w:pPr>
        <w:spacing w:before="100" w:beforeAutospacing="1" w:after="100" w:afterAutospacing="1" w:line="360" w:lineRule="auto"/>
        <w:jc w:val="both"/>
        <w:rPr>
          <w:b/>
          <w:bCs/>
        </w:rPr>
      </w:pPr>
      <w:r w:rsidRPr="007C6C16">
        <w:rPr>
          <w:b/>
          <w:bCs/>
        </w:rPr>
        <w:t>Receivables Management:</w:t>
      </w:r>
    </w:p>
    <w:p w14:paraId="26602532" w14:textId="7DD72939" w:rsidR="0058121E" w:rsidRPr="007C6C16" w:rsidRDefault="0058121E" w:rsidP="007C6C16">
      <w:pPr>
        <w:spacing w:before="100" w:beforeAutospacing="1" w:after="100" w:afterAutospacing="1" w:line="360" w:lineRule="auto"/>
        <w:jc w:val="both"/>
      </w:pPr>
      <w:r w:rsidRPr="007C6C16">
        <w:t xml:space="preserve">General Electronics should review its credit policy </w:t>
      </w:r>
      <w:r w:rsidR="00932200" w:rsidRPr="007C6C16">
        <w:t>and</w:t>
      </w:r>
      <w:r w:rsidRPr="007C6C16">
        <w:t xml:space="preserve"> focus on reduc</w:t>
      </w:r>
      <w:r w:rsidR="00932200" w:rsidRPr="007C6C16">
        <w:t>ing</w:t>
      </w:r>
      <w:r w:rsidRPr="007C6C16">
        <w:t xml:space="preserve"> the days</w:t>
      </w:r>
      <w:r w:rsidR="00932200" w:rsidRPr="007C6C16">
        <w:t>’</w:t>
      </w:r>
      <w:r w:rsidRPr="007C6C16">
        <w:t xml:space="preserve"> sales outstanding (DSO). This can be </w:t>
      </w:r>
      <w:r w:rsidR="00932200" w:rsidRPr="007C6C16">
        <w:t>achieved by</w:t>
      </w:r>
      <w:r w:rsidRPr="007C6C16">
        <w:t xml:space="preserve"> offering discount</w:t>
      </w:r>
      <w:r w:rsidR="00932200" w:rsidRPr="007C6C16">
        <w:t>s</w:t>
      </w:r>
      <w:r w:rsidRPr="007C6C16">
        <w:t xml:space="preserve"> on earlier payments or by carrying out stronger credit checks and working hard on defaults.</w:t>
      </w:r>
      <w:r w:rsidR="00793182" w:rsidRPr="007C6C16">
        <w:t xml:space="preserve"> </w:t>
      </w:r>
      <w:r w:rsidRPr="007C6C16">
        <w:t xml:space="preserve">General Electronics should consider factoring its receivables so that </w:t>
      </w:r>
      <w:r w:rsidR="00932200" w:rsidRPr="007C6C16">
        <w:t>it</w:t>
      </w:r>
      <w:r w:rsidRPr="007C6C16">
        <w:t xml:space="preserve"> could obtain the cash promptly. This can be at a cost</w:t>
      </w:r>
      <w:r w:rsidR="00932200" w:rsidRPr="007C6C16">
        <w:t>;</w:t>
      </w:r>
      <w:r w:rsidRPr="007C6C16">
        <w:t xml:space="preserve"> however, short-term liquidity can be maximized.</w:t>
      </w:r>
    </w:p>
    <w:p w14:paraId="517FAAA8" w14:textId="77777777" w:rsidR="0058121E" w:rsidRPr="007C6C16" w:rsidRDefault="0058121E" w:rsidP="007C6C16">
      <w:pPr>
        <w:spacing w:before="100" w:beforeAutospacing="1" w:after="100" w:afterAutospacing="1" w:line="360" w:lineRule="auto"/>
        <w:jc w:val="both"/>
        <w:rPr>
          <w:b/>
          <w:bCs/>
        </w:rPr>
      </w:pPr>
      <w:r w:rsidRPr="007C6C16">
        <w:rPr>
          <w:b/>
          <w:bCs/>
        </w:rPr>
        <w:t>Payables Management:</w:t>
      </w:r>
    </w:p>
    <w:p w14:paraId="31E895F1" w14:textId="0C321AE1" w:rsidR="0058121E" w:rsidRPr="007C6C16" w:rsidRDefault="0058121E" w:rsidP="007C6C16">
      <w:pPr>
        <w:spacing w:before="100" w:beforeAutospacing="1" w:after="100" w:afterAutospacing="1" w:line="360" w:lineRule="auto"/>
        <w:jc w:val="both"/>
      </w:pPr>
      <w:r w:rsidRPr="007C6C16">
        <w:t>Since in the case of General Electronics, there is a need to maintain personnel relations with suppliers, it is possible that the strain on cash flow will be reduced through the negotiation of extended payment terms. The duration of the payable days should be increased such that the company can hang onto more cash.</w:t>
      </w:r>
      <w:r w:rsidR="00793182" w:rsidRPr="007C6C16">
        <w:t xml:space="preserve"> </w:t>
      </w:r>
      <w:r w:rsidRPr="007C6C16">
        <w:t>The company, in large purchases, may be able to attract early payment discounts at suppliers</w:t>
      </w:r>
      <w:r w:rsidR="00932200" w:rsidRPr="007C6C16">
        <w:t>,</w:t>
      </w:r>
      <w:r w:rsidRPr="007C6C16">
        <w:t xml:space="preserve"> which would end up compensating </w:t>
      </w:r>
      <w:r w:rsidR="00932200" w:rsidRPr="007C6C16">
        <w:t>for</w:t>
      </w:r>
      <w:r w:rsidRPr="007C6C16">
        <w:t xml:space="preserve"> the cost of procurement, but would have to be compensated by the cash flow requirement.</w:t>
      </w:r>
    </w:p>
    <w:p w14:paraId="42CD0E80" w14:textId="77777777"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15" w:name="_Toc214887496"/>
      <w:r w:rsidRPr="007C6C16">
        <w:rPr>
          <w:rFonts w:ascii="Times New Roman" w:hAnsi="Times New Roman" w:cs="Times New Roman"/>
          <w:b/>
          <w:bCs/>
          <w:color w:val="auto"/>
          <w:sz w:val="24"/>
          <w:szCs w:val="24"/>
        </w:rPr>
        <w:lastRenderedPageBreak/>
        <w:t>The Long and Short-Term Financing Resources.</w:t>
      </w:r>
      <w:bookmarkEnd w:id="15"/>
    </w:p>
    <w:p w14:paraId="4FB21712" w14:textId="34D454EF" w:rsidR="0058121E" w:rsidRPr="007C6C16" w:rsidRDefault="0058121E" w:rsidP="007C6C16">
      <w:pPr>
        <w:spacing w:before="100" w:beforeAutospacing="1" w:after="100" w:afterAutospacing="1" w:line="360" w:lineRule="auto"/>
        <w:jc w:val="both"/>
      </w:pPr>
      <w:r w:rsidRPr="007C6C16">
        <w:t xml:space="preserve">General electronics would have to consider much about ways of attaining the finance </w:t>
      </w:r>
      <w:r w:rsidR="00932200" w:rsidRPr="007C6C16">
        <w:t>to</w:t>
      </w:r>
      <w:r w:rsidRPr="007C6C16">
        <w:t xml:space="preserve"> increase the liquidity without necessarily having to take too much debt. These are a few of the short-term and long-term financing </w:t>
      </w:r>
      <w:r w:rsidR="00932200" w:rsidRPr="007C6C16">
        <w:t xml:space="preserve">options </w:t>
      </w:r>
      <w:r w:rsidRPr="007C6C16">
        <w:t>compared:</w:t>
      </w:r>
    </w:p>
    <w:p w14:paraId="6170A6C3" w14:textId="77777777" w:rsidR="00793182" w:rsidRPr="007C6C16" w:rsidRDefault="0058121E" w:rsidP="007C6C16">
      <w:pPr>
        <w:spacing w:before="100" w:beforeAutospacing="1" w:after="100" w:afterAutospacing="1" w:line="360" w:lineRule="auto"/>
        <w:jc w:val="both"/>
        <w:rPr>
          <w:b/>
          <w:bCs/>
        </w:rPr>
      </w:pPr>
      <w:r w:rsidRPr="007C6C16">
        <w:rPr>
          <w:b/>
          <w:bCs/>
        </w:rPr>
        <w:t>Short-Term Financing:</w:t>
      </w:r>
    </w:p>
    <w:p w14:paraId="76627A01" w14:textId="6E5DE8CF" w:rsidR="0058121E" w:rsidRPr="007C6C16" w:rsidRDefault="0058121E" w:rsidP="007C6C16">
      <w:pPr>
        <w:spacing w:before="100" w:beforeAutospacing="1" w:after="100" w:afterAutospacing="1" w:line="360" w:lineRule="auto"/>
        <w:jc w:val="both"/>
        <w:rPr>
          <w:b/>
          <w:bCs/>
        </w:rPr>
      </w:pPr>
      <w:r w:rsidRPr="007C6C16">
        <w:t>These are expedient liquidity fast food providers</w:t>
      </w:r>
      <w:r w:rsidR="00932200" w:rsidRPr="007C6C16">
        <w:t>,</w:t>
      </w:r>
      <w:r w:rsidRPr="007C6C16">
        <w:t xml:space="preserve"> but at </w:t>
      </w:r>
      <w:r w:rsidR="00932200" w:rsidRPr="007C6C16">
        <w:t xml:space="preserve">a </w:t>
      </w:r>
      <w:r w:rsidRPr="007C6C16">
        <w:t xml:space="preserve">high rate of interest. It should be used in </w:t>
      </w:r>
      <w:r w:rsidR="00932200" w:rsidRPr="007C6C16">
        <w:t>situations</w:t>
      </w:r>
      <w:r w:rsidRPr="007C6C16">
        <w:t xml:space="preserve"> whe</w:t>
      </w:r>
      <w:r w:rsidR="00932200" w:rsidRPr="007C6C16">
        <w:t>re</w:t>
      </w:r>
      <w:r w:rsidRPr="007C6C16">
        <w:t xml:space="preserve"> liquidity is required in the short term</w:t>
      </w:r>
      <w:r w:rsidR="00932200" w:rsidRPr="007C6C16">
        <w:t>,</w:t>
      </w:r>
      <w:r w:rsidRPr="007C6C16">
        <w:t xml:space="preserve"> but in extreme cases.</w:t>
      </w:r>
      <w:r w:rsidR="00793182" w:rsidRPr="007C6C16">
        <w:rPr>
          <w:b/>
          <w:bCs/>
        </w:rPr>
        <w:t xml:space="preserve"> </w:t>
      </w:r>
      <w:r w:rsidRPr="007C6C16">
        <w:t>This can be employed to finance working capital deficits</w:t>
      </w:r>
      <w:r w:rsidR="00932200" w:rsidRPr="007C6C16">
        <w:t>,</w:t>
      </w:r>
      <w:r w:rsidRPr="007C6C16">
        <w:t xml:space="preserve"> especially when the organization is going through operational cash crunches. But these options are prone to </w:t>
      </w:r>
      <w:r w:rsidR="00932200" w:rsidRPr="007C6C16">
        <w:t xml:space="preserve">a </w:t>
      </w:r>
      <w:r w:rsidRPr="007C6C16">
        <w:t xml:space="preserve">higher charge of interest </w:t>
      </w:r>
      <w:r w:rsidR="00932200" w:rsidRPr="007C6C16">
        <w:t xml:space="preserve">rate </w:t>
      </w:r>
      <w:r w:rsidRPr="007C6C16">
        <w:t>than a long</w:t>
      </w:r>
      <w:r w:rsidR="00932200" w:rsidRPr="007C6C16">
        <w:t>-</w:t>
      </w:r>
      <w:r w:rsidRPr="007C6C16">
        <w:t>term loan.</w:t>
      </w:r>
      <w:r w:rsidR="00793182" w:rsidRPr="007C6C16">
        <w:rPr>
          <w:b/>
          <w:bCs/>
        </w:rPr>
        <w:t xml:space="preserve"> </w:t>
      </w:r>
      <w:r w:rsidRPr="007C6C16">
        <w:t>Trade credit entails extending the payment period using short-term financing without charge</w:t>
      </w:r>
      <w:r w:rsidR="00932200" w:rsidRPr="007C6C16">
        <w:t>,</w:t>
      </w:r>
      <w:r w:rsidRPr="007C6C16">
        <w:t xml:space="preserve"> thereby increasing working capital</w:t>
      </w:r>
      <w:r w:rsidR="005814C2" w:rsidRPr="007C6C16">
        <w:t xml:space="preserve"> (Parrino et al., 2025)</w:t>
      </w:r>
      <w:r w:rsidRPr="007C6C16">
        <w:t>.</w:t>
      </w:r>
    </w:p>
    <w:p w14:paraId="3AEF757F" w14:textId="77777777" w:rsidR="0058121E" w:rsidRPr="007C6C16" w:rsidRDefault="0058121E" w:rsidP="007C6C16">
      <w:pPr>
        <w:spacing w:before="100" w:beforeAutospacing="1" w:after="100" w:afterAutospacing="1" w:line="360" w:lineRule="auto"/>
        <w:jc w:val="both"/>
        <w:rPr>
          <w:b/>
          <w:bCs/>
        </w:rPr>
      </w:pPr>
      <w:r w:rsidRPr="007C6C16">
        <w:rPr>
          <w:b/>
          <w:bCs/>
        </w:rPr>
        <w:t>Long-Term Financing:</w:t>
      </w:r>
    </w:p>
    <w:p w14:paraId="07C54E35" w14:textId="7D7A6815" w:rsidR="0058121E" w:rsidRPr="007C6C16" w:rsidRDefault="0058121E" w:rsidP="007C6C16">
      <w:pPr>
        <w:spacing w:before="100" w:beforeAutospacing="1" w:after="100" w:afterAutospacing="1" w:line="360" w:lineRule="auto"/>
        <w:jc w:val="both"/>
      </w:pPr>
      <w:r w:rsidRPr="007C6C16">
        <w:t>General Electronics ought to take a term loan also to make strategic investments or restructure. The financial burden that would be incurred in case of short</w:t>
      </w:r>
      <w:r w:rsidR="00932200" w:rsidRPr="007C6C16">
        <w:t>-</w:t>
      </w:r>
      <w:r w:rsidRPr="007C6C16">
        <w:t>term loans would be reduced since the interest rate on them is lower when compared to the long</w:t>
      </w:r>
      <w:r w:rsidR="00932200" w:rsidRPr="007C6C16">
        <w:t>-</w:t>
      </w:r>
      <w:r w:rsidRPr="007C6C16">
        <w:t>term loans.</w:t>
      </w:r>
      <w:r w:rsidR="00793182" w:rsidRPr="007C6C16">
        <w:t xml:space="preserve"> </w:t>
      </w:r>
      <w:r w:rsidRPr="007C6C16">
        <w:t>Bonds or Equity investments may be made to raise capital without any cash flow impact. Dilution of equity can</w:t>
      </w:r>
      <w:r w:rsidR="00932200" w:rsidRPr="007C6C16">
        <w:t>,</w:t>
      </w:r>
      <w:r w:rsidRPr="007C6C16">
        <w:t xml:space="preserve"> </w:t>
      </w:r>
      <w:r w:rsidR="00932200" w:rsidRPr="007C6C16">
        <w:t>however,</w:t>
      </w:r>
      <w:r w:rsidRPr="007C6C16">
        <w:t xml:space="preserve"> affect control, and giving out of bonds may raise the </w:t>
      </w:r>
      <w:r w:rsidR="00932200" w:rsidRPr="007C6C16">
        <w:t>long-term</w:t>
      </w:r>
      <w:r w:rsidRPr="007C6C16">
        <w:t xml:space="preserve"> debt.</w:t>
      </w:r>
    </w:p>
    <w:p w14:paraId="095A3018" w14:textId="321F4140" w:rsidR="00CE4009" w:rsidRPr="007C6C16" w:rsidRDefault="0058121E" w:rsidP="007C6C16">
      <w:pPr>
        <w:spacing w:before="100" w:beforeAutospacing="1" w:after="100" w:afterAutospacing="1" w:line="360" w:lineRule="auto"/>
        <w:jc w:val="both"/>
      </w:pPr>
      <w:r w:rsidRPr="007C6C16">
        <w:t xml:space="preserve">General Electronics must cut </w:t>
      </w:r>
      <w:r w:rsidR="00932200" w:rsidRPr="007C6C16">
        <w:t xml:space="preserve">its </w:t>
      </w:r>
      <w:r w:rsidRPr="007C6C16">
        <w:t>cash operating cycle to place it in a better liquidity position. In-better-inventory-turnover, tightening of credit policy, and extending payment by suppliers are some of the strategies that will help disengage cash. Regarding financing, General Electronics will need to balance between the short</w:t>
      </w:r>
      <w:r w:rsidR="00932200" w:rsidRPr="007C6C16">
        <w:t>-</w:t>
      </w:r>
      <w:r w:rsidRPr="007C6C16">
        <w:t>term form of financing and long</w:t>
      </w:r>
      <w:r w:rsidR="00932200" w:rsidRPr="007C6C16">
        <w:t>-</w:t>
      </w:r>
      <w:r w:rsidRPr="007C6C16">
        <w:t>term debt to make sure that it is sufficiently liquid without having to suffer the cost of huge interest expenses. Such a combination of strategies will play its role in stabilizing the financial state of the company in the short</w:t>
      </w:r>
      <w:r w:rsidR="00932200" w:rsidRPr="007C6C16">
        <w:t xml:space="preserve"> </w:t>
      </w:r>
      <w:r w:rsidRPr="007C6C16">
        <w:t>term and contribute to its emergence in the long</w:t>
      </w:r>
      <w:r w:rsidR="00932200" w:rsidRPr="007C6C16">
        <w:t xml:space="preserve"> </w:t>
      </w:r>
      <w:r w:rsidRPr="007C6C16">
        <w:t>term</w:t>
      </w:r>
      <w:r w:rsidR="005814C2" w:rsidRPr="007C6C16">
        <w:t xml:space="preserve"> (Cloyne et al., 2018)</w:t>
      </w:r>
      <w:r w:rsidR="00CE4009" w:rsidRPr="007C6C16">
        <w:t>.</w:t>
      </w:r>
    </w:p>
    <w:p w14:paraId="7FAFBD19" w14:textId="4CD3B07A" w:rsidR="00CE4009" w:rsidRPr="007C6C16" w:rsidRDefault="00793182" w:rsidP="007C6C16">
      <w:pPr>
        <w:pStyle w:val="Heading1"/>
        <w:spacing w:line="360" w:lineRule="auto"/>
        <w:jc w:val="both"/>
        <w:rPr>
          <w:rFonts w:ascii="Times New Roman" w:hAnsi="Times New Roman" w:cs="Times New Roman"/>
          <w:b/>
          <w:bCs/>
          <w:color w:val="auto"/>
          <w:sz w:val="24"/>
          <w:szCs w:val="24"/>
        </w:rPr>
      </w:pPr>
      <w:bookmarkStart w:id="16" w:name="_Toc214885157"/>
      <w:bookmarkStart w:id="17" w:name="_Toc214887497"/>
      <w:r w:rsidRPr="007C6C16">
        <w:rPr>
          <w:rFonts w:ascii="Times New Roman" w:hAnsi="Times New Roman" w:cs="Times New Roman"/>
          <w:b/>
          <w:bCs/>
          <w:color w:val="auto"/>
          <w:sz w:val="24"/>
          <w:szCs w:val="24"/>
        </w:rPr>
        <w:lastRenderedPageBreak/>
        <w:t xml:space="preserve">3. </w:t>
      </w:r>
      <w:r w:rsidR="00CE4009" w:rsidRPr="007C6C16">
        <w:rPr>
          <w:rFonts w:ascii="Times New Roman" w:hAnsi="Times New Roman" w:cs="Times New Roman"/>
          <w:b/>
          <w:bCs/>
          <w:color w:val="auto"/>
          <w:sz w:val="24"/>
          <w:szCs w:val="24"/>
        </w:rPr>
        <w:t>Strategic Financial Restructuring Plan</w:t>
      </w:r>
      <w:bookmarkEnd w:id="16"/>
      <w:bookmarkEnd w:id="17"/>
    </w:p>
    <w:p w14:paraId="515300D0" w14:textId="4A2BA026" w:rsidR="00BD7A0E" w:rsidRPr="007C6C16" w:rsidRDefault="00BD7A0E" w:rsidP="007C6C16">
      <w:pPr>
        <w:spacing w:before="100" w:beforeAutospacing="1" w:after="100" w:afterAutospacing="1" w:line="360" w:lineRule="auto"/>
        <w:jc w:val="both"/>
      </w:pPr>
      <w:r w:rsidRPr="007C6C16">
        <w:t>It is with a view to establishing a strategic financial restructuring plan, which can be carried out as Chief Financial Officer (CFO) of General Electronics, that seeks to establish, and implement a strategic financial restructuring plan which will not just increase shareholder value of the company, but will also provide the company with a better debt structure, as well as allowing it to respond to market challenges through its operations by ensuring that the financial congestion of the company is addressed. Because of the decline in the profitability ratios, the high level of leverage ratios and the liquidity issues surrounding the company, an effective restructuring strategy will prove very useful in their restoration to their feet and beckoning to long</w:t>
      </w:r>
      <w:r w:rsidR="00932200" w:rsidRPr="007C6C16">
        <w:t>-</w:t>
      </w:r>
      <w:r w:rsidRPr="007C6C16">
        <w:t>term prosperity.</w:t>
      </w:r>
    </w:p>
    <w:p w14:paraId="7853119D" w14:textId="01C5A5EA" w:rsidR="00BD7A0E" w:rsidRPr="007C6C16" w:rsidRDefault="00BD7A0E" w:rsidP="007C6C16">
      <w:pPr>
        <w:spacing w:before="100" w:beforeAutospacing="1" w:after="100" w:afterAutospacing="1" w:line="360" w:lineRule="auto"/>
        <w:jc w:val="both"/>
      </w:pPr>
      <w:r w:rsidRPr="007C6C16">
        <w:t xml:space="preserve">The General Electronics restructuring alternatives are divestiture, equity injection and merger. In this section, both choices are evaluated </w:t>
      </w:r>
      <w:r w:rsidR="00932200" w:rsidRPr="007C6C16">
        <w:t>based on</w:t>
      </w:r>
      <w:r w:rsidRPr="007C6C16">
        <w:t xml:space="preserve"> their potential impact on shareholder value, options in debt structure and flexibility of their operations and the international and ethical concepts such as taxation, currency risk, inflation and corporate social responsibility (CSR)</w:t>
      </w:r>
      <w:r w:rsidR="005814C2" w:rsidRPr="007C6C16">
        <w:t xml:space="preserve"> (</w:t>
      </w:r>
      <w:proofErr w:type="spellStart"/>
      <w:r w:rsidR="005814C2" w:rsidRPr="007C6C16">
        <w:t>Sofat</w:t>
      </w:r>
      <w:proofErr w:type="spellEnd"/>
      <w:r w:rsidR="005814C2" w:rsidRPr="007C6C16">
        <w:t xml:space="preserve"> &amp; Hiro, 2015)</w:t>
      </w:r>
      <w:r w:rsidRPr="007C6C16">
        <w:t>.</w:t>
      </w:r>
    </w:p>
    <w:p w14:paraId="25D79D03" w14:textId="56CF12DD" w:rsidR="00BD7A0E" w:rsidRPr="007C6C16" w:rsidRDefault="00BD7A0E" w:rsidP="007C6C16">
      <w:pPr>
        <w:pStyle w:val="Heading2"/>
        <w:spacing w:line="360" w:lineRule="auto"/>
        <w:jc w:val="both"/>
        <w:rPr>
          <w:rFonts w:ascii="Times New Roman" w:hAnsi="Times New Roman" w:cs="Times New Roman"/>
          <w:b/>
          <w:bCs/>
          <w:color w:val="auto"/>
          <w:sz w:val="24"/>
          <w:szCs w:val="24"/>
        </w:rPr>
      </w:pPr>
      <w:bookmarkStart w:id="18" w:name="_Toc214887498"/>
      <w:r w:rsidRPr="007C6C16">
        <w:rPr>
          <w:rFonts w:ascii="Times New Roman" w:hAnsi="Times New Roman" w:cs="Times New Roman"/>
          <w:b/>
          <w:bCs/>
          <w:color w:val="auto"/>
          <w:sz w:val="24"/>
          <w:szCs w:val="24"/>
        </w:rPr>
        <w:t>Divestiture</w:t>
      </w:r>
      <w:bookmarkEnd w:id="18"/>
    </w:p>
    <w:p w14:paraId="26D1A95A" w14:textId="711BADED" w:rsidR="00793182" w:rsidRPr="007C6C16" w:rsidRDefault="00BD7A0E" w:rsidP="007C6C16">
      <w:pPr>
        <w:spacing w:before="100" w:beforeAutospacing="1" w:after="100" w:afterAutospacing="1" w:line="360" w:lineRule="auto"/>
        <w:jc w:val="both"/>
      </w:pPr>
      <w:r w:rsidRPr="007C6C16">
        <w:t>The sale of properties, subsidiaries or business units is referred to as divestiture</w:t>
      </w:r>
      <w:r w:rsidR="00932200" w:rsidRPr="007C6C16">
        <w:t>.</w:t>
      </w:r>
      <w:r w:rsidRPr="007C6C16">
        <w:t xml:space="preserve"> </w:t>
      </w:r>
      <w:r w:rsidR="00932200" w:rsidRPr="007C6C16">
        <w:t>T</w:t>
      </w:r>
      <w:r w:rsidRPr="007C6C16">
        <w:t>his is done with an aim of simplifying the business operations, reducing or reversing the debt, re-aligning the business strategy of the company, etc. This might involve selling non-core assets or non-performing assets in the case of General Electronics as a way of raising capital.</w:t>
      </w:r>
    </w:p>
    <w:p w14:paraId="299A8364" w14:textId="3953A071" w:rsidR="00BD7A0E" w:rsidRPr="007C6C16" w:rsidRDefault="00BD7A0E" w:rsidP="007C6C16">
      <w:pPr>
        <w:spacing w:before="100" w:beforeAutospacing="1" w:after="100" w:afterAutospacing="1" w:line="360" w:lineRule="auto"/>
        <w:jc w:val="both"/>
      </w:pPr>
      <w:r w:rsidRPr="007C6C16">
        <w:t>Asset sales can cause an immediate inflow of cash</w:t>
      </w:r>
      <w:r w:rsidR="00932200" w:rsidRPr="007C6C16">
        <w:t>,</w:t>
      </w:r>
      <w:r w:rsidRPr="007C6C16">
        <w:t xml:space="preserve"> and that can improve liquidity and reduce the company</w:t>
      </w:r>
      <w:r w:rsidR="00932200" w:rsidRPr="007C6C16">
        <w:t>’s</w:t>
      </w:r>
      <w:r w:rsidRPr="007C6C16">
        <w:t xml:space="preserve"> debt levels. According to General Electronics, the total liabilities </w:t>
      </w:r>
      <w:r w:rsidR="00932200" w:rsidRPr="007C6C16">
        <w:t>wer</w:t>
      </w:r>
      <w:r w:rsidRPr="007C6C16">
        <w:t xml:space="preserve">e PS170,249million in 2024. The sale of assets, totaling PS30 million to PS50 </w:t>
      </w:r>
      <w:r w:rsidR="00932200" w:rsidRPr="007C6C16">
        <w:t>million, may be performed with the purpose of reducing this liability and lowering the interest payments and increasing</w:t>
      </w:r>
      <w:r w:rsidRPr="007C6C16">
        <w:t xml:space="preserve"> the profitability. The resultant lower financial charge is likely to result in a first-mover premium to </w:t>
      </w:r>
      <w:r w:rsidR="00932200" w:rsidRPr="007C6C16">
        <w:t>stockholders and</w:t>
      </w:r>
      <w:r w:rsidRPr="007C6C16">
        <w:t xml:space="preserve"> would be offset </w:t>
      </w:r>
      <w:r w:rsidR="00932200" w:rsidRPr="007C6C16">
        <w:t>if</w:t>
      </w:r>
      <w:r w:rsidRPr="007C6C16">
        <w:t xml:space="preserve"> the company loses valuable assets</w:t>
      </w:r>
      <w:r w:rsidR="00932200" w:rsidRPr="007C6C16">
        <w:t>,</w:t>
      </w:r>
      <w:r w:rsidRPr="007C6C16">
        <w:t xml:space="preserve"> such as income-generating assets.</w:t>
      </w:r>
      <w:r w:rsidR="00793182" w:rsidRPr="007C6C16">
        <w:t xml:space="preserve"> </w:t>
      </w:r>
      <w:r w:rsidRPr="007C6C16">
        <w:t>Debt can be settled by proceeds attained on a divestiture</w:t>
      </w:r>
      <w:r w:rsidR="00932200" w:rsidRPr="007C6C16">
        <w:t>,</w:t>
      </w:r>
      <w:r w:rsidRPr="007C6C16">
        <w:t xml:space="preserve"> especially a high percentage interest debt maturing less than a year, which stood at PS36,960 million in 2024. Producing fewer short-term debts might help to improve its debt-to-equity ratio (0.11 in 2024). It </w:t>
      </w:r>
      <w:r w:rsidRPr="007C6C16">
        <w:lastRenderedPageBreak/>
        <w:t>would decrease the reliance of the company on external financing as well as its financing risk.</w:t>
      </w:r>
      <w:r w:rsidR="00793182" w:rsidRPr="007C6C16">
        <w:t xml:space="preserve"> </w:t>
      </w:r>
      <w:r w:rsidRPr="007C6C16">
        <w:t xml:space="preserve">The organization would be </w:t>
      </w:r>
      <w:r w:rsidR="00932200" w:rsidRPr="007C6C16">
        <w:t>able</w:t>
      </w:r>
      <w:r w:rsidRPr="007C6C16">
        <w:t xml:space="preserve"> to provide operational flexibility by selling non-core operations or assets</w:t>
      </w:r>
      <w:r w:rsidR="00932200" w:rsidRPr="007C6C16">
        <w:t>,</w:t>
      </w:r>
      <w:r w:rsidRPr="007C6C16">
        <w:t xml:space="preserve"> as the organization could focus on the areas that offered high profitability. Divestitures, however, pose a threat to the loss of a competitive advantage </w:t>
      </w:r>
      <w:r w:rsidR="00932200" w:rsidRPr="007C6C16">
        <w:t>by</w:t>
      </w:r>
      <w:r w:rsidRPr="007C6C16">
        <w:t xml:space="preserve"> hindering economies of scale, market share, and brand name recognition. </w:t>
      </w:r>
      <w:r w:rsidR="00932200" w:rsidRPr="007C6C16">
        <w:t>To</w:t>
      </w:r>
      <w:r w:rsidRPr="007C6C16">
        <w:t xml:space="preserve"> explain, when General </w:t>
      </w:r>
      <w:r w:rsidR="00932200" w:rsidRPr="007C6C16">
        <w:t>E</w:t>
      </w:r>
      <w:r w:rsidRPr="007C6C16">
        <w:t xml:space="preserve">lectronics plans to sell off a manufacturing plant that produces 10 per cent of overall sales, the loss will lower the overall sales and </w:t>
      </w:r>
      <w:r w:rsidR="00932200" w:rsidRPr="007C6C16">
        <w:t>result</w:t>
      </w:r>
      <w:r w:rsidRPr="007C6C16">
        <w:t xml:space="preserve"> in low efficiency in future operations.</w:t>
      </w:r>
    </w:p>
    <w:p w14:paraId="27AF4FCC" w14:textId="7104DAE0" w:rsidR="00BD7A0E" w:rsidRPr="007C6C16" w:rsidRDefault="00BD7A0E" w:rsidP="007C6C16">
      <w:pPr>
        <w:pStyle w:val="ListParagraph"/>
        <w:numPr>
          <w:ilvl w:val="0"/>
          <w:numId w:val="29"/>
        </w:numPr>
        <w:spacing w:before="100" w:beforeAutospacing="1" w:after="100" w:afterAutospacing="1" w:line="360" w:lineRule="auto"/>
        <w:jc w:val="both"/>
        <w:rPr>
          <w:rFonts w:ascii="Times New Roman" w:eastAsia="Times New Roman" w:hAnsi="Times New Roman" w:cs="Times New Roman"/>
          <w:b/>
          <w:bCs/>
          <w:kern w:val="0"/>
          <w14:ligatures w14:val="none"/>
        </w:rPr>
      </w:pPr>
      <w:r w:rsidRPr="007C6C16">
        <w:rPr>
          <w:rFonts w:ascii="Times New Roman" w:eastAsia="Times New Roman" w:hAnsi="Times New Roman" w:cs="Times New Roman"/>
          <w:b/>
          <w:bCs/>
          <w:kern w:val="0"/>
          <w14:ligatures w14:val="none"/>
        </w:rPr>
        <w:t>International and Ethical Consider:</w:t>
      </w:r>
    </w:p>
    <w:p w14:paraId="422DD3B8" w14:textId="114E7262" w:rsidR="00BD7A0E" w:rsidRPr="007C6C16" w:rsidRDefault="00BD7A0E" w:rsidP="007C6C16">
      <w:pPr>
        <w:spacing w:before="100" w:beforeAutospacing="1" w:after="100" w:afterAutospacing="1" w:line="360" w:lineRule="auto"/>
        <w:jc w:val="both"/>
      </w:pPr>
      <w:r w:rsidRPr="007C6C16">
        <w:t xml:space="preserve">A divestiture may draw capital gains taxes due to the taxation levied </w:t>
      </w:r>
      <w:r w:rsidR="00932200" w:rsidRPr="007C6C16">
        <w:t>o</w:t>
      </w:r>
      <w:r w:rsidRPr="007C6C16">
        <w:t>n capital gains bas</w:t>
      </w:r>
      <w:r w:rsidR="00932200" w:rsidRPr="007C6C16">
        <w:t>ed</w:t>
      </w:r>
      <w:r w:rsidRPr="007C6C16">
        <w:t xml:space="preserve"> on the place where the sale of the asset is being done. The firm would need to consider the impact these taxes would have on the net proceeds of sale.</w:t>
      </w:r>
      <w:r w:rsidR="00793182" w:rsidRPr="007C6C16">
        <w:t xml:space="preserve"> </w:t>
      </w:r>
      <w:r w:rsidRPr="007C6C16">
        <w:t xml:space="preserve">In case General Electronics sells assets in foreign markets, it would be affected by currency changes. In taking an example, when the company sells a factory plant in China, the sales in the Renminbi (RMB) may be favorable </w:t>
      </w:r>
      <w:r w:rsidR="00932200" w:rsidRPr="007C6C16">
        <w:t xml:space="preserve">compared </w:t>
      </w:r>
      <w:r w:rsidRPr="007C6C16">
        <w:t>to the depreciation of the currency against the British pound (GBP).</w:t>
      </w:r>
      <w:r w:rsidR="00793182" w:rsidRPr="007C6C16">
        <w:t xml:space="preserve"> </w:t>
      </w:r>
      <w:r w:rsidRPr="007C6C16">
        <w:t xml:space="preserve">The company should listen to </w:t>
      </w:r>
      <w:r w:rsidR="00932200" w:rsidRPr="007C6C16">
        <w:t xml:space="preserve">the </w:t>
      </w:r>
      <w:r w:rsidRPr="007C6C16">
        <w:t xml:space="preserve">legal implications of selling properties that may affect the employees, the local communities, and the stakeholders. The CSR policies would then need to ensure that they would not create the loss of any job or </w:t>
      </w:r>
      <w:r w:rsidR="00932200" w:rsidRPr="007C6C16">
        <w:t xml:space="preserve">that </w:t>
      </w:r>
      <w:r w:rsidRPr="007C6C16">
        <w:t>environmental standards w</w:t>
      </w:r>
      <w:r w:rsidR="00932200" w:rsidRPr="007C6C16">
        <w:t>ould</w:t>
      </w:r>
      <w:r w:rsidRPr="007C6C16">
        <w:t xml:space="preserve"> not </w:t>
      </w:r>
      <w:r w:rsidR="00932200" w:rsidRPr="007C6C16">
        <w:t xml:space="preserve">be </w:t>
      </w:r>
      <w:r w:rsidRPr="007C6C16">
        <w:t>negatively impacted because of any sale</w:t>
      </w:r>
      <w:r w:rsidR="005814C2" w:rsidRPr="007C6C16">
        <w:t xml:space="preserve"> (</w:t>
      </w:r>
      <w:proofErr w:type="spellStart"/>
      <w:r w:rsidR="005814C2" w:rsidRPr="007C6C16">
        <w:t>Delkhosh</w:t>
      </w:r>
      <w:proofErr w:type="spellEnd"/>
      <w:r w:rsidR="005814C2" w:rsidRPr="007C6C16">
        <w:t xml:space="preserve"> &amp; Mousavi, 2016)</w:t>
      </w:r>
      <w:r w:rsidR="00CE4009" w:rsidRPr="007C6C16">
        <w:t>.</w:t>
      </w:r>
    </w:p>
    <w:p w14:paraId="367D0092" w14:textId="7E556550" w:rsidR="00CE4009" w:rsidRPr="007C6C16" w:rsidRDefault="00CE4009" w:rsidP="007C6C16">
      <w:pPr>
        <w:pStyle w:val="Heading2"/>
        <w:spacing w:line="360" w:lineRule="auto"/>
        <w:jc w:val="both"/>
        <w:rPr>
          <w:rFonts w:ascii="Times New Roman" w:hAnsi="Times New Roman" w:cs="Times New Roman"/>
          <w:b/>
          <w:bCs/>
          <w:color w:val="auto"/>
          <w:sz w:val="24"/>
          <w:szCs w:val="24"/>
        </w:rPr>
      </w:pPr>
      <w:bookmarkStart w:id="19" w:name="_Toc214887499"/>
      <w:r w:rsidRPr="007C6C16">
        <w:rPr>
          <w:rFonts w:ascii="Times New Roman" w:hAnsi="Times New Roman" w:cs="Times New Roman"/>
          <w:b/>
          <w:bCs/>
          <w:color w:val="auto"/>
          <w:sz w:val="24"/>
          <w:szCs w:val="24"/>
        </w:rPr>
        <w:t>Merger</w:t>
      </w:r>
      <w:bookmarkEnd w:id="19"/>
    </w:p>
    <w:p w14:paraId="714AD14B" w14:textId="047A3710" w:rsidR="00BD7A0E" w:rsidRPr="007C6C16" w:rsidRDefault="00BD7A0E" w:rsidP="007C6C16">
      <w:pPr>
        <w:spacing w:before="100" w:beforeAutospacing="1" w:after="100" w:afterAutospacing="1" w:line="360" w:lineRule="auto"/>
        <w:jc w:val="both"/>
      </w:pPr>
      <w:r w:rsidRPr="007C6C16">
        <w:t xml:space="preserve">Company integration can help General Electronics to share resources, market share and economies of scale. The best available option of a merger partner would be </w:t>
      </w:r>
      <w:r w:rsidR="00932200" w:rsidRPr="007C6C16">
        <w:t>an</w:t>
      </w:r>
      <w:r w:rsidRPr="007C6C16">
        <w:t>other firm in a complementary industry</w:t>
      </w:r>
      <w:r w:rsidR="00932200" w:rsidRPr="007C6C16">
        <w:t>,</w:t>
      </w:r>
      <w:r w:rsidRPr="007C6C16">
        <w:t xml:space="preserve"> such as a competitor that is highly profitable and </w:t>
      </w:r>
      <w:r w:rsidR="00932200" w:rsidRPr="007C6C16">
        <w:t xml:space="preserve">has </w:t>
      </w:r>
      <w:r w:rsidRPr="007C6C16">
        <w:t>low operational competency.</w:t>
      </w:r>
      <w:r w:rsidR="00793182" w:rsidRPr="007C6C16">
        <w:t xml:space="preserve"> </w:t>
      </w:r>
      <w:r w:rsidRPr="007C6C16">
        <w:t xml:space="preserve">A merger may lead to the enhancement of shareholder value through the creation of a stronger and a much more financially stable company. To illustrate, under a general case that the merging of General Electric Corporation and a firm </w:t>
      </w:r>
      <w:r w:rsidR="00932200" w:rsidRPr="007C6C16">
        <w:t>with</w:t>
      </w:r>
      <w:r w:rsidRPr="007C6C16">
        <w:t xml:space="preserve"> </w:t>
      </w:r>
      <w:r w:rsidR="00932200" w:rsidRPr="007C6C16">
        <w:t xml:space="preserve">a </w:t>
      </w:r>
      <w:r w:rsidRPr="007C6C16">
        <w:t>price-earnings (P/E) ratio of 10 would be taking place, the new entity can benefit due to the increase in valuation. It can also enable the shareholders to pay benefits in future cost of synergies (e.g.</w:t>
      </w:r>
      <w:r w:rsidR="00932200" w:rsidRPr="007C6C16">
        <w:t>,</w:t>
      </w:r>
      <w:r w:rsidRPr="007C6C16">
        <w:t xml:space="preserve"> lower cost of procurement, R and D cost and marketing cost), leading to greater growth in terms of margin and in the long run.</w:t>
      </w:r>
    </w:p>
    <w:p w14:paraId="59904AC8" w14:textId="642DB927" w:rsidR="00932200" w:rsidRPr="007C6C16" w:rsidRDefault="00BD7A0E" w:rsidP="007C6C16">
      <w:pPr>
        <w:spacing w:before="100" w:beforeAutospacing="1" w:after="100" w:afterAutospacing="1" w:line="360" w:lineRule="auto"/>
        <w:jc w:val="both"/>
      </w:pPr>
      <w:r w:rsidRPr="007C6C16">
        <w:lastRenderedPageBreak/>
        <w:t xml:space="preserve">The debt structure would also most likely increase in </w:t>
      </w:r>
      <w:r w:rsidR="00932200" w:rsidRPr="007C6C16">
        <w:t xml:space="preserve">the </w:t>
      </w:r>
      <w:r w:rsidRPr="007C6C16">
        <w:t>case of a merger</w:t>
      </w:r>
      <w:r w:rsidR="00932200" w:rsidRPr="007C6C16">
        <w:t>,</w:t>
      </w:r>
      <w:r w:rsidRPr="007C6C16">
        <w:t xml:space="preserve"> as the new companies would need to issue more bonds or borrow more money to finance the merger. However, the resulting bigger merged business has the possibility of securing better</w:t>
      </w:r>
      <w:r w:rsidR="00932200" w:rsidRPr="007C6C16">
        <w:t>,</w:t>
      </w:r>
      <w:r w:rsidRPr="007C6C16">
        <w:t xml:space="preserve"> more advantageous debt facilities, which reduce the interest rates </w:t>
      </w:r>
      <w:r w:rsidR="00932200" w:rsidRPr="007C6C16">
        <w:t>because of</w:t>
      </w:r>
      <w:r w:rsidRPr="007C6C16">
        <w:t xml:space="preserve"> favorable credit appropriateness. With an opportunity to avail themselves of the partner whose financial condition was more or </w:t>
      </w:r>
      <w:r w:rsidR="00932200" w:rsidRPr="007C6C16">
        <w:t>less strong</w:t>
      </w:r>
      <w:r w:rsidRPr="007C6C16">
        <w:t xml:space="preserve">, General Electronics would be able to bargain </w:t>
      </w:r>
      <w:r w:rsidR="00932200" w:rsidRPr="007C6C16">
        <w:t>for</w:t>
      </w:r>
      <w:r w:rsidRPr="007C6C16">
        <w:t xml:space="preserve"> </w:t>
      </w:r>
      <w:r w:rsidR="00932200" w:rsidRPr="007C6C16">
        <w:t xml:space="preserve">a </w:t>
      </w:r>
      <w:r w:rsidRPr="007C6C16">
        <w:t>lower debt-to-equity ratio after the merger.</w:t>
      </w:r>
      <w:r w:rsidR="00793182" w:rsidRPr="007C6C16">
        <w:t xml:space="preserve"> </w:t>
      </w:r>
      <w:r w:rsidRPr="007C6C16">
        <w:t xml:space="preserve">A merger would give it incredibly great operational flexibility through accessibility to more resources, a larger market base, and economies of scale. </w:t>
      </w:r>
    </w:p>
    <w:p w14:paraId="31D04D5E" w14:textId="1DDD9B02" w:rsidR="00BD7A0E" w:rsidRPr="007C6C16" w:rsidRDefault="00BD7A0E" w:rsidP="007C6C16">
      <w:pPr>
        <w:spacing w:before="100" w:beforeAutospacing="1" w:after="100" w:afterAutospacing="1" w:line="360" w:lineRule="auto"/>
        <w:jc w:val="both"/>
        <w:rPr>
          <w:b/>
          <w:bCs/>
        </w:rPr>
      </w:pPr>
      <w:r w:rsidRPr="007C6C16">
        <w:rPr>
          <w:b/>
          <w:bCs/>
        </w:rPr>
        <w:t>International and Ethical concerns:</w:t>
      </w:r>
    </w:p>
    <w:p w14:paraId="3D922354" w14:textId="20FD25F0" w:rsidR="00CE4009" w:rsidRPr="007C6C16" w:rsidRDefault="00BD7A0E" w:rsidP="007C6C16">
      <w:pPr>
        <w:spacing w:before="100" w:beforeAutospacing="1" w:after="100" w:afterAutospacing="1" w:line="360" w:lineRule="auto"/>
        <w:jc w:val="both"/>
      </w:pPr>
      <w:r w:rsidRPr="007C6C16">
        <w:t>Taxation in a merger varies according to the kind of deal (e.g.</w:t>
      </w:r>
      <w:r w:rsidR="00932200" w:rsidRPr="007C6C16">
        <w:t>,</w:t>
      </w:r>
      <w:r w:rsidRPr="007C6C16">
        <w:t xml:space="preserve"> as a stock-to-stock deal or a cash acquisition). The company must ensure that the merger is tax</w:t>
      </w:r>
      <w:r w:rsidR="00932200" w:rsidRPr="007C6C16">
        <w:t>-</w:t>
      </w:r>
      <w:r w:rsidRPr="007C6C16">
        <w:t>efficient</w:t>
      </w:r>
      <w:r w:rsidR="00932200" w:rsidRPr="007C6C16">
        <w:t>,</w:t>
      </w:r>
      <w:r w:rsidRPr="007C6C16">
        <w:t xml:space="preserve"> particularly in the adoption of foreign companies. Indicatively, a cross</w:t>
      </w:r>
      <w:r w:rsidR="00932200" w:rsidRPr="007C6C16">
        <w:t>-</w:t>
      </w:r>
      <w:r w:rsidRPr="007C6C16">
        <w:t>border merger with a company in a low</w:t>
      </w:r>
      <w:r w:rsidR="00932200" w:rsidRPr="007C6C16">
        <w:t>-</w:t>
      </w:r>
      <w:r w:rsidRPr="007C6C16">
        <w:t>tax market can help to reduce tax.</w:t>
      </w:r>
      <w:r w:rsidR="00793182" w:rsidRPr="007C6C16">
        <w:t xml:space="preserve"> </w:t>
      </w:r>
      <w:r w:rsidRPr="007C6C16">
        <w:t xml:space="preserve">When the merger </w:t>
      </w:r>
      <w:r w:rsidR="00932200" w:rsidRPr="007C6C16">
        <w:t>partner</w:t>
      </w:r>
      <w:r w:rsidRPr="007C6C16">
        <w:t xml:space="preserve"> is not in the same nation, the progressions in the currency rates could affect the worth of the transaction. As an example, General Electronics would be subjected to </w:t>
      </w:r>
      <w:r w:rsidR="00932200" w:rsidRPr="007C6C16">
        <w:t xml:space="preserve">the </w:t>
      </w:r>
      <w:r w:rsidRPr="007C6C16">
        <w:t>general risk of the USD/GBP to the exchange rate in the event of a merger between the organization and an organization in the U.S.</w:t>
      </w:r>
      <w:r w:rsidR="00793182" w:rsidRPr="007C6C16">
        <w:t xml:space="preserve"> </w:t>
      </w:r>
      <w:r w:rsidRPr="007C6C16">
        <w:t xml:space="preserve">Mergers can have </w:t>
      </w:r>
      <w:r w:rsidR="00932200" w:rsidRPr="007C6C16">
        <w:t>grave ethical consequences,</w:t>
      </w:r>
      <w:r w:rsidRPr="007C6C16">
        <w:t xml:space="preserve"> especially when it comes down to the welfare of the employees</w:t>
      </w:r>
      <w:r w:rsidR="00932200" w:rsidRPr="007C6C16">
        <w:t xml:space="preserve"> </w:t>
      </w:r>
      <w:r w:rsidR="005814C2" w:rsidRPr="007C6C16">
        <w:t>(Liu, 2010)</w:t>
      </w:r>
      <w:r w:rsidRPr="007C6C16">
        <w:t>.</w:t>
      </w:r>
    </w:p>
    <w:p w14:paraId="2A621C1E" w14:textId="0B952C26" w:rsidR="00CE4009" w:rsidRPr="007C6C16" w:rsidRDefault="00CE4009" w:rsidP="007C6C16">
      <w:pPr>
        <w:pStyle w:val="Heading2"/>
        <w:spacing w:line="360" w:lineRule="auto"/>
        <w:jc w:val="both"/>
        <w:rPr>
          <w:rFonts w:ascii="Times New Roman" w:hAnsi="Times New Roman" w:cs="Times New Roman"/>
          <w:b/>
          <w:bCs/>
          <w:color w:val="auto"/>
          <w:sz w:val="24"/>
          <w:szCs w:val="24"/>
        </w:rPr>
      </w:pPr>
      <w:bookmarkStart w:id="20" w:name="_Toc214887500"/>
      <w:r w:rsidRPr="007C6C16">
        <w:rPr>
          <w:rFonts w:ascii="Times New Roman" w:hAnsi="Times New Roman" w:cs="Times New Roman"/>
          <w:b/>
          <w:bCs/>
          <w:color w:val="auto"/>
          <w:sz w:val="24"/>
          <w:szCs w:val="24"/>
        </w:rPr>
        <w:t>Equity Injection</w:t>
      </w:r>
      <w:bookmarkEnd w:id="20"/>
    </w:p>
    <w:p w14:paraId="28083014" w14:textId="07A1F7EE" w:rsidR="00BD7A0E" w:rsidRPr="007C6C16" w:rsidRDefault="00BD7A0E" w:rsidP="007C6C16">
      <w:pPr>
        <w:spacing w:line="360" w:lineRule="auto"/>
        <w:jc w:val="both"/>
      </w:pPr>
      <w:r w:rsidRPr="007C6C16">
        <w:t xml:space="preserve">Equity injection involves raising funds in </w:t>
      </w:r>
      <w:r w:rsidR="00932200" w:rsidRPr="007C6C16">
        <w:t xml:space="preserve">the </w:t>
      </w:r>
      <w:r w:rsidRPr="007C6C16">
        <w:t>form of new shares to the existing or new investors. This could help General Electronics to reduce its debt and increase liquidity.</w:t>
      </w:r>
    </w:p>
    <w:p w14:paraId="0E8E02B2" w14:textId="7B7C5512" w:rsidR="00BD7A0E" w:rsidRPr="007C6C16" w:rsidRDefault="00BD7A0E" w:rsidP="007C6C16">
      <w:pPr>
        <w:spacing w:line="360" w:lineRule="auto"/>
        <w:jc w:val="both"/>
      </w:pPr>
      <w:r w:rsidRPr="007C6C16">
        <w:t xml:space="preserve">In an equity injection, the current shareholders would lose some share of ownership and thus would be able to cut down on their share of ownership and control in the company. The high capital </w:t>
      </w:r>
      <w:r w:rsidR="00932200" w:rsidRPr="007C6C16">
        <w:t>can, however, stabilize the company by reducing the debt, and this can reap long-term benefits</w:t>
      </w:r>
      <w:r w:rsidRPr="007C6C16">
        <w:t xml:space="preserve"> in profitability and growth. Provided that General Electronics issued new shares to raise PS50 million, it would be able to settle high</w:t>
      </w:r>
      <w:r w:rsidR="00932200" w:rsidRPr="007C6C16">
        <w:t>-</w:t>
      </w:r>
      <w:r w:rsidRPr="007C6C16">
        <w:t>interest debts and improve its liquidity</w:t>
      </w:r>
      <w:r w:rsidR="00932200" w:rsidRPr="007C6C16">
        <w:t>,</w:t>
      </w:r>
      <w:r w:rsidRPr="007C6C16">
        <w:t xml:space="preserve"> </w:t>
      </w:r>
      <w:r w:rsidR="00932200" w:rsidRPr="007C6C16">
        <w:t>which</w:t>
      </w:r>
      <w:r w:rsidRPr="007C6C16">
        <w:t xml:space="preserve"> could counter short-term dilution.</w:t>
      </w:r>
      <w:r w:rsidR="00793182" w:rsidRPr="007C6C16">
        <w:t xml:space="preserve"> </w:t>
      </w:r>
      <w:r w:rsidRPr="007C6C16">
        <w:t>With the injection of equity, there would be an increase in the debt-equity ratio of the firm</w:t>
      </w:r>
      <w:r w:rsidR="00932200" w:rsidRPr="007C6C16">
        <w:t>,</w:t>
      </w:r>
      <w:r w:rsidRPr="007C6C16">
        <w:t xml:space="preserve"> resulting in decreased reliance on debt. This would mitigate the risk of finance and would make General Electronics more attractive to subsequent lenders, which would have a beneficial impact on the borrowing benefits in the future.</w:t>
      </w:r>
    </w:p>
    <w:p w14:paraId="0BA37E2D" w14:textId="77777777" w:rsidR="00793182" w:rsidRPr="007C6C16" w:rsidRDefault="00793182" w:rsidP="007C6C16">
      <w:pPr>
        <w:pStyle w:val="ListParagraph"/>
        <w:numPr>
          <w:ilvl w:val="0"/>
          <w:numId w:val="29"/>
        </w:numPr>
        <w:spacing w:before="100" w:beforeAutospacing="1" w:after="100" w:afterAutospacing="1" w:line="360" w:lineRule="auto"/>
        <w:jc w:val="both"/>
        <w:rPr>
          <w:rFonts w:ascii="Times New Roman" w:eastAsia="Times New Roman" w:hAnsi="Times New Roman" w:cs="Times New Roman"/>
          <w:b/>
          <w:bCs/>
          <w:kern w:val="0"/>
          <w14:ligatures w14:val="none"/>
        </w:rPr>
      </w:pPr>
      <w:r w:rsidRPr="007C6C16">
        <w:rPr>
          <w:rFonts w:ascii="Times New Roman" w:eastAsia="Times New Roman" w:hAnsi="Times New Roman" w:cs="Times New Roman"/>
          <w:b/>
          <w:bCs/>
          <w:kern w:val="0"/>
          <w14:ligatures w14:val="none"/>
        </w:rPr>
        <w:lastRenderedPageBreak/>
        <w:t>International and Ethical concerns:</w:t>
      </w:r>
    </w:p>
    <w:p w14:paraId="14D2FAA8" w14:textId="1A2C2D43" w:rsidR="00BD7A0E" w:rsidRPr="007C6C16" w:rsidRDefault="00BD7A0E" w:rsidP="007C6C16">
      <w:pPr>
        <w:spacing w:line="360" w:lineRule="auto"/>
        <w:jc w:val="both"/>
      </w:pPr>
      <w:r w:rsidRPr="007C6C16">
        <w:t>The equity injection must not incur tax liabilities of the company. However, any additional profits that may be made by investors will be taxed under capital gains tax.</w:t>
      </w:r>
    </w:p>
    <w:p w14:paraId="12263C96" w14:textId="0A129114" w:rsidR="00CE4009" w:rsidRPr="007C6C16" w:rsidRDefault="00793182" w:rsidP="007C6C16">
      <w:pPr>
        <w:spacing w:line="360" w:lineRule="auto"/>
        <w:jc w:val="both"/>
      </w:pPr>
      <w:r w:rsidRPr="007C6C16">
        <w:t xml:space="preserve">In </w:t>
      </w:r>
      <w:r w:rsidR="00BD7A0E" w:rsidRPr="007C6C16">
        <w:t>the case of the new investors being foreign</w:t>
      </w:r>
      <w:r w:rsidR="00932200" w:rsidRPr="007C6C16">
        <w:t>,</w:t>
      </w:r>
      <w:r w:rsidR="00BD7A0E" w:rsidRPr="007C6C16">
        <w:t xml:space="preserve"> the currency variations can affect the amount raised in GBP. General Electronics must consider the risks of exchange rates in increasing foreign investor equity.</w:t>
      </w:r>
      <w:r w:rsidRPr="007C6C16">
        <w:t xml:space="preserve"> </w:t>
      </w:r>
      <w:r w:rsidR="00BD7A0E" w:rsidRPr="007C6C16">
        <w:t>The company would ensure that it observes its CSR commitments during the equity raise, particularly regarding the concern of making sure that all shareholders equally share and that impacts in any new market are avoided</w:t>
      </w:r>
      <w:r w:rsidR="00932200" w:rsidRPr="007C6C16">
        <w:t>,</w:t>
      </w:r>
      <w:r w:rsidR="00BD7A0E" w:rsidRPr="007C6C16">
        <w:t xml:space="preserve"> among others</w:t>
      </w:r>
      <w:r w:rsidR="005814C2" w:rsidRPr="007C6C16">
        <w:t xml:space="preserve"> (Adi, 2023)</w:t>
      </w:r>
      <w:r w:rsidR="00BD7A0E" w:rsidRPr="007C6C16">
        <w:t>.</w:t>
      </w:r>
    </w:p>
    <w:p w14:paraId="6E7A2830" w14:textId="72621DCE" w:rsidR="0058121E" w:rsidRPr="007C6C16" w:rsidRDefault="007C6C16" w:rsidP="007C6C16">
      <w:pPr>
        <w:pStyle w:val="Heading1"/>
        <w:spacing w:line="360" w:lineRule="auto"/>
        <w:jc w:val="both"/>
        <w:rPr>
          <w:rFonts w:ascii="Times New Roman" w:hAnsi="Times New Roman" w:cs="Times New Roman"/>
          <w:b/>
          <w:bCs/>
          <w:color w:val="auto"/>
          <w:sz w:val="24"/>
          <w:szCs w:val="24"/>
        </w:rPr>
      </w:pPr>
      <w:bookmarkStart w:id="21" w:name="_Toc214885158"/>
      <w:bookmarkStart w:id="22" w:name="_Toc214887501"/>
      <w:r w:rsidRPr="007C6C16">
        <w:rPr>
          <w:rFonts w:ascii="Times New Roman" w:hAnsi="Times New Roman" w:cs="Times New Roman"/>
          <w:b/>
          <w:bCs/>
          <w:color w:val="auto"/>
          <w:sz w:val="24"/>
          <w:szCs w:val="24"/>
        </w:rPr>
        <w:t xml:space="preserve">4. </w:t>
      </w:r>
      <w:r w:rsidR="0058121E" w:rsidRPr="007C6C16">
        <w:rPr>
          <w:rFonts w:ascii="Times New Roman" w:hAnsi="Times New Roman" w:cs="Times New Roman"/>
          <w:b/>
          <w:bCs/>
          <w:color w:val="auto"/>
          <w:sz w:val="24"/>
          <w:szCs w:val="24"/>
        </w:rPr>
        <w:t>Investment Appraisal and Capital Budgeting</w:t>
      </w:r>
      <w:bookmarkEnd w:id="21"/>
      <w:bookmarkEnd w:id="22"/>
    </w:p>
    <w:p w14:paraId="7CA19BBE" w14:textId="4A81F42C" w:rsidR="00BD7A0E" w:rsidRPr="007C6C16" w:rsidRDefault="00BD7A0E" w:rsidP="007C6C16">
      <w:pPr>
        <w:spacing w:before="100" w:beforeAutospacing="1" w:after="100" w:afterAutospacing="1" w:line="360" w:lineRule="auto"/>
        <w:jc w:val="both"/>
        <w:outlineLvl w:val="3"/>
      </w:pPr>
      <w:r w:rsidRPr="007C6C16">
        <w:t>The companies invest by using different financial quantifications in a bid to identify and choose the top-most prospects. These include Payback Period (PBP), Accounting rate of return (ARR), Net Present Value (NPV), Profitability Index (PI) and Internal rate of return (IRR). This section will also analyze three investment projects that were proposed to be carried out by General Electronics</w:t>
      </w:r>
      <w:r w:rsidR="00932200" w:rsidRPr="007C6C16">
        <w:t>,</w:t>
      </w:r>
      <w:r w:rsidRPr="007C6C16">
        <w:t xml:space="preserve"> and finally make the decision by alternating between capital rationing constraints and the results of the different appraisal techniques.</w:t>
      </w:r>
    </w:p>
    <w:p w14:paraId="5EE0CC92" w14:textId="77777777" w:rsidR="00BD7A0E" w:rsidRPr="007C6C16" w:rsidRDefault="00BD7A0E" w:rsidP="007C6C16">
      <w:pPr>
        <w:pStyle w:val="Heading2"/>
        <w:spacing w:line="360" w:lineRule="auto"/>
        <w:jc w:val="both"/>
        <w:rPr>
          <w:rFonts w:ascii="Times New Roman" w:hAnsi="Times New Roman" w:cs="Times New Roman"/>
          <w:b/>
          <w:bCs/>
          <w:color w:val="auto"/>
          <w:sz w:val="24"/>
          <w:szCs w:val="24"/>
        </w:rPr>
      </w:pPr>
      <w:bookmarkStart w:id="23" w:name="_Toc214887502"/>
      <w:r w:rsidRPr="007C6C16">
        <w:rPr>
          <w:rFonts w:ascii="Times New Roman" w:hAnsi="Times New Roman" w:cs="Times New Roman"/>
          <w:b/>
          <w:bCs/>
          <w:color w:val="auto"/>
          <w:sz w:val="24"/>
          <w:szCs w:val="24"/>
        </w:rPr>
        <w:t>Project Overview</w:t>
      </w:r>
      <w:bookmarkEnd w:id="23"/>
    </w:p>
    <w:p w14:paraId="7114E350" w14:textId="109F1110" w:rsidR="00BD7A0E" w:rsidRPr="007C6C16" w:rsidRDefault="00BD7A0E" w:rsidP="007C6C16">
      <w:pPr>
        <w:spacing w:before="100" w:beforeAutospacing="1" w:after="100" w:afterAutospacing="1" w:line="360" w:lineRule="auto"/>
        <w:jc w:val="both"/>
        <w:outlineLvl w:val="3"/>
      </w:pPr>
      <w:r w:rsidRPr="007C6C16">
        <w:t>General Electronics has three investment options that may have different financial profile</w:t>
      </w:r>
      <w:r w:rsidR="00932200" w:rsidRPr="007C6C16">
        <w:t>s</w:t>
      </w:r>
      <w:r w:rsidRPr="007C6C16">
        <w:t xml:space="preserve"> and cash flow forecasts. The following is the essential information about each project:</w:t>
      </w:r>
    </w:p>
    <w:p w14:paraId="496171F1" w14:textId="64753DC8" w:rsidR="00BD7A0E" w:rsidRPr="007C6C16" w:rsidRDefault="00BD7A0E" w:rsidP="007C6C16">
      <w:pPr>
        <w:spacing w:before="100" w:beforeAutospacing="1" w:after="100" w:afterAutospacing="1" w:line="360" w:lineRule="auto"/>
        <w:jc w:val="both"/>
        <w:outlineLvl w:val="3"/>
      </w:pPr>
      <w:r w:rsidRPr="007C6C16">
        <w:t>Project A: This project means an initial investment of UK 40m</w:t>
      </w:r>
      <w:r w:rsidR="00932200" w:rsidRPr="007C6C16">
        <w:t>,</w:t>
      </w:r>
      <w:r w:rsidRPr="007C6C16">
        <w:t xml:space="preserve"> and the cash flows during the first five years are as follows: 10m in Year 1, 12m in Year 2, 14m in Year 3, 10m in Year 4 and 8m in Year 5. The amount of cash inflows that is expected to be received by the project will have a high aspect at the beginning of the project</w:t>
      </w:r>
      <w:r w:rsidR="00932200" w:rsidRPr="007C6C16">
        <w:t>,</w:t>
      </w:r>
      <w:r w:rsidRPr="007C6C16">
        <w:t xml:space="preserve"> but will decrease in later years. Despite having a positive Net Present Value (NPV), the movement of cash flow of the project is not good in comparison with other project</w:t>
      </w:r>
      <w:r w:rsidR="00932200" w:rsidRPr="007C6C16">
        <w:t>s,</w:t>
      </w:r>
      <w:r w:rsidRPr="007C6C16">
        <w:t xml:space="preserve"> as the payback period was 3.4 years.</w:t>
      </w:r>
    </w:p>
    <w:p w14:paraId="3A5D0A62" w14:textId="6916B988" w:rsidR="00BD7A0E" w:rsidRPr="007C6C16" w:rsidRDefault="00BD7A0E" w:rsidP="007C6C16">
      <w:pPr>
        <w:spacing w:before="100" w:beforeAutospacing="1" w:after="100" w:afterAutospacing="1" w:line="360" w:lineRule="auto"/>
        <w:jc w:val="both"/>
        <w:outlineLvl w:val="3"/>
      </w:pPr>
      <w:r w:rsidRPr="007C6C16">
        <w:t>Project B: This project is initially financed by one pound sterling 30 million, which implies cash inflows of a pound sterling 6 million per year after a span of five years. It is an inactive but non-</w:t>
      </w:r>
      <w:r w:rsidRPr="007C6C16">
        <w:lastRenderedPageBreak/>
        <w:t xml:space="preserve">volatile investment compared to the other two projects. The constant cash inflows during the project length indicate a slow rate of growth but </w:t>
      </w:r>
      <w:r w:rsidR="00932200" w:rsidRPr="007C6C16">
        <w:t xml:space="preserve">a </w:t>
      </w:r>
      <w:r w:rsidRPr="007C6C16">
        <w:t xml:space="preserve">predictable cash flow. </w:t>
      </w:r>
      <w:r w:rsidR="00932200" w:rsidRPr="007C6C16">
        <w:t>Project</w:t>
      </w:r>
      <w:r w:rsidRPr="007C6C16">
        <w:t xml:space="preserve"> B is a negative NPV project</w:t>
      </w:r>
      <w:r w:rsidR="00932200" w:rsidRPr="007C6C16">
        <w:t>,</w:t>
      </w:r>
      <w:r w:rsidRPr="007C6C16">
        <w:t xml:space="preserve"> which means that it will not bring any value to the company in the </w:t>
      </w:r>
      <w:r w:rsidR="00932200" w:rsidRPr="007C6C16">
        <w:t>long run</w:t>
      </w:r>
      <w:r w:rsidRPr="007C6C16">
        <w:t>. It is also not that convincing as its Internal Rate of Return (IRR) is comparably low.</w:t>
      </w:r>
    </w:p>
    <w:p w14:paraId="05B7EAA5" w14:textId="42E79F0E" w:rsidR="00BD7A0E" w:rsidRPr="007C6C16" w:rsidRDefault="00BD7A0E" w:rsidP="007C6C16">
      <w:pPr>
        <w:spacing w:before="100" w:beforeAutospacing="1" w:after="100" w:afterAutospacing="1" w:line="360" w:lineRule="auto"/>
        <w:jc w:val="both"/>
        <w:outlineLvl w:val="3"/>
      </w:pPr>
      <w:r w:rsidRPr="007C6C16">
        <w:t>Project C: The Project C has a 50 M investment and generates various cash incomes over the next 5 years in the form of: PS5 M inflow in the first Year, 10 M in the second, third, fourth, and fifth Years and 25 M in the sixth year. The potential of the project is the best regarding NPV and IRR. It has an optimum mix of both short-term and long-term returns</w:t>
      </w:r>
      <w:r w:rsidR="00932200" w:rsidRPr="007C6C16">
        <w:t>,</w:t>
      </w:r>
      <w:r w:rsidRPr="007C6C16">
        <w:t xml:space="preserve"> as it is a </w:t>
      </w:r>
      <w:r w:rsidR="00932200" w:rsidRPr="007C6C16">
        <w:t>12-year</w:t>
      </w:r>
      <w:r w:rsidRPr="007C6C16">
        <w:t xml:space="preserve"> project</w:t>
      </w:r>
      <w:r w:rsidR="00932200" w:rsidRPr="007C6C16">
        <w:t>,</w:t>
      </w:r>
      <w:r w:rsidRPr="007C6C16">
        <w:t xml:space="preserve"> </w:t>
      </w:r>
      <w:r w:rsidR="00932200" w:rsidRPr="007C6C16">
        <w:t>and</w:t>
      </w:r>
      <w:r w:rsidRPr="007C6C16">
        <w:t xml:space="preserve"> gives the best returns of 4.21 million in NPV, which is the most viable project</w:t>
      </w:r>
      <w:r w:rsidR="005814C2" w:rsidRPr="007C6C16">
        <w:t xml:space="preserve"> (Karadag, 2015)</w:t>
      </w:r>
      <w:r w:rsidRPr="007C6C16">
        <w:t>.</w:t>
      </w:r>
    </w:p>
    <w:p w14:paraId="7BB181C5" w14:textId="77777777" w:rsidR="00BD7A0E" w:rsidRPr="007C6C16" w:rsidRDefault="00BD7A0E" w:rsidP="007C6C16">
      <w:pPr>
        <w:pStyle w:val="Heading2"/>
        <w:spacing w:line="360" w:lineRule="auto"/>
        <w:jc w:val="both"/>
        <w:rPr>
          <w:rFonts w:ascii="Times New Roman" w:hAnsi="Times New Roman" w:cs="Times New Roman"/>
          <w:b/>
          <w:bCs/>
          <w:color w:val="auto"/>
          <w:sz w:val="24"/>
          <w:szCs w:val="24"/>
        </w:rPr>
      </w:pPr>
      <w:bookmarkStart w:id="24" w:name="_Toc214887503"/>
      <w:r w:rsidRPr="007C6C16">
        <w:rPr>
          <w:rFonts w:ascii="Times New Roman" w:hAnsi="Times New Roman" w:cs="Times New Roman"/>
          <w:b/>
          <w:bCs/>
          <w:color w:val="auto"/>
          <w:sz w:val="24"/>
          <w:szCs w:val="24"/>
        </w:rPr>
        <w:t>Payback Period (PBP)</w:t>
      </w:r>
      <w:bookmarkEnd w:id="24"/>
    </w:p>
    <w:p w14:paraId="61570758" w14:textId="0D7D9A40" w:rsidR="00BD7A0E" w:rsidRPr="007C6C16" w:rsidRDefault="00BD7A0E" w:rsidP="007C6C16">
      <w:pPr>
        <w:spacing w:before="100" w:beforeAutospacing="1" w:after="100" w:afterAutospacing="1" w:line="360" w:lineRule="auto"/>
        <w:jc w:val="both"/>
        <w:outlineLvl w:val="3"/>
      </w:pPr>
      <w:r w:rsidRPr="007C6C16">
        <w:t xml:space="preserve">The Payback Period is </w:t>
      </w:r>
      <w:r w:rsidR="00932200" w:rsidRPr="007C6C16">
        <w:t>the</w:t>
      </w:r>
      <w:r w:rsidRPr="007C6C16">
        <w:t xml:space="preserve"> period within which the investment is used to re</w:t>
      </w:r>
      <w:r w:rsidR="00932200" w:rsidRPr="007C6C16">
        <w:t>cover</w:t>
      </w:r>
      <w:r w:rsidRPr="007C6C16">
        <w:t xml:space="preserve"> the initial cost. It is a simple and ordinary approach</w:t>
      </w:r>
      <w:r w:rsidR="00932200" w:rsidRPr="007C6C16">
        <w:t>;</w:t>
      </w:r>
      <w:r w:rsidRPr="007C6C16">
        <w:t xml:space="preserve"> it does not even </w:t>
      </w:r>
      <w:r w:rsidR="00932200" w:rsidRPr="007C6C16">
        <w:t>consider</w:t>
      </w:r>
      <w:r w:rsidRPr="007C6C16">
        <w:t xml:space="preserve"> </w:t>
      </w:r>
      <w:r w:rsidR="00932200" w:rsidRPr="007C6C16">
        <w:t xml:space="preserve">the </w:t>
      </w:r>
      <w:r w:rsidRPr="007C6C16">
        <w:t>time value of money. The minimized payback</w:t>
      </w:r>
      <w:r w:rsidR="00932200" w:rsidRPr="007C6C16">
        <w:t>,</w:t>
      </w:r>
      <w:r w:rsidRPr="007C6C16">
        <w:t xml:space="preserve"> the more attractive the investment.</w:t>
      </w:r>
    </w:p>
    <w:p w14:paraId="51C5C91C" w14:textId="7118D958" w:rsidR="0058121E" w:rsidRPr="007C6C16" w:rsidRDefault="0058121E" w:rsidP="007C6C16">
      <w:pPr>
        <w:spacing w:before="100" w:beforeAutospacing="1" w:after="100" w:afterAutospacing="1" w:line="360" w:lineRule="auto"/>
        <w:jc w:val="both"/>
        <w:outlineLvl w:val="3"/>
        <w:rPr>
          <w:b/>
          <w:bCs/>
        </w:rPr>
      </w:pPr>
      <w:r w:rsidRPr="007C6C16">
        <w:rPr>
          <w:b/>
          <w:bCs/>
        </w:rPr>
        <w:t>Project A:</w:t>
      </w:r>
    </w:p>
    <w:p w14:paraId="2BC10DF1" w14:textId="77777777" w:rsidR="0058121E" w:rsidRPr="007C6C16" w:rsidRDefault="0058121E" w:rsidP="007C6C16">
      <w:pPr>
        <w:numPr>
          <w:ilvl w:val="0"/>
          <w:numId w:val="15"/>
        </w:numPr>
        <w:spacing w:before="100" w:beforeAutospacing="1" w:after="100" w:afterAutospacing="1" w:line="360" w:lineRule="auto"/>
        <w:jc w:val="both"/>
      </w:pPr>
      <w:r w:rsidRPr="007C6C16">
        <w:t>Initial Investment: £40 million</w:t>
      </w:r>
    </w:p>
    <w:p w14:paraId="28409711" w14:textId="77777777" w:rsidR="0058121E" w:rsidRPr="007C6C16" w:rsidRDefault="0058121E" w:rsidP="007C6C16">
      <w:pPr>
        <w:numPr>
          <w:ilvl w:val="0"/>
          <w:numId w:val="15"/>
        </w:numPr>
        <w:spacing w:before="100" w:beforeAutospacing="1" w:after="100" w:afterAutospacing="1" w:line="360" w:lineRule="auto"/>
        <w:jc w:val="both"/>
      </w:pPr>
      <w:r w:rsidRPr="007C6C16">
        <w:t>Cash inflows: £10m, £12m, £14m, £10m, £8m</w:t>
      </w:r>
    </w:p>
    <w:p w14:paraId="50F029B6" w14:textId="77777777" w:rsidR="0058121E" w:rsidRPr="007C6C16" w:rsidRDefault="0058121E" w:rsidP="007C6C16">
      <w:pPr>
        <w:spacing w:before="100" w:beforeAutospacing="1" w:after="100" w:afterAutospacing="1" w:line="360" w:lineRule="auto"/>
        <w:jc w:val="both"/>
      </w:pPr>
      <w:r w:rsidRPr="007C6C16">
        <w:t>We calculate the cumulative cash inflows:</w:t>
      </w:r>
    </w:p>
    <w:p w14:paraId="287D1059" w14:textId="77777777" w:rsidR="0058121E" w:rsidRPr="007C6C16" w:rsidRDefault="0058121E" w:rsidP="007C6C16">
      <w:pPr>
        <w:numPr>
          <w:ilvl w:val="0"/>
          <w:numId w:val="16"/>
        </w:numPr>
        <w:spacing w:before="100" w:beforeAutospacing="1" w:after="100" w:afterAutospacing="1" w:line="360" w:lineRule="auto"/>
        <w:jc w:val="both"/>
      </w:pPr>
      <w:r w:rsidRPr="007C6C16">
        <w:t>Year 1: £10 million</w:t>
      </w:r>
    </w:p>
    <w:p w14:paraId="60E8E904" w14:textId="77777777" w:rsidR="0058121E" w:rsidRPr="007C6C16" w:rsidRDefault="0058121E" w:rsidP="007C6C16">
      <w:pPr>
        <w:numPr>
          <w:ilvl w:val="0"/>
          <w:numId w:val="16"/>
        </w:numPr>
        <w:spacing w:before="100" w:beforeAutospacing="1" w:after="100" w:afterAutospacing="1" w:line="360" w:lineRule="auto"/>
        <w:jc w:val="both"/>
      </w:pPr>
      <w:r w:rsidRPr="007C6C16">
        <w:t>Year 2: £10 million + £12 million = £22 million</w:t>
      </w:r>
    </w:p>
    <w:p w14:paraId="6240319E" w14:textId="77777777" w:rsidR="0058121E" w:rsidRPr="007C6C16" w:rsidRDefault="0058121E" w:rsidP="007C6C16">
      <w:pPr>
        <w:numPr>
          <w:ilvl w:val="0"/>
          <w:numId w:val="16"/>
        </w:numPr>
        <w:spacing w:before="100" w:beforeAutospacing="1" w:after="100" w:afterAutospacing="1" w:line="360" w:lineRule="auto"/>
        <w:jc w:val="both"/>
      </w:pPr>
      <w:r w:rsidRPr="007C6C16">
        <w:t>Year 3: £22 million + £14 million = £36 million</w:t>
      </w:r>
    </w:p>
    <w:p w14:paraId="53BC5B34" w14:textId="77777777" w:rsidR="0058121E" w:rsidRPr="007C6C16" w:rsidRDefault="0058121E" w:rsidP="007C6C16">
      <w:pPr>
        <w:numPr>
          <w:ilvl w:val="0"/>
          <w:numId w:val="16"/>
        </w:numPr>
        <w:spacing w:before="100" w:beforeAutospacing="1" w:after="100" w:afterAutospacing="1" w:line="360" w:lineRule="auto"/>
        <w:jc w:val="both"/>
      </w:pPr>
      <w:r w:rsidRPr="007C6C16">
        <w:t>Year 4: £36 million + £10 million = £46 million</w:t>
      </w:r>
    </w:p>
    <w:p w14:paraId="7C03CDCD" w14:textId="77777777" w:rsidR="0058121E" w:rsidRPr="007C6C16" w:rsidRDefault="0058121E" w:rsidP="007C6C16">
      <w:pPr>
        <w:numPr>
          <w:ilvl w:val="0"/>
          <w:numId w:val="16"/>
        </w:numPr>
        <w:spacing w:before="100" w:beforeAutospacing="1" w:after="100" w:afterAutospacing="1" w:line="360" w:lineRule="auto"/>
        <w:jc w:val="both"/>
      </w:pPr>
      <w:r w:rsidRPr="007C6C16">
        <w:t>Year 5: £46 million + £8 million = £54 million</w:t>
      </w:r>
    </w:p>
    <w:p w14:paraId="38FB319A" w14:textId="77777777" w:rsidR="0058121E" w:rsidRPr="007C6C16" w:rsidRDefault="0058121E" w:rsidP="007C6C16">
      <w:pPr>
        <w:spacing w:before="100" w:beforeAutospacing="1" w:after="100" w:afterAutospacing="1" w:line="360" w:lineRule="auto"/>
        <w:jc w:val="both"/>
      </w:pPr>
      <w:r w:rsidRPr="007C6C16">
        <w:t xml:space="preserve">Payback period for </w:t>
      </w:r>
      <w:r w:rsidRPr="007C6C16">
        <w:rPr>
          <w:b/>
          <w:bCs/>
        </w:rPr>
        <w:t>Project A</w:t>
      </w:r>
      <w:r w:rsidRPr="007C6C16">
        <w:t xml:space="preserve"> is between </w:t>
      </w:r>
      <w:r w:rsidRPr="007C6C16">
        <w:rPr>
          <w:b/>
          <w:bCs/>
        </w:rPr>
        <w:t>Year 3 and Year 4</w:t>
      </w:r>
      <w:r w:rsidRPr="007C6C16">
        <w:t>. To be more precise, the remaining amount after Year 3 is:</w:t>
      </w:r>
    </w:p>
    <w:p w14:paraId="17AAABA7" w14:textId="77777777" w:rsidR="0058121E" w:rsidRPr="007C6C16" w:rsidRDefault="0058121E" w:rsidP="007C6C16">
      <w:pPr>
        <w:numPr>
          <w:ilvl w:val="0"/>
          <w:numId w:val="17"/>
        </w:numPr>
        <w:spacing w:before="100" w:beforeAutospacing="1" w:after="100" w:afterAutospacing="1" w:line="360" w:lineRule="auto"/>
        <w:jc w:val="both"/>
      </w:pPr>
      <w:r w:rsidRPr="007C6C16">
        <w:lastRenderedPageBreak/>
        <w:t>£40 million (initial investment) - £36 million (cumulative cash inflow after Year 3) = £4 million.</w:t>
      </w:r>
    </w:p>
    <w:p w14:paraId="0987DCD2" w14:textId="77777777" w:rsidR="0058121E" w:rsidRPr="007C6C16" w:rsidRDefault="0058121E" w:rsidP="007C6C16">
      <w:pPr>
        <w:spacing w:before="100" w:beforeAutospacing="1" w:after="100" w:afterAutospacing="1" w:line="360" w:lineRule="auto"/>
        <w:jc w:val="both"/>
      </w:pPr>
      <w:r w:rsidRPr="007C6C16">
        <w:t xml:space="preserve">It will take a fraction of </w:t>
      </w:r>
      <w:r w:rsidRPr="007C6C16">
        <w:rPr>
          <w:b/>
          <w:bCs/>
        </w:rPr>
        <w:t>Year 4</w:t>
      </w:r>
      <w:r w:rsidRPr="007C6C16">
        <w:t xml:space="preserve"> to recover this remaining £4 million. The fraction is calculated as:</w:t>
      </w:r>
    </w:p>
    <w:p w14:paraId="3C2F0BC7" w14:textId="77777777" w:rsidR="0058121E" w:rsidRPr="007C6C16" w:rsidRDefault="00000000" w:rsidP="007C6C16">
      <w:pPr>
        <w:spacing w:line="360" w:lineRule="auto"/>
        <w:jc w:val="both"/>
      </w:pPr>
      <m:oMathPara>
        <m:oMath>
          <m:f>
            <m:fPr>
              <m:ctrlPr>
                <w:rPr>
                  <w:rFonts w:ascii="Cambria Math" w:hAnsi="Cambria Math"/>
                </w:rPr>
              </m:ctrlPr>
            </m:fPr>
            <m:num>
              <m:r>
                <w:rPr>
                  <w:rFonts w:ascii="Cambria Math" w:hAnsi="Cambria Math"/>
                </w:rPr>
                <m:t>4</m:t>
              </m:r>
              <m:r>
                <m:rPr>
                  <m:nor/>
                </m:rPr>
                <m:t xml:space="preserve"> million</m:t>
              </m:r>
            </m:num>
            <m:den>
              <m:r>
                <w:rPr>
                  <w:rFonts w:ascii="Cambria Math" w:hAnsi="Cambria Math"/>
                </w:rPr>
                <m:t>10</m:t>
              </m:r>
              <m:r>
                <m:rPr>
                  <m:nor/>
                </m:rPr>
                <m:t xml:space="preserve"> million</m:t>
              </m:r>
            </m:den>
          </m:f>
          <m:r>
            <w:rPr>
              <w:rFonts w:ascii="Cambria Math" w:hAnsi="Cambria Math"/>
            </w:rPr>
            <m:t>=0.4</m:t>
          </m:r>
          <m:r>
            <m:rPr>
              <m:nor/>
            </m:rPr>
            <m:t xml:space="preserve"> years</m:t>
          </m:r>
          <m:r>
            <m:rPr>
              <m:sty m:val="p"/>
            </m:rPr>
            <w:rPr>
              <w:rFonts w:ascii="Cambria Math" w:hAnsi="Cambria Math"/>
            </w:rPr>
            <w:br/>
          </m:r>
        </m:oMath>
      </m:oMathPara>
    </w:p>
    <w:p w14:paraId="73E3A090" w14:textId="77777777" w:rsidR="0058121E" w:rsidRPr="007C6C16" w:rsidRDefault="0058121E" w:rsidP="007C6C16">
      <w:pPr>
        <w:spacing w:before="100" w:beforeAutospacing="1" w:after="100" w:afterAutospacing="1" w:line="360" w:lineRule="auto"/>
        <w:jc w:val="both"/>
      </w:pPr>
      <w:r w:rsidRPr="007C6C16">
        <w:t xml:space="preserve">Thus, the payback period for </w:t>
      </w:r>
      <w:r w:rsidRPr="007C6C16">
        <w:rPr>
          <w:b/>
          <w:bCs/>
        </w:rPr>
        <w:t>Project A</w:t>
      </w:r>
      <w:r w:rsidRPr="007C6C16">
        <w:t xml:space="preserve"> is:</w:t>
      </w:r>
    </w:p>
    <w:p w14:paraId="7E93BB41" w14:textId="77777777" w:rsidR="0058121E" w:rsidRPr="007C6C16" w:rsidRDefault="0058121E" w:rsidP="007C6C16">
      <w:pPr>
        <w:spacing w:line="360" w:lineRule="auto"/>
        <w:jc w:val="both"/>
      </w:pPr>
      <m:oMathPara>
        <m:oMath>
          <m:r>
            <w:rPr>
              <w:rFonts w:ascii="Cambria Math" w:hAnsi="Cambria Math"/>
            </w:rPr>
            <m:t>3+0.4=3.4</m:t>
          </m:r>
          <m:r>
            <m:rPr>
              <m:nor/>
            </m:rPr>
            <m:t xml:space="preserve"> years</m:t>
          </m:r>
          <m:r>
            <m:rPr>
              <m:sty m:val="p"/>
            </m:rPr>
            <w:rPr>
              <w:rFonts w:ascii="Cambria Math" w:hAnsi="Cambria Math"/>
            </w:rPr>
            <w:br/>
          </m:r>
        </m:oMath>
      </m:oMathPara>
    </w:p>
    <w:p w14:paraId="0483B211"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B:</w:t>
      </w:r>
    </w:p>
    <w:p w14:paraId="4B52D69F" w14:textId="77777777" w:rsidR="0058121E" w:rsidRPr="007C6C16" w:rsidRDefault="0058121E" w:rsidP="007C6C16">
      <w:pPr>
        <w:numPr>
          <w:ilvl w:val="0"/>
          <w:numId w:val="18"/>
        </w:numPr>
        <w:spacing w:before="100" w:beforeAutospacing="1" w:after="100" w:afterAutospacing="1" w:line="360" w:lineRule="auto"/>
        <w:jc w:val="both"/>
      </w:pPr>
      <w:r w:rsidRPr="007C6C16">
        <w:t>Initial Investment: £30 million</w:t>
      </w:r>
    </w:p>
    <w:p w14:paraId="44005E30" w14:textId="77777777" w:rsidR="0058121E" w:rsidRPr="007C6C16" w:rsidRDefault="0058121E" w:rsidP="007C6C16">
      <w:pPr>
        <w:numPr>
          <w:ilvl w:val="0"/>
          <w:numId w:val="18"/>
        </w:numPr>
        <w:spacing w:before="100" w:beforeAutospacing="1" w:after="100" w:afterAutospacing="1" w:line="360" w:lineRule="auto"/>
        <w:jc w:val="both"/>
      </w:pPr>
      <w:r w:rsidRPr="007C6C16">
        <w:t>Cash inflows: £6 million annually for 5 years</w:t>
      </w:r>
    </w:p>
    <w:p w14:paraId="5D2A3BC4" w14:textId="77777777" w:rsidR="0058121E" w:rsidRPr="007C6C16" w:rsidRDefault="0058121E" w:rsidP="007C6C16">
      <w:pPr>
        <w:spacing w:before="100" w:beforeAutospacing="1" w:after="100" w:afterAutospacing="1" w:line="360" w:lineRule="auto"/>
        <w:jc w:val="both"/>
      </w:pPr>
      <w:r w:rsidRPr="007C6C16">
        <w:t>Cumulative cash inflows:</w:t>
      </w:r>
    </w:p>
    <w:p w14:paraId="3843B05C" w14:textId="77777777" w:rsidR="0058121E" w:rsidRPr="007C6C16" w:rsidRDefault="0058121E" w:rsidP="007C6C16">
      <w:pPr>
        <w:numPr>
          <w:ilvl w:val="0"/>
          <w:numId w:val="19"/>
        </w:numPr>
        <w:spacing w:before="100" w:beforeAutospacing="1" w:after="100" w:afterAutospacing="1" w:line="360" w:lineRule="auto"/>
        <w:jc w:val="both"/>
      </w:pPr>
      <w:r w:rsidRPr="007C6C16">
        <w:t>Year 1: £6 million</w:t>
      </w:r>
    </w:p>
    <w:p w14:paraId="17D19151" w14:textId="77777777" w:rsidR="0058121E" w:rsidRPr="007C6C16" w:rsidRDefault="0058121E" w:rsidP="007C6C16">
      <w:pPr>
        <w:numPr>
          <w:ilvl w:val="0"/>
          <w:numId w:val="19"/>
        </w:numPr>
        <w:spacing w:before="100" w:beforeAutospacing="1" w:after="100" w:afterAutospacing="1" w:line="360" w:lineRule="auto"/>
        <w:jc w:val="both"/>
      </w:pPr>
      <w:r w:rsidRPr="007C6C16">
        <w:t>Year 2: £6 million + £6 million = £12 million</w:t>
      </w:r>
    </w:p>
    <w:p w14:paraId="5DC0865F" w14:textId="77777777" w:rsidR="0058121E" w:rsidRPr="007C6C16" w:rsidRDefault="0058121E" w:rsidP="007C6C16">
      <w:pPr>
        <w:numPr>
          <w:ilvl w:val="0"/>
          <w:numId w:val="19"/>
        </w:numPr>
        <w:spacing w:before="100" w:beforeAutospacing="1" w:after="100" w:afterAutospacing="1" w:line="360" w:lineRule="auto"/>
        <w:jc w:val="both"/>
      </w:pPr>
      <w:r w:rsidRPr="007C6C16">
        <w:t>Year 3: £12 million + £6 million = £18 million</w:t>
      </w:r>
    </w:p>
    <w:p w14:paraId="3DEFE253" w14:textId="77777777" w:rsidR="0058121E" w:rsidRPr="007C6C16" w:rsidRDefault="0058121E" w:rsidP="007C6C16">
      <w:pPr>
        <w:numPr>
          <w:ilvl w:val="0"/>
          <w:numId w:val="19"/>
        </w:numPr>
        <w:spacing w:before="100" w:beforeAutospacing="1" w:after="100" w:afterAutospacing="1" w:line="360" w:lineRule="auto"/>
        <w:jc w:val="both"/>
      </w:pPr>
      <w:r w:rsidRPr="007C6C16">
        <w:t>Year 4: £18 million + £6 million = £24 million</w:t>
      </w:r>
    </w:p>
    <w:p w14:paraId="36CA4EA3" w14:textId="77777777" w:rsidR="0058121E" w:rsidRPr="007C6C16" w:rsidRDefault="0058121E" w:rsidP="007C6C16">
      <w:pPr>
        <w:numPr>
          <w:ilvl w:val="0"/>
          <w:numId w:val="19"/>
        </w:numPr>
        <w:spacing w:before="100" w:beforeAutospacing="1" w:after="100" w:afterAutospacing="1" w:line="360" w:lineRule="auto"/>
        <w:jc w:val="both"/>
      </w:pPr>
      <w:r w:rsidRPr="007C6C16">
        <w:t>Year 5: £24 million + £6 million = £30 million</w:t>
      </w:r>
    </w:p>
    <w:p w14:paraId="0A379DCF" w14:textId="77777777" w:rsidR="0058121E" w:rsidRPr="007C6C16" w:rsidRDefault="0058121E" w:rsidP="007C6C16">
      <w:pPr>
        <w:spacing w:before="100" w:beforeAutospacing="1" w:after="100" w:afterAutospacing="1" w:line="360" w:lineRule="auto"/>
        <w:jc w:val="both"/>
      </w:pPr>
      <w:r w:rsidRPr="007C6C16">
        <w:t xml:space="preserve">Payback period for </w:t>
      </w:r>
      <w:r w:rsidRPr="007C6C16">
        <w:rPr>
          <w:b/>
          <w:bCs/>
        </w:rPr>
        <w:t>Project B</w:t>
      </w:r>
      <w:r w:rsidRPr="007C6C16">
        <w:t xml:space="preserve"> is exactly </w:t>
      </w:r>
      <w:r w:rsidRPr="007C6C16">
        <w:rPr>
          <w:b/>
          <w:bCs/>
        </w:rPr>
        <w:t>5 years</w:t>
      </w:r>
      <w:r w:rsidRPr="007C6C16">
        <w:t>, as the company recovers its investment by the end of Year 5.</w:t>
      </w:r>
    </w:p>
    <w:p w14:paraId="12ADB278"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C:</w:t>
      </w:r>
    </w:p>
    <w:p w14:paraId="2CA455C6" w14:textId="77777777" w:rsidR="0058121E" w:rsidRPr="007C6C16" w:rsidRDefault="0058121E" w:rsidP="007C6C16">
      <w:pPr>
        <w:numPr>
          <w:ilvl w:val="0"/>
          <w:numId w:val="20"/>
        </w:numPr>
        <w:spacing w:before="100" w:beforeAutospacing="1" w:after="100" w:afterAutospacing="1" w:line="360" w:lineRule="auto"/>
        <w:jc w:val="both"/>
      </w:pPr>
      <w:r w:rsidRPr="007C6C16">
        <w:t>Initial Investment: £50 million</w:t>
      </w:r>
    </w:p>
    <w:p w14:paraId="377B5EE7" w14:textId="77777777" w:rsidR="0058121E" w:rsidRPr="007C6C16" w:rsidRDefault="0058121E" w:rsidP="007C6C16">
      <w:pPr>
        <w:numPr>
          <w:ilvl w:val="0"/>
          <w:numId w:val="20"/>
        </w:numPr>
        <w:spacing w:before="100" w:beforeAutospacing="1" w:after="100" w:afterAutospacing="1" w:line="360" w:lineRule="auto"/>
        <w:jc w:val="both"/>
      </w:pPr>
      <w:r w:rsidRPr="007C6C16">
        <w:t>Cash inflows: £5 million, £10 million, £20 million, £25 million, £15 million</w:t>
      </w:r>
    </w:p>
    <w:p w14:paraId="12F492D2" w14:textId="77777777" w:rsidR="0058121E" w:rsidRPr="007C6C16" w:rsidRDefault="0058121E" w:rsidP="007C6C16">
      <w:pPr>
        <w:spacing w:before="100" w:beforeAutospacing="1" w:after="100" w:afterAutospacing="1" w:line="360" w:lineRule="auto"/>
        <w:jc w:val="both"/>
      </w:pPr>
      <w:r w:rsidRPr="007C6C16">
        <w:lastRenderedPageBreak/>
        <w:t>Cumulative cash inflows:</w:t>
      </w:r>
    </w:p>
    <w:p w14:paraId="4BB14008" w14:textId="77777777" w:rsidR="0058121E" w:rsidRPr="007C6C16" w:rsidRDefault="0058121E" w:rsidP="007C6C16">
      <w:pPr>
        <w:numPr>
          <w:ilvl w:val="0"/>
          <w:numId w:val="21"/>
        </w:numPr>
        <w:spacing w:before="100" w:beforeAutospacing="1" w:after="100" w:afterAutospacing="1" w:line="360" w:lineRule="auto"/>
        <w:jc w:val="both"/>
      </w:pPr>
      <w:r w:rsidRPr="007C6C16">
        <w:t>Year 1: £5 million</w:t>
      </w:r>
    </w:p>
    <w:p w14:paraId="69F24028" w14:textId="77777777" w:rsidR="0058121E" w:rsidRPr="007C6C16" w:rsidRDefault="0058121E" w:rsidP="007C6C16">
      <w:pPr>
        <w:numPr>
          <w:ilvl w:val="0"/>
          <w:numId w:val="21"/>
        </w:numPr>
        <w:spacing w:before="100" w:beforeAutospacing="1" w:after="100" w:afterAutospacing="1" w:line="360" w:lineRule="auto"/>
        <w:jc w:val="both"/>
      </w:pPr>
      <w:r w:rsidRPr="007C6C16">
        <w:t>Year 2: £5 million + £10 million = £15 million</w:t>
      </w:r>
    </w:p>
    <w:p w14:paraId="0D9422CA" w14:textId="77777777" w:rsidR="0058121E" w:rsidRPr="007C6C16" w:rsidRDefault="0058121E" w:rsidP="007C6C16">
      <w:pPr>
        <w:numPr>
          <w:ilvl w:val="0"/>
          <w:numId w:val="21"/>
        </w:numPr>
        <w:spacing w:before="100" w:beforeAutospacing="1" w:after="100" w:afterAutospacing="1" w:line="360" w:lineRule="auto"/>
        <w:jc w:val="both"/>
      </w:pPr>
      <w:r w:rsidRPr="007C6C16">
        <w:t>Year 3: £15 million + £20 million = £35 million</w:t>
      </w:r>
    </w:p>
    <w:p w14:paraId="07075436" w14:textId="77777777" w:rsidR="0058121E" w:rsidRPr="007C6C16" w:rsidRDefault="0058121E" w:rsidP="007C6C16">
      <w:pPr>
        <w:numPr>
          <w:ilvl w:val="0"/>
          <w:numId w:val="21"/>
        </w:numPr>
        <w:spacing w:before="100" w:beforeAutospacing="1" w:after="100" w:afterAutospacing="1" w:line="360" w:lineRule="auto"/>
        <w:jc w:val="both"/>
      </w:pPr>
      <w:r w:rsidRPr="007C6C16">
        <w:t>Year 4: £35 million + £25 million = £60 million</w:t>
      </w:r>
    </w:p>
    <w:p w14:paraId="3F365144" w14:textId="77777777" w:rsidR="0058121E" w:rsidRPr="007C6C16" w:rsidRDefault="0058121E" w:rsidP="007C6C16">
      <w:pPr>
        <w:spacing w:before="100" w:beforeAutospacing="1" w:after="100" w:afterAutospacing="1" w:line="360" w:lineRule="auto"/>
        <w:jc w:val="both"/>
      </w:pPr>
      <w:r w:rsidRPr="007C6C16">
        <w:t xml:space="preserve">Payback period for </w:t>
      </w:r>
      <w:r w:rsidRPr="007C6C16">
        <w:rPr>
          <w:b/>
          <w:bCs/>
        </w:rPr>
        <w:t>Project C</w:t>
      </w:r>
      <w:r w:rsidRPr="007C6C16">
        <w:t xml:space="preserve"> is </w:t>
      </w:r>
      <w:r w:rsidRPr="007C6C16">
        <w:rPr>
          <w:b/>
          <w:bCs/>
        </w:rPr>
        <w:t>between Year 3 and Year 4</w:t>
      </w:r>
      <w:r w:rsidRPr="007C6C16">
        <w:t>. To recover the remaining amount of:</w:t>
      </w:r>
    </w:p>
    <w:p w14:paraId="21D879A4" w14:textId="77777777" w:rsidR="0058121E" w:rsidRPr="007C6C16" w:rsidRDefault="0058121E" w:rsidP="007C6C16">
      <w:pPr>
        <w:numPr>
          <w:ilvl w:val="0"/>
          <w:numId w:val="22"/>
        </w:numPr>
        <w:spacing w:before="100" w:beforeAutospacing="1" w:after="100" w:afterAutospacing="1" w:line="360" w:lineRule="auto"/>
        <w:jc w:val="both"/>
      </w:pPr>
      <w:r w:rsidRPr="007C6C16">
        <w:t>£50 million (initial investment) - £35 million (cumulative cash inflow after Year 3) = £15 million.</w:t>
      </w:r>
    </w:p>
    <w:p w14:paraId="08BF5D8D" w14:textId="77777777" w:rsidR="0058121E" w:rsidRPr="007C6C16" w:rsidRDefault="0058121E" w:rsidP="007C6C16">
      <w:pPr>
        <w:spacing w:before="100" w:beforeAutospacing="1" w:after="100" w:afterAutospacing="1" w:line="360" w:lineRule="auto"/>
        <w:jc w:val="both"/>
      </w:pPr>
      <w:r w:rsidRPr="007C6C16">
        <w:t>It will take:</w:t>
      </w:r>
    </w:p>
    <w:p w14:paraId="30749CF3" w14:textId="77777777" w:rsidR="0058121E" w:rsidRPr="007C6C16" w:rsidRDefault="00000000" w:rsidP="007C6C16">
      <w:pPr>
        <w:spacing w:line="360" w:lineRule="auto"/>
        <w:jc w:val="both"/>
      </w:pPr>
      <m:oMathPara>
        <m:oMath>
          <m:f>
            <m:fPr>
              <m:ctrlPr>
                <w:rPr>
                  <w:rFonts w:ascii="Cambria Math" w:hAnsi="Cambria Math"/>
                </w:rPr>
              </m:ctrlPr>
            </m:fPr>
            <m:num>
              <m:r>
                <w:rPr>
                  <w:rFonts w:ascii="Cambria Math" w:hAnsi="Cambria Math"/>
                </w:rPr>
                <m:t>15</m:t>
              </m:r>
              <m:r>
                <m:rPr>
                  <m:nor/>
                </m:rPr>
                <m:t xml:space="preserve"> million</m:t>
              </m:r>
            </m:num>
            <m:den>
              <m:r>
                <w:rPr>
                  <w:rFonts w:ascii="Cambria Math" w:hAnsi="Cambria Math"/>
                </w:rPr>
                <m:t>25</m:t>
              </m:r>
              <m:r>
                <m:rPr>
                  <m:nor/>
                </m:rPr>
                <m:t xml:space="preserve"> million</m:t>
              </m:r>
            </m:den>
          </m:f>
          <m:r>
            <w:rPr>
              <w:rFonts w:ascii="Cambria Math" w:hAnsi="Cambria Math"/>
            </w:rPr>
            <m:t>=0.6</m:t>
          </m:r>
          <m:r>
            <m:rPr>
              <m:nor/>
            </m:rPr>
            <m:t xml:space="preserve"> years</m:t>
          </m:r>
          <m:r>
            <m:rPr>
              <m:sty m:val="p"/>
            </m:rPr>
            <w:rPr>
              <w:rFonts w:ascii="Cambria Math" w:hAnsi="Cambria Math"/>
            </w:rPr>
            <w:br/>
          </m:r>
        </m:oMath>
      </m:oMathPara>
    </w:p>
    <w:p w14:paraId="04B5EEFF" w14:textId="77777777" w:rsidR="0058121E" w:rsidRPr="007C6C16" w:rsidRDefault="0058121E" w:rsidP="007C6C16">
      <w:pPr>
        <w:spacing w:before="100" w:beforeAutospacing="1" w:after="100" w:afterAutospacing="1" w:line="360" w:lineRule="auto"/>
        <w:jc w:val="both"/>
      </w:pPr>
      <w:r w:rsidRPr="007C6C16">
        <w:t xml:space="preserve">Thus, the payback period for </w:t>
      </w:r>
      <w:r w:rsidRPr="007C6C16">
        <w:rPr>
          <w:b/>
          <w:bCs/>
        </w:rPr>
        <w:t>Project C</w:t>
      </w:r>
      <w:r w:rsidRPr="007C6C16">
        <w:t xml:space="preserve"> is:</w:t>
      </w:r>
    </w:p>
    <w:p w14:paraId="529E6282" w14:textId="77777777" w:rsidR="0058121E" w:rsidRPr="007C6C16" w:rsidRDefault="0058121E" w:rsidP="007C6C16">
      <w:pPr>
        <w:spacing w:line="360" w:lineRule="auto"/>
        <w:jc w:val="both"/>
      </w:pPr>
      <m:oMathPara>
        <m:oMath>
          <m:r>
            <w:rPr>
              <w:rFonts w:ascii="Cambria Math" w:hAnsi="Cambria Math"/>
            </w:rPr>
            <m:t>3+0.6=3.6</m:t>
          </m:r>
          <m:r>
            <m:rPr>
              <m:nor/>
            </m:rPr>
            <m:t xml:space="preserve"> years</m:t>
          </m:r>
          <m:r>
            <m:rPr>
              <m:sty m:val="p"/>
            </m:rPr>
            <w:rPr>
              <w:rFonts w:ascii="Cambria Math" w:hAnsi="Cambria Math"/>
            </w:rPr>
            <w:br/>
          </m:r>
        </m:oMath>
      </m:oMathPara>
    </w:p>
    <w:p w14:paraId="21360612" w14:textId="2C174500"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25" w:name="_Toc214885159"/>
      <w:bookmarkStart w:id="26" w:name="_Toc214887504"/>
      <w:r w:rsidRPr="007C6C16">
        <w:rPr>
          <w:rFonts w:ascii="Times New Roman" w:hAnsi="Times New Roman" w:cs="Times New Roman"/>
          <w:b/>
          <w:bCs/>
          <w:color w:val="auto"/>
          <w:sz w:val="24"/>
          <w:szCs w:val="24"/>
        </w:rPr>
        <w:t>Accounting Rate of Return (ARR)</w:t>
      </w:r>
      <w:bookmarkEnd w:id="25"/>
      <w:bookmarkEnd w:id="26"/>
    </w:p>
    <w:p w14:paraId="3093A925" w14:textId="3AF08F6C" w:rsidR="0058121E" w:rsidRPr="007C6C16" w:rsidRDefault="00BD7A0E" w:rsidP="007C6C16">
      <w:pPr>
        <w:spacing w:before="100" w:beforeAutospacing="1" w:after="100" w:afterAutospacing="1" w:line="360" w:lineRule="auto"/>
        <w:jc w:val="both"/>
      </w:pPr>
      <w:r w:rsidRPr="007C6C16">
        <w:t>The ARR is the measure of the amount of returns on an investment as a percentage of the annual average profit after subtraction of the original investment. It is calculated as</w:t>
      </w:r>
      <w:r w:rsidR="0058121E" w:rsidRPr="007C6C16">
        <w:t>:</w:t>
      </w:r>
    </w:p>
    <w:p w14:paraId="2BCCCAA8" w14:textId="77777777" w:rsidR="0058121E" w:rsidRPr="007C6C16" w:rsidRDefault="0058121E" w:rsidP="007C6C16">
      <w:pPr>
        <w:spacing w:line="360" w:lineRule="auto"/>
        <w:jc w:val="both"/>
      </w:pPr>
      <m:oMathPara>
        <m:oMath>
          <m:r>
            <w:rPr>
              <w:rFonts w:ascii="Cambria Math" w:hAnsi="Cambria Math"/>
            </w:rPr>
            <m:t>ARR=</m:t>
          </m:r>
          <m:f>
            <m:fPr>
              <m:ctrlPr>
                <w:rPr>
                  <w:rFonts w:ascii="Cambria Math" w:hAnsi="Cambria Math"/>
                </w:rPr>
              </m:ctrlPr>
            </m:fPr>
            <m:num>
              <m:r>
                <m:rPr>
                  <m:nor/>
                </m:rPr>
                <m:t>Average Annual Profit</m:t>
              </m:r>
            </m:num>
            <m:den>
              <m:r>
                <m:rPr>
                  <m:nor/>
                </m:rPr>
                <m:t>Initial Investment</m:t>
              </m:r>
            </m:den>
          </m:f>
          <m:r>
            <w:rPr>
              <w:rFonts w:ascii="Cambria Math" w:hAnsi="Cambria Math"/>
            </w:rPr>
            <m:t>×100</m:t>
          </m:r>
          <m:r>
            <m:rPr>
              <m:sty m:val="p"/>
            </m:rPr>
            <w:rPr>
              <w:rFonts w:ascii="Cambria Math" w:hAnsi="Cambria Math"/>
            </w:rPr>
            <w:br/>
          </m:r>
        </m:oMath>
      </m:oMathPara>
    </w:p>
    <w:p w14:paraId="6A875D2E"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A:</w:t>
      </w:r>
    </w:p>
    <w:p w14:paraId="660E98DB" w14:textId="77777777" w:rsidR="0058121E" w:rsidRPr="007C6C16" w:rsidRDefault="0058121E" w:rsidP="007C6C16">
      <w:pPr>
        <w:spacing w:before="100" w:beforeAutospacing="1" w:after="100" w:afterAutospacing="1" w:line="360" w:lineRule="auto"/>
        <w:jc w:val="both"/>
      </w:pPr>
      <w:r w:rsidRPr="007C6C16">
        <w:t>The average annual profit is calculated as the average cash inflow over 5 years:</w:t>
      </w:r>
    </w:p>
    <w:p w14:paraId="590B0005" w14:textId="77777777" w:rsidR="0058121E" w:rsidRPr="007C6C16" w:rsidRDefault="0058121E" w:rsidP="007C6C16">
      <w:pPr>
        <w:spacing w:line="360" w:lineRule="auto"/>
        <w:jc w:val="both"/>
      </w:pPr>
      <m:oMathPara>
        <m:oMath>
          <m:r>
            <m:rPr>
              <m:nor/>
            </m:rPr>
            <w:lastRenderedPageBreak/>
            <m:t>Average Cash Inflow</m:t>
          </m:r>
          <m:r>
            <w:rPr>
              <w:rFonts w:ascii="Cambria Math" w:hAnsi="Cambria Math"/>
            </w:rPr>
            <m:t>=</m:t>
          </m:r>
          <m:f>
            <m:fPr>
              <m:ctrlPr>
                <w:rPr>
                  <w:rFonts w:ascii="Cambria Math" w:hAnsi="Cambria Math"/>
                </w:rPr>
              </m:ctrlPr>
            </m:fPr>
            <m:num>
              <m:r>
                <w:rPr>
                  <w:rFonts w:ascii="Cambria Math" w:hAnsi="Cambria Math"/>
                </w:rPr>
                <m:t>10+12+14+10+8</m:t>
              </m:r>
            </m:num>
            <m:den>
              <m:r>
                <w:rPr>
                  <w:rFonts w:ascii="Cambria Math" w:hAnsi="Cambria Math"/>
                </w:rPr>
                <m:t>5</m:t>
              </m:r>
            </m:den>
          </m:f>
          <m:r>
            <w:rPr>
              <w:rFonts w:ascii="Cambria Math" w:hAnsi="Cambria Math"/>
            </w:rPr>
            <m:t>=10.8</m:t>
          </m:r>
          <m:r>
            <m:rPr>
              <m:nor/>
            </m:rPr>
            <m:t xml:space="preserve"> million</m:t>
          </m:r>
          <m:r>
            <m:rPr>
              <m:sty m:val="p"/>
            </m:rPr>
            <w:rPr>
              <w:rFonts w:ascii="Cambria Math" w:hAnsi="Cambria Math"/>
            </w:rPr>
            <w:br/>
          </m:r>
        </m:oMath>
      </m:oMathPara>
    </w:p>
    <w:p w14:paraId="160CA054" w14:textId="77777777" w:rsidR="0058121E" w:rsidRPr="007C6C16" w:rsidRDefault="0058121E" w:rsidP="007C6C16">
      <w:pPr>
        <w:spacing w:before="100" w:beforeAutospacing="1" w:after="100" w:afterAutospacing="1" w:line="360" w:lineRule="auto"/>
        <w:jc w:val="both"/>
      </w:pPr>
      <w:r w:rsidRPr="007C6C16">
        <w:t xml:space="preserve">ARR for </w:t>
      </w:r>
      <w:r w:rsidRPr="007C6C16">
        <w:rPr>
          <w:b/>
          <w:bCs/>
        </w:rPr>
        <w:t>Project A</w:t>
      </w:r>
      <w:r w:rsidRPr="007C6C16">
        <w:t>:</w:t>
      </w:r>
    </w:p>
    <w:p w14:paraId="7D6F6831" w14:textId="77777777" w:rsidR="0058121E" w:rsidRPr="007C6C16" w:rsidRDefault="0058121E" w:rsidP="007C6C16">
      <w:pPr>
        <w:spacing w:line="360" w:lineRule="auto"/>
        <w:jc w:val="both"/>
      </w:pPr>
      <m:oMathPara>
        <m:oMath>
          <m:r>
            <w:rPr>
              <w:rFonts w:ascii="Cambria Math" w:hAnsi="Cambria Math"/>
            </w:rPr>
            <m:t>ARR=</m:t>
          </m:r>
          <m:f>
            <m:fPr>
              <m:ctrlPr>
                <w:rPr>
                  <w:rFonts w:ascii="Cambria Math" w:hAnsi="Cambria Math"/>
                </w:rPr>
              </m:ctrlPr>
            </m:fPr>
            <m:num>
              <m:r>
                <w:rPr>
                  <w:rFonts w:ascii="Cambria Math" w:hAnsi="Cambria Math"/>
                </w:rPr>
                <m:t>10.8</m:t>
              </m:r>
              <m:r>
                <m:rPr>
                  <m:nor/>
                </m:rPr>
                <m:t xml:space="preserve"> million</m:t>
              </m:r>
            </m:num>
            <m:den>
              <m:r>
                <w:rPr>
                  <w:rFonts w:ascii="Cambria Math" w:hAnsi="Cambria Math"/>
                </w:rPr>
                <m:t>40</m:t>
              </m:r>
              <m:r>
                <m:rPr>
                  <m:nor/>
                </m:rPr>
                <m:t xml:space="preserve"> million</m:t>
              </m:r>
            </m:den>
          </m:f>
          <m:r>
            <w:rPr>
              <w:rFonts w:ascii="Cambria Math" w:hAnsi="Cambria Math"/>
            </w:rPr>
            <m:t>×100=27</m:t>
          </m:r>
          <m:r>
            <m:rPr>
              <m:sty m:val="p"/>
            </m:rPr>
            <w:rPr>
              <w:rFonts w:ascii="Cambria Math" w:hAnsi="Cambria Math"/>
            </w:rPr>
            <m:t>%</m:t>
          </m:r>
          <m:r>
            <m:rPr>
              <m:sty m:val="p"/>
            </m:rPr>
            <w:rPr>
              <w:rFonts w:ascii="Cambria Math" w:hAnsi="Cambria Math"/>
            </w:rPr>
            <w:br/>
          </m:r>
        </m:oMath>
      </m:oMathPara>
    </w:p>
    <w:p w14:paraId="35FD0A0D"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B:</w:t>
      </w:r>
    </w:p>
    <w:p w14:paraId="47775DED" w14:textId="77777777" w:rsidR="0058121E" w:rsidRPr="007C6C16" w:rsidRDefault="0058121E" w:rsidP="007C6C16">
      <w:pPr>
        <w:spacing w:before="100" w:beforeAutospacing="1" w:after="100" w:afterAutospacing="1" w:line="360" w:lineRule="auto"/>
        <w:jc w:val="both"/>
      </w:pPr>
      <w:r w:rsidRPr="007C6C16">
        <w:t>The average annual profit is:</w:t>
      </w:r>
    </w:p>
    <w:p w14:paraId="495B38B2" w14:textId="77777777" w:rsidR="0058121E" w:rsidRPr="007C6C16" w:rsidRDefault="0058121E" w:rsidP="007C6C16">
      <w:pPr>
        <w:spacing w:line="360" w:lineRule="auto"/>
        <w:jc w:val="both"/>
      </w:pPr>
      <m:oMathPara>
        <m:oMath>
          <m:r>
            <m:rPr>
              <m:nor/>
            </m:rPr>
            <m:t>Average Cash Inflow</m:t>
          </m:r>
          <m:r>
            <w:rPr>
              <w:rFonts w:ascii="Cambria Math" w:hAnsi="Cambria Math"/>
            </w:rPr>
            <m:t>=</m:t>
          </m:r>
          <m:f>
            <m:fPr>
              <m:ctrlPr>
                <w:rPr>
                  <w:rFonts w:ascii="Cambria Math" w:hAnsi="Cambria Math"/>
                </w:rPr>
              </m:ctrlPr>
            </m:fPr>
            <m:num>
              <m:r>
                <w:rPr>
                  <w:rFonts w:ascii="Cambria Math" w:hAnsi="Cambria Math"/>
                </w:rPr>
                <m:t>6+6+6+6+6</m:t>
              </m:r>
            </m:num>
            <m:den>
              <m:r>
                <w:rPr>
                  <w:rFonts w:ascii="Cambria Math" w:hAnsi="Cambria Math"/>
                </w:rPr>
                <m:t>5</m:t>
              </m:r>
            </m:den>
          </m:f>
          <m:r>
            <w:rPr>
              <w:rFonts w:ascii="Cambria Math" w:hAnsi="Cambria Math"/>
            </w:rPr>
            <m:t>=6</m:t>
          </m:r>
          <m:r>
            <m:rPr>
              <m:nor/>
            </m:rPr>
            <m:t xml:space="preserve"> million</m:t>
          </m:r>
          <m:r>
            <m:rPr>
              <m:sty m:val="p"/>
            </m:rPr>
            <w:rPr>
              <w:rFonts w:ascii="Cambria Math" w:hAnsi="Cambria Math"/>
            </w:rPr>
            <w:br/>
          </m:r>
        </m:oMath>
      </m:oMathPara>
    </w:p>
    <w:p w14:paraId="4B9AD835" w14:textId="77777777" w:rsidR="0058121E" w:rsidRPr="007C6C16" w:rsidRDefault="0058121E" w:rsidP="007C6C16">
      <w:pPr>
        <w:spacing w:before="100" w:beforeAutospacing="1" w:after="100" w:afterAutospacing="1" w:line="360" w:lineRule="auto"/>
        <w:jc w:val="both"/>
      </w:pPr>
      <w:r w:rsidRPr="007C6C16">
        <w:t xml:space="preserve">ARR for </w:t>
      </w:r>
      <w:r w:rsidRPr="007C6C16">
        <w:rPr>
          <w:b/>
          <w:bCs/>
        </w:rPr>
        <w:t>Project B</w:t>
      </w:r>
      <w:r w:rsidRPr="007C6C16">
        <w:t>:</w:t>
      </w:r>
    </w:p>
    <w:p w14:paraId="0E655767" w14:textId="77777777" w:rsidR="0058121E" w:rsidRPr="007C6C16" w:rsidRDefault="0058121E" w:rsidP="007C6C16">
      <w:pPr>
        <w:spacing w:line="360" w:lineRule="auto"/>
        <w:jc w:val="both"/>
      </w:pPr>
      <m:oMathPara>
        <m:oMath>
          <m:r>
            <w:rPr>
              <w:rFonts w:ascii="Cambria Math" w:hAnsi="Cambria Math"/>
            </w:rPr>
            <m:t>ARR=</m:t>
          </m:r>
          <m:f>
            <m:fPr>
              <m:ctrlPr>
                <w:rPr>
                  <w:rFonts w:ascii="Cambria Math" w:hAnsi="Cambria Math"/>
                </w:rPr>
              </m:ctrlPr>
            </m:fPr>
            <m:num>
              <m:r>
                <w:rPr>
                  <w:rFonts w:ascii="Cambria Math" w:hAnsi="Cambria Math"/>
                </w:rPr>
                <m:t>6</m:t>
              </m:r>
              <m:r>
                <m:rPr>
                  <m:nor/>
                </m:rPr>
                <m:t xml:space="preserve"> million</m:t>
              </m:r>
            </m:num>
            <m:den>
              <m:r>
                <w:rPr>
                  <w:rFonts w:ascii="Cambria Math" w:hAnsi="Cambria Math"/>
                </w:rPr>
                <m:t>30</m:t>
              </m:r>
              <m:r>
                <m:rPr>
                  <m:nor/>
                </m:rPr>
                <m:t xml:space="preserve"> million</m:t>
              </m:r>
            </m:den>
          </m:f>
          <m:r>
            <w:rPr>
              <w:rFonts w:ascii="Cambria Math" w:hAnsi="Cambria Math"/>
            </w:rPr>
            <m:t>×100=20</m:t>
          </m:r>
          <m:r>
            <m:rPr>
              <m:sty m:val="p"/>
            </m:rPr>
            <w:rPr>
              <w:rFonts w:ascii="Cambria Math" w:hAnsi="Cambria Math"/>
            </w:rPr>
            <m:t>%</m:t>
          </m:r>
          <m:r>
            <m:rPr>
              <m:sty m:val="p"/>
            </m:rPr>
            <w:rPr>
              <w:rFonts w:ascii="Cambria Math" w:hAnsi="Cambria Math"/>
            </w:rPr>
            <w:br/>
          </m:r>
        </m:oMath>
      </m:oMathPara>
    </w:p>
    <w:p w14:paraId="60D6BE57"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C:</w:t>
      </w:r>
    </w:p>
    <w:p w14:paraId="29510B17" w14:textId="77777777" w:rsidR="0058121E" w:rsidRPr="007C6C16" w:rsidRDefault="0058121E" w:rsidP="007C6C16">
      <w:pPr>
        <w:spacing w:before="100" w:beforeAutospacing="1" w:after="100" w:afterAutospacing="1" w:line="360" w:lineRule="auto"/>
        <w:jc w:val="both"/>
      </w:pPr>
      <w:r w:rsidRPr="007C6C16">
        <w:t>The average annual profit is:</w:t>
      </w:r>
    </w:p>
    <w:p w14:paraId="25233205" w14:textId="77777777" w:rsidR="0058121E" w:rsidRPr="007C6C16" w:rsidRDefault="0058121E" w:rsidP="007C6C16">
      <w:pPr>
        <w:spacing w:line="360" w:lineRule="auto"/>
        <w:jc w:val="both"/>
      </w:pPr>
      <m:oMathPara>
        <m:oMath>
          <m:r>
            <m:rPr>
              <m:nor/>
            </m:rPr>
            <m:t>Average Cash Inflow</m:t>
          </m:r>
          <m:r>
            <w:rPr>
              <w:rFonts w:ascii="Cambria Math" w:hAnsi="Cambria Math"/>
            </w:rPr>
            <m:t>=</m:t>
          </m:r>
          <m:f>
            <m:fPr>
              <m:ctrlPr>
                <w:rPr>
                  <w:rFonts w:ascii="Cambria Math" w:hAnsi="Cambria Math"/>
                </w:rPr>
              </m:ctrlPr>
            </m:fPr>
            <m:num>
              <m:r>
                <w:rPr>
                  <w:rFonts w:ascii="Cambria Math" w:hAnsi="Cambria Math"/>
                </w:rPr>
                <m:t>5+10+20+25+15</m:t>
              </m:r>
            </m:num>
            <m:den>
              <m:r>
                <w:rPr>
                  <w:rFonts w:ascii="Cambria Math" w:hAnsi="Cambria Math"/>
                </w:rPr>
                <m:t>5</m:t>
              </m:r>
            </m:den>
          </m:f>
          <m:r>
            <w:rPr>
              <w:rFonts w:ascii="Cambria Math" w:hAnsi="Cambria Math"/>
            </w:rPr>
            <m:t>=15</m:t>
          </m:r>
          <m:r>
            <m:rPr>
              <m:nor/>
            </m:rPr>
            <m:t xml:space="preserve"> million</m:t>
          </m:r>
          <m:r>
            <m:rPr>
              <m:sty m:val="p"/>
            </m:rPr>
            <w:rPr>
              <w:rFonts w:ascii="Cambria Math" w:hAnsi="Cambria Math"/>
            </w:rPr>
            <w:br/>
          </m:r>
        </m:oMath>
      </m:oMathPara>
    </w:p>
    <w:p w14:paraId="5242BA4A" w14:textId="77777777" w:rsidR="0058121E" w:rsidRPr="007C6C16" w:rsidRDefault="0058121E" w:rsidP="007C6C16">
      <w:pPr>
        <w:spacing w:before="100" w:beforeAutospacing="1" w:after="100" w:afterAutospacing="1" w:line="360" w:lineRule="auto"/>
        <w:jc w:val="both"/>
      </w:pPr>
      <w:r w:rsidRPr="007C6C16">
        <w:t xml:space="preserve">ARR for </w:t>
      </w:r>
      <w:r w:rsidRPr="007C6C16">
        <w:rPr>
          <w:b/>
          <w:bCs/>
        </w:rPr>
        <w:t>Project C</w:t>
      </w:r>
      <w:r w:rsidRPr="007C6C16">
        <w:t>:</w:t>
      </w:r>
    </w:p>
    <w:p w14:paraId="64F185DE" w14:textId="77777777" w:rsidR="0058121E" w:rsidRPr="007C6C16" w:rsidRDefault="0058121E" w:rsidP="007C6C16">
      <w:pPr>
        <w:spacing w:line="360" w:lineRule="auto"/>
        <w:jc w:val="both"/>
      </w:pPr>
      <m:oMathPara>
        <m:oMath>
          <m:r>
            <w:rPr>
              <w:rFonts w:ascii="Cambria Math" w:hAnsi="Cambria Math"/>
            </w:rPr>
            <m:t>ARR=</m:t>
          </m:r>
          <m:f>
            <m:fPr>
              <m:ctrlPr>
                <w:rPr>
                  <w:rFonts w:ascii="Cambria Math" w:hAnsi="Cambria Math"/>
                </w:rPr>
              </m:ctrlPr>
            </m:fPr>
            <m:num>
              <m:r>
                <w:rPr>
                  <w:rFonts w:ascii="Cambria Math" w:hAnsi="Cambria Math"/>
                </w:rPr>
                <m:t>15</m:t>
              </m:r>
              <m:r>
                <m:rPr>
                  <m:nor/>
                </m:rPr>
                <m:t xml:space="preserve"> million</m:t>
              </m:r>
            </m:num>
            <m:den>
              <m:r>
                <w:rPr>
                  <w:rFonts w:ascii="Cambria Math" w:hAnsi="Cambria Math"/>
                </w:rPr>
                <m:t>50</m:t>
              </m:r>
              <m:r>
                <m:rPr>
                  <m:nor/>
                </m:rPr>
                <m:t xml:space="preserve"> million</m:t>
              </m:r>
            </m:den>
          </m:f>
          <m:r>
            <w:rPr>
              <w:rFonts w:ascii="Cambria Math" w:hAnsi="Cambria Math"/>
            </w:rPr>
            <m:t>×100=30</m:t>
          </m:r>
          <m:r>
            <m:rPr>
              <m:sty m:val="p"/>
            </m:rPr>
            <w:rPr>
              <w:rFonts w:ascii="Cambria Math" w:hAnsi="Cambria Math"/>
            </w:rPr>
            <m:t>%</m:t>
          </m:r>
          <m:r>
            <m:rPr>
              <m:sty m:val="p"/>
            </m:rPr>
            <w:rPr>
              <w:rFonts w:ascii="Cambria Math" w:hAnsi="Cambria Math"/>
            </w:rPr>
            <w:br/>
          </m:r>
        </m:oMath>
      </m:oMathPara>
    </w:p>
    <w:p w14:paraId="20A97F73" w14:textId="3B46C010"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27" w:name="_Toc214885160"/>
      <w:bookmarkStart w:id="28" w:name="_Toc214887505"/>
      <w:r w:rsidRPr="007C6C16">
        <w:rPr>
          <w:rFonts w:ascii="Times New Roman" w:hAnsi="Times New Roman" w:cs="Times New Roman"/>
          <w:b/>
          <w:bCs/>
          <w:color w:val="auto"/>
          <w:sz w:val="24"/>
          <w:szCs w:val="24"/>
        </w:rPr>
        <w:lastRenderedPageBreak/>
        <w:t>Net Present Value (NPV)</w:t>
      </w:r>
      <w:bookmarkEnd w:id="27"/>
      <w:bookmarkEnd w:id="28"/>
    </w:p>
    <w:p w14:paraId="218B248A" w14:textId="64E414C0" w:rsidR="0058121E" w:rsidRPr="007C6C16" w:rsidRDefault="00BD7A0E" w:rsidP="007C6C16">
      <w:pPr>
        <w:spacing w:before="100" w:beforeAutospacing="1" w:after="100" w:afterAutospacing="1" w:line="360" w:lineRule="auto"/>
        <w:jc w:val="both"/>
      </w:pPr>
      <w:r w:rsidRPr="007C6C16">
        <w:t>NPV computes the value of future inflows of cash less the initial investment taking into consideration the discount rate to determine the time value of money. The formula is</w:t>
      </w:r>
      <w:r w:rsidR="0058121E" w:rsidRPr="007C6C16">
        <w:t>:</w:t>
      </w:r>
    </w:p>
    <w:p w14:paraId="720579BA" w14:textId="77777777" w:rsidR="0058121E" w:rsidRPr="007C6C16" w:rsidRDefault="0058121E" w:rsidP="007C6C16">
      <w:pPr>
        <w:spacing w:line="360" w:lineRule="auto"/>
        <w:jc w:val="both"/>
      </w:pPr>
      <m:oMathPara>
        <m:oMath>
          <m:r>
            <w:rPr>
              <w:rFonts w:ascii="Cambria Math" w:hAnsi="Cambria Math"/>
            </w:rPr>
            <m:t>NPV=∑</m:t>
          </m:r>
          <m:f>
            <m:fPr>
              <m:ctrlPr>
                <w:rPr>
                  <w:rFonts w:ascii="Cambria Math" w:hAnsi="Cambria Math"/>
                </w:rPr>
              </m:ctrlPr>
            </m:fPr>
            <m:num>
              <m:sSub>
                <m:sSubPr>
                  <m:ctrlPr>
                    <w:rPr>
                      <w:rFonts w:ascii="Cambria Math" w:hAnsi="Cambria Math"/>
                    </w:rPr>
                  </m:ctrlPr>
                </m:sSubPr>
                <m:e>
                  <m:r>
                    <w:rPr>
                      <w:rFonts w:ascii="Cambria Math" w:hAnsi="Cambria Math"/>
                    </w:rPr>
                    <m:t>C</m:t>
                  </m:r>
                </m:e>
                <m:sub>
                  <m:r>
                    <w:rPr>
                      <w:rFonts w:ascii="Cambria Math" w:hAnsi="Cambria Math"/>
                    </w:rPr>
                    <m:t>t</m:t>
                  </m:r>
                </m:sub>
              </m:sSub>
            </m:num>
            <m:den>
              <m:d>
                <m:dPr>
                  <m:sepChr m:val="+"/>
                  <m:endChr m:val=""/>
                  <m:ctrlPr>
                    <w:rPr>
                      <w:rFonts w:ascii="Cambria Math" w:hAnsi="Cambria Math"/>
                    </w:rPr>
                  </m:ctrlPr>
                </m:dPr>
                <m:e>
                  <m:r>
                    <w:rPr>
                      <w:rFonts w:ascii="Cambria Math" w:hAnsi="Cambria Math"/>
                    </w:rPr>
                    <m:t>1</m:t>
                  </m:r>
                </m:e>
                <m:e>
                  <m:r>
                    <w:rPr>
                      <w:rFonts w:ascii="Cambria Math" w:hAnsi="Cambria Math"/>
                    </w:rPr>
                    <m:t>r</m:t>
                  </m:r>
                  <m:sSup>
                    <m:sSupPr>
                      <m:ctrlPr>
                        <w:rPr>
                          <w:rFonts w:ascii="Cambria Math" w:hAnsi="Cambria Math"/>
                        </w:rPr>
                      </m:ctrlPr>
                    </m:sSupPr>
                    <m:e>
                      <m:r>
                        <w:rPr>
                          <w:rFonts w:ascii="Cambria Math" w:hAnsi="Cambria Math"/>
                        </w:rPr>
                        <m:t>)</m:t>
                      </m:r>
                    </m:e>
                    <m:sup>
                      <m:r>
                        <w:rPr>
                          <w:rFonts w:ascii="Cambria Math" w:hAnsi="Cambria Math"/>
                        </w:rPr>
                        <m:t>t</m:t>
                      </m:r>
                    </m:sup>
                  </m:sSup>
                </m:e>
              </m:d>
            </m:den>
          </m:f>
          <m:r>
            <w:rPr>
              <w:rFonts w:ascii="Cambria Math" w:hAnsi="Cambria Math"/>
            </w:rPr>
            <m:t>-I</m:t>
          </m:r>
          <m:r>
            <m:rPr>
              <m:sty m:val="p"/>
            </m:rPr>
            <w:rPr>
              <w:rFonts w:ascii="Cambria Math" w:hAnsi="Cambria Math"/>
            </w:rPr>
            <w:br/>
          </m:r>
        </m:oMath>
      </m:oMathPara>
    </w:p>
    <w:p w14:paraId="571BCC3B" w14:textId="77777777" w:rsidR="0058121E" w:rsidRPr="007C6C16" w:rsidRDefault="0058121E" w:rsidP="007C6C16">
      <w:pPr>
        <w:spacing w:before="100" w:beforeAutospacing="1" w:after="100" w:afterAutospacing="1" w:line="360" w:lineRule="auto"/>
        <w:jc w:val="both"/>
      </w:pPr>
      <w:r w:rsidRPr="007C6C16">
        <w:t>Where:</w:t>
      </w:r>
    </w:p>
    <w:p w14:paraId="6076D06B" w14:textId="77777777" w:rsidR="0058121E" w:rsidRPr="007C6C16" w:rsidRDefault="00000000" w:rsidP="007C6C16">
      <w:pPr>
        <w:numPr>
          <w:ilvl w:val="0"/>
          <w:numId w:val="23"/>
        </w:numPr>
        <w:spacing w:before="100" w:beforeAutospacing="1" w:after="100" w:afterAutospacing="1" w:line="360" w:lineRule="auto"/>
        <w:jc w:val="both"/>
      </w:pPr>
      <m:oMath>
        <m:sSub>
          <m:sSubPr>
            <m:ctrlPr>
              <w:rPr>
                <w:rFonts w:ascii="Cambria Math" w:hAnsi="Cambria Math"/>
              </w:rPr>
            </m:ctrlPr>
          </m:sSubPr>
          <m:e>
            <m:r>
              <w:rPr>
                <w:rFonts w:ascii="Cambria Math" w:hAnsi="Cambria Math"/>
              </w:rPr>
              <m:t>C</m:t>
            </m:r>
          </m:e>
          <m:sub>
            <m:r>
              <w:rPr>
                <w:rFonts w:ascii="Cambria Math" w:hAnsi="Cambria Math"/>
              </w:rPr>
              <m:t>t</m:t>
            </m:r>
          </m:sub>
        </m:sSub>
      </m:oMath>
      <w:r w:rsidR="0058121E" w:rsidRPr="007C6C16">
        <w:t>= cash inflow at time t</w:t>
      </w:r>
    </w:p>
    <w:p w14:paraId="492682AB" w14:textId="77777777" w:rsidR="0058121E" w:rsidRPr="007C6C16" w:rsidRDefault="0058121E" w:rsidP="007C6C16">
      <w:pPr>
        <w:numPr>
          <w:ilvl w:val="0"/>
          <w:numId w:val="23"/>
        </w:numPr>
        <w:spacing w:before="100" w:beforeAutospacing="1" w:after="100" w:afterAutospacing="1" w:line="360" w:lineRule="auto"/>
        <w:jc w:val="both"/>
      </w:pPr>
      <m:oMath>
        <m:r>
          <w:rPr>
            <w:rFonts w:ascii="Cambria Math" w:hAnsi="Cambria Math"/>
          </w:rPr>
          <m:t>r</m:t>
        </m:r>
      </m:oMath>
      <w:r w:rsidRPr="007C6C16">
        <w:t>= discount rate (10%)</w:t>
      </w:r>
    </w:p>
    <w:p w14:paraId="656FC63E" w14:textId="77777777" w:rsidR="0058121E" w:rsidRPr="007C6C16" w:rsidRDefault="0058121E" w:rsidP="007C6C16">
      <w:pPr>
        <w:numPr>
          <w:ilvl w:val="0"/>
          <w:numId w:val="23"/>
        </w:numPr>
        <w:spacing w:before="100" w:beforeAutospacing="1" w:after="100" w:afterAutospacing="1" w:line="360" w:lineRule="auto"/>
        <w:jc w:val="both"/>
      </w:pPr>
      <m:oMath>
        <m:r>
          <w:rPr>
            <w:rFonts w:ascii="Cambria Math" w:hAnsi="Cambria Math"/>
          </w:rPr>
          <m:t>t</m:t>
        </m:r>
      </m:oMath>
      <w:r w:rsidRPr="007C6C16">
        <w:t>= year</w:t>
      </w:r>
    </w:p>
    <w:p w14:paraId="0C15167D" w14:textId="77777777" w:rsidR="0058121E" w:rsidRPr="007C6C16" w:rsidRDefault="0058121E" w:rsidP="007C6C16">
      <w:pPr>
        <w:numPr>
          <w:ilvl w:val="0"/>
          <w:numId w:val="23"/>
        </w:numPr>
        <w:spacing w:before="100" w:beforeAutospacing="1" w:after="100" w:afterAutospacing="1" w:line="360" w:lineRule="auto"/>
        <w:jc w:val="both"/>
      </w:pPr>
      <m:oMath>
        <m:r>
          <w:rPr>
            <w:rFonts w:ascii="Cambria Math" w:hAnsi="Cambria Math"/>
          </w:rPr>
          <m:t>I</m:t>
        </m:r>
      </m:oMath>
      <w:r w:rsidRPr="007C6C16">
        <w:t>= initial investment</w:t>
      </w:r>
    </w:p>
    <w:p w14:paraId="200C6459"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A:</w:t>
      </w:r>
    </w:p>
    <w:p w14:paraId="167260E2" w14:textId="77777777" w:rsidR="0058121E" w:rsidRPr="007C6C16" w:rsidRDefault="0058121E" w:rsidP="007C6C16">
      <w:pPr>
        <w:spacing w:line="360" w:lineRule="auto"/>
        <w:jc w:val="both"/>
      </w:pPr>
      <m:oMathPara>
        <m:oMath>
          <m:r>
            <w:rPr>
              <w:rFonts w:ascii="Cambria Math" w:hAnsi="Cambria Math"/>
            </w:rPr>
            <m:t>NP</m:t>
          </m:r>
          <m:sSub>
            <m:sSubPr>
              <m:ctrlPr>
                <w:rPr>
                  <w:rFonts w:ascii="Cambria Math" w:hAnsi="Cambria Math"/>
                </w:rPr>
              </m:ctrlPr>
            </m:sSubPr>
            <m:e>
              <m:r>
                <w:rPr>
                  <w:rFonts w:ascii="Cambria Math" w:hAnsi="Cambria Math"/>
                </w:rPr>
                <m:t>V</m:t>
              </m:r>
            </m:e>
            <m:sub>
              <m:r>
                <w:rPr>
                  <w:rFonts w:ascii="Cambria Math" w:hAnsi="Cambria Math"/>
                </w:rPr>
                <m:t>A</m:t>
              </m:r>
            </m:sub>
          </m:sSub>
          <m:r>
            <w:rPr>
              <w:rFonts w:ascii="Cambria Math" w:hAnsi="Cambria Math"/>
            </w:rPr>
            <m:t>=</m:t>
          </m:r>
          <m:f>
            <m:fPr>
              <m:ctrlPr>
                <w:rPr>
                  <w:rFonts w:ascii="Cambria Math" w:hAnsi="Cambria Math"/>
                </w:rPr>
              </m:ctrlPr>
            </m:fPr>
            <m:num>
              <m:r>
                <w:rPr>
                  <w:rFonts w:ascii="Cambria Math" w:hAnsi="Cambria Math"/>
                </w:rPr>
                <m:t>10</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1</m:t>
                      </m:r>
                    </m:sup>
                  </m:sSup>
                </m:e>
              </m:d>
            </m:den>
          </m:f>
          <m:r>
            <w:rPr>
              <w:rFonts w:ascii="Cambria Math" w:hAnsi="Cambria Math"/>
            </w:rPr>
            <m:t>+</m:t>
          </m:r>
          <m:f>
            <m:fPr>
              <m:ctrlPr>
                <w:rPr>
                  <w:rFonts w:ascii="Cambria Math" w:hAnsi="Cambria Math"/>
                </w:rPr>
              </m:ctrlPr>
            </m:fPr>
            <m:num>
              <m:r>
                <w:rPr>
                  <w:rFonts w:ascii="Cambria Math" w:hAnsi="Cambria Math"/>
                </w:rPr>
                <m:t>12</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2</m:t>
                      </m:r>
                    </m:sup>
                  </m:sSup>
                </m:e>
              </m:d>
            </m:den>
          </m:f>
          <m:r>
            <w:rPr>
              <w:rFonts w:ascii="Cambria Math" w:hAnsi="Cambria Math"/>
            </w:rPr>
            <m:t>+</m:t>
          </m:r>
          <m:f>
            <m:fPr>
              <m:ctrlPr>
                <w:rPr>
                  <w:rFonts w:ascii="Cambria Math" w:hAnsi="Cambria Math"/>
                </w:rPr>
              </m:ctrlPr>
            </m:fPr>
            <m:num>
              <m:r>
                <w:rPr>
                  <w:rFonts w:ascii="Cambria Math" w:hAnsi="Cambria Math"/>
                </w:rPr>
                <m:t>14</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3</m:t>
                      </m:r>
                    </m:sup>
                  </m:sSup>
                </m:e>
              </m:d>
            </m:den>
          </m:f>
          <m:r>
            <w:rPr>
              <w:rFonts w:ascii="Cambria Math" w:hAnsi="Cambria Math"/>
            </w:rPr>
            <m:t>+</m:t>
          </m:r>
          <m:f>
            <m:fPr>
              <m:ctrlPr>
                <w:rPr>
                  <w:rFonts w:ascii="Cambria Math" w:hAnsi="Cambria Math"/>
                </w:rPr>
              </m:ctrlPr>
            </m:fPr>
            <m:num>
              <m:r>
                <w:rPr>
                  <w:rFonts w:ascii="Cambria Math" w:hAnsi="Cambria Math"/>
                </w:rPr>
                <m:t>10</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4</m:t>
                      </m:r>
                    </m:sup>
                  </m:sSup>
                </m:e>
              </m:d>
            </m:den>
          </m:f>
          <m:r>
            <w:rPr>
              <w:rFonts w:ascii="Cambria Math" w:hAnsi="Cambria Math"/>
            </w:rPr>
            <m:t>+</m:t>
          </m:r>
          <m:f>
            <m:fPr>
              <m:ctrlPr>
                <w:rPr>
                  <w:rFonts w:ascii="Cambria Math" w:hAnsi="Cambria Math"/>
                </w:rPr>
              </m:ctrlPr>
            </m:fPr>
            <m:num>
              <m:r>
                <w:rPr>
                  <w:rFonts w:ascii="Cambria Math" w:hAnsi="Cambria Math"/>
                </w:rPr>
                <m:t>8</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5</m:t>
                      </m:r>
                    </m:sup>
                  </m:sSup>
                </m:e>
              </m:d>
            </m:den>
          </m:f>
          <m:r>
            <w:rPr>
              <w:rFonts w:ascii="Cambria Math" w:hAnsi="Cambria Math"/>
            </w:rPr>
            <m:t>-40</m:t>
          </m:r>
          <m:r>
            <m:rPr>
              <m:sty m:val="p"/>
            </m:rPr>
            <w:rPr>
              <w:rFonts w:ascii="Cambria Math" w:hAnsi="Cambria Math"/>
            </w:rPr>
            <w:br/>
          </m:r>
        </m:oMath>
        <m:oMath>
          <m:r>
            <w:rPr>
              <w:rFonts w:ascii="Cambria Math" w:hAnsi="Cambria Math"/>
            </w:rPr>
            <m:t>NP</m:t>
          </m:r>
          <m:sSub>
            <m:sSubPr>
              <m:ctrlPr>
                <w:rPr>
                  <w:rFonts w:ascii="Cambria Math" w:hAnsi="Cambria Math"/>
                </w:rPr>
              </m:ctrlPr>
            </m:sSubPr>
            <m:e>
              <m:r>
                <w:rPr>
                  <w:rFonts w:ascii="Cambria Math" w:hAnsi="Cambria Math"/>
                </w:rPr>
                <m:t>V</m:t>
              </m:r>
            </m:e>
            <m:sub>
              <m:r>
                <w:rPr>
                  <w:rFonts w:ascii="Cambria Math" w:hAnsi="Cambria Math"/>
                </w:rPr>
                <m:t>A</m:t>
              </m:r>
            </m:sub>
          </m:sSub>
          <m:r>
            <w:rPr>
              <w:rFonts w:ascii="Cambria Math" w:hAnsi="Cambria Math"/>
            </w:rPr>
            <m:t>=9.09+9.92+10.53+6.83+4.97-40=1.34</m:t>
          </m:r>
          <m:r>
            <m:rPr>
              <m:nor/>
            </m:rPr>
            <m:t xml:space="preserve"> million</m:t>
          </m:r>
          <m:r>
            <m:rPr>
              <m:sty m:val="p"/>
            </m:rPr>
            <w:rPr>
              <w:rFonts w:ascii="Cambria Math" w:hAnsi="Cambria Math"/>
            </w:rPr>
            <w:br/>
          </m:r>
        </m:oMath>
      </m:oMathPara>
    </w:p>
    <w:p w14:paraId="3CFB7A92"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B:</w:t>
      </w:r>
    </w:p>
    <w:p w14:paraId="1699FCEC" w14:textId="77777777" w:rsidR="0058121E" w:rsidRPr="007C6C16" w:rsidRDefault="0058121E" w:rsidP="007C6C16">
      <w:pPr>
        <w:spacing w:line="360" w:lineRule="auto"/>
        <w:jc w:val="both"/>
      </w:pPr>
      <m:oMathPara>
        <m:oMath>
          <m:r>
            <w:rPr>
              <w:rFonts w:ascii="Cambria Math" w:hAnsi="Cambria Math"/>
            </w:rPr>
            <m:t>NP</m:t>
          </m:r>
          <m:sSub>
            <m:sSubPr>
              <m:ctrlPr>
                <w:rPr>
                  <w:rFonts w:ascii="Cambria Math" w:hAnsi="Cambria Math"/>
                </w:rPr>
              </m:ctrlPr>
            </m:sSubPr>
            <m:e>
              <m:r>
                <w:rPr>
                  <w:rFonts w:ascii="Cambria Math" w:hAnsi="Cambria Math"/>
                </w:rPr>
                <m:t>V</m:t>
              </m:r>
            </m:e>
            <m:sub>
              <m:r>
                <w:rPr>
                  <w:rFonts w:ascii="Cambria Math" w:hAnsi="Cambria Math"/>
                </w:rPr>
                <m:t>B</m:t>
              </m:r>
            </m:sub>
          </m:sSub>
          <m:r>
            <w:rPr>
              <w:rFonts w:ascii="Cambria Math" w:hAnsi="Cambria Math"/>
            </w:rPr>
            <m:t>=</m:t>
          </m:r>
          <m:f>
            <m:fPr>
              <m:ctrlPr>
                <w:rPr>
                  <w:rFonts w:ascii="Cambria Math" w:hAnsi="Cambria Math"/>
                </w:rPr>
              </m:ctrlPr>
            </m:fPr>
            <m:num>
              <m:r>
                <w:rPr>
                  <w:rFonts w:ascii="Cambria Math" w:hAnsi="Cambria Math"/>
                </w:rPr>
                <m:t>6</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1</m:t>
                      </m:r>
                    </m:sup>
                  </m:sSup>
                </m:e>
              </m:d>
            </m:den>
          </m:f>
          <m:r>
            <w:rPr>
              <w:rFonts w:ascii="Cambria Math" w:hAnsi="Cambria Math"/>
            </w:rPr>
            <m:t>+</m:t>
          </m:r>
          <m:f>
            <m:fPr>
              <m:ctrlPr>
                <w:rPr>
                  <w:rFonts w:ascii="Cambria Math" w:hAnsi="Cambria Math"/>
                </w:rPr>
              </m:ctrlPr>
            </m:fPr>
            <m:num>
              <m:r>
                <w:rPr>
                  <w:rFonts w:ascii="Cambria Math" w:hAnsi="Cambria Math"/>
                </w:rPr>
                <m:t>6</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2</m:t>
                      </m:r>
                    </m:sup>
                  </m:sSup>
                </m:e>
              </m:d>
            </m:den>
          </m:f>
          <m:r>
            <w:rPr>
              <w:rFonts w:ascii="Cambria Math" w:hAnsi="Cambria Math"/>
            </w:rPr>
            <m:t>+</m:t>
          </m:r>
          <m:f>
            <m:fPr>
              <m:ctrlPr>
                <w:rPr>
                  <w:rFonts w:ascii="Cambria Math" w:hAnsi="Cambria Math"/>
                </w:rPr>
              </m:ctrlPr>
            </m:fPr>
            <m:num>
              <m:r>
                <w:rPr>
                  <w:rFonts w:ascii="Cambria Math" w:hAnsi="Cambria Math"/>
                </w:rPr>
                <m:t>6</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3</m:t>
                      </m:r>
                    </m:sup>
                  </m:sSup>
                </m:e>
              </m:d>
            </m:den>
          </m:f>
          <m:r>
            <w:rPr>
              <w:rFonts w:ascii="Cambria Math" w:hAnsi="Cambria Math"/>
            </w:rPr>
            <m:t>+</m:t>
          </m:r>
          <m:f>
            <m:fPr>
              <m:ctrlPr>
                <w:rPr>
                  <w:rFonts w:ascii="Cambria Math" w:hAnsi="Cambria Math"/>
                </w:rPr>
              </m:ctrlPr>
            </m:fPr>
            <m:num>
              <m:r>
                <w:rPr>
                  <w:rFonts w:ascii="Cambria Math" w:hAnsi="Cambria Math"/>
                </w:rPr>
                <m:t>6</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4</m:t>
                      </m:r>
                    </m:sup>
                  </m:sSup>
                </m:e>
              </m:d>
            </m:den>
          </m:f>
          <m:r>
            <w:rPr>
              <w:rFonts w:ascii="Cambria Math" w:hAnsi="Cambria Math"/>
            </w:rPr>
            <m:t>+</m:t>
          </m:r>
          <m:f>
            <m:fPr>
              <m:ctrlPr>
                <w:rPr>
                  <w:rFonts w:ascii="Cambria Math" w:hAnsi="Cambria Math"/>
                </w:rPr>
              </m:ctrlPr>
            </m:fPr>
            <m:num>
              <m:r>
                <w:rPr>
                  <w:rFonts w:ascii="Cambria Math" w:hAnsi="Cambria Math"/>
                </w:rPr>
                <m:t>6</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5</m:t>
                      </m:r>
                    </m:sup>
                  </m:sSup>
                </m:e>
              </m:d>
            </m:den>
          </m:f>
          <m:r>
            <w:rPr>
              <w:rFonts w:ascii="Cambria Math" w:hAnsi="Cambria Math"/>
            </w:rPr>
            <m:t>-30</m:t>
          </m:r>
          <m:r>
            <m:rPr>
              <m:sty m:val="p"/>
            </m:rPr>
            <w:rPr>
              <w:rFonts w:ascii="Cambria Math" w:hAnsi="Cambria Math"/>
            </w:rPr>
            <w:br/>
          </m:r>
        </m:oMath>
        <m:oMath>
          <m:r>
            <w:rPr>
              <w:rFonts w:ascii="Cambria Math" w:hAnsi="Cambria Math"/>
            </w:rPr>
            <m:t>NP</m:t>
          </m:r>
          <m:sSub>
            <m:sSubPr>
              <m:ctrlPr>
                <w:rPr>
                  <w:rFonts w:ascii="Cambria Math" w:hAnsi="Cambria Math"/>
                </w:rPr>
              </m:ctrlPr>
            </m:sSubPr>
            <m:e>
              <m:r>
                <w:rPr>
                  <w:rFonts w:ascii="Cambria Math" w:hAnsi="Cambria Math"/>
                </w:rPr>
                <m:t>V</m:t>
              </m:r>
            </m:e>
            <m:sub>
              <m:r>
                <w:rPr>
                  <w:rFonts w:ascii="Cambria Math" w:hAnsi="Cambria Math"/>
                </w:rPr>
                <m:t>B</m:t>
              </m:r>
            </m:sub>
          </m:sSub>
          <m:r>
            <w:rPr>
              <w:rFonts w:ascii="Cambria Math" w:hAnsi="Cambria Math"/>
            </w:rPr>
            <m:t>=5.45+4.95+4.50+4.09+3.71-30=-7.30</m:t>
          </m:r>
          <m:r>
            <m:rPr>
              <m:nor/>
            </m:rPr>
            <m:t xml:space="preserve"> million</m:t>
          </m:r>
          <m:r>
            <m:rPr>
              <m:sty m:val="p"/>
            </m:rPr>
            <w:rPr>
              <w:rFonts w:ascii="Cambria Math" w:hAnsi="Cambria Math"/>
            </w:rPr>
            <w:br/>
          </m:r>
        </m:oMath>
      </m:oMathPara>
    </w:p>
    <w:p w14:paraId="2C88A0F5"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C:</w:t>
      </w:r>
    </w:p>
    <w:p w14:paraId="1093ABD3" w14:textId="77777777" w:rsidR="0058121E" w:rsidRPr="007C6C16" w:rsidRDefault="0058121E" w:rsidP="007C6C16">
      <w:pPr>
        <w:spacing w:line="360" w:lineRule="auto"/>
        <w:jc w:val="both"/>
      </w:pPr>
      <m:oMathPara>
        <m:oMath>
          <m:r>
            <w:rPr>
              <w:rFonts w:ascii="Cambria Math" w:hAnsi="Cambria Math"/>
            </w:rPr>
            <w:lastRenderedPageBreak/>
            <m:t>NP</m:t>
          </m:r>
          <m:sSub>
            <m:sSubPr>
              <m:ctrlPr>
                <w:rPr>
                  <w:rFonts w:ascii="Cambria Math" w:hAnsi="Cambria Math"/>
                </w:rPr>
              </m:ctrlPr>
            </m:sSubPr>
            <m:e>
              <m:r>
                <w:rPr>
                  <w:rFonts w:ascii="Cambria Math" w:hAnsi="Cambria Math"/>
                </w:rPr>
                <m:t>V</m:t>
              </m: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5</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1</m:t>
                      </m:r>
                    </m:sup>
                  </m:sSup>
                </m:e>
              </m:d>
            </m:den>
          </m:f>
          <m:r>
            <w:rPr>
              <w:rFonts w:ascii="Cambria Math" w:hAnsi="Cambria Math"/>
            </w:rPr>
            <m:t>+</m:t>
          </m:r>
          <m:f>
            <m:fPr>
              <m:ctrlPr>
                <w:rPr>
                  <w:rFonts w:ascii="Cambria Math" w:hAnsi="Cambria Math"/>
                </w:rPr>
              </m:ctrlPr>
            </m:fPr>
            <m:num>
              <m:r>
                <w:rPr>
                  <w:rFonts w:ascii="Cambria Math" w:hAnsi="Cambria Math"/>
                </w:rPr>
                <m:t>10</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2</m:t>
                      </m:r>
                    </m:sup>
                  </m:sSup>
                </m:e>
              </m:d>
            </m:den>
          </m:f>
          <m:r>
            <w:rPr>
              <w:rFonts w:ascii="Cambria Math" w:hAnsi="Cambria Math"/>
            </w:rPr>
            <m:t>+</m:t>
          </m:r>
          <m:f>
            <m:fPr>
              <m:ctrlPr>
                <w:rPr>
                  <w:rFonts w:ascii="Cambria Math" w:hAnsi="Cambria Math"/>
                </w:rPr>
              </m:ctrlPr>
            </m:fPr>
            <m:num>
              <m:r>
                <w:rPr>
                  <w:rFonts w:ascii="Cambria Math" w:hAnsi="Cambria Math"/>
                </w:rPr>
                <m:t>20</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3</m:t>
                      </m:r>
                    </m:sup>
                  </m:sSup>
                </m:e>
              </m:d>
            </m:den>
          </m:f>
          <m:r>
            <w:rPr>
              <w:rFonts w:ascii="Cambria Math" w:hAnsi="Cambria Math"/>
            </w:rPr>
            <m:t>+</m:t>
          </m:r>
          <m:f>
            <m:fPr>
              <m:ctrlPr>
                <w:rPr>
                  <w:rFonts w:ascii="Cambria Math" w:hAnsi="Cambria Math"/>
                </w:rPr>
              </m:ctrlPr>
            </m:fPr>
            <m:num>
              <m:r>
                <w:rPr>
                  <w:rFonts w:ascii="Cambria Math" w:hAnsi="Cambria Math"/>
                </w:rPr>
                <m:t>25</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4</m:t>
                      </m:r>
                    </m:sup>
                  </m:sSup>
                </m:e>
              </m:d>
            </m:den>
          </m:f>
          <m:r>
            <w:rPr>
              <w:rFonts w:ascii="Cambria Math" w:hAnsi="Cambria Math"/>
            </w:rPr>
            <m:t>+</m:t>
          </m:r>
          <m:f>
            <m:fPr>
              <m:ctrlPr>
                <w:rPr>
                  <w:rFonts w:ascii="Cambria Math" w:hAnsi="Cambria Math"/>
                </w:rPr>
              </m:ctrlPr>
            </m:fPr>
            <m:num>
              <m:r>
                <w:rPr>
                  <w:rFonts w:ascii="Cambria Math" w:hAnsi="Cambria Math"/>
                </w:rPr>
                <m:t>15</m:t>
              </m:r>
            </m:num>
            <m:den>
              <m:d>
                <m:dPr>
                  <m:sepChr m:val="+"/>
                  <m:endChr m:val=""/>
                  <m:ctrlPr>
                    <w:rPr>
                      <w:rFonts w:ascii="Cambria Math" w:hAnsi="Cambria Math"/>
                    </w:rPr>
                  </m:ctrlPr>
                </m:dPr>
                <m:e>
                  <m:r>
                    <w:rPr>
                      <w:rFonts w:ascii="Cambria Math" w:hAnsi="Cambria Math"/>
                    </w:rPr>
                    <m:t>1</m:t>
                  </m:r>
                </m:e>
                <m:e>
                  <m:r>
                    <w:rPr>
                      <w:rFonts w:ascii="Cambria Math" w:hAnsi="Cambria Math"/>
                    </w:rPr>
                    <m:t>0.1</m:t>
                  </m:r>
                  <m:sSup>
                    <m:sSupPr>
                      <m:ctrlPr>
                        <w:rPr>
                          <w:rFonts w:ascii="Cambria Math" w:hAnsi="Cambria Math"/>
                        </w:rPr>
                      </m:ctrlPr>
                    </m:sSupPr>
                    <m:e>
                      <m:r>
                        <w:rPr>
                          <w:rFonts w:ascii="Cambria Math" w:hAnsi="Cambria Math"/>
                        </w:rPr>
                        <m:t>)</m:t>
                      </m:r>
                    </m:e>
                    <m:sup>
                      <m:r>
                        <w:rPr>
                          <w:rFonts w:ascii="Cambria Math" w:hAnsi="Cambria Math"/>
                        </w:rPr>
                        <m:t>5</m:t>
                      </m:r>
                    </m:sup>
                  </m:sSup>
                </m:e>
              </m:d>
            </m:den>
          </m:f>
          <m:r>
            <w:rPr>
              <w:rFonts w:ascii="Cambria Math" w:hAnsi="Cambria Math"/>
            </w:rPr>
            <m:t>-50</m:t>
          </m:r>
          <m:r>
            <m:rPr>
              <m:sty m:val="p"/>
            </m:rPr>
            <w:rPr>
              <w:rFonts w:ascii="Cambria Math" w:hAnsi="Cambria Math"/>
            </w:rPr>
            <w:br/>
          </m:r>
        </m:oMath>
        <m:oMath>
          <m:r>
            <w:rPr>
              <w:rFonts w:ascii="Cambria Math" w:hAnsi="Cambria Math"/>
            </w:rPr>
            <m:t>NP</m:t>
          </m:r>
          <m:sSub>
            <m:sSubPr>
              <m:ctrlPr>
                <w:rPr>
                  <w:rFonts w:ascii="Cambria Math" w:hAnsi="Cambria Math"/>
                </w:rPr>
              </m:ctrlPr>
            </m:sSubPr>
            <m:e>
              <m:r>
                <w:rPr>
                  <w:rFonts w:ascii="Cambria Math" w:hAnsi="Cambria Math"/>
                </w:rPr>
                <m:t>V</m:t>
              </m:r>
            </m:e>
            <m:sub>
              <m:r>
                <w:rPr>
                  <w:rFonts w:ascii="Cambria Math" w:hAnsi="Cambria Math"/>
                </w:rPr>
                <m:t>C</m:t>
              </m:r>
            </m:sub>
          </m:sSub>
          <m:r>
            <w:rPr>
              <w:rFonts w:ascii="Cambria Math" w:hAnsi="Cambria Math"/>
            </w:rPr>
            <m:t>=4.55+8.26+15.03+17.07+9.30-50=4.21</m:t>
          </m:r>
          <m:r>
            <m:rPr>
              <m:nor/>
            </m:rPr>
            <m:t xml:space="preserve"> million</m:t>
          </m:r>
          <m:r>
            <m:rPr>
              <m:sty m:val="p"/>
            </m:rPr>
            <w:rPr>
              <w:rFonts w:ascii="Cambria Math" w:hAnsi="Cambria Math"/>
            </w:rPr>
            <w:br/>
          </m:r>
        </m:oMath>
      </m:oMathPara>
    </w:p>
    <w:p w14:paraId="0C3388CF" w14:textId="658AE069"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29" w:name="_Toc214885161"/>
      <w:bookmarkStart w:id="30" w:name="_Toc214887506"/>
      <w:r w:rsidRPr="007C6C16">
        <w:rPr>
          <w:rFonts w:ascii="Times New Roman" w:hAnsi="Times New Roman" w:cs="Times New Roman"/>
          <w:b/>
          <w:bCs/>
          <w:color w:val="auto"/>
          <w:sz w:val="24"/>
          <w:szCs w:val="24"/>
        </w:rPr>
        <w:t>Profitability Index (PI)</w:t>
      </w:r>
      <w:bookmarkEnd w:id="29"/>
      <w:bookmarkEnd w:id="30"/>
    </w:p>
    <w:p w14:paraId="301427CB" w14:textId="69A4D918" w:rsidR="0058121E" w:rsidRPr="007C6C16" w:rsidRDefault="00BD7A0E" w:rsidP="007C6C16">
      <w:pPr>
        <w:spacing w:before="100" w:beforeAutospacing="1" w:after="100" w:afterAutospacing="1" w:line="360" w:lineRule="auto"/>
        <w:jc w:val="both"/>
      </w:pPr>
      <w:r w:rsidRPr="007C6C16">
        <w:t>The Profitability Index (PI) is a ratio of present value of future cash flows against the investment. It is calculated as</w:t>
      </w:r>
      <w:r w:rsidR="0058121E" w:rsidRPr="007C6C16">
        <w:t>:</w:t>
      </w:r>
    </w:p>
    <w:p w14:paraId="1047723D" w14:textId="77777777" w:rsidR="0058121E" w:rsidRPr="007C6C16" w:rsidRDefault="0058121E" w:rsidP="007C6C16">
      <w:pPr>
        <w:spacing w:line="360" w:lineRule="auto"/>
        <w:jc w:val="both"/>
      </w:pPr>
      <m:oMathPara>
        <m:oMath>
          <m:r>
            <w:rPr>
              <w:rFonts w:ascii="Cambria Math" w:hAnsi="Cambria Math"/>
            </w:rPr>
            <m:t>PI=</m:t>
          </m:r>
          <m:f>
            <m:fPr>
              <m:ctrlPr>
                <w:rPr>
                  <w:rFonts w:ascii="Cambria Math" w:hAnsi="Cambria Math"/>
                </w:rPr>
              </m:ctrlPr>
            </m:fPr>
            <m:num>
              <m:r>
                <m:rPr>
                  <m:nor/>
                </m:rPr>
                <m:t>Present Value of Future Cash Flows</m:t>
              </m:r>
            </m:num>
            <m:den>
              <m:r>
                <m:rPr>
                  <m:nor/>
                </m:rPr>
                <m:t>Initial Investment</m:t>
              </m:r>
            </m:den>
          </m:f>
          <m:r>
            <m:rPr>
              <m:sty m:val="p"/>
            </m:rPr>
            <w:rPr>
              <w:rFonts w:ascii="Cambria Math" w:hAnsi="Cambria Math"/>
            </w:rPr>
            <w:br/>
          </m:r>
        </m:oMath>
      </m:oMathPara>
    </w:p>
    <w:p w14:paraId="1FF63952"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A:</w:t>
      </w:r>
    </w:p>
    <w:p w14:paraId="4401CA3E" w14:textId="77777777" w:rsidR="0058121E" w:rsidRPr="007C6C16" w:rsidRDefault="0058121E" w:rsidP="007C6C16">
      <w:pPr>
        <w:spacing w:line="360" w:lineRule="auto"/>
        <w:jc w:val="both"/>
      </w:pPr>
      <m:oMathPara>
        <m:oMath>
          <m:r>
            <w:rPr>
              <w:rFonts w:ascii="Cambria Math" w:hAnsi="Cambria Math"/>
            </w:rPr>
            <m:t>P</m:t>
          </m:r>
          <m:sSub>
            <m:sSubPr>
              <m:ctrlPr>
                <w:rPr>
                  <w:rFonts w:ascii="Cambria Math" w:hAnsi="Cambria Math"/>
                </w:rPr>
              </m:ctrlPr>
            </m:sSubPr>
            <m:e>
              <m:r>
                <w:rPr>
                  <w:rFonts w:ascii="Cambria Math" w:hAnsi="Cambria Math"/>
                </w:rPr>
                <m:t>I</m:t>
              </m:r>
            </m:e>
            <m:sub>
              <m:r>
                <w:rPr>
                  <w:rFonts w:ascii="Cambria Math" w:hAnsi="Cambria Math"/>
                </w:rPr>
                <m:t>A</m:t>
              </m:r>
            </m:sub>
          </m:sSub>
          <m:r>
            <w:rPr>
              <w:rFonts w:ascii="Cambria Math" w:hAnsi="Cambria Math"/>
            </w:rPr>
            <m:t>=</m:t>
          </m:r>
          <m:f>
            <m:fPr>
              <m:ctrlPr>
                <w:rPr>
                  <w:rFonts w:ascii="Cambria Math" w:hAnsi="Cambria Math"/>
                </w:rPr>
              </m:ctrlPr>
            </m:fPr>
            <m:num>
              <m:r>
                <w:rPr>
                  <w:rFonts w:ascii="Cambria Math" w:hAnsi="Cambria Math"/>
                </w:rPr>
                <m:t>1.34+40</m:t>
              </m:r>
            </m:num>
            <m:den>
              <m:r>
                <w:rPr>
                  <w:rFonts w:ascii="Cambria Math" w:hAnsi="Cambria Math"/>
                </w:rPr>
                <m:t>40</m:t>
              </m:r>
            </m:den>
          </m:f>
          <m:r>
            <w:rPr>
              <w:rFonts w:ascii="Cambria Math" w:hAnsi="Cambria Math"/>
            </w:rPr>
            <m:t>=1.034</m:t>
          </m:r>
          <m:r>
            <m:rPr>
              <m:sty m:val="p"/>
            </m:rPr>
            <w:rPr>
              <w:rFonts w:ascii="Cambria Math" w:hAnsi="Cambria Math"/>
            </w:rPr>
            <w:br/>
          </m:r>
        </m:oMath>
      </m:oMathPara>
    </w:p>
    <w:p w14:paraId="13B882FE"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B:</w:t>
      </w:r>
    </w:p>
    <w:p w14:paraId="28861547" w14:textId="77777777" w:rsidR="0058121E" w:rsidRPr="007C6C16" w:rsidRDefault="0058121E" w:rsidP="007C6C16">
      <w:pPr>
        <w:spacing w:line="360" w:lineRule="auto"/>
        <w:jc w:val="both"/>
      </w:pPr>
      <m:oMathPara>
        <m:oMath>
          <m:r>
            <w:rPr>
              <w:rFonts w:ascii="Cambria Math" w:hAnsi="Cambria Math"/>
            </w:rPr>
            <m:t>P</m:t>
          </m:r>
          <m:sSub>
            <m:sSubPr>
              <m:ctrlPr>
                <w:rPr>
                  <w:rFonts w:ascii="Cambria Math" w:hAnsi="Cambria Math"/>
                </w:rPr>
              </m:ctrlPr>
            </m:sSubPr>
            <m:e>
              <m:r>
                <w:rPr>
                  <w:rFonts w:ascii="Cambria Math" w:hAnsi="Cambria Math"/>
                </w:rPr>
                <m:t>I</m:t>
              </m:r>
            </m:e>
            <m:sub>
              <m:r>
                <w:rPr>
                  <w:rFonts w:ascii="Cambria Math" w:hAnsi="Cambria Math"/>
                </w:rPr>
                <m:t>B</m:t>
              </m:r>
            </m:sub>
          </m:sSub>
          <m:r>
            <w:rPr>
              <w:rFonts w:ascii="Cambria Math" w:hAnsi="Cambria Math"/>
            </w:rPr>
            <m:t>=</m:t>
          </m:r>
          <m:f>
            <m:fPr>
              <m:ctrlPr>
                <w:rPr>
                  <w:rFonts w:ascii="Cambria Math" w:hAnsi="Cambria Math"/>
                </w:rPr>
              </m:ctrlPr>
            </m:fPr>
            <m:num>
              <m:r>
                <w:rPr>
                  <w:rFonts w:ascii="Cambria Math" w:hAnsi="Cambria Math"/>
                </w:rPr>
                <m:t>-7.30+30</m:t>
              </m:r>
            </m:num>
            <m:den>
              <m:r>
                <w:rPr>
                  <w:rFonts w:ascii="Cambria Math" w:hAnsi="Cambria Math"/>
                </w:rPr>
                <m:t>30</m:t>
              </m:r>
            </m:den>
          </m:f>
          <m:r>
            <w:rPr>
              <w:rFonts w:ascii="Cambria Math" w:hAnsi="Cambria Math"/>
            </w:rPr>
            <m:t>=0.76</m:t>
          </m:r>
          <m:r>
            <m:rPr>
              <m:sty m:val="p"/>
            </m:rPr>
            <w:rPr>
              <w:rFonts w:ascii="Cambria Math" w:hAnsi="Cambria Math"/>
            </w:rPr>
            <w:br/>
          </m:r>
        </m:oMath>
      </m:oMathPara>
    </w:p>
    <w:p w14:paraId="3AEB17D0" w14:textId="77777777" w:rsidR="0058121E" w:rsidRPr="007C6C16" w:rsidRDefault="0058121E" w:rsidP="007C6C16">
      <w:pPr>
        <w:spacing w:before="100" w:beforeAutospacing="1" w:after="100" w:afterAutospacing="1" w:line="360" w:lineRule="auto"/>
        <w:jc w:val="both"/>
        <w:outlineLvl w:val="3"/>
        <w:rPr>
          <w:b/>
          <w:bCs/>
        </w:rPr>
      </w:pPr>
      <w:r w:rsidRPr="007C6C16">
        <w:rPr>
          <w:b/>
          <w:bCs/>
        </w:rPr>
        <w:t>Project C:</w:t>
      </w:r>
    </w:p>
    <w:p w14:paraId="67FD6A4A" w14:textId="77777777" w:rsidR="0058121E" w:rsidRPr="007C6C16" w:rsidRDefault="0058121E" w:rsidP="007C6C16">
      <w:pPr>
        <w:spacing w:line="360" w:lineRule="auto"/>
        <w:jc w:val="both"/>
      </w:pPr>
      <m:oMathPara>
        <m:oMath>
          <m:r>
            <w:rPr>
              <w:rFonts w:ascii="Cambria Math" w:hAnsi="Cambria Math"/>
            </w:rPr>
            <m:t>P</m:t>
          </m:r>
          <m:sSub>
            <m:sSubPr>
              <m:ctrlPr>
                <w:rPr>
                  <w:rFonts w:ascii="Cambria Math" w:hAnsi="Cambria Math"/>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4.21+50</m:t>
              </m:r>
            </m:num>
            <m:den>
              <m:r>
                <w:rPr>
                  <w:rFonts w:ascii="Cambria Math" w:hAnsi="Cambria Math"/>
                </w:rPr>
                <m:t>50</m:t>
              </m:r>
            </m:den>
          </m:f>
          <m:r>
            <w:rPr>
              <w:rFonts w:ascii="Cambria Math" w:hAnsi="Cambria Math"/>
            </w:rPr>
            <m:t>=1.084</m:t>
          </m:r>
          <m:r>
            <m:rPr>
              <m:sty m:val="p"/>
            </m:rPr>
            <w:rPr>
              <w:rFonts w:ascii="Cambria Math" w:hAnsi="Cambria Math"/>
            </w:rPr>
            <w:br/>
          </m:r>
        </m:oMath>
      </m:oMathPara>
    </w:p>
    <w:p w14:paraId="7FE39004" w14:textId="11F1B69C"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31" w:name="_Toc214885162"/>
      <w:bookmarkStart w:id="32" w:name="_Toc214887507"/>
      <w:r w:rsidRPr="007C6C16">
        <w:rPr>
          <w:rFonts w:ascii="Times New Roman" w:hAnsi="Times New Roman" w:cs="Times New Roman"/>
          <w:b/>
          <w:bCs/>
          <w:color w:val="auto"/>
          <w:sz w:val="24"/>
          <w:szCs w:val="24"/>
        </w:rPr>
        <w:t>Internal Rate of Return (IRR)</w:t>
      </w:r>
      <w:bookmarkEnd w:id="31"/>
      <w:bookmarkEnd w:id="32"/>
    </w:p>
    <w:p w14:paraId="5818E250" w14:textId="2B98F24A" w:rsidR="0058121E" w:rsidRPr="007C6C16" w:rsidRDefault="00BD7A0E" w:rsidP="007C6C16">
      <w:pPr>
        <w:spacing w:before="100" w:beforeAutospacing="1" w:after="100" w:afterAutospacing="1" w:line="360" w:lineRule="auto"/>
        <w:jc w:val="both"/>
      </w:pPr>
      <w:r w:rsidRPr="007C6C16">
        <w:t>The IRR is the rate of discount at which the NPV of a project equals zero. It is determined through repetition or through a financial program. According to the above-calculated NPV, we are estimating that</w:t>
      </w:r>
      <w:r w:rsidR="0058121E" w:rsidRPr="007C6C16">
        <w:t>:</w:t>
      </w:r>
    </w:p>
    <w:p w14:paraId="4DAEF074" w14:textId="77777777" w:rsidR="0058121E" w:rsidRPr="007C6C16" w:rsidRDefault="0058121E" w:rsidP="007C6C16">
      <w:pPr>
        <w:numPr>
          <w:ilvl w:val="0"/>
          <w:numId w:val="24"/>
        </w:numPr>
        <w:spacing w:before="100" w:beforeAutospacing="1" w:after="100" w:afterAutospacing="1" w:line="360" w:lineRule="auto"/>
        <w:jc w:val="both"/>
      </w:pPr>
      <w:r w:rsidRPr="007C6C16">
        <w:rPr>
          <w:b/>
          <w:bCs/>
        </w:rPr>
        <w:t>IRR for Project A</w:t>
      </w:r>
      <w:r w:rsidRPr="007C6C16">
        <w:t>: 10.5%</w:t>
      </w:r>
    </w:p>
    <w:p w14:paraId="4B4B605E" w14:textId="77777777" w:rsidR="0058121E" w:rsidRPr="007C6C16" w:rsidRDefault="0058121E" w:rsidP="007C6C16">
      <w:pPr>
        <w:numPr>
          <w:ilvl w:val="0"/>
          <w:numId w:val="24"/>
        </w:numPr>
        <w:spacing w:before="100" w:beforeAutospacing="1" w:after="100" w:afterAutospacing="1" w:line="360" w:lineRule="auto"/>
        <w:jc w:val="both"/>
      </w:pPr>
      <w:r w:rsidRPr="007C6C16">
        <w:rPr>
          <w:b/>
          <w:bCs/>
        </w:rPr>
        <w:t>IRR for Project B</w:t>
      </w:r>
      <w:r w:rsidRPr="007C6C16">
        <w:t>: 6.7%</w:t>
      </w:r>
    </w:p>
    <w:p w14:paraId="556786E5" w14:textId="5F9CE0E2" w:rsidR="0058121E" w:rsidRPr="007C6C16" w:rsidRDefault="0058121E" w:rsidP="007C6C16">
      <w:pPr>
        <w:numPr>
          <w:ilvl w:val="0"/>
          <w:numId w:val="24"/>
        </w:numPr>
        <w:spacing w:before="100" w:beforeAutospacing="1" w:after="100" w:afterAutospacing="1" w:line="360" w:lineRule="auto"/>
        <w:jc w:val="both"/>
      </w:pPr>
      <w:r w:rsidRPr="007C6C16">
        <w:rPr>
          <w:b/>
          <w:bCs/>
        </w:rPr>
        <w:lastRenderedPageBreak/>
        <w:t>IRR for Project C</w:t>
      </w:r>
      <w:r w:rsidRPr="007C6C16">
        <w:t>: 12%</w:t>
      </w:r>
    </w:p>
    <w:p w14:paraId="7FAEE012" w14:textId="77777777" w:rsidR="0058121E" w:rsidRPr="007C6C16" w:rsidRDefault="0058121E" w:rsidP="007C6C16">
      <w:pPr>
        <w:pStyle w:val="Heading2"/>
        <w:spacing w:line="360" w:lineRule="auto"/>
        <w:jc w:val="both"/>
        <w:rPr>
          <w:rFonts w:ascii="Times New Roman" w:hAnsi="Times New Roman" w:cs="Times New Roman"/>
          <w:b/>
          <w:bCs/>
          <w:color w:val="auto"/>
          <w:sz w:val="24"/>
          <w:szCs w:val="24"/>
        </w:rPr>
      </w:pPr>
      <w:bookmarkStart w:id="33" w:name="_Toc214885163"/>
      <w:bookmarkStart w:id="34" w:name="_Toc214887508"/>
      <w:r w:rsidRPr="007C6C16">
        <w:rPr>
          <w:rFonts w:ascii="Times New Roman" w:hAnsi="Times New Roman" w:cs="Times New Roman"/>
          <w:b/>
          <w:bCs/>
          <w:color w:val="auto"/>
          <w:sz w:val="24"/>
          <w:szCs w:val="24"/>
        </w:rPr>
        <w:t>Final Recommendation</w:t>
      </w:r>
      <w:bookmarkEnd w:id="33"/>
      <w:bookmarkEnd w:id="34"/>
    </w:p>
    <w:p w14:paraId="466B6CAB" w14:textId="32FE8A55" w:rsidR="00BD7A0E" w:rsidRPr="007C6C16" w:rsidRDefault="00BD7A0E" w:rsidP="007C6C16">
      <w:pPr>
        <w:pStyle w:val="NormalWeb"/>
        <w:spacing w:line="360" w:lineRule="auto"/>
        <w:jc w:val="both"/>
      </w:pPr>
      <w:r w:rsidRPr="007C6C16">
        <w:t>After evaluating the three investment projects that the various methodologies of financial appraisal</w:t>
      </w:r>
      <w:r w:rsidR="00932200" w:rsidRPr="007C6C16">
        <w:t xml:space="preserve"> have proposed,</w:t>
      </w:r>
      <w:r w:rsidRPr="007C6C16">
        <w:t xml:space="preserve"> Payback Period (PBP), Accounting Rate of Return (ARR) and Net Present Value (NPV), </w:t>
      </w:r>
      <w:r w:rsidR="00932200" w:rsidRPr="007C6C16">
        <w:t>P</w:t>
      </w:r>
      <w:r w:rsidRPr="007C6C16">
        <w:t>roject C will be the most suitable one in the case of General Electronics, considering it has a capital rationing limit of 60 million pounds.</w:t>
      </w:r>
    </w:p>
    <w:p w14:paraId="2234BA29" w14:textId="012BF753" w:rsidR="00BD7A0E" w:rsidRPr="007C6C16" w:rsidRDefault="00BD7A0E" w:rsidP="007C6C16">
      <w:pPr>
        <w:pStyle w:val="NormalWeb"/>
        <w:spacing w:line="360" w:lineRule="auto"/>
        <w:jc w:val="both"/>
      </w:pPr>
      <w:r w:rsidRPr="007C6C16">
        <w:t xml:space="preserve">Project C is financially viable as it has the highest NPV of 4.21 million, an IRR of 12, a Profitability Index (PI) of 1.084, and a value greater than one, which is also a value-creating investment. CASH inflows of the project that comprise of the cash inflows at the onset of project (in the first year -5 million), cash inflows in the second, third, fourth and fifth year (10 million, 20 and 25 million) and cash inflows in the sixth and seventh year (15 million) enable us to view a </w:t>
      </w:r>
      <w:r w:rsidR="00932200" w:rsidRPr="007C6C16">
        <w:t>well-balanced</w:t>
      </w:r>
      <w:r w:rsidRPr="007C6C16">
        <w:t xml:space="preserve"> profile of cash flow that increases as the time goes by. This not only increase</w:t>
      </w:r>
      <w:r w:rsidR="00932200" w:rsidRPr="007C6C16">
        <w:t>s</w:t>
      </w:r>
      <w:r w:rsidRPr="007C6C16">
        <w:t xml:space="preserve"> liquidity but also provides the company with tremendous growth possibilities. Better still, Project C discounted at 12 is more than the company</w:t>
      </w:r>
      <w:r w:rsidR="00932200" w:rsidRPr="007C6C16">
        <w:t>’s</w:t>
      </w:r>
      <w:r w:rsidRPr="007C6C16">
        <w:t xml:space="preserve"> required discount rate of 10, and therefore it is quite an attractive investment to the company.</w:t>
      </w:r>
    </w:p>
    <w:p w14:paraId="5BD668CC" w14:textId="77777777" w:rsidR="00BD7A0E" w:rsidRPr="007C6C16" w:rsidRDefault="00BD7A0E" w:rsidP="007C6C16">
      <w:pPr>
        <w:pStyle w:val="NormalWeb"/>
        <w:spacing w:line="360" w:lineRule="auto"/>
        <w:jc w:val="both"/>
      </w:pPr>
      <w:r w:rsidRPr="007C6C16">
        <w:t>Project A also offers a good NPV and moderately low payback period of 3.4 years, but it does not present the company with the same returns and long-term potential as Project C and its returns of -1.34 million and lower IRR of 10.5% are not as appealing as the returns offered by Project C.</w:t>
      </w:r>
    </w:p>
    <w:p w14:paraId="7F81F332" w14:textId="091301CA" w:rsidR="00BD7A0E" w:rsidRPr="007C6C16" w:rsidRDefault="00932200" w:rsidP="007C6C16">
      <w:pPr>
        <w:pStyle w:val="NormalWeb"/>
        <w:spacing w:line="360" w:lineRule="auto"/>
        <w:jc w:val="both"/>
      </w:pPr>
      <w:r w:rsidRPr="007C6C16">
        <w:t>So,</w:t>
      </w:r>
      <w:r w:rsidR="00BD7A0E" w:rsidRPr="007C6C16">
        <w:t xml:space="preserve"> Project C is the project </w:t>
      </w:r>
      <w:r w:rsidRPr="007C6C16">
        <w:t>that</w:t>
      </w:r>
      <w:r w:rsidR="00BD7A0E" w:rsidRPr="007C6C16">
        <w:t xml:space="preserve"> can best fit the financial goals and financial constraints of the company and will give high returns to the business both </w:t>
      </w:r>
      <w:r w:rsidRPr="007C6C16">
        <w:t>o</w:t>
      </w:r>
      <w:r w:rsidR="00BD7A0E" w:rsidRPr="007C6C16">
        <w:t xml:space="preserve">n </w:t>
      </w:r>
      <w:r w:rsidRPr="007C6C16">
        <w:t>a short- and long-term</w:t>
      </w:r>
      <w:r w:rsidR="00BD7A0E" w:rsidRPr="007C6C16">
        <w:t xml:space="preserve"> basis. Judging by the budget available of 60million, it is recommendable that General Electronics should proceed with Project C</w:t>
      </w:r>
      <w:r w:rsidRPr="007C6C16">
        <w:t>,</w:t>
      </w:r>
      <w:r w:rsidR="00BD7A0E" w:rsidRPr="007C6C16">
        <w:t xml:space="preserve"> considering that it will have a good investment strategy towards sustainable growth and value creation.</w:t>
      </w:r>
    </w:p>
    <w:p w14:paraId="375BB482" w14:textId="77777777" w:rsidR="00BD7A0E" w:rsidRPr="007C6C16" w:rsidRDefault="00BD7A0E" w:rsidP="007C6C16">
      <w:pPr>
        <w:pStyle w:val="Heading1"/>
        <w:spacing w:line="360" w:lineRule="auto"/>
        <w:jc w:val="both"/>
        <w:rPr>
          <w:rFonts w:ascii="Times New Roman" w:hAnsi="Times New Roman" w:cs="Times New Roman"/>
          <w:b/>
          <w:bCs/>
          <w:color w:val="auto"/>
          <w:sz w:val="24"/>
          <w:szCs w:val="24"/>
        </w:rPr>
      </w:pPr>
      <w:bookmarkStart w:id="35" w:name="_Toc214885164"/>
      <w:bookmarkStart w:id="36" w:name="_Toc214887509"/>
      <w:r w:rsidRPr="007C6C16">
        <w:rPr>
          <w:rFonts w:ascii="Times New Roman" w:hAnsi="Times New Roman" w:cs="Times New Roman"/>
          <w:b/>
          <w:bCs/>
          <w:color w:val="auto"/>
          <w:sz w:val="24"/>
          <w:szCs w:val="24"/>
        </w:rPr>
        <w:t>Conclusion</w:t>
      </w:r>
      <w:bookmarkEnd w:id="35"/>
      <w:bookmarkEnd w:id="36"/>
    </w:p>
    <w:p w14:paraId="5428B5EB" w14:textId="1E6CAA2F" w:rsidR="00BD7A0E" w:rsidRPr="007C6C16" w:rsidRDefault="00932200" w:rsidP="007C6C16">
      <w:pPr>
        <w:pStyle w:val="NormalWeb"/>
        <w:spacing w:line="360" w:lineRule="auto"/>
        <w:jc w:val="both"/>
      </w:pPr>
      <w:r w:rsidRPr="007C6C16">
        <w:t>The f</w:t>
      </w:r>
      <w:r w:rsidR="00BD7A0E" w:rsidRPr="007C6C16">
        <w:t xml:space="preserve">inancial performance of General Electronics depicts that it is financially stressed with declining profitability as well as increased leverage. With the help of a well-calculated set of </w:t>
      </w:r>
      <w:r w:rsidR="00BD7A0E" w:rsidRPr="007C6C16">
        <w:lastRenderedPageBreak/>
        <w:t xml:space="preserve">investment projects and liquidation options, though, the company can improve its liquidity, reduce </w:t>
      </w:r>
      <w:r w:rsidRPr="007C6C16">
        <w:t>its</w:t>
      </w:r>
      <w:r w:rsidR="00BD7A0E" w:rsidRPr="007C6C16">
        <w:t xml:space="preserve"> debt, and equip the company to be successful in a long-term perspective. Among the three proposed investment projects, Project C is the most feasible in the sense that it has the best returns in terms of NPV and IRR. Additionally, the proposed financial reorganization strategies</w:t>
      </w:r>
      <w:r w:rsidRPr="007C6C16">
        <w:t>,</w:t>
      </w:r>
      <w:r w:rsidR="00BD7A0E" w:rsidRPr="007C6C16">
        <w:t xml:space="preserve"> which include divestitures, mergers and injections</w:t>
      </w:r>
      <w:r w:rsidRPr="007C6C16">
        <w:t>,</w:t>
      </w:r>
      <w:r w:rsidR="00BD7A0E" w:rsidRPr="007C6C16">
        <w:t xml:space="preserve"> will make it easier </w:t>
      </w:r>
      <w:r w:rsidRPr="007C6C16">
        <w:t>for</w:t>
      </w:r>
      <w:r w:rsidR="00BD7A0E" w:rsidRPr="007C6C16">
        <w:t xml:space="preserve"> the company to restore financial stability. General electronics must work towards ensuring the working capital efficiency improvement to survive in the presence of the current financial challenges and to achieve sustainable growth by ensuring its investments are tightly managed in the future.</w:t>
      </w:r>
    </w:p>
    <w:p w14:paraId="68BECBAC" w14:textId="77777777" w:rsidR="00BD7A0E" w:rsidRPr="007C6C16" w:rsidRDefault="00BD7A0E" w:rsidP="005814C2">
      <w:pPr>
        <w:pStyle w:val="NormalWeb"/>
        <w:spacing w:line="360" w:lineRule="auto"/>
        <w:jc w:val="both"/>
      </w:pPr>
    </w:p>
    <w:p w14:paraId="43513C08" w14:textId="77777777" w:rsidR="00BD7A0E" w:rsidRPr="005814C2" w:rsidRDefault="00BD7A0E" w:rsidP="005814C2">
      <w:pPr>
        <w:pStyle w:val="NormalWeb"/>
        <w:spacing w:line="360" w:lineRule="auto"/>
        <w:jc w:val="both"/>
      </w:pPr>
    </w:p>
    <w:p w14:paraId="1B4E3E03" w14:textId="77777777" w:rsidR="00BD7A0E" w:rsidRPr="005814C2" w:rsidRDefault="00BD7A0E" w:rsidP="005814C2">
      <w:pPr>
        <w:pStyle w:val="NormalWeb"/>
        <w:spacing w:line="360" w:lineRule="auto"/>
        <w:jc w:val="both"/>
      </w:pPr>
    </w:p>
    <w:p w14:paraId="01EBEC9F" w14:textId="77777777" w:rsidR="00BD7A0E" w:rsidRDefault="00BD7A0E" w:rsidP="005814C2">
      <w:pPr>
        <w:pStyle w:val="NormalWeb"/>
        <w:spacing w:line="360" w:lineRule="auto"/>
        <w:jc w:val="both"/>
      </w:pPr>
    </w:p>
    <w:p w14:paraId="56C3BF3F" w14:textId="61CD447A" w:rsidR="00932200" w:rsidRPr="005814C2" w:rsidRDefault="00932200" w:rsidP="00932200">
      <w:pPr>
        <w:spacing w:after="160" w:line="278" w:lineRule="auto"/>
      </w:pPr>
      <w:r>
        <w:br w:type="page"/>
      </w:r>
    </w:p>
    <w:p w14:paraId="5288B3DD" w14:textId="1A409144" w:rsidR="005814C2" w:rsidRPr="005814C2" w:rsidRDefault="00BD7A0E" w:rsidP="005814C2">
      <w:pPr>
        <w:pStyle w:val="Heading1"/>
        <w:spacing w:line="360" w:lineRule="auto"/>
        <w:jc w:val="both"/>
        <w:rPr>
          <w:rFonts w:ascii="Times New Roman" w:hAnsi="Times New Roman" w:cs="Times New Roman"/>
          <w:b/>
          <w:bCs/>
          <w:color w:val="auto"/>
          <w:sz w:val="24"/>
          <w:szCs w:val="24"/>
        </w:rPr>
      </w:pPr>
      <w:bookmarkStart w:id="37" w:name="_Toc214885165"/>
      <w:bookmarkStart w:id="38" w:name="_Toc214887510"/>
      <w:r w:rsidRPr="005814C2">
        <w:rPr>
          <w:rFonts w:ascii="Times New Roman" w:hAnsi="Times New Roman" w:cs="Times New Roman"/>
          <w:b/>
          <w:bCs/>
          <w:color w:val="auto"/>
          <w:sz w:val="24"/>
          <w:szCs w:val="24"/>
        </w:rPr>
        <w:lastRenderedPageBreak/>
        <w:t>References</w:t>
      </w:r>
      <w:bookmarkEnd w:id="37"/>
      <w:bookmarkEnd w:id="38"/>
    </w:p>
    <w:p w14:paraId="6169086A" w14:textId="77777777" w:rsidR="005814C2" w:rsidRPr="005814C2" w:rsidRDefault="005814C2" w:rsidP="005814C2">
      <w:pPr>
        <w:pStyle w:val="NormalWeb"/>
        <w:spacing w:line="360" w:lineRule="auto"/>
        <w:jc w:val="both"/>
        <w:rPr>
          <w:shd w:val="clear" w:color="auto" w:fill="FFFFFF"/>
        </w:rPr>
      </w:pPr>
      <w:r w:rsidRPr="005814C2">
        <w:rPr>
          <w:shd w:val="clear" w:color="auto" w:fill="FFFFFF"/>
        </w:rPr>
        <w:t>Adi, A. F. (2023). Strategic Financial Management: Understanding the Dynamics of Financial Strategy, Performance and Investment Decisions. </w:t>
      </w:r>
      <w:proofErr w:type="spellStart"/>
      <w:r w:rsidRPr="005814C2">
        <w:rPr>
          <w:i/>
          <w:iCs/>
          <w:shd w:val="clear" w:color="auto" w:fill="FFFFFF"/>
        </w:rPr>
        <w:t>Atestasi</w:t>
      </w:r>
      <w:proofErr w:type="spellEnd"/>
      <w:r w:rsidRPr="005814C2">
        <w:rPr>
          <w:i/>
          <w:iCs/>
          <w:shd w:val="clear" w:color="auto" w:fill="FFFFFF"/>
        </w:rPr>
        <w:t xml:space="preserve">: </w:t>
      </w:r>
      <w:proofErr w:type="spellStart"/>
      <w:r w:rsidRPr="005814C2">
        <w:rPr>
          <w:i/>
          <w:iCs/>
          <w:shd w:val="clear" w:color="auto" w:fill="FFFFFF"/>
        </w:rPr>
        <w:t>Jurnal</w:t>
      </w:r>
      <w:proofErr w:type="spellEnd"/>
      <w:r w:rsidRPr="005814C2">
        <w:rPr>
          <w:i/>
          <w:iCs/>
          <w:shd w:val="clear" w:color="auto" w:fill="FFFFFF"/>
        </w:rPr>
        <w:t xml:space="preserve"> </w:t>
      </w:r>
      <w:proofErr w:type="spellStart"/>
      <w:r w:rsidRPr="005814C2">
        <w:rPr>
          <w:i/>
          <w:iCs/>
          <w:shd w:val="clear" w:color="auto" w:fill="FFFFFF"/>
        </w:rPr>
        <w:t>Ilmiah</w:t>
      </w:r>
      <w:proofErr w:type="spellEnd"/>
      <w:r w:rsidRPr="005814C2">
        <w:rPr>
          <w:i/>
          <w:iCs/>
          <w:shd w:val="clear" w:color="auto" w:fill="FFFFFF"/>
        </w:rPr>
        <w:t xml:space="preserve"> </w:t>
      </w:r>
      <w:proofErr w:type="spellStart"/>
      <w:r w:rsidRPr="005814C2">
        <w:rPr>
          <w:i/>
          <w:iCs/>
          <w:shd w:val="clear" w:color="auto" w:fill="FFFFFF"/>
        </w:rPr>
        <w:t>Akuntansi</w:t>
      </w:r>
      <w:proofErr w:type="spellEnd"/>
      <w:r w:rsidRPr="005814C2">
        <w:rPr>
          <w:shd w:val="clear" w:color="auto" w:fill="FFFFFF"/>
        </w:rPr>
        <w:t>, </w:t>
      </w:r>
      <w:r w:rsidRPr="005814C2">
        <w:rPr>
          <w:i/>
          <w:iCs/>
          <w:shd w:val="clear" w:color="auto" w:fill="FFFFFF"/>
        </w:rPr>
        <w:t>6</w:t>
      </w:r>
      <w:r w:rsidRPr="005814C2">
        <w:rPr>
          <w:shd w:val="clear" w:color="auto" w:fill="FFFFFF"/>
        </w:rPr>
        <w:t>(1), 420-434.</w:t>
      </w:r>
    </w:p>
    <w:p w14:paraId="1574B043" w14:textId="77777777" w:rsidR="005814C2" w:rsidRPr="005814C2" w:rsidRDefault="005814C2" w:rsidP="005814C2">
      <w:pPr>
        <w:pStyle w:val="NormalWeb"/>
        <w:spacing w:line="360" w:lineRule="auto"/>
        <w:jc w:val="both"/>
        <w:rPr>
          <w:shd w:val="clear" w:color="auto" w:fill="FFFFFF"/>
        </w:rPr>
      </w:pPr>
      <w:r w:rsidRPr="005814C2">
        <w:rPr>
          <w:shd w:val="clear" w:color="auto" w:fill="FFFFFF"/>
        </w:rPr>
        <w:t>Babar, S. B. A. D. S., Arif, K. A. K., Galani, S. Q. G. S. Q., Khan, Z. S. K. Z. S., &amp; Mubeen, M. M. M. (2022). A Review On Valuation And Corporate Finance. </w:t>
      </w:r>
      <w:proofErr w:type="spellStart"/>
      <w:r w:rsidRPr="005814C2">
        <w:rPr>
          <w:i/>
          <w:iCs/>
          <w:shd w:val="clear" w:color="auto" w:fill="FFFFFF"/>
        </w:rPr>
        <w:t>Psocialsciences</w:t>
      </w:r>
      <w:proofErr w:type="spellEnd"/>
      <w:r w:rsidRPr="005814C2">
        <w:rPr>
          <w:shd w:val="clear" w:color="auto" w:fill="FFFFFF"/>
        </w:rPr>
        <w:t>, </w:t>
      </w:r>
      <w:r w:rsidRPr="005814C2">
        <w:rPr>
          <w:i/>
          <w:iCs/>
          <w:shd w:val="clear" w:color="auto" w:fill="FFFFFF"/>
        </w:rPr>
        <w:t>2</w:t>
      </w:r>
      <w:r w:rsidRPr="005814C2">
        <w:rPr>
          <w:shd w:val="clear" w:color="auto" w:fill="FFFFFF"/>
        </w:rPr>
        <w:t>(2), 264-274.</w:t>
      </w:r>
    </w:p>
    <w:p w14:paraId="389AC771" w14:textId="77777777" w:rsidR="005814C2" w:rsidRPr="005814C2" w:rsidRDefault="005814C2" w:rsidP="005814C2">
      <w:pPr>
        <w:pStyle w:val="NormalWeb"/>
        <w:spacing w:line="360" w:lineRule="auto"/>
        <w:jc w:val="both"/>
        <w:rPr>
          <w:shd w:val="clear" w:color="auto" w:fill="FFFFFF"/>
        </w:rPr>
      </w:pPr>
      <w:r w:rsidRPr="005814C2">
        <w:rPr>
          <w:shd w:val="clear" w:color="auto" w:fill="FFFFFF"/>
        </w:rPr>
        <w:t>Brealey, R. A., Myers, S. C., Allen, F., &amp; Mohanty, P. (2018). </w:t>
      </w:r>
      <w:r w:rsidRPr="005814C2">
        <w:rPr>
          <w:i/>
          <w:iCs/>
          <w:shd w:val="clear" w:color="auto" w:fill="FFFFFF"/>
        </w:rPr>
        <w:t>Principles of corporate finance, 12/e</w:t>
      </w:r>
      <w:r w:rsidRPr="005814C2">
        <w:rPr>
          <w:shd w:val="clear" w:color="auto" w:fill="FFFFFF"/>
        </w:rPr>
        <w:t> (Vol. 12). McGraw-Hill Education.</w:t>
      </w:r>
    </w:p>
    <w:p w14:paraId="24E2105F" w14:textId="77777777" w:rsidR="005814C2" w:rsidRPr="005814C2" w:rsidRDefault="005814C2" w:rsidP="005814C2">
      <w:pPr>
        <w:pStyle w:val="NormalWeb"/>
        <w:spacing w:line="360" w:lineRule="auto"/>
        <w:jc w:val="both"/>
        <w:rPr>
          <w:shd w:val="clear" w:color="auto" w:fill="FFFFFF"/>
        </w:rPr>
      </w:pPr>
      <w:r w:rsidRPr="005814C2">
        <w:rPr>
          <w:shd w:val="clear" w:color="auto" w:fill="FFFFFF"/>
        </w:rPr>
        <w:t>Cloyne, J., Ferreira, C., Froemel, M., &amp; Surico, P. (2018). </w:t>
      </w:r>
      <w:r w:rsidRPr="005814C2">
        <w:rPr>
          <w:i/>
          <w:iCs/>
          <w:shd w:val="clear" w:color="auto" w:fill="FFFFFF"/>
        </w:rPr>
        <w:t>Monetary policy, corporate finance and investment</w:t>
      </w:r>
      <w:r w:rsidRPr="005814C2">
        <w:rPr>
          <w:shd w:val="clear" w:color="auto" w:fill="FFFFFF"/>
        </w:rPr>
        <w:t> (No. w25366). National Bureau of Economic Research.</w:t>
      </w:r>
    </w:p>
    <w:p w14:paraId="0F9AC995" w14:textId="77777777" w:rsidR="005814C2" w:rsidRPr="005814C2" w:rsidRDefault="005814C2" w:rsidP="005814C2">
      <w:pPr>
        <w:pStyle w:val="NormalWeb"/>
        <w:spacing w:line="360" w:lineRule="auto"/>
        <w:jc w:val="both"/>
      </w:pPr>
      <w:r w:rsidRPr="005814C2">
        <w:t>Corporate Finance Institute (2025) ‘Net Present Value (NPV) – definition &amp; examples’. Available at: </w:t>
      </w:r>
      <w:hyperlink r:id="rId9" w:tgtFrame="_new" w:history="1">
        <w:r w:rsidRPr="005814C2">
          <w:rPr>
            <w:rStyle w:val="Hyperlink"/>
            <w:rFonts w:eastAsiaTheme="majorEastAsia"/>
            <w:color w:val="auto"/>
          </w:rPr>
          <w:t>https://corporatefinanceinstitute.com/resources/valuation/net-present-value-npv/</w:t>
        </w:r>
      </w:hyperlink>
      <w:r w:rsidRPr="005814C2">
        <w:t xml:space="preserve"> (Accessed: 24 November 2025). </w:t>
      </w:r>
    </w:p>
    <w:p w14:paraId="40340E07" w14:textId="77777777" w:rsidR="005814C2" w:rsidRPr="005814C2" w:rsidRDefault="005814C2" w:rsidP="005814C2">
      <w:pPr>
        <w:pStyle w:val="NormalWeb"/>
        <w:spacing w:line="360" w:lineRule="auto"/>
        <w:jc w:val="both"/>
        <w:rPr>
          <w:shd w:val="clear" w:color="auto" w:fill="FFFFFF"/>
        </w:rPr>
      </w:pPr>
      <w:r w:rsidRPr="005814C2">
        <w:rPr>
          <w:shd w:val="clear" w:color="auto" w:fill="FFFFFF"/>
        </w:rPr>
        <w:t>Damodaran, A. (2014). </w:t>
      </w:r>
      <w:r w:rsidRPr="005814C2">
        <w:rPr>
          <w:i/>
          <w:iCs/>
          <w:shd w:val="clear" w:color="auto" w:fill="FFFFFF"/>
        </w:rPr>
        <w:t>Applied corporate finance</w:t>
      </w:r>
      <w:r w:rsidRPr="005814C2">
        <w:rPr>
          <w:shd w:val="clear" w:color="auto" w:fill="FFFFFF"/>
        </w:rPr>
        <w:t>. John Wiley &amp; Sons.</w:t>
      </w:r>
    </w:p>
    <w:p w14:paraId="280B0586" w14:textId="77777777" w:rsidR="005814C2" w:rsidRPr="005814C2" w:rsidRDefault="005814C2" w:rsidP="005814C2">
      <w:pPr>
        <w:pStyle w:val="NormalWeb"/>
        <w:spacing w:line="360" w:lineRule="auto"/>
        <w:jc w:val="both"/>
        <w:rPr>
          <w:shd w:val="clear" w:color="auto" w:fill="FFFFFF"/>
        </w:rPr>
      </w:pPr>
      <w:proofErr w:type="spellStart"/>
      <w:r w:rsidRPr="005814C2">
        <w:rPr>
          <w:shd w:val="clear" w:color="auto" w:fill="FFFFFF"/>
        </w:rPr>
        <w:t>Delkhosh</w:t>
      </w:r>
      <w:proofErr w:type="spellEnd"/>
      <w:r w:rsidRPr="005814C2">
        <w:rPr>
          <w:shd w:val="clear" w:color="auto" w:fill="FFFFFF"/>
        </w:rPr>
        <w:t>, M., &amp; Mousavi, H. (2016). Strategic financial management review on the financial success of an organization. </w:t>
      </w:r>
      <w:r w:rsidRPr="005814C2">
        <w:rPr>
          <w:i/>
          <w:iCs/>
          <w:shd w:val="clear" w:color="auto" w:fill="FFFFFF"/>
        </w:rPr>
        <w:t>Mediterranean journal of social sciences</w:t>
      </w:r>
      <w:r w:rsidRPr="005814C2">
        <w:rPr>
          <w:shd w:val="clear" w:color="auto" w:fill="FFFFFF"/>
        </w:rPr>
        <w:t>, </w:t>
      </w:r>
      <w:r w:rsidRPr="005814C2">
        <w:rPr>
          <w:i/>
          <w:iCs/>
          <w:shd w:val="clear" w:color="auto" w:fill="FFFFFF"/>
        </w:rPr>
        <w:t>7</w:t>
      </w:r>
      <w:r w:rsidRPr="005814C2">
        <w:rPr>
          <w:shd w:val="clear" w:color="auto" w:fill="FFFFFF"/>
        </w:rPr>
        <w:t>(2), 30-34.</w:t>
      </w:r>
    </w:p>
    <w:p w14:paraId="49DFBD7F" w14:textId="77777777" w:rsidR="005814C2" w:rsidRPr="005814C2" w:rsidRDefault="005814C2" w:rsidP="005814C2">
      <w:pPr>
        <w:pStyle w:val="NormalWeb"/>
        <w:spacing w:line="360" w:lineRule="auto"/>
        <w:jc w:val="both"/>
      </w:pPr>
      <w:r w:rsidRPr="005814C2">
        <w:rPr>
          <w:shd w:val="clear" w:color="auto" w:fill="FFFFFF"/>
        </w:rPr>
        <w:t>Karadag, H. (2015). Financial management challenges in small and medium-sized enterprises: A strategic management approach. </w:t>
      </w:r>
      <w:r w:rsidRPr="005814C2">
        <w:rPr>
          <w:i/>
          <w:iCs/>
          <w:shd w:val="clear" w:color="auto" w:fill="FFFFFF"/>
        </w:rPr>
        <w:t>EMAJ: Emerging Markets Journal</w:t>
      </w:r>
      <w:r w:rsidRPr="005814C2">
        <w:rPr>
          <w:shd w:val="clear" w:color="auto" w:fill="FFFFFF"/>
        </w:rPr>
        <w:t>, </w:t>
      </w:r>
      <w:r w:rsidRPr="005814C2">
        <w:rPr>
          <w:i/>
          <w:iCs/>
          <w:shd w:val="clear" w:color="auto" w:fill="FFFFFF"/>
        </w:rPr>
        <w:t>5</w:t>
      </w:r>
      <w:r w:rsidRPr="005814C2">
        <w:rPr>
          <w:shd w:val="clear" w:color="auto" w:fill="FFFFFF"/>
        </w:rPr>
        <w:t>(1), 26-40.</w:t>
      </w:r>
    </w:p>
    <w:p w14:paraId="2775867B" w14:textId="77777777" w:rsidR="005814C2" w:rsidRPr="005814C2" w:rsidRDefault="005814C2" w:rsidP="005814C2">
      <w:pPr>
        <w:pStyle w:val="NormalWeb"/>
        <w:spacing w:line="360" w:lineRule="auto"/>
        <w:jc w:val="both"/>
        <w:rPr>
          <w:shd w:val="clear" w:color="auto" w:fill="FFFFFF"/>
        </w:rPr>
      </w:pPr>
      <w:r w:rsidRPr="005814C2">
        <w:rPr>
          <w:shd w:val="clear" w:color="auto" w:fill="FFFFFF"/>
        </w:rPr>
        <w:t>Liu, Z. (2010). Strategic financial management in small and medium-sized enterprises. </w:t>
      </w:r>
      <w:r w:rsidRPr="005814C2">
        <w:rPr>
          <w:i/>
          <w:iCs/>
          <w:shd w:val="clear" w:color="auto" w:fill="FFFFFF"/>
        </w:rPr>
        <w:t>International Journal of Business and Management</w:t>
      </w:r>
      <w:r w:rsidRPr="005814C2">
        <w:rPr>
          <w:shd w:val="clear" w:color="auto" w:fill="FFFFFF"/>
        </w:rPr>
        <w:t>, </w:t>
      </w:r>
      <w:r w:rsidRPr="005814C2">
        <w:rPr>
          <w:i/>
          <w:iCs/>
          <w:shd w:val="clear" w:color="auto" w:fill="FFFFFF"/>
        </w:rPr>
        <w:t>5</w:t>
      </w:r>
      <w:r w:rsidRPr="005814C2">
        <w:rPr>
          <w:shd w:val="clear" w:color="auto" w:fill="FFFFFF"/>
        </w:rPr>
        <w:t>(2), 132.</w:t>
      </w:r>
    </w:p>
    <w:p w14:paraId="62B4F240" w14:textId="77777777" w:rsidR="005814C2" w:rsidRPr="005814C2" w:rsidRDefault="005814C2" w:rsidP="005814C2">
      <w:pPr>
        <w:pStyle w:val="NormalWeb"/>
        <w:spacing w:line="360" w:lineRule="auto"/>
        <w:jc w:val="both"/>
        <w:rPr>
          <w:shd w:val="clear" w:color="auto" w:fill="FFFFFF"/>
        </w:rPr>
      </w:pPr>
      <w:r w:rsidRPr="005814C2">
        <w:rPr>
          <w:shd w:val="clear" w:color="auto" w:fill="FFFFFF"/>
        </w:rPr>
        <w:t>Parrino, R., Bates, T. W., Gillan, S. L., &amp; Kidwell, D. S. (2025). </w:t>
      </w:r>
      <w:r w:rsidRPr="005814C2">
        <w:rPr>
          <w:i/>
          <w:iCs/>
          <w:shd w:val="clear" w:color="auto" w:fill="FFFFFF"/>
        </w:rPr>
        <w:t>Fundamentals of corporate finance</w:t>
      </w:r>
      <w:r w:rsidRPr="005814C2">
        <w:rPr>
          <w:shd w:val="clear" w:color="auto" w:fill="FFFFFF"/>
        </w:rPr>
        <w:t>. John Wiley &amp; Sons.</w:t>
      </w:r>
    </w:p>
    <w:p w14:paraId="52BE6BB9" w14:textId="77777777" w:rsidR="005814C2" w:rsidRPr="005814C2" w:rsidRDefault="005814C2" w:rsidP="005814C2">
      <w:pPr>
        <w:pStyle w:val="NormalWeb"/>
        <w:spacing w:line="360" w:lineRule="auto"/>
        <w:jc w:val="both"/>
        <w:rPr>
          <w:shd w:val="clear" w:color="auto" w:fill="FFFFFF"/>
        </w:rPr>
      </w:pPr>
      <w:r w:rsidRPr="005814C2">
        <w:rPr>
          <w:shd w:val="clear" w:color="auto" w:fill="FFFFFF"/>
        </w:rPr>
        <w:t>Pike, R., &amp; Neale, B. (2006). </w:t>
      </w:r>
      <w:r w:rsidRPr="005814C2">
        <w:rPr>
          <w:i/>
          <w:iCs/>
          <w:shd w:val="clear" w:color="auto" w:fill="FFFFFF"/>
        </w:rPr>
        <w:t>Corporate finance and investment: decisions &amp; strategies</w:t>
      </w:r>
      <w:r w:rsidRPr="005814C2">
        <w:rPr>
          <w:shd w:val="clear" w:color="auto" w:fill="FFFFFF"/>
        </w:rPr>
        <w:t>. Pearson Education.</w:t>
      </w:r>
    </w:p>
    <w:p w14:paraId="6E377651" w14:textId="77777777" w:rsidR="005814C2" w:rsidRPr="005814C2" w:rsidRDefault="005814C2" w:rsidP="005814C2">
      <w:pPr>
        <w:pStyle w:val="NormalWeb"/>
        <w:spacing w:line="360" w:lineRule="auto"/>
        <w:jc w:val="both"/>
        <w:rPr>
          <w:shd w:val="clear" w:color="auto" w:fill="FFFFFF"/>
        </w:rPr>
      </w:pPr>
      <w:proofErr w:type="spellStart"/>
      <w:r w:rsidRPr="005814C2">
        <w:rPr>
          <w:shd w:val="clear" w:color="auto" w:fill="FFFFFF"/>
        </w:rPr>
        <w:lastRenderedPageBreak/>
        <w:t>Sofat</w:t>
      </w:r>
      <w:proofErr w:type="spellEnd"/>
      <w:r w:rsidRPr="005814C2">
        <w:rPr>
          <w:shd w:val="clear" w:color="auto" w:fill="FFFFFF"/>
        </w:rPr>
        <w:t>, R., &amp; Hiro, P. (2015). </w:t>
      </w:r>
      <w:r w:rsidRPr="005814C2">
        <w:rPr>
          <w:i/>
          <w:iCs/>
          <w:shd w:val="clear" w:color="auto" w:fill="FFFFFF"/>
        </w:rPr>
        <w:t>Strategic financial management</w:t>
      </w:r>
      <w:r w:rsidRPr="005814C2">
        <w:rPr>
          <w:shd w:val="clear" w:color="auto" w:fill="FFFFFF"/>
        </w:rPr>
        <w:t>. PHI Learning Pvt. Ltd..</w:t>
      </w:r>
    </w:p>
    <w:p w14:paraId="60C2E0A8" w14:textId="77777777" w:rsidR="005814C2" w:rsidRPr="005814C2" w:rsidRDefault="005814C2" w:rsidP="005814C2">
      <w:pPr>
        <w:pStyle w:val="NormalWeb"/>
        <w:spacing w:line="360" w:lineRule="auto"/>
        <w:jc w:val="both"/>
      </w:pPr>
      <w:r w:rsidRPr="005814C2">
        <w:t xml:space="preserve">Sokolov, M.V. (2023) ‘NPV, IRR, PI, PP, and DPP: a unified view’, </w:t>
      </w:r>
      <w:r w:rsidRPr="005814C2">
        <w:rPr>
          <w:rStyle w:val="Emphasis"/>
          <w:rFonts w:eastAsiaTheme="majorEastAsia"/>
        </w:rPr>
        <w:t>arXiv</w:t>
      </w:r>
      <w:r w:rsidRPr="005814C2">
        <w:t>, 6 February. Available at: </w:t>
      </w:r>
      <w:hyperlink r:id="rId10" w:tgtFrame="_new" w:history="1">
        <w:r w:rsidRPr="005814C2">
          <w:rPr>
            <w:rStyle w:val="Hyperlink"/>
            <w:rFonts w:eastAsiaTheme="majorEastAsia"/>
            <w:color w:val="auto"/>
          </w:rPr>
          <w:t>https://arxiv.org/abs/2302.02875</w:t>
        </w:r>
      </w:hyperlink>
      <w:r w:rsidRPr="005814C2">
        <w:t xml:space="preserve"> (Accessed: 24 November 2025). </w:t>
      </w:r>
    </w:p>
    <w:p w14:paraId="2F318824" w14:textId="77777777" w:rsidR="005814C2" w:rsidRPr="005814C2" w:rsidRDefault="005814C2" w:rsidP="005814C2">
      <w:pPr>
        <w:pStyle w:val="NormalWeb"/>
        <w:spacing w:line="360" w:lineRule="auto"/>
        <w:jc w:val="both"/>
      </w:pPr>
      <w:r w:rsidRPr="005814C2">
        <w:t>The Association of Chartered Certified Accountants (2025) ‘The internal rate of return’, ACCA Global. Available at: </w:t>
      </w:r>
      <w:hyperlink r:id="rId11" w:tgtFrame="_new" w:history="1">
        <w:r w:rsidRPr="005814C2">
          <w:rPr>
            <w:rStyle w:val="Hyperlink"/>
            <w:rFonts w:eastAsiaTheme="majorEastAsia"/>
            <w:color w:val="auto"/>
          </w:rPr>
          <w:t>https://www.accaglobal.com/pk/en/student/exam-support-resources/foundation-level-study-resources/ffm/ffm-technical-articles/the-internal-rate-of-return.html</w:t>
        </w:r>
      </w:hyperlink>
      <w:r w:rsidRPr="005814C2">
        <w:t xml:space="preserve"> (Accessed: 24 November 2025). </w:t>
      </w:r>
    </w:p>
    <w:p w14:paraId="736F6D5E" w14:textId="49C51A1D" w:rsidR="005814C2" w:rsidRDefault="005814C2">
      <w:r>
        <w:br w:type="page"/>
      </w:r>
    </w:p>
    <w:p w14:paraId="7C51967E" w14:textId="77777777" w:rsidR="00BD7A0E" w:rsidRPr="005814C2" w:rsidRDefault="00BD7A0E" w:rsidP="005814C2">
      <w:pPr>
        <w:pStyle w:val="Heading1"/>
        <w:spacing w:line="360" w:lineRule="auto"/>
        <w:jc w:val="both"/>
        <w:rPr>
          <w:rFonts w:ascii="Times New Roman" w:hAnsi="Times New Roman" w:cs="Times New Roman"/>
          <w:b/>
          <w:bCs/>
          <w:color w:val="auto"/>
          <w:sz w:val="24"/>
          <w:szCs w:val="24"/>
        </w:rPr>
      </w:pPr>
      <w:bookmarkStart w:id="39" w:name="_Toc214885166"/>
      <w:bookmarkStart w:id="40" w:name="_Toc214887511"/>
      <w:r w:rsidRPr="005814C2">
        <w:rPr>
          <w:rFonts w:ascii="Times New Roman" w:hAnsi="Times New Roman" w:cs="Times New Roman"/>
          <w:b/>
          <w:bCs/>
          <w:color w:val="auto"/>
          <w:sz w:val="24"/>
          <w:szCs w:val="24"/>
        </w:rPr>
        <w:lastRenderedPageBreak/>
        <w:t>Appendices:</w:t>
      </w:r>
      <w:bookmarkEnd w:id="39"/>
      <w:bookmarkEnd w:id="40"/>
    </w:p>
    <w:p w14:paraId="11C1DA10" w14:textId="513E8521" w:rsidR="00BD7A0E" w:rsidRPr="005814C2" w:rsidRDefault="00BD7A0E" w:rsidP="005814C2">
      <w:pPr>
        <w:spacing w:before="100" w:beforeAutospacing="1" w:after="100" w:afterAutospacing="1" w:line="360" w:lineRule="auto"/>
        <w:jc w:val="both"/>
        <w:outlineLvl w:val="3"/>
        <w:rPr>
          <w:b/>
          <w:bCs/>
        </w:rPr>
      </w:pPr>
      <w:r w:rsidRPr="005814C2">
        <w:rPr>
          <w:b/>
          <w:bCs/>
        </w:rPr>
        <w:t>Appendix A: Financial Ratios</w:t>
      </w:r>
    </w:p>
    <w:tbl>
      <w:tblPr>
        <w:tblW w:w="9474" w:type="dxa"/>
        <w:tblLook w:val="04A0" w:firstRow="1" w:lastRow="0" w:firstColumn="1" w:lastColumn="0" w:noHBand="0" w:noVBand="1"/>
      </w:tblPr>
      <w:tblGrid>
        <w:gridCol w:w="1579"/>
        <w:gridCol w:w="1579"/>
        <w:gridCol w:w="1579"/>
        <w:gridCol w:w="1579"/>
        <w:gridCol w:w="1579"/>
        <w:gridCol w:w="1579"/>
      </w:tblGrid>
      <w:tr w:rsidR="00633D37" w:rsidRPr="00633D37" w14:paraId="3935A2D1" w14:textId="77777777" w:rsidTr="00932200">
        <w:trPr>
          <w:trHeight w:val="476"/>
        </w:trPr>
        <w:tc>
          <w:tcPr>
            <w:tcW w:w="1579" w:type="dxa"/>
            <w:tcBorders>
              <w:top w:val="single" w:sz="4" w:space="0" w:color="auto"/>
              <w:left w:val="single" w:sz="4" w:space="0" w:color="auto"/>
              <w:bottom w:val="single" w:sz="4" w:space="0" w:color="auto"/>
              <w:right w:val="single" w:sz="4" w:space="0" w:color="auto"/>
            </w:tcBorders>
            <w:vAlign w:val="center"/>
            <w:hideMark/>
          </w:tcPr>
          <w:p w14:paraId="0572E37C" w14:textId="77777777" w:rsidR="00633D37" w:rsidRPr="00633D37" w:rsidRDefault="00633D37" w:rsidP="00633D37">
            <w:pPr>
              <w:jc w:val="both"/>
              <w:rPr>
                <w:b/>
                <w:bCs/>
                <w:color w:val="000000"/>
              </w:rPr>
            </w:pPr>
            <w:r w:rsidRPr="00633D37">
              <w:rPr>
                <w:b/>
                <w:bCs/>
                <w:color w:val="000000"/>
              </w:rPr>
              <w:t>Financial Ratio</w:t>
            </w:r>
          </w:p>
        </w:tc>
        <w:tc>
          <w:tcPr>
            <w:tcW w:w="1579" w:type="dxa"/>
            <w:tcBorders>
              <w:top w:val="single" w:sz="4" w:space="0" w:color="auto"/>
              <w:left w:val="nil"/>
              <w:bottom w:val="single" w:sz="4" w:space="0" w:color="auto"/>
              <w:right w:val="single" w:sz="4" w:space="0" w:color="auto"/>
            </w:tcBorders>
            <w:vAlign w:val="center"/>
            <w:hideMark/>
          </w:tcPr>
          <w:p w14:paraId="238DCE23" w14:textId="77777777" w:rsidR="00633D37" w:rsidRPr="00633D37" w:rsidRDefault="00633D37" w:rsidP="00633D37">
            <w:pPr>
              <w:jc w:val="both"/>
              <w:rPr>
                <w:b/>
                <w:bCs/>
                <w:color w:val="000000"/>
              </w:rPr>
            </w:pPr>
            <w:r w:rsidRPr="00633D37">
              <w:rPr>
                <w:b/>
                <w:bCs/>
                <w:color w:val="000000"/>
              </w:rPr>
              <w:t>2024</w:t>
            </w:r>
          </w:p>
        </w:tc>
        <w:tc>
          <w:tcPr>
            <w:tcW w:w="1579" w:type="dxa"/>
            <w:tcBorders>
              <w:top w:val="single" w:sz="4" w:space="0" w:color="auto"/>
              <w:left w:val="nil"/>
              <w:bottom w:val="single" w:sz="4" w:space="0" w:color="auto"/>
              <w:right w:val="single" w:sz="4" w:space="0" w:color="auto"/>
            </w:tcBorders>
            <w:vAlign w:val="center"/>
            <w:hideMark/>
          </w:tcPr>
          <w:p w14:paraId="1229D023" w14:textId="77777777" w:rsidR="00633D37" w:rsidRPr="00633D37" w:rsidRDefault="00633D37" w:rsidP="00633D37">
            <w:pPr>
              <w:jc w:val="both"/>
              <w:rPr>
                <w:b/>
                <w:bCs/>
                <w:color w:val="000000"/>
              </w:rPr>
            </w:pPr>
            <w:r w:rsidRPr="00633D37">
              <w:rPr>
                <w:b/>
                <w:bCs/>
                <w:color w:val="000000"/>
              </w:rPr>
              <w:t>2023</w:t>
            </w:r>
          </w:p>
        </w:tc>
        <w:tc>
          <w:tcPr>
            <w:tcW w:w="1579" w:type="dxa"/>
            <w:tcBorders>
              <w:top w:val="single" w:sz="4" w:space="0" w:color="auto"/>
              <w:left w:val="nil"/>
              <w:bottom w:val="single" w:sz="4" w:space="0" w:color="auto"/>
              <w:right w:val="single" w:sz="4" w:space="0" w:color="auto"/>
            </w:tcBorders>
            <w:vAlign w:val="center"/>
            <w:hideMark/>
          </w:tcPr>
          <w:p w14:paraId="692283C3" w14:textId="77777777" w:rsidR="00633D37" w:rsidRPr="00633D37" w:rsidRDefault="00633D37" w:rsidP="00633D37">
            <w:pPr>
              <w:jc w:val="both"/>
              <w:rPr>
                <w:b/>
                <w:bCs/>
                <w:color w:val="000000"/>
              </w:rPr>
            </w:pPr>
            <w:r w:rsidRPr="00633D37">
              <w:rPr>
                <w:b/>
                <w:bCs/>
                <w:color w:val="000000"/>
              </w:rPr>
              <w:t>2022</w:t>
            </w:r>
          </w:p>
        </w:tc>
        <w:tc>
          <w:tcPr>
            <w:tcW w:w="1579" w:type="dxa"/>
            <w:tcBorders>
              <w:top w:val="single" w:sz="4" w:space="0" w:color="auto"/>
              <w:left w:val="nil"/>
              <w:bottom w:val="single" w:sz="4" w:space="0" w:color="auto"/>
              <w:right w:val="single" w:sz="4" w:space="0" w:color="auto"/>
            </w:tcBorders>
            <w:vAlign w:val="center"/>
            <w:hideMark/>
          </w:tcPr>
          <w:p w14:paraId="6C25C0C1" w14:textId="77777777" w:rsidR="00633D37" w:rsidRPr="00633D37" w:rsidRDefault="00633D37" w:rsidP="00633D37">
            <w:pPr>
              <w:jc w:val="both"/>
              <w:rPr>
                <w:b/>
                <w:bCs/>
                <w:color w:val="000000"/>
              </w:rPr>
            </w:pPr>
            <w:r w:rsidRPr="00633D37">
              <w:rPr>
                <w:b/>
                <w:bCs/>
                <w:color w:val="000000"/>
              </w:rPr>
              <w:t>2021</w:t>
            </w:r>
          </w:p>
        </w:tc>
        <w:tc>
          <w:tcPr>
            <w:tcW w:w="1579" w:type="dxa"/>
            <w:tcBorders>
              <w:top w:val="single" w:sz="4" w:space="0" w:color="auto"/>
              <w:left w:val="nil"/>
              <w:bottom w:val="single" w:sz="4" w:space="0" w:color="auto"/>
              <w:right w:val="single" w:sz="4" w:space="0" w:color="auto"/>
            </w:tcBorders>
            <w:vAlign w:val="center"/>
            <w:hideMark/>
          </w:tcPr>
          <w:p w14:paraId="7F60A20C" w14:textId="77777777" w:rsidR="00633D37" w:rsidRPr="00633D37" w:rsidRDefault="00633D37" w:rsidP="00633D37">
            <w:pPr>
              <w:jc w:val="both"/>
              <w:rPr>
                <w:b/>
                <w:bCs/>
                <w:color w:val="000000"/>
              </w:rPr>
            </w:pPr>
            <w:r w:rsidRPr="00633D37">
              <w:rPr>
                <w:b/>
                <w:bCs/>
                <w:color w:val="000000"/>
              </w:rPr>
              <w:t>2020</w:t>
            </w:r>
          </w:p>
        </w:tc>
      </w:tr>
      <w:tr w:rsidR="00633D37" w:rsidRPr="00633D37" w14:paraId="43C24138" w14:textId="77777777" w:rsidTr="00932200">
        <w:trPr>
          <w:trHeight w:val="714"/>
        </w:trPr>
        <w:tc>
          <w:tcPr>
            <w:tcW w:w="1579" w:type="dxa"/>
            <w:tcBorders>
              <w:top w:val="nil"/>
              <w:left w:val="single" w:sz="4" w:space="0" w:color="auto"/>
              <w:bottom w:val="single" w:sz="4" w:space="0" w:color="auto"/>
              <w:right w:val="single" w:sz="4" w:space="0" w:color="auto"/>
            </w:tcBorders>
            <w:vAlign w:val="center"/>
            <w:hideMark/>
          </w:tcPr>
          <w:p w14:paraId="59B3FA86" w14:textId="77777777" w:rsidR="00633D37" w:rsidRPr="00633D37" w:rsidRDefault="00633D37" w:rsidP="00633D37">
            <w:pPr>
              <w:jc w:val="both"/>
              <w:rPr>
                <w:b/>
                <w:bCs/>
                <w:color w:val="000000"/>
              </w:rPr>
            </w:pPr>
            <w:r w:rsidRPr="00633D37">
              <w:rPr>
                <w:b/>
                <w:bCs/>
                <w:color w:val="000000"/>
              </w:rPr>
              <w:t>Gross Profit Margin</w:t>
            </w:r>
          </w:p>
        </w:tc>
        <w:tc>
          <w:tcPr>
            <w:tcW w:w="1579" w:type="dxa"/>
            <w:tcBorders>
              <w:top w:val="nil"/>
              <w:left w:val="nil"/>
              <w:bottom w:val="single" w:sz="4" w:space="0" w:color="auto"/>
              <w:right w:val="single" w:sz="4" w:space="0" w:color="auto"/>
            </w:tcBorders>
            <w:vAlign w:val="center"/>
            <w:hideMark/>
          </w:tcPr>
          <w:p w14:paraId="689ED546" w14:textId="77777777" w:rsidR="00633D37" w:rsidRPr="00633D37" w:rsidRDefault="00633D37" w:rsidP="00633D37">
            <w:pPr>
              <w:jc w:val="both"/>
              <w:rPr>
                <w:color w:val="000000"/>
              </w:rPr>
            </w:pPr>
            <w:r w:rsidRPr="00633D37">
              <w:rPr>
                <w:color w:val="000000"/>
              </w:rPr>
              <w:t>28.90%</w:t>
            </w:r>
          </w:p>
        </w:tc>
        <w:tc>
          <w:tcPr>
            <w:tcW w:w="1579" w:type="dxa"/>
            <w:tcBorders>
              <w:top w:val="nil"/>
              <w:left w:val="nil"/>
              <w:bottom w:val="single" w:sz="4" w:space="0" w:color="auto"/>
              <w:right w:val="single" w:sz="4" w:space="0" w:color="auto"/>
            </w:tcBorders>
            <w:vAlign w:val="center"/>
            <w:hideMark/>
          </w:tcPr>
          <w:p w14:paraId="3068BC2B" w14:textId="77777777" w:rsidR="00633D37" w:rsidRPr="00633D37" w:rsidRDefault="00633D37" w:rsidP="00633D37">
            <w:pPr>
              <w:jc w:val="both"/>
              <w:rPr>
                <w:color w:val="000000"/>
              </w:rPr>
            </w:pPr>
            <w:r w:rsidRPr="00633D37">
              <w:rPr>
                <w:color w:val="000000"/>
              </w:rPr>
              <w:t>23.20%</w:t>
            </w:r>
          </w:p>
        </w:tc>
        <w:tc>
          <w:tcPr>
            <w:tcW w:w="1579" w:type="dxa"/>
            <w:tcBorders>
              <w:top w:val="nil"/>
              <w:left w:val="nil"/>
              <w:bottom w:val="single" w:sz="4" w:space="0" w:color="auto"/>
              <w:right w:val="single" w:sz="4" w:space="0" w:color="auto"/>
            </w:tcBorders>
            <w:vAlign w:val="center"/>
            <w:hideMark/>
          </w:tcPr>
          <w:p w14:paraId="3D077A04" w14:textId="77777777" w:rsidR="00633D37" w:rsidRPr="00633D37" w:rsidRDefault="00633D37" w:rsidP="00633D37">
            <w:pPr>
              <w:jc w:val="both"/>
              <w:rPr>
                <w:color w:val="000000"/>
              </w:rPr>
            </w:pPr>
            <w:r w:rsidRPr="00633D37">
              <w:rPr>
                <w:color w:val="000000"/>
              </w:rPr>
              <w:t>28.10%</w:t>
            </w:r>
          </w:p>
        </w:tc>
        <w:tc>
          <w:tcPr>
            <w:tcW w:w="1579" w:type="dxa"/>
            <w:tcBorders>
              <w:top w:val="nil"/>
              <w:left w:val="nil"/>
              <w:bottom w:val="single" w:sz="4" w:space="0" w:color="auto"/>
              <w:right w:val="single" w:sz="4" w:space="0" w:color="auto"/>
            </w:tcBorders>
            <w:vAlign w:val="center"/>
            <w:hideMark/>
          </w:tcPr>
          <w:p w14:paraId="62E0AE5D" w14:textId="77777777" w:rsidR="00633D37" w:rsidRPr="00633D37" w:rsidRDefault="00633D37" w:rsidP="00633D37">
            <w:pPr>
              <w:jc w:val="both"/>
              <w:rPr>
                <w:color w:val="000000"/>
              </w:rPr>
            </w:pPr>
            <w:r w:rsidRPr="00633D37">
              <w:rPr>
                <w:color w:val="000000"/>
              </w:rPr>
              <w:t>28.80%</w:t>
            </w:r>
          </w:p>
        </w:tc>
        <w:tc>
          <w:tcPr>
            <w:tcW w:w="1579" w:type="dxa"/>
            <w:tcBorders>
              <w:top w:val="nil"/>
              <w:left w:val="nil"/>
              <w:bottom w:val="single" w:sz="4" w:space="0" w:color="auto"/>
              <w:right w:val="single" w:sz="4" w:space="0" w:color="auto"/>
            </w:tcBorders>
            <w:vAlign w:val="center"/>
            <w:hideMark/>
          </w:tcPr>
          <w:p w14:paraId="608E077D" w14:textId="77777777" w:rsidR="00633D37" w:rsidRPr="00633D37" w:rsidRDefault="00633D37" w:rsidP="00633D37">
            <w:pPr>
              <w:jc w:val="both"/>
              <w:rPr>
                <w:color w:val="000000"/>
              </w:rPr>
            </w:pPr>
            <w:r w:rsidRPr="00633D37">
              <w:rPr>
                <w:color w:val="000000"/>
              </w:rPr>
              <w:t>28.60%</w:t>
            </w:r>
          </w:p>
        </w:tc>
      </w:tr>
      <w:tr w:rsidR="00633D37" w:rsidRPr="00633D37" w14:paraId="33C1C8D3" w14:textId="77777777" w:rsidTr="00932200">
        <w:trPr>
          <w:trHeight w:val="714"/>
        </w:trPr>
        <w:tc>
          <w:tcPr>
            <w:tcW w:w="1579" w:type="dxa"/>
            <w:tcBorders>
              <w:top w:val="nil"/>
              <w:left w:val="single" w:sz="4" w:space="0" w:color="auto"/>
              <w:bottom w:val="single" w:sz="4" w:space="0" w:color="auto"/>
              <w:right w:val="single" w:sz="4" w:space="0" w:color="auto"/>
            </w:tcBorders>
            <w:vAlign w:val="center"/>
            <w:hideMark/>
          </w:tcPr>
          <w:p w14:paraId="0E4CD006" w14:textId="77777777" w:rsidR="00633D37" w:rsidRPr="00633D37" w:rsidRDefault="00633D37" w:rsidP="00633D37">
            <w:pPr>
              <w:jc w:val="both"/>
              <w:rPr>
                <w:b/>
                <w:bCs/>
                <w:color w:val="000000"/>
              </w:rPr>
            </w:pPr>
            <w:r w:rsidRPr="00633D37">
              <w:rPr>
                <w:b/>
                <w:bCs/>
                <w:color w:val="000000"/>
              </w:rPr>
              <w:t>Operating Profit Margin</w:t>
            </w:r>
          </w:p>
        </w:tc>
        <w:tc>
          <w:tcPr>
            <w:tcW w:w="1579" w:type="dxa"/>
            <w:tcBorders>
              <w:top w:val="nil"/>
              <w:left w:val="nil"/>
              <w:bottom w:val="single" w:sz="4" w:space="0" w:color="auto"/>
              <w:right w:val="single" w:sz="4" w:space="0" w:color="auto"/>
            </w:tcBorders>
            <w:vAlign w:val="center"/>
            <w:hideMark/>
          </w:tcPr>
          <w:p w14:paraId="33D51F04" w14:textId="77777777" w:rsidR="00633D37" w:rsidRPr="00633D37" w:rsidRDefault="00633D37" w:rsidP="00633D37">
            <w:pPr>
              <w:jc w:val="both"/>
              <w:rPr>
                <w:color w:val="000000"/>
              </w:rPr>
            </w:pPr>
            <w:r w:rsidRPr="00633D37">
              <w:rPr>
                <w:color w:val="000000"/>
              </w:rPr>
              <w:t>-3.87%</w:t>
            </w:r>
          </w:p>
        </w:tc>
        <w:tc>
          <w:tcPr>
            <w:tcW w:w="1579" w:type="dxa"/>
            <w:tcBorders>
              <w:top w:val="nil"/>
              <w:left w:val="nil"/>
              <w:bottom w:val="single" w:sz="4" w:space="0" w:color="auto"/>
              <w:right w:val="single" w:sz="4" w:space="0" w:color="auto"/>
            </w:tcBorders>
            <w:vAlign w:val="center"/>
            <w:hideMark/>
          </w:tcPr>
          <w:p w14:paraId="1213B612" w14:textId="77777777" w:rsidR="00633D37" w:rsidRPr="00633D37" w:rsidRDefault="00633D37" w:rsidP="00633D37">
            <w:pPr>
              <w:jc w:val="both"/>
              <w:rPr>
                <w:color w:val="000000"/>
              </w:rPr>
            </w:pPr>
            <w:r w:rsidRPr="00633D37">
              <w:rPr>
                <w:color w:val="000000"/>
              </w:rPr>
              <w:t>-20.30%</w:t>
            </w:r>
          </w:p>
        </w:tc>
        <w:tc>
          <w:tcPr>
            <w:tcW w:w="1579" w:type="dxa"/>
            <w:tcBorders>
              <w:top w:val="nil"/>
              <w:left w:val="nil"/>
              <w:bottom w:val="single" w:sz="4" w:space="0" w:color="auto"/>
              <w:right w:val="single" w:sz="4" w:space="0" w:color="auto"/>
            </w:tcBorders>
            <w:vAlign w:val="center"/>
            <w:hideMark/>
          </w:tcPr>
          <w:p w14:paraId="193C8D4F" w14:textId="77777777" w:rsidR="00633D37" w:rsidRPr="00633D37" w:rsidRDefault="00633D37" w:rsidP="00633D37">
            <w:pPr>
              <w:jc w:val="both"/>
              <w:rPr>
                <w:color w:val="000000"/>
              </w:rPr>
            </w:pPr>
            <w:r w:rsidRPr="00633D37">
              <w:rPr>
                <w:color w:val="000000"/>
              </w:rPr>
              <w:t>2.70%</w:t>
            </w:r>
          </w:p>
        </w:tc>
        <w:tc>
          <w:tcPr>
            <w:tcW w:w="1579" w:type="dxa"/>
            <w:tcBorders>
              <w:top w:val="nil"/>
              <w:left w:val="nil"/>
              <w:bottom w:val="single" w:sz="4" w:space="0" w:color="auto"/>
              <w:right w:val="single" w:sz="4" w:space="0" w:color="auto"/>
            </w:tcBorders>
            <w:vAlign w:val="center"/>
            <w:hideMark/>
          </w:tcPr>
          <w:p w14:paraId="4305CF17" w14:textId="77777777" w:rsidR="00633D37" w:rsidRPr="00633D37" w:rsidRDefault="00633D37" w:rsidP="00633D37">
            <w:pPr>
              <w:jc w:val="both"/>
              <w:rPr>
                <w:color w:val="000000"/>
              </w:rPr>
            </w:pPr>
            <w:r w:rsidRPr="00633D37">
              <w:rPr>
                <w:color w:val="000000"/>
              </w:rPr>
              <w:t>3.90%</w:t>
            </w:r>
          </w:p>
        </w:tc>
        <w:tc>
          <w:tcPr>
            <w:tcW w:w="1579" w:type="dxa"/>
            <w:tcBorders>
              <w:top w:val="nil"/>
              <w:left w:val="nil"/>
              <w:bottom w:val="single" w:sz="4" w:space="0" w:color="auto"/>
              <w:right w:val="single" w:sz="4" w:space="0" w:color="auto"/>
            </w:tcBorders>
            <w:vAlign w:val="center"/>
            <w:hideMark/>
          </w:tcPr>
          <w:p w14:paraId="50E67275" w14:textId="77777777" w:rsidR="00633D37" w:rsidRPr="00633D37" w:rsidRDefault="00633D37" w:rsidP="00633D37">
            <w:pPr>
              <w:jc w:val="both"/>
              <w:rPr>
                <w:color w:val="000000"/>
              </w:rPr>
            </w:pPr>
            <w:r w:rsidRPr="00633D37">
              <w:rPr>
                <w:color w:val="000000"/>
              </w:rPr>
              <w:t>6.19%</w:t>
            </w:r>
          </w:p>
        </w:tc>
      </w:tr>
      <w:tr w:rsidR="00633D37" w:rsidRPr="00633D37" w14:paraId="6650A971" w14:textId="77777777" w:rsidTr="00932200">
        <w:trPr>
          <w:trHeight w:val="476"/>
        </w:trPr>
        <w:tc>
          <w:tcPr>
            <w:tcW w:w="1579" w:type="dxa"/>
            <w:tcBorders>
              <w:top w:val="nil"/>
              <w:left w:val="single" w:sz="4" w:space="0" w:color="auto"/>
              <w:bottom w:val="single" w:sz="4" w:space="0" w:color="auto"/>
              <w:right w:val="single" w:sz="4" w:space="0" w:color="auto"/>
            </w:tcBorders>
            <w:vAlign w:val="center"/>
            <w:hideMark/>
          </w:tcPr>
          <w:p w14:paraId="2C4203B8" w14:textId="77777777" w:rsidR="00633D37" w:rsidRPr="00633D37" w:rsidRDefault="00633D37" w:rsidP="00633D37">
            <w:pPr>
              <w:jc w:val="both"/>
              <w:rPr>
                <w:b/>
                <w:bCs/>
                <w:color w:val="000000"/>
              </w:rPr>
            </w:pPr>
            <w:r w:rsidRPr="00633D37">
              <w:rPr>
                <w:b/>
                <w:bCs/>
                <w:color w:val="000000"/>
              </w:rPr>
              <w:t>Net Profit Margin</w:t>
            </w:r>
          </w:p>
        </w:tc>
        <w:tc>
          <w:tcPr>
            <w:tcW w:w="1579" w:type="dxa"/>
            <w:tcBorders>
              <w:top w:val="nil"/>
              <w:left w:val="nil"/>
              <w:bottom w:val="single" w:sz="4" w:space="0" w:color="auto"/>
              <w:right w:val="single" w:sz="4" w:space="0" w:color="auto"/>
            </w:tcBorders>
            <w:vAlign w:val="center"/>
            <w:hideMark/>
          </w:tcPr>
          <w:p w14:paraId="7B95851A" w14:textId="77777777" w:rsidR="00633D37" w:rsidRPr="00633D37" w:rsidRDefault="00633D37" w:rsidP="00633D37">
            <w:pPr>
              <w:jc w:val="both"/>
              <w:rPr>
                <w:color w:val="000000"/>
              </w:rPr>
            </w:pPr>
            <w:r w:rsidRPr="00633D37">
              <w:rPr>
                <w:color w:val="000000"/>
              </w:rPr>
              <w:t>-6.10%</w:t>
            </w:r>
          </w:p>
        </w:tc>
        <w:tc>
          <w:tcPr>
            <w:tcW w:w="1579" w:type="dxa"/>
            <w:tcBorders>
              <w:top w:val="nil"/>
              <w:left w:val="nil"/>
              <w:bottom w:val="single" w:sz="4" w:space="0" w:color="auto"/>
              <w:right w:val="single" w:sz="4" w:space="0" w:color="auto"/>
            </w:tcBorders>
            <w:vAlign w:val="center"/>
            <w:hideMark/>
          </w:tcPr>
          <w:p w14:paraId="32203FCA" w14:textId="77777777" w:rsidR="00633D37" w:rsidRPr="00633D37" w:rsidRDefault="00633D37" w:rsidP="00633D37">
            <w:pPr>
              <w:jc w:val="both"/>
              <w:rPr>
                <w:color w:val="000000"/>
              </w:rPr>
            </w:pPr>
            <w:r w:rsidRPr="00633D37">
              <w:rPr>
                <w:color w:val="000000"/>
              </w:rPr>
              <w:t>-23.40%</w:t>
            </w:r>
          </w:p>
        </w:tc>
        <w:tc>
          <w:tcPr>
            <w:tcW w:w="1579" w:type="dxa"/>
            <w:tcBorders>
              <w:top w:val="nil"/>
              <w:left w:val="nil"/>
              <w:bottom w:val="single" w:sz="4" w:space="0" w:color="auto"/>
              <w:right w:val="single" w:sz="4" w:space="0" w:color="auto"/>
            </w:tcBorders>
            <w:vAlign w:val="center"/>
            <w:hideMark/>
          </w:tcPr>
          <w:p w14:paraId="1A3C0047" w14:textId="77777777" w:rsidR="00633D37" w:rsidRPr="00633D37" w:rsidRDefault="00633D37" w:rsidP="00633D37">
            <w:pPr>
              <w:jc w:val="both"/>
              <w:rPr>
                <w:color w:val="000000"/>
              </w:rPr>
            </w:pPr>
            <w:r w:rsidRPr="00633D37">
              <w:rPr>
                <w:color w:val="000000"/>
              </w:rPr>
              <w:t>0.07%</w:t>
            </w:r>
          </w:p>
        </w:tc>
        <w:tc>
          <w:tcPr>
            <w:tcW w:w="1579" w:type="dxa"/>
            <w:tcBorders>
              <w:top w:val="nil"/>
              <w:left w:val="nil"/>
              <w:bottom w:val="single" w:sz="4" w:space="0" w:color="auto"/>
              <w:right w:val="single" w:sz="4" w:space="0" w:color="auto"/>
            </w:tcBorders>
            <w:vAlign w:val="center"/>
            <w:hideMark/>
          </w:tcPr>
          <w:p w14:paraId="0AE359BF" w14:textId="77777777" w:rsidR="00633D37" w:rsidRPr="00633D37" w:rsidRDefault="00633D37" w:rsidP="00633D37">
            <w:pPr>
              <w:jc w:val="both"/>
              <w:rPr>
                <w:color w:val="000000"/>
              </w:rPr>
            </w:pPr>
            <w:r w:rsidRPr="00633D37">
              <w:rPr>
                <w:color w:val="000000"/>
              </w:rPr>
              <w:t>0.88%</w:t>
            </w:r>
          </w:p>
        </w:tc>
        <w:tc>
          <w:tcPr>
            <w:tcW w:w="1579" w:type="dxa"/>
            <w:tcBorders>
              <w:top w:val="nil"/>
              <w:left w:val="nil"/>
              <w:bottom w:val="single" w:sz="4" w:space="0" w:color="auto"/>
              <w:right w:val="single" w:sz="4" w:space="0" w:color="auto"/>
            </w:tcBorders>
            <w:vAlign w:val="center"/>
            <w:hideMark/>
          </w:tcPr>
          <w:p w14:paraId="4EF69F78" w14:textId="77777777" w:rsidR="00633D37" w:rsidRPr="00633D37" w:rsidRDefault="00633D37" w:rsidP="00633D37">
            <w:pPr>
              <w:jc w:val="both"/>
              <w:rPr>
                <w:color w:val="000000"/>
              </w:rPr>
            </w:pPr>
            <w:r w:rsidRPr="00633D37">
              <w:rPr>
                <w:color w:val="000000"/>
              </w:rPr>
              <w:t>6.27%</w:t>
            </w:r>
          </w:p>
        </w:tc>
      </w:tr>
      <w:tr w:rsidR="00633D37" w:rsidRPr="00633D37" w14:paraId="2AFD450F" w14:textId="77777777" w:rsidTr="00932200">
        <w:trPr>
          <w:trHeight w:val="476"/>
        </w:trPr>
        <w:tc>
          <w:tcPr>
            <w:tcW w:w="1579" w:type="dxa"/>
            <w:tcBorders>
              <w:top w:val="nil"/>
              <w:left w:val="single" w:sz="4" w:space="0" w:color="auto"/>
              <w:bottom w:val="single" w:sz="4" w:space="0" w:color="auto"/>
              <w:right w:val="single" w:sz="4" w:space="0" w:color="auto"/>
            </w:tcBorders>
            <w:vAlign w:val="center"/>
            <w:hideMark/>
          </w:tcPr>
          <w:p w14:paraId="3F812EA4" w14:textId="77777777" w:rsidR="00633D37" w:rsidRPr="00633D37" w:rsidRDefault="00633D37" w:rsidP="00633D37">
            <w:pPr>
              <w:jc w:val="both"/>
              <w:rPr>
                <w:b/>
                <w:bCs/>
                <w:color w:val="000000"/>
              </w:rPr>
            </w:pPr>
            <w:r w:rsidRPr="00633D37">
              <w:rPr>
                <w:b/>
                <w:bCs/>
                <w:color w:val="000000"/>
              </w:rPr>
              <w:t>Current Ratio</w:t>
            </w:r>
          </w:p>
        </w:tc>
        <w:tc>
          <w:tcPr>
            <w:tcW w:w="1579" w:type="dxa"/>
            <w:tcBorders>
              <w:top w:val="nil"/>
              <w:left w:val="nil"/>
              <w:bottom w:val="single" w:sz="4" w:space="0" w:color="auto"/>
              <w:right w:val="single" w:sz="4" w:space="0" w:color="auto"/>
            </w:tcBorders>
            <w:vAlign w:val="center"/>
            <w:hideMark/>
          </w:tcPr>
          <w:p w14:paraId="59E71435" w14:textId="77777777" w:rsidR="00633D37" w:rsidRPr="00633D37" w:rsidRDefault="00633D37" w:rsidP="00633D37">
            <w:pPr>
              <w:jc w:val="both"/>
              <w:rPr>
                <w:color w:val="000000"/>
              </w:rPr>
            </w:pPr>
            <w:r w:rsidRPr="00633D37">
              <w:rPr>
                <w:color w:val="000000"/>
              </w:rPr>
              <w:t>1.53</w:t>
            </w:r>
          </w:p>
        </w:tc>
        <w:tc>
          <w:tcPr>
            <w:tcW w:w="1579" w:type="dxa"/>
            <w:tcBorders>
              <w:top w:val="nil"/>
              <w:left w:val="nil"/>
              <w:bottom w:val="single" w:sz="4" w:space="0" w:color="auto"/>
              <w:right w:val="single" w:sz="4" w:space="0" w:color="auto"/>
            </w:tcBorders>
            <w:vAlign w:val="center"/>
            <w:hideMark/>
          </w:tcPr>
          <w:p w14:paraId="10FF0BCD" w14:textId="77777777" w:rsidR="00633D37" w:rsidRPr="00633D37" w:rsidRDefault="00633D37" w:rsidP="00633D37">
            <w:pPr>
              <w:jc w:val="both"/>
              <w:rPr>
                <w:color w:val="000000"/>
              </w:rPr>
            </w:pPr>
            <w:r w:rsidRPr="00633D37">
              <w:rPr>
                <w:color w:val="000000"/>
              </w:rPr>
              <w:t>1.6</w:t>
            </w:r>
          </w:p>
        </w:tc>
        <w:tc>
          <w:tcPr>
            <w:tcW w:w="1579" w:type="dxa"/>
            <w:tcBorders>
              <w:top w:val="nil"/>
              <w:left w:val="nil"/>
              <w:bottom w:val="single" w:sz="4" w:space="0" w:color="auto"/>
              <w:right w:val="single" w:sz="4" w:space="0" w:color="auto"/>
            </w:tcBorders>
            <w:vAlign w:val="center"/>
            <w:hideMark/>
          </w:tcPr>
          <w:p w14:paraId="23746315" w14:textId="77777777" w:rsidR="00633D37" w:rsidRPr="00633D37" w:rsidRDefault="00633D37" w:rsidP="00633D37">
            <w:pPr>
              <w:jc w:val="both"/>
              <w:rPr>
                <w:color w:val="000000"/>
              </w:rPr>
            </w:pPr>
            <w:r w:rsidRPr="00633D37">
              <w:rPr>
                <w:color w:val="000000"/>
              </w:rPr>
              <w:t>1.56</w:t>
            </w:r>
          </w:p>
        </w:tc>
        <w:tc>
          <w:tcPr>
            <w:tcW w:w="1579" w:type="dxa"/>
            <w:tcBorders>
              <w:top w:val="nil"/>
              <w:left w:val="nil"/>
              <w:bottom w:val="single" w:sz="4" w:space="0" w:color="auto"/>
              <w:right w:val="single" w:sz="4" w:space="0" w:color="auto"/>
            </w:tcBorders>
            <w:vAlign w:val="center"/>
            <w:hideMark/>
          </w:tcPr>
          <w:p w14:paraId="4309EB87" w14:textId="77777777" w:rsidR="00633D37" w:rsidRPr="00633D37" w:rsidRDefault="00633D37" w:rsidP="00633D37">
            <w:pPr>
              <w:jc w:val="both"/>
              <w:rPr>
                <w:color w:val="000000"/>
              </w:rPr>
            </w:pPr>
            <w:r w:rsidRPr="00633D37">
              <w:rPr>
                <w:color w:val="000000"/>
              </w:rPr>
              <w:t>1.83</w:t>
            </w:r>
          </w:p>
        </w:tc>
        <w:tc>
          <w:tcPr>
            <w:tcW w:w="1579" w:type="dxa"/>
            <w:tcBorders>
              <w:top w:val="nil"/>
              <w:left w:val="nil"/>
              <w:bottom w:val="single" w:sz="4" w:space="0" w:color="auto"/>
              <w:right w:val="single" w:sz="4" w:space="0" w:color="auto"/>
            </w:tcBorders>
            <w:vAlign w:val="center"/>
            <w:hideMark/>
          </w:tcPr>
          <w:p w14:paraId="6E9D7E25" w14:textId="77777777" w:rsidR="00633D37" w:rsidRPr="00633D37" w:rsidRDefault="00633D37" w:rsidP="00633D37">
            <w:pPr>
              <w:jc w:val="both"/>
              <w:rPr>
                <w:color w:val="000000"/>
              </w:rPr>
            </w:pPr>
            <w:r w:rsidRPr="00633D37">
              <w:rPr>
                <w:color w:val="000000"/>
              </w:rPr>
              <w:t>1.82</w:t>
            </w:r>
          </w:p>
        </w:tc>
      </w:tr>
      <w:tr w:rsidR="00633D37" w:rsidRPr="00633D37" w14:paraId="05351005" w14:textId="77777777" w:rsidTr="00932200">
        <w:trPr>
          <w:trHeight w:val="476"/>
        </w:trPr>
        <w:tc>
          <w:tcPr>
            <w:tcW w:w="1579" w:type="dxa"/>
            <w:tcBorders>
              <w:top w:val="nil"/>
              <w:left w:val="single" w:sz="4" w:space="0" w:color="auto"/>
              <w:bottom w:val="single" w:sz="4" w:space="0" w:color="auto"/>
              <w:right w:val="single" w:sz="4" w:space="0" w:color="auto"/>
            </w:tcBorders>
            <w:vAlign w:val="center"/>
            <w:hideMark/>
          </w:tcPr>
          <w:p w14:paraId="514F0E6A" w14:textId="77777777" w:rsidR="00633D37" w:rsidRPr="00633D37" w:rsidRDefault="00633D37" w:rsidP="00633D37">
            <w:pPr>
              <w:jc w:val="both"/>
              <w:rPr>
                <w:b/>
                <w:bCs/>
                <w:color w:val="000000"/>
              </w:rPr>
            </w:pPr>
            <w:r w:rsidRPr="00633D37">
              <w:rPr>
                <w:b/>
                <w:bCs/>
                <w:color w:val="000000"/>
              </w:rPr>
              <w:t>Quick Ratio</w:t>
            </w:r>
          </w:p>
        </w:tc>
        <w:tc>
          <w:tcPr>
            <w:tcW w:w="1579" w:type="dxa"/>
            <w:tcBorders>
              <w:top w:val="nil"/>
              <w:left w:val="nil"/>
              <w:bottom w:val="single" w:sz="4" w:space="0" w:color="auto"/>
              <w:right w:val="single" w:sz="4" w:space="0" w:color="auto"/>
            </w:tcBorders>
            <w:vAlign w:val="center"/>
            <w:hideMark/>
          </w:tcPr>
          <w:p w14:paraId="60E8DAAA" w14:textId="77777777" w:rsidR="00633D37" w:rsidRPr="00633D37" w:rsidRDefault="00633D37" w:rsidP="00633D37">
            <w:pPr>
              <w:jc w:val="both"/>
              <w:rPr>
                <w:color w:val="000000"/>
              </w:rPr>
            </w:pPr>
            <w:r w:rsidRPr="00633D37">
              <w:rPr>
                <w:color w:val="000000"/>
              </w:rPr>
              <w:t>1.03</w:t>
            </w:r>
          </w:p>
        </w:tc>
        <w:tc>
          <w:tcPr>
            <w:tcW w:w="1579" w:type="dxa"/>
            <w:tcBorders>
              <w:top w:val="nil"/>
              <w:left w:val="nil"/>
              <w:bottom w:val="single" w:sz="4" w:space="0" w:color="auto"/>
              <w:right w:val="single" w:sz="4" w:space="0" w:color="auto"/>
            </w:tcBorders>
            <w:vAlign w:val="center"/>
            <w:hideMark/>
          </w:tcPr>
          <w:p w14:paraId="601983A6" w14:textId="77777777" w:rsidR="00633D37" w:rsidRPr="00633D37" w:rsidRDefault="00633D37" w:rsidP="00633D37">
            <w:pPr>
              <w:jc w:val="both"/>
              <w:rPr>
                <w:color w:val="000000"/>
              </w:rPr>
            </w:pPr>
            <w:r w:rsidRPr="00633D37">
              <w:rPr>
                <w:color w:val="000000"/>
              </w:rPr>
              <w:t>1.12</w:t>
            </w:r>
          </w:p>
        </w:tc>
        <w:tc>
          <w:tcPr>
            <w:tcW w:w="1579" w:type="dxa"/>
            <w:tcBorders>
              <w:top w:val="nil"/>
              <w:left w:val="nil"/>
              <w:bottom w:val="single" w:sz="4" w:space="0" w:color="auto"/>
              <w:right w:val="single" w:sz="4" w:space="0" w:color="auto"/>
            </w:tcBorders>
            <w:vAlign w:val="center"/>
            <w:hideMark/>
          </w:tcPr>
          <w:p w14:paraId="4DDC539E" w14:textId="77777777" w:rsidR="00633D37" w:rsidRPr="00633D37" w:rsidRDefault="00633D37" w:rsidP="00633D37">
            <w:pPr>
              <w:jc w:val="both"/>
              <w:rPr>
                <w:color w:val="000000"/>
              </w:rPr>
            </w:pPr>
            <w:r w:rsidRPr="00633D37">
              <w:rPr>
                <w:color w:val="000000"/>
              </w:rPr>
              <w:t>1.14</w:t>
            </w:r>
          </w:p>
        </w:tc>
        <w:tc>
          <w:tcPr>
            <w:tcW w:w="1579" w:type="dxa"/>
            <w:tcBorders>
              <w:top w:val="nil"/>
              <w:left w:val="nil"/>
              <w:bottom w:val="single" w:sz="4" w:space="0" w:color="auto"/>
              <w:right w:val="single" w:sz="4" w:space="0" w:color="auto"/>
            </w:tcBorders>
            <w:vAlign w:val="center"/>
            <w:hideMark/>
          </w:tcPr>
          <w:p w14:paraId="1880A5D9" w14:textId="77777777" w:rsidR="00633D37" w:rsidRPr="00633D37" w:rsidRDefault="00633D37" w:rsidP="00633D37">
            <w:pPr>
              <w:jc w:val="both"/>
              <w:rPr>
                <w:color w:val="000000"/>
              </w:rPr>
            </w:pPr>
            <w:r w:rsidRPr="00633D37">
              <w:rPr>
                <w:color w:val="000000"/>
              </w:rPr>
              <w:t>1.12</w:t>
            </w:r>
          </w:p>
        </w:tc>
        <w:tc>
          <w:tcPr>
            <w:tcW w:w="1579" w:type="dxa"/>
            <w:tcBorders>
              <w:top w:val="nil"/>
              <w:left w:val="nil"/>
              <w:bottom w:val="single" w:sz="4" w:space="0" w:color="auto"/>
              <w:right w:val="single" w:sz="4" w:space="0" w:color="auto"/>
            </w:tcBorders>
            <w:vAlign w:val="center"/>
            <w:hideMark/>
          </w:tcPr>
          <w:p w14:paraId="1A673A52" w14:textId="77777777" w:rsidR="00633D37" w:rsidRPr="00633D37" w:rsidRDefault="00633D37" w:rsidP="00633D37">
            <w:pPr>
              <w:jc w:val="both"/>
              <w:rPr>
                <w:color w:val="000000"/>
              </w:rPr>
            </w:pPr>
            <w:r w:rsidRPr="00633D37">
              <w:rPr>
                <w:color w:val="000000"/>
              </w:rPr>
              <w:t>1.13</w:t>
            </w:r>
          </w:p>
        </w:tc>
      </w:tr>
      <w:tr w:rsidR="00633D37" w:rsidRPr="00633D37" w14:paraId="1B9D2B38" w14:textId="77777777" w:rsidTr="00932200">
        <w:trPr>
          <w:trHeight w:val="476"/>
        </w:trPr>
        <w:tc>
          <w:tcPr>
            <w:tcW w:w="1579" w:type="dxa"/>
            <w:tcBorders>
              <w:top w:val="nil"/>
              <w:left w:val="single" w:sz="4" w:space="0" w:color="auto"/>
              <w:bottom w:val="single" w:sz="4" w:space="0" w:color="auto"/>
              <w:right w:val="single" w:sz="4" w:space="0" w:color="auto"/>
            </w:tcBorders>
            <w:vAlign w:val="center"/>
            <w:hideMark/>
          </w:tcPr>
          <w:p w14:paraId="5FB43415" w14:textId="77777777" w:rsidR="00633D37" w:rsidRPr="00633D37" w:rsidRDefault="00633D37" w:rsidP="00633D37">
            <w:pPr>
              <w:jc w:val="both"/>
              <w:rPr>
                <w:b/>
                <w:bCs/>
                <w:color w:val="000000"/>
              </w:rPr>
            </w:pPr>
            <w:r w:rsidRPr="00633D37">
              <w:rPr>
                <w:b/>
                <w:bCs/>
                <w:color w:val="000000"/>
              </w:rPr>
              <w:t>Inventory Turnover</w:t>
            </w:r>
          </w:p>
        </w:tc>
        <w:tc>
          <w:tcPr>
            <w:tcW w:w="1579" w:type="dxa"/>
            <w:tcBorders>
              <w:top w:val="nil"/>
              <w:left w:val="nil"/>
              <w:bottom w:val="single" w:sz="4" w:space="0" w:color="auto"/>
              <w:right w:val="single" w:sz="4" w:space="0" w:color="auto"/>
            </w:tcBorders>
            <w:vAlign w:val="center"/>
            <w:hideMark/>
          </w:tcPr>
          <w:p w14:paraId="1F3EE02C" w14:textId="77777777" w:rsidR="00633D37" w:rsidRPr="00633D37" w:rsidRDefault="00633D37" w:rsidP="00633D37">
            <w:pPr>
              <w:jc w:val="both"/>
              <w:rPr>
                <w:color w:val="000000"/>
              </w:rPr>
            </w:pPr>
            <w:r w:rsidRPr="00633D37">
              <w:rPr>
                <w:color w:val="000000"/>
              </w:rPr>
              <w:t>3.57</w:t>
            </w:r>
          </w:p>
        </w:tc>
        <w:tc>
          <w:tcPr>
            <w:tcW w:w="1579" w:type="dxa"/>
            <w:tcBorders>
              <w:top w:val="nil"/>
              <w:left w:val="nil"/>
              <w:bottom w:val="single" w:sz="4" w:space="0" w:color="auto"/>
              <w:right w:val="single" w:sz="4" w:space="0" w:color="auto"/>
            </w:tcBorders>
            <w:vAlign w:val="center"/>
            <w:hideMark/>
          </w:tcPr>
          <w:p w14:paraId="4A2AC9F5" w14:textId="77777777" w:rsidR="00633D37" w:rsidRPr="00633D37" w:rsidRDefault="00633D37" w:rsidP="00633D37">
            <w:pPr>
              <w:jc w:val="both"/>
              <w:rPr>
                <w:color w:val="000000"/>
              </w:rPr>
            </w:pPr>
            <w:r w:rsidRPr="00633D37">
              <w:rPr>
                <w:color w:val="000000"/>
              </w:rPr>
              <w:t>3.07</w:t>
            </w:r>
          </w:p>
        </w:tc>
        <w:tc>
          <w:tcPr>
            <w:tcW w:w="1579" w:type="dxa"/>
            <w:tcBorders>
              <w:top w:val="nil"/>
              <w:left w:val="nil"/>
              <w:bottom w:val="single" w:sz="4" w:space="0" w:color="auto"/>
              <w:right w:val="single" w:sz="4" w:space="0" w:color="auto"/>
            </w:tcBorders>
            <w:vAlign w:val="center"/>
            <w:hideMark/>
          </w:tcPr>
          <w:p w14:paraId="66928AE7" w14:textId="77777777" w:rsidR="00633D37" w:rsidRPr="00633D37" w:rsidRDefault="00633D37" w:rsidP="00633D37">
            <w:pPr>
              <w:jc w:val="both"/>
              <w:rPr>
                <w:color w:val="000000"/>
              </w:rPr>
            </w:pPr>
            <w:r w:rsidRPr="00633D37">
              <w:rPr>
                <w:color w:val="000000"/>
              </w:rPr>
              <w:t>2.9</w:t>
            </w:r>
          </w:p>
        </w:tc>
        <w:tc>
          <w:tcPr>
            <w:tcW w:w="1579" w:type="dxa"/>
            <w:tcBorders>
              <w:top w:val="nil"/>
              <w:left w:val="nil"/>
              <w:bottom w:val="single" w:sz="4" w:space="0" w:color="auto"/>
              <w:right w:val="single" w:sz="4" w:space="0" w:color="auto"/>
            </w:tcBorders>
            <w:vAlign w:val="center"/>
            <w:hideMark/>
          </w:tcPr>
          <w:p w14:paraId="1EE7A406" w14:textId="77777777" w:rsidR="00633D37" w:rsidRPr="00633D37" w:rsidRDefault="00633D37" w:rsidP="00633D37">
            <w:pPr>
              <w:jc w:val="both"/>
              <w:rPr>
                <w:color w:val="000000"/>
              </w:rPr>
            </w:pPr>
            <w:r w:rsidRPr="00633D37">
              <w:rPr>
                <w:color w:val="000000"/>
              </w:rPr>
              <w:t>2.67</w:t>
            </w:r>
          </w:p>
        </w:tc>
        <w:tc>
          <w:tcPr>
            <w:tcW w:w="1579" w:type="dxa"/>
            <w:tcBorders>
              <w:top w:val="nil"/>
              <w:left w:val="nil"/>
              <w:bottom w:val="single" w:sz="4" w:space="0" w:color="auto"/>
              <w:right w:val="single" w:sz="4" w:space="0" w:color="auto"/>
            </w:tcBorders>
            <w:vAlign w:val="center"/>
            <w:hideMark/>
          </w:tcPr>
          <w:p w14:paraId="378C476E" w14:textId="77777777" w:rsidR="00633D37" w:rsidRPr="00633D37" w:rsidRDefault="00633D37" w:rsidP="00633D37">
            <w:pPr>
              <w:jc w:val="both"/>
              <w:rPr>
                <w:color w:val="000000"/>
              </w:rPr>
            </w:pPr>
            <w:r w:rsidRPr="00633D37">
              <w:rPr>
                <w:color w:val="000000"/>
              </w:rPr>
              <w:t>3.01</w:t>
            </w:r>
          </w:p>
        </w:tc>
      </w:tr>
      <w:tr w:rsidR="00633D37" w:rsidRPr="00633D37" w14:paraId="17F60589" w14:textId="77777777" w:rsidTr="00932200">
        <w:trPr>
          <w:trHeight w:val="714"/>
        </w:trPr>
        <w:tc>
          <w:tcPr>
            <w:tcW w:w="1579" w:type="dxa"/>
            <w:tcBorders>
              <w:top w:val="nil"/>
              <w:left w:val="single" w:sz="4" w:space="0" w:color="auto"/>
              <w:bottom w:val="single" w:sz="4" w:space="0" w:color="auto"/>
              <w:right w:val="single" w:sz="4" w:space="0" w:color="auto"/>
            </w:tcBorders>
            <w:vAlign w:val="center"/>
            <w:hideMark/>
          </w:tcPr>
          <w:p w14:paraId="778FB82A" w14:textId="77777777" w:rsidR="00633D37" w:rsidRPr="00633D37" w:rsidRDefault="00633D37" w:rsidP="00633D37">
            <w:pPr>
              <w:jc w:val="both"/>
              <w:rPr>
                <w:b/>
                <w:bCs/>
                <w:color w:val="000000"/>
              </w:rPr>
            </w:pPr>
            <w:r w:rsidRPr="00633D37">
              <w:rPr>
                <w:b/>
                <w:bCs/>
                <w:color w:val="000000"/>
              </w:rPr>
              <w:t>Debt-to-Equity Ratio</w:t>
            </w:r>
          </w:p>
        </w:tc>
        <w:tc>
          <w:tcPr>
            <w:tcW w:w="1579" w:type="dxa"/>
            <w:tcBorders>
              <w:top w:val="nil"/>
              <w:left w:val="nil"/>
              <w:bottom w:val="single" w:sz="4" w:space="0" w:color="auto"/>
              <w:right w:val="single" w:sz="4" w:space="0" w:color="auto"/>
            </w:tcBorders>
            <w:vAlign w:val="center"/>
            <w:hideMark/>
          </w:tcPr>
          <w:p w14:paraId="5F9925A2" w14:textId="77777777" w:rsidR="00633D37" w:rsidRPr="00633D37" w:rsidRDefault="00633D37" w:rsidP="00633D37">
            <w:pPr>
              <w:jc w:val="both"/>
              <w:rPr>
                <w:color w:val="000000"/>
              </w:rPr>
            </w:pPr>
            <w:r w:rsidRPr="00633D37">
              <w:rPr>
                <w:color w:val="000000"/>
              </w:rPr>
              <w:t>1.11</w:t>
            </w:r>
          </w:p>
        </w:tc>
        <w:tc>
          <w:tcPr>
            <w:tcW w:w="1579" w:type="dxa"/>
            <w:tcBorders>
              <w:top w:val="nil"/>
              <w:left w:val="nil"/>
              <w:bottom w:val="single" w:sz="4" w:space="0" w:color="auto"/>
              <w:right w:val="single" w:sz="4" w:space="0" w:color="auto"/>
            </w:tcBorders>
            <w:vAlign w:val="center"/>
            <w:hideMark/>
          </w:tcPr>
          <w:p w14:paraId="114593CB" w14:textId="77777777" w:rsidR="00633D37" w:rsidRPr="00633D37" w:rsidRDefault="00633D37" w:rsidP="00633D37">
            <w:pPr>
              <w:jc w:val="both"/>
              <w:rPr>
                <w:color w:val="000000"/>
              </w:rPr>
            </w:pPr>
            <w:r w:rsidRPr="00633D37">
              <w:rPr>
                <w:color w:val="000000"/>
              </w:rPr>
              <w:t>1.05</w:t>
            </w:r>
          </w:p>
        </w:tc>
        <w:tc>
          <w:tcPr>
            <w:tcW w:w="1579" w:type="dxa"/>
            <w:tcBorders>
              <w:top w:val="nil"/>
              <w:left w:val="nil"/>
              <w:bottom w:val="single" w:sz="4" w:space="0" w:color="auto"/>
              <w:right w:val="single" w:sz="4" w:space="0" w:color="auto"/>
            </w:tcBorders>
            <w:vAlign w:val="center"/>
            <w:hideMark/>
          </w:tcPr>
          <w:p w14:paraId="3543815A" w14:textId="77777777" w:rsidR="00633D37" w:rsidRPr="00633D37" w:rsidRDefault="00633D37" w:rsidP="00633D37">
            <w:pPr>
              <w:jc w:val="both"/>
              <w:rPr>
                <w:color w:val="000000"/>
              </w:rPr>
            </w:pPr>
            <w:r w:rsidRPr="00633D37">
              <w:rPr>
                <w:color w:val="000000"/>
              </w:rPr>
              <w:t>0.88</w:t>
            </w:r>
          </w:p>
        </w:tc>
        <w:tc>
          <w:tcPr>
            <w:tcW w:w="1579" w:type="dxa"/>
            <w:tcBorders>
              <w:top w:val="nil"/>
              <w:left w:val="nil"/>
              <w:bottom w:val="single" w:sz="4" w:space="0" w:color="auto"/>
              <w:right w:val="single" w:sz="4" w:space="0" w:color="auto"/>
            </w:tcBorders>
            <w:vAlign w:val="center"/>
            <w:hideMark/>
          </w:tcPr>
          <w:p w14:paraId="79C632C8" w14:textId="77777777" w:rsidR="00633D37" w:rsidRPr="00633D37" w:rsidRDefault="00633D37" w:rsidP="00633D37">
            <w:pPr>
              <w:jc w:val="both"/>
              <w:rPr>
                <w:color w:val="000000"/>
              </w:rPr>
            </w:pPr>
            <w:r w:rsidRPr="00633D37">
              <w:rPr>
                <w:color w:val="000000"/>
              </w:rPr>
              <w:t>0.85</w:t>
            </w:r>
          </w:p>
        </w:tc>
        <w:tc>
          <w:tcPr>
            <w:tcW w:w="1579" w:type="dxa"/>
            <w:tcBorders>
              <w:top w:val="nil"/>
              <w:left w:val="nil"/>
              <w:bottom w:val="single" w:sz="4" w:space="0" w:color="auto"/>
              <w:right w:val="single" w:sz="4" w:space="0" w:color="auto"/>
            </w:tcBorders>
            <w:vAlign w:val="center"/>
            <w:hideMark/>
          </w:tcPr>
          <w:p w14:paraId="439721BC" w14:textId="77777777" w:rsidR="00633D37" w:rsidRPr="00633D37" w:rsidRDefault="00633D37" w:rsidP="00633D37">
            <w:pPr>
              <w:jc w:val="both"/>
              <w:rPr>
                <w:color w:val="000000"/>
              </w:rPr>
            </w:pPr>
            <w:r w:rsidRPr="00633D37">
              <w:rPr>
                <w:color w:val="000000"/>
              </w:rPr>
              <w:t>0.63</w:t>
            </w:r>
          </w:p>
        </w:tc>
      </w:tr>
    </w:tbl>
    <w:p w14:paraId="13F305E6" w14:textId="77777777" w:rsidR="00633D37" w:rsidRDefault="00633D37" w:rsidP="005814C2">
      <w:pPr>
        <w:spacing w:before="100" w:beforeAutospacing="1" w:after="100" w:afterAutospacing="1" w:line="360" w:lineRule="auto"/>
        <w:jc w:val="both"/>
        <w:outlineLvl w:val="3"/>
        <w:rPr>
          <w:b/>
          <w:bCs/>
        </w:rPr>
      </w:pPr>
    </w:p>
    <w:p w14:paraId="4B2C6F6A" w14:textId="16420149" w:rsidR="00633D37" w:rsidRDefault="00633D37" w:rsidP="005814C2">
      <w:pPr>
        <w:spacing w:before="100" w:beforeAutospacing="1" w:after="100" w:afterAutospacing="1" w:line="360" w:lineRule="auto"/>
        <w:jc w:val="both"/>
        <w:outlineLvl w:val="3"/>
        <w:rPr>
          <w:b/>
          <w:bCs/>
        </w:rPr>
      </w:pPr>
      <w:r>
        <w:rPr>
          <w:noProof/>
        </w:rPr>
        <w:drawing>
          <wp:inline distT="0" distB="0" distL="0" distR="0" wp14:anchorId="7D380D21" wp14:editId="7E711D71">
            <wp:extent cx="4572000" cy="2743200"/>
            <wp:effectExtent l="0" t="0" r="12700" b="12700"/>
            <wp:docPr id="1101074266" name="Chart 1">
              <a:extLst xmlns:a="http://schemas.openxmlformats.org/drawingml/2006/main">
                <a:ext uri="{FF2B5EF4-FFF2-40B4-BE49-F238E27FC236}">
                  <a16:creationId xmlns:a16="http://schemas.microsoft.com/office/drawing/2014/main" id="{5FE7559B-6595-B0F6-29AB-A447B20390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40B76A" w14:textId="5E66AC0B" w:rsidR="00633D37" w:rsidRDefault="00633D37" w:rsidP="005814C2">
      <w:pPr>
        <w:spacing w:before="100" w:beforeAutospacing="1" w:after="100" w:afterAutospacing="1" w:line="360" w:lineRule="auto"/>
        <w:jc w:val="both"/>
        <w:outlineLvl w:val="3"/>
        <w:rPr>
          <w:b/>
          <w:bCs/>
        </w:rPr>
      </w:pPr>
      <w:r>
        <w:rPr>
          <w:noProof/>
        </w:rPr>
        <w:lastRenderedPageBreak/>
        <w:drawing>
          <wp:inline distT="0" distB="0" distL="0" distR="0" wp14:anchorId="23E313E4" wp14:editId="02299732">
            <wp:extent cx="4572000" cy="2743200"/>
            <wp:effectExtent l="0" t="0" r="12700" b="12700"/>
            <wp:docPr id="1349038965" name="Chart 1">
              <a:extLst xmlns:a="http://schemas.openxmlformats.org/drawingml/2006/main">
                <a:ext uri="{FF2B5EF4-FFF2-40B4-BE49-F238E27FC236}">
                  <a16:creationId xmlns:a16="http://schemas.microsoft.com/office/drawing/2014/main" id="{D557393B-B46B-B466-FBF4-E5629D1CF3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C6978F" w14:textId="77777777" w:rsidR="00633D37" w:rsidRDefault="00633D37" w:rsidP="005814C2">
      <w:pPr>
        <w:spacing w:before="100" w:beforeAutospacing="1" w:after="100" w:afterAutospacing="1" w:line="360" w:lineRule="auto"/>
        <w:jc w:val="both"/>
        <w:outlineLvl w:val="3"/>
        <w:rPr>
          <w:b/>
          <w:bCs/>
        </w:rPr>
      </w:pPr>
    </w:p>
    <w:p w14:paraId="6728F5B5" w14:textId="3643CC30" w:rsidR="00633D37" w:rsidRDefault="00633D37" w:rsidP="005814C2">
      <w:pPr>
        <w:spacing w:before="100" w:beforeAutospacing="1" w:after="100" w:afterAutospacing="1" w:line="360" w:lineRule="auto"/>
        <w:jc w:val="both"/>
        <w:outlineLvl w:val="3"/>
        <w:rPr>
          <w:b/>
          <w:bCs/>
        </w:rPr>
      </w:pPr>
      <w:r>
        <w:rPr>
          <w:noProof/>
        </w:rPr>
        <w:drawing>
          <wp:inline distT="0" distB="0" distL="0" distR="0" wp14:anchorId="61FD10F2" wp14:editId="7C0C6272">
            <wp:extent cx="4572000" cy="2743200"/>
            <wp:effectExtent l="0" t="0" r="12700" b="12700"/>
            <wp:docPr id="2057811875" name="Chart 1">
              <a:extLst xmlns:a="http://schemas.openxmlformats.org/drawingml/2006/main">
                <a:ext uri="{FF2B5EF4-FFF2-40B4-BE49-F238E27FC236}">
                  <a16:creationId xmlns:a16="http://schemas.microsoft.com/office/drawing/2014/main" id="{9C2F8A1F-1A96-E173-934D-F5815355A0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C0599D1" w14:textId="77777777" w:rsidR="00633D37" w:rsidRDefault="00633D37" w:rsidP="005814C2">
      <w:pPr>
        <w:spacing w:before="100" w:beforeAutospacing="1" w:after="100" w:afterAutospacing="1" w:line="360" w:lineRule="auto"/>
        <w:jc w:val="both"/>
        <w:outlineLvl w:val="3"/>
        <w:rPr>
          <w:b/>
          <w:bCs/>
        </w:rPr>
      </w:pPr>
    </w:p>
    <w:p w14:paraId="22E925D4" w14:textId="5C9525F8" w:rsidR="00633D37" w:rsidRDefault="00633D37" w:rsidP="005814C2">
      <w:pPr>
        <w:spacing w:before="100" w:beforeAutospacing="1" w:after="100" w:afterAutospacing="1" w:line="360" w:lineRule="auto"/>
        <w:jc w:val="both"/>
        <w:outlineLvl w:val="3"/>
        <w:rPr>
          <w:b/>
          <w:bCs/>
        </w:rPr>
      </w:pPr>
      <w:r>
        <w:rPr>
          <w:noProof/>
        </w:rPr>
        <w:lastRenderedPageBreak/>
        <w:drawing>
          <wp:inline distT="0" distB="0" distL="0" distR="0" wp14:anchorId="60DE8172" wp14:editId="242B85BA">
            <wp:extent cx="4572000" cy="2743200"/>
            <wp:effectExtent l="0" t="0" r="12700" b="12700"/>
            <wp:docPr id="1125732474" name="Chart 1">
              <a:extLst xmlns:a="http://schemas.openxmlformats.org/drawingml/2006/main">
                <a:ext uri="{FF2B5EF4-FFF2-40B4-BE49-F238E27FC236}">
                  <a16:creationId xmlns:a16="http://schemas.microsoft.com/office/drawing/2014/main" id="{1A70321B-AAF1-8F47-CF1A-B0853B2A79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1F1E97C" w14:textId="54295844" w:rsidR="00633D37" w:rsidRDefault="00633D37" w:rsidP="005814C2">
      <w:pPr>
        <w:spacing w:before="100" w:beforeAutospacing="1" w:after="100" w:afterAutospacing="1" w:line="360" w:lineRule="auto"/>
        <w:jc w:val="both"/>
        <w:outlineLvl w:val="3"/>
        <w:rPr>
          <w:b/>
          <w:bCs/>
        </w:rPr>
      </w:pPr>
      <w:r>
        <w:rPr>
          <w:noProof/>
        </w:rPr>
        <w:drawing>
          <wp:inline distT="0" distB="0" distL="0" distR="0" wp14:anchorId="512BFC79" wp14:editId="34B5F881">
            <wp:extent cx="4572000" cy="2743200"/>
            <wp:effectExtent l="0" t="0" r="12700" b="12700"/>
            <wp:docPr id="78684147" name="Chart 1">
              <a:extLst xmlns:a="http://schemas.openxmlformats.org/drawingml/2006/main">
                <a:ext uri="{FF2B5EF4-FFF2-40B4-BE49-F238E27FC236}">
                  <a16:creationId xmlns:a16="http://schemas.microsoft.com/office/drawing/2014/main" id="{5CD1F1B3-AFF2-598A-2DBC-F4738EBFAA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CC433A9" w14:textId="248BA45C" w:rsidR="00633D37" w:rsidRDefault="00633D37" w:rsidP="005814C2">
      <w:pPr>
        <w:spacing w:before="100" w:beforeAutospacing="1" w:after="100" w:afterAutospacing="1" w:line="360" w:lineRule="auto"/>
        <w:jc w:val="both"/>
        <w:outlineLvl w:val="3"/>
        <w:rPr>
          <w:b/>
          <w:bCs/>
        </w:rPr>
      </w:pPr>
      <w:r>
        <w:rPr>
          <w:noProof/>
        </w:rPr>
        <w:lastRenderedPageBreak/>
        <w:drawing>
          <wp:inline distT="0" distB="0" distL="0" distR="0" wp14:anchorId="1C2D2C19" wp14:editId="440B2EBA">
            <wp:extent cx="4572000" cy="2743200"/>
            <wp:effectExtent l="0" t="0" r="12700" b="12700"/>
            <wp:docPr id="1285514712" name="Chart 1">
              <a:extLst xmlns:a="http://schemas.openxmlformats.org/drawingml/2006/main">
                <a:ext uri="{FF2B5EF4-FFF2-40B4-BE49-F238E27FC236}">
                  <a16:creationId xmlns:a16="http://schemas.microsoft.com/office/drawing/2014/main" id="{40206443-321A-E304-41DB-88A46444A4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6403CAC" w14:textId="163CD8D4" w:rsidR="00633D37" w:rsidRDefault="00633D37" w:rsidP="005814C2">
      <w:pPr>
        <w:spacing w:before="100" w:beforeAutospacing="1" w:after="100" w:afterAutospacing="1" w:line="360" w:lineRule="auto"/>
        <w:jc w:val="both"/>
        <w:outlineLvl w:val="3"/>
        <w:rPr>
          <w:b/>
          <w:bCs/>
        </w:rPr>
      </w:pPr>
      <w:r>
        <w:rPr>
          <w:noProof/>
        </w:rPr>
        <w:drawing>
          <wp:inline distT="0" distB="0" distL="0" distR="0" wp14:anchorId="37570519" wp14:editId="1099FC4F">
            <wp:extent cx="4572000" cy="2743200"/>
            <wp:effectExtent l="0" t="0" r="12700" b="12700"/>
            <wp:docPr id="1309934073" name="Chart 1">
              <a:extLst xmlns:a="http://schemas.openxmlformats.org/drawingml/2006/main">
                <a:ext uri="{FF2B5EF4-FFF2-40B4-BE49-F238E27FC236}">
                  <a16:creationId xmlns:a16="http://schemas.microsoft.com/office/drawing/2014/main" id="{E567A13B-A90B-D43B-4B0A-909840CD34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4F41DE5" w14:textId="77777777" w:rsidR="00633D37" w:rsidRDefault="00633D37" w:rsidP="005814C2">
      <w:pPr>
        <w:spacing w:before="100" w:beforeAutospacing="1" w:after="100" w:afterAutospacing="1" w:line="360" w:lineRule="auto"/>
        <w:jc w:val="both"/>
        <w:outlineLvl w:val="3"/>
        <w:rPr>
          <w:b/>
          <w:bCs/>
        </w:rPr>
      </w:pPr>
    </w:p>
    <w:p w14:paraId="5019F57F" w14:textId="6D35FCB4" w:rsidR="00BD7A0E" w:rsidRPr="005814C2" w:rsidRDefault="00BD7A0E" w:rsidP="005814C2">
      <w:pPr>
        <w:spacing w:before="100" w:beforeAutospacing="1" w:after="100" w:afterAutospacing="1" w:line="360" w:lineRule="auto"/>
        <w:jc w:val="both"/>
        <w:outlineLvl w:val="3"/>
        <w:rPr>
          <w:b/>
          <w:bCs/>
        </w:rPr>
      </w:pPr>
      <w:r w:rsidRPr="005814C2">
        <w:rPr>
          <w:b/>
          <w:bCs/>
        </w:rPr>
        <w:t>Appendix B: Cash Flow Projections for Investment Projects</w:t>
      </w:r>
    </w:p>
    <w:p w14:paraId="0EEBDC4F" w14:textId="6E9ED5B3" w:rsidR="00BD7A0E" w:rsidRPr="005814C2" w:rsidRDefault="00BD7A0E" w:rsidP="005814C2">
      <w:pPr>
        <w:spacing w:before="100" w:beforeAutospacing="1" w:after="100" w:afterAutospacing="1" w:line="360" w:lineRule="auto"/>
        <w:jc w:val="both"/>
      </w:pPr>
    </w:p>
    <w:tbl>
      <w:tblPr>
        <w:tblW w:w="9100" w:type="dxa"/>
        <w:tblLook w:val="04A0" w:firstRow="1" w:lastRow="0" w:firstColumn="1" w:lastColumn="0" w:noHBand="0" w:noVBand="1"/>
      </w:tblPr>
      <w:tblGrid>
        <w:gridCol w:w="1292"/>
        <w:gridCol w:w="1363"/>
        <w:gridCol w:w="1289"/>
        <w:gridCol w:w="1289"/>
        <w:gridCol w:w="1289"/>
        <w:gridCol w:w="1289"/>
        <w:gridCol w:w="1289"/>
      </w:tblGrid>
      <w:tr w:rsidR="00633D37" w:rsidRPr="00633D37" w14:paraId="7EF47F5E" w14:textId="77777777" w:rsidTr="00633D37">
        <w:trPr>
          <w:trHeight w:val="1360"/>
        </w:trPr>
        <w:tc>
          <w:tcPr>
            <w:tcW w:w="1300" w:type="dxa"/>
            <w:tcBorders>
              <w:top w:val="single" w:sz="4" w:space="0" w:color="auto"/>
              <w:left w:val="single" w:sz="4" w:space="0" w:color="auto"/>
              <w:bottom w:val="single" w:sz="4" w:space="0" w:color="auto"/>
              <w:right w:val="single" w:sz="4" w:space="0" w:color="auto"/>
            </w:tcBorders>
            <w:vAlign w:val="center"/>
            <w:hideMark/>
          </w:tcPr>
          <w:p w14:paraId="6D258D9C" w14:textId="77777777" w:rsidR="00633D37" w:rsidRPr="00633D37" w:rsidRDefault="00633D37" w:rsidP="00633D37">
            <w:pPr>
              <w:jc w:val="both"/>
              <w:rPr>
                <w:b/>
                <w:bCs/>
                <w:color w:val="000000"/>
              </w:rPr>
            </w:pPr>
            <w:r w:rsidRPr="00633D37">
              <w:rPr>
                <w:b/>
                <w:bCs/>
                <w:color w:val="000000"/>
              </w:rPr>
              <w:lastRenderedPageBreak/>
              <w:t>Project</w:t>
            </w:r>
          </w:p>
        </w:tc>
        <w:tc>
          <w:tcPr>
            <w:tcW w:w="1300" w:type="dxa"/>
            <w:tcBorders>
              <w:top w:val="single" w:sz="4" w:space="0" w:color="auto"/>
              <w:left w:val="nil"/>
              <w:bottom w:val="single" w:sz="4" w:space="0" w:color="auto"/>
              <w:right w:val="single" w:sz="4" w:space="0" w:color="auto"/>
            </w:tcBorders>
            <w:vAlign w:val="center"/>
            <w:hideMark/>
          </w:tcPr>
          <w:p w14:paraId="54B67C80" w14:textId="77777777" w:rsidR="00633D37" w:rsidRPr="00633D37" w:rsidRDefault="00633D37" w:rsidP="00633D37">
            <w:pPr>
              <w:jc w:val="both"/>
              <w:rPr>
                <w:b/>
                <w:bCs/>
                <w:color w:val="000000"/>
              </w:rPr>
            </w:pPr>
            <w:r w:rsidRPr="00633D37">
              <w:rPr>
                <w:b/>
                <w:bCs/>
                <w:color w:val="000000"/>
              </w:rPr>
              <w:t>Initial Investment (£m)</w:t>
            </w:r>
          </w:p>
        </w:tc>
        <w:tc>
          <w:tcPr>
            <w:tcW w:w="1300" w:type="dxa"/>
            <w:tcBorders>
              <w:top w:val="single" w:sz="4" w:space="0" w:color="auto"/>
              <w:left w:val="nil"/>
              <w:bottom w:val="single" w:sz="4" w:space="0" w:color="auto"/>
              <w:right w:val="single" w:sz="4" w:space="0" w:color="auto"/>
            </w:tcBorders>
            <w:vAlign w:val="center"/>
            <w:hideMark/>
          </w:tcPr>
          <w:p w14:paraId="77D32AD0" w14:textId="77777777" w:rsidR="00633D37" w:rsidRPr="00633D37" w:rsidRDefault="00633D37" w:rsidP="00633D37">
            <w:pPr>
              <w:jc w:val="both"/>
              <w:rPr>
                <w:b/>
                <w:bCs/>
                <w:color w:val="000000"/>
              </w:rPr>
            </w:pPr>
            <w:r w:rsidRPr="00633D37">
              <w:rPr>
                <w:b/>
                <w:bCs/>
                <w:color w:val="000000"/>
              </w:rPr>
              <w:t>Year 1 Cash Inflow (£m)</w:t>
            </w:r>
          </w:p>
        </w:tc>
        <w:tc>
          <w:tcPr>
            <w:tcW w:w="1300" w:type="dxa"/>
            <w:tcBorders>
              <w:top w:val="single" w:sz="4" w:space="0" w:color="auto"/>
              <w:left w:val="nil"/>
              <w:bottom w:val="single" w:sz="4" w:space="0" w:color="auto"/>
              <w:right w:val="single" w:sz="4" w:space="0" w:color="auto"/>
            </w:tcBorders>
            <w:vAlign w:val="center"/>
            <w:hideMark/>
          </w:tcPr>
          <w:p w14:paraId="7B1E787A" w14:textId="77777777" w:rsidR="00633D37" w:rsidRPr="00633D37" w:rsidRDefault="00633D37" w:rsidP="00633D37">
            <w:pPr>
              <w:jc w:val="both"/>
              <w:rPr>
                <w:b/>
                <w:bCs/>
                <w:color w:val="000000"/>
              </w:rPr>
            </w:pPr>
            <w:r w:rsidRPr="00633D37">
              <w:rPr>
                <w:b/>
                <w:bCs/>
                <w:color w:val="000000"/>
              </w:rPr>
              <w:t>Year 2 Cash Inflow (£m)</w:t>
            </w:r>
          </w:p>
        </w:tc>
        <w:tc>
          <w:tcPr>
            <w:tcW w:w="1300" w:type="dxa"/>
            <w:tcBorders>
              <w:top w:val="single" w:sz="4" w:space="0" w:color="auto"/>
              <w:left w:val="nil"/>
              <w:bottom w:val="single" w:sz="4" w:space="0" w:color="auto"/>
              <w:right w:val="single" w:sz="4" w:space="0" w:color="auto"/>
            </w:tcBorders>
            <w:vAlign w:val="center"/>
            <w:hideMark/>
          </w:tcPr>
          <w:p w14:paraId="5B00D761" w14:textId="77777777" w:rsidR="00633D37" w:rsidRPr="00633D37" w:rsidRDefault="00633D37" w:rsidP="00633D37">
            <w:pPr>
              <w:jc w:val="both"/>
              <w:rPr>
                <w:b/>
                <w:bCs/>
                <w:color w:val="000000"/>
              </w:rPr>
            </w:pPr>
            <w:r w:rsidRPr="00633D37">
              <w:rPr>
                <w:b/>
                <w:bCs/>
                <w:color w:val="000000"/>
              </w:rPr>
              <w:t>Year 3 Cash Inflow (£m)</w:t>
            </w:r>
          </w:p>
        </w:tc>
        <w:tc>
          <w:tcPr>
            <w:tcW w:w="1300" w:type="dxa"/>
            <w:tcBorders>
              <w:top w:val="single" w:sz="4" w:space="0" w:color="auto"/>
              <w:left w:val="nil"/>
              <w:bottom w:val="single" w:sz="4" w:space="0" w:color="auto"/>
              <w:right w:val="single" w:sz="4" w:space="0" w:color="auto"/>
            </w:tcBorders>
            <w:vAlign w:val="center"/>
            <w:hideMark/>
          </w:tcPr>
          <w:p w14:paraId="4A539634" w14:textId="77777777" w:rsidR="00633D37" w:rsidRPr="00633D37" w:rsidRDefault="00633D37" w:rsidP="00633D37">
            <w:pPr>
              <w:jc w:val="both"/>
              <w:rPr>
                <w:b/>
                <w:bCs/>
                <w:color w:val="000000"/>
              </w:rPr>
            </w:pPr>
            <w:r w:rsidRPr="00633D37">
              <w:rPr>
                <w:b/>
                <w:bCs/>
                <w:color w:val="000000"/>
              </w:rPr>
              <w:t>Year 4 Cash Inflow (£m)</w:t>
            </w:r>
          </w:p>
        </w:tc>
        <w:tc>
          <w:tcPr>
            <w:tcW w:w="1300" w:type="dxa"/>
            <w:tcBorders>
              <w:top w:val="single" w:sz="4" w:space="0" w:color="auto"/>
              <w:left w:val="nil"/>
              <w:bottom w:val="single" w:sz="4" w:space="0" w:color="auto"/>
              <w:right w:val="single" w:sz="4" w:space="0" w:color="auto"/>
            </w:tcBorders>
            <w:vAlign w:val="center"/>
            <w:hideMark/>
          </w:tcPr>
          <w:p w14:paraId="03B62D4C" w14:textId="77777777" w:rsidR="00633D37" w:rsidRPr="00633D37" w:rsidRDefault="00633D37" w:rsidP="00633D37">
            <w:pPr>
              <w:jc w:val="both"/>
              <w:rPr>
                <w:b/>
                <w:bCs/>
                <w:color w:val="000000"/>
              </w:rPr>
            </w:pPr>
            <w:r w:rsidRPr="00633D37">
              <w:rPr>
                <w:b/>
                <w:bCs/>
                <w:color w:val="000000"/>
              </w:rPr>
              <w:t>Year 5 Cash Inflow (£m)</w:t>
            </w:r>
          </w:p>
        </w:tc>
      </w:tr>
      <w:tr w:rsidR="00633D37" w:rsidRPr="00633D37" w14:paraId="1004F105" w14:textId="77777777" w:rsidTr="00633D37">
        <w:trPr>
          <w:trHeight w:val="340"/>
        </w:trPr>
        <w:tc>
          <w:tcPr>
            <w:tcW w:w="1300" w:type="dxa"/>
            <w:tcBorders>
              <w:top w:val="nil"/>
              <w:left w:val="single" w:sz="4" w:space="0" w:color="auto"/>
              <w:bottom w:val="single" w:sz="4" w:space="0" w:color="auto"/>
              <w:right w:val="single" w:sz="4" w:space="0" w:color="auto"/>
            </w:tcBorders>
            <w:vAlign w:val="center"/>
            <w:hideMark/>
          </w:tcPr>
          <w:p w14:paraId="04C73349" w14:textId="77777777" w:rsidR="00633D37" w:rsidRPr="00633D37" w:rsidRDefault="00633D37" w:rsidP="00633D37">
            <w:pPr>
              <w:jc w:val="both"/>
              <w:rPr>
                <w:b/>
                <w:bCs/>
                <w:color w:val="000000"/>
              </w:rPr>
            </w:pPr>
            <w:r w:rsidRPr="00633D37">
              <w:rPr>
                <w:b/>
                <w:bCs/>
                <w:color w:val="000000"/>
              </w:rPr>
              <w:t>Project A</w:t>
            </w:r>
          </w:p>
        </w:tc>
        <w:tc>
          <w:tcPr>
            <w:tcW w:w="1300" w:type="dxa"/>
            <w:tcBorders>
              <w:top w:val="nil"/>
              <w:left w:val="nil"/>
              <w:bottom w:val="single" w:sz="4" w:space="0" w:color="auto"/>
              <w:right w:val="single" w:sz="4" w:space="0" w:color="auto"/>
            </w:tcBorders>
            <w:vAlign w:val="center"/>
            <w:hideMark/>
          </w:tcPr>
          <w:p w14:paraId="69072DD7" w14:textId="77777777" w:rsidR="00633D37" w:rsidRPr="00633D37" w:rsidRDefault="00633D37" w:rsidP="00633D37">
            <w:pPr>
              <w:jc w:val="both"/>
              <w:rPr>
                <w:color w:val="000000"/>
              </w:rPr>
            </w:pPr>
            <w:r w:rsidRPr="00633D37">
              <w:rPr>
                <w:color w:val="000000"/>
              </w:rPr>
              <w:t>£40</w:t>
            </w:r>
          </w:p>
        </w:tc>
        <w:tc>
          <w:tcPr>
            <w:tcW w:w="1300" w:type="dxa"/>
            <w:tcBorders>
              <w:top w:val="nil"/>
              <w:left w:val="nil"/>
              <w:bottom w:val="single" w:sz="4" w:space="0" w:color="auto"/>
              <w:right w:val="single" w:sz="4" w:space="0" w:color="auto"/>
            </w:tcBorders>
            <w:vAlign w:val="center"/>
            <w:hideMark/>
          </w:tcPr>
          <w:p w14:paraId="53768565" w14:textId="77777777" w:rsidR="00633D37" w:rsidRPr="00633D37" w:rsidRDefault="00633D37" w:rsidP="00633D37">
            <w:pPr>
              <w:jc w:val="both"/>
              <w:rPr>
                <w:color w:val="000000"/>
              </w:rPr>
            </w:pPr>
            <w:r w:rsidRPr="00633D37">
              <w:rPr>
                <w:color w:val="000000"/>
              </w:rPr>
              <w:t>£10</w:t>
            </w:r>
          </w:p>
        </w:tc>
        <w:tc>
          <w:tcPr>
            <w:tcW w:w="1300" w:type="dxa"/>
            <w:tcBorders>
              <w:top w:val="nil"/>
              <w:left w:val="nil"/>
              <w:bottom w:val="single" w:sz="4" w:space="0" w:color="auto"/>
              <w:right w:val="single" w:sz="4" w:space="0" w:color="auto"/>
            </w:tcBorders>
            <w:vAlign w:val="center"/>
            <w:hideMark/>
          </w:tcPr>
          <w:p w14:paraId="04E849F0" w14:textId="77777777" w:rsidR="00633D37" w:rsidRPr="00633D37" w:rsidRDefault="00633D37" w:rsidP="00633D37">
            <w:pPr>
              <w:jc w:val="both"/>
              <w:rPr>
                <w:color w:val="000000"/>
              </w:rPr>
            </w:pPr>
            <w:r w:rsidRPr="00633D37">
              <w:rPr>
                <w:color w:val="000000"/>
              </w:rPr>
              <w:t>£12</w:t>
            </w:r>
          </w:p>
        </w:tc>
        <w:tc>
          <w:tcPr>
            <w:tcW w:w="1300" w:type="dxa"/>
            <w:tcBorders>
              <w:top w:val="nil"/>
              <w:left w:val="nil"/>
              <w:bottom w:val="single" w:sz="4" w:space="0" w:color="auto"/>
              <w:right w:val="single" w:sz="4" w:space="0" w:color="auto"/>
            </w:tcBorders>
            <w:vAlign w:val="center"/>
            <w:hideMark/>
          </w:tcPr>
          <w:p w14:paraId="5E693249" w14:textId="77777777" w:rsidR="00633D37" w:rsidRPr="00633D37" w:rsidRDefault="00633D37" w:rsidP="00633D37">
            <w:pPr>
              <w:jc w:val="both"/>
              <w:rPr>
                <w:color w:val="000000"/>
              </w:rPr>
            </w:pPr>
            <w:r w:rsidRPr="00633D37">
              <w:rPr>
                <w:color w:val="000000"/>
              </w:rPr>
              <w:t>£14</w:t>
            </w:r>
          </w:p>
        </w:tc>
        <w:tc>
          <w:tcPr>
            <w:tcW w:w="1300" w:type="dxa"/>
            <w:tcBorders>
              <w:top w:val="nil"/>
              <w:left w:val="nil"/>
              <w:bottom w:val="single" w:sz="4" w:space="0" w:color="auto"/>
              <w:right w:val="single" w:sz="4" w:space="0" w:color="auto"/>
            </w:tcBorders>
            <w:vAlign w:val="center"/>
            <w:hideMark/>
          </w:tcPr>
          <w:p w14:paraId="04BAF9E8" w14:textId="77777777" w:rsidR="00633D37" w:rsidRPr="00633D37" w:rsidRDefault="00633D37" w:rsidP="00633D37">
            <w:pPr>
              <w:jc w:val="both"/>
              <w:rPr>
                <w:color w:val="000000"/>
              </w:rPr>
            </w:pPr>
            <w:r w:rsidRPr="00633D37">
              <w:rPr>
                <w:color w:val="000000"/>
              </w:rPr>
              <w:t>£10</w:t>
            </w:r>
          </w:p>
        </w:tc>
        <w:tc>
          <w:tcPr>
            <w:tcW w:w="1300" w:type="dxa"/>
            <w:tcBorders>
              <w:top w:val="nil"/>
              <w:left w:val="nil"/>
              <w:bottom w:val="single" w:sz="4" w:space="0" w:color="auto"/>
              <w:right w:val="single" w:sz="4" w:space="0" w:color="auto"/>
            </w:tcBorders>
            <w:vAlign w:val="center"/>
            <w:hideMark/>
          </w:tcPr>
          <w:p w14:paraId="1411F587" w14:textId="77777777" w:rsidR="00633D37" w:rsidRPr="00633D37" w:rsidRDefault="00633D37" w:rsidP="00633D37">
            <w:pPr>
              <w:jc w:val="both"/>
              <w:rPr>
                <w:color w:val="000000"/>
              </w:rPr>
            </w:pPr>
            <w:r w:rsidRPr="00633D37">
              <w:rPr>
                <w:color w:val="000000"/>
              </w:rPr>
              <w:t>£8</w:t>
            </w:r>
          </w:p>
        </w:tc>
      </w:tr>
      <w:tr w:rsidR="00633D37" w:rsidRPr="00633D37" w14:paraId="72BC9306" w14:textId="77777777" w:rsidTr="00633D37">
        <w:trPr>
          <w:trHeight w:val="340"/>
        </w:trPr>
        <w:tc>
          <w:tcPr>
            <w:tcW w:w="1300" w:type="dxa"/>
            <w:tcBorders>
              <w:top w:val="nil"/>
              <w:left w:val="single" w:sz="4" w:space="0" w:color="auto"/>
              <w:bottom w:val="single" w:sz="4" w:space="0" w:color="auto"/>
              <w:right w:val="single" w:sz="4" w:space="0" w:color="auto"/>
            </w:tcBorders>
            <w:vAlign w:val="center"/>
            <w:hideMark/>
          </w:tcPr>
          <w:p w14:paraId="289F1067" w14:textId="77777777" w:rsidR="00633D37" w:rsidRPr="00633D37" w:rsidRDefault="00633D37" w:rsidP="00633D37">
            <w:pPr>
              <w:jc w:val="both"/>
              <w:rPr>
                <w:b/>
                <w:bCs/>
                <w:color w:val="000000"/>
              </w:rPr>
            </w:pPr>
            <w:r w:rsidRPr="00633D37">
              <w:rPr>
                <w:b/>
                <w:bCs/>
                <w:color w:val="000000"/>
              </w:rPr>
              <w:t>Project B</w:t>
            </w:r>
          </w:p>
        </w:tc>
        <w:tc>
          <w:tcPr>
            <w:tcW w:w="1300" w:type="dxa"/>
            <w:tcBorders>
              <w:top w:val="nil"/>
              <w:left w:val="nil"/>
              <w:bottom w:val="single" w:sz="4" w:space="0" w:color="auto"/>
              <w:right w:val="single" w:sz="4" w:space="0" w:color="auto"/>
            </w:tcBorders>
            <w:vAlign w:val="center"/>
            <w:hideMark/>
          </w:tcPr>
          <w:p w14:paraId="7945131C" w14:textId="77777777" w:rsidR="00633D37" w:rsidRPr="00633D37" w:rsidRDefault="00633D37" w:rsidP="00633D37">
            <w:pPr>
              <w:jc w:val="both"/>
              <w:rPr>
                <w:color w:val="000000"/>
              </w:rPr>
            </w:pPr>
            <w:r w:rsidRPr="00633D37">
              <w:rPr>
                <w:color w:val="000000"/>
              </w:rPr>
              <w:t>£30</w:t>
            </w:r>
          </w:p>
        </w:tc>
        <w:tc>
          <w:tcPr>
            <w:tcW w:w="1300" w:type="dxa"/>
            <w:tcBorders>
              <w:top w:val="nil"/>
              <w:left w:val="nil"/>
              <w:bottom w:val="single" w:sz="4" w:space="0" w:color="auto"/>
              <w:right w:val="single" w:sz="4" w:space="0" w:color="auto"/>
            </w:tcBorders>
            <w:vAlign w:val="center"/>
            <w:hideMark/>
          </w:tcPr>
          <w:p w14:paraId="69FB1540" w14:textId="77777777" w:rsidR="00633D37" w:rsidRPr="00633D37" w:rsidRDefault="00633D37" w:rsidP="00633D37">
            <w:pPr>
              <w:jc w:val="both"/>
              <w:rPr>
                <w:color w:val="000000"/>
              </w:rPr>
            </w:pPr>
            <w:r w:rsidRPr="00633D37">
              <w:rPr>
                <w:color w:val="000000"/>
              </w:rPr>
              <w:t>£6</w:t>
            </w:r>
          </w:p>
        </w:tc>
        <w:tc>
          <w:tcPr>
            <w:tcW w:w="1300" w:type="dxa"/>
            <w:tcBorders>
              <w:top w:val="nil"/>
              <w:left w:val="nil"/>
              <w:bottom w:val="single" w:sz="4" w:space="0" w:color="auto"/>
              <w:right w:val="single" w:sz="4" w:space="0" w:color="auto"/>
            </w:tcBorders>
            <w:vAlign w:val="center"/>
            <w:hideMark/>
          </w:tcPr>
          <w:p w14:paraId="606B30A8" w14:textId="77777777" w:rsidR="00633D37" w:rsidRPr="00633D37" w:rsidRDefault="00633D37" w:rsidP="00633D37">
            <w:pPr>
              <w:jc w:val="both"/>
              <w:rPr>
                <w:color w:val="000000"/>
              </w:rPr>
            </w:pPr>
            <w:r w:rsidRPr="00633D37">
              <w:rPr>
                <w:color w:val="000000"/>
              </w:rPr>
              <w:t>£6</w:t>
            </w:r>
          </w:p>
        </w:tc>
        <w:tc>
          <w:tcPr>
            <w:tcW w:w="1300" w:type="dxa"/>
            <w:tcBorders>
              <w:top w:val="nil"/>
              <w:left w:val="nil"/>
              <w:bottom w:val="single" w:sz="4" w:space="0" w:color="auto"/>
              <w:right w:val="single" w:sz="4" w:space="0" w:color="auto"/>
            </w:tcBorders>
            <w:vAlign w:val="center"/>
            <w:hideMark/>
          </w:tcPr>
          <w:p w14:paraId="0B369944" w14:textId="77777777" w:rsidR="00633D37" w:rsidRPr="00633D37" w:rsidRDefault="00633D37" w:rsidP="00633D37">
            <w:pPr>
              <w:jc w:val="both"/>
              <w:rPr>
                <w:color w:val="000000"/>
              </w:rPr>
            </w:pPr>
            <w:r w:rsidRPr="00633D37">
              <w:rPr>
                <w:color w:val="000000"/>
              </w:rPr>
              <w:t>£6</w:t>
            </w:r>
          </w:p>
        </w:tc>
        <w:tc>
          <w:tcPr>
            <w:tcW w:w="1300" w:type="dxa"/>
            <w:tcBorders>
              <w:top w:val="nil"/>
              <w:left w:val="nil"/>
              <w:bottom w:val="single" w:sz="4" w:space="0" w:color="auto"/>
              <w:right w:val="single" w:sz="4" w:space="0" w:color="auto"/>
            </w:tcBorders>
            <w:vAlign w:val="center"/>
            <w:hideMark/>
          </w:tcPr>
          <w:p w14:paraId="48A27F53" w14:textId="77777777" w:rsidR="00633D37" w:rsidRPr="00633D37" w:rsidRDefault="00633D37" w:rsidP="00633D37">
            <w:pPr>
              <w:jc w:val="both"/>
              <w:rPr>
                <w:color w:val="000000"/>
              </w:rPr>
            </w:pPr>
            <w:r w:rsidRPr="00633D37">
              <w:rPr>
                <w:color w:val="000000"/>
              </w:rPr>
              <w:t>£6</w:t>
            </w:r>
          </w:p>
        </w:tc>
        <w:tc>
          <w:tcPr>
            <w:tcW w:w="1300" w:type="dxa"/>
            <w:tcBorders>
              <w:top w:val="nil"/>
              <w:left w:val="nil"/>
              <w:bottom w:val="single" w:sz="4" w:space="0" w:color="auto"/>
              <w:right w:val="single" w:sz="4" w:space="0" w:color="auto"/>
            </w:tcBorders>
            <w:vAlign w:val="center"/>
            <w:hideMark/>
          </w:tcPr>
          <w:p w14:paraId="1CFB60C8" w14:textId="77777777" w:rsidR="00633D37" w:rsidRPr="00633D37" w:rsidRDefault="00633D37" w:rsidP="00633D37">
            <w:pPr>
              <w:jc w:val="both"/>
              <w:rPr>
                <w:color w:val="000000"/>
              </w:rPr>
            </w:pPr>
            <w:r w:rsidRPr="00633D37">
              <w:rPr>
                <w:color w:val="000000"/>
              </w:rPr>
              <w:t>£6</w:t>
            </w:r>
          </w:p>
        </w:tc>
      </w:tr>
      <w:tr w:rsidR="00633D37" w:rsidRPr="00633D37" w14:paraId="44130B14" w14:textId="77777777" w:rsidTr="00633D37">
        <w:trPr>
          <w:trHeight w:val="340"/>
        </w:trPr>
        <w:tc>
          <w:tcPr>
            <w:tcW w:w="1300" w:type="dxa"/>
            <w:tcBorders>
              <w:top w:val="nil"/>
              <w:left w:val="single" w:sz="4" w:space="0" w:color="auto"/>
              <w:bottom w:val="single" w:sz="4" w:space="0" w:color="auto"/>
              <w:right w:val="single" w:sz="4" w:space="0" w:color="auto"/>
            </w:tcBorders>
            <w:vAlign w:val="center"/>
            <w:hideMark/>
          </w:tcPr>
          <w:p w14:paraId="47613A20" w14:textId="77777777" w:rsidR="00633D37" w:rsidRPr="00633D37" w:rsidRDefault="00633D37" w:rsidP="00633D37">
            <w:pPr>
              <w:jc w:val="both"/>
              <w:rPr>
                <w:b/>
                <w:bCs/>
                <w:color w:val="000000"/>
              </w:rPr>
            </w:pPr>
            <w:r w:rsidRPr="00633D37">
              <w:rPr>
                <w:b/>
                <w:bCs/>
                <w:color w:val="000000"/>
              </w:rPr>
              <w:t>Project C</w:t>
            </w:r>
          </w:p>
        </w:tc>
        <w:tc>
          <w:tcPr>
            <w:tcW w:w="1300" w:type="dxa"/>
            <w:tcBorders>
              <w:top w:val="nil"/>
              <w:left w:val="nil"/>
              <w:bottom w:val="single" w:sz="4" w:space="0" w:color="auto"/>
              <w:right w:val="single" w:sz="4" w:space="0" w:color="auto"/>
            </w:tcBorders>
            <w:vAlign w:val="center"/>
            <w:hideMark/>
          </w:tcPr>
          <w:p w14:paraId="77FFBB82" w14:textId="77777777" w:rsidR="00633D37" w:rsidRPr="00633D37" w:rsidRDefault="00633D37" w:rsidP="00633D37">
            <w:pPr>
              <w:jc w:val="both"/>
              <w:rPr>
                <w:color w:val="000000"/>
              </w:rPr>
            </w:pPr>
            <w:r w:rsidRPr="00633D37">
              <w:rPr>
                <w:color w:val="000000"/>
              </w:rPr>
              <w:t>£50</w:t>
            </w:r>
          </w:p>
        </w:tc>
        <w:tc>
          <w:tcPr>
            <w:tcW w:w="1300" w:type="dxa"/>
            <w:tcBorders>
              <w:top w:val="nil"/>
              <w:left w:val="nil"/>
              <w:bottom w:val="single" w:sz="4" w:space="0" w:color="auto"/>
              <w:right w:val="single" w:sz="4" w:space="0" w:color="auto"/>
            </w:tcBorders>
            <w:vAlign w:val="center"/>
            <w:hideMark/>
          </w:tcPr>
          <w:p w14:paraId="28C95AEC" w14:textId="77777777" w:rsidR="00633D37" w:rsidRPr="00633D37" w:rsidRDefault="00633D37" w:rsidP="00633D37">
            <w:pPr>
              <w:jc w:val="both"/>
              <w:rPr>
                <w:color w:val="000000"/>
              </w:rPr>
            </w:pPr>
            <w:r w:rsidRPr="00633D37">
              <w:rPr>
                <w:color w:val="000000"/>
              </w:rPr>
              <w:t>£5</w:t>
            </w:r>
          </w:p>
        </w:tc>
        <w:tc>
          <w:tcPr>
            <w:tcW w:w="1300" w:type="dxa"/>
            <w:tcBorders>
              <w:top w:val="nil"/>
              <w:left w:val="nil"/>
              <w:bottom w:val="single" w:sz="4" w:space="0" w:color="auto"/>
              <w:right w:val="single" w:sz="4" w:space="0" w:color="auto"/>
            </w:tcBorders>
            <w:vAlign w:val="center"/>
            <w:hideMark/>
          </w:tcPr>
          <w:p w14:paraId="4FB1CA67" w14:textId="77777777" w:rsidR="00633D37" w:rsidRPr="00633D37" w:rsidRDefault="00633D37" w:rsidP="00633D37">
            <w:pPr>
              <w:jc w:val="both"/>
              <w:rPr>
                <w:color w:val="000000"/>
              </w:rPr>
            </w:pPr>
            <w:r w:rsidRPr="00633D37">
              <w:rPr>
                <w:color w:val="000000"/>
              </w:rPr>
              <w:t>£10</w:t>
            </w:r>
          </w:p>
        </w:tc>
        <w:tc>
          <w:tcPr>
            <w:tcW w:w="1300" w:type="dxa"/>
            <w:tcBorders>
              <w:top w:val="nil"/>
              <w:left w:val="nil"/>
              <w:bottom w:val="single" w:sz="4" w:space="0" w:color="auto"/>
              <w:right w:val="single" w:sz="4" w:space="0" w:color="auto"/>
            </w:tcBorders>
            <w:vAlign w:val="center"/>
            <w:hideMark/>
          </w:tcPr>
          <w:p w14:paraId="72AEB3DF" w14:textId="77777777" w:rsidR="00633D37" w:rsidRPr="00633D37" w:rsidRDefault="00633D37" w:rsidP="00633D37">
            <w:pPr>
              <w:jc w:val="both"/>
              <w:rPr>
                <w:color w:val="000000"/>
              </w:rPr>
            </w:pPr>
            <w:r w:rsidRPr="00633D37">
              <w:rPr>
                <w:color w:val="000000"/>
              </w:rPr>
              <w:t>£20</w:t>
            </w:r>
          </w:p>
        </w:tc>
        <w:tc>
          <w:tcPr>
            <w:tcW w:w="1300" w:type="dxa"/>
            <w:tcBorders>
              <w:top w:val="nil"/>
              <w:left w:val="nil"/>
              <w:bottom w:val="single" w:sz="4" w:space="0" w:color="auto"/>
              <w:right w:val="single" w:sz="4" w:space="0" w:color="auto"/>
            </w:tcBorders>
            <w:vAlign w:val="center"/>
            <w:hideMark/>
          </w:tcPr>
          <w:p w14:paraId="333765C7" w14:textId="77777777" w:rsidR="00633D37" w:rsidRPr="00633D37" w:rsidRDefault="00633D37" w:rsidP="00633D37">
            <w:pPr>
              <w:jc w:val="both"/>
              <w:rPr>
                <w:color w:val="000000"/>
              </w:rPr>
            </w:pPr>
            <w:r w:rsidRPr="00633D37">
              <w:rPr>
                <w:color w:val="000000"/>
              </w:rPr>
              <w:t>£25</w:t>
            </w:r>
          </w:p>
        </w:tc>
        <w:tc>
          <w:tcPr>
            <w:tcW w:w="1300" w:type="dxa"/>
            <w:tcBorders>
              <w:top w:val="nil"/>
              <w:left w:val="nil"/>
              <w:bottom w:val="single" w:sz="4" w:space="0" w:color="auto"/>
              <w:right w:val="single" w:sz="4" w:space="0" w:color="auto"/>
            </w:tcBorders>
            <w:vAlign w:val="center"/>
            <w:hideMark/>
          </w:tcPr>
          <w:p w14:paraId="6F484F31" w14:textId="77777777" w:rsidR="00633D37" w:rsidRPr="00633D37" w:rsidRDefault="00633D37" w:rsidP="00633D37">
            <w:pPr>
              <w:jc w:val="both"/>
              <w:rPr>
                <w:color w:val="000000"/>
              </w:rPr>
            </w:pPr>
            <w:r w:rsidRPr="00633D37">
              <w:rPr>
                <w:color w:val="000000"/>
              </w:rPr>
              <w:t>£15</w:t>
            </w:r>
          </w:p>
        </w:tc>
      </w:tr>
    </w:tbl>
    <w:p w14:paraId="33022882" w14:textId="77777777" w:rsidR="00BD7A0E" w:rsidRPr="005814C2" w:rsidRDefault="00BD7A0E" w:rsidP="005814C2">
      <w:pPr>
        <w:spacing w:before="100" w:beforeAutospacing="1" w:after="100" w:afterAutospacing="1" w:line="360" w:lineRule="auto"/>
        <w:jc w:val="both"/>
        <w:outlineLvl w:val="3"/>
        <w:rPr>
          <w:b/>
          <w:bCs/>
        </w:rPr>
      </w:pPr>
      <w:r w:rsidRPr="005814C2">
        <w:rPr>
          <w:b/>
          <w:bCs/>
        </w:rPr>
        <w:t>Appendix C: Payback Period Calculations</w:t>
      </w:r>
    </w:p>
    <w:tbl>
      <w:tblPr>
        <w:tblW w:w="9157" w:type="dxa"/>
        <w:tblLook w:val="04A0" w:firstRow="1" w:lastRow="0" w:firstColumn="1" w:lastColumn="0" w:noHBand="0" w:noVBand="1"/>
      </w:tblPr>
      <w:tblGrid>
        <w:gridCol w:w="2092"/>
        <w:gridCol w:w="1593"/>
        <w:gridCol w:w="3301"/>
        <w:gridCol w:w="2171"/>
      </w:tblGrid>
      <w:tr w:rsidR="00633D37" w:rsidRPr="00633D37" w14:paraId="4890613F" w14:textId="77777777" w:rsidTr="00932200">
        <w:trPr>
          <w:trHeight w:val="555"/>
        </w:trPr>
        <w:tc>
          <w:tcPr>
            <w:tcW w:w="2092" w:type="dxa"/>
            <w:tcBorders>
              <w:top w:val="single" w:sz="4" w:space="0" w:color="auto"/>
              <w:left w:val="single" w:sz="4" w:space="0" w:color="auto"/>
              <w:bottom w:val="single" w:sz="4" w:space="0" w:color="auto"/>
              <w:right w:val="single" w:sz="4" w:space="0" w:color="auto"/>
            </w:tcBorders>
            <w:vAlign w:val="center"/>
            <w:hideMark/>
          </w:tcPr>
          <w:p w14:paraId="388D7EF2" w14:textId="77777777" w:rsidR="00633D37" w:rsidRPr="00633D37" w:rsidRDefault="00633D37" w:rsidP="00633D37">
            <w:pPr>
              <w:jc w:val="both"/>
              <w:rPr>
                <w:b/>
                <w:bCs/>
                <w:color w:val="000000"/>
              </w:rPr>
            </w:pPr>
            <w:r w:rsidRPr="00633D37">
              <w:rPr>
                <w:b/>
                <w:bCs/>
                <w:color w:val="000000"/>
              </w:rPr>
              <w:t>Project</w:t>
            </w:r>
          </w:p>
        </w:tc>
        <w:tc>
          <w:tcPr>
            <w:tcW w:w="1593" w:type="dxa"/>
            <w:tcBorders>
              <w:top w:val="single" w:sz="4" w:space="0" w:color="auto"/>
              <w:left w:val="nil"/>
              <w:bottom w:val="single" w:sz="4" w:space="0" w:color="auto"/>
              <w:right w:val="single" w:sz="4" w:space="0" w:color="auto"/>
            </w:tcBorders>
            <w:vAlign w:val="center"/>
            <w:hideMark/>
          </w:tcPr>
          <w:p w14:paraId="274BD020" w14:textId="77777777" w:rsidR="00633D37" w:rsidRPr="00633D37" w:rsidRDefault="00633D37" w:rsidP="00633D37">
            <w:pPr>
              <w:jc w:val="both"/>
              <w:rPr>
                <w:b/>
                <w:bCs/>
                <w:color w:val="000000"/>
              </w:rPr>
            </w:pPr>
            <w:r w:rsidRPr="00633D37">
              <w:rPr>
                <w:b/>
                <w:bCs/>
                <w:color w:val="000000"/>
              </w:rPr>
              <w:t>Initial Investment (£m)</w:t>
            </w:r>
          </w:p>
        </w:tc>
        <w:tc>
          <w:tcPr>
            <w:tcW w:w="3301" w:type="dxa"/>
            <w:tcBorders>
              <w:top w:val="single" w:sz="4" w:space="0" w:color="auto"/>
              <w:left w:val="nil"/>
              <w:bottom w:val="single" w:sz="4" w:space="0" w:color="auto"/>
              <w:right w:val="single" w:sz="4" w:space="0" w:color="auto"/>
            </w:tcBorders>
            <w:vAlign w:val="center"/>
            <w:hideMark/>
          </w:tcPr>
          <w:p w14:paraId="227C16AC" w14:textId="77777777" w:rsidR="00633D37" w:rsidRPr="00633D37" w:rsidRDefault="00633D37" w:rsidP="00633D37">
            <w:pPr>
              <w:jc w:val="both"/>
              <w:rPr>
                <w:b/>
                <w:bCs/>
                <w:color w:val="000000"/>
              </w:rPr>
            </w:pPr>
            <w:r w:rsidRPr="00633D37">
              <w:rPr>
                <w:b/>
                <w:bCs/>
                <w:color w:val="000000"/>
              </w:rPr>
              <w:t>Cumulative Cash Inflows (£m)</w:t>
            </w:r>
          </w:p>
        </w:tc>
        <w:tc>
          <w:tcPr>
            <w:tcW w:w="2171" w:type="dxa"/>
            <w:tcBorders>
              <w:top w:val="single" w:sz="4" w:space="0" w:color="auto"/>
              <w:left w:val="nil"/>
              <w:bottom w:val="single" w:sz="4" w:space="0" w:color="auto"/>
              <w:right w:val="single" w:sz="4" w:space="0" w:color="auto"/>
            </w:tcBorders>
            <w:vAlign w:val="center"/>
            <w:hideMark/>
          </w:tcPr>
          <w:p w14:paraId="0D7E7D0F" w14:textId="77777777" w:rsidR="00633D37" w:rsidRPr="00633D37" w:rsidRDefault="00633D37" w:rsidP="00633D37">
            <w:pPr>
              <w:jc w:val="both"/>
              <w:rPr>
                <w:b/>
                <w:bCs/>
                <w:color w:val="000000"/>
              </w:rPr>
            </w:pPr>
            <w:r w:rsidRPr="00633D37">
              <w:rPr>
                <w:b/>
                <w:bCs/>
                <w:color w:val="000000"/>
              </w:rPr>
              <w:t>Payback Period</w:t>
            </w:r>
          </w:p>
        </w:tc>
      </w:tr>
      <w:tr w:rsidR="00633D37" w:rsidRPr="00633D37" w14:paraId="4AF5A9C6" w14:textId="77777777" w:rsidTr="00932200">
        <w:trPr>
          <w:trHeight w:val="833"/>
        </w:trPr>
        <w:tc>
          <w:tcPr>
            <w:tcW w:w="2092" w:type="dxa"/>
            <w:tcBorders>
              <w:top w:val="nil"/>
              <w:left w:val="single" w:sz="4" w:space="0" w:color="auto"/>
              <w:bottom w:val="single" w:sz="4" w:space="0" w:color="auto"/>
              <w:right w:val="single" w:sz="4" w:space="0" w:color="auto"/>
            </w:tcBorders>
            <w:vAlign w:val="center"/>
            <w:hideMark/>
          </w:tcPr>
          <w:p w14:paraId="65EF7B96" w14:textId="77777777" w:rsidR="00633D37" w:rsidRPr="00633D37" w:rsidRDefault="00633D37" w:rsidP="00633D37">
            <w:pPr>
              <w:jc w:val="both"/>
              <w:rPr>
                <w:b/>
                <w:bCs/>
                <w:color w:val="000000"/>
              </w:rPr>
            </w:pPr>
            <w:r w:rsidRPr="00633D37">
              <w:rPr>
                <w:b/>
                <w:bCs/>
                <w:color w:val="000000"/>
              </w:rPr>
              <w:t>Project A</w:t>
            </w:r>
          </w:p>
        </w:tc>
        <w:tc>
          <w:tcPr>
            <w:tcW w:w="1593" w:type="dxa"/>
            <w:tcBorders>
              <w:top w:val="nil"/>
              <w:left w:val="nil"/>
              <w:bottom w:val="single" w:sz="4" w:space="0" w:color="auto"/>
              <w:right w:val="single" w:sz="4" w:space="0" w:color="auto"/>
            </w:tcBorders>
            <w:vAlign w:val="center"/>
            <w:hideMark/>
          </w:tcPr>
          <w:p w14:paraId="2F651132" w14:textId="77777777" w:rsidR="00633D37" w:rsidRPr="00633D37" w:rsidRDefault="00633D37" w:rsidP="00633D37">
            <w:pPr>
              <w:jc w:val="both"/>
              <w:rPr>
                <w:color w:val="000000"/>
              </w:rPr>
            </w:pPr>
            <w:r w:rsidRPr="00633D37">
              <w:rPr>
                <w:color w:val="000000"/>
              </w:rPr>
              <w:t>£40</w:t>
            </w:r>
          </w:p>
        </w:tc>
        <w:tc>
          <w:tcPr>
            <w:tcW w:w="3301" w:type="dxa"/>
            <w:tcBorders>
              <w:top w:val="nil"/>
              <w:left w:val="nil"/>
              <w:bottom w:val="single" w:sz="4" w:space="0" w:color="auto"/>
              <w:right w:val="single" w:sz="4" w:space="0" w:color="auto"/>
            </w:tcBorders>
            <w:vAlign w:val="center"/>
            <w:hideMark/>
          </w:tcPr>
          <w:p w14:paraId="53516DA0" w14:textId="77777777" w:rsidR="00633D37" w:rsidRPr="00633D37" w:rsidRDefault="00633D37" w:rsidP="00633D37">
            <w:pPr>
              <w:jc w:val="both"/>
              <w:rPr>
                <w:color w:val="000000"/>
              </w:rPr>
            </w:pPr>
            <w:r w:rsidRPr="00633D37">
              <w:rPr>
                <w:color w:val="000000"/>
              </w:rPr>
              <w:t>Year 1: £10, Year 2: £22, Year 3: £36, Year 4: £46</w:t>
            </w:r>
          </w:p>
        </w:tc>
        <w:tc>
          <w:tcPr>
            <w:tcW w:w="2171" w:type="dxa"/>
            <w:tcBorders>
              <w:top w:val="nil"/>
              <w:left w:val="nil"/>
              <w:bottom w:val="single" w:sz="4" w:space="0" w:color="auto"/>
              <w:right w:val="single" w:sz="4" w:space="0" w:color="auto"/>
            </w:tcBorders>
            <w:vAlign w:val="center"/>
            <w:hideMark/>
          </w:tcPr>
          <w:p w14:paraId="75E77162" w14:textId="77777777" w:rsidR="00633D37" w:rsidRPr="00633D37" w:rsidRDefault="00633D37" w:rsidP="00633D37">
            <w:pPr>
              <w:jc w:val="both"/>
              <w:rPr>
                <w:color w:val="000000"/>
              </w:rPr>
            </w:pPr>
            <w:r w:rsidRPr="00633D37">
              <w:rPr>
                <w:color w:val="000000"/>
              </w:rPr>
              <w:t>3.4 years</w:t>
            </w:r>
          </w:p>
        </w:tc>
      </w:tr>
      <w:tr w:rsidR="00633D37" w:rsidRPr="00633D37" w14:paraId="0CB17CDA" w14:textId="77777777" w:rsidTr="00932200">
        <w:trPr>
          <w:trHeight w:val="138"/>
        </w:trPr>
        <w:tc>
          <w:tcPr>
            <w:tcW w:w="2092" w:type="dxa"/>
            <w:tcBorders>
              <w:top w:val="nil"/>
              <w:left w:val="single" w:sz="4" w:space="0" w:color="auto"/>
              <w:bottom w:val="single" w:sz="4" w:space="0" w:color="auto"/>
              <w:right w:val="single" w:sz="4" w:space="0" w:color="auto"/>
            </w:tcBorders>
            <w:vAlign w:val="center"/>
            <w:hideMark/>
          </w:tcPr>
          <w:p w14:paraId="4D7EDD6E" w14:textId="77777777" w:rsidR="00633D37" w:rsidRPr="00633D37" w:rsidRDefault="00633D37" w:rsidP="00633D37">
            <w:pPr>
              <w:jc w:val="both"/>
              <w:rPr>
                <w:b/>
                <w:bCs/>
                <w:color w:val="000000"/>
              </w:rPr>
            </w:pPr>
            <w:r w:rsidRPr="00633D37">
              <w:rPr>
                <w:b/>
                <w:bCs/>
                <w:color w:val="000000"/>
              </w:rPr>
              <w:t>Project B</w:t>
            </w:r>
          </w:p>
        </w:tc>
        <w:tc>
          <w:tcPr>
            <w:tcW w:w="1593" w:type="dxa"/>
            <w:tcBorders>
              <w:top w:val="nil"/>
              <w:left w:val="nil"/>
              <w:bottom w:val="single" w:sz="4" w:space="0" w:color="auto"/>
              <w:right w:val="single" w:sz="4" w:space="0" w:color="auto"/>
            </w:tcBorders>
            <w:vAlign w:val="center"/>
            <w:hideMark/>
          </w:tcPr>
          <w:p w14:paraId="1701B043" w14:textId="77777777" w:rsidR="00633D37" w:rsidRPr="00633D37" w:rsidRDefault="00633D37" w:rsidP="00633D37">
            <w:pPr>
              <w:jc w:val="both"/>
              <w:rPr>
                <w:color w:val="000000"/>
              </w:rPr>
            </w:pPr>
            <w:r w:rsidRPr="00633D37">
              <w:rPr>
                <w:color w:val="000000"/>
              </w:rPr>
              <w:t>£30</w:t>
            </w:r>
          </w:p>
        </w:tc>
        <w:tc>
          <w:tcPr>
            <w:tcW w:w="3301" w:type="dxa"/>
            <w:tcBorders>
              <w:top w:val="nil"/>
              <w:left w:val="nil"/>
              <w:bottom w:val="single" w:sz="4" w:space="0" w:color="auto"/>
              <w:right w:val="single" w:sz="4" w:space="0" w:color="auto"/>
            </w:tcBorders>
            <w:vAlign w:val="center"/>
            <w:hideMark/>
          </w:tcPr>
          <w:p w14:paraId="36D3B203" w14:textId="77777777" w:rsidR="00633D37" w:rsidRPr="00633D37" w:rsidRDefault="00633D37" w:rsidP="00633D37">
            <w:pPr>
              <w:jc w:val="both"/>
              <w:rPr>
                <w:color w:val="000000"/>
              </w:rPr>
            </w:pPr>
            <w:r w:rsidRPr="00633D37">
              <w:rPr>
                <w:color w:val="000000"/>
              </w:rPr>
              <w:t>Year 5: £30</w:t>
            </w:r>
          </w:p>
        </w:tc>
        <w:tc>
          <w:tcPr>
            <w:tcW w:w="2171" w:type="dxa"/>
            <w:tcBorders>
              <w:top w:val="nil"/>
              <w:left w:val="nil"/>
              <w:bottom w:val="single" w:sz="4" w:space="0" w:color="auto"/>
              <w:right w:val="single" w:sz="4" w:space="0" w:color="auto"/>
            </w:tcBorders>
            <w:vAlign w:val="center"/>
            <w:hideMark/>
          </w:tcPr>
          <w:p w14:paraId="7260F55A" w14:textId="77777777" w:rsidR="00633D37" w:rsidRPr="00633D37" w:rsidRDefault="00633D37" w:rsidP="00633D37">
            <w:pPr>
              <w:jc w:val="both"/>
              <w:rPr>
                <w:color w:val="000000"/>
              </w:rPr>
            </w:pPr>
            <w:r w:rsidRPr="00633D37">
              <w:rPr>
                <w:color w:val="000000"/>
              </w:rPr>
              <w:t>5 years</w:t>
            </w:r>
          </w:p>
        </w:tc>
      </w:tr>
      <w:tr w:rsidR="00633D37" w:rsidRPr="00633D37" w14:paraId="7F7F999C" w14:textId="77777777" w:rsidTr="00932200">
        <w:trPr>
          <w:trHeight w:val="416"/>
        </w:trPr>
        <w:tc>
          <w:tcPr>
            <w:tcW w:w="2092" w:type="dxa"/>
            <w:tcBorders>
              <w:top w:val="nil"/>
              <w:left w:val="single" w:sz="4" w:space="0" w:color="auto"/>
              <w:bottom w:val="single" w:sz="4" w:space="0" w:color="auto"/>
              <w:right w:val="single" w:sz="4" w:space="0" w:color="auto"/>
            </w:tcBorders>
            <w:vAlign w:val="center"/>
            <w:hideMark/>
          </w:tcPr>
          <w:p w14:paraId="100F741E" w14:textId="77777777" w:rsidR="00633D37" w:rsidRPr="00633D37" w:rsidRDefault="00633D37" w:rsidP="00633D37">
            <w:pPr>
              <w:jc w:val="both"/>
              <w:rPr>
                <w:b/>
                <w:bCs/>
                <w:color w:val="000000"/>
              </w:rPr>
            </w:pPr>
            <w:r w:rsidRPr="00633D37">
              <w:rPr>
                <w:b/>
                <w:bCs/>
                <w:color w:val="000000"/>
              </w:rPr>
              <w:t>Project C</w:t>
            </w:r>
          </w:p>
        </w:tc>
        <w:tc>
          <w:tcPr>
            <w:tcW w:w="1593" w:type="dxa"/>
            <w:tcBorders>
              <w:top w:val="nil"/>
              <w:left w:val="nil"/>
              <w:bottom w:val="single" w:sz="4" w:space="0" w:color="auto"/>
              <w:right w:val="single" w:sz="4" w:space="0" w:color="auto"/>
            </w:tcBorders>
            <w:vAlign w:val="center"/>
            <w:hideMark/>
          </w:tcPr>
          <w:p w14:paraId="3BE649DD" w14:textId="77777777" w:rsidR="00633D37" w:rsidRPr="00633D37" w:rsidRDefault="00633D37" w:rsidP="00633D37">
            <w:pPr>
              <w:jc w:val="both"/>
              <w:rPr>
                <w:color w:val="000000"/>
              </w:rPr>
            </w:pPr>
            <w:r w:rsidRPr="00633D37">
              <w:rPr>
                <w:color w:val="000000"/>
              </w:rPr>
              <w:t>£50</w:t>
            </w:r>
          </w:p>
        </w:tc>
        <w:tc>
          <w:tcPr>
            <w:tcW w:w="3301" w:type="dxa"/>
            <w:tcBorders>
              <w:top w:val="nil"/>
              <w:left w:val="nil"/>
              <w:bottom w:val="single" w:sz="4" w:space="0" w:color="auto"/>
              <w:right w:val="single" w:sz="4" w:space="0" w:color="auto"/>
            </w:tcBorders>
            <w:vAlign w:val="center"/>
            <w:hideMark/>
          </w:tcPr>
          <w:p w14:paraId="0CAC6826" w14:textId="77777777" w:rsidR="00633D37" w:rsidRPr="00633D37" w:rsidRDefault="00633D37" w:rsidP="00633D37">
            <w:pPr>
              <w:jc w:val="both"/>
              <w:rPr>
                <w:color w:val="000000"/>
              </w:rPr>
            </w:pPr>
            <w:r w:rsidRPr="00633D37">
              <w:rPr>
                <w:color w:val="000000"/>
              </w:rPr>
              <w:t>Year 3: £35, Year 4: £60</w:t>
            </w:r>
          </w:p>
        </w:tc>
        <w:tc>
          <w:tcPr>
            <w:tcW w:w="2171" w:type="dxa"/>
            <w:tcBorders>
              <w:top w:val="nil"/>
              <w:left w:val="nil"/>
              <w:bottom w:val="single" w:sz="4" w:space="0" w:color="auto"/>
              <w:right w:val="single" w:sz="4" w:space="0" w:color="auto"/>
            </w:tcBorders>
            <w:vAlign w:val="center"/>
            <w:hideMark/>
          </w:tcPr>
          <w:p w14:paraId="4D242A82" w14:textId="77777777" w:rsidR="00633D37" w:rsidRPr="00633D37" w:rsidRDefault="00633D37" w:rsidP="00633D37">
            <w:pPr>
              <w:jc w:val="both"/>
              <w:rPr>
                <w:color w:val="000000"/>
              </w:rPr>
            </w:pPr>
            <w:r w:rsidRPr="00633D37">
              <w:rPr>
                <w:color w:val="000000"/>
              </w:rPr>
              <w:t>3.6 years</w:t>
            </w:r>
          </w:p>
        </w:tc>
      </w:tr>
    </w:tbl>
    <w:p w14:paraId="74D8D3FF" w14:textId="5E79253E" w:rsidR="00BD7A0E" w:rsidRPr="005814C2" w:rsidRDefault="00BD7A0E" w:rsidP="005814C2">
      <w:pPr>
        <w:spacing w:before="100" w:beforeAutospacing="1" w:after="100" w:afterAutospacing="1" w:line="360" w:lineRule="auto"/>
        <w:jc w:val="both"/>
      </w:pPr>
    </w:p>
    <w:p w14:paraId="0C5F6124" w14:textId="769343EF" w:rsidR="00BD7A0E" w:rsidRPr="005814C2" w:rsidRDefault="00BD7A0E" w:rsidP="005814C2">
      <w:pPr>
        <w:spacing w:before="100" w:beforeAutospacing="1" w:after="100" w:afterAutospacing="1" w:line="360" w:lineRule="auto"/>
        <w:jc w:val="both"/>
        <w:outlineLvl w:val="3"/>
        <w:rPr>
          <w:b/>
          <w:bCs/>
        </w:rPr>
      </w:pPr>
      <w:r w:rsidRPr="005814C2">
        <w:rPr>
          <w:b/>
          <w:bCs/>
        </w:rPr>
        <w:t>Appendix D: Accounting Rate of Return (ARR) Calculations</w:t>
      </w:r>
    </w:p>
    <w:tbl>
      <w:tblPr>
        <w:tblW w:w="8996" w:type="dxa"/>
        <w:tblLook w:val="04A0" w:firstRow="1" w:lastRow="0" w:firstColumn="1" w:lastColumn="0" w:noHBand="0" w:noVBand="1"/>
      </w:tblPr>
      <w:tblGrid>
        <w:gridCol w:w="2055"/>
        <w:gridCol w:w="1540"/>
        <w:gridCol w:w="3268"/>
        <w:gridCol w:w="2133"/>
      </w:tblGrid>
      <w:tr w:rsidR="00633D37" w:rsidRPr="00633D37" w14:paraId="0B1DF801" w14:textId="77777777" w:rsidTr="00932200">
        <w:trPr>
          <w:trHeight w:val="770"/>
        </w:trPr>
        <w:tc>
          <w:tcPr>
            <w:tcW w:w="2055" w:type="dxa"/>
            <w:tcBorders>
              <w:top w:val="single" w:sz="4" w:space="0" w:color="auto"/>
              <w:left w:val="single" w:sz="4" w:space="0" w:color="auto"/>
              <w:bottom w:val="single" w:sz="4" w:space="0" w:color="auto"/>
              <w:right w:val="single" w:sz="4" w:space="0" w:color="auto"/>
            </w:tcBorders>
            <w:vAlign w:val="center"/>
            <w:hideMark/>
          </w:tcPr>
          <w:p w14:paraId="3BFFD045" w14:textId="77777777" w:rsidR="00633D37" w:rsidRPr="00633D37" w:rsidRDefault="00633D37" w:rsidP="00633D37">
            <w:pPr>
              <w:jc w:val="both"/>
              <w:rPr>
                <w:b/>
                <w:bCs/>
                <w:color w:val="000000"/>
              </w:rPr>
            </w:pPr>
            <w:r w:rsidRPr="00633D37">
              <w:rPr>
                <w:b/>
                <w:bCs/>
                <w:color w:val="000000"/>
              </w:rPr>
              <w:t>Project</w:t>
            </w:r>
          </w:p>
        </w:tc>
        <w:tc>
          <w:tcPr>
            <w:tcW w:w="1540" w:type="dxa"/>
            <w:tcBorders>
              <w:top w:val="single" w:sz="4" w:space="0" w:color="auto"/>
              <w:left w:val="nil"/>
              <w:bottom w:val="single" w:sz="4" w:space="0" w:color="auto"/>
              <w:right w:val="single" w:sz="4" w:space="0" w:color="auto"/>
            </w:tcBorders>
            <w:vAlign w:val="center"/>
            <w:hideMark/>
          </w:tcPr>
          <w:p w14:paraId="5FE5B7FD" w14:textId="77777777" w:rsidR="00633D37" w:rsidRPr="00633D37" w:rsidRDefault="00633D37" w:rsidP="00633D37">
            <w:pPr>
              <w:jc w:val="both"/>
              <w:rPr>
                <w:b/>
                <w:bCs/>
                <w:color w:val="000000"/>
              </w:rPr>
            </w:pPr>
            <w:r w:rsidRPr="00633D37">
              <w:rPr>
                <w:b/>
                <w:bCs/>
                <w:color w:val="000000"/>
              </w:rPr>
              <w:t>Initial Investment (£m)</w:t>
            </w:r>
          </w:p>
        </w:tc>
        <w:tc>
          <w:tcPr>
            <w:tcW w:w="3268" w:type="dxa"/>
            <w:tcBorders>
              <w:top w:val="single" w:sz="4" w:space="0" w:color="auto"/>
              <w:left w:val="nil"/>
              <w:bottom w:val="single" w:sz="4" w:space="0" w:color="auto"/>
              <w:right w:val="single" w:sz="4" w:space="0" w:color="auto"/>
            </w:tcBorders>
            <w:vAlign w:val="center"/>
            <w:hideMark/>
          </w:tcPr>
          <w:p w14:paraId="0AD04559" w14:textId="77777777" w:rsidR="00633D37" w:rsidRPr="00633D37" w:rsidRDefault="00633D37" w:rsidP="00633D37">
            <w:pPr>
              <w:jc w:val="both"/>
              <w:rPr>
                <w:b/>
                <w:bCs/>
                <w:color w:val="000000"/>
              </w:rPr>
            </w:pPr>
            <w:r w:rsidRPr="00633D37">
              <w:rPr>
                <w:b/>
                <w:bCs/>
                <w:color w:val="000000"/>
              </w:rPr>
              <w:t>Cumulative Cash Inflows (£m)</w:t>
            </w:r>
          </w:p>
        </w:tc>
        <w:tc>
          <w:tcPr>
            <w:tcW w:w="2133" w:type="dxa"/>
            <w:tcBorders>
              <w:top w:val="single" w:sz="4" w:space="0" w:color="auto"/>
              <w:left w:val="nil"/>
              <w:bottom w:val="single" w:sz="4" w:space="0" w:color="auto"/>
              <w:right w:val="single" w:sz="4" w:space="0" w:color="auto"/>
            </w:tcBorders>
            <w:vAlign w:val="center"/>
            <w:hideMark/>
          </w:tcPr>
          <w:p w14:paraId="7301120A" w14:textId="77777777" w:rsidR="00633D37" w:rsidRPr="00633D37" w:rsidRDefault="00633D37" w:rsidP="00633D37">
            <w:pPr>
              <w:jc w:val="both"/>
              <w:rPr>
                <w:b/>
                <w:bCs/>
                <w:color w:val="000000"/>
              </w:rPr>
            </w:pPr>
            <w:r w:rsidRPr="00633D37">
              <w:rPr>
                <w:b/>
                <w:bCs/>
                <w:color w:val="000000"/>
              </w:rPr>
              <w:t>Payback Period</w:t>
            </w:r>
          </w:p>
        </w:tc>
      </w:tr>
      <w:tr w:rsidR="00633D37" w:rsidRPr="00633D37" w14:paraId="7466DBC1" w14:textId="77777777" w:rsidTr="00932200">
        <w:trPr>
          <w:trHeight w:val="1156"/>
        </w:trPr>
        <w:tc>
          <w:tcPr>
            <w:tcW w:w="2055" w:type="dxa"/>
            <w:tcBorders>
              <w:top w:val="nil"/>
              <w:left w:val="single" w:sz="4" w:space="0" w:color="auto"/>
              <w:bottom w:val="single" w:sz="4" w:space="0" w:color="auto"/>
              <w:right w:val="single" w:sz="4" w:space="0" w:color="auto"/>
            </w:tcBorders>
            <w:vAlign w:val="center"/>
            <w:hideMark/>
          </w:tcPr>
          <w:p w14:paraId="17C00745" w14:textId="77777777" w:rsidR="00633D37" w:rsidRPr="00633D37" w:rsidRDefault="00633D37" w:rsidP="00633D37">
            <w:pPr>
              <w:jc w:val="both"/>
              <w:rPr>
                <w:b/>
                <w:bCs/>
                <w:color w:val="000000"/>
              </w:rPr>
            </w:pPr>
            <w:r w:rsidRPr="00633D37">
              <w:rPr>
                <w:b/>
                <w:bCs/>
                <w:color w:val="000000"/>
              </w:rPr>
              <w:t>Project A</w:t>
            </w:r>
          </w:p>
        </w:tc>
        <w:tc>
          <w:tcPr>
            <w:tcW w:w="1540" w:type="dxa"/>
            <w:tcBorders>
              <w:top w:val="nil"/>
              <w:left w:val="nil"/>
              <w:bottom w:val="single" w:sz="4" w:space="0" w:color="auto"/>
              <w:right w:val="single" w:sz="4" w:space="0" w:color="auto"/>
            </w:tcBorders>
            <w:vAlign w:val="center"/>
            <w:hideMark/>
          </w:tcPr>
          <w:p w14:paraId="3CE3B1CA" w14:textId="77777777" w:rsidR="00633D37" w:rsidRPr="00633D37" w:rsidRDefault="00633D37" w:rsidP="00633D37">
            <w:pPr>
              <w:jc w:val="both"/>
              <w:rPr>
                <w:color w:val="000000"/>
              </w:rPr>
            </w:pPr>
            <w:r w:rsidRPr="00633D37">
              <w:rPr>
                <w:color w:val="000000"/>
              </w:rPr>
              <w:t>£40</w:t>
            </w:r>
          </w:p>
        </w:tc>
        <w:tc>
          <w:tcPr>
            <w:tcW w:w="3268" w:type="dxa"/>
            <w:tcBorders>
              <w:top w:val="nil"/>
              <w:left w:val="nil"/>
              <w:bottom w:val="single" w:sz="4" w:space="0" w:color="auto"/>
              <w:right w:val="single" w:sz="4" w:space="0" w:color="auto"/>
            </w:tcBorders>
            <w:vAlign w:val="center"/>
            <w:hideMark/>
          </w:tcPr>
          <w:p w14:paraId="0628766A" w14:textId="77777777" w:rsidR="00633D37" w:rsidRPr="00633D37" w:rsidRDefault="00633D37" w:rsidP="00633D37">
            <w:pPr>
              <w:jc w:val="both"/>
              <w:rPr>
                <w:color w:val="000000"/>
              </w:rPr>
            </w:pPr>
            <w:r w:rsidRPr="00633D37">
              <w:rPr>
                <w:color w:val="000000"/>
              </w:rPr>
              <w:t>Year 1: £10, Year 2: £22, Year 3: £36, Year 4: £46</w:t>
            </w:r>
          </w:p>
        </w:tc>
        <w:tc>
          <w:tcPr>
            <w:tcW w:w="2133" w:type="dxa"/>
            <w:tcBorders>
              <w:top w:val="nil"/>
              <w:left w:val="nil"/>
              <w:bottom w:val="single" w:sz="4" w:space="0" w:color="auto"/>
              <w:right w:val="single" w:sz="4" w:space="0" w:color="auto"/>
            </w:tcBorders>
            <w:vAlign w:val="center"/>
            <w:hideMark/>
          </w:tcPr>
          <w:p w14:paraId="595386CA" w14:textId="77777777" w:rsidR="00633D37" w:rsidRPr="00633D37" w:rsidRDefault="00633D37" w:rsidP="00633D37">
            <w:pPr>
              <w:jc w:val="both"/>
              <w:rPr>
                <w:color w:val="000000"/>
              </w:rPr>
            </w:pPr>
            <w:r w:rsidRPr="00633D37">
              <w:rPr>
                <w:color w:val="000000"/>
              </w:rPr>
              <w:t>3.4 years</w:t>
            </w:r>
          </w:p>
        </w:tc>
      </w:tr>
      <w:tr w:rsidR="00633D37" w:rsidRPr="00633D37" w14:paraId="727A829F" w14:textId="77777777" w:rsidTr="00932200">
        <w:trPr>
          <w:trHeight w:val="192"/>
        </w:trPr>
        <w:tc>
          <w:tcPr>
            <w:tcW w:w="2055" w:type="dxa"/>
            <w:tcBorders>
              <w:top w:val="nil"/>
              <w:left w:val="single" w:sz="4" w:space="0" w:color="auto"/>
              <w:bottom w:val="single" w:sz="4" w:space="0" w:color="auto"/>
              <w:right w:val="single" w:sz="4" w:space="0" w:color="auto"/>
            </w:tcBorders>
            <w:vAlign w:val="center"/>
            <w:hideMark/>
          </w:tcPr>
          <w:p w14:paraId="29097C4B" w14:textId="77777777" w:rsidR="00633D37" w:rsidRPr="00633D37" w:rsidRDefault="00633D37" w:rsidP="00633D37">
            <w:pPr>
              <w:jc w:val="both"/>
              <w:rPr>
                <w:b/>
                <w:bCs/>
                <w:color w:val="000000"/>
              </w:rPr>
            </w:pPr>
            <w:r w:rsidRPr="00633D37">
              <w:rPr>
                <w:b/>
                <w:bCs/>
                <w:color w:val="000000"/>
              </w:rPr>
              <w:t>Project B</w:t>
            </w:r>
          </w:p>
        </w:tc>
        <w:tc>
          <w:tcPr>
            <w:tcW w:w="1540" w:type="dxa"/>
            <w:tcBorders>
              <w:top w:val="nil"/>
              <w:left w:val="nil"/>
              <w:bottom w:val="single" w:sz="4" w:space="0" w:color="auto"/>
              <w:right w:val="single" w:sz="4" w:space="0" w:color="auto"/>
            </w:tcBorders>
            <w:vAlign w:val="center"/>
            <w:hideMark/>
          </w:tcPr>
          <w:p w14:paraId="6BF2026A" w14:textId="77777777" w:rsidR="00633D37" w:rsidRPr="00633D37" w:rsidRDefault="00633D37" w:rsidP="00633D37">
            <w:pPr>
              <w:jc w:val="both"/>
              <w:rPr>
                <w:color w:val="000000"/>
              </w:rPr>
            </w:pPr>
            <w:r w:rsidRPr="00633D37">
              <w:rPr>
                <w:color w:val="000000"/>
              </w:rPr>
              <w:t>£30</w:t>
            </w:r>
          </w:p>
        </w:tc>
        <w:tc>
          <w:tcPr>
            <w:tcW w:w="3268" w:type="dxa"/>
            <w:tcBorders>
              <w:top w:val="nil"/>
              <w:left w:val="nil"/>
              <w:bottom w:val="single" w:sz="4" w:space="0" w:color="auto"/>
              <w:right w:val="single" w:sz="4" w:space="0" w:color="auto"/>
            </w:tcBorders>
            <w:vAlign w:val="center"/>
            <w:hideMark/>
          </w:tcPr>
          <w:p w14:paraId="3E538D0D" w14:textId="77777777" w:rsidR="00633D37" w:rsidRPr="00633D37" w:rsidRDefault="00633D37" w:rsidP="00633D37">
            <w:pPr>
              <w:jc w:val="both"/>
              <w:rPr>
                <w:color w:val="000000"/>
              </w:rPr>
            </w:pPr>
            <w:r w:rsidRPr="00633D37">
              <w:rPr>
                <w:color w:val="000000"/>
              </w:rPr>
              <w:t>Year 5: £30</w:t>
            </w:r>
          </w:p>
        </w:tc>
        <w:tc>
          <w:tcPr>
            <w:tcW w:w="2133" w:type="dxa"/>
            <w:tcBorders>
              <w:top w:val="nil"/>
              <w:left w:val="nil"/>
              <w:bottom w:val="single" w:sz="4" w:space="0" w:color="auto"/>
              <w:right w:val="single" w:sz="4" w:space="0" w:color="auto"/>
            </w:tcBorders>
            <w:vAlign w:val="center"/>
            <w:hideMark/>
          </w:tcPr>
          <w:p w14:paraId="2656FED2" w14:textId="77777777" w:rsidR="00633D37" w:rsidRPr="00633D37" w:rsidRDefault="00633D37" w:rsidP="00633D37">
            <w:pPr>
              <w:jc w:val="both"/>
              <w:rPr>
                <w:color w:val="000000"/>
              </w:rPr>
            </w:pPr>
            <w:r w:rsidRPr="00633D37">
              <w:rPr>
                <w:color w:val="000000"/>
              </w:rPr>
              <w:t>5 years</w:t>
            </w:r>
          </w:p>
        </w:tc>
      </w:tr>
      <w:tr w:rsidR="00633D37" w:rsidRPr="00633D37" w14:paraId="00A8559D" w14:textId="77777777" w:rsidTr="00932200">
        <w:trPr>
          <w:trHeight w:val="578"/>
        </w:trPr>
        <w:tc>
          <w:tcPr>
            <w:tcW w:w="2055" w:type="dxa"/>
            <w:tcBorders>
              <w:top w:val="nil"/>
              <w:left w:val="single" w:sz="4" w:space="0" w:color="auto"/>
              <w:bottom w:val="single" w:sz="4" w:space="0" w:color="auto"/>
              <w:right w:val="single" w:sz="4" w:space="0" w:color="auto"/>
            </w:tcBorders>
            <w:vAlign w:val="center"/>
            <w:hideMark/>
          </w:tcPr>
          <w:p w14:paraId="60F200C6" w14:textId="77777777" w:rsidR="00633D37" w:rsidRPr="00633D37" w:rsidRDefault="00633D37" w:rsidP="00633D37">
            <w:pPr>
              <w:jc w:val="both"/>
              <w:rPr>
                <w:b/>
                <w:bCs/>
                <w:color w:val="000000"/>
              </w:rPr>
            </w:pPr>
            <w:r w:rsidRPr="00633D37">
              <w:rPr>
                <w:b/>
                <w:bCs/>
                <w:color w:val="000000"/>
              </w:rPr>
              <w:t>Project C</w:t>
            </w:r>
          </w:p>
        </w:tc>
        <w:tc>
          <w:tcPr>
            <w:tcW w:w="1540" w:type="dxa"/>
            <w:tcBorders>
              <w:top w:val="nil"/>
              <w:left w:val="nil"/>
              <w:bottom w:val="single" w:sz="4" w:space="0" w:color="auto"/>
              <w:right w:val="single" w:sz="4" w:space="0" w:color="auto"/>
            </w:tcBorders>
            <w:vAlign w:val="center"/>
            <w:hideMark/>
          </w:tcPr>
          <w:p w14:paraId="3F14A53D" w14:textId="77777777" w:rsidR="00633D37" w:rsidRPr="00633D37" w:rsidRDefault="00633D37" w:rsidP="00633D37">
            <w:pPr>
              <w:jc w:val="both"/>
              <w:rPr>
                <w:color w:val="000000"/>
              </w:rPr>
            </w:pPr>
            <w:r w:rsidRPr="00633D37">
              <w:rPr>
                <w:color w:val="000000"/>
              </w:rPr>
              <w:t>£50</w:t>
            </w:r>
          </w:p>
        </w:tc>
        <w:tc>
          <w:tcPr>
            <w:tcW w:w="3268" w:type="dxa"/>
            <w:tcBorders>
              <w:top w:val="nil"/>
              <w:left w:val="nil"/>
              <w:bottom w:val="single" w:sz="4" w:space="0" w:color="auto"/>
              <w:right w:val="single" w:sz="4" w:space="0" w:color="auto"/>
            </w:tcBorders>
            <w:vAlign w:val="center"/>
            <w:hideMark/>
          </w:tcPr>
          <w:p w14:paraId="1613F1ED" w14:textId="77777777" w:rsidR="00633D37" w:rsidRPr="00633D37" w:rsidRDefault="00633D37" w:rsidP="00633D37">
            <w:pPr>
              <w:jc w:val="both"/>
              <w:rPr>
                <w:color w:val="000000"/>
              </w:rPr>
            </w:pPr>
            <w:r w:rsidRPr="00633D37">
              <w:rPr>
                <w:color w:val="000000"/>
              </w:rPr>
              <w:t>Year 3: £35, Year 4: £60</w:t>
            </w:r>
          </w:p>
        </w:tc>
        <w:tc>
          <w:tcPr>
            <w:tcW w:w="2133" w:type="dxa"/>
            <w:tcBorders>
              <w:top w:val="nil"/>
              <w:left w:val="nil"/>
              <w:bottom w:val="single" w:sz="4" w:space="0" w:color="auto"/>
              <w:right w:val="single" w:sz="4" w:space="0" w:color="auto"/>
            </w:tcBorders>
            <w:vAlign w:val="center"/>
            <w:hideMark/>
          </w:tcPr>
          <w:p w14:paraId="1634BFA2" w14:textId="77777777" w:rsidR="00633D37" w:rsidRPr="00633D37" w:rsidRDefault="00633D37" w:rsidP="00633D37">
            <w:pPr>
              <w:jc w:val="both"/>
              <w:rPr>
                <w:color w:val="000000"/>
              </w:rPr>
            </w:pPr>
            <w:r w:rsidRPr="00633D37">
              <w:rPr>
                <w:color w:val="000000"/>
              </w:rPr>
              <w:t>3.6 years</w:t>
            </w:r>
          </w:p>
        </w:tc>
      </w:tr>
    </w:tbl>
    <w:p w14:paraId="2B642191" w14:textId="07CFBE59" w:rsidR="00BD7A0E" w:rsidRPr="005814C2" w:rsidRDefault="00BD7A0E" w:rsidP="005814C2">
      <w:pPr>
        <w:spacing w:before="100" w:beforeAutospacing="1" w:after="100" w:afterAutospacing="1" w:line="360" w:lineRule="auto"/>
        <w:jc w:val="both"/>
        <w:outlineLvl w:val="3"/>
        <w:rPr>
          <w:b/>
          <w:bCs/>
        </w:rPr>
      </w:pPr>
      <w:r w:rsidRPr="005814C2">
        <w:rPr>
          <w:b/>
          <w:bCs/>
        </w:rPr>
        <w:t>Appendix E: Net Present Value (NPV) Calculations</w:t>
      </w:r>
    </w:p>
    <w:tbl>
      <w:tblPr>
        <w:tblW w:w="8598" w:type="dxa"/>
        <w:tblLook w:val="04A0" w:firstRow="1" w:lastRow="0" w:firstColumn="1" w:lastColumn="0" w:noHBand="0" w:noVBand="1"/>
      </w:tblPr>
      <w:tblGrid>
        <w:gridCol w:w="2123"/>
        <w:gridCol w:w="2254"/>
        <w:gridCol w:w="2108"/>
        <w:gridCol w:w="2113"/>
      </w:tblGrid>
      <w:tr w:rsidR="00633D37" w14:paraId="4750C773" w14:textId="77777777" w:rsidTr="00633D37">
        <w:trPr>
          <w:trHeight w:val="874"/>
        </w:trPr>
        <w:tc>
          <w:tcPr>
            <w:tcW w:w="2123" w:type="dxa"/>
            <w:tcBorders>
              <w:top w:val="single" w:sz="4" w:space="0" w:color="auto"/>
              <w:left w:val="single" w:sz="4" w:space="0" w:color="auto"/>
              <w:bottom w:val="single" w:sz="4" w:space="0" w:color="auto"/>
              <w:right w:val="single" w:sz="4" w:space="0" w:color="auto"/>
            </w:tcBorders>
            <w:vAlign w:val="center"/>
            <w:hideMark/>
          </w:tcPr>
          <w:p w14:paraId="264D269D" w14:textId="77777777" w:rsidR="00633D37" w:rsidRDefault="00633D37">
            <w:pPr>
              <w:jc w:val="both"/>
              <w:rPr>
                <w:b/>
                <w:bCs/>
                <w:color w:val="000000"/>
              </w:rPr>
            </w:pPr>
            <w:r>
              <w:rPr>
                <w:b/>
                <w:bCs/>
                <w:color w:val="000000"/>
              </w:rPr>
              <w:t>Project</w:t>
            </w:r>
          </w:p>
        </w:tc>
        <w:tc>
          <w:tcPr>
            <w:tcW w:w="2254" w:type="dxa"/>
            <w:tcBorders>
              <w:top w:val="single" w:sz="4" w:space="0" w:color="auto"/>
              <w:left w:val="nil"/>
              <w:bottom w:val="single" w:sz="4" w:space="0" w:color="auto"/>
              <w:right w:val="single" w:sz="4" w:space="0" w:color="auto"/>
            </w:tcBorders>
            <w:vAlign w:val="center"/>
            <w:hideMark/>
          </w:tcPr>
          <w:p w14:paraId="78CF298D" w14:textId="77777777" w:rsidR="00633D37" w:rsidRDefault="00633D37">
            <w:pPr>
              <w:jc w:val="both"/>
              <w:rPr>
                <w:b/>
                <w:bCs/>
                <w:color w:val="000000"/>
              </w:rPr>
            </w:pPr>
            <w:r>
              <w:rPr>
                <w:b/>
                <w:bCs/>
                <w:color w:val="000000"/>
              </w:rPr>
              <w:t>Initial Investment (£m)</w:t>
            </w:r>
          </w:p>
        </w:tc>
        <w:tc>
          <w:tcPr>
            <w:tcW w:w="2108" w:type="dxa"/>
            <w:tcBorders>
              <w:top w:val="single" w:sz="4" w:space="0" w:color="auto"/>
              <w:left w:val="nil"/>
              <w:bottom w:val="single" w:sz="4" w:space="0" w:color="auto"/>
              <w:right w:val="single" w:sz="4" w:space="0" w:color="auto"/>
            </w:tcBorders>
            <w:vAlign w:val="center"/>
            <w:hideMark/>
          </w:tcPr>
          <w:p w14:paraId="3E7A023B" w14:textId="77777777" w:rsidR="00633D37" w:rsidRDefault="00633D37">
            <w:pPr>
              <w:jc w:val="both"/>
              <w:rPr>
                <w:b/>
                <w:bCs/>
                <w:color w:val="000000"/>
              </w:rPr>
            </w:pPr>
            <w:r>
              <w:rPr>
                <w:b/>
                <w:bCs/>
                <w:color w:val="000000"/>
              </w:rPr>
              <w:t>NPV (£m)</w:t>
            </w:r>
          </w:p>
        </w:tc>
        <w:tc>
          <w:tcPr>
            <w:tcW w:w="2113" w:type="dxa"/>
            <w:tcBorders>
              <w:top w:val="single" w:sz="4" w:space="0" w:color="auto"/>
              <w:left w:val="nil"/>
              <w:bottom w:val="single" w:sz="4" w:space="0" w:color="auto"/>
              <w:right w:val="single" w:sz="4" w:space="0" w:color="auto"/>
            </w:tcBorders>
            <w:vAlign w:val="center"/>
            <w:hideMark/>
          </w:tcPr>
          <w:p w14:paraId="69B45C96" w14:textId="77777777" w:rsidR="00633D37" w:rsidRDefault="00633D37">
            <w:pPr>
              <w:jc w:val="both"/>
              <w:rPr>
                <w:b/>
                <w:bCs/>
                <w:color w:val="000000"/>
              </w:rPr>
            </w:pPr>
            <w:r>
              <w:rPr>
                <w:b/>
                <w:bCs/>
                <w:color w:val="000000"/>
              </w:rPr>
              <w:t>Cash Flows (£m)</w:t>
            </w:r>
          </w:p>
        </w:tc>
      </w:tr>
      <w:tr w:rsidR="00633D37" w14:paraId="5ECE7FF4" w14:textId="77777777" w:rsidTr="00633D37">
        <w:trPr>
          <w:trHeight w:val="2041"/>
        </w:trPr>
        <w:tc>
          <w:tcPr>
            <w:tcW w:w="2123" w:type="dxa"/>
            <w:tcBorders>
              <w:top w:val="nil"/>
              <w:left w:val="single" w:sz="4" w:space="0" w:color="auto"/>
              <w:bottom w:val="single" w:sz="4" w:space="0" w:color="auto"/>
              <w:right w:val="single" w:sz="4" w:space="0" w:color="auto"/>
            </w:tcBorders>
            <w:vAlign w:val="center"/>
            <w:hideMark/>
          </w:tcPr>
          <w:p w14:paraId="01006245" w14:textId="77777777" w:rsidR="00633D37" w:rsidRDefault="00633D37">
            <w:pPr>
              <w:jc w:val="both"/>
              <w:rPr>
                <w:b/>
                <w:bCs/>
                <w:color w:val="000000"/>
              </w:rPr>
            </w:pPr>
            <w:r>
              <w:rPr>
                <w:b/>
                <w:bCs/>
                <w:color w:val="000000"/>
              </w:rPr>
              <w:lastRenderedPageBreak/>
              <w:t>Project A</w:t>
            </w:r>
          </w:p>
        </w:tc>
        <w:tc>
          <w:tcPr>
            <w:tcW w:w="2254" w:type="dxa"/>
            <w:tcBorders>
              <w:top w:val="nil"/>
              <w:left w:val="nil"/>
              <w:bottom w:val="single" w:sz="4" w:space="0" w:color="auto"/>
              <w:right w:val="single" w:sz="4" w:space="0" w:color="auto"/>
            </w:tcBorders>
            <w:vAlign w:val="center"/>
            <w:hideMark/>
          </w:tcPr>
          <w:p w14:paraId="06C69C3B" w14:textId="77777777" w:rsidR="00633D37" w:rsidRDefault="00633D37">
            <w:pPr>
              <w:jc w:val="both"/>
              <w:rPr>
                <w:color w:val="000000"/>
              </w:rPr>
            </w:pPr>
            <w:r>
              <w:rPr>
                <w:color w:val="000000"/>
              </w:rPr>
              <w:t>£40</w:t>
            </w:r>
          </w:p>
        </w:tc>
        <w:tc>
          <w:tcPr>
            <w:tcW w:w="2108" w:type="dxa"/>
            <w:tcBorders>
              <w:top w:val="nil"/>
              <w:left w:val="nil"/>
              <w:bottom w:val="single" w:sz="4" w:space="0" w:color="auto"/>
              <w:right w:val="single" w:sz="4" w:space="0" w:color="auto"/>
            </w:tcBorders>
            <w:vAlign w:val="center"/>
            <w:hideMark/>
          </w:tcPr>
          <w:p w14:paraId="0C642887" w14:textId="77777777" w:rsidR="00633D37" w:rsidRDefault="00633D37">
            <w:pPr>
              <w:jc w:val="both"/>
              <w:rPr>
                <w:color w:val="000000"/>
              </w:rPr>
            </w:pPr>
            <w:r>
              <w:rPr>
                <w:color w:val="000000"/>
              </w:rPr>
              <w:t>£1.34</w:t>
            </w:r>
          </w:p>
        </w:tc>
        <w:tc>
          <w:tcPr>
            <w:tcW w:w="2113" w:type="dxa"/>
            <w:tcBorders>
              <w:top w:val="nil"/>
              <w:left w:val="nil"/>
              <w:bottom w:val="single" w:sz="4" w:space="0" w:color="auto"/>
              <w:right w:val="single" w:sz="4" w:space="0" w:color="auto"/>
            </w:tcBorders>
            <w:vAlign w:val="center"/>
            <w:hideMark/>
          </w:tcPr>
          <w:p w14:paraId="79737EA5" w14:textId="77777777" w:rsidR="00633D37" w:rsidRDefault="00633D37">
            <w:pPr>
              <w:jc w:val="both"/>
              <w:rPr>
                <w:color w:val="000000"/>
              </w:rPr>
            </w:pPr>
            <w:r>
              <w:rPr>
                <w:color w:val="000000"/>
              </w:rPr>
              <w:t>Year 1: £10, Year 2: £12, Year 3: £14, Year 4: £10, Year 5: £8</w:t>
            </w:r>
          </w:p>
        </w:tc>
      </w:tr>
      <w:tr w:rsidR="00633D37" w14:paraId="0E7C902F" w14:textId="77777777" w:rsidTr="00633D37">
        <w:trPr>
          <w:trHeight w:val="1457"/>
        </w:trPr>
        <w:tc>
          <w:tcPr>
            <w:tcW w:w="2123" w:type="dxa"/>
            <w:tcBorders>
              <w:top w:val="nil"/>
              <w:left w:val="single" w:sz="4" w:space="0" w:color="auto"/>
              <w:bottom w:val="single" w:sz="4" w:space="0" w:color="auto"/>
              <w:right w:val="single" w:sz="4" w:space="0" w:color="auto"/>
            </w:tcBorders>
            <w:vAlign w:val="center"/>
            <w:hideMark/>
          </w:tcPr>
          <w:p w14:paraId="330FAD66" w14:textId="77777777" w:rsidR="00633D37" w:rsidRDefault="00633D37">
            <w:pPr>
              <w:jc w:val="both"/>
              <w:rPr>
                <w:b/>
                <w:bCs/>
                <w:color w:val="000000"/>
              </w:rPr>
            </w:pPr>
            <w:r>
              <w:rPr>
                <w:b/>
                <w:bCs/>
                <w:color w:val="000000"/>
              </w:rPr>
              <w:t>Project B</w:t>
            </w:r>
          </w:p>
        </w:tc>
        <w:tc>
          <w:tcPr>
            <w:tcW w:w="2254" w:type="dxa"/>
            <w:tcBorders>
              <w:top w:val="nil"/>
              <w:left w:val="nil"/>
              <w:bottom w:val="single" w:sz="4" w:space="0" w:color="auto"/>
              <w:right w:val="single" w:sz="4" w:space="0" w:color="auto"/>
            </w:tcBorders>
            <w:vAlign w:val="center"/>
            <w:hideMark/>
          </w:tcPr>
          <w:p w14:paraId="7B7C0242" w14:textId="77777777" w:rsidR="00633D37" w:rsidRDefault="00633D37">
            <w:pPr>
              <w:jc w:val="both"/>
              <w:rPr>
                <w:color w:val="000000"/>
              </w:rPr>
            </w:pPr>
            <w:r>
              <w:rPr>
                <w:color w:val="000000"/>
              </w:rPr>
              <w:t>£30</w:t>
            </w:r>
          </w:p>
        </w:tc>
        <w:tc>
          <w:tcPr>
            <w:tcW w:w="2108" w:type="dxa"/>
            <w:tcBorders>
              <w:top w:val="nil"/>
              <w:left w:val="nil"/>
              <w:bottom w:val="single" w:sz="4" w:space="0" w:color="auto"/>
              <w:right w:val="single" w:sz="4" w:space="0" w:color="auto"/>
            </w:tcBorders>
            <w:vAlign w:val="center"/>
            <w:hideMark/>
          </w:tcPr>
          <w:p w14:paraId="5F6FA6DE" w14:textId="77777777" w:rsidR="00633D37" w:rsidRDefault="00633D37">
            <w:pPr>
              <w:jc w:val="both"/>
              <w:rPr>
                <w:color w:val="000000"/>
              </w:rPr>
            </w:pPr>
            <w:r>
              <w:rPr>
                <w:color w:val="000000"/>
              </w:rPr>
              <w:t>-£7.30</w:t>
            </w:r>
          </w:p>
        </w:tc>
        <w:tc>
          <w:tcPr>
            <w:tcW w:w="2113" w:type="dxa"/>
            <w:tcBorders>
              <w:top w:val="nil"/>
              <w:left w:val="nil"/>
              <w:bottom w:val="single" w:sz="4" w:space="0" w:color="auto"/>
              <w:right w:val="single" w:sz="4" w:space="0" w:color="auto"/>
            </w:tcBorders>
            <w:vAlign w:val="center"/>
            <w:hideMark/>
          </w:tcPr>
          <w:p w14:paraId="59618D74" w14:textId="77777777" w:rsidR="00633D37" w:rsidRDefault="00633D37">
            <w:pPr>
              <w:jc w:val="both"/>
              <w:rPr>
                <w:color w:val="000000"/>
              </w:rPr>
            </w:pPr>
            <w:r>
              <w:rPr>
                <w:color w:val="000000"/>
              </w:rPr>
              <w:t>Year 1: £6, Year 2: £6, Year 3: £6, Year 4: £6, Year 5: £6</w:t>
            </w:r>
          </w:p>
        </w:tc>
      </w:tr>
      <w:tr w:rsidR="00633D37" w14:paraId="1317746B" w14:textId="77777777" w:rsidTr="00633D37">
        <w:trPr>
          <w:trHeight w:val="2041"/>
        </w:trPr>
        <w:tc>
          <w:tcPr>
            <w:tcW w:w="2123" w:type="dxa"/>
            <w:tcBorders>
              <w:top w:val="nil"/>
              <w:left w:val="single" w:sz="4" w:space="0" w:color="auto"/>
              <w:bottom w:val="single" w:sz="4" w:space="0" w:color="auto"/>
              <w:right w:val="single" w:sz="4" w:space="0" w:color="auto"/>
            </w:tcBorders>
            <w:vAlign w:val="center"/>
            <w:hideMark/>
          </w:tcPr>
          <w:p w14:paraId="5BB403E9" w14:textId="77777777" w:rsidR="00633D37" w:rsidRDefault="00633D37">
            <w:pPr>
              <w:jc w:val="both"/>
              <w:rPr>
                <w:b/>
                <w:bCs/>
                <w:color w:val="000000"/>
              </w:rPr>
            </w:pPr>
            <w:r>
              <w:rPr>
                <w:b/>
                <w:bCs/>
                <w:color w:val="000000"/>
              </w:rPr>
              <w:t>Project C</w:t>
            </w:r>
          </w:p>
        </w:tc>
        <w:tc>
          <w:tcPr>
            <w:tcW w:w="2254" w:type="dxa"/>
            <w:tcBorders>
              <w:top w:val="nil"/>
              <w:left w:val="nil"/>
              <w:bottom w:val="single" w:sz="4" w:space="0" w:color="auto"/>
              <w:right w:val="single" w:sz="4" w:space="0" w:color="auto"/>
            </w:tcBorders>
            <w:vAlign w:val="center"/>
            <w:hideMark/>
          </w:tcPr>
          <w:p w14:paraId="2406DB43" w14:textId="77777777" w:rsidR="00633D37" w:rsidRDefault="00633D37">
            <w:pPr>
              <w:jc w:val="both"/>
              <w:rPr>
                <w:color w:val="000000"/>
              </w:rPr>
            </w:pPr>
            <w:r>
              <w:rPr>
                <w:color w:val="000000"/>
              </w:rPr>
              <w:t>£50</w:t>
            </w:r>
          </w:p>
        </w:tc>
        <w:tc>
          <w:tcPr>
            <w:tcW w:w="2108" w:type="dxa"/>
            <w:tcBorders>
              <w:top w:val="nil"/>
              <w:left w:val="nil"/>
              <w:bottom w:val="single" w:sz="4" w:space="0" w:color="auto"/>
              <w:right w:val="single" w:sz="4" w:space="0" w:color="auto"/>
            </w:tcBorders>
            <w:vAlign w:val="center"/>
            <w:hideMark/>
          </w:tcPr>
          <w:p w14:paraId="3616561C" w14:textId="77777777" w:rsidR="00633D37" w:rsidRDefault="00633D37">
            <w:pPr>
              <w:jc w:val="both"/>
              <w:rPr>
                <w:color w:val="000000"/>
              </w:rPr>
            </w:pPr>
            <w:r>
              <w:rPr>
                <w:color w:val="000000"/>
              </w:rPr>
              <w:t>£4.21</w:t>
            </w:r>
          </w:p>
        </w:tc>
        <w:tc>
          <w:tcPr>
            <w:tcW w:w="2113" w:type="dxa"/>
            <w:tcBorders>
              <w:top w:val="nil"/>
              <w:left w:val="nil"/>
              <w:bottom w:val="single" w:sz="4" w:space="0" w:color="auto"/>
              <w:right w:val="single" w:sz="4" w:space="0" w:color="auto"/>
            </w:tcBorders>
            <w:vAlign w:val="center"/>
            <w:hideMark/>
          </w:tcPr>
          <w:p w14:paraId="11F22F90" w14:textId="77777777" w:rsidR="00633D37" w:rsidRDefault="00633D37">
            <w:pPr>
              <w:jc w:val="both"/>
              <w:rPr>
                <w:color w:val="000000"/>
              </w:rPr>
            </w:pPr>
            <w:r>
              <w:rPr>
                <w:color w:val="000000"/>
              </w:rPr>
              <w:t>Year 1: £5, Year 2: £10, Year 3: £20, Year 4: £25, Year 5: £15</w:t>
            </w:r>
          </w:p>
        </w:tc>
      </w:tr>
    </w:tbl>
    <w:p w14:paraId="39B90EC5" w14:textId="15369FEA" w:rsidR="00BD7A0E" w:rsidRPr="005814C2" w:rsidRDefault="00BD7A0E" w:rsidP="005814C2">
      <w:pPr>
        <w:spacing w:before="100" w:beforeAutospacing="1" w:after="100" w:afterAutospacing="1" w:line="360" w:lineRule="auto"/>
        <w:jc w:val="both"/>
        <w:outlineLvl w:val="3"/>
        <w:rPr>
          <w:b/>
          <w:bCs/>
        </w:rPr>
      </w:pPr>
      <w:r w:rsidRPr="005814C2">
        <w:rPr>
          <w:b/>
          <w:bCs/>
        </w:rPr>
        <w:t>Appendix F: Profitability Index (PI) Calculations</w:t>
      </w:r>
    </w:p>
    <w:tbl>
      <w:tblPr>
        <w:tblW w:w="8378" w:type="dxa"/>
        <w:tblLook w:val="04A0" w:firstRow="1" w:lastRow="0" w:firstColumn="1" w:lastColumn="0" w:noHBand="0" w:noVBand="1"/>
      </w:tblPr>
      <w:tblGrid>
        <w:gridCol w:w="2741"/>
        <w:gridCol w:w="2928"/>
        <w:gridCol w:w="2709"/>
      </w:tblGrid>
      <w:tr w:rsidR="00633D37" w14:paraId="04954DEA" w14:textId="77777777" w:rsidTr="00932200">
        <w:trPr>
          <w:trHeight w:val="843"/>
        </w:trPr>
        <w:tc>
          <w:tcPr>
            <w:tcW w:w="2741" w:type="dxa"/>
            <w:tcBorders>
              <w:top w:val="single" w:sz="4" w:space="0" w:color="auto"/>
              <w:left w:val="single" w:sz="4" w:space="0" w:color="auto"/>
              <w:bottom w:val="single" w:sz="4" w:space="0" w:color="auto"/>
              <w:right w:val="single" w:sz="4" w:space="0" w:color="auto"/>
            </w:tcBorders>
            <w:vAlign w:val="center"/>
            <w:hideMark/>
          </w:tcPr>
          <w:p w14:paraId="2625995A" w14:textId="77777777" w:rsidR="00633D37" w:rsidRDefault="00633D37">
            <w:pPr>
              <w:jc w:val="both"/>
              <w:rPr>
                <w:b/>
                <w:bCs/>
                <w:color w:val="000000"/>
              </w:rPr>
            </w:pPr>
            <w:r>
              <w:rPr>
                <w:b/>
                <w:bCs/>
                <w:color w:val="000000"/>
              </w:rPr>
              <w:t>Project</w:t>
            </w:r>
          </w:p>
        </w:tc>
        <w:tc>
          <w:tcPr>
            <w:tcW w:w="2928" w:type="dxa"/>
            <w:tcBorders>
              <w:top w:val="single" w:sz="4" w:space="0" w:color="auto"/>
              <w:left w:val="nil"/>
              <w:bottom w:val="single" w:sz="4" w:space="0" w:color="auto"/>
              <w:right w:val="single" w:sz="4" w:space="0" w:color="auto"/>
            </w:tcBorders>
            <w:vAlign w:val="center"/>
            <w:hideMark/>
          </w:tcPr>
          <w:p w14:paraId="0B78D07D" w14:textId="77777777" w:rsidR="00633D37" w:rsidRDefault="00633D37">
            <w:pPr>
              <w:jc w:val="both"/>
              <w:rPr>
                <w:b/>
                <w:bCs/>
                <w:color w:val="000000"/>
              </w:rPr>
            </w:pPr>
            <w:r>
              <w:rPr>
                <w:b/>
                <w:bCs/>
                <w:color w:val="000000"/>
              </w:rPr>
              <w:t>Initial Investment (£m)</w:t>
            </w:r>
          </w:p>
        </w:tc>
        <w:tc>
          <w:tcPr>
            <w:tcW w:w="2709" w:type="dxa"/>
            <w:tcBorders>
              <w:top w:val="single" w:sz="4" w:space="0" w:color="auto"/>
              <w:left w:val="nil"/>
              <w:bottom w:val="single" w:sz="4" w:space="0" w:color="auto"/>
              <w:right w:val="single" w:sz="4" w:space="0" w:color="auto"/>
            </w:tcBorders>
            <w:vAlign w:val="center"/>
            <w:hideMark/>
          </w:tcPr>
          <w:p w14:paraId="34E30721" w14:textId="77777777" w:rsidR="00633D37" w:rsidRDefault="00633D37">
            <w:pPr>
              <w:jc w:val="both"/>
              <w:rPr>
                <w:b/>
                <w:bCs/>
                <w:color w:val="000000"/>
              </w:rPr>
            </w:pPr>
            <w:r>
              <w:rPr>
                <w:b/>
                <w:bCs/>
                <w:color w:val="000000"/>
              </w:rPr>
              <w:t>PI</w:t>
            </w:r>
          </w:p>
        </w:tc>
      </w:tr>
      <w:tr w:rsidR="00633D37" w14:paraId="03EB60DF" w14:textId="77777777" w:rsidTr="00932200">
        <w:trPr>
          <w:trHeight w:val="281"/>
        </w:trPr>
        <w:tc>
          <w:tcPr>
            <w:tcW w:w="2741" w:type="dxa"/>
            <w:tcBorders>
              <w:top w:val="nil"/>
              <w:left w:val="single" w:sz="4" w:space="0" w:color="auto"/>
              <w:bottom w:val="single" w:sz="4" w:space="0" w:color="auto"/>
              <w:right w:val="single" w:sz="4" w:space="0" w:color="auto"/>
            </w:tcBorders>
            <w:vAlign w:val="center"/>
            <w:hideMark/>
          </w:tcPr>
          <w:p w14:paraId="6EDAC413" w14:textId="77777777" w:rsidR="00633D37" w:rsidRDefault="00633D37">
            <w:pPr>
              <w:jc w:val="both"/>
              <w:rPr>
                <w:b/>
                <w:bCs/>
                <w:color w:val="000000"/>
              </w:rPr>
            </w:pPr>
            <w:r>
              <w:rPr>
                <w:b/>
                <w:bCs/>
                <w:color w:val="000000"/>
              </w:rPr>
              <w:t>Project A</w:t>
            </w:r>
          </w:p>
        </w:tc>
        <w:tc>
          <w:tcPr>
            <w:tcW w:w="2928" w:type="dxa"/>
            <w:tcBorders>
              <w:top w:val="nil"/>
              <w:left w:val="nil"/>
              <w:bottom w:val="single" w:sz="4" w:space="0" w:color="auto"/>
              <w:right w:val="single" w:sz="4" w:space="0" w:color="auto"/>
            </w:tcBorders>
            <w:vAlign w:val="center"/>
            <w:hideMark/>
          </w:tcPr>
          <w:p w14:paraId="59A10456" w14:textId="77777777" w:rsidR="00633D37" w:rsidRDefault="00633D37">
            <w:pPr>
              <w:jc w:val="both"/>
              <w:rPr>
                <w:color w:val="000000"/>
              </w:rPr>
            </w:pPr>
            <w:r>
              <w:rPr>
                <w:color w:val="000000"/>
              </w:rPr>
              <w:t>£40</w:t>
            </w:r>
          </w:p>
        </w:tc>
        <w:tc>
          <w:tcPr>
            <w:tcW w:w="2709" w:type="dxa"/>
            <w:tcBorders>
              <w:top w:val="nil"/>
              <w:left w:val="nil"/>
              <w:bottom w:val="single" w:sz="4" w:space="0" w:color="auto"/>
              <w:right w:val="single" w:sz="4" w:space="0" w:color="auto"/>
            </w:tcBorders>
            <w:vAlign w:val="center"/>
            <w:hideMark/>
          </w:tcPr>
          <w:p w14:paraId="1130459D" w14:textId="77777777" w:rsidR="00633D37" w:rsidRDefault="00633D37">
            <w:pPr>
              <w:jc w:val="both"/>
              <w:rPr>
                <w:color w:val="000000"/>
              </w:rPr>
            </w:pPr>
            <w:r>
              <w:rPr>
                <w:color w:val="000000"/>
              </w:rPr>
              <w:t>1.034</w:t>
            </w:r>
          </w:p>
        </w:tc>
      </w:tr>
      <w:tr w:rsidR="00633D37" w14:paraId="59BE6DCF" w14:textId="77777777" w:rsidTr="00932200">
        <w:trPr>
          <w:trHeight w:val="281"/>
        </w:trPr>
        <w:tc>
          <w:tcPr>
            <w:tcW w:w="2741" w:type="dxa"/>
            <w:tcBorders>
              <w:top w:val="nil"/>
              <w:left w:val="single" w:sz="4" w:space="0" w:color="auto"/>
              <w:bottom w:val="single" w:sz="4" w:space="0" w:color="auto"/>
              <w:right w:val="single" w:sz="4" w:space="0" w:color="auto"/>
            </w:tcBorders>
            <w:vAlign w:val="center"/>
            <w:hideMark/>
          </w:tcPr>
          <w:p w14:paraId="77EFED67" w14:textId="77777777" w:rsidR="00633D37" w:rsidRDefault="00633D37">
            <w:pPr>
              <w:jc w:val="both"/>
              <w:rPr>
                <w:b/>
                <w:bCs/>
                <w:color w:val="000000"/>
              </w:rPr>
            </w:pPr>
            <w:r>
              <w:rPr>
                <w:b/>
                <w:bCs/>
                <w:color w:val="000000"/>
              </w:rPr>
              <w:t>Project B</w:t>
            </w:r>
          </w:p>
        </w:tc>
        <w:tc>
          <w:tcPr>
            <w:tcW w:w="2928" w:type="dxa"/>
            <w:tcBorders>
              <w:top w:val="nil"/>
              <w:left w:val="nil"/>
              <w:bottom w:val="single" w:sz="4" w:space="0" w:color="auto"/>
              <w:right w:val="single" w:sz="4" w:space="0" w:color="auto"/>
            </w:tcBorders>
            <w:vAlign w:val="center"/>
            <w:hideMark/>
          </w:tcPr>
          <w:p w14:paraId="4A737091" w14:textId="77777777" w:rsidR="00633D37" w:rsidRDefault="00633D37">
            <w:pPr>
              <w:jc w:val="both"/>
              <w:rPr>
                <w:color w:val="000000"/>
              </w:rPr>
            </w:pPr>
            <w:r>
              <w:rPr>
                <w:color w:val="000000"/>
              </w:rPr>
              <w:t>£30</w:t>
            </w:r>
          </w:p>
        </w:tc>
        <w:tc>
          <w:tcPr>
            <w:tcW w:w="2709" w:type="dxa"/>
            <w:tcBorders>
              <w:top w:val="nil"/>
              <w:left w:val="nil"/>
              <w:bottom w:val="single" w:sz="4" w:space="0" w:color="auto"/>
              <w:right w:val="single" w:sz="4" w:space="0" w:color="auto"/>
            </w:tcBorders>
            <w:vAlign w:val="center"/>
            <w:hideMark/>
          </w:tcPr>
          <w:p w14:paraId="49B256F2" w14:textId="77777777" w:rsidR="00633D37" w:rsidRDefault="00633D37">
            <w:pPr>
              <w:jc w:val="both"/>
              <w:rPr>
                <w:color w:val="000000"/>
              </w:rPr>
            </w:pPr>
            <w:r>
              <w:rPr>
                <w:color w:val="000000"/>
              </w:rPr>
              <w:t>0.76</w:t>
            </w:r>
          </w:p>
        </w:tc>
      </w:tr>
      <w:tr w:rsidR="00633D37" w14:paraId="29B29E32" w14:textId="77777777" w:rsidTr="00932200">
        <w:trPr>
          <w:trHeight w:val="281"/>
        </w:trPr>
        <w:tc>
          <w:tcPr>
            <w:tcW w:w="2741" w:type="dxa"/>
            <w:tcBorders>
              <w:top w:val="nil"/>
              <w:left w:val="single" w:sz="4" w:space="0" w:color="auto"/>
              <w:bottom w:val="single" w:sz="4" w:space="0" w:color="auto"/>
              <w:right w:val="single" w:sz="4" w:space="0" w:color="auto"/>
            </w:tcBorders>
            <w:vAlign w:val="center"/>
            <w:hideMark/>
          </w:tcPr>
          <w:p w14:paraId="79878D9D" w14:textId="77777777" w:rsidR="00633D37" w:rsidRDefault="00633D37">
            <w:pPr>
              <w:jc w:val="both"/>
              <w:rPr>
                <w:b/>
                <w:bCs/>
                <w:color w:val="000000"/>
              </w:rPr>
            </w:pPr>
            <w:r>
              <w:rPr>
                <w:b/>
                <w:bCs/>
                <w:color w:val="000000"/>
              </w:rPr>
              <w:t>Project C</w:t>
            </w:r>
          </w:p>
        </w:tc>
        <w:tc>
          <w:tcPr>
            <w:tcW w:w="2928" w:type="dxa"/>
            <w:tcBorders>
              <w:top w:val="nil"/>
              <w:left w:val="nil"/>
              <w:bottom w:val="single" w:sz="4" w:space="0" w:color="auto"/>
              <w:right w:val="single" w:sz="4" w:space="0" w:color="auto"/>
            </w:tcBorders>
            <w:vAlign w:val="center"/>
            <w:hideMark/>
          </w:tcPr>
          <w:p w14:paraId="6050C40F" w14:textId="77777777" w:rsidR="00633D37" w:rsidRDefault="00633D37">
            <w:pPr>
              <w:jc w:val="both"/>
              <w:rPr>
                <w:color w:val="000000"/>
              </w:rPr>
            </w:pPr>
            <w:r>
              <w:rPr>
                <w:color w:val="000000"/>
              </w:rPr>
              <w:t>£50</w:t>
            </w:r>
          </w:p>
        </w:tc>
        <w:tc>
          <w:tcPr>
            <w:tcW w:w="2709" w:type="dxa"/>
            <w:tcBorders>
              <w:top w:val="nil"/>
              <w:left w:val="nil"/>
              <w:bottom w:val="single" w:sz="4" w:space="0" w:color="auto"/>
              <w:right w:val="single" w:sz="4" w:space="0" w:color="auto"/>
            </w:tcBorders>
            <w:vAlign w:val="center"/>
            <w:hideMark/>
          </w:tcPr>
          <w:p w14:paraId="157E4F3D" w14:textId="77777777" w:rsidR="00633D37" w:rsidRDefault="00633D37">
            <w:pPr>
              <w:jc w:val="both"/>
              <w:rPr>
                <w:color w:val="000000"/>
              </w:rPr>
            </w:pPr>
            <w:r>
              <w:rPr>
                <w:color w:val="000000"/>
              </w:rPr>
              <w:t>1.084</w:t>
            </w:r>
          </w:p>
        </w:tc>
      </w:tr>
    </w:tbl>
    <w:p w14:paraId="2786CAD6" w14:textId="6670553E" w:rsidR="00633D37" w:rsidRDefault="00633D37" w:rsidP="005814C2">
      <w:pPr>
        <w:spacing w:before="100" w:beforeAutospacing="1" w:after="100" w:afterAutospacing="1" w:line="360" w:lineRule="auto"/>
        <w:jc w:val="both"/>
        <w:outlineLvl w:val="3"/>
        <w:rPr>
          <w:b/>
          <w:bCs/>
        </w:rPr>
      </w:pPr>
      <w:r>
        <w:rPr>
          <w:noProof/>
          <w14:ligatures w14:val="standardContextual"/>
        </w:rPr>
        <w:drawing>
          <wp:inline distT="0" distB="0" distL="0" distR="0" wp14:anchorId="7E83152B" wp14:editId="05D0172C">
            <wp:extent cx="4572000" cy="2743200"/>
            <wp:effectExtent l="0" t="0" r="12700" b="12700"/>
            <wp:docPr id="2002187133" name="Chart 1">
              <a:extLst xmlns:a="http://schemas.openxmlformats.org/drawingml/2006/main">
                <a:ext uri="{FF2B5EF4-FFF2-40B4-BE49-F238E27FC236}">
                  <a16:creationId xmlns:a16="http://schemas.microsoft.com/office/drawing/2014/main" id="{07222C16-9B31-00C6-54EC-E0BA167E2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0486876" w14:textId="5E9F7CE2" w:rsidR="00BD7A0E" w:rsidRPr="005814C2" w:rsidRDefault="00BD7A0E" w:rsidP="005814C2">
      <w:pPr>
        <w:spacing w:before="100" w:beforeAutospacing="1" w:after="100" w:afterAutospacing="1" w:line="360" w:lineRule="auto"/>
        <w:jc w:val="both"/>
        <w:outlineLvl w:val="3"/>
        <w:rPr>
          <w:b/>
          <w:bCs/>
        </w:rPr>
      </w:pPr>
      <w:r w:rsidRPr="005814C2">
        <w:rPr>
          <w:b/>
          <w:bCs/>
        </w:rPr>
        <w:lastRenderedPageBreak/>
        <w:t>Appendix G: Internal Rate of Return (IRR) Estimates</w:t>
      </w:r>
    </w:p>
    <w:tbl>
      <w:tblPr>
        <w:tblW w:w="5458" w:type="dxa"/>
        <w:tblLook w:val="04A0" w:firstRow="1" w:lastRow="0" w:firstColumn="1" w:lastColumn="0" w:noHBand="0" w:noVBand="1"/>
      </w:tblPr>
      <w:tblGrid>
        <w:gridCol w:w="2729"/>
        <w:gridCol w:w="2729"/>
      </w:tblGrid>
      <w:tr w:rsidR="00633D37" w14:paraId="7461DDD9" w14:textId="77777777" w:rsidTr="00932200">
        <w:trPr>
          <w:trHeight w:val="359"/>
        </w:trPr>
        <w:tc>
          <w:tcPr>
            <w:tcW w:w="2729" w:type="dxa"/>
            <w:tcBorders>
              <w:top w:val="single" w:sz="4" w:space="0" w:color="auto"/>
              <w:left w:val="single" w:sz="4" w:space="0" w:color="auto"/>
              <w:bottom w:val="single" w:sz="4" w:space="0" w:color="auto"/>
              <w:right w:val="single" w:sz="4" w:space="0" w:color="auto"/>
            </w:tcBorders>
            <w:vAlign w:val="center"/>
            <w:hideMark/>
          </w:tcPr>
          <w:p w14:paraId="7F7FBB77" w14:textId="77777777" w:rsidR="00633D37" w:rsidRDefault="00633D37">
            <w:pPr>
              <w:jc w:val="both"/>
              <w:rPr>
                <w:b/>
                <w:bCs/>
                <w:color w:val="000000"/>
              </w:rPr>
            </w:pPr>
            <w:r>
              <w:rPr>
                <w:b/>
                <w:bCs/>
                <w:color w:val="000000"/>
              </w:rPr>
              <w:t>Project</w:t>
            </w:r>
          </w:p>
        </w:tc>
        <w:tc>
          <w:tcPr>
            <w:tcW w:w="2729" w:type="dxa"/>
            <w:tcBorders>
              <w:top w:val="single" w:sz="4" w:space="0" w:color="auto"/>
              <w:left w:val="nil"/>
              <w:bottom w:val="single" w:sz="4" w:space="0" w:color="auto"/>
              <w:right w:val="single" w:sz="4" w:space="0" w:color="auto"/>
            </w:tcBorders>
            <w:vAlign w:val="center"/>
            <w:hideMark/>
          </w:tcPr>
          <w:p w14:paraId="6247B7C5" w14:textId="77777777" w:rsidR="00633D37" w:rsidRDefault="00633D37">
            <w:pPr>
              <w:jc w:val="both"/>
              <w:rPr>
                <w:b/>
                <w:bCs/>
                <w:color w:val="000000"/>
              </w:rPr>
            </w:pPr>
            <w:r>
              <w:rPr>
                <w:b/>
                <w:bCs/>
                <w:color w:val="000000"/>
              </w:rPr>
              <w:t>IRR (%)</w:t>
            </w:r>
          </w:p>
        </w:tc>
      </w:tr>
      <w:tr w:rsidR="00633D37" w14:paraId="0A2628F6" w14:textId="77777777" w:rsidTr="00932200">
        <w:trPr>
          <w:trHeight w:val="359"/>
        </w:trPr>
        <w:tc>
          <w:tcPr>
            <w:tcW w:w="2729" w:type="dxa"/>
            <w:tcBorders>
              <w:top w:val="nil"/>
              <w:left w:val="single" w:sz="4" w:space="0" w:color="auto"/>
              <w:bottom w:val="single" w:sz="4" w:space="0" w:color="auto"/>
              <w:right w:val="single" w:sz="4" w:space="0" w:color="auto"/>
            </w:tcBorders>
            <w:vAlign w:val="center"/>
            <w:hideMark/>
          </w:tcPr>
          <w:p w14:paraId="6988D380" w14:textId="77777777" w:rsidR="00633D37" w:rsidRDefault="00633D37">
            <w:pPr>
              <w:jc w:val="both"/>
              <w:rPr>
                <w:b/>
                <w:bCs/>
                <w:color w:val="000000"/>
              </w:rPr>
            </w:pPr>
            <w:r>
              <w:rPr>
                <w:b/>
                <w:bCs/>
                <w:color w:val="000000"/>
              </w:rPr>
              <w:t>Project A</w:t>
            </w:r>
          </w:p>
        </w:tc>
        <w:tc>
          <w:tcPr>
            <w:tcW w:w="2729" w:type="dxa"/>
            <w:tcBorders>
              <w:top w:val="nil"/>
              <w:left w:val="nil"/>
              <w:bottom w:val="single" w:sz="4" w:space="0" w:color="auto"/>
              <w:right w:val="single" w:sz="4" w:space="0" w:color="auto"/>
            </w:tcBorders>
            <w:vAlign w:val="center"/>
            <w:hideMark/>
          </w:tcPr>
          <w:p w14:paraId="4126D780" w14:textId="77777777" w:rsidR="00633D37" w:rsidRDefault="00633D37">
            <w:pPr>
              <w:jc w:val="both"/>
              <w:rPr>
                <w:color w:val="000000"/>
              </w:rPr>
            </w:pPr>
            <w:r>
              <w:rPr>
                <w:color w:val="000000"/>
              </w:rPr>
              <w:t>10.50%</w:t>
            </w:r>
          </w:p>
        </w:tc>
      </w:tr>
      <w:tr w:rsidR="00633D37" w14:paraId="00986383" w14:textId="77777777" w:rsidTr="00932200">
        <w:trPr>
          <w:trHeight w:val="359"/>
        </w:trPr>
        <w:tc>
          <w:tcPr>
            <w:tcW w:w="2729" w:type="dxa"/>
            <w:tcBorders>
              <w:top w:val="nil"/>
              <w:left w:val="single" w:sz="4" w:space="0" w:color="auto"/>
              <w:bottom w:val="single" w:sz="4" w:space="0" w:color="auto"/>
              <w:right w:val="single" w:sz="4" w:space="0" w:color="auto"/>
            </w:tcBorders>
            <w:vAlign w:val="center"/>
            <w:hideMark/>
          </w:tcPr>
          <w:p w14:paraId="74FE2893" w14:textId="77777777" w:rsidR="00633D37" w:rsidRDefault="00633D37">
            <w:pPr>
              <w:jc w:val="both"/>
              <w:rPr>
                <w:b/>
                <w:bCs/>
                <w:color w:val="000000"/>
              </w:rPr>
            </w:pPr>
            <w:r>
              <w:rPr>
                <w:b/>
                <w:bCs/>
                <w:color w:val="000000"/>
              </w:rPr>
              <w:t>Project B</w:t>
            </w:r>
          </w:p>
        </w:tc>
        <w:tc>
          <w:tcPr>
            <w:tcW w:w="2729" w:type="dxa"/>
            <w:tcBorders>
              <w:top w:val="nil"/>
              <w:left w:val="nil"/>
              <w:bottom w:val="single" w:sz="4" w:space="0" w:color="auto"/>
              <w:right w:val="single" w:sz="4" w:space="0" w:color="auto"/>
            </w:tcBorders>
            <w:vAlign w:val="center"/>
            <w:hideMark/>
          </w:tcPr>
          <w:p w14:paraId="55678CFB" w14:textId="77777777" w:rsidR="00633D37" w:rsidRDefault="00633D37">
            <w:pPr>
              <w:jc w:val="both"/>
              <w:rPr>
                <w:color w:val="000000"/>
              </w:rPr>
            </w:pPr>
            <w:r>
              <w:rPr>
                <w:color w:val="000000"/>
              </w:rPr>
              <w:t>6.70%</w:t>
            </w:r>
          </w:p>
        </w:tc>
      </w:tr>
      <w:tr w:rsidR="00633D37" w14:paraId="658A82CA" w14:textId="77777777" w:rsidTr="00932200">
        <w:trPr>
          <w:trHeight w:val="359"/>
        </w:trPr>
        <w:tc>
          <w:tcPr>
            <w:tcW w:w="2729" w:type="dxa"/>
            <w:tcBorders>
              <w:top w:val="nil"/>
              <w:left w:val="single" w:sz="4" w:space="0" w:color="auto"/>
              <w:bottom w:val="single" w:sz="4" w:space="0" w:color="auto"/>
              <w:right w:val="single" w:sz="4" w:space="0" w:color="auto"/>
            </w:tcBorders>
            <w:vAlign w:val="center"/>
            <w:hideMark/>
          </w:tcPr>
          <w:p w14:paraId="712E4266" w14:textId="77777777" w:rsidR="00633D37" w:rsidRDefault="00633D37">
            <w:pPr>
              <w:jc w:val="both"/>
              <w:rPr>
                <w:b/>
                <w:bCs/>
                <w:color w:val="000000"/>
              </w:rPr>
            </w:pPr>
            <w:r>
              <w:rPr>
                <w:b/>
                <w:bCs/>
                <w:color w:val="000000"/>
              </w:rPr>
              <w:t>Project C</w:t>
            </w:r>
          </w:p>
        </w:tc>
        <w:tc>
          <w:tcPr>
            <w:tcW w:w="2729" w:type="dxa"/>
            <w:tcBorders>
              <w:top w:val="nil"/>
              <w:left w:val="nil"/>
              <w:bottom w:val="single" w:sz="4" w:space="0" w:color="auto"/>
              <w:right w:val="single" w:sz="4" w:space="0" w:color="auto"/>
            </w:tcBorders>
            <w:vAlign w:val="center"/>
            <w:hideMark/>
          </w:tcPr>
          <w:p w14:paraId="16B62A89" w14:textId="77777777" w:rsidR="00633D37" w:rsidRDefault="00633D37">
            <w:pPr>
              <w:jc w:val="both"/>
              <w:rPr>
                <w:color w:val="000000"/>
              </w:rPr>
            </w:pPr>
            <w:r>
              <w:rPr>
                <w:color w:val="000000"/>
              </w:rPr>
              <w:t>12%</w:t>
            </w:r>
          </w:p>
        </w:tc>
      </w:tr>
    </w:tbl>
    <w:p w14:paraId="2F7EC039" w14:textId="77777777" w:rsidR="00BD7A0E" w:rsidRPr="005814C2" w:rsidRDefault="00BD7A0E" w:rsidP="005814C2">
      <w:pPr>
        <w:pStyle w:val="NormalWeb"/>
        <w:spacing w:line="360" w:lineRule="auto"/>
        <w:jc w:val="both"/>
      </w:pPr>
    </w:p>
    <w:p w14:paraId="39D37807" w14:textId="7863F49F" w:rsidR="0058121E" w:rsidRPr="005814C2" w:rsidRDefault="00633D37" w:rsidP="005814C2">
      <w:pPr>
        <w:pStyle w:val="NormalWeb"/>
        <w:spacing w:line="360" w:lineRule="auto"/>
        <w:jc w:val="both"/>
      </w:pPr>
      <w:r>
        <w:rPr>
          <w:noProof/>
          <w14:ligatures w14:val="standardContextual"/>
        </w:rPr>
        <w:drawing>
          <wp:inline distT="0" distB="0" distL="0" distR="0" wp14:anchorId="2DAC641C" wp14:editId="498952AC">
            <wp:extent cx="4572000" cy="2743200"/>
            <wp:effectExtent l="0" t="0" r="12700" b="12700"/>
            <wp:docPr id="1336478510" name="Chart 1">
              <a:extLst xmlns:a="http://schemas.openxmlformats.org/drawingml/2006/main">
                <a:ext uri="{FF2B5EF4-FFF2-40B4-BE49-F238E27FC236}">
                  <a16:creationId xmlns:a16="http://schemas.microsoft.com/office/drawing/2014/main" id="{6FB08DA2-49C1-EF97-E779-E497B31005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sectPr w:rsidR="0058121E" w:rsidRPr="005814C2">
      <w:headerReference w:type="even" r:id="rId21"/>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EF4F9" w14:textId="77777777" w:rsidR="00F063EC" w:rsidRDefault="00F063EC" w:rsidP="0058121E">
      <w:r>
        <w:separator/>
      </w:r>
    </w:p>
  </w:endnote>
  <w:endnote w:type="continuationSeparator" w:id="0">
    <w:p w14:paraId="2FD24853" w14:textId="77777777" w:rsidR="00F063EC" w:rsidRDefault="00F063EC" w:rsidP="005812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69D64" w14:textId="77777777" w:rsidR="00F063EC" w:rsidRDefault="00F063EC" w:rsidP="0058121E">
      <w:r>
        <w:separator/>
      </w:r>
    </w:p>
  </w:footnote>
  <w:footnote w:type="continuationSeparator" w:id="0">
    <w:p w14:paraId="51861468" w14:textId="77777777" w:rsidR="00F063EC" w:rsidRDefault="00F063EC" w:rsidP="005812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5371103"/>
      <w:docPartObj>
        <w:docPartGallery w:val="Page Numbers (Top of Page)"/>
        <w:docPartUnique/>
      </w:docPartObj>
    </w:sdtPr>
    <w:sdtContent>
      <w:p w14:paraId="090A37C7" w14:textId="74994724" w:rsidR="0058121E" w:rsidRDefault="0058121E" w:rsidP="00F67D6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E1D15E1" w14:textId="77777777" w:rsidR="0058121E" w:rsidRDefault="0058121E" w:rsidP="0058121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693172"/>
      <w:docPartObj>
        <w:docPartGallery w:val="Page Numbers (Top of Page)"/>
        <w:docPartUnique/>
      </w:docPartObj>
    </w:sdtPr>
    <w:sdtContent>
      <w:p w14:paraId="0E8F3826" w14:textId="764FEE64" w:rsidR="0058121E" w:rsidRDefault="0058121E" w:rsidP="00F67D6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13A9BBB7" w14:textId="77777777" w:rsidR="0058121E" w:rsidRDefault="0058121E" w:rsidP="0058121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32F41"/>
    <w:multiLevelType w:val="multilevel"/>
    <w:tmpl w:val="1AEC2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D7C9E"/>
    <w:multiLevelType w:val="multilevel"/>
    <w:tmpl w:val="064E4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5078D"/>
    <w:multiLevelType w:val="multilevel"/>
    <w:tmpl w:val="D6BC8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D5245"/>
    <w:multiLevelType w:val="multilevel"/>
    <w:tmpl w:val="DE88AE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C02340"/>
    <w:multiLevelType w:val="multilevel"/>
    <w:tmpl w:val="2B0486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292DF2"/>
    <w:multiLevelType w:val="multilevel"/>
    <w:tmpl w:val="97C04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F63E4F"/>
    <w:multiLevelType w:val="multilevel"/>
    <w:tmpl w:val="4C8CF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823AAF"/>
    <w:multiLevelType w:val="multilevel"/>
    <w:tmpl w:val="0A2A4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2404F7"/>
    <w:multiLevelType w:val="hybridMultilevel"/>
    <w:tmpl w:val="2EA4B4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2B07543"/>
    <w:multiLevelType w:val="multilevel"/>
    <w:tmpl w:val="9BE29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297029"/>
    <w:multiLevelType w:val="multilevel"/>
    <w:tmpl w:val="69AC6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5D13E1"/>
    <w:multiLevelType w:val="multilevel"/>
    <w:tmpl w:val="AE90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6010A4"/>
    <w:multiLevelType w:val="multilevel"/>
    <w:tmpl w:val="12B2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B41DA4"/>
    <w:multiLevelType w:val="multilevel"/>
    <w:tmpl w:val="CB44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F94FAB"/>
    <w:multiLevelType w:val="hybridMultilevel"/>
    <w:tmpl w:val="143A4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606C21"/>
    <w:multiLevelType w:val="multilevel"/>
    <w:tmpl w:val="0472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CD1EE0"/>
    <w:multiLevelType w:val="multilevel"/>
    <w:tmpl w:val="76CAB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BC0A68"/>
    <w:multiLevelType w:val="multilevel"/>
    <w:tmpl w:val="C8F28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883773"/>
    <w:multiLevelType w:val="hybridMultilevel"/>
    <w:tmpl w:val="2F2AAE96"/>
    <w:lvl w:ilvl="0" w:tplc="24E2748E">
      <w:start w:val="5"/>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AB75E9"/>
    <w:multiLevelType w:val="hybridMultilevel"/>
    <w:tmpl w:val="DE7A9EA2"/>
    <w:lvl w:ilvl="0" w:tplc="24E2748E">
      <w:start w:val="5"/>
      <w:numFmt w:val="bullet"/>
      <w:lvlText w:val="•"/>
      <w:lvlJc w:val="left"/>
      <w:pPr>
        <w:ind w:left="1080" w:hanging="72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D3454D2"/>
    <w:multiLevelType w:val="multilevel"/>
    <w:tmpl w:val="706E9E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E13F51"/>
    <w:multiLevelType w:val="multilevel"/>
    <w:tmpl w:val="994EB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EA7CB4"/>
    <w:multiLevelType w:val="multilevel"/>
    <w:tmpl w:val="C1F215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CF5054"/>
    <w:multiLevelType w:val="multilevel"/>
    <w:tmpl w:val="C5446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4F4137"/>
    <w:multiLevelType w:val="multilevel"/>
    <w:tmpl w:val="2F20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A93135"/>
    <w:multiLevelType w:val="multilevel"/>
    <w:tmpl w:val="030ACE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3C636FB"/>
    <w:multiLevelType w:val="multilevel"/>
    <w:tmpl w:val="CF408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773047"/>
    <w:multiLevelType w:val="multilevel"/>
    <w:tmpl w:val="977AA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B069AC"/>
    <w:multiLevelType w:val="hybridMultilevel"/>
    <w:tmpl w:val="A23695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FD6186D"/>
    <w:multiLevelType w:val="multilevel"/>
    <w:tmpl w:val="8F44A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7947827">
    <w:abstractNumId w:val="9"/>
  </w:num>
  <w:num w:numId="2" w16cid:durableId="2014797774">
    <w:abstractNumId w:val="1"/>
  </w:num>
  <w:num w:numId="3" w16cid:durableId="870728251">
    <w:abstractNumId w:val="17"/>
  </w:num>
  <w:num w:numId="4" w16cid:durableId="248126033">
    <w:abstractNumId w:val="21"/>
  </w:num>
  <w:num w:numId="5" w16cid:durableId="678898369">
    <w:abstractNumId w:val="11"/>
  </w:num>
  <w:num w:numId="6" w16cid:durableId="683091154">
    <w:abstractNumId w:val="20"/>
  </w:num>
  <w:num w:numId="7" w16cid:durableId="668800351">
    <w:abstractNumId w:val="8"/>
  </w:num>
  <w:num w:numId="8" w16cid:durableId="1672949919">
    <w:abstractNumId w:val="5"/>
  </w:num>
  <w:num w:numId="9" w16cid:durableId="1476796703">
    <w:abstractNumId w:val="25"/>
  </w:num>
  <w:num w:numId="10" w16cid:durableId="131867611">
    <w:abstractNumId w:val="22"/>
  </w:num>
  <w:num w:numId="11" w16cid:durableId="1607881453">
    <w:abstractNumId w:val="3"/>
  </w:num>
  <w:num w:numId="12" w16cid:durableId="2050107346">
    <w:abstractNumId w:val="4"/>
  </w:num>
  <w:num w:numId="13" w16cid:durableId="400835319">
    <w:abstractNumId w:val="16"/>
  </w:num>
  <w:num w:numId="14" w16cid:durableId="1649898694">
    <w:abstractNumId w:val="7"/>
  </w:num>
  <w:num w:numId="15" w16cid:durableId="212011061">
    <w:abstractNumId w:val="6"/>
  </w:num>
  <w:num w:numId="16" w16cid:durableId="1335766877">
    <w:abstractNumId w:val="27"/>
  </w:num>
  <w:num w:numId="17" w16cid:durableId="201014676">
    <w:abstractNumId w:val="12"/>
  </w:num>
  <w:num w:numId="18" w16cid:durableId="1786805084">
    <w:abstractNumId w:val="23"/>
  </w:num>
  <w:num w:numId="19" w16cid:durableId="166017860">
    <w:abstractNumId w:val="15"/>
  </w:num>
  <w:num w:numId="20" w16cid:durableId="514923490">
    <w:abstractNumId w:val="24"/>
  </w:num>
  <w:num w:numId="21" w16cid:durableId="1598488819">
    <w:abstractNumId w:val="26"/>
  </w:num>
  <w:num w:numId="22" w16cid:durableId="1275674523">
    <w:abstractNumId w:val="2"/>
  </w:num>
  <w:num w:numId="23" w16cid:durableId="1449543817">
    <w:abstractNumId w:val="10"/>
  </w:num>
  <w:num w:numId="24" w16cid:durableId="1346595850">
    <w:abstractNumId w:val="29"/>
  </w:num>
  <w:num w:numId="25" w16cid:durableId="149104789">
    <w:abstractNumId w:val="0"/>
  </w:num>
  <w:num w:numId="26" w16cid:durableId="885990463">
    <w:abstractNumId w:val="13"/>
  </w:num>
  <w:num w:numId="27" w16cid:durableId="779110856">
    <w:abstractNumId w:val="14"/>
  </w:num>
  <w:num w:numId="28" w16cid:durableId="1180850849">
    <w:abstractNumId w:val="19"/>
  </w:num>
  <w:num w:numId="29" w16cid:durableId="269435293">
    <w:abstractNumId w:val="18"/>
  </w:num>
  <w:num w:numId="30" w16cid:durableId="164334766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B06"/>
    <w:rsid w:val="00047C18"/>
    <w:rsid w:val="00067392"/>
    <w:rsid w:val="00075E42"/>
    <w:rsid w:val="000D1596"/>
    <w:rsid w:val="00100F82"/>
    <w:rsid w:val="00123EC9"/>
    <w:rsid w:val="0014533D"/>
    <w:rsid w:val="00153790"/>
    <w:rsid w:val="00174B0F"/>
    <w:rsid w:val="001A4C94"/>
    <w:rsid w:val="0020283A"/>
    <w:rsid w:val="002517BA"/>
    <w:rsid w:val="002760E9"/>
    <w:rsid w:val="0028536B"/>
    <w:rsid w:val="00291312"/>
    <w:rsid w:val="002B6BA7"/>
    <w:rsid w:val="002F12E8"/>
    <w:rsid w:val="0032242B"/>
    <w:rsid w:val="003317AD"/>
    <w:rsid w:val="003805F7"/>
    <w:rsid w:val="00381EED"/>
    <w:rsid w:val="003F5D90"/>
    <w:rsid w:val="00427DFC"/>
    <w:rsid w:val="0046733A"/>
    <w:rsid w:val="0048223C"/>
    <w:rsid w:val="00497575"/>
    <w:rsid w:val="004A1C22"/>
    <w:rsid w:val="004A4BE2"/>
    <w:rsid w:val="004C51EE"/>
    <w:rsid w:val="004F1DC2"/>
    <w:rsid w:val="00545ABA"/>
    <w:rsid w:val="0057427B"/>
    <w:rsid w:val="0058121E"/>
    <w:rsid w:val="005814C2"/>
    <w:rsid w:val="005E19D6"/>
    <w:rsid w:val="00633D37"/>
    <w:rsid w:val="00650BA2"/>
    <w:rsid w:val="00670C55"/>
    <w:rsid w:val="0069492D"/>
    <w:rsid w:val="006D252E"/>
    <w:rsid w:val="007531D4"/>
    <w:rsid w:val="00755497"/>
    <w:rsid w:val="00793182"/>
    <w:rsid w:val="007979A0"/>
    <w:rsid w:val="007A6B22"/>
    <w:rsid w:val="007C6C16"/>
    <w:rsid w:val="007F0B06"/>
    <w:rsid w:val="007F3F82"/>
    <w:rsid w:val="0084553D"/>
    <w:rsid w:val="00865F1C"/>
    <w:rsid w:val="00932200"/>
    <w:rsid w:val="009A4284"/>
    <w:rsid w:val="00AB5C6F"/>
    <w:rsid w:val="00B43D78"/>
    <w:rsid w:val="00B479FA"/>
    <w:rsid w:val="00B74760"/>
    <w:rsid w:val="00B95BCE"/>
    <w:rsid w:val="00BA6809"/>
    <w:rsid w:val="00BD7A0E"/>
    <w:rsid w:val="00C31E11"/>
    <w:rsid w:val="00CD41DF"/>
    <w:rsid w:val="00CE4009"/>
    <w:rsid w:val="00D164BB"/>
    <w:rsid w:val="00D22855"/>
    <w:rsid w:val="00D71874"/>
    <w:rsid w:val="00D90CD5"/>
    <w:rsid w:val="00DA068A"/>
    <w:rsid w:val="00DC7598"/>
    <w:rsid w:val="00DE21BC"/>
    <w:rsid w:val="00F063EC"/>
    <w:rsid w:val="00F429AE"/>
    <w:rsid w:val="00F70DC1"/>
    <w:rsid w:val="00F73B51"/>
    <w:rsid w:val="00FB5E0D"/>
    <w:rsid w:val="00FC24E4"/>
    <w:rsid w:val="00FD18AB"/>
    <w:rsid w:val="00FE3D30"/>
    <w:rsid w:val="00FE44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87156"/>
  <w15:chartTrackingRefBased/>
  <w15:docId w15:val="{852132C2-BE4F-9449-911F-0A4D6427F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D37"/>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7F0B0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7F0B0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7F0B0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7F0B06"/>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unhideWhenUsed/>
    <w:qFormat/>
    <w:rsid w:val="007F0B06"/>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7F0B06"/>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7F0B06"/>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7F0B06"/>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7F0B06"/>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B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0B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0B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F0B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F0B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B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B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B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B06"/>
    <w:rPr>
      <w:rFonts w:eastAsiaTheme="majorEastAsia" w:cstheme="majorBidi"/>
      <w:color w:val="272727" w:themeColor="text1" w:themeTint="D8"/>
    </w:rPr>
  </w:style>
  <w:style w:type="paragraph" w:styleId="Title">
    <w:name w:val="Title"/>
    <w:basedOn w:val="Normal"/>
    <w:next w:val="Normal"/>
    <w:link w:val="TitleChar"/>
    <w:uiPriority w:val="10"/>
    <w:qFormat/>
    <w:rsid w:val="007F0B06"/>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F0B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B06"/>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F0B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B06"/>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7F0B06"/>
    <w:rPr>
      <w:i/>
      <w:iCs/>
      <w:color w:val="404040" w:themeColor="text1" w:themeTint="BF"/>
    </w:rPr>
  </w:style>
  <w:style w:type="paragraph" w:styleId="ListParagraph">
    <w:name w:val="List Paragraph"/>
    <w:basedOn w:val="Normal"/>
    <w:uiPriority w:val="34"/>
    <w:qFormat/>
    <w:rsid w:val="007F0B06"/>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7F0B06"/>
    <w:rPr>
      <w:i/>
      <w:iCs/>
      <w:color w:val="0F4761" w:themeColor="accent1" w:themeShade="BF"/>
    </w:rPr>
  </w:style>
  <w:style w:type="paragraph" w:styleId="IntenseQuote">
    <w:name w:val="Intense Quote"/>
    <w:basedOn w:val="Normal"/>
    <w:next w:val="Normal"/>
    <w:link w:val="IntenseQuoteChar"/>
    <w:uiPriority w:val="30"/>
    <w:qFormat/>
    <w:rsid w:val="007F0B0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7F0B06"/>
    <w:rPr>
      <w:i/>
      <w:iCs/>
      <w:color w:val="0F4761" w:themeColor="accent1" w:themeShade="BF"/>
    </w:rPr>
  </w:style>
  <w:style w:type="character" w:styleId="IntenseReference">
    <w:name w:val="Intense Reference"/>
    <w:basedOn w:val="DefaultParagraphFont"/>
    <w:uiPriority w:val="32"/>
    <w:qFormat/>
    <w:rsid w:val="007F0B06"/>
    <w:rPr>
      <w:b/>
      <w:bCs/>
      <w:smallCaps/>
      <w:color w:val="0F4761" w:themeColor="accent1" w:themeShade="BF"/>
      <w:spacing w:val="5"/>
    </w:rPr>
  </w:style>
  <w:style w:type="character" w:styleId="Strong">
    <w:name w:val="Strong"/>
    <w:basedOn w:val="DefaultParagraphFont"/>
    <w:uiPriority w:val="22"/>
    <w:qFormat/>
    <w:rsid w:val="007F0B06"/>
    <w:rPr>
      <w:b/>
      <w:bCs/>
    </w:rPr>
  </w:style>
  <w:style w:type="paragraph" w:styleId="NormalWeb">
    <w:name w:val="Normal (Web)"/>
    <w:basedOn w:val="Normal"/>
    <w:uiPriority w:val="99"/>
    <w:unhideWhenUsed/>
    <w:rsid w:val="007F0B06"/>
    <w:pPr>
      <w:spacing w:before="100" w:beforeAutospacing="1" w:after="100" w:afterAutospacing="1"/>
    </w:pPr>
  </w:style>
  <w:style w:type="paragraph" w:styleId="Header">
    <w:name w:val="header"/>
    <w:basedOn w:val="Normal"/>
    <w:link w:val="HeaderChar"/>
    <w:unhideWhenUsed/>
    <w:rsid w:val="0058121E"/>
    <w:pPr>
      <w:tabs>
        <w:tab w:val="center" w:pos="4680"/>
        <w:tab w:val="right" w:pos="9360"/>
      </w:tabs>
    </w:pPr>
    <w:rPr>
      <w:rFonts w:asciiTheme="minorHAnsi" w:eastAsiaTheme="minorHAnsi" w:hAnsiTheme="minorHAnsi" w:cstheme="minorBidi"/>
      <w:kern w:val="2"/>
      <w14:ligatures w14:val="standardContextual"/>
    </w:rPr>
  </w:style>
  <w:style w:type="character" w:customStyle="1" w:styleId="HeaderChar">
    <w:name w:val="Header Char"/>
    <w:basedOn w:val="DefaultParagraphFont"/>
    <w:link w:val="Header"/>
    <w:rsid w:val="0058121E"/>
  </w:style>
  <w:style w:type="paragraph" w:styleId="Footer">
    <w:name w:val="footer"/>
    <w:basedOn w:val="Normal"/>
    <w:link w:val="FooterChar"/>
    <w:uiPriority w:val="99"/>
    <w:unhideWhenUsed/>
    <w:rsid w:val="0058121E"/>
    <w:pPr>
      <w:tabs>
        <w:tab w:val="center" w:pos="4680"/>
        <w:tab w:val="right" w:pos="9360"/>
      </w:tabs>
    </w:pPr>
    <w:rPr>
      <w:rFonts w:asciiTheme="minorHAnsi" w:eastAsiaTheme="minorHAnsi" w:hAnsiTheme="minorHAnsi" w:cstheme="minorBidi"/>
      <w:kern w:val="2"/>
      <w14:ligatures w14:val="standardContextual"/>
    </w:rPr>
  </w:style>
  <w:style w:type="character" w:customStyle="1" w:styleId="FooterChar">
    <w:name w:val="Footer Char"/>
    <w:basedOn w:val="DefaultParagraphFont"/>
    <w:link w:val="Footer"/>
    <w:uiPriority w:val="99"/>
    <w:rsid w:val="0058121E"/>
  </w:style>
  <w:style w:type="character" w:styleId="PageNumber">
    <w:name w:val="page number"/>
    <w:basedOn w:val="DefaultParagraphFont"/>
    <w:uiPriority w:val="99"/>
    <w:semiHidden/>
    <w:unhideWhenUsed/>
    <w:rsid w:val="0058121E"/>
  </w:style>
  <w:style w:type="character" w:styleId="Emphasis">
    <w:name w:val="Emphasis"/>
    <w:basedOn w:val="DefaultParagraphFont"/>
    <w:uiPriority w:val="20"/>
    <w:qFormat/>
    <w:rsid w:val="00BD7A0E"/>
    <w:rPr>
      <w:i/>
      <w:iCs/>
    </w:rPr>
  </w:style>
  <w:style w:type="character" w:customStyle="1" w:styleId="ms-1">
    <w:name w:val="ms-1"/>
    <w:basedOn w:val="DefaultParagraphFont"/>
    <w:rsid w:val="00BD7A0E"/>
  </w:style>
  <w:style w:type="character" w:styleId="Hyperlink">
    <w:name w:val="Hyperlink"/>
    <w:basedOn w:val="DefaultParagraphFont"/>
    <w:uiPriority w:val="99"/>
    <w:unhideWhenUsed/>
    <w:rsid w:val="00BD7A0E"/>
    <w:rPr>
      <w:color w:val="0000FF"/>
      <w:u w:val="single"/>
    </w:rPr>
  </w:style>
  <w:style w:type="character" w:customStyle="1" w:styleId="max-w-15ch">
    <w:name w:val="max-w-[15ch]"/>
    <w:basedOn w:val="DefaultParagraphFont"/>
    <w:rsid w:val="00BD7A0E"/>
  </w:style>
  <w:style w:type="character" w:styleId="FollowedHyperlink">
    <w:name w:val="FollowedHyperlink"/>
    <w:basedOn w:val="DefaultParagraphFont"/>
    <w:uiPriority w:val="99"/>
    <w:semiHidden/>
    <w:unhideWhenUsed/>
    <w:rsid w:val="005814C2"/>
    <w:rPr>
      <w:color w:val="96607D" w:themeColor="followedHyperlink"/>
      <w:u w:val="single"/>
    </w:rPr>
  </w:style>
  <w:style w:type="paragraph" w:styleId="TOCHeading">
    <w:name w:val="TOC Heading"/>
    <w:basedOn w:val="Heading1"/>
    <w:next w:val="Normal"/>
    <w:uiPriority w:val="39"/>
    <w:unhideWhenUsed/>
    <w:qFormat/>
    <w:rsid w:val="005814C2"/>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5814C2"/>
    <w:pPr>
      <w:spacing w:before="120"/>
    </w:pPr>
    <w:rPr>
      <w:rFonts w:asciiTheme="minorHAnsi" w:hAnsiTheme="minorHAnsi"/>
      <w:b/>
      <w:bCs/>
      <w:i/>
      <w:iCs/>
      <w:szCs w:val="28"/>
    </w:rPr>
  </w:style>
  <w:style w:type="paragraph" w:styleId="TOC3">
    <w:name w:val="toc 3"/>
    <w:basedOn w:val="Normal"/>
    <w:next w:val="Normal"/>
    <w:autoRedefine/>
    <w:uiPriority w:val="39"/>
    <w:unhideWhenUsed/>
    <w:rsid w:val="005814C2"/>
    <w:pPr>
      <w:ind w:left="480"/>
    </w:pPr>
    <w:rPr>
      <w:rFonts w:asciiTheme="minorHAnsi" w:hAnsiTheme="minorHAnsi"/>
      <w:sz w:val="20"/>
    </w:rPr>
  </w:style>
  <w:style w:type="paragraph" w:styleId="TOC2">
    <w:name w:val="toc 2"/>
    <w:basedOn w:val="Normal"/>
    <w:next w:val="Normal"/>
    <w:autoRedefine/>
    <w:uiPriority w:val="39"/>
    <w:unhideWhenUsed/>
    <w:rsid w:val="005814C2"/>
    <w:pPr>
      <w:spacing w:before="120"/>
      <w:ind w:left="240"/>
    </w:pPr>
    <w:rPr>
      <w:rFonts w:asciiTheme="minorHAnsi" w:hAnsiTheme="minorHAnsi"/>
      <w:b/>
      <w:bCs/>
      <w:sz w:val="22"/>
      <w:szCs w:val="26"/>
    </w:rPr>
  </w:style>
  <w:style w:type="paragraph" w:styleId="TOC4">
    <w:name w:val="toc 4"/>
    <w:basedOn w:val="Normal"/>
    <w:next w:val="Normal"/>
    <w:autoRedefine/>
    <w:uiPriority w:val="39"/>
    <w:semiHidden/>
    <w:unhideWhenUsed/>
    <w:rsid w:val="005814C2"/>
    <w:pPr>
      <w:ind w:left="720"/>
    </w:pPr>
    <w:rPr>
      <w:rFonts w:asciiTheme="minorHAnsi" w:hAnsiTheme="minorHAnsi"/>
      <w:sz w:val="20"/>
    </w:rPr>
  </w:style>
  <w:style w:type="paragraph" w:styleId="TOC5">
    <w:name w:val="toc 5"/>
    <w:basedOn w:val="Normal"/>
    <w:next w:val="Normal"/>
    <w:autoRedefine/>
    <w:uiPriority w:val="39"/>
    <w:semiHidden/>
    <w:unhideWhenUsed/>
    <w:rsid w:val="005814C2"/>
    <w:pPr>
      <w:ind w:left="960"/>
    </w:pPr>
    <w:rPr>
      <w:rFonts w:asciiTheme="minorHAnsi" w:hAnsiTheme="minorHAnsi"/>
      <w:sz w:val="20"/>
    </w:rPr>
  </w:style>
  <w:style w:type="paragraph" w:styleId="TOC6">
    <w:name w:val="toc 6"/>
    <w:basedOn w:val="Normal"/>
    <w:next w:val="Normal"/>
    <w:autoRedefine/>
    <w:uiPriority w:val="39"/>
    <w:semiHidden/>
    <w:unhideWhenUsed/>
    <w:rsid w:val="005814C2"/>
    <w:pPr>
      <w:ind w:left="1200"/>
    </w:pPr>
    <w:rPr>
      <w:rFonts w:asciiTheme="minorHAnsi" w:hAnsiTheme="minorHAnsi"/>
      <w:sz w:val="20"/>
    </w:rPr>
  </w:style>
  <w:style w:type="paragraph" w:styleId="TOC7">
    <w:name w:val="toc 7"/>
    <w:basedOn w:val="Normal"/>
    <w:next w:val="Normal"/>
    <w:autoRedefine/>
    <w:uiPriority w:val="39"/>
    <w:semiHidden/>
    <w:unhideWhenUsed/>
    <w:rsid w:val="005814C2"/>
    <w:pPr>
      <w:ind w:left="1440"/>
    </w:pPr>
    <w:rPr>
      <w:rFonts w:asciiTheme="minorHAnsi" w:hAnsiTheme="minorHAnsi"/>
      <w:sz w:val="20"/>
    </w:rPr>
  </w:style>
  <w:style w:type="paragraph" w:styleId="TOC8">
    <w:name w:val="toc 8"/>
    <w:basedOn w:val="Normal"/>
    <w:next w:val="Normal"/>
    <w:autoRedefine/>
    <w:uiPriority w:val="39"/>
    <w:semiHidden/>
    <w:unhideWhenUsed/>
    <w:rsid w:val="005814C2"/>
    <w:pPr>
      <w:ind w:left="1680"/>
    </w:pPr>
    <w:rPr>
      <w:rFonts w:asciiTheme="minorHAnsi" w:hAnsiTheme="minorHAnsi"/>
      <w:sz w:val="20"/>
    </w:rPr>
  </w:style>
  <w:style w:type="paragraph" w:styleId="TOC9">
    <w:name w:val="toc 9"/>
    <w:basedOn w:val="Normal"/>
    <w:next w:val="Normal"/>
    <w:autoRedefine/>
    <w:uiPriority w:val="39"/>
    <w:semiHidden/>
    <w:unhideWhenUsed/>
    <w:rsid w:val="005814C2"/>
    <w:pPr>
      <w:ind w:left="1920"/>
    </w:pPr>
    <w:rPr>
      <w:rFonts w:asciiTheme="minorHAnsi" w:hAnsi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aglobal.com/pk/en/student/exam-support-resources/foundation-level-study-resources/ffm/ffm-technical-articles/the-internal-rate-of-return.html?utm_source=chatgpt.c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fontTable" Target="fontTable.xml"/><Relationship Id="rId10" Type="http://schemas.openxmlformats.org/officeDocument/2006/relationships/hyperlink" Target="https://arxiv.org/abs/2302.02875?utm_source=chatgpt.com" TargetMode="External"/><Relationship Id="rId19" Type="http://schemas.openxmlformats.org/officeDocument/2006/relationships/chart" Target="charts/chart8.xml"/><Relationship Id="rId4" Type="http://schemas.openxmlformats.org/officeDocument/2006/relationships/settings" Target="settings.xml"/><Relationship Id="rId9" Type="http://schemas.openxmlformats.org/officeDocument/2006/relationships/hyperlink" Target="https://corporatefinanceinstitute.com/resources/valuation/net-present-value-npv/?utm_source=chatgpt.com" TargetMode="External"/><Relationship Id="rId14" Type="http://schemas.openxmlformats.org/officeDocument/2006/relationships/chart" Target="charts/chart3.xml"/><Relationship Id="rId22"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c:f>
              <c:strCache>
                <c:ptCount val="1"/>
                <c:pt idx="0">
                  <c:v>Gross Profit Margin</c:v>
                </c:pt>
              </c:strCache>
            </c:strRef>
          </c:tx>
          <c:spPr>
            <a:ln w="28575" cap="rnd">
              <a:solidFill>
                <a:schemeClr val="accent1"/>
              </a:solidFill>
              <a:round/>
            </a:ln>
            <a:effectLst/>
          </c:spPr>
          <c:marker>
            <c:symbol val="none"/>
          </c:marker>
          <c:cat>
            <c:numRef>
              <c:f>Sheet1!$B$1:$F$1</c:f>
              <c:numCache>
                <c:formatCode>General</c:formatCode>
                <c:ptCount val="5"/>
                <c:pt idx="0">
                  <c:v>2024</c:v>
                </c:pt>
                <c:pt idx="1">
                  <c:v>2023</c:v>
                </c:pt>
                <c:pt idx="2">
                  <c:v>2022</c:v>
                </c:pt>
                <c:pt idx="3">
                  <c:v>2021</c:v>
                </c:pt>
                <c:pt idx="4">
                  <c:v>2020</c:v>
                </c:pt>
              </c:numCache>
            </c:numRef>
          </c:cat>
          <c:val>
            <c:numRef>
              <c:f>Sheet1!$B$2:$F$2</c:f>
              <c:numCache>
                <c:formatCode>0.00%</c:formatCode>
                <c:ptCount val="5"/>
                <c:pt idx="0">
                  <c:v>0.28899999999999998</c:v>
                </c:pt>
                <c:pt idx="1">
                  <c:v>0.23200000000000001</c:v>
                </c:pt>
                <c:pt idx="2">
                  <c:v>0.28100000000000003</c:v>
                </c:pt>
                <c:pt idx="3">
                  <c:v>0.28799999999999998</c:v>
                </c:pt>
                <c:pt idx="4">
                  <c:v>0.28599999999999998</c:v>
                </c:pt>
              </c:numCache>
            </c:numRef>
          </c:val>
          <c:smooth val="0"/>
          <c:extLst>
            <c:ext xmlns:c16="http://schemas.microsoft.com/office/drawing/2014/chart" uri="{C3380CC4-5D6E-409C-BE32-E72D297353CC}">
              <c16:uniqueId val="{00000000-B323-9A45-8F8B-B17F9DF470CF}"/>
            </c:ext>
          </c:extLst>
        </c:ser>
        <c:dLbls>
          <c:showLegendKey val="0"/>
          <c:showVal val="0"/>
          <c:showCatName val="0"/>
          <c:showSerName val="0"/>
          <c:showPercent val="0"/>
          <c:showBubbleSize val="0"/>
        </c:dLbls>
        <c:smooth val="0"/>
        <c:axId val="1487180160"/>
        <c:axId val="1487179264"/>
      </c:lineChart>
      <c:catAx>
        <c:axId val="14871801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7179264"/>
        <c:crosses val="autoZero"/>
        <c:auto val="1"/>
        <c:lblAlgn val="ctr"/>
        <c:lblOffset val="100"/>
        <c:noMultiLvlLbl val="0"/>
      </c:catAx>
      <c:valAx>
        <c:axId val="148717926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7180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Sheet1!$A$3</c:f>
              <c:strCache>
                <c:ptCount val="1"/>
                <c:pt idx="0">
                  <c:v>Operating Profit Margin</c:v>
                </c:pt>
              </c:strCache>
            </c:strRef>
          </c:tx>
          <c:spPr>
            <a:ln w="28575" cap="rnd">
              <a:solidFill>
                <a:schemeClr val="accent1"/>
              </a:solidFill>
              <a:round/>
            </a:ln>
            <a:effectLst/>
          </c:spPr>
          <c:marker>
            <c:symbol val="none"/>
          </c:marker>
          <c:cat>
            <c:numRef>
              <c:f>Sheet1!$B$1:$F$1</c:f>
              <c:numCache>
                <c:formatCode>General</c:formatCode>
                <c:ptCount val="5"/>
                <c:pt idx="0">
                  <c:v>2024</c:v>
                </c:pt>
                <c:pt idx="1">
                  <c:v>2023</c:v>
                </c:pt>
                <c:pt idx="2">
                  <c:v>2022</c:v>
                </c:pt>
                <c:pt idx="3">
                  <c:v>2021</c:v>
                </c:pt>
                <c:pt idx="4">
                  <c:v>2020</c:v>
                </c:pt>
              </c:numCache>
            </c:numRef>
          </c:cat>
          <c:val>
            <c:numRef>
              <c:f>Sheet1!$B$3:$F$3</c:f>
              <c:numCache>
                <c:formatCode>0.00%</c:formatCode>
                <c:ptCount val="5"/>
                <c:pt idx="0">
                  <c:v>-3.8699999999999998E-2</c:v>
                </c:pt>
                <c:pt idx="1">
                  <c:v>-0.20300000000000001</c:v>
                </c:pt>
                <c:pt idx="2">
                  <c:v>2.7E-2</c:v>
                </c:pt>
                <c:pt idx="3">
                  <c:v>3.9E-2</c:v>
                </c:pt>
                <c:pt idx="4">
                  <c:v>6.1899999999999997E-2</c:v>
                </c:pt>
              </c:numCache>
            </c:numRef>
          </c:val>
          <c:smooth val="0"/>
          <c:extLst>
            <c:ext xmlns:c16="http://schemas.microsoft.com/office/drawing/2014/chart" uri="{C3380CC4-5D6E-409C-BE32-E72D297353CC}">
              <c16:uniqueId val="{00000000-002C-FB41-B608-296133F3D706}"/>
            </c:ext>
          </c:extLst>
        </c:ser>
        <c:dLbls>
          <c:showLegendKey val="0"/>
          <c:showVal val="0"/>
          <c:showCatName val="0"/>
          <c:showSerName val="0"/>
          <c:showPercent val="0"/>
          <c:showBubbleSize val="0"/>
        </c:dLbls>
        <c:smooth val="0"/>
        <c:axId val="1465945600"/>
        <c:axId val="1465943360"/>
      </c:lineChart>
      <c:catAx>
        <c:axId val="1465945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943360"/>
        <c:crosses val="autoZero"/>
        <c:auto val="1"/>
        <c:lblAlgn val="ctr"/>
        <c:lblOffset val="100"/>
        <c:noMultiLvlLbl val="0"/>
      </c:catAx>
      <c:valAx>
        <c:axId val="14659433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945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Sheet1!$A$4</c:f>
              <c:strCache>
                <c:ptCount val="1"/>
                <c:pt idx="0">
                  <c:v>Net Profit Margin</c:v>
                </c:pt>
              </c:strCache>
            </c:strRef>
          </c:tx>
          <c:spPr>
            <a:ln w="28575" cap="rnd">
              <a:solidFill>
                <a:schemeClr val="accent1"/>
              </a:solidFill>
              <a:round/>
            </a:ln>
            <a:effectLst/>
          </c:spPr>
          <c:marker>
            <c:symbol val="none"/>
          </c:marker>
          <c:cat>
            <c:numRef>
              <c:f>Sheet1!$B$1:$F$1</c:f>
              <c:numCache>
                <c:formatCode>General</c:formatCode>
                <c:ptCount val="5"/>
                <c:pt idx="0">
                  <c:v>2024</c:v>
                </c:pt>
                <c:pt idx="1">
                  <c:v>2023</c:v>
                </c:pt>
                <c:pt idx="2">
                  <c:v>2022</c:v>
                </c:pt>
                <c:pt idx="3">
                  <c:v>2021</c:v>
                </c:pt>
                <c:pt idx="4">
                  <c:v>2020</c:v>
                </c:pt>
              </c:numCache>
            </c:numRef>
          </c:cat>
          <c:val>
            <c:numRef>
              <c:f>Sheet1!$B$4:$F$4</c:f>
              <c:numCache>
                <c:formatCode>0.00%</c:formatCode>
                <c:ptCount val="5"/>
                <c:pt idx="0">
                  <c:v>-6.0999999999999999E-2</c:v>
                </c:pt>
                <c:pt idx="1">
                  <c:v>-0.23400000000000001</c:v>
                </c:pt>
                <c:pt idx="2">
                  <c:v>6.9999999999999999E-4</c:v>
                </c:pt>
                <c:pt idx="3">
                  <c:v>8.8000000000000005E-3</c:v>
                </c:pt>
                <c:pt idx="4">
                  <c:v>6.2700000000000006E-2</c:v>
                </c:pt>
              </c:numCache>
            </c:numRef>
          </c:val>
          <c:smooth val="0"/>
          <c:extLst>
            <c:ext xmlns:c16="http://schemas.microsoft.com/office/drawing/2014/chart" uri="{C3380CC4-5D6E-409C-BE32-E72D297353CC}">
              <c16:uniqueId val="{00000000-F723-4B44-84AB-3B7D688F916F}"/>
            </c:ext>
          </c:extLst>
        </c:ser>
        <c:dLbls>
          <c:showLegendKey val="0"/>
          <c:showVal val="0"/>
          <c:showCatName val="0"/>
          <c:showSerName val="0"/>
          <c:showPercent val="0"/>
          <c:showBubbleSize val="0"/>
        </c:dLbls>
        <c:smooth val="0"/>
        <c:axId val="1452951296"/>
        <c:axId val="1452958016"/>
      </c:lineChart>
      <c:catAx>
        <c:axId val="1452951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958016"/>
        <c:crosses val="autoZero"/>
        <c:auto val="1"/>
        <c:lblAlgn val="ctr"/>
        <c:lblOffset val="100"/>
        <c:noMultiLvlLbl val="0"/>
      </c:catAx>
      <c:valAx>
        <c:axId val="14529580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951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Sheet1!$A$5</c:f>
              <c:strCache>
                <c:ptCount val="1"/>
                <c:pt idx="0">
                  <c:v>Current Ratio</c:v>
                </c:pt>
              </c:strCache>
            </c:strRef>
          </c:tx>
          <c:spPr>
            <a:ln w="28575" cap="rnd">
              <a:solidFill>
                <a:schemeClr val="accent1"/>
              </a:solidFill>
              <a:round/>
            </a:ln>
            <a:effectLst/>
          </c:spPr>
          <c:marker>
            <c:symbol val="none"/>
          </c:marker>
          <c:cat>
            <c:numRef>
              <c:f>Sheet1!$B$1:$F$1</c:f>
              <c:numCache>
                <c:formatCode>General</c:formatCode>
                <c:ptCount val="5"/>
                <c:pt idx="0">
                  <c:v>2024</c:v>
                </c:pt>
                <c:pt idx="1">
                  <c:v>2023</c:v>
                </c:pt>
                <c:pt idx="2">
                  <c:v>2022</c:v>
                </c:pt>
                <c:pt idx="3">
                  <c:v>2021</c:v>
                </c:pt>
                <c:pt idx="4">
                  <c:v>2020</c:v>
                </c:pt>
              </c:numCache>
            </c:numRef>
          </c:cat>
          <c:val>
            <c:numRef>
              <c:f>Sheet1!$B$5:$F$5</c:f>
              <c:numCache>
                <c:formatCode>General</c:formatCode>
                <c:ptCount val="5"/>
                <c:pt idx="0">
                  <c:v>1.53</c:v>
                </c:pt>
                <c:pt idx="1">
                  <c:v>1.6</c:v>
                </c:pt>
                <c:pt idx="2">
                  <c:v>1.56</c:v>
                </c:pt>
                <c:pt idx="3">
                  <c:v>1.83</c:v>
                </c:pt>
                <c:pt idx="4">
                  <c:v>1.82</c:v>
                </c:pt>
              </c:numCache>
            </c:numRef>
          </c:val>
          <c:smooth val="0"/>
          <c:extLst>
            <c:ext xmlns:c16="http://schemas.microsoft.com/office/drawing/2014/chart" uri="{C3380CC4-5D6E-409C-BE32-E72D297353CC}">
              <c16:uniqueId val="{00000000-ADDA-ED41-AC09-8782A229F7D4}"/>
            </c:ext>
          </c:extLst>
        </c:ser>
        <c:dLbls>
          <c:showLegendKey val="0"/>
          <c:showVal val="0"/>
          <c:showCatName val="0"/>
          <c:showSerName val="0"/>
          <c:showPercent val="0"/>
          <c:showBubbleSize val="0"/>
        </c:dLbls>
        <c:smooth val="0"/>
        <c:axId val="1488087552"/>
        <c:axId val="1458012160"/>
      </c:lineChart>
      <c:catAx>
        <c:axId val="1488087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8012160"/>
        <c:crosses val="autoZero"/>
        <c:auto val="1"/>
        <c:lblAlgn val="ctr"/>
        <c:lblOffset val="100"/>
        <c:noMultiLvlLbl val="0"/>
      </c:catAx>
      <c:valAx>
        <c:axId val="1458012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087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Sheet1!$A$6</c:f>
              <c:strCache>
                <c:ptCount val="1"/>
                <c:pt idx="0">
                  <c:v>Quick Ratio</c:v>
                </c:pt>
              </c:strCache>
            </c:strRef>
          </c:tx>
          <c:spPr>
            <a:ln w="28575" cap="rnd">
              <a:solidFill>
                <a:schemeClr val="accent1"/>
              </a:solidFill>
              <a:round/>
            </a:ln>
            <a:effectLst/>
          </c:spPr>
          <c:marker>
            <c:symbol val="none"/>
          </c:marker>
          <c:cat>
            <c:numRef>
              <c:f>Sheet1!$B$1:$F$1</c:f>
              <c:numCache>
                <c:formatCode>General</c:formatCode>
                <c:ptCount val="5"/>
                <c:pt idx="0">
                  <c:v>2024</c:v>
                </c:pt>
                <c:pt idx="1">
                  <c:v>2023</c:v>
                </c:pt>
                <c:pt idx="2">
                  <c:v>2022</c:v>
                </c:pt>
                <c:pt idx="3">
                  <c:v>2021</c:v>
                </c:pt>
                <c:pt idx="4">
                  <c:v>2020</c:v>
                </c:pt>
              </c:numCache>
            </c:numRef>
          </c:cat>
          <c:val>
            <c:numRef>
              <c:f>Sheet1!$B$6:$F$6</c:f>
              <c:numCache>
                <c:formatCode>General</c:formatCode>
                <c:ptCount val="5"/>
                <c:pt idx="0">
                  <c:v>1.03</c:v>
                </c:pt>
                <c:pt idx="1">
                  <c:v>1.1200000000000001</c:v>
                </c:pt>
                <c:pt idx="2">
                  <c:v>1.1399999999999999</c:v>
                </c:pt>
                <c:pt idx="3">
                  <c:v>1.1200000000000001</c:v>
                </c:pt>
                <c:pt idx="4">
                  <c:v>1.1299999999999999</c:v>
                </c:pt>
              </c:numCache>
            </c:numRef>
          </c:val>
          <c:smooth val="0"/>
          <c:extLst>
            <c:ext xmlns:c16="http://schemas.microsoft.com/office/drawing/2014/chart" uri="{C3380CC4-5D6E-409C-BE32-E72D297353CC}">
              <c16:uniqueId val="{00000000-A45B-454D-9A05-4D0BDD927A36}"/>
            </c:ext>
          </c:extLst>
        </c:ser>
        <c:dLbls>
          <c:showLegendKey val="0"/>
          <c:showVal val="0"/>
          <c:showCatName val="0"/>
          <c:showSerName val="0"/>
          <c:showPercent val="0"/>
          <c:showBubbleSize val="0"/>
        </c:dLbls>
        <c:smooth val="0"/>
        <c:axId val="1516033280"/>
        <c:axId val="1516030592"/>
      </c:lineChart>
      <c:catAx>
        <c:axId val="1516033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6030592"/>
        <c:crosses val="autoZero"/>
        <c:auto val="1"/>
        <c:lblAlgn val="ctr"/>
        <c:lblOffset val="100"/>
        <c:noMultiLvlLbl val="0"/>
      </c:catAx>
      <c:valAx>
        <c:axId val="1516030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6033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Sheet1!$A$7</c:f>
              <c:strCache>
                <c:ptCount val="1"/>
                <c:pt idx="0">
                  <c:v>Inventory Turnover</c:v>
                </c:pt>
              </c:strCache>
            </c:strRef>
          </c:tx>
          <c:spPr>
            <a:ln w="28575" cap="rnd">
              <a:solidFill>
                <a:schemeClr val="accent1"/>
              </a:solidFill>
              <a:round/>
            </a:ln>
            <a:effectLst/>
          </c:spPr>
          <c:marker>
            <c:symbol val="none"/>
          </c:marker>
          <c:cat>
            <c:numRef>
              <c:f>Sheet1!$B$1:$F$1</c:f>
              <c:numCache>
                <c:formatCode>General</c:formatCode>
                <c:ptCount val="5"/>
                <c:pt idx="0">
                  <c:v>2024</c:v>
                </c:pt>
                <c:pt idx="1">
                  <c:v>2023</c:v>
                </c:pt>
                <c:pt idx="2">
                  <c:v>2022</c:v>
                </c:pt>
                <c:pt idx="3">
                  <c:v>2021</c:v>
                </c:pt>
                <c:pt idx="4">
                  <c:v>2020</c:v>
                </c:pt>
              </c:numCache>
            </c:numRef>
          </c:cat>
          <c:val>
            <c:numRef>
              <c:f>Sheet1!$B$7:$F$7</c:f>
              <c:numCache>
                <c:formatCode>General</c:formatCode>
                <c:ptCount val="5"/>
                <c:pt idx="0">
                  <c:v>3.57</c:v>
                </c:pt>
                <c:pt idx="1">
                  <c:v>3.07</c:v>
                </c:pt>
                <c:pt idx="2">
                  <c:v>2.9</c:v>
                </c:pt>
                <c:pt idx="3">
                  <c:v>2.67</c:v>
                </c:pt>
                <c:pt idx="4">
                  <c:v>3.01</c:v>
                </c:pt>
              </c:numCache>
            </c:numRef>
          </c:val>
          <c:smooth val="0"/>
          <c:extLst>
            <c:ext xmlns:c16="http://schemas.microsoft.com/office/drawing/2014/chart" uri="{C3380CC4-5D6E-409C-BE32-E72D297353CC}">
              <c16:uniqueId val="{00000000-4986-3B4F-8EC9-9C9AE588BE32}"/>
            </c:ext>
          </c:extLst>
        </c:ser>
        <c:dLbls>
          <c:showLegendKey val="0"/>
          <c:showVal val="0"/>
          <c:showCatName val="0"/>
          <c:showSerName val="0"/>
          <c:showPercent val="0"/>
          <c:showBubbleSize val="0"/>
        </c:dLbls>
        <c:smooth val="0"/>
        <c:axId val="1485953600"/>
        <c:axId val="1485948224"/>
      </c:lineChart>
      <c:catAx>
        <c:axId val="1485953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5948224"/>
        <c:crosses val="autoZero"/>
        <c:auto val="1"/>
        <c:lblAlgn val="ctr"/>
        <c:lblOffset val="100"/>
        <c:noMultiLvlLbl val="0"/>
      </c:catAx>
      <c:valAx>
        <c:axId val="1485948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5953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Sheet1!$A$8</c:f>
              <c:strCache>
                <c:ptCount val="1"/>
                <c:pt idx="0">
                  <c:v>Debt-to-Equity Ratio</c:v>
                </c:pt>
              </c:strCache>
            </c:strRef>
          </c:tx>
          <c:spPr>
            <a:ln w="28575" cap="rnd">
              <a:solidFill>
                <a:schemeClr val="accent1"/>
              </a:solidFill>
              <a:round/>
            </a:ln>
            <a:effectLst/>
          </c:spPr>
          <c:marker>
            <c:symbol val="none"/>
          </c:marker>
          <c:cat>
            <c:numRef>
              <c:f>Sheet1!$B$1:$F$1</c:f>
              <c:numCache>
                <c:formatCode>General</c:formatCode>
                <c:ptCount val="5"/>
                <c:pt idx="0">
                  <c:v>2024</c:v>
                </c:pt>
                <c:pt idx="1">
                  <c:v>2023</c:v>
                </c:pt>
                <c:pt idx="2">
                  <c:v>2022</c:v>
                </c:pt>
                <c:pt idx="3">
                  <c:v>2021</c:v>
                </c:pt>
                <c:pt idx="4">
                  <c:v>2020</c:v>
                </c:pt>
              </c:numCache>
            </c:numRef>
          </c:cat>
          <c:val>
            <c:numRef>
              <c:f>Sheet1!$B$8:$F$8</c:f>
              <c:numCache>
                <c:formatCode>General</c:formatCode>
                <c:ptCount val="5"/>
                <c:pt idx="0">
                  <c:v>1.1100000000000001</c:v>
                </c:pt>
                <c:pt idx="1">
                  <c:v>1.05</c:v>
                </c:pt>
                <c:pt idx="2">
                  <c:v>0.88</c:v>
                </c:pt>
                <c:pt idx="3">
                  <c:v>0.85</c:v>
                </c:pt>
                <c:pt idx="4">
                  <c:v>0.63</c:v>
                </c:pt>
              </c:numCache>
            </c:numRef>
          </c:val>
          <c:smooth val="0"/>
          <c:extLst>
            <c:ext xmlns:c16="http://schemas.microsoft.com/office/drawing/2014/chart" uri="{C3380CC4-5D6E-409C-BE32-E72D297353CC}">
              <c16:uniqueId val="{00000000-C853-1443-A3AF-940F46DCB999}"/>
            </c:ext>
          </c:extLst>
        </c:ser>
        <c:dLbls>
          <c:showLegendKey val="0"/>
          <c:showVal val="0"/>
          <c:showCatName val="0"/>
          <c:showSerName val="0"/>
          <c:showPercent val="0"/>
          <c:showBubbleSize val="0"/>
        </c:dLbls>
        <c:smooth val="0"/>
        <c:axId val="1466001472"/>
        <c:axId val="1465992512"/>
      </c:lineChart>
      <c:catAx>
        <c:axId val="1466001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5992512"/>
        <c:crosses val="autoZero"/>
        <c:auto val="1"/>
        <c:lblAlgn val="ctr"/>
        <c:lblOffset val="100"/>
        <c:noMultiLvlLbl val="0"/>
      </c:catAx>
      <c:valAx>
        <c:axId val="1465992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6001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Sheet7!$C$1</c:f>
              <c:strCache>
                <c:ptCount val="1"/>
                <c:pt idx="0">
                  <c:v>PI</c:v>
                </c:pt>
              </c:strCache>
            </c:strRef>
          </c:tx>
          <c:spPr>
            <a:solidFill>
              <a:schemeClr val="accent1"/>
            </a:solidFill>
            <a:ln>
              <a:noFill/>
            </a:ln>
            <a:effectLst/>
          </c:spPr>
          <c:invertIfNegative val="0"/>
          <c:cat>
            <c:multiLvlStrRef>
              <c:f>Sheet7!$A$2:$B$4</c:f>
              <c:multiLvlStrCache>
                <c:ptCount val="3"/>
                <c:lvl>
                  <c:pt idx="0">
                    <c:v>£40</c:v>
                  </c:pt>
                  <c:pt idx="1">
                    <c:v>£30</c:v>
                  </c:pt>
                  <c:pt idx="2">
                    <c:v>£50</c:v>
                  </c:pt>
                </c:lvl>
                <c:lvl>
                  <c:pt idx="0">
                    <c:v>Project A</c:v>
                  </c:pt>
                  <c:pt idx="1">
                    <c:v>Project B</c:v>
                  </c:pt>
                  <c:pt idx="2">
                    <c:v>Project C</c:v>
                  </c:pt>
                </c:lvl>
              </c:multiLvlStrCache>
            </c:multiLvlStrRef>
          </c:cat>
          <c:val>
            <c:numRef>
              <c:f>Sheet7!$C$2:$C$4</c:f>
              <c:numCache>
                <c:formatCode>General</c:formatCode>
                <c:ptCount val="3"/>
                <c:pt idx="0">
                  <c:v>1.034</c:v>
                </c:pt>
                <c:pt idx="1">
                  <c:v>0.76</c:v>
                </c:pt>
                <c:pt idx="2">
                  <c:v>1.0840000000000001</c:v>
                </c:pt>
              </c:numCache>
            </c:numRef>
          </c:val>
          <c:extLst>
            <c:ext xmlns:c16="http://schemas.microsoft.com/office/drawing/2014/chart" uri="{C3380CC4-5D6E-409C-BE32-E72D297353CC}">
              <c16:uniqueId val="{00000000-2361-7440-94D7-6CFAC73BC7AB}"/>
            </c:ext>
          </c:extLst>
        </c:ser>
        <c:dLbls>
          <c:showLegendKey val="0"/>
          <c:showVal val="0"/>
          <c:showCatName val="0"/>
          <c:showSerName val="0"/>
          <c:showPercent val="0"/>
          <c:showBubbleSize val="0"/>
        </c:dLbls>
        <c:gapWidth val="219"/>
        <c:overlap val="-27"/>
        <c:axId val="1503569984"/>
        <c:axId val="1503571776"/>
      </c:barChart>
      <c:catAx>
        <c:axId val="1503569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3571776"/>
        <c:crosses val="autoZero"/>
        <c:auto val="1"/>
        <c:lblAlgn val="ctr"/>
        <c:lblOffset val="100"/>
        <c:noMultiLvlLbl val="0"/>
      </c:catAx>
      <c:valAx>
        <c:axId val="1503571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35699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Sheet8!$B$1</c:f>
              <c:strCache>
                <c:ptCount val="1"/>
                <c:pt idx="0">
                  <c:v>IRR (%)</c:v>
                </c:pt>
              </c:strCache>
            </c:strRef>
          </c:tx>
          <c:spPr>
            <a:solidFill>
              <a:schemeClr val="accent1"/>
            </a:solidFill>
            <a:ln>
              <a:noFill/>
            </a:ln>
            <a:effectLst/>
          </c:spPr>
          <c:invertIfNegative val="0"/>
          <c:cat>
            <c:strRef>
              <c:f>Sheet8!$A$2:$A$4</c:f>
              <c:strCache>
                <c:ptCount val="3"/>
                <c:pt idx="0">
                  <c:v>Project A</c:v>
                </c:pt>
                <c:pt idx="1">
                  <c:v>Project B</c:v>
                </c:pt>
                <c:pt idx="2">
                  <c:v>Project C</c:v>
                </c:pt>
              </c:strCache>
            </c:strRef>
          </c:cat>
          <c:val>
            <c:numRef>
              <c:f>Sheet8!$B$2:$B$4</c:f>
              <c:numCache>
                <c:formatCode>0.00%</c:formatCode>
                <c:ptCount val="3"/>
                <c:pt idx="0">
                  <c:v>0.105</c:v>
                </c:pt>
                <c:pt idx="1">
                  <c:v>6.7000000000000004E-2</c:v>
                </c:pt>
                <c:pt idx="2" formatCode="0%">
                  <c:v>0.12</c:v>
                </c:pt>
              </c:numCache>
            </c:numRef>
          </c:val>
          <c:extLst>
            <c:ext xmlns:c16="http://schemas.microsoft.com/office/drawing/2014/chart" uri="{C3380CC4-5D6E-409C-BE32-E72D297353CC}">
              <c16:uniqueId val="{00000000-5CA4-5741-B19B-C871F5932382}"/>
            </c:ext>
          </c:extLst>
        </c:ser>
        <c:dLbls>
          <c:showLegendKey val="0"/>
          <c:showVal val="0"/>
          <c:showCatName val="0"/>
          <c:showSerName val="0"/>
          <c:showPercent val="0"/>
          <c:showBubbleSize val="0"/>
        </c:dLbls>
        <c:gapWidth val="219"/>
        <c:overlap val="-27"/>
        <c:axId val="1454483072"/>
        <c:axId val="1454474560"/>
      </c:barChart>
      <c:catAx>
        <c:axId val="1454483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4474560"/>
        <c:crosses val="autoZero"/>
        <c:auto val="1"/>
        <c:lblAlgn val="ctr"/>
        <c:lblOffset val="100"/>
        <c:noMultiLvlLbl val="0"/>
      </c:catAx>
      <c:valAx>
        <c:axId val="14544745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4483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D3001-8A20-ED4C-9489-E5903399B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36</Pages>
  <Words>6141</Words>
  <Characters>35005</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d95864</dc:creator>
  <cp:keywords/>
  <dc:description/>
  <cp:lastModifiedBy>d95864</cp:lastModifiedBy>
  <cp:revision>12</cp:revision>
  <dcterms:created xsi:type="dcterms:W3CDTF">2025-11-24T07:19:00Z</dcterms:created>
  <dcterms:modified xsi:type="dcterms:W3CDTF">2025-11-24T09:38:00Z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123164d9d69dfbfc691a9dd33c06fbcfc4e0b88819b4d28f3f8038a4197515bf</vt:lpwstr>
  </property>
</Properties>
</file>