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7E978" w14:textId="784460CA" w:rsidR="00530E16" w:rsidRDefault="003D5473">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2846587" wp14:editId="25790CFD">
                <wp:simplePos x="0" y="0"/>
                <wp:positionH relativeFrom="column">
                  <wp:posOffset>-607162</wp:posOffset>
                </wp:positionH>
                <wp:positionV relativeFrom="paragraph">
                  <wp:posOffset>-1572768</wp:posOffset>
                </wp:positionV>
                <wp:extent cx="2190115" cy="11338560"/>
                <wp:effectExtent l="0" t="0" r="0" b="2540"/>
                <wp:wrapNone/>
                <wp:docPr id="1" name="Group 1"/>
                <wp:cNvGraphicFramePr/>
                <a:graphic xmlns:a="http://schemas.openxmlformats.org/drawingml/2006/main">
                  <a:graphicData uri="http://schemas.microsoft.com/office/word/2010/wordprocessingGroup">
                    <wpg:wgp>
                      <wpg:cNvGrpSpPr/>
                      <wpg:grpSpPr>
                        <a:xfrm>
                          <a:off x="0" y="0"/>
                          <a:ext cx="2190115" cy="11338560"/>
                          <a:chOff x="0" y="0"/>
                          <a:chExt cx="2194550" cy="9125712"/>
                        </a:xfrm>
                      </wpg:grpSpPr>
                      <wps:wsp>
                        <wps:cNvPr id="2" name="Rectangle 2"/>
                        <wps:cNvSpPr/>
                        <wps:spPr>
                          <a:xfrm>
                            <a:off x="0" y="0"/>
                            <a:ext cx="2194550" cy="9125700"/>
                          </a:xfrm>
                          <a:prstGeom prst="rect">
                            <a:avLst/>
                          </a:prstGeom>
                          <a:noFill/>
                          <a:ln>
                            <a:noFill/>
                          </a:ln>
                        </wps:spPr>
                        <wps:txbx>
                          <w:txbxContent>
                            <w:p w14:paraId="5C11F0F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89ED29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V relativeFrom="margin">
                  <wp14:pctHeight>0</wp14:pctHeight>
                </wp14:sizeRelV>
              </wp:anchor>
            </w:drawing>
          </mc:Choice>
          <mc:Fallback>
            <w:pict>
              <v:group w14:anchorId="72846587" id="Group 1" o:spid="_x0000_s1026" style="position:absolute;margin-left:-47.8pt;margin-top:-123.85pt;width:172.45pt;height:892.8pt;z-index:-251658240;mso-height-relative:margin"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5C11F0F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089ED298"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Times New Roman"/>
          <w:noProof/>
          <w:sz w:val="20"/>
        </w:rPr>
        <w:drawing>
          <wp:inline distT="0" distB="0" distL="0" distR="0" wp14:anchorId="432D360D" wp14:editId="64DFA218">
            <wp:extent cx="3379622" cy="1799539"/>
            <wp:effectExtent l="0" t="0" r="0" b="4445"/>
            <wp:docPr id="145523622" name="Image 3" descr="A close up of a sign&#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523622" name="Image 3" descr="A close up of a sign&#10;&#10;AI-generated content may be incorrect."/>
                    <pic:cNvPicPr/>
                  </pic:nvPicPr>
                  <pic:blipFill>
                    <a:blip r:embed="rId9" cstate="print"/>
                    <a:stretch>
                      <a:fillRect/>
                    </a:stretch>
                  </pic:blipFill>
                  <pic:spPr>
                    <a:xfrm>
                      <a:off x="0" y="0"/>
                      <a:ext cx="3447126" cy="1835483"/>
                    </a:xfrm>
                    <a:prstGeom prst="rect">
                      <a:avLst/>
                    </a:prstGeom>
                  </pic:spPr>
                </pic:pic>
              </a:graphicData>
            </a:graphic>
          </wp:inline>
        </w:drawing>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6AE92CE" wp14:editId="5242E64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DBE7F8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2F35C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6AE92C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6DBE7F8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02F35C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33465FA"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6B889B16" wp14:editId="135A17D8">
                <wp:simplePos x="0" y="0"/>
                <wp:positionH relativeFrom="page">
                  <wp:posOffset>1040842</wp:posOffset>
                </wp:positionH>
                <wp:positionV relativeFrom="page">
                  <wp:posOffset>3119348</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3C88829B" w14:textId="77777777" w:rsidR="003D5473" w:rsidRDefault="003D5473">
                            <w:pPr>
                              <w:spacing w:before="120" w:line="277" w:lineRule="auto"/>
                              <w:textDirection w:val="btLr"/>
                            </w:pPr>
                          </w:p>
                          <w:p w14:paraId="33F58761" w14:textId="222D3CF7" w:rsidR="00530E16" w:rsidRDefault="004468F8">
                            <w:pPr>
                              <w:spacing w:before="120" w:line="277" w:lineRule="auto"/>
                              <w:textDirection w:val="btLr"/>
                            </w:pPr>
                            <w:r>
                              <w:rPr>
                                <w:color w:val="404040"/>
                                <w:sz w:val="36"/>
                              </w:rPr>
                              <w:t xml:space="preserve">Module Name: </w:t>
                            </w:r>
                            <w:r w:rsidR="003D5473">
                              <w:rPr>
                                <w:color w:val="404040"/>
                                <w:sz w:val="36"/>
                              </w:rPr>
                              <w:t>Introduction to Public Health</w:t>
                            </w:r>
                          </w:p>
                          <w:p w14:paraId="6D575DD1" w14:textId="487F27B0" w:rsidR="00530E16" w:rsidRDefault="004468F8">
                            <w:pPr>
                              <w:spacing w:before="120" w:line="277" w:lineRule="auto"/>
                              <w:textDirection w:val="btLr"/>
                            </w:pPr>
                            <w:r>
                              <w:rPr>
                                <w:color w:val="404040"/>
                                <w:sz w:val="36"/>
                              </w:rPr>
                              <w:t xml:space="preserve">Module Code: LCHS </w:t>
                            </w:r>
                            <w:r w:rsidR="003D5473">
                              <w:rPr>
                                <w:color w:val="404040"/>
                                <w:sz w:val="36"/>
                              </w:rPr>
                              <w:t>4008</w:t>
                            </w:r>
                          </w:p>
                          <w:p w14:paraId="4BB70300" w14:textId="08153DDD" w:rsidR="00530E16" w:rsidRDefault="004468F8">
                            <w:pPr>
                              <w:spacing w:before="120" w:line="277" w:lineRule="auto"/>
                              <w:textDirection w:val="btLr"/>
                            </w:pPr>
                            <w:r>
                              <w:rPr>
                                <w:color w:val="404040"/>
                                <w:sz w:val="36"/>
                              </w:rPr>
                              <w:t xml:space="preserve">Student name: </w:t>
                            </w:r>
                            <w:r w:rsidR="00723C31">
                              <w:rPr>
                                <w:color w:val="404040"/>
                                <w:sz w:val="36"/>
                              </w:rPr>
                              <w:t xml:space="preserve">Arzoo </w:t>
                            </w:r>
                            <w:proofErr w:type="spellStart"/>
                            <w:r w:rsidR="00723C31">
                              <w:rPr>
                                <w:color w:val="404040"/>
                                <w:sz w:val="36"/>
                              </w:rPr>
                              <w:t>Anyis</w:t>
                            </w:r>
                            <w:proofErr w:type="spellEnd"/>
                          </w:p>
                          <w:p w14:paraId="46FAFC61" w14:textId="340CE461" w:rsidR="00530E16" w:rsidRDefault="004468F8">
                            <w:pPr>
                              <w:spacing w:before="120" w:line="277" w:lineRule="auto"/>
                              <w:textDirection w:val="btLr"/>
                            </w:pPr>
                            <w:r>
                              <w:rPr>
                                <w:color w:val="404040"/>
                                <w:sz w:val="36"/>
                              </w:rPr>
                              <w:t>Student ID:</w:t>
                            </w:r>
                            <w:r w:rsidR="00723C31">
                              <w:rPr>
                                <w:color w:val="404040"/>
                                <w:sz w:val="36"/>
                              </w:rPr>
                              <w:t xml:space="preserve"> </w:t>
                            </w:r>
                            <w:r w:rsidR="006645E1">
                              <w:rPr>
                                <w:color w:val="404040"/>
                                <w:sz w:val="36"/>
                              </w:rPr>
                              <w:t>2</w:t>
                            </w:r>
                            <w:r w:rsidR="003D5473">
                              <w:rPr>
                                <w:color w:val="404040"/>
                                <w:sz w:val="36"/>
                              </w:rPr>
                              <w:t>435268</w:t>
                            </w:r>
                          </w:p>
                          <w:p w14:paraId="25B0E5DD" w14:textId="4E0D888D" w:rsidR="00530E16" w:rsidRDefault="004468F8">
                            <w:pPr>
                              <w:spacing w:before="120" w:line="277" w:lineRule="auto"/>
                              <w:textDirection w:val="btLr"/>
                            </w:pPr>
                            <w:r>
                              <w:rPr>
                                <w:color w:val="404040"/>
                                <w:sz w:val="36"/>
                              </w:rPr>
                              <w:t xml:space="preserve">Lecturer’s Name: </w:t>
                            </w:r>
                            <w:r w:rsidR="003D5473">
                              <w:rPr>
                                <w:color w:val="404040"/>
                                <w:sz w:val="36"/>
                              </w:rPr>
                              <w:t>Caroline Salami</w:t>
                            </w:r>
                          </w:p>
                        </w:txbxContent>
                      </wps:txbx>
                      <wps:bodyPr spcFirstLastPara="1" wrap="square" lIns="0" tIns="0" rIns="0" bIns="0" anchor="t" anchorCtr="0">
                        <a:noAutofit/>
                      </wps:bodyPr>
                    </wps:wsp>
                  </a:graphicData>
                </a:graphic>
              </wp:anchor>
            </w:drawing>
          </mc:Choice>
          <mc:Fallback>
            <w:pict>
              <v:rect w14:anchorId="6B889B16" id="Rectangle 33" o:spid="_x0000_s1056" style="position:absolute;margin-left:81.95pt;margin-top:245.6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EQ35YuUAAAARAQAADwAAAAAAAAAAAAAAAAABBAAAZHJzL2Rvd25yZXYu&#13;&#10;eG1sUEsFBgAAAAAEAAQA8wAAABMFAAAAAA==&#13;&#10;" filled="f" stroked="f">
                <v:textbox inset="0,0,0,0">
                  <w:txbxContent>
                    <w:p w14:paraId="3C88829B" w14:textId="77777777" w:rsidR="003D5473" w:rsidRDefault="003D5473">
                      <w:pPr>
                        <w:spacing w:before="120" w:line="277" w:lineRule="auto"/>
                        <w:textDirection w:val="btLr"/>
                      </w:pPr>
                    </w:p>
                    <w:p w14:paraId="33F58761" w14:textId="222D3CF7" w:rsidR="00530E16" w:rsidRDefault="004468F8">
                      <w:pPr>
                        <w:spacing w:before="120" w:line="277" w:lineRule="auto"/>
                        <w:textDirection w:val="btLr"/>
                      </w:pPr>
                      <w:r>
                        <w:rPr>
                          <w:color w:val="404040"/>
                          <w:sz w:val="36"/>
                        </w:rPr>
                        <w:t xml:space="preserve">Module Name: </w:t>
                      </w:r>
                      <w:r w:rsidR="003D5473">
                        <w:rPr>
                          <w:color w:val="404040"/>
                          <w:sz w:val="36"/>
                        </w:rPr>
                        <w:t>Introduction to Public Health</w:t>
                      </w:r>
                    </w:p>
                    <w:p w14:paraId="6D575DD1" w14:textId="487F27B0" w:rsidR="00530E16" w:rsidRDefault="004468F8">
                      <w:pPr>
                        <w:spacing w:before="120" w:line="277" w:lineRule="auto"/>
                        <w:textDirection w:val="btLr"/>
                      </w:pPr>
                      <w:r>
                        <w:rPr>
                          <w:color w:val="404040"/>
                          <w:sz w:val="36"/>
                        </w:rPr>
                        <w:t xml:space="preserve">Module Code: LCHS </w:t>
                      </w:r>
                      <w:r w:rsidR="003D5473">
                        <w:rPr>
                          <w:color w:val="404040"/>
                          <w:sz w:val="36"/>
                        </w:rPr>
                        <w:t>4008</w:t>
                      </w:r>
                    </w:p>
                    <w:p w14:paraId="4BB70300" w14:textId="08153DDD" w:rsidR="00530E16" w:rsidRDefault="004468F8">
                      <w:pPr>
                        <w:spacing w:before="120" w:line="277" w:lineRule="auto"/>
                        <w:textDirection w:val="btLr"/>
                      </w:pPr>
                      <w:r>
                        <w:rPr>
                          <w:color w:val="404040"/>
                          <w:sz w:val="36"/>
                        </w:rPr>
                        <w:t xml:space="preserve">Student name: </w:t>
                      </w:r>
                      <w:r w:rsidR="00723C31">
                        <w:rPr>
                          <w:color w:val="404040"/>
                          <w:sz w:val="36"/>
                        </w:rPr>
                        <w:t xml:space="preserve">Arzoo </w:t>
                      </w:r>
                      <w:proofErr w:type="spellStart"/>
                      <w:r w:rsidR="00723C31">
                        <w:rPr>
                          <w:color w:val="404040"/>
                          <w:sz w:val="36"/>
                        </w:rPr>
                        <w:t>Anyis</w:t>
                      </w:r>
                      <w:proofErr w:type="spellEnd"/>
                    </w:p>
                    <w:p w14:paraId="46FAFC61" w14:textId="340CE461" w:rsidR="00530E16" w:rsidRDefault="004468F8">
                      <w:pPr>
                        <w:spacing w:before="120" w:line="277" w:lineRule="auto"/>
                        <w:textDirection w:val="btLr"/>
                      </w:pPr>
                      <w:r>
                        <w:rPr>
                          <w:color w:val="404040"/>
                          <w:sz w:val="36"/>
                        </w:rPr>
                        <w:t>Student ID:</w:t>
                      </w:r>
                      <w:r w:rsidR="00723C31">
                        <w:rPr>
                          <w:color w:val="404040"/>
                          <w:sz w:val="36"/>
                        </w:rPr>
                        <w:t xml:space="preserve"> </w:t>
                      </w:r>
                      <w:r w:rsidR="006645E1">
                        <w:rPr>
                          <w:color w:val="404040"/>
                          <w:sz w:val="36"/>
                        </w:rPr>
                        <w:t>2</w:t>
                      </w:r>
                      <w:r w:rsidR="003D5473">
                        <w:rPr>
                          <w:color w:val="404040"/>
                          <w:sz w:val="36"/>
                        </w:rPr>
                        <w:t>435268</w:t>
                      </w:r>
                    </w:p>
                    <w:p w14:paraId="25B0E5DD" w14:textId="4E0D888D" w:rsidR="00530E16" w:rsidRDefault="004468F8">
                      <w:pPr>
                        <w:spacing w:before="120" w:line="277" w:lineRule="auto"/>
                        <w:textDirection w:val="btLr"/>
                      </w:pPr>
                      <w:r>
                        <w:rPr>
                          <w:color w:val="404040"/>
                          <w:sz w:val="36"/>
                        </w:rPr>
                        <w:t xml:space="preserve">Lecturer’s Name: </w:t>
                      </w:r>
                      <w:r w:rsidR="003D5473">
                        <w:rPr>
                          <w:color w:val="404040"/>
                          <w:sz w:val="36"/>
                        </w:rPr>
                        <w:t>Caroline Salami</w:t>
                      </w:r>
                    </w:p>
                  </w:txbxContent>
                </v:textbox>
                <w10:wrap anchorx="page" anchory="page"/>
              </v:rect>
            </w:pict>
          </mc:Fallback>
        </mc:AlternateContent>
      </w:r>
      <w:r>
        <w:br w:type="page"/>
      </w:r>
    </w:p>
    <w:p w14:paraId="3A071633" w14:textId="77777777"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14:paraId="2E4613E5" w14:textId="44492F10" w:rsidR="00530E16" w:rsidRDefault="004468F8">
      <w:pPr>
        <w:pStyle w:val="Heading1"/>
      </w:pPr>
      <w:bookmarkStart w:id="0" w:name="_Toc206350387"/>
      <w:r>
        <w:lastRenderedPageBreak/>
        <w:t xml:space="preserve">Research Topic: </w:t>
      </w:r>
      <w:bookmarkEnd w:id="0"/>
      <w:r w:rsidR="004A5108">
        <w:t>B</w:t>
      </w:r>
      <w:r w:rsidR="004A5108" w:rsidRPr="004A5108">
        <w:t>owel Disease: A Public Health Perspective</w:t>
      </w:r>
    </w:p>
    <w:p w14:paraId="4ED71337" w14:textId="7ADD8700" w:rsidR="008317DE" w:rsidRPr="008317DE" w:rsidRDefault="007744BF" w:rsidP="008317DE">
      <w:pPr>
        <w:pStyle w:val="Heading1"/>
        <w:rPr>
          <w:sz w:val="32"/>
          <w:szCs w:val="32"/>
        </w:rPr>
      </w:pPr>
      <w:r>
        <w:rPr>
          <w:sz w:val="32"/>
          <w:szCs w:val="32"/>
        </w:rPr>
        <w:t>Introduction</w:t>
      </w:r>
    </w:p>
    <w:p w14:paraId="1EA12C48" w14:textId="2FC78275" w:rsidR="007744BF" w:rsidRPr="00522755" w:rsidRDefault="007744BF" w:rsidP="00522755">
      <w:pPr>
        <w:pStyle w:val="Heading2"/>
        <w:spacing w:line="360" w:lineRule="auto"/>
        <w:jc w:val="both"/>
        <w:rPr>
          <w:rFonts w:ascii="Arial" w:eastAsia="Aptos" w:hAnsi="Arial" w:cs="Arial"/>
          <w:color w:val="auto"/>
          <w:sz w:val="22"/>
          <w:szCs w:val="22"/>
        </w:rPr>
      </w:pPr>
      <w:bookmarkStart w:id="1" w:name="_Toc206350390"/>
      <w:r w:rsidRPr="00522755">
        <w:rPr>
          <w:rFonts w:ascii="Arial" w:eastAsia="Aptos" w:hAnsi="Arial" w:cs="Arial"/>
          <w:color w:val="auto"/>
          <w:sz w:val="22"/>
          <w:szCs w:val="22"/>
        </w:rPr>
        <w:t>Bowel diseases encompass a range of conditions that affect the gastrointestinal tract, particularly the large intestine. Key examples include inflammatory bowel disease (IBD) which covers Crohn’s disease and ulcerative colitis and bowel cancer, both of which present significant public health challenges due to their chronic nature and impact on quality of life. IBD is characterised by persistent inflammation of the digestive system, leading to symptoms such as abdominal pain, diarrhoea, and weight loss, while bowel cancer involves malignant growths in the colon or rectum that can be life-threatening if not detected early. Incidence and prevalence rates of these conditions have been increasing globally, with lifestyle factors, diet, and ageing populations contributing to this rise. The burden on healthcare systems worldwide and in the United Kingdom is substantial, reflecting growing demand for early diagnosis, long-term management, and preventive strategies in public health practice.</w:t>
      </w:r>
      <w:r w:rsidRPr="00522755">
        <w:rPr>
          <w:rFonts w:ascii="Arial" w:eastAsia="Aptos" w:hAnsi="Arial" w:cs="Arial"/>
          <w:color w:val="auto"/>
          <w:sz w:val="22"/>
          <w:szCs w:val="22"/>
        </w:rPr>
        <w:t xml:space="preserve"> </w:t>
      </w:r>
    </w:p>
    <w:bookmarkEnd w:id="1"/>
    <w:p w14:paraId="7A1D6ED8" w14:textId="7E4E395F" w:rsidR="008317DE" w:rsidRDefault="00C42A0D" w:rsidP="00522755">
      <w:pPr>
        <w:pStyle w:val="Heading2"/>
        <w:spacing w:line="360" w:lineRule="auto"/>
        <w:jc w:val="both"/>
      </w:pPr>
      <w:r>
        <w:t>Definition</w:t>
      </w:r>
    </w:p>
    <w:p w14:paraId="1467193E" w14:textId="77777777" w:rsidR="00C42A0D" w:rsidRPr="00522755" w:rsidRDefault="00C42A0D" w:rsidP="00522755">
      <w:pPr>
        <w:spacing w:line="360" w:lineRule="auto"/>
        <w:rPr>
          <w:rFonts w:ascii="Arial" w:hAnsi="Arial" w:cs="Arial"/>
          <w:sz w:val="22"/>
          <w:szCs w:val="22"/>
        </w:rPr>
      </w:pPr>
      <w:r w:rsidRPr="00522755">
        <w:rPr>
          <w:rFonts w:ascii="Arial" w:hAnsi="Arial" w:cs="Arial"/>
          <w:sz w:val="22"/>
          <w:szCs w:val="22"/>
        </w:rPr>
        <w:t xml:space="preserve">Bowel cancer is characterised by the uncontrolled growth of abnormal cells within the lining of the large intestine, including the colon and rectum. </w:t>
      </w:r>
      <w:proofErr w:type="gramStart"/>
      <w:r w:rsidRPr="00522755">
        <w:rPr>
          <w:rFonts w:ascii="Arial" w:hAnsi="Arial" w:cs="Arial"/>
          <w:sz w:val="22"/>
          <w:szCs w:val="22"/>
        </w:rPr>
        <w:t>The majority of</w:t>
      </w:r>
      <w:proofErr w:type="gramEnd"/>
      <w:r w:rsidRPr="00522755">
        <w:rPr>
          <w:rFonts w:ascii="Arial" w:hAnsi="Arial" w:cs="Arial"/>
          <w:sz w:val="22"/>
          <w:szCs w:val="22"/>
        </w:rPr>
        <w:t xml:space="preserve"> cases are adenocarcinomas arising from epithelial cells. Disease progression is typically slow, often developing over several years, which provides opportunities for early detection and prevention through screening.</w:t>
      </w:r>
    </w:p>
    <w:p w14:paraId="6AA070C6" w14:textId="39966ED5" w:rsidR="00C42A0D" w:rsidRPr="00522755" w:rsidRDefault="00C42A0D" w:rsidP="00522755">
      <w:pPr>
        <w:pStyle w:val="Heading2"/>
        <w:spacing w:line="360" w:lineRule="auto"/>
        <w:jc w:val="both"/>
        <w:rPr>
          <w:rFonts w:ascii="Arial" w:hAnsi="Arial" w:cs="Arial"/>
        </w:rPr>
      </w:pPr>
      <w:r w:rsidRPr="00522755">
        <w:rPr>
          <w:rFonts w:ascii="Arial" w:hAnsi="Arial" w:cs="Arial"/>
        </w:rPr>
        <w:t>Signs and Symptoms</w:t>
      </w:r>
    </w:p>
    <w:p w14:paraId="28135851" w14:textId="54872079" w:rsidR="00C42A0D" w:rsidRPr="00522755" w:rsidRDefault="00C42A0D" w:rsidP="00522755">
      <w:pPr>
        <w:spacing w:line="360" w:lineRule="auto"/>
        <w:rPr>
          <w:rFonts w:ascii="Arial" w:hAnsi="Arial" w:cs="Arial"/>
          <w:sz w:val="22"/>
          <w:szCs w:val="22"/>
        </w:rPr>
      </w:pPr>
      <w:r w:rsidRPr="00522755">
        <w:rPr>
          <w:rFonts w:ascii="Arial" w:hAnsi="Arial" w:cs="Arial"/>
          <w:sz w:val="22"/>
          <w:szCs w:val="22"/>
        </w:rPr>
        <w:t>Clinical presentation varies depending on tumour location and stage. Common symptoms include persistent changes in bowel habits, rectal bleeding, abdominal pain, unexplained weight loss, fatigue and iron-deficiency anaemia. Importantly, early-stage bowel cancer may be asymptomatic, which increases the likelihood of delayed diagnosis.</w:t>
      </w:r>
    </w:p>
    <w:p w14:paraId="7EA2EAC7" w14:textId="38D474D6" w:rsidR="00C42A0D" w:rsidRPr="00522755" w:rsidRDefault="00C42A0D" w:rsidP="00522755">
      <w:pPr>
        <w:pStyle w:val="Heading2"/>
        <w:spacing w:line="360" w:lineRule="auto"/>
        <w:jc w:val="both"/>
        <w:rPr>
          <w:rFonts w:ascii="Arial" w:hAnsi="Arial" w:cs="Arial"/>
        </w:rPr>
      </w:pPr>
      <w:r w:rsidRPr="00522755">
        <w:rPr>
          <w:rFonts w:ascii="Arial" w:hAnsi="Arial" w:cs="Arial"/>
        </w:rPr>
        <w:t>Incidence and Severity</w:t>
      </w:r>
    </w:p>
    <w:p w14:paraId="53175144" w14:textId="375581F0" w:rsidR="00C42A0D" w:rsidRPr="00522755" w:rsidRDefault="00C42A0D" w:rsidP="00522755">
      <w:pPr>
        <w:spacing w:line="360" w:lineRule="auto"/>
        <w:rPr>
          <w:rFonts w:ascii="Arial" w:hAnsi="Arial" w:cs="Arial"/>
          <w:sz w:val="22"/>
          <w:szCs w:val="22"/>
        </w:rPr>
      </w:pPr>
      <w:r w:rsidRPr="00522755">
        <w:rPr>
          <w:rFonts w:ascii="Arial" w:hAnsi="Arial" w:cs="Arial"/>
          <w:sz w:val="22"/>
          <w:szCs w:val="22"/>
        </w:rPr>
        <w:t xml:space="preserve">Globally, bowel cancer is among the </w:t>
      </w:r>
      <w:r w:rsidR="004A5108" w:rsidRPr="00522755">
        <w:rPr>
          <w:rFonts w:ascii="Arial" w:hAnsi="Arial" w:cs="Arial"/>
          <w:sz w:val="22"/>
          <w:szCs w:val="22"/>
        </w:rPr>
        <w:t>most diagnosed</w:t>
      </w:r>
      <w:r w:rsidRPr="00522755">
        <w:rPr>
          <w:rFonts w:ascii="Arial" w:hAnsi="Arial" w:cs="Arial"/>
          <w:sz w:val="22"/>
          <w:szCs w:val="22"/>
        </w:rPr>
        <w:t xml:space="preserve"> cancers, with approximately two million new cases reported annually. Mortality remains high, particularly in countries with limited access to screening and early treatment.</w:t>
      </w:r>
    </w:p>
    <w:p w14:paraId="40958BEC" w14:textId="77777777" w:rsidR="00C42A0D" w:rsidRPr="00522755" w:rsidRDefault="00C42A0D" w:rsidP="00522755">
      <w:pPr>
        <w:spacing w:line="360" w:lineRule="auto"/>
        <w:rPr>
          <w:rFonts w:ascii="Arial" w:hAnsi="Arial" w:cs="Arial"/>
          <w:sz w:val="22"/>
          <w:szCs w:val="22"/>
        </w:rPr>
      </w:pPr>
    </w:p>
    <w:p w14:paraId="4B15D339" w14:textId="76F68A45" w:rsidR="00C42A0D" w:rsidRPr="00522755" w:rsidRDefault="00C42A0D" w:rsidP="00522755">
      <w:pPr>
        <w:spacing w:line="360" w:lineRule="auto"/>
        <w:rPr>
          <w:rFonts w:ascii="Arial" w:hAnsi="Arial" w:cs="Arial"/>
          <w:sz w:val="22"/>
          <w:szCs w:val="22"/>
        </w:rPr>
      </w:pPr>
      <w:r w:rsidRPr="00522755">
        <w:rPr>
          <w:rFonts w:ascii="Arial" w:hAnsi="Arial" w:cs="Arial"/>
          <w:sz w:val="22"/>
          <w:szCs w:val="22"/>
        </w:rPr>
        <w:lastRenderedPageBreak/>
        <w:t xml:space="preserve">In the UK, bowel cancer is the fourth most common cancer, with around 44,000 new diagnoses each year and approximately 16,000 deaths annually. Incidence increases with age, but rising cases among younger adults highlight emerging public health concerns. These figures demonstrate the severity and ongoing burden of the disease. </w:t>
      </w:r>
    </w:p>
    <w:p w14:paraId="07D76E55" w14:textId="302BC3C9" w:rsidR="008317DE" w:rsidRPr="00522755" w:rsidRDefault="008317DE" w:rsidP="00522755">
      <w:pPr>
        <w:spacing w:line="360" w:lineRule="auto"/>
        <w:rPr>
          <w:rFonts w:ascii="Arial" w:hAnsi="Arial" w:cs="Arial"/>
        </w:rPr>
      </w:pPr>
    </w:p>
    <w:p w14:paraId="7F4775DD" w14:textId="78981E78" w:rsidR="000373CB" w:rsidRPr="00522755" w:rsidRDefault="00C42A0D" w:rsidP="00522755">
      <w:pPr>
        <w:pStyle w:val="Heading2"/>
        <w:spacing w:line="360" w:lineRule="auto"/>
        <w:jc w:val="both"/>
        <w:rPr>
          <w:rFonts w:ascii="Arial" w:hAnsi="Arial" w:cs="Arial"/>
          <w:sz w:val="40"/>
          <w:szCs w:val="40"/>
        </w:rPr>
      </w:pPr>
      <w:bookmarkStart w:id="2" w:name="_Toc206350393"/>
      <w:r w:rsidRPr="00522755">
        <w:rPr>
          <w:rFonts w:ascii="Arial" w:hAnsi="Arial" w:cs="Arial"/>
          <w:sz w:val="40"/>
          <w:szCs w:val="40"/>
        </w:rPr>
        <w:t>Consequences of Bowel Disease in the Community and for the NHS</w:t>
      </w:r>
      <w:bookmarkEnd w:id="2"/>
    </w:p>
    <w:p w14:paraId="6E217029" w14:textId="77777777"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Bowel disease has significant consequences at both community and healthcare system levels, making it a major public health concern. In the community, chronic bowel conditions such as inflammatory bowel disease (IBD) and colorectal cancer can severely affect individuals’ physical, psychological, and social functioning. Persistent symptoms including abdominal pain, fatigue, diarrhoea, and bowel urgency often interfere with daily activities, employment, and education. Many individuals experience reduced productivity, frequent absences from work or study, and limitations in social participation, which can contribute to social isolation and economic disadvantage.</w:t>
      </w:r>
    </w:p>
    <w:p w14:paraId="7E6E891B" w14:textId="0D17E9BE"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The unpredictable nature of bowel disease symptoms can also negatively impact mental health. Anxiety related to symptom flare-ups, fear of incontinence, and concerns about disease progression are common. These psychological effects may extend beyond the individual to family members and caregivers, who may experience emotional stress and increased caregiving responsibilities. At a wider community level, bowel disease contributes to increased demand for social care, welfare support, and workplace accommodations, highlighting its broader societal impact.</w:t>
      </w:r>
    </w:p>
    <w:p w14:paraId="0C1DF27C" w14:textId="6666B418"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For the National Health Service (NHS), bowel disease represents a substantial and growing burden. Management of IBD typically involves lifelong monitoring, long-term medication, regular outpatient appointments, and periodic hospital admissions during disease flare-ups. Advanced treatments such as biologic therapies are costly, placing financial pressure on NHS budgets. Surgical interventions, including bowel resections or stoma formation, further increase healthcare expenditure and require long-term follow-up care.</w:t>
      </w:r>
    </w:p>
    <w:p w14:paraId="4852453B" w14:textId="76D57ABF"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 xml:space="preserve">Colorectal cancer imposes additional strain on NHS services due to the need for screening, diagnostic investigations, and complex treatment pathways involving surgery, chemotherapy, and radiotherapy. Although early detection improves survival rates, late presentation remains common and is associated with poorer outcomes and higher treatment costs. The </w:t>
      </w:r>
      <w:r w:rsidRPr="00522755">
        <w:rPr>
          <w:rFonts w:ascii="Arial" w:hAnsi="Arial" w:cs="Arial"/>
          <w:sz w:val="22"/>
          <w:szCs w:val="22"/>
          <w:lang w:eastAsia="en-US"/>
        </w:rPr>
        <w:lastRenderedPageBreak/>
        <w:t>NHS Bowel Cancer Screening Programme has increased demand for diagnostic services such as colonoscopy, contributing to service pressures.</w:t>
      </w:r>
    </w:p>
    <w:p w14:paraId="1736B8AF" w14:textId="1107F97F"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Overall, bowel disease has wide-ranging consequences that affect individuals, communities, and the NHS. The rising incidence of these conditions, combined with an ageing population, underscores the importance of effective public health strategies focused on prevention, early detection, and efficient long-term management.</w:t>
      </w:r>
    </w:p>
    <w:p w14:paraId="76D2DFAE" w14:textId="27198A06" w:rsidR="00C42A0D" w:rsidRPr="00522755" w:rsidRDefault="00C42A0D" w:rsidP="00522755">
      <w:pPr>
        <w:pStyle w:val="Heading2"/>
        <w:spacing w:line="360" w:lineRule="auto"/>
        <w:jc w:val="both"/>
        <w:rPr>
          <w:rFonts w:ascii="Arial" w:hAnsi="Arial" w:cs="Arial"/>
          <w:sz w:val="40"/>
          <w:szCs w:val="40"/>
        </w:rPr>
      </w:pPr>
      <w:r w:rsidRPr="00522755">
        <w:rPr>
          <w:rFonts w:ascii="Arial" w:hAnsi="Arial" w:cs="Arial"/>
          <w:sz w:val="40"/>
          <w:szCs w:val="40"/>
        </w:rPr>
        <w:lastRenderedPageBreak/>
        <w:t>How Bowel Disease Is Controlled</w:t>
      </w:r>
    </w:p>
    <w:p w14:paraId="62BFD453" w14:textId="77777777" w:rsidR="00C42A0D" w:rsidRPr="00522755" w:rsidRDefault="00C42A0D" w:rsidP="00522755">
      <w:pPr>
        <w:pStyle w:val="Heading1"/>
        <w:spacing w:line="360" w:lineRule="auto"/>
        <w:rPr>
          <w:rFonts w:ascii="Arial" w:eastAsia="Aptos" w:hAnsi="Arial" w:cs="Arial"/>
          <w:color w:val="auto"/>
          <w:sz w:val="22"/>
          <w:szCs w:val="22"/>
        </w:rPr>
      </w:pPr>
      <w:bookmarkStart w:id="3" w:name="_Toc206350395"/>
      <w:r w:rsidRPr="00522755">
        <w:rPr>
          <w:rFonts w:ascii="Arial" w:eastAsia="Aptos" w:hAnsi="Arial" w:cs="Arial"/>
          <w:color w:val="auto"/>
          <w:sz w:val="22"/>
          <w:szCs w:val="22"/>
        </w:rPr>
        <w:t>Control of bowel disease requires a comprehensive public health approach incorporating prevention, early detection, and effective long-term management. Given the chronic nature of inflammatory bowel disease (IBD) and the potentially life-threatening outcomes of colorectal cancer, control strategies operate at primary, secondary, and tertiary levels of prevention.</w:t>
      </w:r>
    </w:p>
    <w:p w14:paraId="08A1B7B7" w14:textId="79FB3CE6" w:rsidR="00C42A0D" w:rsidRPr="00522755" w:rsidRDefault="00C42A0D" w:rsidP="00522755">
      <w:pPr>
        <w:pStyle w:val="Heading1"/>
        <w:spacing w:line="360" w:lineRule="auto"/>
        <w:rPr>
          <w:rFonts w:ascii="Arial" w:eastAsia="Aptos" w:hAnsi="Arial" w:cs="Arial"/>
          <w:color w:val="auto"/>
          <w:sz w:val="22"/>
          <w:szCs w:val="22"/>
        </w:rPr>
      </w:pPr>
      <w:r w:rsidRPr="00522755">
        <w:rPr>
          <w:rFonts w:ascii="Arial" w:eastAsia="Aptos" w:hAnsi="Arial" w:cs="Arial"/>
          <w:color w:val="auto"/>
          <w:sz w:val="22"/>
          <w:szCs w:val="22"/>
        </w:rPr>
        <w:t>Primary prevention aims to reduce the risk of developing bowel disease by addressing modifiable lifestyle and environmental factors. Public health initiatives promote healthy dietary habits, particularly increased fibre intake and reduced consumption of red and processed meats, which are associated with bowel cancer risk. Smoking cessation, maintaining a healthy weight, and regular physical activity are also key preventive measures. Health promotion campaigns play an important role in increasing public awareness of bowel health, encouraging early help-seeking behaviour, and reducing stigma associated with bowel symptoms.</w:t>
      </w:r>
    </w:p>
    <w:p w14:paraId="2332E681" w14:textId="365C3380" w:rsidR="00C42A0D" w:rsidRPr="00522755" w:rsidRDefault="00C42A0D" w:rsidP="00522755">
      <w:pPr>
        <w:pStyle w:val="Heading1"/>
        <w:spacing w:line="360" w:lineRule="auto"/>
        <w:rPr>
          <w:rFonts w:ascii="Arial" w:eastAsia="Aptos" w:hAnsi="Arial" w:cs="Arial"/>
          <w:color w:val="auto"/>
          <w:sz w:val="22"/>
          <w:szCs w:val="22"/>
        </w:rPr>
      </w:pPr>
      <w:r w:rsidRPr="00522755">
        <w:rPr>
          <w:rFonts w:ascii="Arial" w:eastAsia="Aptos" w:hAnsi="Arial" w:cs="Arial"/>
          <w:color w:val="auto"/>
          <w:sz w:val="22"/>
          <w:szCs w:val="22"/>
        </w:rPr>
        <w:t>Secondary prevention focuses on early detection and timely intervention to prevent disease progression. In the UK, the NHS Bowel Cancer Screening Programme is a central control strategy, offering routine screening to eligible populations. Screening allows for the identification and removal of precancerous polyps and early-stage cancers, significantly improving survival rates and reducing mortality. For inflammatory bowel disease, early diagnosis through primary care referral and specialist gastroenterology services enables prompt initiation of treatment, reducing complications such as strictures, fistulas, and long-term bowel damage.</w:t>
      </w:r>
    </w:p>
    <w:p w14:paraId="72C19F2E" w14:textId="77777777" w:rsidR="00C42A0D" w:rsidRPr="00522755" w:rsidRDefault="00C42A0D" w:rsidP="00522755">
      <w:pPr>
        <w:pStyle w:val="Heading1"/>
        <w:spacing w:line="360" w:lineRule="auto"/>
        <w:rPr>
          <w:rFonts w:ascii="Arial" w:eastAsia="Aptos" w:hAnsi="Arial" w:cs="Arial"/>
          <w:color w:val="auto"/>
          <w:sz w:val="22"/>
          <w:szCs w:val="22"/>
        </w:rPr>
      </w:pPr>
      <w:r w:rsidRPr="00522755">
        <w:rPr>
          <w:rFonts w:ascii="Arial" w:eastAsia="Aptos" w:hAnsi="Arial" w:cs="Arial"/>
          <w:color w:val="auto"/>
          <w:sz w:val="22"/>
          <w:szCs w:val="22"/>
        </w:rPr>
        <w:t>Tertiary prevention involves managing established disease to minimise symptoms, prevent complications, and improve quality of life. Medical management of IBD includes the use of anti-inflammatory medications, immunosuppressants, and biologic therapies aimed at inducing and maintaining remission. Surgical intervention may be required for patients with severe disease or complications. For colorectal cancer, treatment pathways typically involve surgery, chemotherapy, radiotherapy, or a combination of these approaches, depending on disease stage.</w:t>
      </w:r>
    </w:p>
    <w:p w14:paraId="738C2466" w14:textId="77777777" w:rsidR="00C42A0D" w:rsidRPr="00522755" w:rsidRDefault="00C42A0D" w:rsidP="00522755">
      <w:pPr>
        <w:pStyle w:val="Heading1"/>
        <w:spacing w:line="360" w:lineRule="auto"/>
        <w:rPr>
          <w:rFonts w:ascii="Arial" w:eastAsia="Aptos" w:hAnsi="Arial" w:cs="Arial"/>
          <w:color w:val="auto"/>
          <w:sz w:val="22"/>
          <w:szCs w:val="22"/>
        </w:rPr>
      </w:pPr>
      <w:r w:rsidRPr="00522755">
        <w:rPr>
          <w:rFonts w:ascii="Arial" w:eastAsia="Aptos" w:hAnsi="Arial" w:cs="Arial"/>
          <w:color w:val="auto"/>
          <w:sz w:val="22"/>
          <w:szCs w:val="22"/>
        </w:rPr>
        <w:lastRenderedPageBreak/>
        <w:t>Effective disease control also relies on multidisciplinary care, involving gastroenterologists, specialist nurses, dietitians, mental health professionals, and primary care providers. Patient education and self-management support are essential components, enabling individuals to recognise symptom changes, adhere to treatment, and reduce relapse risk. Collectively, these strategies demonstrate how bowel disease control extends beyond clinical treatment to encompass wider public health action.</w:t>
      </w:r>
    </w:p>
    <w:p w14:paraId="03F0503E" w14:textId="74F0DD8D" w:rsidR="00530E16" w:rsidRPr="00522755" w:rsidRDefault="00C42A0D" w:rsidP="00522755">
      <w:pPr>
        <w:pStyle w:val="Heading1"/>
        <w:spacing w:line="360" w:lineRule="auto"/>
        <w:rPr>
          <w:rFonts w:ascii="Arial" w:eastAsia="Aptos" w:hAnsi="Arial" w:cs="Arial"/>
          <w:color w:val="auto"/>
          <w:sz w:val="24"/>
          <w:szCs w:val="24"/>
        </w:rPr>
      </w:pPr>
      <w:r w:rsidRPr="00522755">
        <w:rPr>
          <w:rFonts w:ascii="Arial" w:hAnsi="Arial" w:cs="Arial"/>
        </w:rPr>
        <w:t>Factors Influencing the Health and Well-Being of People Affected by Bowel Disease and Those Around Them</w:t>
      </w:r>
      <w:bookmarkEnd w:id="3"/>
    </w:p>
    <w:p w14:paraId="5D1ACE85" w14:textId="77777777"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The health and well-being of individuals affected by bowel disease are influenced by a complex interaction of biological, psychological, social, and environmental factors. These influences not only affect those living with the condition but also have significant implications for families, caregivers, and wider support networks.</w:t>
      </w:r>
    </w:p>
    <w:p w14:paraId="6871B42F" w14:textId="77777777"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Biological factors play a central role in determining health outcomes. Disease type, severity, frequency of flare-ups, and age at diagnosis all influence physical functioning and long-term prognosis. Chronic inflammation, pain, fatigue, and bowel urgency can limit daily activities and reduce overall physical health. Treatment-related side effects, including those associated with long-term medication use or surgical interventions such as stoma formation, may further affect physical well-being and body image.</w:t>
      </w:r>
    </w:p>
    <w:p w14:paraId="6D1A502E" w14:textId="77777777"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Psychological factors are particularly important in bowel disease. Individuals frequently experience anxiety, depression, and emotional distress due to the unpredictable nature of symptoms and fear of disease progression or complications. Concerns about embarrassment, social stigma, and loss of control over bodily functions can negatively impact self-esteem and mental health. Psychological stress may also exacerbate physical symptoms, creating a cyclical relationship between mental and physical health.</w:t>
      </w:r>
    </w:p>
    <w:p w14:paraId="45E06900" w14:textId="2582DE23" w:rsidR="004468F8"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t>Social factors significantly shape well-being. Bowel disease can disrupt education, employment, and social relationships due to frequent medical appointments, hospitalisations, and symptom-related limitations. Reduced work capacity or job loss may result in financial strain, further affecting mental health. Family members and caregivers often experience emotional burden, increased stress, and changes in family dynamics as they provide ongoing support, which can affect their own well-being.</w:t>
      </w:r>
    </w:p>
    <w:p w14:paraId="6FFEFA5C" w14:textId="77777777" w:rsidR="00C42A0D" w:rsidRPr="00522755" w:rsidRDefault="00C42A0D" w:rsidP="00522755">
      <w:pPr>
        <w:spacing w:line="360" w:lineRule="auto"/>
        <w:rPr>
          <w:rFonts w:ascii="Arial" w:hAnsi="Arial" w:cs="Arial"/>
          <w:sz w:val="22"/>
          <w:szCs w:val="22"/>
          <w:lang w:eastAsia="en-US"/>
        </w:rPr>
      </w:pPr>
      <w:r w:rsidRPr="00522755">
        <w:rPr>
          <w:rFonts w:ascii="Arial" w:hAnsi="Arial" w:cs="Arial"/>
          <w:sz w:val="22"/>
          <w:szCs w:val="22"/>
          <w:lang w:eastAsia="en-US"/>
        </w:rPr>
        <w:lastRenderedPageBreak/>
        <w:t>Socioeconomic and environmental factors influence access to healthcare, health literacy, and disease outcomes. Individuals from disadvantaged backgrounds may face barriers to early diagnosis, specialist care, and adherence to treatment. Limited access to healthy food, suitable housing, and supportive work environments can worsen disease management and quality of life. Addressing these wider determinants of health is essential to reducing inequalities associated with bowel disease.</w:t>
      </w:r>
    </w:p>
    <w:p w14:paraId="5172BBB5" w14:textId="23D7930B" w:rsidR="00C42A0D" w:rsidRPr="00522755" w:rsidRDefault="00C42A0D" w:rsidP="00522755">
      <w:pPr>
        <w:spacing w:line="360" w:lineRule="auto"/>
        <w:rPr>
          <w:rFonts w:ascii="Arial" w:hAnsi="Arial" w:cs="Arial"/>
          <w:lang w:eastAsia="en-US"/>
        </w:rPr>
      </w:pPr>
      <w:r w:rsidRPr="00522755">
        <w:rPr>
          <w:rFonts w:ascii="Arial" w:hAnsi="Arial" w:cs="Arial"/>
          <w:sz w:val="22"/>
          <w:szCs w:val="22"/>
          <w:lang w:eastAsia="en-US"/>
        </w:rPr>
        <w:t>Overall, improving health and well-being for those affected by bowel disease requires a holistic public health approach that recognises the interconnected biological, psychological, and social challenges faced by individuals and their support networks</w:t>
      </w:r>
      <w:r w:rsidRPr="00522755">
        <w:rPr>
          <w:rFonts w:ascii="Arial" w:hAnsi="Arial" w:cs="Arial"/>
          <w:lang w:eastAsia="en-US"/>
        </w:rPr>
        <w:t>.</w:t>
      </w:r>
    </w:p>
    <w:p w14:paraId="78C4BB59" w14:textId="77777777" w:rsidR="00723C31" w:rsidRPr="00522755" w:rsidRDefault="00723C31" w:rsidP="00522755">
      <w:pPr>
        <w:spacing w:line="360" w:lineRule="auto"/>
        <w:rPr>
          <w:rFonts w:ascii="Arial" w:hAnsi="Arial" w:cs="Arial"/>
        </w:rPr>
      </w:pPr>
    </w:p>
    <w:p w14:paraId="5F122753" w14:textId="77777777" w:rsidR="00530E16" w:rsidRPr="00522755" w:rsidRDefault="004468F8" w:rsidP="00522755">
      <w:pPr>
        <w:pStyle w:val="Heading1"/>
        <w:spacing w:line="360" w:lineRule="auto"/>
        <w:jc w:val="both"/>
        <w:rPr>
          <w:rFonts w:ascii="Arial" w:hAnsi="Arial" w:cs="Arial"/>
        </w:rPr>
      </w:pPr>
      <w:bookmarkStart w:id="4" w:name="_Toc206350398"/>
      <w:r w:rsidRPr="00522755">
        <w:rPr>
          <w:rFonts w:ascii="Arial" w:hAnsi="Arial" w:cs="Arial"/>
        </w:rPr>
        <w:t>Conclusion</w:t>
      </w:r>
      <w:bookmarkEnd w:id="4"/>
    </w:p>
    <w:p w14:paraId="7400FDEC" w14:textId="0C2CEC3A" w:rsidR="00723C31" w:rsidRPr="00522755" w:rsidRDefault="004A5108" w:rsidP="00522755">
      <w:pPr>
        <w:spacing w:line="360" w:lineRule="auto"/>
        <w:rPr>
          <w:rFonts w:ascii="Arial" w:hAnsi="Arial" w:cs="Arial"/>
        </w:rPr>
      </w:pPr>
      <w:r w:rsidRPr="00522755">
        <w:rPr>
          <w:rFonts w:ascii="Arial" w:hAnsi="Arial" w:cs="Arial"/>
          <w:sz w:val="22"/>
          <w:szCs w:val="22"/>
        </w:rPr>
        <w:t>Bowel disease represents a significant public health challenge due to its widespread impact on individuals, communities, and healthcare systems. The consequences extend beyond physical illness, affecting mental well-being, social participation, and economic productivity, while placing considerable pressure on NHS resources through long-term treatment, hospital admissions, and screening services. Effective control of bowel disease requires a comprehensive public health approach that integrates prevention, early detection, and ongoing management. Strategies such as lifestyle modification, population screening programmes, and multidisciplinary care are essential in reducing disease burden and improving outcomes. Furthermore, the health and well-being of those affected are shaped by a range of biological, psychological, and social factors, highlighting the importance of addressing wider determinants of health. A holistic and preventive public health approach is therefore crucial in minimising inequalities, enhancing quality of life, and ensuring sustainable healthcare delivery for people living with bowel disease</w:t>
      </w:r>
      <w:r w:rsidR="000373CB" w:rsidRPr="00522755">
        <w:rPr>
          <w:rFonts w:ascii="Arial" w:hAnsi="Arial" w:cs="Arial"/>
        </w:rPr>
        <w:t>.</w:t>
      </w:r>
    </w:p>
    <w:p w14:paraId="394EB752" w14:textId="77777777" w:rsidR="00723C31" w:rsidRDefault="00723C31" w:rsidP="00522755">
      <w:pPr>
        <w:pStyle w:val="Heading1"/>
        <w:spacing w:line="360" w:lineRule="auto"/>
      </w:pPr>
    </w:p>
    <w:p w14:paraId="6DA447AC" w14:textId="77777777" w:rsidR="00723C31" w:rsidRDefault="00723C31" w:rsidP="00522755">
      <w:pPr>
        <w:pStyle w:val="Heading1"/>
        <w:spacing w:line="360" w:lineRule="auto"/>
      </w:pPr>
    </w:p>
    <w:p w14:paraId="05C6921C" w14:textId="77777777" w:rsidR="00723C31" w:rsidRDefault="00723C31" w:rsidP="00522755">
      <w:pPr>
        <w:spacing w:line="360" w:lineRule="auto"/>
        <w:rPr>
          <w:rFonts w:asciiTheme="majorHAnsi" w:eastAsiaTheme="majorEastAsia" w:hAnsiTheme="majorHAnsi" w:cstheme="majorBidi"/>
          <w:color w:val="0F4761" w:themeColor="accent1" w:themeShade="BF"/>
          <w:sz w:val="40"/>
          <w:szCs w:val="40"/>
        </w:rPr>
      </w:pPr>
      <w:r>
        <w:br w:type="page"/>
      </w:r>
    </w:p>
    <w:p w14:paraId="2B84B9F2" w14:textId="109D8366" w:rsidR="00530E16" w:rsidRDefault="004468F8" w:rsidP="00522755">
      <w:pPr>
        <w:pStyle w:val="Heading1"/>
        <w:spacing w:line="360" w:lineRule="auto"/>
      </w:pPr>
      <w:bookmarkStart w:id="5" w:name="_Toc206350399"/>
      <w:r>
        <w:lastRenderedPageBreak/>
        <w:t>References</w:t>
      </w:r>
      <w:bookmarkEnd w:id="5"/>
    </w:p>
    <w:bookmarkStart w:id="6" w:name="_Toc206350400"/>
    <w:p w14:paraId="3EC0F754" w14:textId="07EC4688" w:rsidR="004A5108" w:rsidRDefault="004A5108" w:rsidP="00522755">
      <w:pPr>
        <w:spacing w:line="360" w:lineRule="auto"/>
        <w:rPr>
          <w:rFonts w:ascii="Arial" w:eastAsia="Arial" w:hAnsi="Arial" w:cs="Arial"/>
        </w:rPr>
      </w:pPr>
      <w:sdt>
        <w:sdtPr>
          <w:rPr>
            <w:rFonts w:ascii="Arial" w:eastAsia="Arial" w:hAnsi="Arial" w:cs="Arial"/>
          </w:rPr>
          <w:id w:val="898569021"/>
          <w:citation/>
        </w:sdtPr>
        <w:sdtContent>
          <w:r>
            <w:rPr>
              <w:rFonts w:ascii="Arial" w:eastAsia="Arial" w:hAnsi="Arial" w:cs="Arial"/>
            </w:rPr>
            <w:fldChar w:fldCharType="begin"/>
          </w:r>
          <w:r>
            <w:rPr>
              <w:rFonts w:ascii="Arial" w:eastAsia="Arial" w:hAnsi="Arial" w:cs="Arial"/>
            </w:rPr>
            <w:instrText xml:space="preserve"> CITATION Gov \l 2057 </w:instrText>
          </w:r>
          <w:r>
            <w:rPr>
              <w:rFonts w:ascii="Arial" w:eastAsia="Arial" w:hAnsi="Arial" w:cs="Arial"/>
            </w:rPr>
            <w:fldChar w:fldCharType="separate"/>
          </w:r>
          <w:r w:rsidR="00522755" w:rsidRPr="00522755">
            <w:rPr>
              <w:rFonts w:ascii="Arial" w:eastAsia="Arial" w:hAnsi="Arial" w:cs="Arial"/>
              <w:noProof/>
            </w:rPr>
            <w:t>(sources, n.d.)</w:t>
          </w:r>
          <w:r>
            <w:rPr>
              <w:rFonts w:ascii="Arial" w:eastAsia="Arial" w:hAnsi="Arial" w:cs="Arial"/>
            </w:rPr>
            <w:fldChar w:fldCharType="end"/>
          </w:r>
        </w:sdtContent>
      </w:sdt>
    </w:p>
    <w:p w14:paraId="5BC53DF9" w14:textId="71EB7992" w:rsidR="004A5108" w:rsidRDefault="004A5108" w:rsidP="00522755">
      <w:pPr>
        <w:spacing w:line="360" w:lineRule="auto"/>
        <w:rPr>
          <w:rFonts w:ascii="Arial" w:eastAsia="Arial" w:hAnsi="Arial" w:cs="Arial"/>
        </w:rPr>
      </w:pPr>
      <w:sdt>
        <w:sdtPr>
          <w:rPr>
            <w:rFonts w:ascii="Arial" w:eastAsia="Arial" w:hAnsi="Arial" w:cs="Arial"/>
          </w:rPr>
          <w:id w:val="1769652714"/>
          <w:citation/>
        </w:sdtPr>
        <w:sdtContent>
          <w:r>
            <w:rPr>
              <w:rFonts w:ascii="Arial" w:eastAsia="Arial" w:hAnsi="Arial" w:cs="Arial"/>
            </w:rPr>
            <w:fldChar w:fldCharType="begin"/>
          </w:r>
          <w:r>
            <w:rPr>
              <w:rFonts w:ascii="Arial" w:eastAsia="Arial" w:hAnsi="Arial" w:cs="Arial"/>
            </w:rPr>
            <w:instrText xml:space="preserve"> CITATION Gov1 \l 2057 </w:instrText>
          </w:r>
          <w:r>
            <w:rPr>
              <w:rFonts w:ascii="Arial" w:eastAsia="Arial" w:hAnsi="Arial" w:cs="Arial"/>
            </w:rPr>
            <w:fldChar w:fldCharType="separate"/>
          </w:r>
          <w:r w:rsidR="00522755" w:rsidRPr="00522755">
            <w:rPr>
              <w:rFonts w:ascii="Arial" w:eastAsia="Arial" w:hAnsi="Arial" w:cs="Arial"/>
              <w:noProof/>
            </w:rPr>
            <w:t>(sources, n.d.)</w:t>
          </w:r>
          <w:r>
            <w:rPr>
              <w:rFonts w:ascii="Arial" w:eastAsia="Arial" w:hAnsi="Arial" w:cs="Arial"/>
            </w:rPr>
            <w:fldChar w:fldCharType="end"/>
          </w:r>
        </w:sdtContent>
      </w:sdt>
    </w:p>
    <w:p w14:paraId="0F63DFA2" w14:textId="1DE24A88" w:rsidR="004A5108" w:rsidRDefault="00522755" w:rsidP="00522755">
      <w:pPr>
        <w:spacing w:line="360" w:lineRule="auto"/>
        <w:rPr>
          <w:rFonts w:ascii="Arial" w:eastAsia="Arial" w:hAnsi="Arial" w:cs="Arial"/>
        </w:rPr>
      </w:pPr>
      <w:sdt>
        <w:sdtPr>
          <w:rPr>
            <w:rFonts w:ascii="Arial" w:eastAsia="Arial" w:hAnsi="Arial" w:cs="Arial"/>
          </w:rPr>
          <w:id w:val="2130658904"/>
          <w:citation/>
        </w:sdtPr>
        <w:sdtContent>
          <w:r>
            <w:rPr>
              <w:rFonts w:ascii="Arial" w:eastAsia="Arial" w:hAnsi="Arial" w:cs="Arial"/>
            </w:rPr>
            <w:fldChar w:fldCharType="begin"/>
          </w:r>
          <w:r>
            <w:rPr>
              <w:rFonts w:ascii="Arial" w:eastAsia="Arial" w:hAnsi="Arial" w:cs="Arial"/>
            </w:rPr>
            <w:instrText xml:space="preserve"> CITATION Nat25 \l 2057 </w:instrText>
          </w:r>
          <w:r>
            <w:rPr>
              <w:rFonts w:ascii="Arial" w:eastAsia="Arial" w:hAnsi="Arial" w:cs="Arial"/>
            </w:rPr>
            <w:fldChar w:fldCharType="separate"/>
          </w:r>
          <w:r w:rsidRPr="00522755">
            <w:rPr>
              <w:rFonts w:ascii="Arial" w:eastAsia="Arial" w:hAnsi="Arial" w:cs="Arial"/>
              <w:noProof/>
            </w:rPr>
            <w:t>(prevention, 6 December 2025)</w:t>
          </w:r>
          <w:r>
            <w:rPr>
              <w:rFonts w:ascii="Arial" w:eastAsia="Arial" w:hAnsi="Arial" w:cs="Arial"/>
            </w:rPr>
            <w:fldChar w:fldCharType="end"/>
          </w:r>
        </w:sdtContent>
      </w:sdt>
    </w:p>
    <w:p w14:paraId="3F34029B" w14:textId="05B83EDF" w:rsidR="00522755" w:rsidRDefault="00522755" w:rsidP="00522755">
      <w:pPr>
        <w:spacing w:line="360" w:lineRule="auto"/>
        <w:rPr>
          <w:rFonts w:ascii="Arial" w:eastAsia="Arial" w:hAnsi="Arial" w:cs="Arial"/>
        </w:rPr>
      </w:pPr>
      <w:sdt>
        <w:sdtPr>
          <w:rPr>
            <w:rFonts w:ascii="Arial" w:eastAsia="Arial" w:hAnsi="Arial" w:cs="Arial"/>
          </w:rPr>
          <w:id w:val="-1895803811"/>
          <w:citation/>
        </w:sdtPr>
        <w:sdtContent>
          <w:r>
            <w:rPr>
              <w:rFonts w:ascii="Arial" w:eastAsia="Arial" w:hAnsi="Arial" w:cs="Arial"/>
            </w:rPr>
            <w:fldChar w:fldCharType="begin"/>
          </w:r>
          <w:r>
            <w:rPr>
              <w:rFonts w:ascii="Arial" w:eastAsia="Arial" w:hAnsi="Arial" w:cs="Arial"/>
            </w:rPr>
            <w:instrText xml:space="preserve"> CITATION Wol25 \l 2057 </w:instrText>
          </w:r>
          <w:r>
            <w:rPr>
              <w:rFonts w:ascii="Arial" w:eastAsia="Arial" w:hAnsi="Arial" w:cs="Arial"/>
            </w:rPr>
            <w:fldChar w:fldCharType="separate"/>
          </w:r>
          <w:r w:rsidRPr="00522755">
            <w:rPr>
              <w:rFonts w:ascii="Arial" w:eastAsia="Arial" w:hAnsi="Arial" w:cs="Arial"/>
              <w:noProof/>
            </w:rPr>
            <w:t>(London., 2025)</w:t>
          </w:r>
          <w:r>
            <w:rPr>
              <w:rFonts w:ascii="Arial" w:eastAsia="Arial" w:hAnsi="Arial" w:cs="Arial"/>
            </w:rPr>
            <w:fldChar w:fldCharType="end"/>
          </w:r>
        </w:sdtContent>
      </w:sdt>
    </w:p>
    <w:p w14:paraId="16FA15A6" w14:textId="7C56E241" w:rsidR="00522755" w:rsidRDefault="00522755" w:rsidP="00522755">
      <w:pPr>
        <w:spacing w:line="360" w:lineRule="auto"/>
        <w:rPr>
          <w:rFonts w:ascii="Arial" w:eastAsia="Arial" w:hAnsi="Arial" w:cs="Arial"/>
        </w:rPr>
      </w:pPr>
      <w:sdt>
        <w:sdtPr>
          <w:rPr>
            <w:rFonts w:ascii="Arial" w:eastAsia="Arial" w:hAnsi="Arial" w:cs="Arial"/>
          </w:rPr>
          <w:id w:val="-1994017148"/>
          <w:citation/>
        </w:sdtPr>
        <w:sdtContent>
          <w:r>
            <w:rPr>
              <w:rFonts w:ascii="Arial" w:eastAsia="Arial" w:hAnsi="Arial" w:cs="Arial"/>
            </w:rPr>
            <w:fldChar w:fldCharType="begin"/>
          </w:r>
          <w:r>
            <w:rPr>
              <w:rFonts w:ascii="Arial" w:eastAsia="Arial" w:hAnsi="Arial" w:cs="Arial"/>
            </w:rPr>
            <w:instrText xml:space="preserve"> CITATION Mac \l 2057 </w:instrText>
          </w:r>
          <w:r>
            <w:rPr>
              <w:rFonts w:ascii="Arial" w:eastAsia="Arial" w:hAnsi="Arial" w:cs="Arial"/>
            </w:rPr>
            <w:fldChar w:fldCharType="separate"/>
          </w:r>
          <w:r w:rsidRPr="00522755">
            <w:rPr>
              <w:rFonts w:ascii="Arial" w:eastAsia="Arial" w:hAnsi="Arial" w:cs="Arial"/>
              <w:noProof/>
            </w:rPr>
            <w:t>(Macmillan., n.d.)</w:t>
          </w:r>
          <w:r>
            <w:rPr>
              <w:rFonts w:ascii="Arial" w:eastAsia="Arial" w:hAnsi="Arial" w:cs="Arial"/>
            </w:rPr>
            <w:fldChar w:fldCharType="end"/>
          </w:r>
        </w:sdtContent>
      </w:sdt>
    </w:p>
    <w:p w14:paraId="3637D6F8" w14:textId="0B21258E" w:rsidR="00522755" w:rsidRDefault="00522755" w:rsidP="00522755">
      <w:pPr>
        <w:spacing w:line="360" w:lineRule="auto"/>
        <w:rPr>
          <w:rFonts w:ascii="Arial" w:eastAsia="Arial" w:hAnsi="Arial" w:cs="Arial"/>
        </w:rPr>
      </w:pPr>
      <w:sdt>
        <w:sdtPr>
          <w:rPr>
            <w:rFonts w:ascii="Arial" w:eastAsia="Arial" w:hAnsi="Arial" w:cs="Arial"/>
          </w:rPr>
          <w:id w:val="1488592661"/>
          <w:citation/>
        </w:sdtPr>
        <w:sdtContent>
          <w:r>
            <w:rPr>
              <w:rFonts w:ascii="Arial" w:eastAsia="Arial" w:hAnsi="Arial" w:cs="Arial"/>
            </w:rPr>
            <w:fldChar w:fldCharType="begin"/>
          </w:r>
          <w:r>
            <w:rPr>
              <w:rFonts w:ascii="Arial" w:eastAsia="Arial" w:hAnsi="Arial" w:cs="Arial"/>
            </w:rPr>
            <w:instrText xml:space="preserve"> CITATION Cro25 \l 2057 </w:instrText>
          </w:r>
          <w:r>
            <w:rPr>
              <w:rFonts w:ascii="Arial" w:eastAsia="Arial" w:hAnsi="Arial" w:cs="Arial"/>
            </w:rPr>
            <w:fldChar w:fldCharType="separate"/>
          </w:r>
          <w:r w:rsidRPr="00522755">
            <w:rPr>
              <w:rFonts w:ascii="Arial" w:eastAsia="Arial" w:hAnsi="Arial" w:cs="Arial"/>
              <w:noProof/>
            </w:rPr>
            <w:t>(UK., 2025)</w:t>
          </w:r>
          <w:r>
            <w:rPr>
              <w:rFonts w:ascii="Arial" w:eastAsia="Arial" w:hAnsi="Arial" w:cs="Arial"/>
            </w:rPr>
            <w:fldChar w:fldCharType="end"/>
          </w:r>
        </w:sdtContent>
      </w:sdt>
    </w:p>
    <w:p w14:paraId="501D8936" w14:textId="77777777" w:rsidR="00522755" w:rsidRDefault="00522755" w:rsidP="00522755">
      <w:pPr>
        <w:spacing w:line="360" w:lineRule="auto"/>
        <w:rPr>
          <w:rFonts w:ascii="Arial" w:eastAsia="Arial" w:hAnsi="Arial" w:cs="Arial"/>
        </w:rPr>
      </w:pPr>
    </w:p>
    <w:bookmarkEnd w:id="6" w:displacedByCustomXml="next"/>
    <w:sdt>
      <w:sdtPr>
        <w:id w:val="761721323"/>
        <w:docPartObj>
          <w:docPartGallery w:val="Bibliographies"/>
          <w:docPartUnique/>
        </w:docPartObj>
      </w:sdtPr>
      <w:sdtEndPr>
        <w:rPr>
          <w:rFonts w:ascii="Aptos" w:eastAsia="Aptos" w:hAnsi="Aptos" w:cs="Aptos"/>
          <w:color w:val="auto"/>
          <w:sz w:val="24"/>
          <w:szCs w:val="24"/>
        </w:rPr>
      </w:sdtEndPr>
      <w:sdtContent>
        <w:p w14:paraId="394EE47F" w14:textId="03420480" w:rsidR="00522755" w:rsidRDefault="00522755" w:rsidP="00522755">
          <w:pPr>
            <w:pStyle w:val="Heading1"/>
            <w:spacing w:line="360" w:lineRule="auto"/>
          </w:pPr>
          <w:r>
            <w:t>Bibliography</w:t>
          </w:r>
        </w:p>
        <w:sdt>
          <w:sdtPr>
            <w:id w:val="111145805"/>
            <w:bibliography/>
          </w:sdtPr>
          <w:sdtContent>
            <w:p w14:paraId="2D9BE3AF" w14:textId="7B59B1C7" w:rsidR="00522755" w:rsidRDefault="00522755" w:rsidP="00522755">
              <w:pPr>
                <w:pStyle w:val="Bibliography"/>
                <w:spacing w:line="360" w:lineRule="auto"/>
                <w:rPr>
                  <w:noProof/>
                </w:rPr>
              </w:pPr>
              <w:r>
                <w:fldChar w:fldCharType="begin"/>
              </w:r>
              <w:r>
                <w:instrText xml:space="preserve"> BIBLIOGRAPHY </w:instrText>
              </w:r>
              <w:r>
                <w:fldChar w:fldCharType="separate"/>
              </w:r>
            </w:p>
            <w:p w14:paraId="507A8F0F" w14:textId="77777777" w:rsidR="00522755" w:rsidRDefault="00522755" w:rsidP="00522755">
              <w:pPr>
                <w:pStyle w:val="Bibliography"/>
                <w:spacing w:line="360" w:lineRule="auto"/>
                <w:rPr>
                  <w:noProof/>
                </w:rPr>
              </w:pPr>
              <w:r>
                <w:rPr>
                  <w:noProof/>
                </w:rPr>
                <w:t xml:space="preserve">Macmillan., M. C. S. (. C. a. r. f. o. b. c., n.d. </w:t>
              </w:r>
              <w:r>
                <w:rPr>
                  <w:i/>
                  <w:iCs/>
                  <w:noProof/>
                </w:rPr>
                <w:t xml:space="preserve">https://www.macmillan.org.uk/cancer-information-and-support/bowel-cancer/causes-and-risk-factors-of-bowel-cancer. </w:t>
              </w:r>
              <w:r>
                <w:rPr>
                  <w:noProof/>
                </w:rPr>
                <w:t xml:space="preserve">[Online] </w:t>
              </w:r>
              <w:r>
                <w:rPr>
                  <w:noProof/>
                </w:rPr>
                <w:br/>
                <w:t xml:space="preserve">Available at: </w:t>
              </w:r>
              <w:r>
                <w:rPr>
                  <w:noProof/>
                  <w:u w:val="single"/>
                </w:rPr>
                <w:t>https://www.macmillan.org.uk/cancer-information-and-support/bowel-cancer/causes-and-risk-factors-of-bowel-cancer</w:t>
              </w:r>
            </w:p>
            <w:p w14:paraId="08CF0E2A" w14:textId="77777777" w:rsidR="00522755" w:rsidRDefault="00522755" w:rsidP="00522755">
              <w:pPr>
                <w:pStyle w:val="Bibliography"/>
                <w:spacing w:line="360" w:lineRule="auto"/>
                <w:rPr>
                  <w:noProof/>
                </w:rPr>
              </w:pPr>
              <w:r>
                <w:rPr>
                  <w:noProof/>
                </w:rPr>
                <w:t xml:space="preserve">NHS, 2019. </w:t>
              </w:r>
              <w:r>
                <w:rPr>
                  <w:i/>
                  <w:iCs/>
                  <w:noProof/>
                </w:rPr>
                <w:t xml:space="preserve">The NHS Long Term Plan. </w:t>
              </w:r>
              <w:r>
                <w:rPr>
                  <w:noProof/>
                </w:rPr>
                <w:t xml:space="preserve">[Online] </w:t>
              </w:r>
              <w:r>
                <w:rPr>
                  <w:noProof/>
                </w:rPr>
                <w:br/>
                <w:t xml:space="preserve">Available at: </w:t>
              </w:r>
              <w:r>
                <w:rPr>
                  <w:noProof/>
                  <w:u w:val="single"/>
                </w:rPr>
                <w:t>https://www.longtermplan.nhs.uk</w:t>
              </w:r>
            </w:p>
            <w:p w14:paraId="0A5F2153" w14:textId="77777777" w:rsidR="00522755" w:rsidRDefault="00522755" w:rsidP="00522755">
              <w:pPr>
                <w:pStyle w:val="Bibliography"/>
                <w:spacing w:line="360" w:lineRule="auto"/>
                <w:rPr>
                  <w:noProof/>
                </w:rPr>
              </w:pPr>
              <w:r>
                <w:rPr>
                  <w:noProof/>
                </w:rPr>
                <w:t xml:space="preserve">NHS, 2025. </w:t>
              </w:r>
              <w:r>
                <w:rPr>
                  <w:i/>
                  <w:iCs/>
                  <w:noProof/>
                </w:rPr>
                <w:t xml:space="preserve">Social care and support guide. </w:t>
              </w:r>
              <w:r>
                <w:rPr>
                  <w:noProof/>
                </w:rPr>
                <w:t xml:space="preserve">[Online] </w:t>
              </w:r>
              <w:r>
                <w:rPr>
                  <w:noProof/>
                </w:rPr>
                <w:br/>
                <w:t xml:space="preserve">Available at: </w:t>
              </w:r>
              <w:r>
                <w:rPr>
                  <w:noProof/>
                  <w:u w:val="single"/>
                </w:rPr>
                <w:t>https://www.nhs.uk/social-care-and-support/</w:t>
              </w:r>
            </w:p>
            <w:p w14:paraId="7E8E2C3D" w14:textId="77777777" w:rsidR="00522755" w:rsidRDefault="00522755" w:rsidP="00522755">
              <w:pPr>
                <w:pStyle w:val="Bibliography"/>
                <w:spacing w:line="360" w:lineRule="auto"/>
                <w:rPr>
                  <w:noProof/>
                </w:rPr>
              </w:pPr>
              <w:r>
                <w:rPr>
                  <w:noProof/>
                </w:rPr>
                <w:t xml:space="preserve">prevention, N. I. f. H. a. C. E. (. C. c., 6 December 2025. </w:t>
              </w:r>
              <w:r>
                <w:rPr>
                  <w:i/>
                  <w:iCs/>
                  <w:noProof/>
                </w:rPr>
                <w:t xml:space="preserve">colonoscopic surveillance in adults with ulcerative colitis, Crohn’s disease or adenomas (CG118). </w:t>
              </w:r>
              <w:r>
                <w:rPr>
                  <w:noProof/>
                </w:rPr>
                <w:t xml:space="preserve">[Online] </w:t>
              </w:r>
              <w:r>
                <w:rPr>
                  <w:noProof/>
                </w:rPr>
                <w:br/>
                <w:t xml:space="preserve">Available at: </w:t>
              </w:r>
              <w:r>
                <w:rPr>
                  <w:noProof/>
                  <w:u w:val="single"/>
                </w:rPr>
                <w:t>https://www.nice.org.uk/guidance/cg118</w:t>
              </w:r>
            </w:p>
            <w:p w14:paraId="2F441E1E" w14:textId="77777777" w:rsidR="00522755" w:rsidRDefault="00522755" w:rsidP="00522755">
              <w:pPr>
                <w:pStyle w:val="Bibliography"/>
                <w:spacing w:line="360" w:lineRule="auto"/>
                <w:rPr>
                  <w:noProof/>
                </w:rPr>
              </w:pPr>
              <w:r>
                <w:rPr>
                  <w:noProof/>
                </w:rPr>
                <w:t xml:space="preserve">service, A. p., 2021. </w:t>
              </w:r>
              <w:r>
                <w:rPr>
                  <w:i/>
                  <w:iCs/>
                  <w:noProof/>
                </w:rPr>
                <w:t xml:space="preserve">GOV.UK. </w:t>
              </w:r>
              <w:r>
                <w:rPr>
                  <w:noProof/>
                </w:rPr>
                <w:t xml:space="preserve">[Online] </w:t>
              </w:r>
              <w:r>
                <w:rPr>
                  <w:noProof/>
                </w:rPr>
                <w:br/>
                <w:t xml:space="preserve">Available at: </w:t>
              </w:r>
              <w:r>
                <w:rPr>
                  <w:noProof/>
                  <w:u w:val="single"/>
                </w:rPr>
                <w:lastRenderedPageBreak/>
                <w:t>https://assets.publishing.service.gov.uk/media/6234b0a6e90e0779a18d3f46/people-at-the-heart-of-care-asc-reform-accessible-with-correction-slip.pdf</w:t>
              </w:r>
            </w:p>
            <w:p w14:paraId="63442569" w14:textId="77777777" w:rsidR="00522755" w:rsidRDefault="00522755" w:rsidP="00522755">
              <w:pPr>
                <w:pStyle w:val="Bibliography"/>
                <w:spacing w:line="360" w:lineRule="auto"/>
                <w:rPr>
                  <w:noProof/>
                </w:rPr>
              </w:pPr>
              <w:r>
                <w:rPr>
                  <w:noProof/>
                </w:rPr>
                <w:t xml:space="preserve">sources, G. /. N., n.d. </w:t>
              </w:r>
              <w:r>
                <w:rPr>
                  <w:i/>
                  <w:iCs/>
                  <w:noProof/>
                </w:rPr>
                <w:t xml:space="preserve">NHS (2023) Inflammatory bowel disease. NHS.. </w:t>
              </w:r>
              <w:r>
                <w:rPr>
                  <w:noProof/>
                </w:rPr>
                <w:t xml:space="preserve">[Online] </w:t>
              </w:r>
              <w:r>
                <w:rPr>
                  <w:noProof/>
                </w:rPr>
                <w:br/>
                <w:t xml:space="preserve">Available at: </w:t>
              </w:r>
              <w:r>
                <w:rPr>
                  <w:noProof/>
                  <w:u w:val="single"/>
                </w:rPr>
                <w:t>https://www.nhs.uk/conditions/inflammatory-bowel-disease/ (Accessed: 6 December 2025).</w:t>
              </w:r>
            </w:p>
            <w:p w14:paraId="485C160B" w14:textId="77777777" w:rsidR="00522755" w:rsidRDefault="00522755" w:rsidP="00522755">
              <w:pPr>
                <w:pStyle w:val="Bibliography"/>
                <w:spacing w:line="360" w:lineRule="auto"/>
                <w:rPr>
                  <w:noProof/>
                </w:rPr>
              </w:pPr>
              <w:r>
                <w:rPr>
                  <w:noProof/>
                </w:rPr>
                <w:t xml:space="preserve">sources, G. /. N., n.d. </w:t>
              </w:r>
              <w:r>
                <w:rPr>
                  <w:i/>
                  <w:iCs/>
                  <w:noProof/>
                </w:rPr>
                <w:t xml:space="preserve">NHS (2025) Ulcerative colitis. NHS.. </w:t>
              </w:r>
              <w:r>
                <w:rPr>
                  <w:noProof/>
                </w:rPr>
                <w:t xml:space="preserve">[Online] </w:t>
              </w:r>
              <w:r>
                <w:rPr>
                  <w:noProof/>
                </w:rPr>
                <w:br/>
                <w:t xml:space="preserve">Available at: </w:t>
              </w:r>
              <w:r>
                <w:rPr>
                  <w:noProof/>
                  <w:u w:val="single"/>
                </w:rPr>
                <w:t xml:space="preserve">https://www.nhs.uk/conditions/ulcerative-colitis/ </w:t>
              </w:r>
            </w:p>
            <w:p w14:paraId="0FC6893A" w14:textId="77777777" w:rsidR="00522755" w:rsidRDefault="00522755" w:rsidP="00522755">
              <w:pPr>
                <w:pStyle w:val="Bibliography"/>
                <w:spacing w:line="360" w:lineRule="auto"/>
                <w:rPr>
                  <w:noProof/>
                </w:rPr>
              </w:pPr>
              <w:r>
                <w:rPr>
                  <w:noProof/>
                </w:rPr>
                <w:t xml:space="preserve">UK., C. &amp;. C. U. (. R. o. b. c. a. o. g. c. C. &amp;. C., 2025. [Online] </w:t>
              </w:r>
              <w:r>
                <w:rPr>
                  <w:noProof/>
                </w:rPr>
                <w:br/>
                <w:t xml:space="preserve">Available at: </w:t>
              </w:r>
              <w:r>
                <w:rPr>
                  <w:noProof/>
                  <w:u w:val="single"/>
                </w:rPr>
                <w:t>https://www.crohnsandcolitis.org.uk/info-support/information-about-crohns-and-colitis/all-information-about-crohns-and-colitis/surgery-and-complications/risk-of-bowel-cancer-and-other-gut-related-cancers</w:t>
              </w:r>
            </w:p>
            <w:p w14:paraId="22A0BCB9" w14:textId="6C0E7F99" w:rsidR="00522755" w:rsidRDefault="00522755" w:rsidP="00522755">
              <w:pPr>
                <w:spacing w:line="360" w:lineRule="auto"/>
              </w:pPr>
              <w:r>
                <w:rPr>
                  <w:b/>
                  <w:bCs/>
                  <w:noProof/>
                </w:rPr>
                <w:fldChar w:fldCharType="end"/>
              </w:r>
            </w:p>
          </w:sdtContent>
        </w:sdt>
      </w:sdtContent>
    </w:sdt>
    <w:p w14:paraId="4ABCA1D5" w14:textId="23A9848D" w:rsidR="00723C31" w:rsidRDefault="00723C31" w:rsidP="00522755">
      <w:pPr>
        <w:spacing w:line="360" w:lineRule="auto"/>
      </w:pPr>
    </w:p>
    <w:p w14:paraId="348C253A" w14:textId="630526BC" w:rsidR="00434039" w:rsidRDefault="00434039" w:rsidP="00522755">
      <w:pPr>
        <w:spacing w:line="360" w:lineRule="auto"/>
        <w:rPr>
          <w:rFonts w:ascii="Arial" w:eastAsia="Arial" w:hAnsi="Arial" w:cs="Arial"/>
        </w:rPr>
      </w:pPr>
    </w:p>
    <w:sectPr w:rsidR="00434039"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C3163" w14:textId="77777777" w:rsidR="00FA7D1E" w:rsidRDefault="00FA7D1E" w:rsidP="002A1842">
      <w:pPr>
        <w:spacing w:after="0" w:line="240" w:lineRule="auto"/>
      </w:pPr>
      <w:r>
        <w:separator/>
      </w:r>
    </w:p>
  </w:endnote>
  <w:endnote w:type="continuationSeparator" w:id="0">
    <w:p w14:paraId="23FB01F1" w14:textId="77777777" w:rsidR="00FA7D1E" w:rsidRDefault="00FA7D1E"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472B308" w14:textId="77777777" w:rsidR="00722EFE" w:rsidRDefault="00722EFE">
        <w:pPr>
          <w:pStyle w:val="Footer"/>
          <w:jc w:val="center"/>
        </w:pPr>
        <w:r>
          <w:fldChar w:fldCharType="begin"/>
        </w:r>
        <w:r>
          <w:instrText xml:space="preserve"> PAGE   \* MERGEFORMAT </w:instrText>
        </w:r>
        <w:r>
          <w:fldChar w:fldCharType="separate"/>
        </w:r>
        <w:r w:rsidR="008E7834">
          <w:rPr>
            <w:noProof/>
          </w:rPr>
          <w:t>4</w:t>
        </w:r>
        <w:r>
          <w:rPr>
            <w:noProof/>
          </w:rPr>
          <w:fldChar w:fldCharType="end"/>
        </w:r>
      </w:p>
    </w:sdtContent>
  </w:sdt>
  <w:p w14:paraId="3F4ADB0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5A4F19B"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3D5ACD6"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480DD" w14:textId="77777777" w:rsidR="00FA7D1E" w:rsidRDefault="00FA7D1E" w:rsidP="002A1842">
      <w:pPr>
        <w:spacing w:after="0" w:line="240" w:lineRule="auto"/>
      </w:pPr>
      <w:r>
        <w:separator/>
      </w:r>
    </w:p>
  </w:footnote>
  <w:footnote w:type="continuationSeparator" w:id="0">
    <w:p w14:paraId="31B4F71C" w14:textId="77777777" w:rsidR="00FA7D1E" w:rsidRDefault="00FA7D1E"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6697171">
    <w:abstractNumId w:val="3"/>
  </w:num>
  <w:num w:numId="2" w16cid:durableId="31657826">
    <w:abstractNumId w:val="2"/>
  </w:num>
  <w:num w:numId="3" w16cid:durableId="738478525">
    <w:abstractNumId w:val="1"/>
  </w:num>
  <w:num w:numId="4" w16cid:durableId="544417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73CB"/>
    <w:rsid w:val="00172AD1"/>
    <w:rsid w:val="001813E7"/>
    <w:rsid w:val="002A1842"/>
    <w:rsid w:val="002C0402"/>
    <w:rsid w:val="00350534"/>
    <w:rsid w:val="0039708B"/>
    <w:rsid w:val="003D5473"/>
    <w:rsid w:val="00434039"/>
    <w:rsid w:val="004468F8"/>
    <w:rsid w:val="004A5108"/>
    <w:rsid w:val="00522755"/>
    <w:rsid w:val="00530E16"/>
    <w:rsid w:val="00600CB2"/>
    <w:rsid w:val="006645E1"/>
    <w:rsid w:val="006B581B"/>
    <w:rsid w:val="00722EFE"/>
    <w:rsid w:val="00723C31"/>
    <w:rsid w:val="007744BF"/>
    <w:rsid w:val="008317DE"/>
    <w:rsid w:val="008E7834"/>
    <w:rsid w:val="00A75B15"/>
    <w:rsid w:val="00AE06EA"/>
    <w:rsid w:val="00B65ED6"/>
    <w:rsid w:val="00B849BD"/>
    <w:rsid w:val="00C42A0D"/>
    <w:rsid w:val="00CB785E"/>
    <w:rsid w:val="00CE0B93"/>
    <w:rsid w:val="00CF650B"/>
    <w:rsid w:val="00D561A5"/>
    <w:rsid w:val="00DD02C6"/>
    <w:rsid w:val="00F618F2"/>
    <w:rsid w:val="00FA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10FA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before="120" w:after="0"/>
    </w:pPr>
    <w:rPr>
      <w:rFonts w:asciiTheme="minorHAnsi" w:hAnsiTheme="minorHAnsi"/>
      <w:b/>
      <w:bCs/>
      <w:i/>
      <w:iCs/>
    </w:rPr>
  </w:style>
  <w:style w:type="paragraph" w:styleId="TOC2">
    <w:name w:val="toc 2"/>
    <w:basedOn w:val="Normal"/>
    <w:next w:val="Normal"/>
    <w:autoRedefine/>
    <w:uiPriority w:val="39"/>
    <w:unhideWhenUsed/>
    <w:rsid w:val="000B77AD"/>
    <w:pPr>
      <w:spacing w:before="120" w:after="0"/>
      <w:ind w:left="240"/>
    </w:pPr>
    <w:rPr>
      <w:rFonts w:asciiTheme="minorHAnsi" w:hAnsiTheme="minorHAnsi"/>
      <w:b/>
      <w:bCs/>
      <w:sz w:val="22"/>
      <w:szCs w:val="22"/>
    </w:r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Bibliography">
    <w:name w:val="Bibliography"/>
    <w:basedOn w:val="Normal"/>
    <w:next w:val="Normal"/>
    <w:uiPriority w:val="37"/>
    <w:unhideWhenUsed/>
    <w:rsid w:val="00600CB2"/>
  </w:style>
  <w:style w:type="paragraph" w:styleId="TOC3">
    <w:name w:val="toc 3"/>
    <w:basedOn w:val="Normal"/>
    <w:next w:val="Normal"/>
    <w:autoRedefine/>
    <w:uiPriority w:val="39"/>
    <w:semiHidden/>
    <w:unhideWhenUsed/>
    <w:rsid w:val="00723C31"/>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723C31"/>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723C31"/>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723C31"/>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723C31"/>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723C31"/>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723C31"/>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5490">
      <w:bodyDiv w:val="1"/>
      <w:marLeft w:val="0"/>
      <w:marRight w:val="0"/>
      <w:marTop w:val="0"/>
      <w:marBottom w:val="0"/>
      <w:divBdr>
        <w:top w:val="none" w:sz="0" w:space="0" w:color="auto"/>
        <w:left w:val="none" w:sz="0" w:space="0" w:color="auto"/>
        <w:bottom w:val="none" w:sz="0" w:space="0" w:color="auto"/>
        <w:right w:val="none" w:sz="0" w:space="0" w:color="auto"/>
      </w:divBdr>
    </w:div>
    <w:div w:id="28340399">
      <w:bodyDiv w:val="1"/>
      <w:marLeft w:val="0"/>
      <w:marRight w:val="0"/>
      <w:marTop w:val="0"/>
      <w:marBottom w:val="0"/>
      <w:divBdr>
        <w:top w:val="none" w:sz="0" w:space="0" w:color="auto"/>
        <w:left w:val="none" w:sz="0" w:space="0" w:color="auto"/>
        <w:bottom w:val="none" w:sz="0" w:space="0" w:color="auto"/>
        <w:right w:val="none" w:sz="0" w:space="0" w:color="auto"/>
      </w:divBdr>
    </w:div>
    <w:div w:id="108822459">
      <w:bodyDiv w:val="1"/>
      <w:marLeft w:val="0"/>
      <w:marRight w:val="0"/>
      <w:marTop w:val="0"/>
      <w:marBottom w:val="0"/>
      <w:divBdr>
        <w:top w:val="none" w:sz="0" w:space="0" w:color="auto"/>
        <w:left w:val="none" w:sz="0" w:space="0" w:color="auto"/>
        <w:bottom w:val="none" w:sz="0" w:space="0" w:color="auto"/>
        <w:right w:val="none" w:sz="0" w:space="0" w:color="auto"/>
      </w:divBdr>
    </w:div>
    <w:div w:id="223419677">
      <w:bodyDiv w:val="1"/>
      <w:marLeft w:val="0"/>
      <w:marRight w:val="0"/>
      <w:marTop w:val="0"/>
      <w:marBottom w:val="0"/>
      <w:divBdr>
        <w:top w:val="none" w:sz="0" w:space="0" w:color="auto"/>
        <w:left w:val="none" w:sz="0" w:space="0" w:color="auto"/>
        <w:bottom w:val="none" w:sz="0" w:space="0" w:color="auto"/>
        <w:right w:val="none" w:sz="0" w:space="0" w:color="auto"/>
      </w:divBdr>
    </w:div>
    <w:div w:id="225917716">
      <w:bodyDiv w:val="1"/>
      <w:marLeft w:val="0"/>
      <w:marRight w:val="0"/>
      <w:marTop w:val="0"/>
      <w:marBottom w:val="0"/>
      <w:divBdr>
        <w:top w:val="none" w:sz="0" w:space="0" w:color="auto"/>
        <w:left w:val="none" w:sz="0" w:space="0" w:color="auto"/>
        <w:bottom w:val="none" w:sz="0" w:space="0" w:color="auto"/>
        <w:right w:val="none" w:sz="0" w:space="0" w:color="auto"/>
      </w:divBdr>
    </w:div>
    <w:div w:id="244726932">
      <w:bodyDiv w:val="1"/>
      <w:marLeft w:val="0"/>
      <w:marRight w:val="0"/>
      <w:marTop w:val="0"/>
      <w:marBottom w:val="0"/>
      <w:divBdr>
        <w:top w:val="none" w:sz="0" w:space="0" w:color="auto"/>
        <w:left w:val="none" w:sz="0" w:space="0" w:color="auto"/>
        <w:bottom w:val="none" w:sz="0" w:space="0" w:color="auto"/>
        <w:right w:val="none" w:sz="0" w:space="0" w:color="auto"/>
      </w:divBdr>
    </w:div>
    <w:div w:id="286934703">
      <w:bodyDiv w:val="1"/>
      <w:marLeft w:val="0"/>
      <w:marRight w:val="0"/>
      <w:marTop w:val="0"/>
      <w:marBottom w:val="0"/>
      <w:divBdr>
        <w:top w:val="none" w:sz="0" w:space="0" w:color="auto"/>
        <w:left w:val="none" w:sz="0" w:space="0" w:color="auto"/>
        <w:bottom w:val="none" w:sz="0" w:space="0" w:color="auto"/>
        <w:right w:val="none" w:sz="0" w:space="0" w:color="auto"/>
      </w:divBdr>
    </w:div>
    <w:div w:id="343019858">
      <w:bodyDiv w:val="1"/>
      <w:marLeft w:val="0"/>
      <w:marRight w:val="0"/>
      <w:marTop w:val="0"/>
      <w:marBottom w:val="0"/>
      <w:divBdr>
        <w:top w:val="none" w:sz="0" w:space="0" w:color="auto"/>
        <w:left w:val="none" w:sz="0" w:space="0" w:color="auto"/>
        <w:bottom w:val="none" w:sz="0" w:space="0" w:color="auto"/>
        <w:right w:val="none" w:sz="0" w:space="0" w:color="auto"/>
      </w:divBdr>
    </w:div>
    <w:div w:id="381683009">
      <w:bodyDiv w:val="1"/>
      <w:marLeft w:val="0"/>
      <w:marRight w:val="0"/>
      <w:marTop w:val="0"/>
      <w:marBottom w:val="0"/>
      <w:divBdr>
        <w:top w:val="none" w:sz="0" w:space="0" w:color="auto"/>
        <w:left w:val="none" w:sz="0" w:space="0" w:color="auto"/>
        <w:bottom w:val="none" w:sz="0" w:space="0" w:color="auto"/>
        <w:right w:val="none" w:sz="0" w:space="0" w:color="auto"/>
      </w:divBdr>
    </w:div>
    <w:div w:id="394014640">
      <w:bodyDiv w:val="1"/>
      <w:marLeft w:val="0"/>
      <w:marRight w:val="0"/>
      <w:marTop w:val="0"/>
      <w:marBottom w:val="0"/>
      <w:divBdr>
        <w:top w:val="none" w:sz="0" w:space="0" w:color="auto"/>
        <w:left w:val="none" w:sz="0" w:space="0" w:color="auto"/>
        <w:bottom w:val="none" w:sz="0" w:space="0" w:color="auto"/>
        <w:right w:val="none" w:sz="0" w:space="0" w:color="auto"/>
      </w:divBdr>
    </w:div>
    <w:div w:id="435368775">
      <w:bodyDiv w:val="1"/>
      <w:marLeft w:val="0"/>
      <w:marRight w:val="0"/>
      <w:marTop w:val="0"/>
      <w:marBottom w:val="0"/>
      <w:divBdr>
        <w:top w:val="none" w:sz="0" w:space="0" w:color="auto"/>
        <w:left w:val="none" w:sz="0" w:space="0" w:color="auto"/>
        <w:bottom w:val="none" w:sz="0" w:space="0" w:color="auto"/>
        <w:right w:val="none" w:sz="0" w:space="0" w:color="auto"/>
      </w:divBdr>
    </w:div>
    <w:div w:id="466120749">
      <w:bodyDiv w:val="1"/>
      <w:marLeft w:val="0"/>
      <w:marRight w:val="0"/>
      <w:marTop w:val="0"/>
      <w:marBottom w:val="0"/>
      <w:divBdr>
        <w:top w:val="none" w:sz="0" w:space="0" w:color="auto"/>
        <w:left w:val="none" w:sz="0" w:space="0" w:color="auto"/>
        <w:bottom w:val="none" w:sz="0" w:space="0" w:color="auto"/>
        <w:right w:val="none" w:sz="0" w:space="0" w:color="auto"/>
      </w:divBdr>
    </w:div>
    <w:div w:id="494104741">
      <w:bodyDiv w:val="1"/>
      <w:marLeft w:val="0"/>
      <w:marRight w:val="0"/>
      <w:marTop w:val="0"/>
      <w:marBottom w:val="0"/>
      <w:divBdr>
        <w:top w:val="none" w:sz="0" w:space="0" w:color="auto"/>
        <w:left w:val="none" w:sz="0" w:space="0" w:color="auto"/>
        <w:bottom w:val="none" w:sz="0" w:space="0" w:color="auto"/>
        <w:right w:val="none" w:sz="0" w:space="0" w:color="auto"/>
      </w:divBdr>
    </w:div>
    <w:div w:id="566378260">
      <w:bodyDiv w:val="1"/>
      <w:marLeft w:val="0"/>
      <w:marRight w:val="0"/>
      <w:marTop w:val="0"/>
      <w:marBottom w:val="0"/>
      <w:divBdr>
        <w:top w:val="none" w:sz="0" w:space="0" w:color="auto"/>
        <w:left w:val="none" w:sz="0" w:space="0" w:color="auto"/>
        <w:bottom w:val="none" w:sz="0" w:space="0" w:color="auto"/>
        <w:right w:val="none" w:sz="0" w:space="0" w:color="auto"/>
      </w:divBdr>
    </w:div>
    <w:div w:id="569771940">
      <w:bodyDiv w:val="1"/>
      <w:marLeft w:val="0"/>
      <w:marRight w:val="0"/>
      <w:marTop w:val="0"/>
      <w:marBottom w:val="0"/>
      <w:divBdr>
        <w:top w:val="none" w:sz="0" w:space="0" w:color="auto"/>
        <w:left w:val="none" w:sz="0" w:space="0" w:color="auto"/>
        <w:bottom w:val="none" w:sz="0" w:space="0" w:color="auto"/>
        <w:right w:val="none" w:sz="0" w:space="0" w:color="auto"/>
      </w:divBdr>
    </w:div>
    <w:div w:id="600183259">
      <w:bodyDiv w:val="1"/>
      <w:marLeft w:val="0"/>
      <w:marRight w:val="0"/>
      <w:marTop w:val="0"/>
      <w:marBottom w:val="0"/>
      <w:divBdr>
        <w:top w:val="none" w:sz="0" w:space="0" w:color="auto"/>
        <w:left w:val="none" w:sz="0" w:space="0" w:color="auto"/>
        <w:bottom w:val="none" w:sz="0" w:space="0" w:color="auto"/>
        <w:right w:val="none" w:sz="0" w:space="0" w:color="auto"/>
      </w:divBdr>
    </w:div>
    <w:div w:id="641933743">
      <w:bodyDiv w:val="1"/>
      <w:marLeft w:val="0"/>
      <w:marRight w:val="0"/>
      <w:marTop w:val="0"/>
      <w:marBottom w:val="0"/>
      <w:divBdr>
        <w:top w:val="none" w:sz="0" w:space="0" w:color="auto"/>
        <w:left w:val="none" w:sz="0" w:space="0" w:color="auto"/>
        <w:bottom w:val="none" w:sz="0" w:space="0" w:color="auto"/>
        <w:right w:val="none" w:sz="0" w:space="0" w:color="auto"/>
      </w:divBdr>
    </w:div>
    <w:div w:id="662389410">
      <w:bodyDiv w:val="1"/>
      <w:marLeft w:val="0"/>
      <w:marRight w:val="0"/>
      <w:marTop w:val="0"/>
      <w:marBottom w:val="0"/>
      <w:divBdr>
        <w:top w:val="none" w:sz="0" w:space="0" w:color="auto"/>
        <w:left w:val="none" w:sz="0" w:space="0" w:color="auto"/>
        <w:bottom w:val="none" w:sz="0" w:space="0" w:color="auto"/>
        <w:right w:val="none" w:sz="0" w:space="0" w:color="auto"/>
      </w:divBdr>
    </w:div>
    <w:div w:id="724453210">
      <w:bodyDiv w:val="1"/>
      <w:marLeft w:val="0"/>
      <w:marRight w:val="0"/>
      <w:marTop w:val="0"/>
      <w:marBottom w:val="0"/>
      <w:divBdr>
        <w:top w:val="none" w:sz="0" w:space="0" w:color="auto"/>
        <w:left w:val="none" w:sz="0" w:space="0" w:color="auto"/>
        <w:bottom w:val="none" w:sz="0" w:space="0" w:color="auto"/>
        <w:right w:val="none" w:sz="0" w:space="0" w:color="auto"/>
      </w:divBdr>
    </w:div>
    <w:div w:id="744493733">
      <w:bodyDiv w:val="1"/>
      <w:marLeft w:val="0"/>
      <w:marRight w:val="0"/>
      <w:marTop w:val="0"/>
      <w:marBottom w:val="0"/>
      <w:divBdr>
        <w:top w:val="none" w:sz="0" w:space="0" w:color="auto"/>
        <w:left w:val="none" w:sz="0" w:space="0" w:color="auto"/>
        <w:bottom w:val="none" w:sz="0" w:space="0" w:color="auto"/>
        <w:right w:val="none" w:sz="0" w:space="0" w:color="auto"/>
      </w:divBdr>
    </w:div>
    <w:div w:id="787627573">
      <w:bodyDiv w:val="1"/>
      <w:marLeft w:val="0"/>
      <w:marRight w:val="0"/>
      <w:marTop w:val="0"/>
      <w:marBottom w:val="0"/>
      <w:divBdr>
        <w:top w:val="none" w:sz="0" w:space="0" w:color="auto"/>
        <w:left w:val="none" w:sz="0" w:space="0" w:color="auto"/>
        <w:bottom w:val="none" w:sz="0" w:space="0" w:color="auto"/>
        <w:right w:val="none" w:sz="0" w:space="0" w:color="auto"/>
      </w:divBdr>
    </w:div>
    <w:div w:id="835922392">
      <w:bodyDiv w:val="1"/>
      <w:marLeft w:val="0"/>
      <w:marRight w:val="0"/>
      <w:marTop w:val="0"/>
      <w:marBottom w:val="0"/>
      <w:divBdr>
        <w:top w:val="none" w:sz="0" w:space="0" w:color="auto"/>
        <w:left w:val="none" w:sz="0" w:space="0" w:color="auto"/>
        <w:bottom w:val="none" w:sz="0" w:space="0" w:color="auto"/>
        <w:right w:val="none" w:sz="0" w:space="0" w:color="auto"/>
      </w:divBdr>
    </w:div>
    <w:div w:id="855969666">
      <w:bodyDiv w:val="1"/>
      <w:marLeft w:val="0"/>
      <w:marRight w:val="0"/>
      <w:marTop w:val="0"/>
      <w:marBottom w:val="0"/>
      <w:divBdr>
        <w:top w:val="none" w:sz="0" w:space="0" w:color="auto"/>
        <w:left w:val="none" w:sz="0" w:space="0" w:color="auto"/>
        <w:bottom w:val="none" w:sz="0" w:space="0" w:color="auto"/>
        <w:right w:val="none" w:sz="0" w:space="0" w:color="auto"/>
      </w:divBdr>
    </w:div>
    <w:div w:id="893353894">
      <w:bodyDiv w:val="1"/>
      <w:marLeft w:val="0"/>
      <w:marRight w:val="0"/>
      <w:marTop w:val="0"/>
      <w:marBottom w:val="0"/>
      <w:divBdr>
        <w:top w:val="none" w:sz="0" w:space="0" w:color="auto"/>
        <w:left w:val="none" w:sz="0" w:space="0" w:color="auto"/>
        <w:bottom w:val="none" w:sz="0" w:space="0" w:color="auto"/>
        <w:right w:val="none" w:sz="0" w:space="0" w:color="auto"/>
      </w:divBdr>
    </w:div>
    <w:div w:id="1040321506">
      <w:bodyDiv w:val="1"/>
      <w:marLeft w:val="0"/>
      <w:marRight w:val="0"/>
      <w:marTop w:val="0"/>
      <w:marBottom w:val="0"/>
      <w:divBdr>
        <w:top w:val="none" w:sz="0" w:space="0" w:color="auto"/>
        <w:left w:val="none" w:sz="0" w:space="0" w:color="auto"/>
        <w:bottom w:val="none" w:sz="0" w:space="0" w:color="auto"/>
        <w:right w:val="none" w:sz="0" w:space="0" w:color="auto"/>
      </w:divBdr>
    </w:div>
    <w:div w:id="1044259335">
      <w:bodyDiv w:val="1"/>
      <w:marLeft w:val="0"/>
      <w:marRight w:val="0"/>
      <w:marTop w:val="0"/>
      <w:marBottom w:val="0"/>
      <w:divBdr>
        <w:top w:val="none" w:sz="0" w:space="0" w:color="auto"/>
        <w:left w:val="none" w:sz="0" w:space="0" w:color="auto"/>
        <w:bottom w:val="none" w:sz="0" w:space="0" w:color="auto"/>
        <w:right w:val="none" w:sz="0" w:space="0" w:color="auto"/>
      </w:divBdr>
    </w:div>
    <w:div w:id="1062098987">
      <w:bodyDiv w:val="1"/>
      <w:marLeft w:val="0"/>
      <w:marRight w:val="0"/>
      <w:marTop w:val="0"/>
      <w:marBottom w:val="0"/>
      <w:divBdr>
        <w:top w:val="none" w:sz="0" w:space="0" w:color="auto"/>
        <w:left w:val="none" w:sz="0" w:space="0" w:color="auto"/>
        <w:bottom w:val="none" w:sz="0" w:space="0" w:color="auto"/>
        <w:right w:val="none" w:sz="0" w:space="0" w:color="auto"/>
      </w:divBdr>
    </w:div>
    <w:div w:id="1092704956">
      <w:bodyDiv w:val="1"/>
      <w:marLeft w:val="0"/>
      <w:marRight w:val="0"/>
      <w:marTop w:val="0"/>
      <w:marBottom w:val="0"/>
      <w:divBdr>
        <w:top w:val="none" w:sz="0" w:space="0" w:color="auto"/>
        <w:left w:val="none" w:sz="0" w:space="0" w:color="auto"/>
        <w:bottom w:val="none" w:sz="0" w:space="0" w:color="auto"/>
        <w:right w:val="none" w:sz="0" w:space="0" w:color="auto"/>
      </w:divBdr>
    </w:div>
    <w:div w:id="1109737827">
      <w:bodyDiv w:val="1"/>
      <w:marLeft w:val="0"/>
      <w:marRight w:val="0"/>
      <w:marTop w:val="0"/>
      <w:marBottom w:val="0"/>
      <w:divBdr>
        <w:top w:val="none" w:sz="0" w:space="0" w:color="auto"/>
        <w:left w:val="none" w:sz="0" w:space="0" w:color="auto"/>
        <w:bottom w:val="none" w:sz="0" w:space="0" w:color="auto"/>
        <w:right w:val="none" w:sz="0" w:space="0" w:color="auto"/>
      </w:divBdr>
    </w:div>
    <w:div w:id="1123882185">
      <w:bodyDiv w:val="1"/>
      <w:marLeft w:val="0"/>
      <w:marRight w:val="0"/>
      <w:marTop w:val="0"/>
      <w:marBottom w:val="0"/>
      <w:divBdr>
        <w:top w:val="none" w:sz="0" w:space="0" w:color="auto"/>
        <w:left w:val="none" w:sz="0" w:space="0" w:color="auto"/>
        <w:bottom w:val="none" w:sz="0" w:space="0" w:color="auto"/>
        <w:right w:val="none" w:sz="0" w:space="0" w:color="auto"/>
      </w:divBdr>
    </w:div>
    <w:div w:id="1127120839">
      <w:bodyDiv w:val="1"/>
      <w:marLeft w:val="0"/>
      <w:marRight w:val="0"/>
      <w:marTop w:val="0"/>
      <w:marBottom w:val="0"/>
      <w:divBdr>
        <w:top w:val="none" w:sz="0" w:space="0" w:color="auto"/>
        <w:left w:val="none" w:sz="0" w:space="0" w:color="auto"/>
        <w:bottom w:val="none" w:sz="0" w:space="0" w:color="auto"/>
        <w:right w:val="none" w:sz="0" w:space="0" w:color="auto"/>
      </w:divBdr>
    </w:div>
    <w:div w:id="1243683641">
      <w:bodyDiv w:val="1"/>
      <w:marLeft w:val="0"/>
      <w:marRight w:val="0"/>
      <w:marTop w:val="0"/>
      <w:marBottom w:val="0"/>
      <w:divBdr>
        <w:top w:val="none" w:sz="0" w:space="0" w:color="auto"/>
        <w:left w:val="none" w:sz="0" w:space="0" w:color="auto"/>
        <w:bottom w:val="none" w:sz="0" w:space="0" w:color="auto"/>
        <w:right w:val="none" w:sz="0" w:space="0" w:color="auto"/>
      </w:divBdr>
      <w:divsChild>
        <w:div w:id="223370372">
          <w:marLeft w:val="0"/>
          <w:marRight w:val="0"/>
          <w:marTop w:val="0"/>
          <w:marBottom w:val="0"/>
          <w:divBdr>
            <w:top w:val="none" w:sz="0" w:space="0" w:color="auto"/>
            <w:left w:val="none" w:sz="0" w:space="0" w:color="auto"/>
            <w:bottom w:val="none" w:sz="0" w:space="0" w:color="auto"/>
            <w:right w:val="none" w:sz="0" w:space="0" w:color="auto"/>
          </w:divBdr>
          <w:divsChild>
            <w:div w:id="830752840">
              <w:marLeft w:val="0"/>
              <w:marRight w:val="0"/>
              <w:marTop w:val="0"/>
              <w:marBottom w:val="0"/>
              <w:divBdr>
                <w:top w:val="none" w:sz="0" w:space="0" w:color="auto"/>
                <w:left w:val="none" w:sz="0" w:space="0" w:color="auto"/>
                <w:bottom w:val="none" w:sz="0" w:space="0" w:color="auto"/>
                <w:right w:val="none" w:sz="0" w:space="0" w:color="auto"/>
              </w:divBdr>
              <w:divsChild>
                <w:div w:id="842401387">
                  <w:marLeft w:val="0"/>
                  <w:marRight w:val="0"/>
                  <w:marTop w:val="0"/>
                  <w:marBottom w:val="0"/>
                  <w:divBdr>
                    <w:top w:val="none" w:sz="0" w:space="0" w:color="auto"/>
                    <w:left w:val="none" w:sz="0" w:space="0" w:color="auto"/>
                    <w:bottom w:val="none" w:sz="0" w:space="0" w:color="auto"/>
                    <w:right w:val="none" w:sz="0" w:space="0" w:color="auto"/>
                  </w:divBdr>
                  <w:divsChild>
                    <w:div w:id="526870153">
                      <w:marLeft w:val="0"/>
                      <w:marRight w:val="0"/>
                      <w:marTop w:val="0"/>
                      <w:marBottom w:val="0"/>
                      <w:divBdr>
                        <w:top w:val="none" w:sz="0" w:space="0" w:color="auto"/>
                        <w:left w:val="none" w:sz="0" w:space="0" w:color="auto"/>
                        <w:bottom w:val="none" w:sz="0" w:space="0" w:color="auto"/>
                        <w:right w:val="none" w:sz="0" w:space="0" w:color="auto"/>
                      </w:divBdr>
                      <w:divsChild>
                        <w:div w:id="336428048">
                          <w:marLeft w:val="0"/>
                          <w:marRight w:val="0"/>
                          <w:marTop w:val="0"/>
                          <w:marBottom w:val="0"/>
                          <w:divBdr>
                            <w:top w:val="none" w:sz="0" w:space="0" w:color="auto"/>
                            <w:left w:val="none" w:sz="0" w:space="0" w:color="auto"/>
                            <w:bottom w:val="none" w:sz="0" w:space="0" w:color="auto"/>
                            <w:right w:val="none" w:sz="0" w:space="0" w:color="auto"/>
                          </w:divBdr>
                          <w:divsChild>
                            <w:div w:id="1317027124">
                              <w:marLeft w:val="0"/>
                              <w:marRight w:val="0"/>
                              <w:marTop w:val="0"/>
                              <w:marBottom w:val="0"/>
                              <w:divBdr>
                                <w:top w:val="none" w:sz="0" w:space="0" w:color="auto"/>
                                <w:left w:val="none" w:sz="0" w:space="0" w:color="auto"/>
                                <w:bottom w:val="none" w:sz="0" w:space="0" w:color="auto"/>
                                <w:right w:val="none" w:sz="0" w:space="0" w:color="auto"/>
                              </w:divBdr>
                              <w:divsChild>
                                <w:div w:id="28515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161210">
      <w:bodyDiv w:val="1"/>
      <w:marLeft w:val="0"/>
      <w:marRight w:val="0"/>
      <w:marTop w:val="0"/>
      <w:marBottom w:val="0"/>
      <w:divBdr>
        <w:top w:val="none" w:sz="0" w:space="0" w:color="auto"/>
        <w:left w:val="none" w:sz="0" w:space="0" w:color="auto"/>
        <w:bottom w:val="none" w:sz="0" w:space="0" w:color="auto"/>
        <w:right w:val="none" w:sz="0" w:space="0" w:color="auto"/>
      </w:divBdr>
    </w:div>
    <w:div w:id="1345204710">
      <w:bodyDiv w:val="1"/>
      <w:marLeft w:val="0"/>
      <w:marRight w:val="0"/>
      <w:marTop w:val="0"/>
      <w:marBottom w:val="0"/>
      <w:divBdr>
        <w:top w:val="none" w:sz="0" w:space="0" w:color="auto"/>
        <w:left w:val="none" w:sz="0" w:space="0" w:color="auto"/>
        <w:bottom w:val="none" w:sz="0" w:space="0" w:color="auto"/>
        <w:right w:val="none" w:sz="0" w:space="0" w:color="auto"/>
      </w:divBdr>
    </w:div>
    <w:div w:id="1380395265">
      <w:bodyDiv w:val="1"/>
      <w:marLeft w:val="0"/>
      <w:marRight w:val="0"/>
      <w:marTop w:val="0"/>
      <w:marBottom w:val="0"/>
      <w:divBdr>
        <w:top w:val="none" w:sz="0" w:space="0" w:color="auto"/>
        <w:left w:val="none" w:sz="0" w:space="0" w:color="auto"/>
        <w:bottom w:val="none" w:sz="0" w:space="0" w:color="auto"/>
        <w:right w:val="none" w:sz="0" w:space="0" w:color="auto"/>
      </w:divBdr>
    </w:div>
    <w:div w:id="1413159960">
      <w:bodyDiv w:val="1"/>
      <w:marLeft w:val="0"/>
      <w:marRight w:val="0"/>
      <w:marTop w:val="0"/>
      <w:marBottom w:val="0"/>
      <w:divBdr>
        <w:top w:val="none" w:sz="0" w:space="0" w:color="auto"/>
        <w:left w:val="none" w:sz="0" w:space="0" w:color="auto"/>
        <w:bottom w:val="none" w:sz="0" w:space="0" w:color="auto"/>
        <w:right w:val="none" w:sz="0" w:space="0" w:color="auto"/>
      </w:divBdr>
      <w:divsChild>
        <w:div w:id="820538291">
          <w:marLeft w:val="0"/>
          <w:marRight w:val="0"/>
          <w:marTop w:val="0"/>
          <w:marBottom w:val="0"/>
          <w:divBdr>
            <w:top w:val="none" w:sz="0" w:space="0" w:color="auto"/>
            <w:left w:val="none" w:sz="0" w:space="0" w:color="auto"/>
            <w:bottom w:val="none" w:sz="0" w:space="0" w:color="auto"/>
            <w:right w:val="none" w:sz="0" w:space="0" w:color="auto"/>
          </w:divBdr>
          <w:divsChild>
            <w:div w:id="1599829225">
              <w:marLeft w:val="0"/>
              <w:marRight w:val="0"/>
              <w:marTop w:val="0"/>
              <w:marBottom w:val="0"/>
              <w:divBdr>
                <w:top w:val="none" w:sz="0" w:space="0" w:color="auto"/>
                <w:left w:val="none" w:sz="0" w:space="0" w:color="auto"/>
                <w:bottom w:val="none" w:sz="0" w:space="0" w:color="auto"/>
                <w:right w:val="none" w:sz="0" w:space="0" w:color="auto"/>
              </w:divBdr>
              <w:divsChild>
                <w:div w:id="2098476829">
                  <w:marLeft w:val="0"/>
                  <w:marRight w:val="0"/>
                  <w:marTop w:val="0"/>
                  <w:marBottom w:val="0"/>
                  <w:divBdr>
                    <w:top w:val="none" w:sz="0" w:space="0" w:color="auto"/>
                    <w:left w:val="none" w:sz="0" w:space="0" w:color="auto"/>
                    <w:bottom w:val="none" w:sz="0" w:space="0" w:color="auto"/>
                    <w:right w:val="none" w:sz="0" w:space="0" w:color="auto"/>
                  </w:divBdr>
                  <w:divsChild>
                    <w:div w:id="1049063128">
                      <w:marLeft w:val="0"/>
                      <w:marRight w:val="0"/>
                      <w:marTop w:val="0"/>
                      <w:marBottom w:val="0"/>
                      <w:divBdr>
                        <w:top w:val="none" w:sz="0" w:space="0" w:color="auto"/>
                        <w:left w:val="none" w:sz="0" w:space="0" w:color="auto"/>
                        <w:bottom w:val="none" w:sz="0" w:space="0" w:color="auto"/>
                        <w:right w:val="none" w:sz="0" w:space="0" w:color="auto"/>
                      </w:divBdr>
                      <w:divsChild>
                        <w:div w:id="1818256803">
                          <w:marLeft w:val="0"/>
                          <w:marRight w:val="0"/>
                          <w:marTop w:val="0"/>
                          <w:marBottom w:val="0"/>
                          <w:divBdr>
                            <w:top w:val="none" w:sz="0" w:space="0" w:color="auto"/>
                            <w:left w:val="none" w:sz="0" w:space="0" w:color="auto"/>
                            <w:bottom w:val="none" w:sz="0" w:space="0" w:color="auto"/>
                            <w:right w:val="none" w:sz="0" w:space="0" w:color="auto"/>
                          </w:divBdr>
                          <w:divsChild>
                            <w:div w:id="238297880">
                              <w:marLeft w:val="0"/>
                              <w:marRight w:val="0"/>
                              <w:marTop w:val="0"/>
                              <w:marBottom w:val="0"/>
                              <w:divBdr>
                                <w:top w:val="none" w:sz="0" w:space="0" w:color="auto"/>
                                <w:left w:val="none" w:sz="0" w:space="0" w:color="auto"/>
                                <w:bottom w:val="none" w:sz="0" w:space="0" w:color="auto"/>
                                <w:right w:val="none" w:sz="0" w:space="0" w:color="auto"/>
                              </w:divBdr>
                              <w:divsChild>
                                <w:div w:id="1409377998">
                                  <w:marLeft w:val="0"/>
                                  <w:marRight w:val="0"/>
                                  <w:marTop w:val="0"/>
                                  <w:marBottom w:val="0"/>
                                  <w:divBdr>
                                    <w:top w:val="none" w:sz="0" w:space="0" w:color="auto"/>
                                    <w:left w:val="none" w:sz="0" w:space="0" w:color="auto"/>
                                    <w:bottom w:val="none" w:sz="0" w:space="0" w:color="auto"/>
                                    <w:right w:val="none" w:sz="0" w:space="0" w:color="auto"/>
                                  </w:divBdr>
                                  <w:divsChild>
                                    <w:div w:id="11339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09845">
          <w:marLeft w:val="0"/>
          <w:marRight w:val="0"/>
          <w:marTop w:val="0"/>
          <w:marBottom w:val="0"/>
          <w:divBdr>
            <w:top w:val="none" w:sz="0" w:space="0" w:color="auto"/>
            <w:left w:val="none" w:sz="0" w:space="0" w:color="auto"/>
            <w:bottom w:val="none" w:sz="0" w:space="0" w:color="auto"/>
            <w:right w:val="none" w:sz="0" w:space="0" w:color="auto"/>
          </w:divBdr>
          <w:divsChild>
            <w:div w:id="365834749">
              <w:marLeft w:val="0"/>
              <w:marRight w:val="0"/>
              <w:marTop w:val="0"/>
              <w:marBottom w:val="0"/>
              <w:divBdr>
                <w:top w:val="none" w:sz="0" w:space="0" w:color="auto"/>
                <w:left w:val="none" w:sz="0" w:space="0" w:color="auto"/>
                <w:bottom w:val="none" w:sz="0" w:space="0" w:color="auto"/>
                <w:right w:val="none" w:sz="0" w:space="0" w:color="auto"/>
              </w:divBdr>
              <w:divsChild>
                <w:div w:id="164324636">
                  <w:marLeft w:val="0"/>
                  <w:marRight w:val="0"/>
                  <w:marTop w:val="0"/>
                  <w:marBottom w:val="0"/>
                  <w:divBdr>
                    <w:top w:val="none" w:sz="0" w:space="0" w:color="auto"/>
                    <w:left w:val="none" w:sz="0" w:space="0" w:color="auto"/>
                    <w:bottom w:val="none" w:sz="0" w:space="0" w:color="auto"/>
                    <w:right w:val="none" w:sz="0" w:space="0" w:color="auto"/>
                  </w:divBdr>
                  <w:divsChild>
                    <w:div w:id="369457104">
                      <w:marLeft w:val="0"/>
                      <w:marRight w:val="0"/>
                      <w:marTop w:val="0"/>
                      <w:marBottom w:val="0"/>
                      <w:divBdr>
                        <w:top w:val="none" w:sz="0" w:space="0" w:color="auto"/>
                        <w:left w:val="none" w:sz="0" w:space="0" w:color="auto"/>
                        <w:bottom w:val="none" w:sz="0" w:space="0" w:color="auto"/>
                        <w:right w:val="none" w:sz="0" w:space="0" w:color="auto"/>
                      </w:divBdr>
                      <w:divsChild>
                        <w:div w:id="1214658267">
                          <w:marLeft w:val="0"/>
                          <w:marRight w:val="0"/>
                          <w:marTop w:val="0"/>
                          <w:marBottom w:val="0"/>
                          <w:divBdr>
                            <w:top w:val="none" w:sz="0" w:space="0" w:color="auto"/>
                            <w:left w:val="none" w:sz="0" w:space="0" w:color="auto"/>
                            <w:bottom w:val="none" w:sz="0" w:space="0" w:color="auto"/>
                            <w:right w:val="none" w:sz="0" w:space="0" w:color="auto"/>
                          </w:divBdr>
                          <w:divsChild>
                            <w:div w:id="755128815">
                              <w:marLeft w:val="0"/>
                              <w:marRight w:val="0"/>
                              <w:marTop w:val="0"/>
                              <w:marBottom w:val="0"/>
                              <w:divBdr>
                                <w:top w:val="none" w:sz="0" w:space="0" w:color="auto"/>
                                <w:left w:val="none" w:sz="0" w:space="0" w:color="auto"/>
                                <w:bottom w:val="none" w:sz="0" w:space="0" w:color="auto"/>
                                <w:right w:val="none" w:sz="0" w:space="0" w:color="auto"/>
                              </w:divBdr>
                              <w:divsChild>
                                <w:div w:id="1499806759">
                                  <w:marLeft w:val="0"/>
                                  <w:marRight w:val="0"/>
                                  <w:marTop w:val="0"/>
                                  <w:marBottom w:val="0"/>
                                  <w:divBdr>
                                    <w:top w:val="none" w:sz="0" w:space="0" w:color="auto"/>
                                    <w:left w:val="none" w:sz="0" w:space="0" w:color="auto"/>
                                    <w:bottom w:val="none" w:sz="0" w:space="0" w:color="auto"/>
                                    <w:right w:val="none" w:sz="0" w:space="0" w:color="auto"/>
                                  </w:divBdr>
                                  <w:divsChild>
                                    <w:div w:id="1018628696">
                                      <w:marLeft w:val="0"/>
                                      <w:marRight w:val="0"/>
                                      <w:marTop w:val="0"/>
                                      <w:marBottom w:val="0"/>
                                      <w:divBdr>
                                        <w:top w:val="none" w:sz="0" w:space="0" w:color="auto"/>
                                        <w:left w:val="none" w:sz="0" w:space="0" w:color="auto"/>
                                        <w:bottom w:val="none" w:sz="0" w:space="0" w:color="auto"/>
                                        <w:right w:val="none" w:sz="0" w:space="0" w:color="auto"/>
                                      </w:divBdr>
                                      <w:divsChild>
                                        <w:div w:id="58287943">
                                          <w:marLeft w:val="0"/>
                                          <w:marRight w:val="0"/>
                                          <w:marTop w:val="0"/>
                                          <w:marBottom w:val="0"/>
                                          <w:divBdr>
                                            <w:top w:val="none" w:sz="0" w:space="0" w:color="auto"/>
                                            <w:left w:val="none" w:sz="0" w:space="0" w:color="auto"/>
                                            <w:bottom w:val="none" w:sz="0" w:space="0" w:color="auto"/>
                                            <w:right w:val="none" w:sz="0" w:space="0" w:color="auto"/>
                                          </w:divBdr>
                                          <w:divsChild>
                                            <w:div w:id="138937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6996833">
      <w:bodyDiv w:val="1"/>
      <w:marLeft w:val="0"/>
      <w:marRight w:val="0"/>
      <w:marTop w:val="0"/>
      <w:marBottom w:val="0"/>
      <w:divBdr>
        <w:top w:val="none" w:sz="0" w:space="0" w:color="auto"/>
        <w:left w:val="none" w:sz="0" w:space="0" w:color="auto"/>
        <w:bottom w:val="none" w:sz="0" w:space="0" w:color="auto"/>
        <w:right w:val="none" w:sz="0" w:space="0" w:color="auto"/>
      </w:divBdr>
    </w:div>
    <w:div w:id="1462991151">
      <w:bodyDiv w:val="1"/>
      <w:marLeft w:val="0"/>
      <w:marRight w:val="0"/>
      <w:marTop w:val="0"/>
      <w:marBottom w:val="0"/>
      <w:divBdr>
        <w:top w:val="none" w:sz="0" w:space="0" w:color="auto"/>
        <w:left w:val="none" w:sz="0" w:space="0" w:color="auto"/>
        <w:bottom w:val="none" w:sz="0" w:space="0" w:color="auto"/>
        <w:right w:val="none" w:sz="0" w:space="0" w:color="auto"/>
      </w:divBdr>
    </w:div>
    <w:div w:id="1487551428">
      <w:bodyDiv w:val="1"/>
      <w:marLeft w:val="0"/>
      <w:marRight w:val="0"/>
      <w:marTop w:val="0"/>
      <w:marBottom w:val="0"/>
      <w:divBdr>
        <w:top w:val="none" w:sz="0" w:space="0" w:color="auto"/>
        <w:left w:val="none" w:sz="0" w:space="0" w:color="auto"/>
        <w:bottom w:val="none" w:sz="0" w:space="0" w:color="auto"/>
        <w:right w:val="none" w:sz="0" w:space="0" w:color="auto"/>
      </w:divBdr>
    </w:div>
    <w:div w:id="1531603909">
      <w:bodyDiv w:val="1"/>
      <w:marLeft w:val="0"/>
      <w:marRight w:val="0"/>
      <w:marTop w:val="0"/>
      <w:marBottom w:val="0"/>
      <w:divBdr>
        <w:top w:val="none" w:sz="0" w:space="0" w:color="auto"/>
        <w:left w:val="none" w:sz="0" w:space="0" w:color="auto"/>
        <w:bottom w:val="none" w:sz="0" w:space="0" w:color="auto"/>
        <w:right w:val="none" w:sz="0" w:space="0" w:color="auto"/>
      </w:divBdr>
    </w:div>
    <w:div w:id="1605108872">
      <w:bodyDiv w:val="1"/>
      <w:marLeft w:val="0"/>
      <w:marRight w:val="0"/>
      <w:marTop w:val="0"/>
      <w:marBottom w:val="0"/>
      <w:divBdr>
        <w:top w:val="none" w:sz="0" w:space="0" w:color="auto"/>
        <w:left w:val="none" w:sz="0" w:space="0" w:color="auto"/>
        <w:bottom w:val="none" w:sz="0" w:space="0" w:color="auto"/>
        <w:right w:val="none" w:sz="0" w:space="0" w:color="auto"/>
      </w:divBdr>
    </w:div>
    <w:div w:id="1628857617">
      <w:bodyDiv w:val="1"/>
      <w:marLeft w:val="0"/>
      <w:marRight w:val="0"/>
      <w:marTop w:val="0"/>
      <w:marBottom w:val="0"/>
      <w:divBdr>
        <w:top w:val="none" w:sz="0" w:space="0" w:color="auto"/>
        <w:left w:val="none" w:sz="0" w:space="0" w:color="auto"/>
        <w:bottom w:val="none" w:sz="0" w:space="0" w:color="auto"/>
        <w:right w:val="none" w:sz="0" w:space="0" w:color="auto"/>
      </w:divBdr>
    </w:div>
    <w:div w:id="1657951039">
      <w:bodyDiv w:val="1"/>
      <w:marLeft w:val="0"/>
      <w:marRight w:val="0"/>
      <w:marTop w:val="0"/>
      <w:marBottom w:val="0"/>
      <w:divBdr>
        <w:top w:val="none" w:sz="0" w:space="0" w:color="auto"/>
        <w:left w:val="none" w:sz="0" w:space="0" w:color="auto"/>
        <w:bottom w:val="none" w:sz="0" w:space="0" w:color="auto"/>
        <w:right w:val="none" w:sz="0" w:space="0" w:color="auto"/>
      </w:divBdr>
    </w:div>
    <w:div w:id="1662734212">
      <w:bodyDiv w:val="1"/>
      <w:marLeft w:val="0"/>
      <w:marRight w:val="0"/>
      <w:marTop w:val="0"/>
      <w:marBottom w:val="0"/>
      <w:divBdr>
        <w:top w:val="none" w:sz="0" w:space="0" w:color="auto"/>
        <w:left w:val="none" w:sz="0" w:space="0" w:color="auto"/>
        <w:bottom w:val="none" w:sz="0" w:space="0" w:color="auto"/>
        <w:right w:val="none" w:sz="0" w:space="0" w:color="auto"/>
      </w:divBdr>
    </w:div>
    <w:div w:id="1689407037">
      <w:bodyDiv w:val="1"/>
      <w:marLeft w:val="0"/>
      <w:marRight w:val="0"/>
      <w:marTop w:val="0"/>
      <w:marBottom w:val="0"/>
      <w:divBdr>
        <w:top w:val="none" w:sz="0" w:space="0" w:color="auto"/>
        <w:left w:val="none" w:sz="0" w:space="0" w:color="auto"/>
        <w:bottom w:val="none" w:sz="0" w:space="0" w:color="auto"/>
        <w:right w:val="none" w:sz="0" w:space="0" w:color="auto"/>
      </w:divBdr>
    </w:div>
    <w:div w:id="1759405412">
      <w:bodyDiv w:val="1"/>
      <w:marLeft w:val="0"/>
      <w:marRight w:val="0"/>
      <w:marTop w:val="0"/>
      <w:marBottom w:val="0"/>
      <w:divBdr>
        <w:top w:val="none" w:sz="0" w:space="0" w:color="auto"/>
        <w:left w:val="none" w:sz="0" w:space="0" w:color="auto"/>
        <w:bottom w:val="none" w:sz="0" w:space="0" w:color="auto"/>
        <w:right w:val="none" w:sz="0" w:space="0" w:color="auto"/>
      </w:divBdr>
    </w:div>
    <w:div w:id="1885633464">
      <w:bodyDiv w:val="1"/>
      <w:marLeft w:val="0"/>
      <w:marRight w:val="0"/>
      <w:marTop w:val="0"/>
      <w:marBottom w:val="0"/>
      <w:divBdr>
        <w:top w:val="none" w:sz="0" w:space="0" w:color="auto"/>
        <w:left w:val="none" w:sz="0" w:space="0" w:color="auto"/>
        <w:bottom w:val="none" w:sz="0" w:space="0" w:color="auto"/>
        <w:right w:val="none" w:sz="0" w:space="0" w:color="auto"/>
      </w:divBdr>
    </w:div>
    <w:div w:id="1906455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NHS211</b:Tag>
    <b:SourceType>InternetSite</b:SourceType>
    <b:Guid>{2CD8DEF5-BD46-CC46-9F05-564132EE9407}</b:Guid>
    <b:Title>Adult Social Care Digital Transformation</b:Title>
    <b:URL>https://digital.nhs.uk/services/social-care-programme</b:URL>
    <b:Year>2021</b:Year>
    <b:Author>
      <b:Author>
        <b:NameList>
          <b:Person>
            <b:Last>Digital</b:Last>
            <b:First>NHS</b:First>
          </b:Person>
        </b:NameList>
      </b:Author>
    </b:Author>
    <b:RefOrder>7</b:RefOrder>
  </b:Source>
  <b:Source>
    <b:Tag>NHS21</b:Tag>
    <b:SourceType>InternetSite</b:SourceType>
    <b:Guid>{41C62568-BC4D-E645-9ACB-2B165FB7BA11}</b:Guid>
    <b:Title>The NHS Long Term Plan</b:Title>
    <b:Year>2019</b:Year>
    <b:URL>https://www.longtermplan.nhs.uk</b:URL>
    <b:Author>
      <b:Author>
        <b:NameList>
          <b:Person>
            <b:Last>NHS</b:Last>
          </b:Person>
        </b:NameList>
      </b:Author>
    </b:Author>
    <b:RefOrder>8</b:RefOrder>
  </b:Source>
  <b:Source>
    <b:Tag>Ski25</b:Tag>
    <b:SourceType>DocumentFromInternetSite</b:SourceType>
    <b:Guid>{D23428E5-3E5B-4D4B-9AE6-D6B9C244A4C6}</b:Guid>
    <b:Title>Skills for care</b:Title>
    <b:URL>https://www.skillsforcare.org.uk/Adult-Social-Care-Workforce-Data/Workforce-intelligence/documents/Size-and-structure/The-size-and-structure-of-the-adult-social-care-sector-and-workforce-in-England-2025.pdf</b:URL>
    <b:Year>2025</b:Year>
    <b:Author>
      <b:Author>
        <b:NameList>
          <b:Person>
            <b:Last>care</b:Last>
            <b:First>Skills</b:First>
            <b:Middle>for</b:Middle>
          </b:Person>
        </b:NameList>
      </b:Author>
    </b:Author>
    <b:RefOrder>9</b:RefOrder>
  </b:Source>
  <b:Source>
    <b:Tag>Ass21</b:Tag>
    <b:SourceType>DocumentFromInternetSite</b:SourceType>
    <b:Guid>{E311CEFC-4E96-5F48-86DF-5E6505034DF2}</b:Guid>
    <b:Title>GOV.UK</b:Title>
    <b:URL>https://assets.publishing.service.gov.uk/media/6234b0a6e90e0779a18d3f46/people-at-the-heart-of-care-asc-reform-accessible-with-correction-slip.pdf</b:URL>
    <b:Year>2021</b:Year>
    <b:Author>
      <b:Author>
        <b:NameList>
          <b:Person>
            <b:Last>service</b:Last>
            <b:First>Assets</b:First>
            <b:Middle>publishing</b:Middle>
          </b:Person>
        </b:NameList>
      </b:Author>
    </b:Author>
    <b:RefOrder>10</b:RefOrder>
  </b:Source>
  <b:Source>
    <b:Tag>NHS25</b:Tag>
    <b:SourceType>DocumentFromInternetSite</b:SourceType>
    <b:Guid>{DEB691E7-2F32-3E4B-8211-ACFE20A6604D}</b:Guid>
    <b:Author>
      <b:Author>
        <b:NameList>
          <b:Person>
            <b:Last>NHS</b:Last>
          </b:Person>
        </b:NameList>
      </b:Author>
    </b:Author>
    <b:Title>Social care and support guide</b:Title>
    <b:URL>https://www.nhs.uk/social-care-and-support/</b:URL>
    <b:Year>2025</b:Year>
    <b:RefOrder>11</b:RefOrder>
  </b:Source>
  <b:Source>
    <b:Tag>Gov</b:Tag>
    <b:SourceType>DocumentFromInternetSite</b:SourceType>
    <b:Guid>{4FB8F41D-1157-BE44-9B69-E23083F29291}</b:Guid>
    <b:Author>
      <b:Author>
        <b:NameList>
          <b:Person>
            <b:Last>sources</b:Last>
            <b:First>Government</b:First>
            <b:Middle>/ NHS</b:Middle>
          </b:Person>
        </b:NameList>
      </b:Author>
    </b:Author>
    <b:Title>NHS (2023) Inflammatory bowel disease. NHS. </b:Title>
    <b:URL>https://www.nhs.uk/conditions/inflammatory-bowel-disease/ (Accessed: 6 December 2025).</b:URL>
    <b:RefOrder>1</b:RefOrder>
  </b:Source>
  <b:Source>
    <b:Tag>Gov1</b:Tag>
    <b:SourceType>DocumentFromInternetSite</b:SourceType>
    <b:Guid>{9DE92875-8C3B-E14A-942C-545597F6EF57}</b:Guid>
    <b:Author>
      <b:Author>
        <b:NameList>
          <b:Person>
            <b:Last>sources</b:Last>
            <b:First>Government</b:First>
            <b:Middle>/ NHS</b:Middle>
          </b:Person>
        </b:NameList>
      </b:Author>
    </b:Author>
    <b:Title>NHS (2025) Ulcerative colitis. NHS. </b:Title>
    <b:URL>https://www.nhs.uk/conditions/ulcerative-colitis/ </b:URL>
    <b:RefOrder>2</b:RefOrder>
  </b:Source>
  <b:Source>
    <b:Tag>Nat25</b:Tag>
    <b:SourceType>DocumentFromInternetSite</b:SourceType>
    <b:Guid>{27686A0C-36F0-F648-99DB-752920DAE4F8}</b:Guid>
    <b:Author>
      <b:Author>
        <b:NameList>
          <b:Person>
            <b:Last>prevention</b:Last>
            <b:First>National</b:First>
            <b:Middle>Institute for Health and Care Excellence (2022) Colorectal cancer</b:Middle>
          </b:Person>
        </b:NameList>
      </b:Author>
    </b:Author>
    <b:Title>colonoscopic surveillance in adults with ulcerative colitis, Crohn’s disease or adenomas (CG118)</b:Title>
    <b:URL>https://www.nice.org.uk/guidance/cg118</b:URL>
    <b:Year>6 December 2025</b:Year>
    <b:RefOrder>3</b:RefOrder>
  </b:Source>
  <b:Source>
    <b:Tag>Wol25</b:Tag>
    <b:SourceType>DocumentFromInternetSite</b:SourceType>
    <b:Guid>{3F09BA74-6282-A647-A5C4-00EB9BF7AACD}</b:Guid>
    <b:Author>
      <b:Author>
        <b:NameList>
          <b:Person>
            <b:Last>London.</b:Last>
            <b:First>Wolfson</b:First>
            <b:Middle>Institute of Population Health (2022) NHS bowel screening programme significantly reduces risk of advanced stage colorectal cancer. Queen Mary University of</b:Middle>
          </b:Person>
        </b:NameList>
      </b:Author>
    </b:Author>
    <b:Title>https://www.qmul.ac.uk/wiph/news/latest-news/items/nhs-bowel-screening-programme-significantly-reduces-risk-of-advanced-stage-colorectal-cancer.html</b:Title>
    <b:URL>https://www.qmul.ac.uk/wiph/news/latest-news/items/nhs-bowel-screening-programme-significantly-reduces-risk-of-advanced-stage-colorectal-cancer.html</b:URL>
    <b:Year>2025</b:Year>
    <b:Month>december</b:Month>
    <b:Day>6</b:Day>
    <b:RefOrder>4</b:RefOrder>
  </b:Source>
  <b:Source>
    <b:Tag>Mac</b:Tag>
    <b:SourceType>DocumentFromInternetSite</b:SourceType>
    <b:Guid>{C4F958A2-071C-434B-9ED5-FB97B58B574A}</b:Guid>
    <b:Author>
      <b:Author>
        <b:NameList>
          <b:Person>
            <b:Last>Macmillan.</b:Last>
            <b:First>Macmillan</b:First>
            <b:Middle>Cancer Support (2025) Causes and risk factors of bowel cancer.</b:Middle>
          </b:Person>
        </b:NameList>
      </b:Author>
    </b:Author>
    <b:Title>https://www.macmillan.org.uk/cancer-information-and-support/bowel-cancer/causes-and-risk-factors-of-bowel-cancer</b:Title>
    <b:URL>https://www.macmillan.org.uk/cancer-information-and-support/bowel-cancer/causes-and-risk-factors-of-bowel-cancer</b:URL>
    <b:RefOrder>5</b:RefOrder>
  </b:Source>
  <b:Source>
    <b:Tag>Cro25</b:Tag>
    <b:SourceType>DocumentFromInternetSite</b:SourceType>
    <b:Guid>{564F9347-B5AB-4C43-98AF-FF720A0581A5}</b:Guid>
    <b:Author>
      <b:Author>
        <b:NameList>
          <b:Person>
            <b:Last>UK.</b:Last>
            <b:First>Crohn’s</b:First>
            <b:Middle>&amp; Colitis UK (2025) Risk of bowel cancer and other gut‑related cancers. Crohn’s &amp; Colitis</b:Middle>
          </b:Person>
        </b:NameList>
      </b:Author>
    </b:Author>
    <b:URL>https://www.crohnsandcolitis.org.uk/info-support/information-about-crohns-and-colitis/all-information-about-crohns-and-colitis/surgery-and-complications/risk-of-bowel-cancer-and-other-gut-related-cancers</b:URL>
    <b:Year>2025</b:Year>
    <b:RefOrder>6</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74682E-3E7E-B943-A417-02AE86EE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2004</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Moaz Ahmad [Student-BUS]</cp:lastModifiedBy>
  <cp:revision>2</cp:revision>
  <dcterms:created xsi:type="dcterms:W3CDTF">2025-12-16T13:30:00Z</dcterms:created>
  <dcterms:modified xsi:type="dcterms:W3CDTF">2025-12-16T13:30:00Z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f6a6d492-35e5-4352-83a4-bfe26228ec11</vt:lpwstr>
  </property>
</Properties>
</file>