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E62534" w:rsidP="1D471992" w:rsidRDefault="63E62534" w14:paraId="1F44A88B" w14:textId="3388B836">
      <w:pPr>
        <w:pBdr>
          <w:top w:val="nil" w:color="000000" w:sz="0" w:space="0"/>
          <w:left w:val="nil" w:color="000000" w:sz="0" w:space="0"/>
          <w:bottom w:val="single" w:color="000000" w:sz="4" w:space="1"/>
          <w:right w:val="nil" w:color="000000" w:sz="0" w:space="0"/>
          <w:between w:val="nil" w:color="000000" w:sz="0" w:space="0"/>
        </w:pBdr>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44"/>
          <w:szCs w:val="44"/>
          <w:lang w:val="en-US"/>
        </w:rPr>
      </w:pPr>
      <w:r w:rsidRPr="1D471992" w:rsidR="63E62534">
        <w:rPr>
          <w:rFonts w:ascii="Times New Roman" w:hAnsi="Times New Roman" w:eastAsia="Times New Roman" w:cs="Times New Roman"/>
          <w:b w:val="1"/>
          <w:bCs w:val="1"/>
          <w:i w:val="0"/>
          <w:iCs w:val="0"/>
          <w:caps w:val="0"/>
          <w:smallCaps w:val="0"/>
          <w:noProof w:val="0"/>
          <w:color w:val="000000" w:themeColor="text1" w:themeTint="FF" w:themeShade="FF"/>
          <w:sz w:val="44"/>
          <w:szCs w:val="44"/>
          <w:lang w:val="en-US"/>
        </w:rPr>
        <w:t>Contemporary Themes in the Hotel and Hospitality Sector</w:t>
      </w:r>
    </w:p>
    <w:p w:rsidR="63E62534" w:rsidP="1D471992" w:rsidRDefault="63E62534" w14:paraId="7DC6FAC4" w14:textId="23086846">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471992" w:rsidR="63E625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Title: Conference Research Paper</w:t>
      </w:r>
    </w:p>
    <w:p w:rsidR="1D471992" w:rsidP="1D471992" w:rsidRDefault="1D471992" w14:paraId="078BA510" w14:textId="273482B7">
      <w:pPr>
        <w:rPr>
          <w:rFonts w:ascii="Aptos" w:hAnsi="Aptos" w:eastAsia="Aptos" w:cs="Aptos"/>
          <w:b w:val="0"/>
          <w:bCs w:val="0"/>
          <w:i w:val="0"/>
          <w:iCs w:val="0"/>
          <w:caps w:val="0"/>
          <w:smallCaps w:val="0"/>
          <w:noProof w:val="0"/>
          <w:color w:val="000000" w:themeColor="text1" w:themeTint="FF" w:themeShade="FF"/>
          <w:sz w:val="24"/>
          <w:szCs w:val="24"/>
          <w:lang w:val="en-GB"/>
        </w:rPr>
      </w:pPr>
    </w:p>
    <w:p w:rsidR="1D471992" w:rsidP="1D471992" w:rsidRDefault="1D471992" w14:paraId="52188191" w14:textId="3C2EC30D">
      <w:pPr>
        <w:rPr>
          <w:rFonts w:ascii="Aptos" w:hAnsi="Aptos" w:eastAsia="Aptos" w:cs="Aptos"/>
          <w:b w:val="0"/>
          <w:bCs w:val="0"/>
          <w:i w:val="0"/>
          <w:iCs w:val="0"/>
          <w:caps w:val="0"/>
          <w:smallCaps w:val="0"/>
          <w:noProof w:val="0"/>
          <w:color w:val="000000" w:themeColor="text1" w:themeTint="FF" w:themeShade="FF"/>
          <w:sz w:val="24"/>
          <w:szCs w:val="24"/>
          <w:lang w:val="en-GB"/>
        </w:rPr>
      </w:pPr>
    </w:p>
    <w:p w:rsidR="1D471992" w:rsidP="1D471992" w:rsidRDefault="1D471992" w14:paraId="063B6F4B" w14:textId="07EAF23E">
      <w:pPr>
        <w:rPr>
          <w:rFonts w:ascii="Aptos" w:hAnsi="Aptos" w:eastAsia="Aptos" w:cs="Aptos"/>
          <w:b w:val="0"/>
          <w:bCs w:val="0"/>
          <w:i w:val="0"/>
          <w:iCs w:val="0"/>
          <w:caps w:val="0"/>
          <w:smallCaps w:val="0"/>
          <w:noProof w:val="0"/>
          <w:color w:val="000000" w:themeColor="text1" w:themeTint="FF" w:themeShade="FF"/>
          <w:sz w:val="24"/>
          <w:szCs w:val="24"/>
          <w:lang w:val="en-GB"/>
        </w:rPr>
      </w:pPr>
    </w:p>
    <w:p w:rsidR="1D471992" w:rsidP="1D471992" w:rsidRDefault="1D471992" w14:paraId="193096E2" w14:textId="5F6C41C9">
      <w:pPr>
        <w:rPr>
          <w:rFonts w:ascii="Aptos" w:hAnsi="Aptos" w:eastAsia="Aptos" w:cs="Aptos"/>
          <w:b w:val="0"/>
          <w:bCs w:val="0"/>
          <w:i w:val="0"/>
          <w:iCs w:val="0"/>
          <w:caps w:val="0"/>
          <w:smallCaps w:val="0"/>
          <w:noProof w:val="0"/>
          <w:color w:val="000000" w:themeColor="text1" w:themeTint="FF" w:themeShade="FF"/>
          <w:sz w:val="24"/>
          <w:szCs w:val="24"/>
          <w:lang w:val="en-GB"/>
        </w:rPr>
      </w:pPr>
    </w:p>
    <w:p w:rsidR="63E62534" w:rsidP="1D471992" w:rsidRDefault="63E62534" w14:paraId="252BA905" w14:textId="229B0668">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471992" w:rsidR="63E625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nl-NL"/>
        </w:rPr>
        <w:t>Student Name: Jeler Alin-Bogdan</w:t>
      </w:r>
    </w:p>
    <w:p w:rsidR="63E62534" w:rsidP="1D471992" w:rsidRDefault="63E62534" w14:paraId="041BBFAF" w14:textId="4B2479F4">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471992" w:rsidR="63E625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Student ID: 2223715</w:t>
      </w:r>
    </w:p>
    <w:p w:rsidR="63E62534" w:rsidP="1D471992" w:rsidRDefault="63E62534" w14:paraId="1E3ECB6B" w14:textId="434F57F8">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471992" w:rsidR="63E625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Lecturer: </w:t>
      </w:r>
      <w:r w:rsidRPr="1D471992" w:rsidR="4F33DEA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Dr Ernest </w:t>
      </w:r>
      <w:r w:rsidRPr="1D471992" w:rsidR="4F33DEA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Balutie</w:t>
      </w:r>
      <w:r w:rsidRPr="1D471992" w:rsidR="4F33DEA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Wavei</w:t>
      </w:r>
    </w:p>
    <w:p w:rsidR="63E62534" w:rsidP="1D471992" w:rsidRDefault="63E62534" w14:paraId="16CEB036" w14:textId="6ADE372A">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471992" w:rsidR="63E625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Module Code: BMIH600</w:t>
      </w:r>
      <w:r w:rsidRPr="1D471992" w:rsidR="21D8B00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1</w:t>
      </w:r>
    </w:p>
    <w:p w:rsidR="63E62534" w:rsidP="1D471992" w:rsidRDefault="63E62534" w14:paraId="5E8179E1" w14:textId="2711B906">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1D471992" w:rsidR="63E6253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AI AKNOWLEDGEMENT</w:t>
      </w:r>
    </w:p>
    <w:p w:rsidR="63E62534" w:rsidP="1D471992" w:rsidRDefault="63E62534" w14:paraId="34754289" w14:textId="2ABF584C">
      <w:pP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1D471992" w:rsidR="63E62534">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 declare that no AI was used to sustain or reflect my research for this assessment.</w:t>
      </w:r>
    </w:p>
    <w:p w:rsidR="1D471992" w:rsidP="1D471992" w:rsidRDefault="1D471992" w14:paraId="5650D46D" w14:textId="21E154BC">
      <w:pPr>
        <w:rPr>
          <w:rFonts w:ascii="Aptos" w:hAnsi="Aptos" w:eastAsia="Aptos" w:cs="Aptos"/>
          <w:b w:val="0"/>
          <w:bCs w:val="0"/>
          <w:i w:val="0"/>
          <w:iCs w:val="0"/>
          <w:caps w:val="0"/>
          <w:smallCaps w:val="0"/>
          <w:noProof w:val="0"/>
          <w:color w:val="000000" w:themeColor="text1" w:themeTint="FF" w:themeShade="FF"/>
          <w:sz w:val="24"/>
          <w:szCs w:val="24"/>
          <w:lang w:val="en-GB"/>
        </w:rPr>
      </w:pPr>
    </w:p>
    <w:p w:rsidR="1D471992" w:rsidP="1D471992" w:rsidRDefault="1D471992" w14:paraId="51D9AC54" w14:textId="25C970BE">
      <w:pPr>
        <w:pStyle w:val="Normal"/>
      </w:pPr>
    </w:p>
    <w:p w:rsidR="1D471992" w:rsidRDefault="1D471992" w14:paraId="23F0B9BA" w14:textId="4D44249E"/>
    <w:p w:rsidR="1D471992" w:rsidRDefault="1D471992" w14:paraId="2D21F766" w14:textId="2ABED2A2"/>
    <w:p w:rsidR="1D471992" w:rsidRDefault="1D471992" w14:paraId="5BD58423" w14:textId="589212F1"/>
    <w:p w:rsidR="1D471992" w:rsidRDefault="1D471992" w14:paraId="049DA0B9" w14:textId="41CD52B1"/>
    <w:p w:rsidR="1D471992" w:rsidRDefault="1D471992" w14:paraId="30241843" w14:textId="6990163E"/>
    <w:p w:rsidR="1D471992" w:rsidRDefault="1D471992" w14:paraId="588E9917" w14:textId="45A2EAC8"/>
    <w:p w:rsidR="1D471992" w:rsidRDefault="1D471992" w14:paraId="1398F6B9" w14:textId="4A0B359B"/>
    <w:p w:rsidR="1D471992" w:rsidRDefault="1D471992" w14:paraId="0FEA5783" w14:textId="196DC12E"/>
    <w:p w:rsidR="1D471992" w:rsidP="1D471992" w:rsidRDefault="1D471992" w14:paraId="4922AF48" w14:textId="16FD63C3">
      <w:pPr>
        <w:pStyle w:val="Normal"/>
      </w:pPr>
    </w:p>
    <w:p w:rsidR="567B8CE2" w:rsidP="1D471992" w:rsidRDefault="567B8CE2" w14:paraId="509689C8" w14:textId="547BCDAB">
      <w:pPr>
        <w:spacing w:before="0" w:beforeAutospacing="off" w:after="160" w:afterAutospacing="off" w:line="276" w:lineRule="auto"/>
        <w:rPr>
          <w:rFonts w:ascii="Arial" w:hAnsi="Arial" w:eastAsia="Arial" w:cs="Arial"/>
          <w:b w:val="1"/>
          <w:bCs w:val="1"/>
          <w:noProof w:val="0"/>
          <w:color w:val="000000" w:themeColor="text1" w:themeTint="FF" w:themeShade="FF"/>
          <w:sz w:val="24"/>
          <w:szCs w:val="24"/>
          <w:lang w:val="en-GB"/>
        </w:rPr>
      </w:pPr>
      <w:r w:rsidRPr="1D471992" w:rsidR="567B8CE2">
        <w:rPr>
          <w:rFonts w:ascii="Arial" w:hAnsi="Arial" w:eastAsia="Arial" w:cs="Arial"/>
          <w:b w:val="1"/>
          <w:bCs w:val="1"/>
          <w:noProof w:val="0"/>
          <w:color w:val="000000" w:themeColor="text1" w:themeTint="FF" w:themeShade="FF"/>
          <w:sz w:val="24"/>
          <w:szCs w:val="24"/>
          <w:lang w:val="en-GB"/>
        </w:rPr>
        <w:t>Abstract</w:t>
      </w:r>
    </w:p>
    <w:p w:rsidR="567B8CE2" w:rsidP="1D471992" w:rsidRDefault="567B8CE2" w14:paraId="2628575E" w14:textId="5ED5ABA9">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Sustainability became a crucial factor for hospitality industry emerging food waste reduction and regulations with the intention to create a better and healthier environment reducing pollution. The following conference research paper will </w:t>
      </w:r>
      <w:r w:rsidRPr="1D471992" w:rsidR="567B8CE2">
        <w:rPr>
          <w:rFonts w:ascii="Arial" w:hAnsi="Arial" w:eastAsia="Arial" w:cs="Arial"/>
          <w:noProof w:val="0"/>
          <w:color w:val="000000" w:themeColor="text1" w:themeTint="FF" w:themeShade="FF"/>
          <w:sz w:val="24"/>
          <w:szCs w:val="24"/>
          <w:lang w:val="en-GB"/>
        </w:rPr>
        <w:t>determine</w:t>
      </w:r>
      <w:r w:rsidRPr="1D471992" w:rsidR="567B8CE2">
        <w:rPr>
          <w:rFonts w:ascii="Arial" w:hAnsi="Arial" w:eastAsia="Arial" w:cs="Arial"/>
          <w:noProof w:val="0"/>
          <w:color w:val="000000" w:themeColor="text1" w:themeTint="FF" w:themeShade="FF"/>
          <w:sz w:val="24"/>
          <w:szCs w:val="24"/>
          <w:lang w:val="en-GB"/>
        </w:rPr>
        <w:t xml:space="preserve"> the actual efficacy of the strategies found for food waste reduction, highlighting UK hospitality methods. Furthermore, the approaches for local sourcing, </w:t>
      </w:r>
      <w:r w:rsidRPr="1D471992" w:rsidR="2A9F9E9B">
        <w:rPr>
          <w:rFonts w:ascii="Arial" w:hAnsi="Arial" w:eastAsia="Arial" w:cs="Arial"/>
          <w:noProof w:val="0"/>
          <w:color w:val="000000" w:themeColor="text1" w:themeTint="FF" w:themeShade="FF"/>
          <w:sz w:val="24"/>
          <w:szCs w:val="24"/>
          <w:lang w:val="en-GB"/>
        </w:rPr>
        <w:t>S</w:t>
      </w:r>
      <w:r w:rsidRPr="1D471992" w:rsidR="567B8CE2">
        <w:rPr>
          <w:rFonts w:ascii="Arial" w:hAnsi="Arial" w:eastAsia="Arial" w:cs="Arial"/>
          <w:noProof w:val="0"/>
          <w:color w:val="000000" w:themeColor="text1" w:themeTint="FF" w:themeShade="FF"/>
          <w:sz w:val="24"/>
          <w:szCs w:val="24"/>
          <w:lang w:val="en-GB"/>
        </w:rPr>
        <w:t xml:space="preserve">mart </w:t>
      </w:r>
      <w:r w:rsidRPr="1D471992" w:rsidR="49E3B855">
        <w:rPr>
          <w:rFonts w:ascii="Arial" w:hAnsi="Arial" w:eastAsia="Arial" w:cs="Arial"/>
          <w:noProof w:val="0"/>
          <w:color w:val="000000" w:themeColor="text1" w:themeTint="FF" w:themeShade="FF"/>
          <w:sz w:val="24"/>
          <w:szCs w:val="24"/>
          <w:lang w:val="en-GB"/>
        </w:rPr>
        <w:t>I</w:t>
      </w:r>
      <w:r w:rsidRPr="1D471992" w:rsidR="567B8CE2">
        <w:rPr>
          <w:rFonts w:ascii="Arial" w:hAnsi="Arial" w:eastAsia="Arial" w:cs="Arial"/>
          <w:noProof w:val="0"/>
          <w:color w:val="000000" w:themeColor="text1" w:themeTint="FF" w:themeShade="FF"/>
          <w:sz w:val="24"/>
          <w:szCs w:val="24"/>
          <w:lang w:val="en-GB"/>
        </w:rPr>
        <w:t xml:space="preserve">nventory </w:t>
      </w:r>
      <w:r w:rsidRPr="1D471992" w:rsidR="0BB05CE0">
        <w:rPr>
          <w:rFonts w:ascii="Arial" w:hAnsi="Arial" w:eastAsia="Arial" w:cs="Arial"/>
          <w:noProof w:val="0"/>
          <w:color w:val="000000" w:themeColor="text1" w:themeTint="FF" w:themeShade="FF"/>
          <w:sz w:val="24"/>
          <w:szCs w:val="24"/>
          <w:lang w:val="en-GB"/>
        </w:rPr>
        <w:t>M</w:t>
      </w:r>
      <w:r w:rsidRPr="1D471992" w:rsidR="567B8CE2">
        <w:rPr>
          <w:rFonts w:ascii="Arial" w:hAnsi="Arial" w:eastAsia="Arial" w:cs="Arial"/>
          <w:noProof w:val="0"/>
          <w:color w:val="000000" w:themeColor="text1" w:themeTint="FF" w:themeShade="FF"/>
          <w:sz w:val="24"/>
          <w:szCs w:val="24"/>
          <w:lang w:val="en-GB"/>
        </w:rPr>
        <w:t>anagement and composting will be discussed to understand how they contribute to business growth and environmental sustainability. Continuing with Carbon N</w:t>
      </w:r>
      <w:r w:rsidRPr="1D471992" w:rsidR="5DF047C0">
        <w:rPr>
          <w:rFonts w:ascii="Arial" w:hAnsi="Arial" w:eastAsia="Arial" w:cs="Arial"/>
          <w:noProof w:val="0"/>
          <w:color w:val="000000" w:themeColor="text1" w:themeTint="FF" w:themeShade="FF"/>
          <w:sz w:val="24"/>
          <w:szCs w:val="24"/>
          <w:lang w:val="en-GB"/>
        </w:rPr>
        <w:t>et</w:t>
      </w:r>
      <w:r w:rsidRPr="1D471992" w:rsidR="567B8CE2">
        <w:rPr>
          <w:rFonts w:ascii="Arial" w:hAnsi="Arial" w:eastAsia="Arial" w:cs="Arial"/>
          <w:noProof w:val="0"/>
          <w:color w:val="000000" w:themeColor="text1" w:themeTint="FF" w:themeShade="FF"/>
          <w:sz w:val="24"/>
          <w:szCs w:val="24"/>
          <w:lang w:val="en-GB"/>
        </w:rPr>
        <w:t xml:space="preserve"> Z</w:t>
      </w:r>
      <w:r w:rsidRPr="1D471992" w:rsidR="4412E42E">
        <w:rPr>
          <w:rFonts w:ascii="Arial" w:hAnsi="Arial" w:eastAsia="Arial" w:cs="Arial"/>
          <w:noProof w:val="0"/>
          <w:color w:val="000000" w:themeColor="text1" w:themeTint="FF" w:themeShade="FF"/>
          <w:sz w:val="24"/>
          <w:szCs w:val="24"/>
          <w:lang w:val="en-GB"/>
        </w:rPr>
        <w:t>ero</w:t>
      </w:r>
      <w:r w:rsidRPr="1D471992" w:rsidR="567B8CE2">
        <w:rPr>
          <w:rFonts w:ascii="Arial" w:hAnsi="Arial" w:eastAsia="Arial" w:cs="Arial"/>
          <w:noProof w:val="0"/>
          <w:color w:val="000000" w:themeColor="text1" w:themeTint="FF" w:themeShade="FF"/>
          <w:sz w:val="24"/>
          <w:szCs w:val="24"/>
          <w:lang w:val="en-GB"/>
        </w:rPr>
        <w:t xml:space="preserve"> that particularly hospitality industry expects to achieve, followed by literature review based on expert opinions, understanding future guest expectations, industry frameworks with thematic analysis with real case studies using Life Cycle Assessment and parts of cost-profit-benefit framework and expose how the above impacts food waste. Real life recommendations will be provided extracted from below research using expert analysis </w:t>
      </w:r>
      <w:r w:rsidRPr="1D471992" w:rsidR="106D981B">
        <w:rPr>
          <w:rFonts w:ascii="Arial" w:hAnsi="Arial" w:eastAsia="Arial" w:cs="Arial"/>
          <w:noProof w:val="0"/>
          <w:color w:val="000000" w:themeColor="text1" w:themeTint="FF" w:themeShade="FF"/>
          <w:sz w:val="24"/>
          <w:szCs w:val="24"/>
          <w:lang w:val="en-GB"/>
        </w:rPr>
        <w:t>regarding</w:t>
      </w:r>
      <w:r w:rsidRPr="1D471992" w:rsidR="567B8CE2">
        <w:rPr>
          <w:rFonts w:ascii="Arial" w:hAnsi="Arial" w:eastAsia="Arial" w:cs="Arial"/>
          <w:noProof w:val="0"/>
          <w:color w:val="000000" w:themeColor="text1" w:themeTint="FF" w:themeShade="FF"/>
          <w:sz w:val="24"/>
          <w:szCs w:val="24"/>
          <w:lang w:val="en-GB"/>
        </w:rPr>
        <w:t xml:space="preserve"> food waste reduction and improvement.</w:t>
      </w:r>
    </w:p>
    <w:p w:rsidR="567B8CE2" w:rsidP="1D471992" w:rsidRDefault="567B8CE2" w14:paraId="2F2FA61E" w14:textId="194AA11D">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 </w:t>
      </w:r>
    </w:p>
    <w:p w:rsidR="567B8CE2" w:rsidP="1D471992" w:rsidRDefault="567B8CE2" w14:paraId="7C9656B8" w14:textId="175505D2">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GB"/>
        </w:rPr>
      </w:pPr>
      <w:r w:rsidRPr="1D471992" w:rsidR="567B8CE2">
        <w:rPr>
          <w:rFonts w:ascii="Arial" w:hAnsi="Arial" w:eastAsia="Arial" w:cs="Arial"/>
          <w:b w:val="1"/>
          <w:bCs w:val="1"/>
          <w:noProof w:val="0"/>
          <w:color w:val="000000" w:themeColor="text1" w:themeTint="FF" w:themeShade="FF"/>
          <w:sz w:val="24"/>
          <w:szCs w:val="24"/>
          <w:lang w:val="en-GB"/>
        </w:rPr>
        <w:t>Introduction</w:t>
      </w:r>
    </w:p>
    <w:p w:rsidR="567B8CE2" w:rsidP="1D471992" w:rsidRDefault="567B8CE2" w14:paraId="508B99DD" w14:textId="0C53975D">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Sustainability is now a core concern for </w:t>
      </w:r>
      <w:r w:rsidRPr="1D471992" w:rsidR="436DEE58">
        <w:rPr>
          <w:rFonts w:ascii="Arial" w:hAnsi="Arial" w:eastAsia="Arial" w:cs="Arial"/>
          <w:noProof w:val="0"/>
          <w:color w:val="000000" w:themeColor="text1" w:themeTint="FF" w:themeShade="FF"/>
          <w:sz w:val="24"/>
          <w:szCs w:val="24"/>
          <w:lang w:val="en-GB"/>
        </w:rPr>
        <w:t>most of</w:t>
      </w:r>
      <w:r w:rsidRPr="1D471992" w:rsidR="567B8CE2">
        <w:rPr>
          <w:rFonts w:ascii="Arial" w:hAnsi="Arial" w:eastAsia="Arial" w:cs="Arial"/>
          <w:noProof w:val="0"/>
          <w:color w:val="000000" w:themeColor="text1" w:themeTint="FF" w:themeShade="FF"/>
          <w:sz w:val="24"/>
          <w:szCs w:val="24"/>
          <w:lang w:val="en-GB"/>
        </w:rPr>
        <w:t xml:space="preserve"> the businesses, especially for hospitality industry that stands between environmental responsibility and economic growth (World Sustainable Hospitality Alliance, 2023). Although one of the most environmental challenges is connected to food waste that has a negative impact on food resources and economy, contributing to increased gas emissions and creating higher challenges in achieving Carbon Net Zero (Wu</w:t>
      </w:r>
      <w:r w:rsidRPr="1D471992" w:rsidR="3B98DA0B">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i w:val="1"/>
          <w:iCs w:val="1"/>
          <w:noProof w:val="0"/>
          <w:color w:val="000000" w:themeColor="text1" w:themeTint="FF" w:themeShade="FF"/>
          <w:sz w:val="24"/>
          <w:szCs w:val="24"/>
          <w:lang w:val="en-GB"/>
        </w:rPr>
        <w:t xml:space="preserve">et al. </w:t>
      </w:r>
      <w:r w:rsidRPr="1D471992" w:rsidR="567B8CE2">
        <w:rPr>
          <w:rFonts w:ascii="Arial" w:hAnsi="Arial" w:eastAsia="Arial" w:cs="Arial"/>
          <w:noProof w:val="0"/>
          <w:color w:val="000000" w:themeColor="text1" w:themeTint="FF" w:themeShade="FF"/>
          <w:sz w:val="24"/>
          <w:szCs w:val="24"/>
          <w:lang w:val="en-GB"/>
        </w:rPr>
        <w:t xml:space="preserve">2023), in the UK hospitality sector is ascending continuously in food waste creating approximately 920.000 tonnes of edible waste annually equivalent to 12% of UK total food, impacting negatively the economy with an annual estimated cost of £3.2 billion annually (Waste Managed, 2026). Hence, food waste became an urgent priority as by 2030 UK must be in alignment with United Nations Goals by using new regulations, including 2025 law where businesses must use separate bins for food waste, plastic, carboard, glass, oil and Courtauld Commitment 2030, including UK Drink and Food Act where all regulations have the same purpose to minimise wastage (UK Hospitality, 2025). To highlight the importance of decreased waste, Tran (2025) sustains that customers choices are influenced by the level of sustainable actions that a business has in place although the above is </w:t>
      </w:r>
      <w:r w:rsidRPr="1D471992" w:rsidR="567B8CE2">
        <w:rPr>
          <w:rFonts w:ascii="Arial" w:hAnsi="Arial" w:eastAsia="Arial" w:cs="Arial"/>
          <w:noProof w:val="0"/>
          <w:color w:val="000000" w:themeColor="text1" w:themeTint="FF" w:themeShade="FF"/>
          <w:sz w:val="24"/>
          <w:szCs w:val="24"/>
          <w:lang w:val="en-GB"/>
        </w:rPr>
        <w:t>impacting</w:t>
      </w:r>
      <w:r w:rsidRPr="1D471992" w:rsidR="567B8CE2">
        <w:rPr>
          <w:rFonts w:ascii="Arial" w:hAnsi="Arial" w:eastAsia="Arial" w:cs="Arial"/>
          <w:noProof w:val="0"/>
          <w:color w:val="000000" w:themeColor="text1" w:themeTint="FF" w:themeShade="FF"/>
          <w:sz w:val="24"/>
          <w:szCs w:val="24"/>
          <w:lang w:val="en-GB"/>
        </w:rPr>
        <w:t xml:space="preserve"> their financials with an increased cost for sustainable locations chosen. </w:t>
      </w:r>
    </w:p>
    <w:p w:rsidR="567B8CE2" w:rsidP="1D471992" w:rsidRDefault="567B8CE2" w14:paraId="5780B6FA" w14:textId="7BF07F58">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The following research will </w:t>
      </w:r>
      <w:r w:rsidRPr="1D471992" w:rsidR="567B8CE2">
        <w:rPr>
          <w:rFonts w:ascii="Arial" w:hAnsi="Arial" w:eastAsia="Arial" w:cs="Arial"/>
          <w:noProof w:val="0"/>
          <w:color w:val="000000" w:themeColor="text1" w:themeTint="FF" w:themeShade="FF"/>
          <w:sz w:val="24"/>
          <w:szCs w:val="24"/>
          <w:lang w:val="en-GB"/>
        </w:rPr>
        <w:t>evidence</w:t>
      </w:r>
      <w:r w:rsidRPr="1D471992" w:rsidR="567B8CE2">
        <w:rPr>
          <w:rFonts w:ascii="Arial" w:hAnsi="Arial" w:eastAsia="Arial" w:cs="Arial"/>
          <w:noProof w:val="0"/>
          <w:color w:val="000000" w:themeColor="text1" w:themeTint="FF" w:themeShade="FF"/>
          <w:sz w:val="24"/>
          <w:szCs w:val="24"/>
          <w:lang w:val="en-GB"/>
        </w:rPr>
        <w:t xml:space="preserve"> the actual demands for sustainable actions needed in hospitality sector using composting, local </w:t>
      </w:r>
      <w:r w:rsidRPr="1D471992" w:rsidR="567B8CE2">
        <w:rPr>
          <w:rFonts w:ascii="Arial" w:hAnsi="Arial" w:eastAsia="Arial" w:cs="Arial"/>
          <w:noProof w:val="0"/>
          <w:color w:val="000000" w:themeColor="text1" w:themeTint="FF" w:themeShade="FF"/>
          <w:sz w:val="24"/>
          <w:szCs w:val="24"/>
          <w:lang w:val="en-GB"/>
        </w:rPr>
        <w:t>sourcing</w:t>
      </w:r>
      <w:r w:rsidRPr="1D471992" w:rsidR="567B8CE2">
        <w:rPr>
          <w:rFonts w:ascii="Arial" w:hAnsi="Arial" w:eastAsia="Arial" w:cs="Arial"/>
          <w:noProof w:val="0"/>
          <w:color w:val="000000" w:themeColor="text1" w:themeTint="FF" w:themeShade="FF"/>
          <w:sz w:val="24"/>
          <w:szCs w:val="24"/>
          <w:lang w:val="en-GB"/>
        </w:rPr>
        <w:t xml:space="preserve"> and SIM (Smart Inventory Management, 2025). Furthermore, the challenges that hotels and small hospitality businesses are currently facing will be exposed by analysing the sustainable efficiency versus profit, </w:t>
      </w:r>
      <w:r w:rsidRPr="1D471992" w:rsidR="25EC063B">
        <w:rPr>
          <w:rFonts w:ascii="Arial" w:hAnsi="Arial" w:eastAsia="Arial" w:cs="Arial"/>
          <w:noProof w:val="0"/>
          <w:color w:val="000000" w:themeColor="text1" w:themeTint="FF" w:themeShade="FF"/>
          <w:sz w:val="24"/>
          <w:szCs w:val="24"/>
          <w:lang w:val="en-GB"/>
        </w:rPr>
        <w:t>stakeholder</w:t>
      </w:r>
      <w:r w:rsidRPr="1D471992" w:rsidR="567B8CE2">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regulations</w:t>
      </w:r>
      <w:r w:rsidRPr="1D471992" w:rsidR="567B8CE2">
        <w:rPr>
          <w:rFonts w:ascii="Arial" w:hAnsi="Arial" w:eastAsia="Arial" w:cs="Arial"/>
          <w:noProof w:val="0"/>
          <w:color w:val="000000" w:themeColor="text1" w:themeTint="FF" w:themeShade="FF"/>
          <w:sz w:val="24"/>
          <w:szCs w:val="24"/>
          <w:lang w:val="en-GB"/>
        </w:rPr>
        <w:t xml:space="preserve"> and the crucial importance of customers. The following real-life examples will provide a deeper understanding of sustainable actions in hospitality and recommendations that could be used for improvement.</w:t>
      </w:r>
    </w:p>
    <w:p w:rsidR="567B8CE2" w:rsidP="1D471992" w:rsidRDefault="567B8CE2" w14:paraId="5AE07522" w14:textId="1E78B133">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 </w:t>
      </w:r>
    </w:p>
    <w:p w:rsidR="567B8CE2" w:rsidP="1D471992" w:rsidRDefault="567B8CE2" w14:paraId="192BE1D8" w14:textId="6EEE652C">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GB"/>
        </w:rPr>
      </w:pPr>
      <w:r w:rsidRPr="1D471992" w:rsidR="567B8CE2">
        <w:rPr>
          <w:rFonts w:ascii="Arial" w:hAnsi="Arial" w:eastAsia="Arial" w:cs="Arial"/>
          <w:b w:val="1"/>
          <w:bCs w:val="1"/>
          <w:noProof w:val="0"/>
          <w:color w:val="000000" w:themeColor="text1" w:themeTint="FF" w:themeShade="FF"/>
          <w:sz w:val="24"/>
          <w:szCs w:val="24"/>
          <w:lang w:val="en-GB"/>
        </w:rPr>
        <w:t>Literature Review</w:t>
      </w:r>
    </w:p>
    <w:p w:rsidR="567B8CE2" w:rsidP="1D471992" w:rsidRDefault="567B8CE2" w14:paraId="7794FF69" w14:textId="17F1CD65">
      <w:pPr>
        <w:spacing w:before="0" w:beforeAutospacing="off" w:after="160" w:afterAutospacing="off" w:line="360" w:lineRule="auto"/>
        <w:jc w:val="both"/>
        <w:rPr>
          <w:rFonts w:ascii="Arial" w:hAnsi="Arial" w:eastAsia="Arial" w:cs="Arial"/>
          <w:noProof w:val="0"/>
          <w:color w:val="0F4761" w:themeColor="accent1" w:themeTint="FF" w:themeShade="BF"/>
          <w:sz w:val="24"/>
          <w:szCs w:val="24"/>
          <w:lang w:val="en-GB"/>
        </w:rPr>
      </w:pPr>
      <w:r w:rsidRPr="1D471992" w:rsidR="567B8CE2">
        <w:rPr>
          <w:rFonts w:ascii="Arial" w:hAnsi="Arial" w:eastAsia="Arial" w:cs="Arial"/>
          <w:noProof w:val="0"/>
          <w:color w:val="0F4761" w:themeColor="accent1" w:themeTint="FF" w:themeShade="BF"/>
          <w:sz w:val="24"/>
          <w:szCs w:val="24"/>
          <w:lang w:val="en-GB"/>
        </w:rPr>
        <w:t>The Impact and Purpose of Food Waste in Hospitality</w:t>
      </w:r>
    </w:p>
    <w:p w:rsidR="567B8CE2" w:rsidP="1D471992" w:rsidRDefault="567B8CE2" w14:paraId="0C43380D" w14:textId="16B7814F">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In hospitality sector, food waste has significant challenges </w:t>
      </w:r>
      <w:r w:rsidRPr="1D471992" w:rsidR="567B8CE2">
        <w:rPr>
          <w:rFonts w:ascii="Arial" w:hAnsi="Arial" w:eastAsia="Arial" w:cs="Arial"/>
          <w:noProof w:val="0"/>
          <w:color w:val="000000" w:themeColor="text1" w:themeTint="FF" w:themeShade="FF"/>
          <w:sz w:val="24"/>
          <w:szCs w:val="24"/>
          <w:lang w:val="en-GB"/>
        </w:rPr>
        <w:t>impacting</w:t>
      </w:r>
      <w:r w:rsidRPr="1D471992" w:rsidR="567B8CE2">
        <w:rPr>
          <w:rFonts w:ascii="Arial" w:hAnsi="Arial" w:eastAsia="Arial" w:cs="Arial"/>
          <w:noProof w:val="0"/>
          <w:color w:val="000000" w:themeColor="text1" w:themeTint="FF" w:themeShade="FF"/>
          <w:sz w:val="24"/>
          <w:szCs w:val="24"/>
          <w:lang w:val="en-GB"/>
        </w:rPr>
        <w:t xml:space="preserve"> social, </w:t>
      </w:r>
      <w:r w:rsidRPr="1D471992" w:rsidR="567B8CE2">
        <w:rPr>
          <w:rFonts w:ascii="Arial" w:hAnsi="Arial" w:eastAsia="Arial" w:cs="Arial"/>
          <w:noProof w:val="0"/>
          <w:color w:val="000000" w:themeColor="text1" w:themeTint="FF" w:themeShade="FF"/>
          <w:sz w:val="24"/>
          <w:szCs w:val="24"/>
          <w:lang w:val="en-GB"/>
        </w:rPr>
        <w:t>economic</w:t>
      </w:r>
      <w:r w:rsidRPr="1D471992" w:rsidR="567B8CE2">
        <w:rPr>
          <w:rFonts w:ascii="Arial" w:hAnsi="Arial" w:eastAsia="Arial" w:cs="Arial"/>
          <w:noProof w:val="0"/>
          <w:color w:val="000000" w:themeColor="text1" w:themeTint="FF" w:themeShade="FF"/>
          <w:sz w:val="24"/>
          <w:szCs w:val="24"/>
          <w:lang w:val="en-GB"/>
        </w:rPr>
        <w:t xml:space="preserve"> and environmental factors negatively. On global level, annually, approximately 1.3 trillion kilos are wasted from human consumption, being lost, </w:t>
      </w:r>
      <w:r w:rsidRPr="1D471992" w:rsidR="567B8CE2">
        <w:rPr>
          <w:rFonts w:ascii="Arial" w:hAnsi="Arial" w:eastAsia="Arial" w:cs="Arial"/>
          <w:noProof w:val="0"/>
          <w:color w:val="000000" w:themeColor="text1" w:themeTint="FF" w:themeShade="FF"/>
          <w:sz w:val="24"/>
          <w:szCs w:val="24"/>
          <w:lang w:val="en-GB"/>
        </w:rPr>
        <w:t>wasted</w:t>
      </w:r>
      <w:r w:rsidRPr="1D471992" w:rsidR="567B8CE2">
        <w:rPr>
          <w:rFonts w:ascii="Arial" w:hAnsi="Arial" w:eastAsia="Arial" w:cs="Arial"/>
          <w:noProof w:val="0"/>
          <w:color w:val="000000" w:themeColor="text1" w:themeTint="FF" w:themeShade="FF"/>
          <w:sz w:val="24"/>
          <w:szCs w:val="24"/>
          <w:lang w:val="en-GB"/>
        </w:rPr>
        <w:t xml:space="preserve"> or outdated (Waste Managed, 2025). UK hospitality has </w:t>
      </w:r>
      <w:r w:rsidRPr="1D471992" w:rsidR="567B8CE2">
        <w:rPr>
          <w:rFonts w:ascii="Arial" w:hAnsi="Arial" w:eastAsia="Arial" w:cs="Arial"/>
          <w:noProof w:val="0"/>
          <w:color w:val="000000" w:themeColor="text1" w:themeTint="FF" w:themeShade="FF"/>
          <w:sz w:val="24"/>
          <w:szCs w:val="24"/>
          <w:lang w:val="en-GB"/>
        </w:rPr>
        <w:t>nearly 1.1</w:t>
      </w:r>
      <w:r w:rsidRPr="1D471992" w:rsidR="567B8CE2">
        <w:rPr>
          <w:rFonts w:ascii="Arial" w:hAnsi="Arial" w:eastAsia="Arial" w:cs="Arial"/>
          <w:noProof w:val="0"/>
          <w:color w:val="000000" w:themeColor="text1" w:themeTint="FF" w:themeShade="FF"/>
          <w:sz w:val="24"/>
          <w:szCs w:val="24"/>
          <w:lang w:val="en-GB"/>
        </w:rPr>
        <w:t xml:space="preserve"> million tonnes of annual food waste, </w:t>
      </w:r>
      <w:r w:rsidRPr="1D471992" w:rsidR="567B8CE2">
        <w:rPr>
          <w:rFonts w:ascii="Arial" w:hAnsi="Arial" w:eastAsia="Arial" w:cs="Arial"/>
          <w:noProof w:val="0"/>
          <w:color w:val="000000" w:themeColor="text1" w:themeTint="FF" w:themeShade="FF"/>
          <w:sz w:val="24"/>
          <w:szCs w:val="24"/>
          <w:lang w:val="en-GB"/>
        </w:rPr>
        <w:t>impacting</w:t>
      </w:r>
      <w:r w:rsidRPr="1D471992" w:rsidR="567B8CE2">
        <w:rPr>
          <w:rFonts w:ascii="Arial" w:hAnsi="Arial" w:eastAsia="Arial" w:cs="Arial"/>
          <w:noProof w:val="0"/>
          <w:color w:val="000000" w:themeColor="text1" w:themeTint="FF" w:themeShade="FF"/>
          <w:sz w:val="24"/>
          <w:szCs w:val="24"/>
          <w:lang w:val="en-GB"/>
        </w:rPr>
        <w:t xml:space="preserve"> negatively</w:t>
      </w:r>
      <w:r w:rsidRPr="1D471992" w:rsidR="567B8CE2">
        <w:rPr>
          <w:rFonts w:ascii="Arial" w:hAnsi="Arial" w:eastAsia="Arial" w:cs="Arial"/>
          <w:noProof w:val="0"/>
          <w:color w:val="000000" w:themeColor="text1" w:themeTint="FF" w:themeShade="FF"/>
          <w:sz w:val="24"/>
          <w:szCs w:val="24"/>
          <w:lang w:val="en-GB"/>
        </w:rPr>
        <w:t xml:space="preserve"> the financials as only restaurants around the country are losing approximately £682 millions according to the same source.</w:t>
      </w:r>
    </w:p>
    <w:p w:rsidR="567B8CE2" w:rsidP="1D471992" w:rsidRDefault="567B8CE2" w14:paraId="795CAF36" w14:textId="5CD0D91C">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Furthermore, on environmental side, food waste is </w:t>
      </w:r>
      <w:r w:rsidRPr="1D471992" w:rsidR="567B8CE2">
        <w:rPr>
          <w:rFonts w:ascii="Arial" w:hAnsi="Arial" w:eastAsia="Arial" w:cs="Arial"/>
          <w:noProof w:val="0"/>
          <w:color w:val="000000" w:themeColor="text1" w:themeTint="FF" w:themeShade="FF"/>
          <w:sz w:val="24"/>
          <w:szCs w:val="24"/>
          <w:lang w:val="en-GB"/>
        </w:rPr>
        <w:t>impacting</w:t>
      </w:r>
      <w:r w:rsidRPr="1D471992" w:rsidR="567B8CE2">
        <w:rPr>
          <w:rFonts w:ascii="Arial" w:hAnsi="Arial" w:eastAsia="Arial" w:cs="Arial"/>
          <w:noProof w:val="0"/>
          <w:color w:val="000000" w:themeColor="text1" w:themeTint="FF" w:themeShade="FF"/>
          <w:sz w:val="24"/>
          <w:szCs w:val="24"/>
          <w:lang w:val="en-GB"/>
        </w:rPr>
        <w:t xml:space="preserve"> the increasement of gases released on landfills, especially methane gas that leaves a negative footprint. “In addition to atmospheric damage, landfill gas can present hazards with its flammable and explosive properties as well as odours that impact the lives of nearby </w:t>
      </w:r>
      <w:r w:rsidRPr="1D471992" w:rsidR="0B1C1FCD">
        <w:rPr>
          <w:rFonts w:ascii="Arial" w:hAnsi="Arial" w:eastAsia="Arial" w:cs="Arial"/>
          <w:noProof w:val="0"/>
          <w:color w:val="000000" w:themeColor="text1" w:themeTint="FF" w:themeShade="FF"/>
          <w:sz w:val="24"/>
          <w:szCs w:val="24"/>
          <w:lang w:val="en-GB"/>
        </w:rPr>
        <w:t>residents” (</w:t>
      </w:r>
      <w:r w:rsidRPr="1D471992" w:rsidR="567B8CE2">
        <w:rPr>
          <w:rFonts w:ascii="Arial" w:hAnsi="Arial" w:eastAsia="Arial" w:cs="Arial"/>
          <w:noProof w:val="0"/>
          <w:color w:val="000000" w:themeColor="text1" w:themeTint="FF" w:themeShade="FF"/>
          <w:sz w:val="24"/>
          <w:szCs w:val="24"/>
          <w:lang w:val="en-GB"/>
        </w:rPr>
        <w:t xml:space="preserve">Chickering </w:t>
      </w:r>
      <w:r w:rsidRPr="1D471992" w:rsidR="567B8CE2">
        <w:rPr>
          <w:rFonts w:ascii="Arial" w:hAnsi="Arial" w:eastAsia="Arial" w:cs="Arial"/>
          <w:i w:val="1"/>
          <w:iCs w:val="1"/>
          <w:noProof w:val="0"/>
          <w:color w:val="000000" w:themeColor="text1" w:themeTint="FF" w:themeShade="FF"/>
          <w:sz w:val="24"/>
          <w:szCs w:val="24"/>
          <w:lang w:val="en-GB"/>
        </w:rPr>
        <w:t xml:space="preserve">et al. </w:t>
      </w:r>
      <w:r w:rsidRPr="1D471992" w:rsidR="567B8CE2">
        <w:rPr>
          <w:rFonts w:ascii="Arial" w:hAnsi="Arial" w:eastAsia="Arial" w:cs="Arial"/>
          <w:noProof w:val="0"/>
          <w:color w:val="000000" w:themeColor="text1" w:themeTint="FF" w:themeShade="FF"/>
          <w:sz w:val="24"/>
          <w:szCs w:val="24"/>
          <w:lang w:val="en-GB"/>
        </w:rPr>
        <w:t>2023, pp.478).</w:t>
      </w:r>
    </w:p>
    <w:p w:rsidR="567B8CE2" w:rsidP="1D471992" w:rsidRDefault="567B8CE2" w14:paraId="29BC71E8" w14:textId="4132CBD1">
      <w:pPr>
        <w:spacing w:before="0" w:beforeAutospacing="off" w:after="160" w:afterAutospacing="off" w:line="360" w:lineRule="auto"/>
        <w:jc w:val="both"/>
        <w:rPr>
          <w:rFonts w:ascii="Arial" w:hAnsi="Arial" w:eastAsia="Arial" w:cs="Arial"/>
          <w:noProof w:val="0"/>
          <w:color w:val="0F4761" w:themeColor="accent1" w:themeTint="FF" w:themeShade="BF"/>
          <w:sz w:val="24"/>
          <w:szCs w:val="24"/>
          <w:lang w:val="en-GB"/>
        </w:rPr>
      </w:pPr>
      <w:r w:rsidRPr="1D471992" w:rsidR="567B8CE2">
        <w:rPr>
          <w:rFonts w:ascii="Arial" w:hAnsi="Arial" w:eastAsia="Arial" w:cs="Arial"/>
          <w:noProof w:val="0"/>
          <w:color w:val="0F4761" w:themeColor="accent1" w:themeTint="FF" w:themeShade="BF"/>
          <w:sz w:val="24"/>
          <w:szCs w:val="24"/>
          <w:lang w:val="en-GB"/>
        </w:rPr>
        <w:t>Factors and Consequences of Food Waste</w:t>
      </w:r>
    </w:p>
    <w:p w:rsidR="567B8CE2" w:rsidP="1D471992" w:rsidRDefault="567B8CE2" w14:paraId="22E26DED" w14:textId="5D9EB469">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According to Swaffield, Evans and Welch (2023), many large-scale food producers end with unused surplus food that is already cooked, including mistakes in cooking and orders, resulting in significant food waste. Same source confirms that incorrect inventory management, wrong forecasting of company future demands or inadequate stock rotation cause further damage, resulting in outdated or unused products that end in food waste.</w:t>
      </w:r>
    </w:p>
    <w:p w:rsidR="567B8CE2" w:rsidP="1D471992" w:rsidRDefault="567B8CE2" w14:paraId="21A26944" w14:textId="18A4409F">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Another </w:t>
      </w:r>
      <w:r w:rsidRPr="1D471992" w:rsidR="567B8CE2">
        <w:rPr>
          <w:rFonts w:ascii="Arial" w:hAnsi="Arial" w:eastAsia="Arial" w:cs="Arial"/>
          <w:noProof w:val="0"/>
          <w:color w:val="000000" w:themeColor="text1" w:themeTint="FF" w:themeShade="FF"/>
          <w:sz w:val="24"/>
          <w:szCs w:val="24"/>
          <w:lang w:val="en-GB"/>
        </w:rPr>
        <w:t>important factor</w:t>
      </w:r>
      <w:r w:rsidRPr="1D471992" w:rsidR="567B8CE2">
        <w:rPr>
          <w:rFonts w:ascii="Arial" w:hAnsi="Arial" w:eastAsia="Arial" w:cs="Arial"/>
          <w:noProof w:val="0"/>
          <w:color w:val="000000" w:themeColor="text1" w:themeTint="FF" w:themeShade="FF"/>
          <w:sz w:val="24"/>
          <w:szCs w:val="24"/>
          <w:lang w:val="en-GB"/>
        </w:rPr>
        <w:t xml:space="preserve"> is highlighted by Barnhill, </w:t>
      </w:r>
      <w:r w:rsidRPr="1D471992" w:rsidR="567B8CE2">
        <w:rPr>
          <w:rFonts w:ascii="Arial" w:hAnsi="Arial" w:eastAsia="Arial" w:cs="Arial"/>
          <w:noProof w:val="0"/>
          <w:color w:val="000000" w:themeColor="text1" w:themeTint="FF" w:themeShade="FF"/>
          <w:sz w:val="24"/>
          <w:szCs w:val="24"/>
          <w:lang w:val="en-GB"/>
        </w:rPr>
        <w:t>Budolfson</w:t>
      </w:r>
      <w:r w:rsidRPr="1D471992" w:rsidR="567B8CE2">
        <w:rPr>
          <w:rFonts w:ascii="Arial" w:hAnsi="Arial" w:eastAsia="Arial" w:cs="Arial"/>
          <w:noProof w:val="0"/>
          <w:color w:val="000000" w:themeColor="text1" w:themeTint="FF" w:themeShade="FF"/>
          <w:sz w:val="24"/>
          <w:szCs w:val="24"/>
          <w:lang w:val="en-GB"/>
        </w:rPr>
        <w:t xml:space="preserve"> and Doggett (2018), suggesting that customers preferences are variable, however, hospitality should create regular portions of food as excessive portions result in uneaten dishes and contributing to a higher food waste. The same source suggests that continuation of food waste will bring high consequences for humans as soil is in continuous degradation with less minerals, deforestation, water </w:t>
      </w:r>
      <w:r w:rsidRPr="1D471992" w:rsidR="567B8CE2">
        <w:rPr>
          <w:rFonts w:ascii="Arial" w:hAnsi="Arial" w:eastAsia="Arial" w:cs="Arial"/>
          <w:noProof w:val="0"/>
          <w:color w:val="000000" w:themeColor="text1" w:themeTint="FF" w:themeShade="FF"/>
          <w:sz w:val="24"/>
          <w:szCs w:val="24"/>
          <w:lang w:val="en-GB"/>
        </w:rPr>
        <w:t>toxicity</w:t>
      </w:r>
      <w:r w:rsidRPr="1D471992" w:rsidR="567B8CE2">
        <w:rPr>
          <w:rFonts w:ascii="Arial" w:hAnsi="Arial" w:eastAsia="Arial" w:cs="Arial"/>
          <w:noProof w:val="0"/>
          <w:color w:val="000000" w:themeColor="text1" w:themeTint="FF" w:themeShade="FF"/>
          <w:sz w:val="24"/>
          <w:szCs w:val="24"/>
          <w:lang w:val="en-GB"/>
        </w:rPr>
        <w:t xml:space="preserve"> and human pollution. On same side, the experts confirm that “by 2050 the world will need to increase food production by 50-100% as Demographic Transition, by mid-century world population is expected to increase from 7 billion to 9.7 billion” (Barnhill, </w:t>
      </w:r>
      <w:r w:rsidRPr="1D471992" w:rsidR="567B8CE2">
        <w:rPr>
          <w:rFonts w:ascii="Arial" w:hAnsi="Arial" w:eastAsia="Arial" w:cs="Arial"/>
          <w:noProof w:val="0"/>
          <w:color w:val="000000" w:themeColor="text1" w:themeTint="FF" w:themeShade="FF"/>
          <w:sz w:val="24"/>
          <w:szCs w:val="24"/>
          <w:lang w:val="en-GB"/>
        </w:rPr>
        <w:t>Budolfson</w:t>
      </w:r>
      <w:r w:rsidRPr="1D471992" w:rsidR="567B8CE2">
        <w:rPr>
          <w:rFonts w:ascii="Arial" w:hAnsi="Arial" w:eastAsia="Arial" w:cs="Arial"/>
          <w:noProof w:val="0"/>
          <w:color w:val="000000" w:themeColor="text1" w:themeTint="FF" w:themeShade="FF"/>
          <w:sz w:val="24"/>
          <w:szCs w:val="24"/>
          <w:lang w:val="en-GB"/>
        </w:rPr>
        <w:t xml:space="preserve"> and Doggett,</w:t>
      </w:r>
      <w:r w:rsidRPr="1D471992" w:rsidR="567B8CE2">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2018, pp. 367-398).</w:t>
      </w:r>
    </w:p>
    <w:p w:rsidR="567B8CE2" w:rsidP="1D471992" w:rsidRDefault="567B8CE2" w14:paraId="349D6A41" w14:textId="699872CC">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A final approach is highlighted by Akbar </w:t>
      </w:r>
      <w:r w:rsidRPr="1D471992" w:rsidR="567B8CE2">
        <w:rPr>
          <w:rFonts w:ascii="Arial" w:hAnsi="Arial" w:eastAsia="Arial" w:cs="Arial"/>
          <w:i w:val="1"/>
          <w:iCs w:val="1"/>
          <w:noProof w:val="0"/>
          <w:color w:val="000000" w:themeColor="text1" w:themeTint="FF" w:themeShade="FF"/>
          <w:sz w:val="24"/>
          <w:szCs w:val="24"/>
          <w:lang w:val="en-GB"/>
        </w:rPr>
        <w:t xml:space="preserve">et al. </w:t>
      </w:r>
      <w:r w:rsidRPr="1D471992" w:rsidR="567B8CE2">
        <w:rPr>
          <w:rFonts w:ascii="Arial" w:hAnsi="Arial" w:eastAsia="Arial" w:cs="Arial"/>
          <w:noProof w:val="0"/>
          <w:color w:val="000000" w:themeColor="text1" w:themeTint="FF" w:themeShade="FF"/>
          <w:sz w:val="24"/>
          <w:szCs w:val="24"/>
          <w:lang w:val="en-GB"/>
        </w:rPr>
        <w:t>(2025) who sustains that Sustainable Hospitality Alliance with Waste Framework Directive and other important leaders in food waste have set specific measures and targets to prevent further food waste and reduce the current levels of waste between 30% to 50% by 2030 using benchmarking utensils, roadmaps and measurement tools to continuously track current and future progress of food waste.</w:t>
      </w:r>
    </w:p>
    <w:p w:rsidR="567B8CE2" w:rsidP="1D471992" w:rsidRDefault="567B8CE2" w14:paraId="65E61F62" w14:textId="73F73FD4">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 </w:t>
      </w:r>
    </w:p>
    <w:p w:rsidR="567B8CE2" w:rsidP="1D471992" w:rsidRDefault="567B8CE2" w14:paraId="5998602D" w14:textId="2199C48F">
      <w:pPr>
        <w:spacing w:before="0" w:beforeAutospacing="off" w:after="160" w:afterAutospacing="off" w:line="360" w:lineRule="auto"/>
        <w:jc w:val="both"/>
        <w:rPr>
          <w:rFonts w:ascii="Arial" w:hAnsi="Arial" w:eastAsia="Arial" w:cs="Arial"/>
          <w:noProof w:val="0"/>
          <w:color w:val="0F4761" w:themeColor="accent1" w:themeTint="FF" w:themeShade="BF"/>
          <w:sz w:val="24"/>
          <w:szCs w:val="24"/>
          <w:lang w:val="en-GB"/>
        </w:rPr>
      </w:pPr>
      <w:r w:rsidRPr="1D471992" w:rsidR="567B8CE2">
        <w:rPr>
          <w:rFonts w:ascii="Arial" w:hAnsi="Arial" w:eastAsia="Arial" w:cs="Arial"/>
          <w:noProof w:val="0"/>
          <w:color w:val="0F4761" w:themeColor="accent1" w:themeTint="FF" w:themeShade="BF"/>
          <w:sz w:val="24"/>
          <w:szCs w:val="24"/>
          <w:lang w:val="en-GB"/>
        </w:rPr>
        <w:t>Best Practices, Effectiveness and Strategies for Food Waste Reduction</w:t>
      </w:r>
    </w:p>
    <w:p w:rsidR="567B8CE2" w:rsidP="1D471992" w:rsidRDefault="567B8CE2" w14:paraId="7EB0EED1" w14:textId="72A3D84C">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00000" w:themeColor="text1" w:themeTint="FF" w:themeShade="FF"/>
          <w:sz w:val="24"/>
          <w:szCs w:val="24"/>
          <w:lang w:val="en-GB"/>
        </w:rPr>
        <w:t>Upgraded Inventory Management (SMART)</w:t>
      </w:r>
    </w:p>
    <w:p w:rsidR="567B8CE2" w:rsidP="1D471992" w:rsidRDefault="567B8CE2" w14:paraId="2C31BDF0" w14:textId="7E8E2964">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An automated inventory management system provides precise forecasting, reducing the probability of outdated inventory and overordering with real-time data </w:t>
      </w:r>
      <w:r w:rsidRPr="1D471992" w:rsidR="567B8CE2">
        <w:rPr>
          <w:rFonts w:ascii="Arial" w:hAnsi="Arial" w:eastAsia="Arial" w:cs="Arial"/>
          <w:noProof w:val="0"/>
          <w:color w:val="000000" w:themeColor="text1" w:themeTint="FF" w:themeShade="FF"/>
          <w:sz w:val="24"/>
          <w:szCs w:val="24"/>
          <w:lang w:val="en-GB"/>
        </w:rPr>
        <w:t>regarding</w:t>
      </w:r>
      <w:r w:rsidRPr="1D471992" w:rsidR="567B8CE2">
        <w:rPr>
          <w:rFonts w:ascii="Arial" w:hAnsi="Arial" w:eastAsia="Arial" w:cs="Arial"/>
          <w:noProof w:val="0"/>
          <w:color w:val="000000" w:themeColor="text1" w:themeTint="FF" w:themeShade="FF"/>
          <w:sz w:val="24"/>
          <w:szCs w:val="24"/>
          <w:lang w:val="en-GB"/>
        </w:rPr>
        <w:t xml:space="preserve"> the current stock levels. Examples include Fourth, </w:t>
      </w:r>
      <w:r w:rsidRPr="1D471992" w:rsidR="567B8CE2">
        <w:rPr>
          <w:rFonts w:ascii="Arial" w:hAnsi="Arial" w:eastAsia="Arial" w:cs="Arial"/>
          <w:noProof w:val="0"/>
          <w:color w:val="000000" w:themeColor="text1" w:themeTint="FF" w:themeShade="FF"/>
          <w:sz w:val="24"/>
          <w:szCs w:val="24"/>
          <w:lang w:val="en-GB"/>
        </w:rPr>
        <w:t>MarketMan</w:t>
      </w:r>
      <w:r w:rsidRPr="1D471992" w:rsidR="567B8CE2">
        <w:rPr>
          <w:rFonts w:ascii="Arial" w:hAnsi="Arial" w:eastAsia="Arial" w:cs="Arial"/>
          <w:noProof w:val="0"/>
          <w:color w:val="000000" w:themeColor="text1" w:themeTint="FF" w:themeShade="FF"/>
          <w:sz w:val="24"/>
          <w:szCs w:val="24"/>
          <w:lang w:val="en-GB"/>
        </w:rPr>
        <w:t xml:space="preserve"> and other similar platforms that allow users to obtain clear data about prices, </w:t>
      </w:r>
      <w:r w:rsidRPr="1D471992" w:rsidR="567B8CE2">
        <w:rPr>
          <w:rFonts w:ascii="Arial" w:hAnsi="Arial" w:eastAsia="Arial" w:cs="Arial"/>
          <w:noProof w:val="0"/>
          <w:color w:val="000000" w:themeColor="text1" w:themeTint="FF" w:themeShade="FF"/>
          <w:sz w:val="24"/>
          <w:szCs w:val="24"/>
          <w:lang w:val="en-GB"/>
        </w:rPr>
        <w:t>invoices</w:t>
      </w:r>
      <w:r w:rsidRPr="1D471992" w:rsidR="567B8CE2">
        <w:rPr>
          <w:rFonts w:ascii="Arial" w:hAnsi="Arial" w:eastAsia="Arial" w:cs="Arial"/>
          <w:noProof w:val="0"/>
          <w:color w:val="000000" w:themeColor="text1" w:themeTint="FF" w:themeShade="FF"/>
          <w:sz w:val="24"/>
          <w:szCs w:val="24"/>
          <w:lang w:val="en-GB"/>
        </w:rPr>
        <w:t xml:space="preserve"> and ROI to decrease food waste (</w:t>
      </w:r>
      <w:r w:rsidRPr="1D471992" w:rsidR="567B8CE2">
        <w:rPr>
          <w:rFonts w:ascii="Arial" w:hAnsi="Arial" w:eastAsia="Arial" w:cs="Arial"/>
          <w:noProof w:val="0"/>
          <w:color w:val="000000" w:themeColor="text1" w:themeTint="FF" w:themeShade="FF"/>
          <w:sz w:val="24"/>
          <w:szCs w:val="24"/>
          <w:lang w:val="en-GB"/>
        </w:rPr>
        <w:t>Factorachian</w:t>
      </w:r>
      <w:r w:rsidRPr="1D471992" w:rsidR="2F5E1C45">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Kazemi and Pawar, 2025).</w:t>
      </w:r>
    </w:p>
    <w:p w:rsidR="567B8CE2" w:rsidP="1D471992" w:rsidRDefault="567B8CE2" w14:paraId="6D08C1EA" w14:textId="730387B4">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For example, Hilton Hotel, Derby (Hilton, 2026), have implemented an Ai inventory system that helped them to reduce food waste by 55% in less than 8 months </w:t>
      </w:r>
      <w:r w:rsidRPr="1D471992" w:rsidR="567B8CE2">
        <w:rPr>
          <w:rFonts w:ascii="Arial" w:hAnsi="Arial" w:eastAsia="Arial" w:cs="Arial"/>
          <w:noProof w:val="0"/>
          <w:color w:val="000000" w:themeColor="text1" w:themeTint="FF" w:themeShade="FF"/>
          <w:sz w:val="24"/>
          <w:szCs w:val="24"/>
          <w:lang w:val="en-GB"/>
        </w:rPr>
        <w:t>impacting</w:t>
      </w:r>
      <w:r w:rsidRPr="1D471992" w:rsidR="567B8CE2">
        <w:rPr>
          <w:rFonts w:ascii="Arial" w:hAnsi="Arial" w:eastAsia="Arial" w:cs="Arial"/>
          <w:noProof w:val="0"/>
          <w:color w:val="000000" w:themeColor="text1" w:themeTint="FF" w:themeShade="FF"/>
          <w:sz w:val="24"/>
          <w:szCs w:val="24"/>
          <w:lang w:val="en-GB"/>
        </w:rPr>
        <w:t xml:space="preserve"> positively their financial cost with 7% comparing to </w:t>
      </w:r>
      <w:r w:rsidRPr="1D471992" w:rsidR="567B8CE2">
        <w:rPr>
          <w:rFonts w:ascii="Arial" w:hAnsi="Arial" w:eastAsia="Arial" w:cs="Arial"/>
          <w:noProof w:val="0"/>
          <w:color w:val="000000" w:themeColor="text1" w:themeTint="FF" w:themeShade="FF"/>
          <w:sz w:val="24"/>
          <w:szCs w:val="24"/>
          <w:lang w:val="en-GB"/>
        </w:rPr>
        <w:t>previous</w:t>
      </w:r>
      <w:r w:rsidRPr="1D471992" w:rsidR="567B8CE2">
        <w:rPr>
          <w:rFonts w:ascii="Arial" w:hAnsi="Arial" w:eastAsia="Arial" w:cs="Arial"/>
          <w:noProof w:val="0"/>
          <w:color w:val="000000" w:themeColor="text1" w:themeTint="FF" w:themeShade="FF"/>
          <w:sz w:val="24"/>
          <w:szCs w:val="24"/>
          <w:lang w:val="en-GB"/>
        </w:rPr>
        <w:t xml:space="preserve"> practices.</w:t>
      </w:r>
    </w:p>
    <w:p w:rsidR="567B8CE2" w:rsidP="1D471992" w:rsidRDefault="567B8CE2" w14:paraId="74533D97" w14:textId="00A52CBC">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00000" w:themeColor="text1" w:themeTint="FF" w:themeShade="FF"/>
          <w:sz w:val="24"/>
          <w:szCs w:val="24"/>
          <w:lang w:val="en-GB"/>
        </w:rPr>
        <w:t>Composting and anaerobic digestion</w:t>
      </w:r>
    </w:p>
    <w:p w:rsidR="567B8CE2" w:rsidP="1D471992" w:rsidRDefault="567B8CE2" w14:paraId="652C22D8" w14:textId="354EA081">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 Composting has </w:t>
      </w:r>
      <w:r w:rsidRPr="1D471992" w:rsidR="513B646E">
        <w:rPr>
          <w:rFonts w:ascii="Arial" w:hAnsi="Arial" w:eastAsia="Arial" w:cs="Arial"/>
          <w:noProof w:val="0"/>
          <w:color w:val="000000" w:themeColor="text1" w:themeTint="FF" w:themeShade="FF"/>
          <w:sz w:val="24"/>
          <w:szCs w:val="24"/>
          <w:lang w:val="en-GB"/>
        </w:rPr>
        <w:t>become</w:t>
      </w:r>
      <w:r w:rsidRPr="1D471992" w:rsidR="567B8CE2">
        <w:rPr>
          <w:rFonts w:ascii="Arial" w:hAnsi="Arial" w:eastAsia="Arial" w:cs="Arial"/>
          <w:noProof w:val="0"/>
          <w:color w:val="000000" w:themeColor="text1" w:themeTint="FF" w:themeShade="FF"/>
          <w:sz w:val="24"/>
          <w:szCs w:val="24"/>
          <w:lang w:val="en-GB"/>
        </w:rPr>
        <w:t xml:space="preserve"> a current strategy in a continuous growth, used against food waste, that converts all edible wasted products into compost full of minerals that is used for local agriculture, especially for lettuce (</w:t>
      </w:r>
      <w:r w:rsidRPr="1D471992" w:rsidR="567B8CE2">
        <w:rPr>
          <w:rFonts w:ascii="Arial" w:hAnsi="Arial" w:eastAsia="Arial" w:cs="Arial"/>
          <w:noProof w:val="0"/>
          <w:color w:val="000000" w:themeColor="text1" w:themeTint="FF" w:themeShade="FF"/>
          <w:sz w:val="24"/>
          <w:szCs w:val="24"/>
          <w:lang w:val="en-GB"/>
        </w:rPr>
        <w:t>Kumnagen</w:t>
      </w:r>
      <w:r w:rsidRPr="1D471992" w:rsidR="567B8CE2">
        <w:rPr>
          <w:rFonts w:ascii="Arial" w:hAnsi="Arial" w:eastAsia="Arial" w:cs="Arial"/>
          <w:noProof w:val="0"/>
          <w:color w:val="000000" w:themeColor="text1" w:themeTint="FF" w:themeShade="FF"/>
          <w:sz w:val="24"/>
          <w:szCs w:val="24"/>
          <w:lang w:val="en-GB"/>
        </w:rPr>
        <w:t xml:space="preserve">, A. </w:t>
      </w:r>
      <w:r w:rsidRPr="1D471992" w:rsidR="567B8CE2">
        <w:rPr>
          <w:rFonts w:ascii="Arial" w:hAnsi="Arial" w:eastAsia="Arial" w:cs="Arial"/>
          <w:i w:val="1"/>
          <w:iCs w:val="1"/>
          <w:noProof w:val="0"/>
          <w:color w:val="000000" w:themeColor="text1" w:themeTint="FF" w:themeShade="FF"/>
          <w:sz w:val="24"/>
          <w:szCs w:val="24"/>
          <w:lang w:val="en-GB"/>
        </w:rPr>
        <w:t>et al.</w:t>
      </w:r>
      <w:r w:rsidRPr="1D471992" w:rsidR="76DB23EE">
        <w:rPr>
          <w:rFonts w:ascii="Arial" w:hAnsi="Arial" w:eastAsia="Arial" w:cs="Arial"/>
          <w:i w:val="1"/>
          <w:iCs w:val="1"/>
          <w:noProof w:val="0"/>
          <w:color w:val="000000" w:themeColor="text1" w:themeTint="FF" w:themeShade="FF"/>
          <w:sz w:val="24"/>
          <w:szCs w:val="24"/>
          <w:lang w:val="en-GB"/>
        </w:rPr>
        <w:t>,</w:t>
      </w:r>
      <w:r w:rsidRPr="1D471992" w:rsidR="567B8CE2">
        <w:rPr>
          <w:rFonts w:ascii="Arial" w:hAnsi="Arial" w:eastAsia="Arial" w:cs="Arial"/>
          <w:i w:val="1"/>
          <w:iCs w:val="1"/>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2023).</w:t>
      </w:r>
    </w:p>
    <w:p w:rsidR="567B8CE2" w:rsidP="1D471992" w:rsidRDefault="567B8CE2" w14:paraId="7791080E" w14:textId="0B2A303C">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Anaerobic digestion is innovative solution to transform food waste in energy and biogas, however, the above is considered an expensive solution as companies would need a digester to process the food, hence smaller businesses would need to access their nearest facility for food waste (Aydin,</w:t>
      </w:r>
      <w:r w:rsidRPr="1D471992" w:rsidR="567B8CE2">
        <w:rPr>
          <w:rFonts w:ascii="Arial" w:hAnsi="Arial" w:eastAsia="Arial" w:cs="Arial"/>
          <w:noProof w:val="0"/>
          <w:color w:val="000000" w:themeColor="text1" w:themeTint="FF" w:themeShade="FF"/>
          <w:sz w:val="24"/>
          <w:szCs w:val="24"/>
          <w:lang w:val="en-GB"/>
        </w:rPr>
        <w:t xml:space="preserve"> 2024).</w:t>
      </w:r>
    </w:p>
    <w:p w:rsidR="567B8CE2" w:rsidP="1D471992" w:rsidRDefault="567B8CE2" w14:paraId="3ADA0841" w14:textId="7FA262D2">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A great example</w:t>
      </w:r>
      <w:r w:rsidRPr="1D471992" w:rsidR="567B8CE2">
        <w:rPr>
          <w:rFonts w:ascii="Arial" w:hAnsi="Arial" w:eastAsia="Arial" w:cs="Arial"/>
          <w:noProof w:val="0"/>
          <w:color w:val="000000" w:themeColor="text1" w:themeTint="FF" w:themeShade="FF"/>
          <w:sz w:val="24"/>
          <w:szCs w:val="24"/>
          <w:lang w:val="en-GB"/>
        </w:rPr>
        <w:t xml:space="preserve"> of the above solutions is Lovat Scotland Hotel (2026), that have vessel composter to reduce efficiently food waste and increase their sustainable reputation with positive impact on their revenue. However, </w:t>
      </w:r>
      <w:r w:rsidRPr="1D471992" w:rsidR="567B8CE2">
        <w:rPr>
          <w:rFonts w:ascii="Arial" w:hAnsi="Arial" w:eastAsia="Arial" w:cs="Arial"/>
          <w:noProof w:val="0"/>
          <w:color w:val="000000" w:themeColor="text1" w:themeTint="FF" w:themeShade="FF"/>
          <w:sz w:val="24"/>
          <w:szCs w:val="24"/>
          <w:lang w:val="en-GB"/>
        </w:rPr>
        <w:t>Malakahmad</w:t>
      </w:r>
      <w:r w:rsidRPr="1D471992" w:rsidR="567B8CE2">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i w:val="1"/>
          <w:iCs w:val="1"/>
          <w:noProof w:val="0"/>
          <w:color w:val="000000" w:themeColor="text1" w:themeTint="FF" w:themeShade="FF"/>
          <w:sz w:val="24"/>
          <w:szCs w:val="24"/>
          <w:lang w:val="en-GB"/>
        </w:rPr>
        <w:t xml:space="preserve">et al. </w:t>
      </w:r>
      <w:r w:rsidRPr="1D471992" w:rsidR="567B8CE2">
        <w:rPr>
          <w:rFonts w:ascii="Arial" w:hAnsi="Arial" w:eastAsia="Arial" w:cs="Arial"/>
          <w:noProof w:val="0"/>
          <w:color w:val="000000" w:themeColor="text1" w:themeTint="FF" w:themeShade="FF"/>
          <w:sz w:val="24"/>
          <w:szCs w:val="24"/>
          <w:lang w:val="en-GB"/>
        </w:rPr>
        <w:t>(2017), highlights that in order to obtain significant results from food reduction, companies should be aware of the financial cost as the process requires specific staff training to understand the compost quality, composting machines and segregation to ensure a clear process that would offer substantial benefits.</w:t>
      </w:r>
    </w:p>
    <w:p w:rsidR="567B8CE2" w:rsidP="1D471992" w:rsidRDefault="567B8CE2" w14:paraId="54F73F56" w14:textId="7474F74F">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00000" w:themeColor="text1" w:themeTint="FF" w:themeShade="FF"/>
          <w:sz w:val="24"/>
          <w:szCs w:val="24"/>
          <w:lang w:val="en-GB"/>
        </w:rPr>
        <w:t>Portion Control and Menu</w:t>
      </w:r>
    </w:p>
    <w:p w:rsidR="567B8CE2" w:rsidP="1D471992" w:rsidRDefault="567B8CE2" w14:paraId="4597E7DD" w14:textId="15222BE9">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00000" w:themeColor="text1" w:themeTint="FF" w:themeShade="FF"/>
          <w:sz w:val="24"/>
          <w:szCs w:val="24"/>
          <w:lang w:val="en-GB"/>
        </w:rPr>
        <w:t xml:space="preserve">To prevent wastage, menu design and </w:t>
      </w:r>
      <w:r w:rsidRPr="1D471992" w:rsidR="567B8CE2">
        <w:rPr>
          <w:rFonts w:ascii="Arial" w:hAnsi="Arial" w:eastAsia="Arial" w:cs="Arial"/>
          <w:noProof w:val="0"/>
          <w:color w:val="000000" w:themeColor="text1" w:themeTint="FF" w:themeShade="FF"/>
          <w:sz w:val="24"/>
          <w:szCs w:val="24"/>
          <w:lang w:val="en-GB"/>
        </w:rPr>
        <w:t>portion</w:t>
      </w:r>
      <w:r w:rsidRPr="1D471992" w:rsidR="567B8CE2">
        <w:rPr>
          <w:rFonts w:ascii="Arial" w:hAnsi="Arial" w:eastAsia="Arial" w:cs="Arial"/>
          <w:noProof w:val="0"/>
          <w:color w:val="000000" w:themeColor="text1" w:themeTint="FF" w:themeShade="FF"/>
          <w:sz w:val="24"/>
          <w:szCs w:val="24"/>
          <w:lang w:val="en-GB"/>
        </w:rPr>
        <w:t xml:space="preserve"> size play a significant role on food waste prevention. Including common ingredients that could be used in a variety of dishes present in the menu, using day surplus for staff meals and customer incentives, flexible portions such as buffets and smaller sizes are all strategies to reduce food waste by 20% (</w:t>
      </w:r>
      <w:r w:rsidRPr="1D471992" w:rsidR="567B8CE2">
        <w:rPr>
          <w:rFonts w:ascii="Arial" w:hAnsi="Arial" w:eastAsia="Arial" w:cs="Arial"/>
          <w:noProof w:val="0"/>
          <w:color w:val="000000" w:themeColor="text1" w:themeTint="FF" w:themeShade="FF"/>
          <w:sz w:val="24"/>
          <w:szCs w:val="24"/>
          <w:lang w:val="en-GB"/>
        </w:rPr>
        <w:t>Wansinik</w:t>
      </w:r>
      <w:r w:rsidRPr="1D471992" w:rsidR="567B8CE2">
        <w:rPr>
          <w:rFonts w:ascii="Arial" w:hAnsi="Arial" w:eastAsia="Arial" w:cs="Arial"/>
          <w:noProof w:val="0"/>
          <w:color w:val="000000" w:themeColor="text1" w:themeTint="FF" w:themeShade="FF"/>
          <w:sz w:val="24"/>
          <w:szCs w:val="24"/>
          <w:lang w:val="en-GB"/>
        </w:rPr>
        <w:t>, and Van</w:t>
      </w:r>
      <w:r w:rsidRPr="1D471992" w:rsidR="1CEF55F9">
        <w:rPr>
          <w:rFonts w:ascii="Arial" w:hAnsi="Arial" w:eastAsia="Arial" w:cs="Arial"/>
          <w:noProof w:val="0"/>
          <w:color w:val="000000" w:themeColor="text1" w:themeTint="FF" w:themeShade="FF"/>
          <w:sz w:val="24"/>
          <w:szCs w:val="24"/>
          <w:lang w:val="en-GB"/>
        </w:rPr>
        <w:t>,</w:t>
      </w:r>
      <w:r w:rsidRPr="1D471992" w:rsidR="567B8CE2">
        <w:rPr>
          <w:rFonts w:ascii="Arial" w:hAnsi="Arial" w:eastAsia="Arial" w:cs="Arial"/>
          <w:noProof w:val="0"/>
          <w:color w:val="000000" w:themeColor="text1" w:themeTint="FF" w:themeShade="FF"/>
          <w:sz w:val="24"/>
          <w:szCs w:val="24"/>
          <w:lang w:val="en-GB"/>
        </w:rPr>
        <w:t xml:space="preserve"> 2013).</w:t>
      </w:r>
    </w:p>
    <w:p w:rsidR="567B8CE2" w:rsidP="1D471992" w:rsidRDefault="567B8CE2" w14:paraId="065E305E" w14:textId="016A6112">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00000" w:themeColor="text1" w:themeTint="FF" w:themeShade="FF"/>
          <w:sz w:val="24"/>
          <w:szCs w:val="24"/>
          <w:lang w:val="en-GB"/>
        </w:rPr>
        <w:t xml:space="preserve">Local Sourcing </w:t>
      </w:r>
    </w:p>
    <w:p w:rsidR="567B8CE2" w:rsidP="1D471992" w:rsidRDefault="567B8CE2" w14:paraId="338DB811" w14:textId="4590C2A1">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Local sourcing has </w:t>
      </w:r>
      <w:r w:rsidRPr="1D471992" w:rsidR="567B8CE2">
        <w:rPr>
          <w:rFonts w:ascii="Arial" w:hAnsi="Arial" w:eastAsia="Arial" w:cs="Arial"/>
          <w:noProof w:val="0"/>
          <w:color w:val="000000" w:themeColor="text1" w:themeTint="FF" w:themeShade="FF"/>
          <w:sz w:val="24"/>
          <w:szCs w:val="24"/>
          <w:lang w:val="en-GB"/>
        </w:rPr>
        <w:t>numerous</w:t>
      </w:r>
      <w:r w:rsidRPr="1D471992" w:rsidR="567B8CE2">
        <w:rPr>
          <w:rFonts w:ascii="Arial" w:hAnsi="Arial" w:eastAsia="Arial" w:cs="Arial"/>
          <w:noProof w:val="0"/>
          <w:color w:val="000000" w:themeColor="text1" w:themeTint="FF" w:themeShade="FF"/>
          <w:sz w:val="24"/>
          <w:szCs w:val="24"/>
          <w:lang w:val="en-GB"/>
        </w:rPr>
        <w:t xml:space="preserve"> positive impacts, especially for the environment by reducing gas emissions caused by transport, spoilage from transition, increased local economy, authenticity and increased business reputation as customers preferences have changed and customers are </w:t>
      </w:r>
      <w:r w:rsidRPr="1D471992" w:rsidR="2EC0F16E">
        <w:rPr>
          <w:rFonts w:ascii="Arial" w:hAnsi="Arial" w:eastAsia="Arial" w:cs="Arial"/>
          <w:noProof w:val="0"/>
          <w:color w:val="000000" w:themeColor="text1" w:themeTint="FF" w:themeShade="FF"/>
          <w:sz w:val="24"/>
          <w:szCs w:val="24"/>
          <w:lang w:val="en-GB"/>
        </w:rPr>
        <w:t>searching for</w:t>
      </w:r>
      <w:r w:rsidRPr="1D471992" w:rsidR="567B8CE2">
        <w:rPr>
          <w:rFonts w:ascii="Arial" w:hAnsi="Arial" w:eastAsia="Arial" w:cs="Arial"/>
          <w:noProof w:val="0"/>
          <w:color w:val="000000" w:themeColor="text1" w:themeTint="FF" w:themeShade="FF"/>
          <w:sz w:val="24"/>
          <w:szCs w:val="24"/>
          <w:lang w:val="en-GB"/>
        </w:rPr>
        <w:t xml:space="preserve"> sustainable experiences (Prieto</w:t>
      </w:r>
      <w:r w:rsidRPr="1D471992" w:rsidR="02402DFE">
        <w:rPr>
          <w:rFonts w:ascii="Arial" w:hAnsi="Arial" w:eastAsia="Arial" w:cs="Arial"/>
          <w:noProof w:val="0"/>
          <w:color w:val="000000" w:themeColor="text1" w:themeTint="FF" w:themeShade="FF"/>
          <w:sz w:val="24"/>
          <w:szCs w:val="24"/>
          <w:lang w:val="en-GB"/>
        </w:rPr>
        <w:t>,</w:t>
      </w:r>
      <w:r w:rsidRPr="1D471992" w:rsidR="567B8CE2">
        <w:rPr>
          <w:rFonts w:ascii="Arial" w:hAnsi="Arial" w:eastAsia="Arial" w:cs="Arial"/>
          <w:noProof w:val="0"/>
          <w:color w:val="000000" w:themeColor="text1" w:themeTint="FF" w:themeShade="FF"/>
          <w:sz w:val="24"/>
          <w:szCs w:val="24"/>
          <w:lang w:val="en-GB"/>
        </w:rPr>
        <w:t xml:space="preserve"> 2021</w:t>
      </w:r>
      <w:r w:rsidRPr="1D471992" w:rsidR="4F0F5CEB">
        <w:rPr>
          <w:rFonts w:ascii="Arial" w:hAnsi="Arial" w:eastAsia="Arial" w:cs="Arial"/>
          <w:noProof w:val="0"/>
          <w:color w:val="000000" w:themeColor="text1" w:themeTint="FF" w:themeShade="FF"/>
          <w:sz w:val="24"/>
          <w:szCs w:val="24"/>
          <w:lang w:val="en-GB"/>
        </w:rPr>
        <w:t xml:space="preserve">). </w:t>
      </w:r>
      <w:r w:rsidRPr="1D471992" w:rsidR="722FB46F">
        <w:rPr>
          <w:rFonts w:ascii="Arial" w:hAnsi="Arial" w:eastAsia="Arial" w:cs="Arial"/>
          <w:noProof w:val="0"/>
          <w:color w:val="000000" w:themeColor="text1" w:themeTint="FF" w:themeShade="FF"/>
          <w:sz w:val="24"/>
          <w:szCs w:val="24"/>
          <w:lang w:val="en-GB"/>
        </w:rPr>
        <w:t>A great strategic example</w:t>
      </w:r>
      <w:r w:rsidRPr="1D471992" w:rsidR="567B8CE2">
        <w:rPr>
          <w:rFonts w:ascii="Arial" w:hAnsi="Arial" w:eastAsia="Arial" w:cs="Arial"/>
          <w:noProof w:val="0"/>
          <w:color w:val="000000" w:themeColor="text1" w:themeTint="FF" w:themeShade="FF"/>
          <w:sz w:val="24"/>
          <w:szCs w:val="24"/>
          <w:lang w:val="en-GB"/>
        </w:rPr>
        <w:t xml:space="preserve"> is PIG </w:t>
      </w:r>
      <w:r w:rsidRPr="1D471992" w:rsidR="632C1602">
        <w:rPr>
          <w:rFonts w:ascii="Arial" w:hAnsi="Arial" w:eastAsia="Arial" w:cs="Arial"/>
          <w:noProof w:val="0"/>
          <w:color w:val="000000" w:themeColor="text1" w:themeTint="FF" w:themeShade="FF"/>
          <w:sz w:val="24"/>
          <w:szCs w:val="24"/>
          <w:lang w:val="en-GB"/>
        </w:rPr>
        <w:t>Hotels (</w:t>
      </w:r>
      <w:r w:rsidRPr="1D471992" w:rsidR="567B8CE2">
        <w:rPr>
          <w:rFonts w:ascii="Arial" w:hAnsi="Arial" w:eastAsia="Arial" w:cs="Arial"/>
          <w:noProof w:val="0"/>
          <w:color w:val="000000" w:themeColor="text1" w:themeTint="FF" w:themeShade="FF"/>
          <w:sz w:val="24"/>
          <w:szCs w:val="24"/>
          <w:lang w:val="en-GB"/>
        </w:rPr>
        <w:t xml:space="preserve">2026) that are using local sourcing, </w:t>
      </w:r>
      <w:r w:rsidRPr="1D471992" w:rsidR="3FD6A102">
        <w:rPr>
          <w:rFonts w:ascii="Arial" w:hAnsi="Arial" w:eastAsia="Arial" w:cs="Arial"/>
          <w:noProof w:val="0"/>
          <w:color w:val="000000" w:themeColor="text1" w:themeTint="FF" w:themeShade="FF"/>
          <w:sz w:val="24"/>
          <w:szCs w:val="24"/>
          <w:lang w:val="en-GB"/>
        </w:rPr>
        <w:t>own agriculture for most products</w:t>
      </w:r>
      <w:r w:rsidRPr="1D471992" w:rsidR="567B8CE2">
        <w:rPr>
          <w:rFonts w:ascii="Arial" w:hAnsi="Arial" w:eastAsia="Arial" w:cs="Arial"/>
          <w:noProof w:val="0"/>
          <w:color w:val="000000" w:themeColor="text1" w:themeTint="FF" w:themeShade="FF"/>
          <w:sz w:val="24"/>
          <w:szCs w:val="24"/>
          <w:lang w:val="en-GB"/>
        </w:rPr>
        <w:t xml:space="preserve"> and</w:t>
      </w:r>
      <w:r w:rsidRPr="1D471992" w:rsidR="567B8CE2">
        <w:rPr>
          <w:rFonts w:ascii="Arial" w:hAnsi="Arial" w:eastAsia="Arial" w:cs="Arial"/>
          <w:noProof w:val="0"/>
          <w:color w:val="000000" w:themeColor="text1" w:themeTint="FF" w:themeShade="FF"/>
          <w:sz w:val="24"/>
          <w:szCs w:val="24"/>
          <w:lang w:val="en-GB"/>
        </w:rPr>
        <w:t xml:space="preserve"> increased business reputation by obtaining Michelin Green Star.</w:t>
      </w:r>
    </w:p>
    <w:p w:rsidR="567B8CE2" w:rsidP="1D471992" w:rsidRDefault="567B8CE2" w14:paraId="4A9638E3" w14:textId="79143D71">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00000" w:themeColor="text1" w:themeTint="FF" w:themeShade="FF"/>
          <w:sz w:val="24"/>
          <w:szCs w:val="24"/>
          <w:lang w:val="en-GB"/>
        </w:rPr>
        <w:t>Engagement and Staff Training</w:t>
      </w:r>
    </w:p>
    <w:p w:rsidR="0FF256C9" w:rsidP="1D471992" w:rsidRDefault="0FF256C9" w14:paraId="232791B6" w14:textId="39AC4BE5">
      <w:pPr>
        <w:spacing w:before="0" w:beforeAutospacing="off" w:after="160" w:afterAutospacing="off" w:line="360" w:lineRule="auto"/>
        <w:jc w:val="both"/>
      </w:pPr>
      <w:r w:rsidRPr="1D471992" w:rsidR="0FF256C9">
        <w:rPr>
          <w:rFonts w:ascii="Arial" w:hAnsi="Arial" w:eastAsia="Arial" w:cs="Arial"/>
          <w:noProof w:val="0"/>
          <w:color w:val="000000" w:themeColor="text1" w:themeTint="FF" w:themeShade="FF"/>
          <w:sz w:val="24"/>
          <w:szCs w:val="24"/>
          <w:lang w:val="en-GB"/>
        </w:rPr>
        <w:t>To</w:t>
      </w:r>
      <w:r w:rsidRPr="1D471992" w:rsidR="567B8CE2">
        <w:rPr>
          <w:rFonts w:ascii="Arial" w:hAnsi="Arial" w:eastAsia="Arial" w:cs="Arial"/>
          <w:noProof w:val="0"/>
          <w:color w:val="000000" w:themeColor="text1" w:themeTint="FF" w:themeShade="FF"/>
          <w:sz w:val="24"/>
          <w:szCs w:val="24"/>
          <w:lang w:val="en-GB"/>
        </w:rPr>
        <w:t xml:space="preserve"> reduce food waste, all members of the business including staff and stakeholders should have a shared </w:t>
      </w:r>
      <w:r w:rsidRPr="1D471992" w:rsidR="567B8CE2">
        <w:rPr>
          <w:rFonts w:ascii="Arial" w:hAnsi="Arial" w:eastAsia="Arial" w:cs="Arial"/>
          <w:noProof w:val="0"/>
          <w:color w:val="000000" w:themeColor="text1" w:themeTint="FF" w:themeShade="FF"/>
          <w:sz w:val="24"/>
          <w:szCs w:val="24"/>
          <w:lang w:val="en-GB"/>
        </w:rPr>
        <w:t>objective</w:t>
      </w:r>
      <w:r w:rsidRPr="1D471992" w:rsidR="567B8CE2">
        <w:rPr>
          <w:rFonts w:ascii="Arial" w:hAnsi="Arial" w:eastAsia="Arial" w:cs="Arial"/>
          <w:noProof w:val="0"/>
          <w:color w:val="000000" w:themeColor="text1" w:themeTint="FF" w:themeShade="FF"/>
          <w:sz w:val="24"/>
          <w:szCs w:val="24"/>
          <w:lang w:val="en-GB"/>
        </w:rPr>
        <w:t xml:space="preserve"> in regards food waste, therefore, engagement and high training in cultivating new education about sustainability culture, is crucial. Strategies include clear communications about new sustainable policies, partnerships with charities and local food banks creating redistribution of unused food (Way </w:t>
      </w:r>
      <w:r w:rsidRPr="1D471992" w:rsidR="567B8CE2">
        <w:rPr>
          <w:rFonts w:ascii="Arial" w:hAnsi="Arial" w:eastAsia="Arial" w:cs="Arial"/>
          <w:i w:val="1"/>
          <w:iCs w:val="1"/>
          <w:noProof w:val="0"/>
          <w:color w:val="000000" w:themeColor="text1" w:themeTint="FF" w:themeShade="FF"/>
          <w:sz w:val="24"/>
          <w:szCs w:val="24"/>
          <w:lang w:val="en-GB"/>
        </w:rPr>
        <w:t>et al.</w:t>
      </w:r>
      <w:r w:rsidRPr="1D471992" w:rsidR="67FD09A6">
        <w:rPr>
          <w:rFonts w:ascii="Arial" w:hAnsi="Arial" w:eastAsia="Arial" w:cs="Arial"/>
          <w:i w:val="1"/>
          <w:iCs w:val="1"/>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2025).</w:t>
      </w:r>
    </w:p>
    <w:p w:rsidR="567B8CE2" w:rsidP="1D471992" w:rsidRDefault="567B8CE2" w14:paraId="2D59CD34" w14:textId="4767BD82">
      <w:pPr>
        <w:pStyle w:val="ListParagraph"/>
        <w:numPr>
          <w:ilvl w:val="0"/>
          <w:numId w:val="1"/>
        </w:num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00000" w:themeColor="text1" w:themeTint="FF" w:themeShade="FF"/>
          <w:sz w:val="24"/>
          <w:szCs w:val="24"/>
          <w:lang w:val="en-GB"/>
        </w:rPr>
        <w:t>Customer Expectations</w:t>
      </w:r>
    </w:p>
    <w:p w:rsidR="567B8CE2" w:rsidP="1D471992" w:rsidRDefault="567B8CE2" w14:paraId="2EC238F4" w14:textId="6409A68B">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it"/>
        </w:rPr>
        <w:t>According</w:t>
      </w:r>
      <w:r w:rsidRPr="1D471992" w:rsidR="567B8CE2">
        <w:rPr>
          <w:rFonts w:ascii="Arial" w:hAnsi="Arial" w:eastAsia="Arial" w:cs="Arial"/>
          <w:noProof w:val="0"/>
          <w:color w:val="000000" w:themeColor="text1" w:themeTint="FF" w:themeShade="FF"/>
          <w:sz w:val="24"/>
          <w:szCs w:val="24"/>
          <w:lang w:val="it"/>
        </w:rPr>
        <w:t xml:space="preserve"> to Marin-Garcia </w:t>
      </w:r>
      <w:r w:rsidRPr="1D471992" w:rsidR="567B8CE2">
        <w:rPr>
          <w:rFonts w:ascii="Arial" w:hAnsi="Arial" w:eastAsia="Arial" w:cs="Arial"/>
          <w:i w:val="1"/>
          <w:iCs w:val="1"/>
          <w:noProof w:val="0"/>
          <w:color w:val="000000" w:themeColor="text1" w:themeTint="FF" w:themeShade="FF"/>
          <w:sz w:val="24"/>
          <w:szCs w:val="24"/>
          <w:lang w:val="it"/>
        </w:rPr>
        <w:t xml:space="preserve">et al. </w:t>
      </w:r>
      <w:r w:rsidRPr="1D471992" w:rsidR="567B8CE2">
        <w:rPr>
          <w:rFonts w:ascii="Arial" w:hAnsi="Arial" w:eastAsia="Arial" w:cs="Arial"/>
          <w:noProof w:val="0"/>
          <w:color w:val="000000" w:themeColor="text1" w:themeTint="FF" w:themeShade="FF"/>
          <w:sz w:val="24"/>
          <w:szCs w:val="24"/>
          <w:lang w:val="en-GB"/>
        </w:rPr>
        <w:t>(2025) 88% of customers prefer a sustainable experience with tangible eco-friendly practices, allowing businesses to transform sustainability in their own competitive advantage “attracting a large number of guests, therefore it is important that hotels incorporate economic, environmental and social issues into their strategic planning”(Marin-Garcia</w:t>
      </w:r>
      <w:r w:rsidRPr="1D471992" w:rsidR="7E26FE63">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i w:val="1"/>
          <w:iCs w:val="1"/>
          <w:noProof w:val="0"/>
          <w:color w:val="000000" w:themeColor="text1" w:themeTint="FF" w:themeShade="FF"/>
          <w:sz w:val="24"/>
          <w:szCs w:val="24"/>
          <w:lang w:val="en-GB"/>
        </w:rPr>
        <w:t xml:space="preserve">et al. </w:t>
      </w:r>
      <w:r w:rsidRPr="1D471992" w:rsidR="567B8CE2">
        <w:rPr>
          <w:rFonts w:ascii="Arial" w:hAnsi="Arial" w:eastAsia="Arial" w:cs="Arial"/>
          <w:noProof w:val="0"/>
          <w:color w:val="000000" w:themeColor="text1" w:themeTint="FF" w:themeShade="FF"/>
          <w:sz w:val="24"/>
          <w:szCs w:val="24"/>
          <w:lang w:val="en-GB"/>
        </w:rPr>
        <w:t>2025). As suggested by same source, sustainable actions enhance guests trust, increase loyalty and brand reputation. An example of effective sustainable service is Lamington Group, that decreased their carbon emissions by 61% and 0 waste on landfill, allowing them to gain competitive advantage and become industry leaders (Lamington Group, 2026).</w:t>
      </w:r>
    </w:p>
    <w:p w:rsidR="567B8CE2" w:rsidP="1D471992" w:rsidRDefault="567B8CE2" w14:paraId="41CDD478" w14:textId="066946E8">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 </w:t>
      </w:r>
    </w:p>
    <w:p w:rsidR="567B8CE2" w:rsidP="1D471992" w:rsidRDefault="567B8CE2" w14:paraId="08808073" w14:textId="6B672F1A">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GB"/>
        </w:rPr>
      </w:pPr>
      <w:r w:rsidRPr="1D471992" w:rsidR="567B8CE2">
        <w:rPr>
          <w:rFonts w:ascii="Arial" w:hAnsi="Arial" w:eastAsia="Arial" w:cs="Arial"/>
          <w:b w:val="1"/>
          <w:bCs w:val="1"/>
          <w:noProof w:val="0"/>
          <w:color w:val="000000" w:themeColor="text1" w:themeTint="FF" w:themeShade="FF"/>
          <w:sz w:val="24"/>
          <w:szCs w:val="24"/>
          <w:lang w:val="en-GB"/>
        </w:rPr>
        <w:t>Method</w:t>
      </w:r>
    </w:p>
    <w:p w:rsidR="567B8CE2" w:rsidP="1D471992" w:rsidRDefault="567B8CE2" w14:paraId="470692FA" w14:textId="52143AC5">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All data for this research was collected from credible sources, case </w:t>
      </w:r>
      <w:r w:rsidRPr="1D471992" w:rsidR="567B8CE2">
        <w:rPr>
          <w:rFonts w:ascii="Arial" w:hAnsi="Arial" w:eastAsia="Arial" w:cs="Arial"/>
          <w:noProof w:val="0"/>
          <w:color w:val="000000" w:themeColor="text1" w:themeTint="FF" w:themeShade="FF"/>
          <w:sz w:val="24"/>
          <w:szCs w:val="24"/>
          <w:lang w:val="en-GB"/>
        </w:rPr>
        <w:t>studies</w:t>
      </w:r>
      <w:r w:rsidRPr="1D471992" w:rsidR="567B8CE2">
        <w:rPr>
          <w:rFonts w:ascii="Arial" w:hAnsi="Arial" w:eastAsia="Arial" w:cs="Arial"/>
          <w:noProof w:val="0"/>
          <w:color w:val="000000" w:themeColor="text1" w:themeTint="FF" w:themeShade="FF"/>
          <w:sz w:val="24"/>
          <w:szCs w:val="24"/>
          <w:lang w:val="en-GB"/>
        </w:rPr>
        <w:t xml:space="preserve"> and hotel websites with further research through journals and industry reports. For example, searching different opinions on same subject to obtain compare</w:t>
      </w:r>
      <w:r w:rsidRPr="1D471992" w:rsidR="573C9F17">
        <w:rPr>
          <w:rFonts w:ascii="Arial" w:hAnsi="Arial" w:eastAsia="Arial" w:cs="Arial"/>
          <w:noProof w:val="0"/>
          <w:color w:val="000000" w:themeColor="text1" w:themeTint="FF" w:themeShade="FF"/>
          <w:sz w:val="24"/>
          <w:szCs w:val="24"/>
          <w:lang w:val="en-GB"/>
        </w:rPr>
        <w:t>-</w:t>
      </w:r>
      <w:r w:rsidRPr="1D471992" w:rsidR="567B8CE2">
        <w:rPr>
          <w:rFonts w:ascii="Arial" w:hAnsi="Arial" w:eastAsia="Arial" w:cs="Arial"/>
          <w:noProof w:val="0"/>
          <w:color w:val="000000" w:themeColor="text1" w:themeTint="FF" w:themeShade="FF"/>
          <w:sz w:val="24"/>
          <w:szCs w:val="24"/>
          <w:lang w:val="en-GB"/>
        </w:rPr>
        <w:t>and</w:t>
      </w:r>
      <w:r w:rsidRPr="1D471992" w:rsidR="2F127636">
        <w:rPr>
          <w:rFonts w:ascii="Arial" w:hAnsi="Arial" w:eastAsia="Arial" w:cs="Arial"/>
          <w:noProof w:val="0"/>
          <w:color w:val="000000" w:themeColor="text1" w:themeTint="FF" w:themeShade="FF"/>
          <w:sz w:val="24"/>
          <w:szCs w:val="24"/>
          <w:lang w:val="en-GB"/>
        </w:rPr>
        <w:t>-</w:t>
      </w:r>
      <w:r w:rsidRPr="1D471992" w:rsidR="567B8CE2">
        <w:rPr>
          <w:rFonts w:ascii="Arial" w:hAnsi="Arial" w:eastAsia="Arial" w:cs="Arial"/>
          <w:noProof w:val="0"/>
          <w:color w:val="000000" w:themeColor="text1" w:themeTint="FF" w:themeShade="FF"/>
          <w:sz w:val="24"/>
          <w:szCs w:val="24"/>
          <w:lang w:val="en-GB"/>
        </w:rPr>
        <w:t xml:space="preserve">contrast </w:t>
      </w:r>
      <w:r w:rsidRPr="1D471992" w:rsidR="6736DFC0">
        <w:rPr>
          <w:rFonts w:ascii="Arial" w:hAnsi="Arial" w:eastAsia="Arial" w:cs="Arial"/>
          <w:noProof w:val="0"/>
          <w:color w:val="000000" w:themeColor="text1" w:themeTint="FF" w:themeShade="FF"/>
          <w:sz w:val="24"/>
          <w:szCs w:val="24"/>
          <w:lang w:val="en-GB"/>
        </w:rPr>
        <w:t>method</w:t>
      </w:r>
      <w:r w:rsidRPr="1D471992" w:rsidR="567B8CE2">
        <w:rPr>
          <w:rFonts w:ascii="Arial" w:hAnsi="Arial" w:eastAsia="Arial" w:cs="Arial"/>
          <w:noProof w:val="0"/>
          <w:color w:val="000000" w:themeColor="text1" w:themeTint="FF" w:themeShade="FF"/>
          <w:sz w:val="24"/>
          <w:szCs w:val="24"/>
          <w:lang w:val="en-GB"/>
        </w:rPr>
        <w:t xml:space="preserve"> that allows a clear understanding of the subject discussed. The analysis of Sustainable Hospitality Alliance and other similar sources, </w:t>
      </w:r>
      <w:r w:rsidRPr="1D471992" w:rsidR="567B8CE2">
        <w:rPr>
          <w:rFonts w:ascii="Arial" w:hAnsi="Arial" w:eastAsia="Arial" w:cs="Arial"/>
          <w:noProof w:val="0"/>
          <w:color w:val="000000" w:themeColor="text1" w:themeTint="FF" w:themeShade="FF"/>
          <w:sz w:val="24"/>
          <w:szCs w:val="24"/>
          <w:lang w:val="en-GB"/>
        </w:rPr>
        <w:t>evidenced</w:t>
      </w:r>
      <w:r w:rsidRPr="1D471992" w:rsidR="567B8CE2">
        <w:rPr>
          <w:rFonts w:ascii="Arial" w:hAnsi="Arial" w:eastAsia="Arial" w:cs="Arial"/>
          <w:noProof w:val="0"/>
          <w:color w:val="000000" w:themeColor="text1" w:themeTint="FF" w:themeShade="FF"/>
          <w:sz w:val="24"/>
          <w:szCs w:val="24"/>
          <w:lang w:val="en-GB"/>
        </w:rPr>
        <w:t xml:space="preserve"> in percentage to obtain a clear view and </w:t>
      </w:r>
      <w:r w:rsidRPr="1D471992" w:rsidR="567B8CE2">
        <w:rPr>
          <w:rFonts w:ascii="Arial" w:hAnsi="Arial" w:eastAsia="Arial" w:cs="Arial"/>
          <w:noProof w:val="0"/>
          <w:color w:val="000000" w:themeColor="text1" w:themeTint="FF" w:themeShade="FF"/>
          <w:sz w:val="24"/>
          <w:szCs w:val="24"/>
          <w:lang w:val="en-GB"/>
        </w:rPr>
        <w:t>observe</w:t>
      </w:r>
      <w:r w:rsidRPr="1D471992" w:rsidR="567B8CE2">
        <w:rPr>
          <w:rFonts w:ascii="Arial" w:hAnsi="Arial" w:eastAsia="Arial" w:cs="Arial"/>
          <w:noProof w:val="0"/>
          <w:color w:val="000000" w:themeColor="text1" w:themeTint="FF" w:themeShade="FF"/>
          <w:sz w:val="24"/>
          <w:szCs w:val="24"/>
          <w:lang w:val="en-GB"/>
        </w:rPr>
        <w:t xml:space="preserve"> the actual impact of sustainable actions, especially for food waste.</w:t>
      </w:r>
    </w:p>
    <w:p w:rsidR="552350B4" w:rsidP="1D471992" w:rsidRDefault="552350B4" w14:paraId="127626F6" w14:textId="06649AAB">
      <w:pPr>
        <w:spacing w:before="0" w:beforeAutospacing="off" w:after="160" w:afterAutospacing="off" w:line="360" w:lineRule="auto"/>
        <w:jc w:val="both"/>
      </w:pPr>
      <w:r w:rsidRPr="1D471992" w:rsidR="552350B4">
        <w:rPr>
          <w:rFonts w:ascii="Arial" w:hAnsi="Arial" w:eastAsia="Arial" w:cs="Arial"/>
          <w:noProof w:val="0"/>
          <w:color w:val="000000" w:themeColor="text1" w:themeTint="FF" w:themeShade="FF"/>
          <w:sz w:val="24"/>
          <w:szCs w:val="24"/>
          <w:lang w:val="en-GB"/>
        </w:rPr>
        <w:t>Case studies of hotels</w:t>
      </w:r>
      <w:r w:rsidRPr="1D471992" w:rsidR="567B8CE2">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evidenced</w:t>
      </w:r>
      <w:r w:rsidRPr="1D471992" w:rsidR="567B8CE2">
        <w:rPr>
          <w:rFonts w:ascii="Arial" w:hAnsi="Arial" w:eastAsia="Arial" w:cs="Arial"/>
          <w:noProof w:val="0"/>
          <w:color w:val="000000" w:themeColor="text1" w:themeTint="FF" w:themeShade="FF"/>
          <w:sz w:val="24"/>
          <w:szCs w:val="24"/>
          <w:lang w:val="en-GB"/>
        </w:rPr>
        <w:t xml:space="preserve"> the positive outcome by implementing reduction strategies and allow readers to understand the benefits of sustainability despite challenges presented. As per enumerated factors in regards effectiveness and best practices, all the information presented is extracted through a comparation of expert opinions using industry sustainable initiatives from different book writers, </w:t>
      </w:r>
      <w:r w:rsidRPr="1D471992" w:rsidR="567B8CE2">
        <w:rPr>
          <w:rFonts w:ascii="Arial" w:hAnsi="Arial" w:eastAsia="Arial" w:cs="Arial"/>
          <w:noProof w:val="0"/>
          <w:color w:val="000000" w:themeColor="text1" w:themeTint="FF" w:themeShade="FF"/>
          <w:sz w:val="24"/>
          <w:szCs w:val="24"/>
          <w:lang w:val="en-GB"/>
        </w:rPr>
        <w:t>evidencing</w:t>
      </w:r>
      <w:r w:rsidRPr="1D471992" w:rsidR="567B8CE2">
        <w:rPr>
          <w:rFonts w:ascii="Arial" w:hAnsi="Arial" w:eastAsia="Arial" w:cs="Arial"/>
          <w:noProof w:val="0"/>
          <w:color w:val="000000" w:themeColor="text1" w:themeTint="FF" w:themeShade="FF"/>
          <w:sz w:val="24"/>
          <w:szCs w:val="24"/>
          <w:lang w:val="en-GB"/>
        </w:rPr>
        <w:t xml:space="preserve"> customers preferences and business needs </w:t>
      </w:r>
      <w:r w:rsidRPr="1D471992" w:rsidR="0158347E">
        <w:rPr>
          <w:rFonts w:ascii="Arial" w:hAnsi="Arial" w:eastAsia="Arial" w:cs="Arial"/>
          <w:noProof w:val="0"/>
          <w:color w:val="000000" w:themeColor="text1" w:themeTint="FF" w:themeShade="FF"/>
          <w:sz w:val="24"/>
          <w:szCs w:val="24"/>
          <w:lang w:val="en-GB"/>
        </w:rPr>
        <w:t>to</w:t>
      </w:r>
      <w:r w:rsidRPr="1D471992" w:rsidR="567B8CE2">
        <w:rPr>
          <w:rFonts w:ascii="Arial" w:hAnsi="Arial" w:eastAsia="Arial" w:cs="Arial"/>
          <w:noProof w:val="0"/>
          <w:color w:val="000000" w:themeColor="text1" w:themeTint="FF" w:themeShade="FF"/>
          <w:sz w:val="24"/>
          <w:szCs w:val="24"/>
          <w:lang w:val="en-GB"/>
        </w:rPr>
        <w:t xml:space="preserve"> achieve Net Zero emissions, providing explicit targets offered by Hospitality Alliance. Metrics and tools presented, including Fourth and </w:t>
      </w:r>
      <w:r w:rsidRPr="1D471992" w:rsidR="567B8CE2">
        <w:rPr>
          <w:rFonts w:ascii="Arial" w:hAnsi="Arial" w:eastAsia="Arial" w:cs="Arial"/>
          <w:noProof w:val="0"/>
          <w:color w:val="000000" w:themeColor="text1" w:themeTint="FF" w:themeShade="FF"/>
          <w:sz w:val="24"/>
          <w:szCs w:val="24"/>
          <w:lang w:val="en-GB"/>
        </w:rPr>
        <w:t>MarketMan</w:t>
      </w:r>
      <w:r w:rsidRPr="1D471992" w:rsidR="567B8CE2">
        <w:rPr>
          <w:rFonts w:ascii="Arial" w:hAnsi="Arial" w:eastAsia="Arial" w:cs="Arial"/>
          <w:noProof w:val="0"/>
          <w:color w:val="000000" w:themeColor="text1" w:themeTint="FF" w:themeShade="FF"/>
          <w:sz w:val="24"/>
          <w:szCs w:val="24"/>
          <w:lang w:val="en-GB"/>
        </w:rPr>
        <w:t xml:space="preserve"> platforms introduced as innovative methods to reduce waste and endless benefits are extracted from 2025, expert</w:t>
      </w:r>
      <w:r w:rsidRPr="1D471992" w:rsidR="5496F90E">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opinion</w:t>
      </w:r>
      <w:r w:rsidRPr="1D471992" w:rsidR="470415E7">
        <w:rPr>
          <w:rFonts w:ascii="Arial" w:hAnsi="Arial" w:eastAsia="Arial" w:cs="Arial"/>
          <w:noProof w:val="0"/>
          <w:color w:val="000000" w:themeColor="text1" w:themeTint="FF" w:themeShade="FF"/>
          <w:sz w:val="24"/>
          <w:szCs w:val="24"/>
          <w:lang w:val="en-GB"/>
        </w:rPr>
        <w:t>s</w:t>
      </w:r>
      <w:r w:rsidRPr="1D471992" w:rsidR="567B8CE2">
        <w:rPr>
          <w:rFonts w:ascii="Arial" w:hAnsi="Arial" w:eastAsia="Arial" w:cs="Arial"/>
          <w:noProof w:val="0"/>
          <w:color w:val="000000" w:themeColor="text1" w:themeTint="FF" w:themeShade="FF"/>
          <w:sz w:val="24"/>
          <w:szCs w:val="24"/>
          <w:lang w:val="en-GB"/>
        </w:rPr>
        <w:t>.</w:t>
      </w:r>
    </w:p>
    <w:p w:rsidR="567B8CE2" w:rsidP="1D471992" w:rsidRDefault="567B8CE2" w14:paraId="58265CAC" w14:textId="0E641456">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GB"/>
        </w:rPr>
      </w:pPr>
      <w:r w:rsidRPr="1D471992" w:rsidR="567B8CE2">
        <w:rPr>
          <w:rFonts w:ascii="Arial" w:hAnsi="Arial" w:eastAsia="Arial" w:cs="Arial"/>
          <w:b w:val="1"/>
          <w:bCs w:val="1"/>
          <w:noProof w:val="0"/>
          <w:color w:val="000000" w:themeColor="text1" w:themeTint="FF" w:themeShade="FF"/>
          <w:sz w:val="24"/>
          <w:szCs w:val="24"/>
          <w:lang w:val="en-GB"/>
        </w:rPr>
        <w:t>Theme Impact Analysis</w:t>
      </w:r>
    </w:p>
    <w:p w:rsidR="567B8CE2" w:rsidP="1D471992" w:rsidRDefault="567B8CE2" w14:paraId="1BC32523" w14:textId="00F0B7D2">
      <w:pPr>
        <w:spacing w:before="0" w:beforeAutospacing="off" w:after="160" w:afterAutospacing="off" w:line="360" w:lineRule="auto"/>
        <w:jc w:val="both"/>
        <w:rPr>
          <w:rFonts w:ascii="Arial" w:hAnsi="Arial" w:eastAsia="Arial" w:cs="Arial"/>
          <w:noProof w:val="0"/>
          <w:color w:val="0F4761" w:themeColor="accent1" w:themeTint="FF" w:themeShade="BF"/>
          <w:sz w:val="24"/>
          <w:szCs w:val="24"/>
          <w:lang w:val="en-GB"/>
        </w:rPr>
      </w:pPr>
      <w:r w:rsidRPr="1D471992" w:rsidR="567B8CE2">
        <w:rPr>
          <w:rFonts w:ascii="Arial" w:hAnsi="Arial" w:eastAsia="Arial" w:cs="Arial"/>
          <w:noProof w:val="0"/>
          <w:color w:val="0F4761" w:themeColor="accent1" w:themeTint="FF" w:themeShade="BF"/>
          <w:sz w:val="24"/>
          <w:szCs w:val="24"/>
          <w:lang w:val="en-GB"/>
        </w:rPr>
        <w:t>Life Cycle Assessment (LCA) – Environmental, Financial and Social Impact</w:t>
      </w:r>
    </w:p>
    <w:p w:rsidR="567B8CE2" w:rsidP="1D471992" w:rsidRDefault="567B8CE2" w14:paraId="7DC24D6C" w14:textId="086A9890">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According to a study made in Zimbabwe by </w:t>
      </w:r>
      <w:r w:rsidRPr="1D471992" w:rsidR="567B8CE2">
        <w:rPr>
          <w:rFonts w:ascii="Arial" w:hAnsi="Arial" w:eastAsia="Arial" w:cs="Arial"/>
          <w:noProof w:val="0"/>
          <w:color w:val="000000" w:themeColor="text1" w:themeTint="FF" w:themeShade="FF"/>
          <w:sz w:val="24"/>
          <w:szCs w:val="24"/>
          <w:lang w:val="en-GB"/>
        </w:rPr>
        <w:t>Nhubu</w:t>
      </w:r>
      <w:r w:rsidRPr="1D471992" w:rsidR="567B8CE2">
        <w:rPr>
          <w:rFonts w:ascii="Arial" w:hAnsi="Arial" w:eastAsia="Arial" w:cs="Arial"/>
          <w:noProof w:val="0"/>
          <w:color w:val="000000" w:themeColor="text1" w:themeTint="FF" w:themeShade="FF"/>
          <w:sz w:val="24"/>
          <w:szCs w:val="24"/>
          <w:lang w:val="en-GB"/>
        </w:rPr>
        <w:t xml:space="preserve"> and </w:t>
      </w:r>
      <w:r w:rsidRPr="1D471992" w:rsidR="567B8CE2">
        <w:rPr>
          <w:rFonts w:ascii="Arial" w:hAnsi="Arial" w:eastAsia="Arial" w:cs="Arial"/>
          <w:noProof w:val="0"/>
          <w:color w:val="000000" w:themeColor="text1" w:themeTint="FF" w:themeShade="FF"/>
          <w:sz w:val="24"/>
          <w:szCs w:val="24"/>
          <w:lang w:val="en-GB"/>
        </w:rPr>
        <w:t>Mbohwa</w:t>
      </w:r>
      <w:r w:rsidRPr="1D471992" w:rsidR="567B8CE2">
        <w:rPr>
          <w:rFonts w:ascii="Arial" w:hAnsi="Arial" w:eastAsia="Arial" w:cs="Arial"/>
          <w:noProof w:val="0"/>
          <w:color w:val="000000" w:themeColor="text1" w:themeTint="FF" w:themeShade="FF"/>
          <w:sz w:val="24"/>
          <w:szCs w:val="24"/>
          <w:lang w:val="en-GB"/>
        </w:rPr>
        <w:t xml:space="preserve"> (2024), conserving resources by approaching “Reduce, Reuse, </w:t>
      </w:r>
      <w:r w:rsidRPr="1D471992" w:rsidR="567B8CE2">
        <w:rPr>
          <w:rFonts w:ascii="Arial" w:hAnsi="Arial" w:eastAsia="Arial" w:cs="Arial"/>
          <w:noProof w:val="0"/>
          <w:color w:val="000000" w:themeColor="text1" w:themeTint="FF" w:themeShade="FF"/>
          <w:sz w:val="24"/>
          <w:szCs w:val="24"/>
          <w:lang w:val="en-GB"/>
        </w:rPr>
        <w:t>Recycle</w:t>
      </w:r>
      <w:r w:rsidRPr="1D471992" w:rsidR="567B8CE2">
        <w:rPr>
          <w:rFonts w:ascii="Arial" w:hAnsi="Arial" w:eastAsia="Arial" w:cs="Arial"/>
          <w:noProof w:val="0"/>
          <w:color w:val="000000" w:themeColor="text1" w:themeTint="FF" w:themeShade="FF"/>
          <w:sz w:val="24"/>
          <w:szCs w:val="24"/>
          <w:lang w:val="en-GB"/>
        </w:rPr>
        <w:t xml:space="preserve">” method would minimise the greenhouse emissions. </w:t>
      </w:r>
    </w:p>
    <w:p w:rsidR="567B8CE2" w:rsidP="1D471992" w:rsidRDefault="567B8CE2" w14:paraId="55832046" w14:textId="1E7CF741">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Same source confirms that although traditional composting is impacting positively the environment and confirming the benefits for landfill, anaerobic digestion is preferred despite being more expensive, explaining that biogas and fertilisers are more valuable products that can be introduced on market to generate higher profit from composting reducing the existent gas emission from traditional composting.</w:t>
      </w:r>
    </w:p>
    <w:p w:rsidR="567B8CE2" w:rsidP="1D471992" w:rsidRDefault="567B8CE2" w14:paraId="24D926D0" w14:textId="6EEE22DE">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A report of Champions 12.3 (2018) confirms that financial benefits for environmental-friendly hospitality businesses have 70% financial return in less than 24 </w:t>
      </w:r>
      <w:r w:rsidRPr="1D471992" w:rsidR="565F8B8A">
        <w:rPr>
          <w:rFonts w:ascii="Arial" w:hAnsi="Arial" w:eastAsia="Arial" w:cs="Arial"/>
          <w:noProof w:val="0"/>
          <w:color w:val="000000" w:themeColor="text1" w:themeTint="FF" w:themeShade="FF"/>
          <w:sz w:val="24"/>
          <w:szCs w:val="24"/>
          <w:lang w:val="en-GB"/>
        </w:rPr>
        <w:t>months</w:t>
      </w:r>
      <w:r w:rsidRPr="1D471992" w:rsidR="567B8CE2">
        <w:rPr>
          <w:rFonts w:ascii="Arial" w:hAnsi="Arial" w:eastAsia="Arial" w:cs="Arial"/>
          <w:noProof w:val="0"/>
          <w:color w:val="000000" w:themeColor="text1" w:themeTint="FF" w:themeShade="FF"/>
          <w:sz w:val="24"/>
          <w:szCs w:val="24"/>
          <w:lang w:val="en-GB"/>
        </w:rPr>
        <w:t xml:space="preserve"> as a benefit-cost related for sustainability investment. The source suggests that financial return would be unachievable without digital tools to verify precise waste and targets, menu engineering by simplifying to buffets or smaller portions and clear communication by offering precise targeted training for staff, providing necessary knowledge to obtain a comprehensive understanding of new sustainable implemented measures.</w:t>
      </w:r>
    </w:p>
    <w:p w:rsidR="567B8CE2" w:rsidP="1D471992" w:rsidRDefault="567B8CE2" w14:paraId="6E026458" w14:textId="4B71E958">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Re-mentioning the importance of food waste reduction to obtain new partnerships and redistribution of unused food, Hilton made a partnership with The Felix Project, resulting in 73,000 packaged meals for their community and reducing food waste by approximately 10.15 tonnes of wasted food (Sustainable Hospitality Alliance, 2026).</w:t>
      </w:r>
    </w:p>
    <w:p w:rsidR="567B8CE2" w:rsidP="1D471992" w:rsidRDefault="567B8CE2" w14:paraId="0A5C6A35" w14:textId="4EA65124">
      <w:pPr>
        <w:spacing w:before="0" w:beforeAutospacing="off" w:after="160" w:afterAutospacing="off" w:line="360" w:lineRule="auto"/>
        <w:jc w:val="both"/>
        <w:rPr>
          <w:rFonts w:ascii="Arial" w:hAnsi="Arial" w:eastAsia="Arial" w:cs="Arial"/>
          <w:noProof w:val="0"/>
          <w:color w:val="0F4761" w:themeColor="accent1" w:themeTint="FF" w:themeShade="BF"/>
          <w:sz w:val="24"/>
          <w:szCs w:val="24"/>
          <w:lang w:val="en-GB"/>
        </w:rPr>
      </w:pPr>
      <w:r w:rsidRPr="1D471992" w:rsidR="567B8CE2">
        <w:rPr>
          <w:rFonts w:ascii="Arial" w:hAnsi="Arial" w:eastAsia="Arial" w:cs="Arial"/>
          <w:noProof w:val="0"/>
          <w:color w:val="0F4761" w:themeColor="accent1" w:themeTint="FF" w:themeShade="BF"/>
          <w:sz w:val="24"/>
          <w:szCs w:val="24"/>
          <w:lang w:val="en-GB"/>
        </w:rPr>
        <w:t>Profitability versus Sustainability using Industry Examples</w:t>
      </w:r>
    </w:p>
    <w:p w:rsidR="567B8CE2" w:rsidP="1D471992" w:rsidRDefault="567B8CE2" w14:paraId="76868631" w14:textId="207C81E5">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Silo London is a waste-free restaurant that adopted “Reduce, Reuse, Recycle” method by reusing their containers and remaking their crockery, recycling water using innovative water filters, reducing chemicals from soap by using technology, self-production, upcycled materials and divert 95% of their waste by demonstrating effective methods for reaching Net Zero required (Lamington Group, 2025).</w:t>
      </w:r>
    </w:p>
    <w:p w:rsidR="567B8CE2" w:rsidP="1D471992" w:rsidRDefault="567B8CE2" w14:paraId="0A592225" w14:textId="725D6645">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ITC Grand Chola (2026) is one of the most sustainable hotels around the globe that reuse and remake all the materials needed from self-production, 100% recycled water, local and self-sourcing, one of the highest hotels achieving food reduction close to 97%, 100% producing their own energy and upcycled needed materials.</w:t>
      </w:r>
    </w:p>
    <w:p w:rsidR="567B8CE2" w:rsidP="1D471992" w:rsidRDefault="567B8CE2" w14:paraId="7E29D675" w14:textId="7D88C743">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Both of above industry examples are making a </w:t>
      </w:r>
      <w:r w:rsidRPr="1D471992" w:rsidR="239BD12C">
        <w:rPr>
          <w:rFonts w:ascii="Arial" w:hAnsi="Arial" w:eastAsia="Arial" w:cs="Arial"/>
          <w:noProof w:val="0"/>
          <w:color w:val="000000" w:themeColor="text1" w:themeTint="FF" w:themeShade="FF"/>
          <w:sz w:val="24"/>
          <w:szCs w:val="24"/>
          <w:lang w:val="en-GB"/>
        </w:rPr>
        <w:t>remarkable</w:t>
      </w:r>
      <w:r w:rsidRPr="1D471992" w:rsidR="567B8CE2">
        <w:rPr>
          <w:rFonts w:ascii="Arial" w:hAnsi="Arial" w:eastAsia="Arial" w:cs="Arial"/>
          <w:noProof w:val="0"/>
          <w:color w:val="000000" w:themeColor="text1" w:themeTint="FF" w:themeShade="FF"/>
          <w:sz w:val="24"/>
          <w:szCs w:val="24"/>
          <w:lang w:val="en-GB"/>
        </w:rPr>
        <w:t xml:space="preserve"> profit margins by using innovative measures for sustainability as described, however, for smaller businesses with limited access to financials and technology, regulations that create further pressure, new legislations for food waste and high costs for staff training, compliance to become sustainable could pose significant issues in achieving Net Zero (Arragon</w:t>
      </w:r>
      <w:r w:rsidRPr="1D471992" w:rsidR="638B8B12">
        <w:rPr>
          <w:rFonts w:ascii="Arial" w:hAnsi="Arial" w:eastAsia="Arial" w:cs="Arial"/>
          <w:noProof w:val="0"/>
          <w:color w:val="000000" w:themeColor="text1" w:themeTint="FF" w:themeShade="FF"/>
          <w:sz w:val="24"/>
          <w:szCs w:val="24"/>
          <w:lang w:val="en-GB"/>
        </w:rPr>
        <w:t xml:space="preserve"> </w:t>
      </w:r>
      <w:r w:rsidRPr="1D471992" w:rsidR="567B8CE2">
        <w:rPr>
          <w:rFonts w:ascii="Arial" w:hAnsi="Arial" w:eastAsia="Arial" w:cs="Arial"/>
          <w:i w:val="1"/>
          <w:iCs w:val="1"/>
          <w:noProof w:val="0"/>
          <w:color w:val="000000" w:themeColor="text1" w:themeTint="FF" w:themeShade="FF"/>
          <w:sz w:val="24"/>
          <w:szCs w:val="24"/>
          <w:lang w:val="en-GB"/>
        </w:rPr>
        <w:t>et al.</w:t>
      </w:r>
      <w:r w:rsidRPr="1D471992" w:rsidR="2BF95A01">
        <w:rPr>
          <w:rFonts w:ascii="Arial" w:hAnsi="Arial" w:eastAsia="Arial" w:cs="Arial"/>
          <w:i w:val="1"/>
          <w:iCs w:val="1"/>
          <w:noProof w:val="0"/>
          <w:color w:val="000000" w:themeColor="text1" w:themeTint="FF" w:themeShade="FF"/>
          <w:sz w:val="24"/>
          <w:szCs w:val="24"/>
          <w:lang w:val="en-GB"/>
        </w:rPr>
        <w:t>,</w:t>
      </w:r>
      <w:r w:rsidRPr="1D471992" w:rsidR="567B8CE2">
        <w:rPr>
          <w:rFonts w:ascii="Arial" w:hAnsi="Arial" w:eastAsia="Arial" w:cs="Arial"/>
          <w:i w:val="1"/>
          <w:iCs w:val="1"/>
          <w:noProof w:val="0"/>
          <w:color w:val="000000" w:themeColor="text1" w:themeTint="FF" w:themeShade="FF"/>
          <w:sz w:val="24"/>
          <w:szCs w:val="24"/>
          <w:lang w:val="en-GB"/>
        </w:rPr>
        <w:t xml:space="preserve"> </w:t>
      </w:r>
      <w:r w:rsidRPr="1D471992" w:rsidR="567B8CE2">
        <w:rPr>
          <w:rFonts w:ascii="Arial" w:hAnsi="Arial" w:eastAsia="Arial" w:cs="Arial"/>
          <w:noProof w:val="0"/>
          <w:color w:val="000000" w:themeColor="text1" w:themeTint="FF" w:themeShade="FF"/>
          <w:sz w:val="24"/>
          <w:szCs w:val="24"/>
          <w:lang w:val="en-GB"/>
        </w:rPr>
        <w:t>2015).</w:t>
      </w:r>
    </w:p>
    <w:p w:rsidR="567B8CE2" w:rsidP="1D471992" w:rsidRDefault="567B8CE2" w14:paraId="0CDD3207" w14:textId="127E5DF9">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Although the above is a high challenge for small business owners, there are multiple case studies mentioned confirming that being an authentic business with sustainable practices, new talent, new guests and new investors are attracted to businesses that are willing to become innovative and explore sustainable options to achieve success such as automation of services, partnerships and staff engagement that will bring faster financial return and positive reputation (Mohammad, 2024).</w:t>
      </w:r>
    </w:p>
    <w:p w:rsidR="567B8CE2" w:rsidP="1D471992" w:rsidRDefault="567B8CE2" w14:paraId="6828C3B5" w14:textId="790641FE">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GB"/>
        </w:rPr>
      </w:pPr>
      <w:r w:rsidRPr="1D471992" w:rsidR="567B8CE2">
        <w:rPr>
          <w:rFonts w:ascii="Arial" w:hAnsi="Arial" w:eastAsia="Arial" w:cs="Arial"/>
          <w:b w:val="1"/>
          <w:bCs w:val="1"/>
          <w:noProof w:val="0"/>
          <w:color w:val="000000" w:themeColor="text1" w:themeTint="FF" w:themeShade="FF"/>
          <w:sz w:val="24"/>
          <w:szCs w:val="24"/>
          <w:lang w:val="en-GB"/>
        </w:rPr>
        <w:t>Conclusion</w:t>
      </w:r>
    </w:p>
    <w:p w:rsidR="567B8CE2" w:rsidP="1D471992" w:rsidRDefault="567B8CE2" w14:paraId="646E44C3" w14:textId="27F1A38F">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 xml:space="preserve">In conclusion, to obtain social, </w:t>
      </w:r>
      <w:r w:rsidRPr="1D471992" w:rsidR="567B8CE2">
        <w:rPr>
          <w:rFonts w:ascii="Arial" w:hAnsi="Arial" w:eastAsia="Arial" w:cs="Arial"/>
          <w:noProof w:val="0"/>
          <w:color w:val="000000" w:themeColor="text1" w:themeTint="FF" w:themeShade="FF"/>
          <w:sz w:val="24"/>
          <w:szCs w:val="24"/>
          <w:lang w:val="en-GB"/>
        </w:rPr>
        <w:t>financial</w:t>
      </w:r>
      <w:r w:rsidRPr="1D471992" w:rsidR="567B8CE2">
        <w:rPr>
          <w:rFonts w:ascii="Arial" w:hAnsi="Arial" w:eastAsia="Arial" w:cs="Arial"/>
          <w:noProof w:val="0"/>
          <w:color w:val="000000" w:themeColor="text1" w:themeTint="FF" w:themeShade="FF"/>
          <w:sz w:val="24"/>
          <w:szCs w:val="24"/>
          <w:lang w:val="en-GB"/>
        </w:rPr>
        <w:t xml:space="preserve"> and environmental benefits, food waste reduction is the main </w:t>
      </w:r>
      <w:r w:rsidRPr="1D471992" w:rsidR="567B8CE2">
        <w:rPr>
          <w:rFonts w:ascii="Arial" w:hAnsi="Arial" w:eastAsia="Arial" w:cs="Arial"/>
          <w:noProof w:val="0"/>
          <w:color w:val="000000" w:themeColor="text1" w:themeTint="FF" w:themeShade="FF"/>
          <w:sz w:val="24"/>
          <w:szCs w:val="24"/>
          <w:lang w:val="en-GB"/>
        </w:rPr>
        <w:t>objective</w:t>
      </w:r>
      <w:r w:rsidRPr="1D471992" w:rsidR="567B8CE2">
        <w:rPr>
          <w:rFonts w:ascii="Arial" w:hAnsi="Arial" w:eastAsia="Arial" w:cs="Arial"/>
          <w:noProof w:val="0"/>
          <w:color w:val="000000" w:themeColor="text1" w:themeTint="FF" w:themeShade="FF"/>
          <w:sz w:val="24"/>
          <w:szCs w:val="24"/>
          <w:lang w:val="en-GB"/>
        </w:rPr>
        <w:t xml:space="preserve"> for hospitality industry to become more sustainable. The proven strategies to reduce waste and adapt to current customer preferences and industry examples provided, such as Lovat, PIG Hotels and Hilton </w:t>
      </w:r>
      <w:r w:rsidRPr="1D471992" w:rsidR="567B8CE2">
        <w:rPr>
          <w:rFonts w:ascii="Arial" w:hAnsi="Arial" w:eastAsia="Arial" w:cs="Arial"/>
          <w:noProof w:val="0"/>
          <w:color w:val="000000" w:themeColor="text1" w:themeTint="FF" w:themeShade="FF"/>
          <w:sz w:val="24"/>
          <w:szCs w:val="24"/>
          <w:lang w:val="en-GB"/>
        </w:rPr>
        <w:t>demonstrated</w:t>
      </w:r>
      <w:r w:rsidRPr="1D471992" w:rsidR="567B8CE2">
        <w:rPr>
          <w:rFonts w:ascii="Arial" w:hAnsi="Arial" w:eastAsia="Arial" w:cs="Arial"/>
          <w:noProof w:val="0"/>
          <w:color w:val="000000" w:themeColor="text1" w:themeTint="FF" w:themeShade="FF"/>
          <w:sz w:val="24"/>
          <w:szCs w:val="24"/>
          <w:lang w:val="en-GB"/>
        </w:rPr>
        <w:t xml:space="preserve"> impeccable adaptation to decrease food waste. The decarbonisation goal through Net Zero imposed target by Sustainable Hospitality Alliance request holistic actions as highlighted in the above research paper, the experts believe that such challenge will create a substantial barrier of achievement for small businesses who have limited access to financials and tech. Life Cycle assessment was conducted to evaluate financial, environmental and social impact, demonstrating the endless success of reducing waste. The studies made by </w:t>
      </w:r>
      <w:r w:rsidRPr="1D471992" w:rsidR="567B8CE2">
        <w:rPr>
          <w:rFonts w:ascii="Arial" w:hAnsi="Arial" w:eastAsia="Arial" w:cs="Arial"/>
          <w:noProof w:val="0"/>
          <w:color w:val="000000" w:themeColor="text1" w:themeTint="FF" w:themeShade="FF"/>
          <w:sz w:val="24"/>
          <w:szCs w:val="24"/>
          <w:lang w:val="en-GB"/>
        </w:rPr>
        <w:t>Nhubu</w:t>
      </w:r>
      <w:r w:rsidRPr="1D471992" w:rsidR="567B8CE2">
        <w:rPr>
          <w:rFonts w:ascii="Arial" w:hAnsi="Arial" w:eastAsia="Arial" w:cs="Arial"/>
          <w:noProof w:val="0"/>
          <w:color w:val="000000" w:themeColor="text1" w:themeTint="FF" w:themeShade="FF"/>
          <w:sz w:val="24"/>
          <w:szCs w:val="24"/>
          <w:lang w:val="en-GB"/>
        </w:rPr>
        <w:t xml:space="preserve"> and </w:t>
      </w:r>
      <w:r w:rsidRPr="1D471992" w:rsidR="567B8CE2">
        <w:rPr>
          <w:rFonts w:ascii="Arial" w:hAnsi="Arial" w:eastAsia="Arial" w:cs="Arial"/>
          <w:noProof w:val="0"/>
          <w:color w:val="000000" w:themeColor="text1" w:themeTint="FF" w:themeShade="FF"/>
          <w:sz w:val="24"/>
          <w:szCs w:val="24"/>
          <w:lang w:val="en-GB"/>
        </w:rPr>
        <w:t>Mbohwa</w:t>
      </w:r>
      <w:r w:rsidRPr="1D471992" w:rsidR="567B8CE2">
        <w:rPr>
          <w:rFonts w:ascii="Arial" w:hAnsi="Arial" w:eastAsia="Arial" w:cs="Arial"/>
          <w:noProof w:val="0"/>
          <w:color w:val="000000" w:themeColor="text1" w:themeTint="FF" w:themeShade="FF"/>
          <w:sz w:val="24"/>
          <w:szCs w:val="24"/>
          <w:lang w:val="en-GB"/>
        </w:rPr>
        <w:t xml:space="preserve"> shown that places like Zimbabwe </w:t>
      </w:r>
      <w:r w:rsidRPr="1D471992" w:rsidR="2087D326">
        <w:rPr>
          <w:rFonts w:ascii="Arial" w:hAnsi="Arial" w:eastAsia="Arial" w:cs="Arial"/>
          <w:noProof w:val="0"/>
          <w:color w:val="000000" w:themeColor="text1" w:themeTint="FF" w:themeShade="FF"/>
          <w:sz w:val="24"/>
          <w:szCs w:val="24"/>
          <w:lang w:val="en-GB"/>
        </w:rPr>
        <w:t>can create</w:t>
      </w:r>
      <w:r w:rsidRPr="1D471992" w:rsidR="567B8CE2">
        <w:rPr>
          <w:rFonts w:ascii="Arial" w:hAnsi="Arial" w:eastAsia="Arial" w:cs="Arial"/>
          <w:noProof w:val="0"/>
          <w:color w:val="000000" w:themeColor="text1" w:themeTint="FF" w:themeShade="FF"/>
          <w:sz w:val="24"/>
          <w:szCs w:val="24"/>
          <w:lang w:val="en-GB"/>
        </w:rPr>
        <w:t xml:space="preserve"> profit from composting, especially by anaerobic digestion and create healthier fertilisers for lands. Further examples from Silo London and ITC Grand Chola that adapted “Reduce, Reuse, </w:t>
      </w:r>
      <w:r w:rsidRPr="1D471992" w:rsidR="567B8CE2">
        <w:rPr>
          <w:rFonts w:ascii="Arial" w:hAnsi="Arial" w:eastAsia="Arial" w:cs="Arial"/>
          <w:noProof w:val="0"/>
          <w:color w:val="000000" w:themeColor="text1" w:themeTint="FF" w:themeShade="FF"/>
          <w:sz w:val="24"/>
          <w:szCs w:val="24"/>
          <w:lang w:val="en-GB"/>
        </w:rPr>
        <w:t>Recycle</w:t>
      </w:r>
      <w:r w:rsidRPr="1D471992" w:rsidR="567B8CE2">
        <w:rPr>
          <w:rFonts w:ascii="Arial" w:hAnsi="Arial" w:eastAsia="Arial" w:cs="Arial"/>
          <w:noProof w:val="0"/>
          <w:color w:val="000000" w:themeColor="text1" w:themeTint="FF" w:themeShade="FF"/>
          <w:sz w:val="24"/>
          <w:szCs w:val="24"/>
          <w:lang w:val="en-GB"/>
        </w:rPr>
        <w:t>” method, are currently one of top leaders from the industry, offering a clear example on how sustainability can lead to success.</w:t>
      </w:r>
    </w:p>
    <w:p w:rsidR="1D471992" w:rsidP="1D471992" w:rsidRDefault="1D471992" w14:paraId="16FFF1E2" w14:textId="209397E1">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GB"/>
        </w:rPr>
      </w:pPr>
    </w:p>
    <w:p w:rsidR="567B8CE2" w:rsidP="1D471992" w:rsidRDefault="567B8CE2" w14:paraId="6E98B28D" w14:textId="75258A8F">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GB"/>
        </w:rPr>
      </w:pPr>
      <w:r w:rsidRPr="1D471992" w:rsidR="567B8CE2">
        <w:rPr>
          <w:rFonts w:ascii="Arial" w:hAnsi="Arial" w:eastAsia="Arial" w:cs="Arial"/>
          <w:b w:val="1"/>
          <w:bCs w:val="1"/>
          <w:noProof w:val="0"/>
          <w:color w:val="000000" w:themeColor="text1" w:themeTint="FF" w:themeShade="FF"/>
          <w:sz w:val="24"/>
          <w:szCs w:val="24"/>
          <w:lang w:val="en-GB"/>
        </w:rPr>
        <w:t>Recommendations</w:t>
      </w:r>
    </w:p>
    <w:p w:rsidR="567B8CE2" w:rsidP="1D471992" w:rsidRDefault="567B8CE2" w14:paraId="540C4CFF" w14:textId="05AC7B6C">
      <w:pPr>
        <w:spacing w:before="0" w:beforeAutospacing="off" w:after="160" w:afterAutospacing="off" w:line="360" w:lineRule="auto"/>
        <w:jc w:val="both"/>
      </w:pPr>
      <w:r w:rsidRPr="1D471992" w:rsidR="567B8CE2">
        <w:rPr>
          <w:rFonts w:ascii="Arial" w:hAnsi="Arial" w:eastAsia="Arial" w:cs="Arial"/>
          <w:noProof w:val="0"/>
          <w:color w:val="000000" w:themeColor="text1" w:themeTint="FF" w:themeShade="FF"/>
          <w:sz w:val="24"/>
          <w:szCs w:val="24"/>
          <w:lang w:val="en-GB"/>
        </w:rPr>
        <w:t>Using above research expert opinions, the following recommendations are:</w:t>
      </w:r>
    </w:p>
    <w:p w:rsidR="567B8CE2" w:rsidP="1D471992" w:rsidRDefault="567B8CE2" w14:paraId="3626FEC5" w14:textId="13D69BC4">
      <w:pPr>
        <w:pStyle w:val="ListParagraph"/>
        <w:numPr>
          <w:ilvl w:val="0"/>
          <w:numId w:val="2"/>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F4761" w:themeColor="accent1" w:themeTint="FF" w:themeShade="BF"/>
          <w:sz w:val="24"/>
          <w:szCs w:val="24"/>
          <w:lang w:val="en-GB"/>
        </w:rPr>
        <w:t>Implementation of Food Waste Composting and Local Sourced Ingredients</w:t>
      </w:r>
      <w:r w:rsidRPr="1D471992" w:rsidR="567B8CE2">
        <w:rPr>
          <w:rFonts w:ascii="Arial" w:hAnsi="Arial" w:eastAsia="Arial" w:cs="Arial"/>
          <w:noProof w:val="0"/>
          <w:color w:val="000000" w:themeColor="text1" w:themeTint="FF" w:themeShade="FF"/>
          <w:sz w:val="24"/>
          <w:szCs w:val="24"/>
          <w:lang w:val="en-GB"/>
        </w:rPr>
        <w:t xml:space="preserve"> by installation of In-Vessel systems that will generate compost for own agriculture, however, alternative would include partnerships with local food recycling facilities. Furthermore, staff should be trained for correct execution of the composting procedures and importance of sustainability.</w:t>
      </w:r>
    </w:p>
    <w:p w:rsidR="567B8CE2" w:rsidP="1D471992" w:rsidRDefault="567B8CE2" w14:paraId="16405DB1" w14:textId="12BCF133">
      <w:pPr>
        <w:spacing w:before="0" w:beforeAutospacing="off" w:after="0" w:afterAutospacing="off" w:line="360" w:lineRule="auto"/>
        <w:ind w:left="720" w:right="0"/>
        <w:jc w:val="both"/>
      </w:pPr>
      <w:r w:rsidRPr="1D471992" w:rsidR="567B8CE2">
        <w:rPr>
          <w:rFonts w:ascii="Arial" w:hAnsi="Arial" w:eastAsia="Arial" w:cs="Arial"/>
          <w:noProof w:val="0"/>
          <w:color w:val="000000" w:themeColor="text1" w:themeTint="FF" w:themeShade="FF"/>
          <w:sz w:val="24"/>
          <w:szCs w:val="24"/>
          <w:lang w:val="en-GB"/>
        </w:rPr>
        <w:t xml:space="preserve">By prioritizing Local Sourcing the business will engage with local community and new local suppliers, reducing gas emission caused by transport and increasing freshness of the products, supporting local economy and impacting positively brand reputation as by designing seasonal dishes that contain common ingredients present in multiple dishes, food waste is minimized and business will comply with customer preferences on being sustainable and authentic. Furthermore, surplus food could be used for staff meals, buffets, customer incentives, local food </w:t>
      </w:r>
      <w:r w:rsidRPr="1D471992" w:rsidR="567B8CE2">
        <w:rPr>
          <w:rFonts w:ascii="Arial" w:hAnsi="Arial" w:eastAsia="Arial" w:cs="Arial"/>
          <w:noProof w:val="0"/>
          <w:color w:val="000000" w:themeColor="text1" w:themeTint="FF" w:themeShade="FF"/>
          <w:sz w:val="24"/>
          <w:szCs w:val="24"/>
          <w:lang w:val="en-GB"/>
        </w:rPr>
        <w:t>banks</w:t>
      </w:r>
      <w:r w:rsidRPr="1D471992" w:rsidR="567B8CE2">
        <w:rPr>
          <w:rFonts w:ascii="Arial" w:hAnsi="Arial" w:eastAsia="Arial" w:cs="Arial"/>
          <w:noProof w:val="0"/>
          <w:color w:val="000000" w:themeColor="text1" w:themeTint="FF" w:themeShade="FF"/>
          <w:sz w:val="24"/>
          <w:szCs w:val="24"/>
          <w:lang w:val="en-GB"/>
        </w:rPr>
        <w:t xml:space="preserve"> or creation of special dishes. To highlights food waste reduction, businesses should revise their offered menu portions by decreasing the amount of food served as a dish, using smaller plates and confirm with customers the above action to obtain </w:t>
      </w:r>
      <w:r w:rsidRPr="1D471992" w:rsidR="567B8CE2">
        <w:rPr>
          <w:rFonts w:ascii="Arial" w:hAnsi="Arial" w:eastAsia="Arial" w:cs="Arial"/>
          <w:noProof w:val="0"/>
          <w:color w:val="000000" w:themeColor="text1" w:themeTint="FF" w:themeShade="FF"/>
          <w:sz w:val="24"/>
          <w:szCs w:val="24"/>
          <w:lang w:val="en-GB"/>
        </w:rPr>
        <w:t>customer</w:t>
      </w:r>
      <w:r w:rsidRPr="1D471992" w:rsidR="567B8CE2">
        <w:rPr>
          <w:rFonts w:ascii="Arial" w:hAnsi="Arial" w:eastAsia="Arial" w:cs="Arial"/>
          <w:noProof w:val="0"/>
          <w:color w:val="000000" w:themeColor="text1" w:themeTint="FF" w:themeShade="FF"/>
          <w:sz w:val="24"/>
          <w:szCs w:val="24"/>
          <w:lang w:val="en-GB"/>
        </w:rPr>
        <w:t xml:space="preserve"> support.</w:t>
      </w:r>
    </w:p>
    <w:p w:rsidR="567B8CE2" w:rsidP="1D471992" w:rsidRDefault="567B8CE2" w14:paraId="495CFA88" w14:textId="5CFF0697">
      <w:pPr>
        <w:pStyle w:val="ListParagraph"/>
        <w:numPr>
          <w:ilvl w:val="0"/>
          <w:numId w:val="2"/>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1D471992" w:rsidR="567B8CE2">
        <w:rPr>
          <w:rFonts w:ascii="Arial" w:hAnsi="Arial" w:eastAsia="Arial" w:cs="Arial"/>
          <w:noProof w:val="0"/>
          <w:color w:val="0F4761" w:themeColor="accent1" w:themeTint="FF" w:themeShade="BF"/>
          <w:sz w:val="24"/>
          <w:szCs w:val="24"/>
          <w:lang w:val="en-GB"/>
        </w:rPr>
        <w:t>SIM Investment (Smart Inventory Management)</w:t>
      </w:r>
      <w:r w:rsidRPr="1D471992" w:rsidR="567B8CE2">
        <w:rPr>
          <w:rFonts w:ascii="Arial" w:hAnsi="Arial" w:eastAsia="Arial" w:cs="Arial"/>
          <w:noProof w:val="0"/>
          <w:color w:val="000000" w:themeColor="text1" w:themeTint="FF" w:themeShade="FF"/>
          <w:sz w:val="24"/>
          <w:szCs w:val="24"/>
          <w:lang w:val="en-GB"/>
        </w:rPr>
        <w:t xml:space="preserve"> by </w:t>
      </w:r>
      <w:r w:rsidRPr="1D471992" w:rsidR="567B8CE2">
        <w:rPr>
          <w:rFonts w:ascii="Arial" w:hAnsi="Arial" w:eastAsia="Arial" w:cs="Arial"/>
          <w:noProof w:val="0"/>
          <w:color w:val="000000" w:themeColor="text1" w:themeTint="FF" w:themeShade="FF"/>
          <w:sz w:val="24"/>
          <w:szCs w:val="24"/>
          <w:lang w:val="en-GB"/>
        </w:rPr>
        <w:t>purchasing</w:t>
      </w:r>
      <w:r w:rsidRPr="1D471992" w:rsidR="567B8CE2">
        <w:rPr>
          <w:rFonts w:ascii="Arial" w:hAnsi="Arial" w:eastAsia="Arial" w:cs="Arial"/>
          <w:noProof w:val="0"/>
          <w:color w:val="000000" w:themeColor="text1" w:themeTint="FF" w:themeShade="FF"/>
          <w:sz w:val="24"/>
          <w:szCs w:val="24"/>
          <w:lang w:val="en-GB"/>
        </w:rPr>
        <w:t xml:space="preserve"> systems like Fourth or </w:t>
      </w:r>
      <w:r w:rsidRPr="1D471992" w:rsidR="567B8CE2">
        <w:rPr>
          <w:rFonts w:ascii="Arial" w:hAnsi="Arial" w:eastAsia="Arial" w:cs="Arial"/>
          <w:noProof w:val="0"/>
          <w:color w:val="000000" w:themeColor="text1" w:themeTint="FF" w:themeShade="FF"/>
          <w:sz w:val="24"/>
          <w:szCs w:val="24"/>
          <w:lang w:val="en-GB"/>
        </w:rPr>
        <w:t>MarketMan</w:t>
      </w:r>
      <w:r w:rsidRPr="1D471992" w:rsidR="567B8CE2">
        <w:rPr>
          <w:rFonts w:ascii="Arial" w:hAnsi="Arial" w:eastAsia="Arial" w:cs="Arial"/>
          <w:noProof w:val="0"/>
          <w:color w:val="000000" w:themeColor="text1" w:themeTint="FF" w:themeShade="FF"/>
          <w:sz w:val="24"/>
          <w:szCs w:val="24"/>
          <w:lang w:val="en-GB"/>
        </w:rPr>
        <w:t xml:space="preserve"> to obtain real-time information of stock rotation, stock level and products reaching </w:t>
      </w:r>
      <w:r w:rsidRPr="1D471992" w:rsidR="567B8CE2">
        <w:rPr>
          <w:rFonts w:ascii="Arial" w:hAnsi="Arial" w:eastAsia="Arial" w:cs="Arial"/>
          <w:noProof w:val="0"/>
          <w:color w:val="000000" w:themeColor="text1" w:themeTint="FF" w:themeShade="FF"/>
          <w:sz w:val="24"/>
          <w:szCs w:val="24"/>
          <w:lang w:val="en-GB"/>
        </w:rPr>
        <w:t>expiration</w:t>
      </w:r>
      <w:r w:rsidRPr="1D471992" w:rsidR="567B8CE2">
        <w:rPr>
          <w:rFonts w:ascii="Arial" w:hAnsi="Arial" w:eastAsia="Arial" w:cs="Arial"/>
          <w:noProof w:val="0"/>
          <w:color w:val="000000" w:themeColor="text1" w:themeTint="FF" w:themeShade="FF"/>
          <w:sz w:val="24"/>
          <w:szCs w:val="24"/>
          <w:lang w:val="en-GB"/>
        </w:rPr>
        <w:t xml:space="preserve"> dates, including staff training to ensure effective and understandable information for tech use. Businesses should provide all the necessary support for easy access to training and use digital systems to regularly check on staff performance and knowledge in regards wastage by comparing current results and forecasting future staff results. Businesses could use best practice examples that will help on </w:t>
      </w:r>
      <w:r w:rsidRPr="1D471992" w:rsidR="567B8CE2">
        <w:rPr>
          <w:rFonts w:ascii="Arial" w:hAnsi="Arial" w:eastAsia="Arial" w:cs="Arial"/>
          <w:noProof w:val="0"/>
          <w:color w:val="000000" w:themeColor="text1" w:themeTint="FF" w:themeShade="FF"/>
          <w:sz w:val="24"/>
          <w:szCs w:val="24"/>
          <w:lang w:val="en-GB"/>
        </w:rPr>
        <w:t>identifying</w:t>
      </w:r>
      <w:r w:rsidRPr="1D471992" w:rsidR="567B8CE2">
        <w:rPr>
          <w:rFonts w:ascii="Arial" w:hAnsi="Arial" w:eastAsia="Arial" w:cs="Arial"/>
          <w:noProof w:val="0"/>
          <w:color w:val="000000" w:themeColor="text1" w:themeTint="FF" w:themeShade="FF"/>
          <w:sz w:val="24"/>
          <w:szCs w:val="24"/>
          <w:lang w:val="en-GB"/>
        </w:rPr>
        <w:t xml:space="preserve"> gaps and improvement areas. Mentoring and encouraging innovation using existent financials or searching for partnerships that will help business succeed and obtain the necessary tools to </w:t>
      </w:r>
      <w:r w:rsidRPr="1D471992" w:rsidR="567B8CE2">
        <w:rPr>
          <w:rFonts w:ascii="Arial" w:hAnsi="Arial" w:eastAsia="Arial" w:cs="Arial"/>
          <w:noProof w:val="0"/>
          <w:color w:val="000000" w:themeColor="text1" w:themeTint="FF" w:themeShade="FF"/>
          <w:sz w:val="24"/>
          <w:szCs w:val="24"/>
          <w:lang w:val="en-GB"/>
        </w:rPr>
        <w:t>initiate</w:t>
      </w:r>
      <w:r w:rsidRPr="1D471992" w:rsidR="567B8CE2">
        <w:rPr>
          <w:rFonts w:ascii="Arial" w:hAnsi="Arial" w:eastAsia="Arial" w:cs="Arial"/>
          <w:noProof w:val="0"/>
          <w:color w:val="000000" w:themeColor="text1" w:themeTint="FF" w:themeShade="FF"/>
          <w:sz w:val="24"/>
          <w:szCs w:val="24"/>
          <w:lang w:val="en-GB"/>
        </w:rPr>
        <w:t xml:space="preserve"> a successful and sustainable journey by exceeding customer expectations and transform sustainable actions in competitive advantage.</w:t>
      </w:r>
    </w:p>
    <w:p w:rsidR="1D471992" w:rsidP="1D471992" w:rsidRDefault="1D471992" w14:paraId="29DFDEED" w14:textId="6CA52850">
      <w:pPr>
        <w:spacing w:line="360" w:lineRule="auto"/>
        <w:jc w:val="both"/>
      </w:pPr>
    </w:p>
    <w:p w:rsidR="1D471992" w:rsidP="1D471992" w:rsidRDefault="1D471992" w14:paraId="7DCD848F" w14:textId="052BE58A">
      <w:pPr>
        <w:spacing w:line="360" w:lineRule="auto"/>
        <w:jc w:val="both"/>
      </w:pPr>
    </w:p>
    <w:p w:rsidR="5CC44E6C" w:rsidP="1D471992" w:rsidRDefault="5CC44E6C" w14:paraId="4241E0DA" w14:textId="6E2B129F">
      <w:pPr>
        <w:spacing w:line="360" w:lineRule="auto"/>
        <w:jc w:val="both"/>
        <w:rPr>
          <w:rFonts w:ascii="Arial" w:hAnsi="Arial" w:eastAsia="Arial" w:cs="Arial"/>
          <w:b w:val="0"/>
          <w:bCs w:val="0"/>
        </w:rPr>
      </w:pPr>
      <w:r w:rsidRPr="1D471992" w:rsidR="5CC44E6C">
        <w:rPr>
          <w:rFonts w:ascii="Arial" w:hAnsi="Arial" w:eastAsia="Arial" w:cs="Arial"/>
          <w:b w:val="1"/>
          <w:bCs w:val="1"/>
        </w:rPr>
        <w:t>Reference List</w:t>
      </w:r>
    </w:p>
    <w:p w:rsidR="1D471992" w:rsidP="1D471992" w:rsidRDefault="1D471992" w14:paraId="571F7142" w14:textId="5DE441FC">
      <w:pPr>
        <w:spacing w:line="360" w:lineRule="auto"/>
        <w:jc w:val="both"/>
        <w:rPr>
          <w:rFonts w:ascii="Arial" w:hAnsi="Arial" w:eastAsia="Arial" w:cs="Arial"/>
          <w:b w:val="1"/>
          <w:bCs w:val="1"/>
        </w:rPr>
      </w:pPr>
    </w:p>
    <w:p w:rsidR="5CC44E6C" w:rsidP="1D471992" w:rsidRDefault="5CC44E6C" w14:paraId="1FC5E0BE" w14:textId="43A6F354">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Akbar, D. </w:t>
      </w:r>
      <w:r w:rsidRPr="1D471992" w:rsidR="5CC44E6C">
        <w:rPr>
          <w:rFonts w:ascii="Arial" w:hAnsi="Arial" w:eastAsia="Arial" w:cs="Arial"/>
          <w:i w:val="1"/>
          <w:iCs w:val="1"/>
          <w:noProof w:val="0"/>
          <w:color w:val="000000" w:themeColor="text1" w:themeTint="FF" w:themeShade="FF"/>
          <w:sz w:val="24"/>
          <w:szCs w:val="24"/>
          <w:lang w:val="en-GB"/>
        </w:rPr>
        <w:t>et al.</w:t>
      </w:r>
      <w:r w:rsidRPr="1D471992" w:rsidR="5CC44E6C">
        <w:rPr>
          <w:rFonts w:ascii="Arial" w:hAnsi="Arial" w:eastAsia="Arial" w:cs="Arial"/>
          <w:noProof w:val="0"/>
          <w:color w:val="000000" w:themeColor="text1" w:themeTint="FF" w:themeShade="FF"/>
          <w:sz w:val="24"/>
          <w:szCs w:val="24"/>
          <w:lang w:val="en-GB"/>
        </w:rPr>
        <w:t xml:space="preserve"> (2025) “A Sector-Wide Action Plan to Halve Horticulture Food Waste by 2030: Theory to Practice,” </w:t>
      </w:r>
      <w:r w:rsidRPr="1D471992" w:rsidR="5CC44E6C">
        <w:rPr>
          <w:rFonts w:ascii="Arial" w:hAnsi="Arial" w:eastAsia="Arial" w:cs="Arial"/>
          <w:i w:val="1"/>
          <w:iCs w:val="1"/>
          <w:noProof w:val="0"/>
          <w:color w:val="000000" w:themeColor="text1" w:themeTint="FF" w:themeShade="FF"/>
          <w:sz w:val="24"/>
          <w:szCs w:val="24"/>
          <w:lang w:val="en-GB"/>
        </w:rPr>
        <w:t>Sustainability</w:t>
      </w:r>
      <w:r w:rsidRPr="1D471992" w:rsidR="5CC44E6C">
        <w:rPr>
          <w:rFonts w:ascii="Arial" w:hAnsi="Arial" w:eastAsia="Arial" w:cs="Arial"/>
          <w:noProof w:val="0"/>
          <w:color w:val="000000" w:themeColor="text1" w:themeTint="FF" w:themeShade="FF"/>
          <w:sz w:val="24"/>
          <w:szCs w:val="24"/>
          <w:lang w:val="en-GB"/>
        </w:rPr>
        <w:t xml:space="preserve">, 17(12), p. 5356. Available at: </w:t>
      </w:r>
      <w:hyperlink r:id="R9adf7df89e054f51">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https://doi.org/10.3390/su17125356</w:t>
        </w:r>
      </w:hyperlink>
      <w:r w:rsidRPr="1D471992" w:rsidR="5CC44E6C">
        <w:rPr>
          <w:rFonts w:ascii="Arial" w:hAnsi="Arial" w:eastAsia="Arial" w:cs="Arial"/>
          <w:noProof w:val="0"/>
          <w:color w:val="000000" w:themeColor="text1" w:themeTint="FF" w:themeShade="FF"/>
          <w:sz w:val="24"/>
          <w:szCs w:val="24"/>
          <w:lang w:val="en-GB"/>
        </w:rPr>
        <w:t>.</w:t>
      </w:r>
    </w:p>
    <w:p w:rsidR="5CC44E6C" w:rsidP="1D471992" w:rsidRDefault="5CC44E6C" w14:paraId="4B6883DF" w14:textId="550EF96A">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Aragon, C. </w:t>
      </w:r>
      <w:r w:rsidRPr="1D471992" w:rsidR="5CC44E6C">
        <w:rPr>
          <w:rFonts w:ascii="Arial" w:hAnsi="Arial" w:eastAsia="Arial" w:cs="Arial"/>
          <w:i w:val="1"/>
          <w:iCs w:val="1"/>
          <w:noProof w:val="0"/>
          <w:color w:val="000000" w:themeColor="text1" w:themeTint="FF" w:themeShade="FF"/>
          <w:sz w:val="24"/>
          <w:szCs w:val="24"/>
          <w:lang w:val="en-GB"/>
        </w:rPr>
        <w:t>et al.</w:t>
      </w:r>
      <w:r w:rsidRPr="1D471992" w:rsidR="5CC44E6C">
        <w:rPr>
          <w:rFonts w:ascii="Arial" w:hAnsi="Arial" w:eastAsia="Arial" w:cs="Arial"/>
          <w:noProof w:val="0"/>
          <w:color w:val="000000" w:themeColor="text1" w:themeTint="FF" w:themeShade="FF"/>
          <w:sz w:val="24"/>
          <w:szCs w:val="24"/>
          <w:lang w:val="en-GB"/>
        </w:rPr>
        <w:t xml:space="preserve"> (2015) “Sustainability issues and hospitality and tourism firms’ strategies: Analytical review and future directions,” </w:t>
      </w:r>
      <w:r w:rsidRPr="1D471992" w:rsidR="5CC44E6C">
        <w:rPr>
          <w:rFonts w:ascii="Arial" w:hAnsi="Arial" w:eastAsia="Arial" w:cs="Arial"/>
          <w:i w:val="1"/>
          <w:iCs w:val="1"/>
          <w:noProof w:val="0"/>
          <w:color w:val="000000" w:themeColor="text1" w:themeTint="FF" w:themeShade="FF"/>
          <w:sz w:val="24"/>
          <w:szCs w:val="24"/>
          <w:lang w:val="en-GB"/>
        </w:rPr>
        <w:t>International journal of contemporary hospitality management</w:t>
      </w:r>
      <w:r w:rsidRPr="1D471992" w:rsidR="5CC44E6C">
        <w:rPr>
          <w:rFonts w:ascii="Arial" w:hAnsi="Arial" w:eastAsia="Arial" w:cs="Arial"/>
          <w:noProof w:val="0"/>
          <w:color w:val="000000" w:themeColor="text1" w:themeTint="FF" w:themeShade="FF"/>
          <w:sz w:val="24"/>
          <w:szCs w:val="24"/>
          <w:lang w:val="en-GB"/>
        </w:rPr>
        <w:t xml:space="preserve">, 27(3), pp. 498–522. Available at: </w:t>
      </w:r>
      <w:hyperlink r:id="R3b46f05f8efc4eeb">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https://doi.org/10.1108/IJCHM-11-2014-0564</w:t>
        </w:r>
      </w:hyperlink>
      <w:r w:rsidRPr="1D471992" w:rsidR="5CC44E6C">
        <w:rPr>
          <w:rFonts w:ascii="Arial" w:hAnsi="Arial" w:eastAsia="Arial" w:cs="Arial"/>
          <w:noProof w:val="0"/>
          <w:color w:val="000000" w:themeColor="text1" w:themeTint="FF" w:themeShade="FF"/>
          <w:sz w:val="24"/>
          <w:szCs w:val="24"/>
          <w:lang w:val="en-GB"/>
        </w:rPr>
        <w:t>.</w:t>
      </w:r>
    </w:p>
    <w:p w:rsidR="4F351E7C" w:rsidP="1D471992" w:rsidRDefault="4F351E7C" w14:paraId="09367DA2" w14:textId="7D9FCBB8">
      <w:pPr>
        <w:pStyle w:val="Normal"/>
        <w:spacing w:line="360" w:lineRule="auto"/>
        <w:jc w:val="both"/>
        <w:rPr>
          <w:rFonts w:ascii="Arial" w:hAnsi="Arial" w:eastAsia="Arial" w:cs="Arial"/>
          <w:noProof w:val="0"/>
          <w:color w:val="000000" w:themeColor="text1" w:themeTint="FF" w:themeShade="FF"/>
          <w:sz w:val="24"/>
          <w:szCs w:val="24"/>
          <w:lang w:val="en-GB"/>
        </w:rPr>
      </w:pPr>
      <w:r w:rsidRPr="1D471992" w:rsidR="4F351E7C">
        <w:rPr>
          <w:rFonts w:ascii="Arial" w:hAnsi="Arial" w:eastAsia="Arial" w:cs="Arial"/>
          <w:b w:val="0"/>
          <w:bCs w:val="0"/>
          <w:color w:val="000000" w:themeColor="text1" w:themeTint="FF" w:themeShade="FF"/>
          <w:sz w:val="24"/>
          <w:szCs w:val="24"/>
        </w:rPr>
        <w:t xml:space="preserve">Arup (2021) </w:t>
      </w:r>
      <w:r w:rsidRPr="1D471992" w:rsidR="54089751">
        <w:rPr>
          <w:rFonts w:ascii="Arial" w:hAnsi="Arial" w:eastAsia="Arial" w:cs="Arial"/>
          <w:b w:val="0"/>
          <w:bCs w:val="0"/>
          <w:i w:val="1"/>
          <w:iCs w:val="1"/>
          <w:color w:val="000000" w:themeColor="text1" w:themeTint="FF" w:themeShade="FF"/>
          <w:sz w:val="24"/>
          <w:szCs w:val="24"/>
        </w:rPr>
        <w:t>T</w:t>
      </w:r>
      <w:r w:rsidRPr="1D471992" w:rsidR="4F351E7C">
        <w:rPr>
          <w:rFonts w:ascii="Arial" w:hAnsi="Arial" w:eastAsia="Arial" w:cs="Arial"/>
          <w:b w:val="0"/>
          <w:bCs w:val="0"/>
          <w:i w:val="1"/>
          <w:iCs w:val="1"/>
          <w:color w:val="000000" w:themeColor="text1" w:themeTint="FF" w:themeShade="FF"/>
          <w:sz w:val="24"/>
          <w:szCs w:val="24"/>
        </w:rPr>
        <w:t>ransforming Existing Hotels to Net Zero Carbon</w:t>
      </w:r>
      <w:r w:rsidRPr="1D471992" w:rsidR="76BF5558">
        <w:rPr>
          <w:rFonts w:ascii="Arial" w:hAnsi="Arial" w:eastAsia="Arial" w:cs="Arial"/>
          <w:b w:val="0"/>
          <w:bCs w:val="0"/>
          <w:i w:val="1"/>
          <w:iCs w:val="1"/>
          <w:color w:val="000000" w:themeColor="text1" w:themeTint="FF" w:themeShade="FF"/>
          <w:sz w:val="24"/>
          <w:szCs w:val="24"/>
        </w:rPr>
        <w:t xml:space="preserve">. </w:t>
      </w:r>
      <w:r w:rsidRPr="1D471992" w:rsidR="76BF5558">
        <w:rPr>
          <w:rFonts w:ascii="Arial" w:hAnsi="Arial" w:eastAsia="Arial" w:cs="Arial"/>
          <w:b w:val="0"/>
          <w:bCs w:val="0"/>
          <w:i w:val="0"/>
          <w:iCs w:val="0"/>
          <w:color w:val="000000" w:themeColor="text1" w:themeTint="FF" w:themeShade="FF"/>
          <w:sz w:val="24"/>
          <w:szCs w:val="24"/>
        </w:rPr>
        <w:t xml:space="preserve">Available at: </w:t>
      </w:r>
      <w:hyperlink r:id="R9c5307276d6c494f">
        <w:r w:rsidRPr="1D471992" w:rsidR="76BF5558">
          <w:rPr>
            <w:rStyle w:val="Hyperlink"/>
            <w:rFonts w:ascii="Arial" w:hAnsi="Arial" w:eastAsia="Arial" w:cs="Arial"/>
            <w:noProof w:val="0"/>
            <w:color w:val="000000" w:themeColor="text1" w:themeTint="FF" w:themeShade="FF"/>
            <w:sz w:val="24"/>
            <w:szCs w:val="24"/>
            <w:lang w:val="en-GB"/>
          </w:rPr>
          <w:t>transforming-existing-hotels-to-net-zero-carbon.pdf</w:t>
        </w:r>
      </w:hyperlink>
      <w:r w:rsidRPr="1D471992" w:rsidR="76BF5558">
        <w:rPr>
          <w:rFonts w:ascii="Arial" w:hAnsi="Arial" w:eastAsia="Arial" w:cs="Arial"/>
          <w:noProof w:val="0"/>
          <w:color w:val="000000" w:themeColor="text1" w:themeTint="FF" w:themeShade="FF"/>
          <w:sz w:val="24"/>
          <w:szCs w:val="24"/>
          <w:lang w:val="en-GB"/>
        </w:rPr>
        <w:t xml:space="preserve"> (Accessed: 11 February 2026).</w:t>
      </w:r>
    </w:p>
    <w:p w:rsidR="5CC44E6C" w:rsidP="1D471992" w:rsidRDefault="5CC44E6C" w14:paraId="73DE4ABE" w14:textId="4EF5C083">
      <w:pPr>
        <w:pStyle w:val="Normal"/>
        <w:spacing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Aydin, S. (ed.) (2024) </w:t>
      </w:r>
      <w:r w:rsidRPr="1D471992" w:rsidR="5CC44E6C">
        <w:rPr>
          <w:rFonts w:ascii="Arial" w:hAnsi="Arial" w:eastAsia="Arial" w:cs="Arial"/>
          <w:i w:val="1"/>
          <w:iCs w:val="1"/>
          <w:noProof w:val="0"/>
          <w:color w:val="000000" w:themeColor="text1" w:themeTint="FF" w:themeShade="FF"/>
          <w:sz w:val="24"/>
          <w:szCs w:val="24"/>
          <w:lang w:val="en-GB"/>
        </w:rPr>
        <w:t xml:space="preserve">Anaerobic </w:t>
      </w:r>
      <w:r w:rsidRPr="1D471992" w:rsidR="25DBEE62">
        <w:rPr>
          <w:rFonts w:ascii="Arial" w:hAnsi="Arial" w:eastAsia="Arial" w:cs="Arial"/>
          <w:i w:val="1"/>
          <w:iCs w:val="1"/>
          <w:noProof w:val="0"/>
          <w:color w:val="000000" w:themeColor="text1" w:themeTint="FF" w:themeShade="FF"/>
          <w:sz w:val="24"/>
          <w:szCs w:val="24"/>
          <w:lang w:val="en-GB"/>
        </w:rPr>
        <w:t>Digestion:</w:t>
      </w:r>
      <w:r w:rsidRPr="1D471992" w:rsidR="5CC44E6C">
        <w:rPr>
          <w:rFonts w:ascii="Arial" w:hAnsi="Arial" w:eastAsia="Arial" w:cs="Arial"/>
          <w:i w:val="1"/>
          <w:iCs w:val="1"/>
          <w:noProof w:val="0"/>
          <w:color w:val="000000" w:themeColor="text1" w:themeTint="FF" w:themeShade="FF"/>
          <w:sz w:val="24"/>
          <w:szCs w:val="24"/>
          <w:lang w:val="en-GB"/>
        </w:rPr>
        <w:t xml:space="preserve"> Biotechnology for Environmental Sustainability</w:t>
      </w:r>
      <w:r w:rsidRPr="1D471992" w:rsidR="5CC44E6C">
        <w:rPr>
          <w:rFonts w:ascii="Arial" w:hAnsi="Arial" w:eastAsia="Arial" w:cs="Arial"/>
          <w:noProof w:val="0"/>
          <w:color w:val="000000" w:themeColor="text1" w:themeTint="FF" w:themeShade="FF"/>
          <w:sz w:val="24"/>
          <w:szCs w:val="24"/>
          <w:lang w:val="en-GB"/>
        </w:rPr>
        <w:t xml:space="preserve">. London: </w:t>
      </w:r>
      <w:r w:rsidRPr="1D471992" w:rsidR="3BB0CDDD">
        <w:rPr>
          <w:rFonts w:ascii="Arial" w:hAnsi="Arial" w:eastAsia="Arial" w:cs="Arial"/>
          <w:noProof w:val="0"/>
          <w:color w:val="000000" w:themeColor="text1" w:themeTint="FF" w:themeShade="FF"/>
          <w:sz w:val="24"/>
          <w:szCs w:val="24"/>
          <w:lang w:val="en-GB"/>
        </w:rPr>
        <w:t>Intech Open</w:t>
      </w:r>
      <w:r w:rsidRPr="1D471992" w:rsidR="5CC44E6C">
        <w:rPr>
          <w:rFonts w:ascii="Arial" w:hAnsi="Arial" w:eastAsia="Arial" w:cs="Arial"/>
          <w:noProof w:val="0"/>
          <w:color w:val="000000" w:themeColor="text1" w:themeTint="FF" w:themeShade="FF"/>
          <w:sz w:val="24"/>
          <w:szCs w:val="24"/>
          <w:lang w:val="en-GB"/>
        </w:rPr>
        <w:t xml:space="preserve">. Available at: </w:t>
      </w:r>
      <w:hyperlink r:id="Ree8d5be2083e4b3d">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http://dx.doi.org/10.5772/intechopen.111094</w:t>
        </w:r>
      </w:hyperlink>
    </w:p>
    <w:p w:rsidR="5CC44E6C" w:rsidP="1D471992" w:rsidRDefault="5CC44E6C" w14:paraId="276FD78B" w14:textId="0E9E3D73">
      <w:pPr>
        <w:spacing w:before="0" w:beforeAutospacing="off" w:after="160" w:afterAutospacing="off" w:line="360" w:lineRule="auto"/>
        <w:jc w:val="both"/>
        <w:rPr>
          <w:rFonts w:ascii="Arial" w:hAnsi="Arial" w:eastAsia="Arial" w:cs="Arial"/>
          <w:color w:val="000000" w:themeColor="text1" w:themeTint="FF" w:themeShade="FF"/>
          <w:sz w:val="24"/>
          <w:szCs w:val="24"/>
        </w:rPr>
      </w:pPr>
      <w:r w:rsidRPr="1D471992" w:rsidR="5CC44E6C">
        <w:rPr>
          <w:rFonts w:ascii="Arial" w:hAnsi="Arial" w:eastAsia="Arial" w:cs="Arial"/>
          <w:noProof w:val="0"/>
          <w:color w:val="000000" w:themeColor="text1" w:themeTint="FF" w:themeShade="FF"/>
          <w:sz w:val="24"/>
          <w:szCs w:val="24"/>
          <w:lang w:val="en-GB"/>
        </w:rPr>
        <w:t xml:space="preserve">Barnhill, A., </w:t>
      </w:r>
      <w:r w:rsidRPr="1D471992" w:rsidR="5CC44E6C">
        <w:rPr>
          <w:rFonts w:ascii="Arial" w:hAnsi="Arial" w:eastAsia="Arial" w:cs="Arial"/>
          <w:noProof w:val="0"/>
          <w:color w:val="000000" w:themeColor="text1" w:themeTint="FF" w:themeShade="FF"/>
          <w:sz w:val="24"/>
          <w:szCs w:val="24"/>
          <w:lang w:val="en-GB"/>
        </w:rPr>
        <w:t>Budolfson</w:t>
      </w:r>
      <w:r w:rsidRPr="1D471992" w:rsidR="5CC44E6C">
        <w:rPr>
          <w:rFonts w:ascii="Arial" w:hAnsi="Arial" w:eastAsia="Arial" w:cs="Arial"/>
          <w:noProof w:val="0"/>
          <w:color w:val="000000" w:themeColor="text1" w:themeTint="FF" w:themeShade="FF"/>
          <w:sz w:val="24"/>
          <w:szCs w:val="24"/>
          <w:lang w:val="en-GB"/>
        </w:rPr>
        <w:t xml:space="preserve">, M. and Doggett, T. (eds.) (2018) </w:t>
      </w:r>
      <w:r w:rsidRPr="1D471992" w:rsidR="5CC44E6C">
        <w:rPr>
          <w:rFonts w:ascii="Arial" w:hAnsi="Arial" w:eastAsia="Arial" w:cs="Arial"/>
          <w:i w:val="1"/>
          <w:iCs w:val="1"/>
          <w:noProof w:val="0"/>
          <w:color w:val="000000" w:themeColor="text1" w:themeTint="FF" w:themeShade="FF"/>
          <w:sz w:val="24"/>
          <w:szCs w:val="24"/>
          <w:lang w:val="en-GB"/>
        </w:rPr>
        <w:t>The Oxford handbook of food ethics</w:t>
      </w:r>
      <w:r w:rsidRPr="1D471992" w:rsidR="5CC44E6C">
        <w:rPr>
          <w:rFonts w:ascii="Arial" w:hAnsi="Arial" w:eastAsia="Arial" w:cs="Arial"/>
          <w:noProof w:val="0"/>
          <w:color w:val="000000" w:themeColor="text1" w:themeTint="FF" w:themeShade="FF"/>
          <w:sz w:val="24"/>
          <w:szCs w:val="24"/>
          <w:lang w:val="en-GB"/>
        </w:rPr>
        <w:t xml:space="preserve">. New York: Oxford University Press. Available at: </w:t>
      </w:r>
      <w:hyperlink r:id="R6d30116009dd4d6d">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https://doi-org.uwtsd.idm.oclc.org/10.1093/oxfordhb/9780199372263.001.0001</w:t>
        </w:r>
      </w:hyperlink>
    </w:p>
    <w:p w:rsidR="5CC44E6C" w:rsidP="1D471992" w:rsidRDefault="5CC44E6C" w14:paraId="6A1C80BD" w14:textId="7EFD1270">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Chickering, G., </w:t>
      </w:r>
      <w:r w:rsidRPr="1D471992" w:rsidR="5CC44E6C">
        <w:rPr>
          <w:rFonts w:ascii="Arial" w:hAnsi="Arial" w:eastAsia="Arial" w:cs="Arial"/>
          <w:i w:val="1"/>
          <w:iCs w:val="1"/>
          <w:noProof w:val="0"/>
          <w:color w:val="000000" w:themeColor="text1" w:themeTint="FF" w:themeShade="FF"/>
          <w:sz w:val="24"/>
          <w:szCs w:val="24"/>
          <w:lang w:val="en-GB"/>
        </w:rPr>
        <w:t>et al.</w:t>
      </w:r>
      <w:r w:rsidRPr="1D471992" w:rsidR="5CC44E6C">
        <w:rPr>
          <w:rFonts w:ascii="Arial" w:hAnsi="Arial" w:eastAsia="Arial" w:cs="Arial"/>
          <w:noProof w:val="0"/>
          <w:color w:val="000000" w:themeColor="text1" w:themeTint="FF" w:themeShade="FF"/>
          <w:sz w:val="24"/>
          <w:szCs w:val="24"/>
          <w:lang w:val="en-GB"/>
        </w:rPr>
        <w:t xml:space="preserve"> (2023) “Effects of landfill food waste diversion: a focus on microbial populations and methane generation,” </w:t>
      </w:r>
      <w:r w:rsidRPr="1D471992" w:rsidR="5CC44E6C">
        <w:rPr>
          <w:rFonts w:ascii="Arial" w:hAnsi="Arial" w:eastAsia="Arial" w:cs="Arial"/>
          <w:i w:val="1"/>
          <w:iCs w:val="1"/>
          <w:noProof w:val="0"/>
          <w:color w:val="000000" w:themeColor="text1" w:themeTint="FF" w:themeShade="FF"/>
          <w:sz w:val="24"/>
          <w:szCs w:val="24"/>
          <w:lang w:val="en-GB"/>
        </w:rPr>
        <w:t>Biodegradation (Dordrecht)</w:t>
      </w:r>
      <w:r w:rsidRPr="1D471992" w:rsidR="5CC44E6C">
        <w:rPr>
          <w:rFonts w:ascii="Arial" w:hAnsi="Arial" w:eastAsia="Arial" w:cs="Arial"/>
          <w:noProof w:val="0"/>
          <w:color w:val="000000" w:themeColor="text1" w:themeTint="FF" w:themeShade="FF"/>
          <w:sz w:val="24"/>
          <w:szCs w:val="24"/>
          <w:lang w:val="en-GB"/>
        </w:rPr>
        <w:t xml:space="preserve">, 34(5), pp. 477–488. Available at: </w:t>
      </w:r>
      <w:hyperlink r:id="R0ad09bab27b94032">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https://doi.org/10.1007/s10532-023-10034-5</w:t>
        </w:r>
      </w:hyperlink>
      <w:r w:rsidRPr="1D471992" w:rsidR="5CC44E6C">
        <w:rPr>
          <w:rFonts w:ascii="Arial" w:hAnsi="Arial" w:eastAsia="Arial" w:cs="Arial"/>
          <w:noProof w:val="0"/>
          <w:color w:val="000000" w:themeColor="text1" w:themeTint="FF" w:themeShade="FF"/>
          <w:sz w:val="24"/>
          <w:szCs w:val="24"/>
          <w:lang w:val="en-GB"/>
        </w:rPr>
        <w:t>.</w:t>
      </w:r>
    </w:p>
    <w:p w:rsidR="5CC44E6C" w:rsidP="1D471992" w:rsidRDefault="5CC44E6C" w14:paraId="5492F465" w14:textId="73109EE6">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Fatorachian</w:t>
      </w:r>
      <w:r w:rsidRPr="1D471992" w:rsidR="5CC44E6C">
        <w:rPr>
          <w:rFonts w:ascii="Arial" w:hAnsi="Arial" w:eastAsia="Arial" w:cs="Arial"/>
          <w:noProof w:val="0"/>
          <w:color w:val="000000" w:themeColor="text1" w:themeTint="FF" w:themeShade="FF"/>
          <w:sz w:val="24"/>
          <w:szCs w:val="24"/>
          <w:lang w:val="en-GB"/>
        </w:rPr>
        <w:t xml:space="preserve">, H., Kazemi, H. and Pawar, K. (2025) “Digital Technologies in Food Supply Chain Waste Management: A Case Study on Sustainable Practices in Smart Cities,” </w:t>
      </w:r>
      <w:r w:rsidRPr="1D471992" w:rsidR="5CC44E6C">
        <w:rPr>
          <w:rFonts w:ascii="Arial" w:hAnsi="Arial" w:eastAsia="Arial" w:cs="Arial"/>
          <w:i w:val="1"/>
          <w:iCs w:val="1"/>
          <w:noProof w:val="0"/>
          <w:color w:val="000000" w:themeColor="text1" w:themeTint="FF" w:themeShade="FF"/>
          <w:sz w:val="24"/>
          <w:szCs w:val="24"/>
          <w:lang w:val="en-GB"/>
        </w:rPr>
        <w:t>Sustainability</w:t>
      </w:r>
      <w:r w:rsidRPr="1D471992" w:rsidR="5CC44E6C">
        <w:rPr>
          <w:rFonts w:ascii="Arial" w:hAnsi="Arial" w:eastAsia="Arial" w:cs="Arial"/>
          <w:noProof w:val="0"/>
          <w:color w:val="000000" w:themeColor="text1" w:themeTint="FF" w:themeShade="FF"/>
          <w:sz w:val="24"/>
          <w:szCs w:val="24"/>
          <w:lang w:val="en-GB"/>
        </w:rPr>
        <w:t xml:space="preserve">, 17(5), p. 1996. Available at: </w:t>
      </w:r>
      <w:hyperlink r:id="Re3e9981598ca4f28">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https://doi.org/10.3390/su17051996</w:t>
        </w:r>
      </w:hyperlink>
      <w:r w:rsidRPr="1D471992" w:rsidR="5CC44E6C">
        <w:rPr>
          <w:rFonts w:ascii="Arial" w:hAnsi="Arial" w:eastAsia="Arial" w:cs="Arial"/>
          <w:noProof w:val="0"/>
          <w:color w:val="000000" w:themeColor="text1" w:themeTint="FF" w:themeShade="FF"/>
          <w:sz w:val="24"/>
          <w:szCs w:val="24"/>
          <w:lang w:val="en-GB"/>
        </w:rPr>
        <w:t>.</w:t>
      </w:r>
    </w:p>
    <w:p w:rsidR="1835A733" w:rsidP="1D471992" w:rsidRDefault="1835A733" w14:paraId="7BFEAAB7" w14:textId="686683F1">
      <w:pPr>
        <w:pStyle w:val="Normal"/>
        <w:spacing w:line="360" w:lineRule="auto"/>
        <w:jc w:val="both"/>
        <w:rPr>
          <w:rFonts w:ascii="Arial" w:hAnsi="Arial" w:eastAsia="Arial" w:cs="Arial"/>
          <w:b w:val="0"/>
          <w:bCs w:val="0"/>
          <w:i w:val="0"/>
          <w:iCs w:val="0"/>
          <w:color w:val="000000" w:themeColor="text1" w:themeTint="FF" w:themeShade="FF"/>
          <w:sz w:val="24"/>
          <w:szCs w:val="24"/>
        </w:rPr>
      </w:pPr>
      <w:r w:rsidRPr="1D471992" w:rsidR="1835A733">
        <w:rPr>
          <w:rFonts w:ascii="Arial" w:hAnsi="Arial" w:eastAsia="Arial" w:cs="Arial"/>
          <w:b w:val="0"/>
          <w:bCs w:val="0"/>
          <w:color w:val="000000" w:themeColor="text1" w:themeTint="FF" w:themeShade="FF"/>
          <w:sz w:val="24"/>
          <w:szCs w:val="24"/>
        </w:rPr>
        <w:t xml:space="preserve">Hilton (2025) </w:t>
      </w:r>
      <w:r w:rsidRPr="1D471992" w:rsidR="1835A733">
        <w:rPr>
          <w:rFonts w:ascii="Arial" w:hAnsi="Arial" w:eastAsia="Arial" w:cs="Arial"/>
          <w:b w:val="0"/>
          <w:bCs w:val="0"/>
          <w:i w:val="1"/>
          <w:iCs w:val="1"/>
          <w:color w:val="000000" w:themeColor="text1" w:themeTint="FF" w:themeShade="FF"/>
          <w:sz w:val="24"/>
          <w:szCs w:val="24"/>
        </w:rPr>
        <w:t xml:space="preserve">Hilton East Midlands Airport. </w:t>
      </w:r>
      <w:r w:rsidRPr="1D471992" w:rsidR="1835A733">
        <w:rPr>
          <w:rFonts w:ascii="Arial" w:hAnsi="Arial" w:eastAsia="Arial" w:cs="Arial"/>
          <w:b w:val="0"/>
          <w:bCs w:val="0"/>
          <w:i w:val="0"/>
          <w:iCs w:val="0"/>
          <w:color w:val="000000" w:themeColor="text1" w:themeTint="FF" w:themeShade="FF"/>
          <w:sz w:val="24"/>
          <w:szCs w:val="24"/>
        </w:rPr>
        <w:t xml:space="preserve">Available at: </w:t>
      </w:r>
      <w:hyperlink r:id="Rd1b566460f9c4ab4">
        <w:r w:rsidRPr="1D471992" w:rsidR="65EEECF4">
          <w:rPr>
            <w:rStyle w:val="Hyperlink"/>
            <w:rFonts w:ascii="Arial" w:hAnsi="Arial" w:eastAsia="Arial" w:cs="Arial"/>
            <w:b w:val="0"/>
            <w:bCs w:val="0"/>
            <w:i w:val="0"/>
            <w:iCs w:val="0"/>
            <w:color w:val="000000" w:themeColor="text1" w:themeTint="FF" w:themeShade="FF"/>
            <w:sz w:val="24"/>
            <w:szCs w:val="24"/>
          </w:rPr>
          <w:t>https://www.hilton.com/en/hotels/emahnhn-hilton-east-midlands-airport/</w:t>
        </w:r>
      </w:hyperlink>
      <w:r w:rsidRPr="1D471992" w:rsidR="65EEECF4">
        <w:rPr>
          <w:rFonts w:ascii="Arial" w:hAnsi="Arial" w:eastAsia="Arial" w:cs="Arial"/>
          <w:b w:val="0"/>
          <w:bCs w:val="0"/>
          <w:i w:val="0"/>
          <w:iCs w:val="0"/>
          <w:color w:val="000000" w:themeColor="text1" w:themeTint="FF" w:themeShade="FF"/>
          <w:sz w:val="24"/>
          <w:szCs w:val="24"/>
        </w:rPr>
        <w:t xml:space="preserve"> . </w:t>
      </w:r>
      <w:r w:rsidRPr="1D471992" w:rsidR="57C84F91">
        <w:rPr>
          <w:rFonts w:ascii="Arial" w:hAnsi="Arial" w:eastAsia="Arial" w:cs="Arial"/>
          <w:b w:val="0"/>
          <w:bCs w:val="0"/>
          <w:i w:val="0"/>
          <w:iCs w:val="0"/>
          <w:color w:val="000000" w:themeColor="text1" w:themeTint="FF" w:themeShade="FF"/>
          <w:sz w:val="24"/>
          <w:szCs w:val="24"/>
        </w:rPr>
        <w:t>(</w:t>
      </w:r>
      <w:r w:rsidRPr="1D471992" w:rsidR="65EEECF4">
        <w:rPr>
          <w:rFonts w:ascii="Arial" w:hAnsi="Arial" w:eastAsia="Arial" w:cs="Arial"/>
          <w:b w:val="0"/>
          <w:bCs w:val="0"/>
          <w:i w:val="0"/>
          <w:iCs w:val="0"/>
          <w:color w:val="000000" w:themeColor="text1" w:themeTint="FF" w:themeShade="FF"/>
          <w:sz w:val="24"/>
          <w:szCs w:val="24"/>
        </w:rPr>
        <w:t>Accessed: 3 February 2026</w:t>
      </w:r>
      <w:r w:rsidRPr="1D471992" w:rsidR="7396880C">
        <w:rPr>
          <w:rFonts w:ascii="Arial" w:hAnsi="Arial" w:eastAsia="Arial" w:cs="Arial"/>
          <w:b w:val="0"/>
          <w:bCs w:val="0"/>
          <w:i w:val="0"/>
          <w:iCs w:val="0"/>
          <w:color w:val="000000" w:themeColor="text1" w:themeTint="FF" w:themeShade="FF"/>
          <w:sz w:val="24"/>
          <w:szCs w:val="24"/>
        </w:rPr>
        <w:t>).</w:t>
      </w:r>
    </w:p>
    <w:p w:rsidR="39D5A897" w:rsidP="1D471992" w:rsidRDefault="39D5A897" w14:paraId="65AE4AEE" w14:textId="58CC551D">
      <w:pPr>
        <w:pStyle w:val="Normal"/>
        <w:spacing w:line="360" w:lineRule="auto"/>
        <w:jc w:val="both"/>
        <w:rPr>
          <w:rFonts w:ascii="Arial" w:hAnsi="Arial" w:eastAsia="Arial" w:cs="Arial"/>
          <w:b w:val="0"/>
          <w:bCs w:val="0"/>
          <w:i w:val="0"/>
          <w:iCs w:val="0"/>
          <w:color w:val="000000" w:themeColor="text1" w:themeTint="FF" w:themeShade="FF"/>
          <w:sz w:val="24"/>
          <w:szCs w:val="24"/>
        </w:rPr>
      </w:pPr>
      <w:r w:rsidRPr="1D471992" w:rsidR="39D5A897">
        <w:rPr>
          <w:rFonts w:ascii="Arial" w:hAnsi="Arial" w:eastAsia="Arial" w:cs="Arial"/>
          <w:b w:val="0"/>
          <w:bCs w:val="0"/>
          <w:i w:val="0"/>
          <w:iCs w:val="0"/>
          <w:color w:val="000000" w:themeColor="text1" w:themeTint="FF" w:themeShade="FF"/>
          <w:sz w:val="24"/>
          <w:szCs w:val="24"/>
        </w:rPr>
        <w:t xml:space="preserve">ITC Grand Chola (2026) </w:t>
      </w:r>
      <w:r w:rsidRPr="1D471992" w:rsidR="39D5A897">
        <w:rPr>
          <w:rFonts w:ascii="Arial" w:hAnsi="Arial" w:eastAsia="Arial" w:cs="Arial"/>
          <w:b w:val="0"/>
          <w:bCs w:val="0"/>
          <w:i w:val="1"/>
          <w:iCs w:val="1"/>
          <w:color w:val="000000" w:themeColor="text1" w:themeTint="FF" w:themeShade="FF"/>
          <w:sz w:val="24"/>
          <w:szCs w:val="24"/>
        </w:rPr>
        <w:t xml:space="preserve">Explore Chennai. </w:t>
      </w:r>
      <w:r w:rsidRPr="1D471992" w:rsidR="39D5A897">
        <w:rPr>
          <w:rFonts w:ascii="Arial" w:hAnsi="Arial" w:eastAsia="Arial" w:cs="Arial"/>
          <w:b w:val="0"/>
          <w:bCs w:val="0"/>
          <w:i w:val="0"/>
          <w:iCs w:val="0"/>
          <w:color w:val="000000" w:themeColor="text1" w:themeTint="FF" w:themeShade="FF"/>
          <w:sz w:val="24"/>
          <w:szCs w:val="24"/>
        </w:rPr>
        <w:t xml:space="preserve">Available at: </w:t>
      </w:r>
      <w:hyperlink r:id="Rffbeec9afa8449ce">
        <w:r w:rsidRPr="1D471992" w:rsidR="39D5A897">
          <w:rPr>
            <w:rStyle w:val="Hyperlink"/>
            <w:rFonts w:ascii="Arial" w:hAnsi="Arial" w:eastAsia="Arial" w:cs="Arial"/>
            <w:b w:val="0"/>
            <w:bCs w:val="0"/>
            <w:i w:val="0"/>
            <w:iCs w:val="0"/>
            <w:color w:val="000000" w:themeColor="text1" w:themeTint="FF" w:themeShade="FF"/>
            <w:sz w:val="24"/>
            <w:szCs w:val="24"/>
          </w:rPr>
          <w:t>https://www.itchotels.com/in/en/itcgrandchola-chennai</w:t>
        </w:r>
      </w:hyperlink>
      <w:r w:rsidRPr="1D471992" w:rsidR="39D5A897">
        <w:rPr>
          <w:rFonts w:ascii="Arial" w:hAnsi="Arial" w:eastAsia="Arial" w:cs="Arial"/>
          <w:b w:val="0"/>
          <w:bCs w:val="0"/>
          <w:i w:val="0"/>
          <w:iCs w:val="0"/>
          <w:color w:val="000000" w:themeColor="text1" w:themeTint="FF" w:themeShade="FF"/>
          <w:sz w:val="24"/>
          <w:szCs w:val="24"/>
        </w:rPr>
        <w:t xml:space="preserve"> </w:t>
      </w:r>
      <w:r w:rsidRPr="1D471992" w:rsidR="2B6BD8A4">
        <w:rPr>
          <w:rFonts w:ascii="Arial" w:hAnsi="Arial" w:eastAsia="Arial" w:cs="Arial"/>
          <w:b w:val="0"/>
          <w:bCs w:val="0"/>
          <w:i w:val="0"/>
          <w:iCs w:val="0"/>
          <w:color w:val="000000" w:themeColor="text1" w:themeTint="FF" w:themeShade="FF"/>
          <w:sz w:val="24"/>
          <w:szCs w:val="24"/>
        </w:rPr>
        <w:t>(Accessed: 4 February 2026).</w:t>
      </w:r>
    </w:p>
    <w:p w:rsidR="5CC44E6C" w:rsidP="1D471992" w:rsidRDefault="5CC44E6C" w14:paraId="4F3B2EB7" w14:textId="5762110E">
      <w:pPr>
        <w:shd w:val="clear" w:color="auto" w:fill="FFFFFF" w:themeFill="background1"/>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Kumngen</w:t>
      </w:r>
      <w:r w:rsidRPr="1D471992" w:rsidR="5CC44E6C">
        <w:rPr>
          <w:rFonts w:ascii="Arial" w:hAnsi="Arial" w:eastAsia="Arial" w:cs="Arial"/>
          <w:noProof w:val="0"/>
          <w:color w:val="000000" w:themeColor="text1" w:themeTint="FF" w:themeShade="FF"/>
          <w:sz w:val="24"/>
          <w:szCs w:val="24"/>
          <w:lang w:val="en-GB"/>
        </w:rPr>
        <w:t xml:space="preserve">, A. </w:t>
      </w:r>
      <w:r w:rsidRPr="1D471992" w:rsidR="5CC44E6C">
        <w:rPr>
          <w:rFonts w:ascii="Arial" w:hAnsi="Arial" w:eastAsia="Arial" w:cs="Arial"/>
          <w:i w:val="1"/>
          <w:iCs w:val="1"/>
          <w:noProof w:val="0"/>
          <w:color w:val="000000" w:themeColor="text1" w:themeTint="FF" w:themeShade="FF"/>
          <w:sz w:val="24"/>
          <w:szCs w:val="24"/>
          <w:lang w:val="en-GB"/>
        </w:rPr>
        <w:t>et al.</w:t>
      </w:r>
      <w:r w:rsidRPr="1D471992" w:rsidR="5CC44E6C">
        <w:rPr>
          <w:rFonts w:ascii="Arial" w:hAnsi="Arial" w:eastAsia="Arial" w:cs="Arial"/>
          <w:noProof w:val="0"/>
          <w:color w:val="000000" w:themeColor="text1" w:themeTint="FF" w:themeShade="FF"/>
          <w:sz w:val="24"/>
          <w:szCs w:val="24"/>
          <w:lang w:val="en-GB"/>
        </w:rPr>
        <w:t xml:space="preserve"> (2023) “Effects of compost from food waste on growth of lettuce </w:t>
      </w:r>
      <w:r w:rsidRPr="1D471992" w:rsidR="40AC922F">
        <w:rPr>
          <w:rFonts w:ascii="Arial" w:hAnsi="Arial" w:eastAsia="Arial" w:cs="Arial"/>
          <w:noProof w:val="0"/>
          <w:color w:val="000000" w:themeColor="text1" w:themeTint="FF" w:themeShade="FF"/>
          <w:sz w:val="24"/>
          <w:szCs w:val="24"/>
          <w:lang w:val="en-GB"/>
        </w:rPr>
        <w:t>(Lactuca</w:t>
      </w:r>
      <w:r w:rsidRPr="1D471992" w:rsidR="5CC44E6C">
        <w:rPr>
          <w:rFonts w:ascii="Arial" w:hAnsi="Arial" w:eastAsia="Arial" w:cs="Arial"/>
          <w:noProof w:val="0"/>
          <w:color w:val="000000" w:themeColor="text1" w:themeTint="FF" w:themeShade="FF"/>
          <w:sz w:val="24"/>
          <w:szCs w:val="24"/>
          <w:lang w:val="en-GB"/>
        </w:rPr>
        <w:t xml:space="preserve"> sativa Var. </w:t>
      </w:r>
      <w:r w:rsidRPr="1D471992" w:rsidR="5CC44E6C">
        <w:rPr>
          <w:rFonts w:ascii="Arial" w:hAnsi="Arial" w:eastAsia="Arial" w:cs="Arial"/>
          <w:noProof w:val="0"/>
          <w:color w:val="000000" w:themeColor="text1" w:themeTint="FF" w:themeShade="FF"/>
          <w:sz w:val="24"/>
          <w:szCs w:val="24"/>
          <w:lang w:val="en-GB"/>
        </w:rPr>
        <w:t>Crispa</w:t>
      </w:r>
      <w:r w:rsidRPr="1D471992" w:rsidR="5CC44E6C">
        <w:rPr>
          <w:rFonts w:ascii="Arial" w:hAnsi="Arial" w:eastAsia="Arial" w:cs="Arial"/>
          <w:noProof w:val="0"/>
          <w:color w:val="000000" w:themeColor="text1" w:themeTint="FF" w:themeShade="FF"/>
          <w:sz w:val="24"/>
          <w:szCs w:val="24"/>
          <w:lang w:val="en-GB"/>
        </w:rPr>
        <w:t xml:space="preserve"> L.),” </w:t>
      </w:r>
      <w:r w:rsidRPr="1D471992" w:rsidR="5CC44E6C">
        <w:rPr>
          <w:rFonts w:ascii="Arial" w:hAnsi="Arial" w:eastAsia="Arial" w:cs="Arial"/>
          <w:i w:val="1"/>
          <w:iCs w:val="1"/>
          <w:noProof w:val="0"/>
          <w:color w:val="000000" w:themeColor="text1" w:themeTint="FF" w:themeShade="FF"/>
          <w:sz w:val="24"/>
          <w:szCs w:val="24"/>
          <w:lang w:val="en-GB"/>
        </w:rPr>
        <w:t>International journal of recycling of organic waste in agriculture</w:t>
      </w:r>
      <w:r w:rsidRPr="1D471992" w:rsidR="5CC44E6C">
        <w:rPr>
          <w:rFonts w:ascii="Arial" w:hAnsi="Arial" w:eastAsia="Arial" w:cs="Arial"/>
          <w:noProof w:val="0"/>
          <w:color w:val="000000" w:themeColor="text1" w:themeTint="FF" w:themeShade="FF"/>
          <w:sz w:val="24"/>
          <w:szCs w:val="24"/>
          <w:lang w:val="en-GB"/>
        </w:rPr>
        <w:t xml:space="preserve">, 12(2), pp. 247–258. Available at: </w:t>
      </w:r>
      <w:hyperlink r:id="R40c7cd779f004dde">
        <w:r w:rsidRPr="1D471992" w:rsidR="5CC44E6C">
          <w:rPr>
            <w:rStyle w:val="Hyperlink"/>
            <w:rFonts w:ascii="Arial" w:hAnsi="Arial" w:eastAsia="Arial" w:cs="Arial"/>
            <w:noProof w:val="0"/>
            <w:color w:val="000000" w:themeColor="text1" w:themeTint="FF" w:themeShade="FF"/>
            <w:sz w:val="24"/>
            <w:szCs w:val="24"/>
            <w:lang w:val="en-GB"/>
          </w:rPr>
          <w:t>https://doi.org/10.30486/ijrowa.2022.1960507.1481</w:t>
        </w:r>
      </w:hyperlink>
      <w:r w:rsidRPr="1D471992" w:rsidR="5CC44E6C">
        <w:rPr>
          <w:rFonts w:ascii="Arial" w:hAnsi="Arial" w:eastAsia="Arial" w:cs="Arial"/>
          <w:noProof w:val="0"/>
          <w:color w:val="000000" w:themeColor="text1" w:themeTint="FF" w:themeShade="FF"/>
          <w:sz w:val="24"/>
          <w:szCs w:val="24"/>
          <w:lang w:val="en-GB"/>
        </w:rPr>
        <w:t>.</w:t>
      </w:r>
    </w:p>
    <w:p w:rsidR="018937C2" w:rsidP="1D471992" w:rsidRDefault="018937C2" w14:paraId="766EB19F" w14:textId="7FF49D42">
      <w:pPr>
        <w:pStyle w:val="Normal"/>
        <w:spacing w:line="360" w:lineRule="auto"/>
        <w:jc w:val="both"/>
        <w:rPr>
          <w:rFonts w:ascii="Arial" w:hAnsi="Arial" w:eastAsia="Arial" w:cs="Arial"/>
          <w:noProof w:val="0"/>
          <w:color w:val="000000" w:themeColor="text1" w:themeTint="FF" w:themeShade="FF"/>
          <w:sz w:val="24"/>
          <w:szCs w:val="24"/>
          <w:lang w:val="en-GB"/>
        </w:rPr>
      </w:pPr>
      <w:r w:rsidRPr="1D471992" w:rsidR="018937C2">
        <w:rPr>
          <w:rFonts w:ascii="Arial" w:hAnsi="Arial" w:eastAsia="Arial" w:cs="Arial"/>
          <w:b w:val="0"/>
          <w:bCs w:val="0"/>
          <w:color w:val="000000" w:themeColor="text1" w:themeTint="FF" w:themeShade="FF"/>
          <w:sz w:val="24"/>
          <w:szCs w:val="24"/>
        </w:rPr>
        <w:t>Lamington Group (202</w:t>
      </w:r>
      <w:r w:rsidRPr="1D471992" w:rsidR="0045F303">
        <w:rPr>
          <w:rFonts w:ascii="Arial" w:hAnsi="Arial" w:eastAsia="Arial" w:cs="Arial"/>
          <w:b w:val="0"/>
          <w:bCs w:val="0"/>
          <w:color w:val="000000" w:themeColor="text1" w:themeTint="FF" w:themeShade="FF"/>
          <w:sz w:val="24"/>
          <w:szCs w:val="24"/>
        </w:rPr>
        <w:t>5</w:t>
      </w:r>
      <w:r w:rsidRPr="1D471992" w:rsidR="018937C2">
        <w:rPr>
          <w:rFonts w:ascii="Arial" w:hAnsi="Arial" w:eastAsia="Arial" w:cs="Arial"/>
          <w:b w:val="0"/>
          <w:bCs w:val="0"/>
          <w:color w:val="000000" w:themeColor="text1" w:themeTint="FF" w:themeShade="FF"/>
          <w:sz w:val="24"/>
          <w:szCs w:val="24"/>
        </w:rPr>
        <w:t xml:space="preserve">) </w:t>
      </w:r>
      <w:r w:rsidRPr="1D471992" w:rsidR="018937C2">
        <w:rPr>
          <w:rFonts w:ascii="Arial" w:hAnsi="Arial" w:eastAsia="Arial" w:cs="Arial"/>
          <w:b w:val="0"/>
          <w:bCs w:val="0"/>
          <w:i w:val="1"/>
          <w:iCs w:val="1"/>
          <w:color w:val="000000" w:themeColor="text1" w:themeTint="FF" w:themeShade="FF"/>
          <w:sz w:val="24"/>
          <w:szCs w:val="24"/>
        </w:rPr>
        <w:t>Sustainability is Shaping Hotel Guest Expectations: The Emerge of the Con</w:t>
      </w:r>
      <w:r w:rsidRPr="1D471992" w:rsidR="3823DEA7">
        <w:rPr>
          <w:rFonts w:ascii="Arial" w:hAnsi="Arial" w:eastAsia="Arial" w:cs="Arial"/>
          <w:b w:val="0"/>
          <w:bCs w:val="0"/>
          <w:i w:val="1"/>
          <w:iCs w:val="1"/>
          <w:color w:val="000000" w:themeColor="text1" w:themeTint="FF" w:themeShade="FF"/>
          <w:sz w:val="24"/>
          <w:szCs w:val="24"/>
        </w:rPr>
        <w:t xml:space="preserve">scious Traveller. </w:t>
      </w:r>
      <w:r w:rsidRPr="1D471992" w:rsidR="3823DEA7">
        <w:rPr>
          <w:rFonts w:ascii="Arial" w:hAnsi="Arial" w:eastAsia="Arial" w:cs="Arial"/>
          <w:b w:val="0"/>
          <w:bCs w:val="0"/>
          <w:i w:val="0"/>
          <w:iCs w:val="0"/>
          <w:color w:val="000000" w:themeColor="text1" w:themeTint="FF" w:themeShade="FF"/>
          <w:sz w:val="24"/>
          <w:szCs w:val="24"/>
        </w:rPr>
        <w:t xml:space="preserve">Available at: </w:t>
      </w:r>
      <w:hyperlink r:id="Rf6557e2a09c749c2">
        <w:r w:rsidRPr="1D471992" w:rsidR="3823DEA7">
          <w:rPr>
            <w:rStyle w:val="Hyperlink"/>
            <w:rFonts w:ascii="Arial" w:hAnsi="Arial" w:eastAsia="Arial" w:cs="Arial"/>
            <w:noProof w:val="0"/>
            <w:color w:val="000000" w:themeColor="text1" w:themeTint="FF" w:themeShade="FF"/>
            <w:sz w:val="24"/>
            <w:szCs w:val="24"/>
            <w:lang w:val="en-GB"/>
          </w:rPr>
          <w:t>lg-conscious-consumer-whitepaper-august-2025.pdf</w:t>
        </w:r>
      </w:hyperlink>
      <w:r w:rsidRPr="1D471992" w:rsidR="3823DEA7">
        <w:rPr>
          <w:rFonts w:ascii="Arial" w:hAnsi="Arial" w:eastAsia="Arial" w:cs="Arial"/>
          <w:noProof w:val="0"/>
          <w:color w:val="000000" w:themeColor="text1" w:themeTint="FF" w:themeShade="FF"/>
          <w:sz w:val="24"/>
          <w:szCs w:val="24"/>
          <w:lang w:val="en-GB"/>
        </w:rPr>
        <w:t xml:space="preserve"> (Accessed: 7 February 2026).</w:t>
      </w:r>
    </w:p>
    <w:p w:rsidR="1D68CFE4" w:rsidP="1D471992" w:rsidRDefault="1D68CFE4" w14:paraId="15C01380" w14:textId="45947F4E">
      <w:pPr>
        <w:pStyle w:val="Normal"/>
        <w:spacing w:line="360" w:lineRule="auto"/>
        <w:jc w:val="both"/>
        <w:rPr>
          <w:rFonts w:ascii="Arial" w:hAnsi="Arial" w:eastAsia="Arial" w:cs="Arial"/>
          <w:noProof w:val="0"/>
          <w:color w:val="000000" w:themeColor="text1" w:themeTint="FF" w:themeShade="FF"/>
          <w:sz w:val="24"/>
          <w:szCs w:val="24"/>
          <w:lang w:val="en-GB"/>
        </w:rPr>
      </w:pPr>
      <w:r w:rsidRPr="1D471992" w:rsidR="1D68CFE4">
        <w:rPr>
          <w:rFonts w:ascii="Arial" w:hAnsi="Arial" w:eastAsia="Arial" w:cs="Arial"/>
          <w:b w:val="0"/>
          <w:bCs w:val="0"/>
          <w:color w:val="000000" w:themeColor="text1" w:themeTint="FF" w:themeShade="FF"/>
          <w:sz w:val="24"/>
          <w:szCs w:val="24"/>
        </w:rPr>
        <w:t xml:space="preserve">Lamington Group (2025) </w:t>
      </w:r>
      <w:r w:rsidRPr="1D471992" w:rsidR="1D68CFE4">
        <w:rPr>
          <w:rFonts w:ascii="Arial" w:hAnsi="Arial" w:eastAsia="Arial" w:cs="Arial"/>
          <w:b w:val="0"/>
          <w:bCs w:val="0"/>
          <w:i w:val="1"/>
          <w:iCs w:val="1"/>
          <w:color w:val="000000" w:themeColor="text1" w:themeTint="FF" w:themeShade="FF"/>
          <w:sz w:val="24"/>
          <w:szCs w:val="24"/>
        </w:rPr>
        <w:t xml:space="preserve">Sustainability is Shaping Hotel Guest Expectations: The Emerge of the Conscious Traveller. </w:t>
      </w:r>
      <w:r w:rsidRPr="1D471992" w:rsidR="1D68CFE4">
        <w:rPr>
          <w:rFonts w:ascii="Arial" w:hAnsi="Arial" w:eastAsia="Arial" w:cs="Arial"/>
          <w:b w:val="0"/>
          <w:bCs w:val="0"/>
          <w:i w:val="0"/>
          <w:iCs w:val="0"/>
          <w:color w:val="000000" w:themeColor="text1" w:themeTint="FF" w:themeShade="FF"/>
          <w:sz w:val="24"/>
          <w:szCs w:val="24"/>
        </w:rPr>
        <w:t xml:space="preserve">Available at: </w:t>
      </w:r>
      <w:hyperlink r:id="R9a727e5106d64ca2">
        <w:r w:rsidRPr="1D471992" w:rsidR="1D68CFE4">
          <w:rPr>
            <w:rStyle w:val="Hyperlink"/>
            <w:rFonts w:ascii="Arial" w:hAnsi="Arial" w:eastAsia="Arial" w:cs="Arial"/>
            <w:noProof w:val="0"/>
            <w:color w:val="000000" w:themeColor="text1" w:themeTint="FF" w:themeShade="FF"/>
            <w:sz w:val="24"/>
            <w:szCs w:val="24"/>
            <w:lang w:val="en-GB"/>
          </w:rPr>
          <w:t>lg-conscious-consumer-whitepaper-august-2025.pdf</w:t>
        </w:r>
      </w:hyperlink>
      <w:r w:rsidRPr="1D471992" w:rsidR="1D68CFE4">
        <w:rPr>
          <w:rFonts w:ascii="Arial" w:hAnsi="Arial" w:eastAsia="Arial" w:cs="Arial"/>
          <w:noProof w:val="0"/>
          <w:color w:val="000000" w:themeColor="text1" w:themeTint="FF" w:themeShade="FF"/>
          <w:sz w:val="24"/>
          <w:szCs w:val="24"/>
          <w:lang w:val="en-GB"/>
        </w:rPr>
        <w:t xml:space="preserve"> (Accessed: 9 February 2026).</w:t>
      </w:r>
    </w:p>
    <w:p w:rsidR="5CC44E6C" w:rsidP="1D471992" w:rsidRDefault="5CC44E6C" w14:paraId="7885283B" w14:textId="68624B6B">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Liang, C.C. (2013) “Smart Inventory Management System of Food-Processing-and- Distribution Industry,” </w:t>
      </w:r>
      <w:r w:rsidRPr="1D471992" w:rsidR="5CC44E6C">
        <w:rPr>
          <w:rFonts w:ascii="Arial" w:hAnsi="Arial" w:eastAsia="Arial" w:cs="Arial"/>
          <w:i w:val="1"/>
          <w:iCs w:val="1"/>
          <w:noProof w:val="0"/>
          <w:color w:val="000000" w:themeColor="text1" w:themeTint="FF" w:themeShade="FF"/>
          <w:sz w:val="24"/>
          <w:szCs w:val="24"/>
          <w:lang w:val="en-GB"/>
        </w:rPr>
        <w:t>Procedia computer science</w:t>
      </w:r>
      <w:r w:rsidRPr="1D471992" w:rsidR="5CC44E6C">
        <w:rPr>
          <w:rFonts w:ascii="Arial" w:hAnsi="Arial" w:eastAsia="Arial" w:cs="Arial"/>
          <w:noProof w:val="0"/>
          <w:color w:val="000000" w:themeColor="text1" w:themeTint="FF" w:themeShade="FF"/>
          <w:sz w:val="24"/>
          <w:szCs w:val="24"/>
          <w:lang w:val="en-GB"/>
        </w:rPr>
        <w:t xml:space="preserve">, 17, pp. 373–378. Available at: </w:t>
      </w:r>
      <w:hyperlink r:id="R34885a29135e4317">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https://doi.org/10.1016/j.procs.2013.05.048</w:t>
        </w:r>
      </w:hyperlink>
      <w:r w:rsidRPr="1D471992" w:rsidR="5CC44E6C">
        <w:rPr>
          <w:rFonts w:ascii="Arial" w:hAnsi="Arial" w:eastAsia="Arial" w:cs="Arial"/>
          <w:noProof w:val="0"/>
          <w:color w:val="000000" w:themeColor="text1" w:themeTint="FF" w:themeShade="FF"/>
          <w:sz w:val="24"/>
          <w:szCs w:val="24"/>
          <w:lang w:val="en-GB"/>
        </w:rPr>
        <w:t>.</w:t>
      </w:r>
    </w:p>
    <w:p w:rsidR="5CC44E6C" w:rsidP="1D471992" w:rsidRDefault="5CC44E6C" w14:paraId="39194E0E" w14:textId="0CEDD667">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fr"/>
        </w:rPr>
        <w:t>Marín</w:t>
      </w:r>
      <w:r w:rsidRPr="1D471992" w:rsidR="5CC44E6C">
        <w:rPr>
          <w:rFonts w:ascii="Arial" w:hAnsi="Arial" w:eastAsia="Arial" w:cs="Arial"/>
          <w:noProof w:val="0"/>
          <w:color w:val="000000" w:themeColor="text1" w:themeTint="FF" w:themeShade="FF"/>
          <w:sz w:val="24"/>
          <w:szCs w:val="24"/>
          <w:lang w:val="fr"/>
        </w:rPr>
        <w:t xml:space="preserve">-García, A. </w:t>
      </w:r>
      <w:r w:rsidRPr="1D471992" w:rsidR="5CC44E6C">
        <w:rPr>
          <w:rFonts w:ascii="Arial" w:hAnsi="Arial" w:eastAsia="Arial" w:cs="Arial"/>
          <w:i w:val="1"/>
          <w:iCs w:val="1"/>
          <w:noProof w:val="0"/>
          <w:color w:val="000000" w:themeColor="text1" w:themeTint="FF" w:themeShade="FF"/>
          <w:sz w:val="24"/>
          <w:szCs w:val="24"/>
          <w:lang w:val="en-GB"/>
        </w:rPr>
        <w:t>et al.</w:t>
      </w:r>
      <w:r w:rsidRPr="1D471992" w:rsidR="5CC44E6C">
        <w:rPr>
          <w:rFonts w:ascii="Arial" w:hAnsi="Arial" w:eastAsia="Arial" w:cs="Arial"/>
          <w:noProof w:val="0"/>
          <w:color w:val="000000" w:themeColor="text1" w:themeTint="FF" w:themeShade="FF"/>
          <w:sz w:val="24"/>
          <w:szCs w:val="24"/>
          <w:lang w:val="en-GB"/>
        </w:rPr>
        <w:t xml:space="preserve"> (2025) “SUSTAINABLE PRACTICES AS A DRIVER OF BRAND VALUE AND SATISFACTION: IS IT THE SAME FOR ALL </w:t>
      </w:r>
      <w:r w:rsidRPr="1D471992" w:rsidR="63DCD033">
        <w:rPr>
          <w:rFonts w:ascii="Arial" w:hAnsi="Arial" w:eastAsia="Arial" w:cs="Arial"/>
          <w:noProof w:val="0"/>
          <w:color w:val="000000" w:themeColor="text1" w:themeTint="FF" w:themeShade="FF"/>
          <w:sz w:val="24"/>
          <w:szCs w:val="24"/>
          <w:lang w:val="en-GB"/>
        </w:rPr>
        <w:t>GUESTS?</w:t>
      </w:r>
      <w:r w:rsidRPr="1D471992" w:rsidR="5CC44E6C">
        <w:rPr>
          <w:rFonts w:ascii="Arial" w:hAnsi="Arial" w:eastAsia="Arial" w:cs="Arial"/>
          <w:noProof w:val="0"/>
          <w:color w:val="000000" w:themeColor="text1" w:themeTint="FF" w:themeShade="FF"/>
          <w:sz w:val="24"/>
          <w:szCs w:val="24"/>
          <w:lang w:val="en-GB"/>
        </w:rPr>
        <w:t xml:space="preserve">” </w:t>
      </w:r>
      <w:r w:rsidRPr="1D471992" w:rsidR="5CC44E6C">
        <w:rPr>
          <w:rFonts w:ascii="Arial" w:hAnsi="Arial" w:eastAsia="Arial" w:cs="Arial"/>
          <w:i w:val="1"/>
          <w:iCs w:val="1"/>
          <w:noProof w:val="0"/>
          <w:color w:val="000000" w:themeColor="text1" w:themeTint="FF" w:themeShade="FF"/>
          <w:sz w:val="24"/>
          <w:szCs w:val="24"/>
          <w:lang w:val="en-GB"/>
        </w:rPr>
        <w:t>Tourism and Hospitality Management</w:t>
      </w:r>
      <w:r w:rsidRPr="1D471992" w:rsidR="5CC44E6C">
        <w:rPr>
          <w:rFonts w:ascii="Arial" w:hAnsi="Arial" w:eastAsia="Arial" w:cs="Arial"/>
          <w:noProof w:val="0"/>
          <w:color w:val="000000" w:themeColor="text1" w:themeTint="FF" w:themeShade="FF"/>
          <w:sz w:val="24"/>
          <w:szCs w:val="24"/>
          <w:lang w:val="en-GB"/>
        </w:rPr>
        <w:t xml:space="preserve">, 31(1), pp. 37–47. Available at: </w:t>
      </w:r>
      <w:hyperlink r:id="Re8b1a8a0176545f2">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https://doi.org/10.20867/thm.31.1.3</w:t>
        </w:r>
      </w:hyperlink>
      <w:r w:rsidRPr="1D471992" w:rsidR="5CC44E6C">
        <w:rPr>
          <w:rFonts w:ascii="Arial" w:hAnsi="Arial" w:eastAsia="Arial" w:cs="Arial"/>
          <w:noProof w:val="0"/>
          <w:color w:val="000000" w:themeColor="text1" w:themeTint="FF" w:themeShade="FF"/>
          <w:sz w:val="24"/>
          <w:szCs w:val="24"/>
          <w:lang w:val="en-GB"/>
        </w:rPr>
        <w:t>.</w:t>
      </w:r>
    </w:p>
    <w:p w:rsidR="5CC44E6C" w:rsidP="1D471992" w:rsidRDefault="5CC44E6C" w14:paraId="5DCF3FC5" w14:textId="2F275951">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Mohammad, A. B. R. (2024) “Navigating Sustainability </w:t>
      </w:r>
      <w:r w:rsidRPr="1D471992" w:rsidR="5CC44E6C">
        <w:rPr>
          <w:rFonts w:ascii="Arial" w:hAnsi="Arial" w:eastAsia="Arial" w:cs="Arial"/>
          <w:noProof w:val="0"/>
          <w:color w:val="000000" w:themeColor="text1" w:themeTint="FF" w:themeShade="FF"/>
          <w:sz w:val="24"/>
          <w:szCs w:val="24"/>
          <w:lang w:val="en-GB"/>
        </w:rPr>
        <w:t>In</w:t>
      </w:r>
      <w:r w:rsidRPr="1D471992" w:rsidR="5CC44E6C">
        <w:rPr>
          <w:rFonts w:ascii="Arial" w:hAnsi="Arial" w:eastAsia="Arial" w:cs="Arial"/>
          <w:noProof w:val="0"/>
          <w:color w:val="000000" w:themeColor="text1" w:themeTint="FF" w:themeShade="FF"/>
          <w:sz w:val="24"/>
          <w:szCs w:val="24"/>
          <w:lang w:val="en-GB"/>
        </w:rPr>
        <w:t xml:space="preserve"> the Tourism and Hospitality Industry: Transformation Under the Influence of Climatic Challenges,” </w:t>
      </w:r>
      <w:r w:rsidRPr="1D471992" w:rsidR="5CC44E6C">
        <w:rPr>
          <w:rFonts w:ascii="Arial" w:hAnsi="Arial" w:eastAsia="Arial" w:cs="Arial"/>
          <w:i w:val="1"/>
          <w:iCs w:val="1"/>
          <w:noProof w:val="0"/>
          <w:color w:val="000000" w:themeColor="text1" w:themeTint="FF" w:themeShade="FF"/>
          <w:sz w:val="24"/>
          <w:szCs w:val="24"/>
          <w:lang w:val="en-GB"/>
        </w:rPr>
        <w:t>Socioeconomic challenges</w:t>
      </w:r>
      <w:r w:rsidRPr="1D471992" w:rsidR="5CC44E6C">
        <w:rPr>
          <w:rFonts w:ascii="Arial" w:hAnsi="Arial" w:eastAsia="Arial" w:cs="Arial"/>
          <w:noProof w:val="0"/>
          <w:color w:val="000000" w:themeColor="text1" w:themeTint="FF" w:themeShade="FF"/>
          <w:sz w:val="24"/>
          <w:szCs w:val="24"/>
          <w:lang w:val="en-GB"/>
        </w:rPr>
        <w:t xml:space="preserve">, 8(4), pp. 112–120. Available at: </w:t>
      </w:r>
      <w:hyperlink r:id="R141b85a877cd4ce4">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https://doi.org/10.61093/sec.8(4).112-120.2024</w:t>
        </w:r>
      </w:hyperlink>
      <w:r w:rsidRPr="1D471992" w:rsidR="5CC44E6C">
        <w:rPr>
          <w:rFonts w:ascii="Arial" w:hAnsi="Arial" w:eastAsia="Arial" w:cs="Arial"/>
          <w:noProof w:val="0"/>
          <w:color w:val="000000" w:themeColor="text1" w:themeTint="FF" w:themeShade="FF"/>
          <w:sz w:val="24"/>
          <w:szCs w:val="24"/>
          <w:lang w:val="en-GB"/>
        </w:rPr>
        <w:t>.</w:t>
      </w:r>
    </w:p>
    <w:p w:rsidR="5CC44E6C" w:rsidP="1D471992" w:rsidRDefault="5CC44E6C" w14:paraId="597AE4E8" w14:textId="7DBED21C">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Nhubu</w:t>
      </w:r>
      <w:r w:rsidRPr="1D471992" w:rsidR="5CC44E6C">
        <w:rPr>
          <w:rFonts w:ascii="Arial" w:hAnsi="Arial" w:eastAsia="Arial" w:cs="Arial"/>
          <w:noProof w:val="0"/>
          <w:color w:val="000000" w:themeColor="text1" w:themeTint="FF" w:themeShade="FF"/>
          <w:sz w:val="24"/>
          <w:szCs w:val="24"/>
          <w:lang w:val="en-GB"/>
        </w:rPr>
        <w:t xml:space="preserve">, T. and </w:t>
      </w:r>
      <w:r w:rsidRPr="1D471992" w:rsidR="5CC44E6C">
        <w:rPr>
          <w:rFonts w:ascii="Arial" w:hAnsi="Arial" w:eastAsia="Arial" w:cs="Arial"/>
          <w:noProof w:val="0"/>
          <w:color w:val="000000" w:themeColor="text1" w:themeTint="FF" w:themeShade="FF"/>
          <w:sz w:val="24"/>
          <w:szCs w:val="24"/>
          <w:lang w:val="en-GB"/>
        </w:rPr>
        <w:t>Mbohwa</w:t>
      </w:r>
      <w:r w:rsidRPr="1D471992" w:rsidR="5CC44E6C">
        <w:rPr>
          <w:rFonts w:ascii="Arial" w:hAnsi="Arial" w:eastAsia="Arial" w:cs="Arial"/>
          <w:noProof w:val="0"/>
          <w:color w:val="000000" w:themeColor="text1" w:themeTint="FF" w:themeShade="FF"/>
          <w:sz w:val="24"/>
          <w:szCs w:val="24"/>
          <w:lang w:val="en-GB"/>
        </w:rPr>
        <w:t xml:space="preserve">, C. (2024) “Inventory analysis and environmental life cycle impact assessment of hotel food waste management for bio-circular economy development in Zimbabwe,” </w:t>
      </w:r>
      <w:r w:rsidRPr="1D471992" w:rsidR="5CC44E6C">
        <w:rPr>
          <w:rFonts w:ascii="Arial" w:hAnsi="Arial" w:eastAsia="Arial" w:cs="Arial"/>
          <w:i w:val="1"/>
          <w:iCs w:val="1"/>
          <w:noProof w:val="0"/>
          <w:color w:val="000000" w:themeColor="text1" w:themeTint="FF" w:themeShade="FF"/>
          <w:sz w:val="24"/>
          <w:szCs w:val="24"/>
          <w:lang w:val="en-GB"/>
        </w:rPr>
        <w:t>Environmental monitoring and assessment</w:t>
      </w:r>
      <w:r w:rsidRPr="1D471992" w:rsidR="5CC44E6C">
        <w:rPr>
          <w:rFonts w:ascii="Arial" w:hAnsi="Arial" w:eastAsia="Arial" w:cs="Arial"/>
          <w:noProof w:val="0"/>
          <w:color w:val="000000" w:themeColor="text1" w:themeTint="FF" w:themeShade="FF"/>
          <w:sz w:val="24"/>
          <w:szCs w:val="24"/>
          <w:lang w:val="en-GB"/>
        </w:rPr>
        <w:t xml:space="preserve">, 196(12). Available at: </w:t>
      </w:r>
      <w:hyperlink r:id="Rd47bc550a2d54c63">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https://doi.org/10.1007/s10661-024-13314-6</w:t>
        </w:r>
      </w:hyperlink>
      <w:r w:rsidRPr="1D471992" w:rsidR="5CC44E6C">
        <w:rPr>
          <w:rFonts w:ascii="Arial" w:hAnsi="Arial" w:eastAsia="Arial" w:cs="Arial"/>
          <w:noProof w:val="0"/>
          <w:color w:val="000000" w:themeColor="text1" w:themeTint="FF" w:themeShade="FF"/>
          <w:sz w:val="24"/>
          <w:szCs w:val="24"/>
          <w:lang w:val="en-GB"/>
        </w:rPr>
        <w:t>.</w:t>
      </w:r>
    </w:p>
    <w:p w:rsidR="5CC44E6C" w:rsidP="1D471992" w:rsidRDefault="5CC44E6C" w14:paraId="63A1F0C0" w14:textId="2AA943E5">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Peeters, P. and Papp, B. (2024) “Pathway to zero emissions in global tourism: opportunities, challenges, and implications,” </w:t>
      </w:r>
      <w:r w:rsidRPr="1D471992" w:rsidR="5CC44E6C">
        <w:rPr>
          <w:rFonts w:ascii="Arial" w:hAnsi="Arial" w:eastAsia="Arial" w:cs="Arial"/>
          <w:i w:val="1"/>
          <w:iCs w:val="1"/>
          <w:noProof w:val="0"/>
          <w:color w:val="000000" w:themeColor="text1" w:themeTint="FF" w:themeShade="FF"/>
          <w:sz w:val="24"/>
          <w:szCs w:val="24"/>
          <w:lang w:val="en-GB"/>
        </w:rPr>
        <w:t>Journal of sustainable tourism</w:t>
      </w:r>
      <w:r w:rsidRPr="1D471992" w:rsidR="5CC44E6C">
        <w:rPr>
          <w:rFonts w:ascii="Arial" w:hAnsi="Arial" w:eastAsia="Arial" w:cs="Arial"/>
          <w:noProof w:val="0"/>
          <w:color w:val="000000" w:themeColor="text1" w:themeTint="FF" w:themeShade="FF"/>
          <w:sz w:val="24"/>
          <w:szCs w:val="24"/>
          <w:lang w:val="en-GB"/>
        </w:rPr>
        <w:t xml:space="preserve">, 32(9), pp. 1784–1810. Available at: </w:t>
      </w:r>
      <w:hyperlink r:id="Rcd3b93da8c0c4a39">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https://doi.org/10.1080/09669582.2024.2367513</w:t>
        </w:r>
      </w:hyperlink>
      <w:r w:rsidRPr="1D471992" w:rsidR="5CC44E6C">
        <w:rPr>
          <w:rFonts w:ascii="Arial" w:hAnsi="Arial" w:eastAsia="Arial" w:cs="Arial"/>
          <w:noProof w:val="0"/>
          <w:color w:val="000000" w:themeColor="text1" w:themeTint="FF" w:themeShade="FF"/>
          <w:sz w:val="24"/>
          <w:szCs w:val="24"/>
          <w:lang w:val="en-GB"/>
        </w:rPr>
        <w:t>.</w:t>
      </w:r>
    </w:p>
    <w:p w:rsidR="5CC44E6C" w:rsidP="1D471992" w:rsidRDefault="5CC44E6C" w14:paraId="009EC783" w14:textId="3244DEEF">
      <w:pPr>
        <w:spacing w:before="0" w:beforeAutospacing="off" w:after="160" w:afterAutospacing="off" w:line="360" w:lineRule="auto"/>
        <w:jc w:val="both"/>
        <w:rPr>
          <w:rFonts w:ascii="Arial" w:hAnsi="Arial" w:eastAsia="Arial" w:cs="Arial"/>
          <w:color w:val="000000" w:themeColor="text1" w:themeTint="FF" w:themeShade="FF"/>
          <w:sz w:val="24"/>
          <w:szCs w:val="24"/>
        </w:rPr>
      </w:pPr>
      <w:r w:rsidRPr="1D471992" w:rsidR="5CC44E6C">
        <w:rPr>
          <w:rFonts w:ascii="Arial" w:hAnsi="Arial" w:eastAsia="Arial" w:cs="Arial"/>
          <w:noProof w:val="0"/>
          <w:color w:val="000000" w:themeColor="text1" w:themeTint="FF" w:themeShade="FF"/>
          <w:sz w:val="24"/>
          <w:szCs w:val="24"/>
          <w:lang w:val="en-GB"/>
        </w:rPr>
        <w:t xml:space="preserve">Prieto, P. (2021) </w:t>
      </w:r>
      <w:r w:rsidRPr="1D471992" w:rsidR="5CC44E6C">
        <w:rPr>
          <w:rFonts w:ascii="Arial" w:hAnsi="Arial" w:eastAsia="Arial" w:cs="Arial"/>
          <w:i w:val="1"/>
          <w:iCs w:val="1"/>
          <w:noProof w:val="0"/>
          <w:color w:val="000000" w:themeColor="text1" w:themeTint="FF" w:themeShade="FF"/>
          <w:sz w:val="24"/>
          <w:szCs w:val="24"/>
          <w:lang w:val="en-GB"/>
        </w:rPr>
        <w:t xml:space="preserve">Transformative pathways to </w:t>
      </w:r>
      <w:r w:rsidRPr="1D471992" w:rsidR="68AC55E4">
        <w:rPr>
          <w:rFonts w:ascii="Arial" w:hAnsi="Arial" w:eastAsia="Arial" w:cs="Arial"/>
          <w:i w:val="1"/>
          <w:iCs w:val="1"/>
          <w:noProof w:val="0"/>
          <w:color w:val="000000" w:themeColor="text1" w:themeTint="FF" w:themeShade="FF"/>
          <w:sz w:val="24"/>
          <w:szCs w:val="24"/>
          <w:lang w:val="en-GB"/>
        </w:rPr>
        <w:t>sustainability:</w:t>
      </w:r>
      <w:r w:rsidRPr="1D471992" w:rsidR="5CC44E6C">
        <w:rPr>
          <w:rFonts w:ascii="Arial" w:hAnsi="Arial" w:eastAsia="Arial" w:cs="Arial"/>
          <w:i w:val="1"/>
          <w:iCs w:val="1"/>
          <w:noProof w:val="0"/>
          <w:color w:val="000000" w:themeColor="text1" w:themeTint="FF" w:themeShade="FF"/>
          <w:sz w:val="24"/>
          <w:szCs w:val="24"/>
          <w:lang w:val="en-GB"/>
        </w:rPr>
        <w:t xml:space="preserve"> learning across disciplines, </w:t>
      </w:r>
      <w:r w:rsidRPr="1D471992" w:rsidR="5CC44E6C">
        <w:rPr>
          <w:rFonts w:ascii="Arial" w:hAnsi="Arial" w:eastAsia="Arial" w:cs="Arial"/>
          <w:i w:val="1"/>
          <w:iCs w:val="1"/>
          <w:noProof w:val="0"/>
          <w:color w:val="000000" w:themeColor="text1" w:themeTint="FF" w:themeShade="FF"/>
          <w:sz w:val="24"/>
          <w:szCs w:val="24"/>
          <w:lang w:val="en-GB"/>
        </w:rPr>
        <w:t>cultures</w:t>
      </w:r>
      <w:r w:rsidRPr="1D471992" w:rsidR="5CC44E6C">
        <w:rPr>
          <w:rFonts w:ascii="Arial" w:hAnsi="Arial" w:eastAsia="Arial" w:cs="Arial"/>
          <w:i w:val="1"/>
          <w:iCs w:val="1"/>
          <w:noProof w:val="0"/>
          <w:color w:val="000000" w:themeColor="text1" w:themeTint="FF" w:themeShade="FF"/>
          <w:sz w:val="24"/>
          <w:szCs w:val="24"/>
          <w:lang w:val="en-GB"/>
        </w:rPr>
        <w:t xml:space="preserve"> and contexts</w:t>
      </w:r>
      <w:r w:rsidRPr="1D471992" w:rsidR="5CC44E6C">
        <w:rPr>
          <w:rFonts w:ascii="Arial" w:hAnsi="Arial" w:eastAsia="Arial" w:cs="Arial"/>
          <w:noProof w:val="0"/>
          <w:color w:val="000000" w:themeColor="text1" w:themeTint="FF" w:themeShade="FF"/>
          <w:sz w:val="24"/>
          <w:szCs w:val="24"/>
          <w:lang w:val="en-GB"/>
        </w:rPr>
        <w:t xml:space="preserve">. First edition. Abingdon, Oxon: Routledge. Available at: </w:t>
      </w:r>
      <w:hyperlink r:id="Rcf3b46bd83d34fc6">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https://doi.org/10.4324/9780429331930</w:t>
        </w:r>
      </w:hyperlink>
    </w:p>
    <w:p w:rsidR="5CC44E6C" w:rsidP="1D471992" w:rsidRDefault="5CC44E6C" w14:paraId="617A681E" w14:textId="32D07082">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Swaffield, J., Evans, </w:t>
      </w:r>
      <w:r w:rsidRPr="1D471992" w:rsidR="5CC44E6C">
        <w:rPr>
          <w:rFonts w:ascii="Arial" w:hAnsi="Arial" w:eastAsia="Arial" w:cs="Arial"/>
          <w:noProof w:val="0"/>
          <w:color w:val="000000" w:themeColor="text1" w:themeTint="FF" w:themeShade="FF"/>
          <w:sz w:val="24"/>
          <w:szCs w:val="24"/>
          <w:lang w:val="en-GB"/>
        </w:rPr>
        <w:t>D.</w:t>
      </w:r>
      <w:r w:rsidRPr="1D471992" w:rsidR="5CC44E6C">
        <w:rPr>
          <w:rFonts w:ascii="Arial" w:hAnsi="Arial" w:eastAsia="Arial" w:cs="Arial"/>
          <w:noProof w:val="0"/>
          <w:color w:val="000000" w:themeColor="text1" w:themeTint="FF" w:themeShade="FF"/>
          <w:sz w:val="24"/>
          <w:szCs w:val="24"/>
          <w:lang w:val="en-GB"/>
        </w:rPr>
        <w:t xml:space="preserve"> and Welch, D. (2018) “Profit, reputation and ‘doing the right thing’: Convention theory and the problem of food waste in the UK retail sector,” </w:t>
      </w:r>
      <w:r w:rsidRPr="1D471992" w:rsidR="5CC44E6C">
        <w:rPr>
          <w:rFonts w:ascii="Arial" w:hAnsi="Arial" w:eastAsia="Arial" w:cs="Arial"/>
          <w:i w:val="1"/>
          <w:iCs w:val="1"/>
          <w:noProof w:val="0"/>
          <w:color w:val="000000" w:themeColor="text1" w:themeTint="FF" w:themeShade="FF"/>
          <w:sz w:val="24"/>
          <w:szCs w:val="24"/>
          <w:lang w:val="en-GB"/>
        </w:rPr>
        <w:t>Geoforum</w:t>
      </w:r>
      <w:r w:rsidRPr="1D471992" w:rsidR="5CC44E6C">
        <w:rPr>
          <w:rFonts w:ascii="Arial" w:hAnsi="Arial" w:eastAsia="Arial" w:cs="Arial"/>
          <w:noProof w:val="0"/>
          <w:color w:val="000000" w:themeColor="text1" w:themeTint="FF" w:themeShade="FF"/>
          <w:sz w:val="24"/>
          <w:szCs w:val="24"/>
          <w:lang w:val="en-GB"/>
        </w:rPr>
        <w:t xml:space="preserve">, 89, pp. 43–51. Available at: </w:t>
      </w:r>
      <w:hyperlink r:id="Rc9be93dd03094f2f">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https://doi.org/10.1016/j.geoforum.2018.01.002</w:t>
        </w:r>
      </w:hyperlink>
      <w:r w:rsidRPr="1D471992" w:rsidR="5CC44E6C">
        <w:rPr>
          <w:rFonts w:ascii="Arial" w:hAnsi="Arial" w:eastAsia="Arial" w:cs="Arial"/>
          <w:noProof w:val="0"/>
          <w:color w:val="000000" w:themeColor="text1" w:themeTint="FF" w:themeShade="FF"/>
          <w:sz w:val="24"/>
          <w:szCs w:val="24"/>
          <w:lang w:val="en-GB"/>
        </w:rPr>
        <w:t>.</w:t>
      </w:r>
    </w:p>
    <w:p w:rsidR="7449F02E" w:rsidP="1D471992" w:rsidRDefault="7449F02E" w14:paraId="64E2E113" w14:textId="259018DA">
      <w:pPr>
        <w:spacing w:before="0" w:beforeAutospacing="off" w:after="160" w:afterAutospacing="off" w:line="360" w:lineRule="auto"/>
        <w:jc w:val="both"/>
        <w:rPr>
          <w:rFonts w:ascii="Arial" w:hAnsi="Arial" w:eastAsia="Arial" w:cs="Arial"/>
          <w:i w:val="0"/>
          <w:iCs w:val="0"/>
          <w:noProof w:val="0"/>
          <w:color w:val="000000" w:themeColor="text1" w:themeTint="FF" w:themeShade="FF"/>
          <w:sz w:val="24"/>
          <w:szCs w:val="24"/>
          <w:lang w:val="en-GB"/>
        </w:rPr>
      </w:pPr>
      <w:r w:rsidRPr="1D471992" w:rsidR="7449F02E">
        <w:rPr>
          <w:rFonts w:ascii="Arial" w:hAnsi="Arial" w:eastAsia="Arial" w:cs="Arial"/>
          <w:noProof w:val="0"/>
          <w:color w:val="000000" w:themeColor="text1" w:themeTint="FF" w:themeShade="FF"/>
          <w:sz w:val="24"/>
          <w:szCs w:val="24"/>
          <w:lang w:val="en-GB"/>
        </w:rPr>
        <w:t xml:space="preserve">The Lovat (2026) </w:t>
      </w:r>
      <w:r w:rsidRPr="1D471992" w:rsidR="7449F02E">
        <w:rPr>
          <w:rFonts w:ascii="Arial" w:hAnsi="Arial" w:eastAsia="Arial" w:cs="Arial"/>
          <w:i w:val="1"/>
          <w:iCs w:val="1"/>
          <w:noProof w:val="0"/>
          <w:color w:val="000000" w:themeColor="text1" w:themeTint="FF" w:themeShade="FF"/>
          <w:sz w:val="24"/>
          <w:szCs w:val="24"/>
          <w:lang w:val="en-GB"/>
        </w:rPr>
        <w:t xml:space="preserve">Welcome to the Lovat. </w:t>
      </w:r>
      <w:r w:rsidRPr="1D471992" w:rsidR="7449F02E">
        <w:rPr>
          <w:rFonts w:ascii="Arial" w:hAnsi="Arial" w:eastAsia="Arial" w:cs="Arial"/>
          <w:i w:val="0"/>
          <w:iCs w:val="0"/>
          <w:noProof w:val="0"/>
          <w:color w:val="000000" w:themeColor="text1" w:themeTint="FF" w:themeShade="FF"/>
          <w:sz w:val="24"/>
          <w:szCs w:val="24"/>
          <w:lang w:val="en-GB"/>
        </w:rPr>
        <w:t xml:space="preserve">Available at: </w:t>
      </w:r>
      <w:hyperlink r:id="Re9ce70e05d13438e">
        <w:r w:rsidRPr="1D471992" w:rsidR="7449F02E">
          <w:rPr>
            <w:rStyle w:val="Hyperlink"/>
            <w:rFonts w:ascii="Arial" w:hAnsi="Arial" w:eastAsia="Arial" w:cs="Arial"/>
            <w:i w:val="0"/>
            <w:iCs w:val="0"/>
            <w:noProof w:val="0"/>
            <w:color w:val="000000" w:themeColor="text1" w:themeTint="FF" w:themeShade="FF"/>
            <w:sz w:val="24"/>
            <w:szCs w:val="24"/>
            <w:lang w:val="en-GB"/>
          </w:rPr>
          <w:t>https://thelovat.com/?gad_source=1&amp;gad_campaignid=17325956841&amp;gbraid=0AAAAAD6K-UWfzn6lj9vqPdsVwWiM17SlE&amp;gclid=CjwKCAiAkbbMBhB2EiwANbxtbYPKEH864MVTOPKyA8XlSw6TReW_jA5HPmUxgadfaIH0e_7KMjBFbBoCRxQQAvD_BwE</w:t>
        </w:r>
      </w:hyperlink>
      <w:r w:rsidRPr="1D471992" w:rsidR="7449F02E">
        <w:rPr>
          <w:rFonts w:ascii="Arial" w:hAnsi="Arial" w:eastAsia="Arial" w:cs="Arial"/>
          <w:i w:val="0"/>
          <w:iCs w:val="0"/>
          <w:noProof w:val="0"/>
          <w:color w:val="000000" w:themeColor="text1" w:themeTint="FF" w:themeShade="FF"/>
          <w:sz w:val="24"/>
          <w:szCs w:val="24"/>
          <w:lang w:val="en-GB"/>
        </w:rPr>
        <w:t xml:space="preserve"> (Accessed: 4 February 2026).</w:t>
      </w:r>
    </w:p>
    <w:p w:rsidR="6C7C563C" w:rsidP="1D471992" w:rsidRDefault="6C7C563C" w14:paraId="31903451" w14:textId="5E9AEAA1">
      <w:pPr>
        <w:spacing w:before="0" w:beforeAutospacing="off" w:after="160" w:afterAutospacing="off" w:line="360" w:lineRule="auto"/>
        <w:jc w:val="both"/>
        <w:rPr>
          <w:rFonts w:ascii="Arial" w:hAnsi="Arial" w:eastAsia="Arial" w:cs="Arial"/>
          <w:i w:val="0"/>
          <w:iCs w:val="0"/>
          <w:noProof w:val="0"/>
          <w:color w:val="000000" w:themeColor="text1" w:themeTint="FF" w:themeShade="FF"/>
          <w:sz w:val="24"/>
          <w:szCs w:val="24"/>
          <w:lang w:val="en-GB"/>
        </w:rPr>
      </w:pPr>
      <w:r w:rsidRPr="1D471992" w:rsidR="6C7C563C">
        <w:rPr>
          <w:rFonts w:ascii="Arial" w:hAnsi="Arial" w:eastAsia="Arial" w:cs="Arial"/>
          <w:noProof w:val="0"/>
          <w:color w:val="000000" w:themeColor="text1" w:themeTint="FF" w:themeShade="FF"/>
          <w:sz w:val="24"/>
          <w:szCs w:val="24"/>
          <w:lang w:val="en-GB"/>
        </w:rPr>
        <w:t xml:space="preserve">The PIG Hotel (2026) </w:t>
      </w:r>
      <w:r w:rsidRPr="1D471992" w:rsidR="6C7C563C">
        <w:rPr>
          <w:rFonts w:ascii="Arial" w:hAnsi="Arial" w:eastAsia="Arial" w:cs="Arial"/>
          <w:i w:val="1"/>
          <w:iCs w:val="1"/>
          <w:noProof w:val="0"/>
          <w:color w:val="000000" w:themeColor="text1" w:themeTint="FF" w:themeShade="FF"/>
          <w:sz w:val="24"/>
          <w:szCs w:val="24"/>
          <w:lang w:val="en-GB"/>
        </w:rPr>
        <w:t xml:space="preserve">Come and Stay a While THE PIG. </w:t>
      </w:r>
      <w:r w:rsidRPr="1D471992" w:rsidR="6C7C563C">
        <w:rPr>
          <w:rFonts w:ascii="Arial" w:hAnsi="Arial" w:eastAsia="Arial" w:cs="Arial"/>
          <w:i w:val="0"/>
          <w:iCs w:val="0"/>
          <w:noProof w:val="0"/>
          <w:color w:val="000000" w:themeColor="text1" w:themeTint="FF" w:themeShade="FF"/>
          <w:sz w:val="24"/>
          <w:szCs w:val="24"/>
          <w:lang w:val="en-GB"/>
        </w:rPr>
        <w:t xml:space="preserve">Available at: </w:t>
      </w:r>
      <w:hyperlink r:id="R7f520e219e6b4b7d">
        <w:r w:rsidRPr="1D471992" w:rsidR="6C7C563C">
          <w:rPr>
            <w:rStyle w:val="Hyperlink"/>
            <w:rFonts w:ascii="Arial" w:hAnsi="Arial" w:eastAsia="Arial" w:cs="Arial"/>
            <w:i w:val="0"/>
            <w:iCs w:val="0"/>
            <w:noProof w:val="0"/>
            <w:color w:val="000000" w:themeColor="text1" w:themeTint="FF" w:themeShade="FF"/>
            <w:sz w:val="24"/>
            <w:szCs w:val="24"/>
            <w:lang w:val="en-GB"/>
          </w:rPr>
          <w:t>https://www.thepighotel.com/</w:t>
        </w:r>
      </w:hyperlink>
      <w:r w:rsidRPr="1D471992" w:rsidR="6C7C563C">
        <w:rPr>
          <w:rFonts w:ascii="Arial" w:hAnsi="Arial" w:eastAsia="Arial" w:cs="Arial"/>
          <w:i w:val="0"/>
          <w:iCs w:val="0"/>
          <w:noProof w:val="0"/>
          <w:color w:val="000000" w:themeColor="text1" w:themeTint="FF" w:themeShade="FF"/>
          <w:sz w:val="24"/>
          <w:szCs w:val="24"/>
          <w:lang w:val="en-GB"/>
        </w:rPr>
        <w:t xml:space="preserve"> (Accessed</w:t>
      </w:r>
      <w:r w:rsidRPr="1D471992" w:rsidR="5C3F520C">
        <w:rPr>
          <w:rFonts w:ascii="Arial" w:hAnsi="Arial" w:eastAsia="Arial" w:cs="Arial"/>
          <w:i w:val="0"/>
          <w:iCs w:val="0"/>
          <w:noProof w:val="0"/>
          <w:color w:val="000000" w:themeColor="text1" w:themeTint="FF" w:themeShade="FF"/>
          <w:sz w:val="24"/>
          <w:szCs w:val="24"/>
          <w:lang w:val="en-GB"/>
        </w:rPr>
        <w:t>: 8 February 2026).</w:t>
      </w:r>
    </w:p>
    <w:p w:rsidR="5CC44E6C" w:rsidP="1D471992" w:rsidRDefault="5CC44E6C" w14:paraId="20345F63" w14:textId="013B1B55">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Tran, T.A.P. (2025) “The role of customer expectations and competitive pressure in shaping firm innovation decisions towards sustainability: mediating effects of innovation perception,” </w:t>
      </w:r>
      <w:r w:rsidRPr="1D471992" w:rsidR="5CC44E6C">
        <w:rPr>
          <w:rFonts w:ascii="Arial" w:hAnsi="Arial" w:eastAsia="Arial" w:cs="Arial"/>
          <w:i w:val="1"/>
          <w:iCs w:val="1"/>
          <w:noProof w:val="0"/>
          <w:color w:val="000000" w:themeColor="text1" w:themeTint="FF" w:themeShade="FF"/>
          <w:sz w:val="24"/>
          <w:szCs w:val="24"/>
          <w:lang w:val="en-GB"/>
        </w:rPr>
        <w:t>Cogent business &amp; management</w:t>
      </w:r>
      <w:r w:rsidRPr="1D471992" w:rsidR="5CC44E6C">
        <w:rPr>
          <w:rFonts w:ascii="Arial" w:hAnsi="Arial" w:eastAsia="Arial" w:cs="Arial"/>
          <w:noProof w:val="0"/>
          <w:color w:val="000000" w:themeColor="text1" w:themeTint="FF" w:themeShade="FF"/>
          <w:sz w:val="24"/>
          <w:szCs w:val="24"/>
          <w:lang w:val="en-GB"/>
        </w:rPr>
        <w:t xml:space="preserve">, 12(1). Available at: </w:t>
      </w:r>
      <w:hyperlink r:id="R3352fc9a587a4744">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https://doi.org/10.1080/23311975.2025.2462272</w:t>
        </w:r>
      </w:hyperlink>
      <w:r w:rsidRPr="1D471992" w:rsidR="5CC44E6C">
        <w:rPr>
          <w:rFonts w:ascii="Arial" w:hAnsi="Arial" w:eastAsia="Arial" w:cs="Arial"/>
          <w:noProof w:val="0"/>
          <w:color w:val="000000" w:themeColor="text1" w:themeTint="FF" w:themeShade="FF"/>
          <w:sz w:val="24"/>
          <w:szCs w:val="24"/>
          <w:lang w:val="en-GB"/>
        </w:rPr>
        <w:t>.</w:t>
      </w:r>
    </w:p>
    <w:p w:rsidR="5DEA57C7" w:rsidP="1D471992" w:rsidRDefault="5DEA57C7" w14:paraId="10530ACA" w14:textId="72583C94">
      <w:pPr>
        <w:spacing w:line="360" w:lineRule="auto"/>
        <w:jc w:val="both"/>
        <w:rPr>
          <w:rFonts w:ascii="Arial" w:hAnsi="Arial" w:eastAsia="Arial" w:cs="Arial"/>
          <w:b w:val="0"/>
          <w:bCs w:val="0"/>
          <w:i w:val="0"/>
          <w:iCs w:val="0"/>
          <w:color w:val="000000" w:themeColor="text1" w:themeTint="FF" w:themeShade="FF"/>
          <w:sz w:val="24"/>
          <w:szCs w:val="24"/>
        </w:rPr>
      </w:pPr>
      <w:r w:rsidRPr="1D471992" w:rsidR="5DEA57C7">
        <w:rPr>
          <w:rFonts w:ascii="Arial" w:hAnsi="Arial" w:eastAsia="Arial" w:cs="Arial"/>
          <w:b w:val="0"/>
          <w:bCs w:val="0"/>
          <w:color w:val="000000" w:themeColor="text1" w:themeTint="FF" w:themeShade="FF"/>
          <w:sz w:val="24"/>
          <w:szCs w:val="24"/>
        </w:rPr>
        <w:t xml:space="preserve">UK Hospitality (2026) </w:t>
      </w:r>
      <w:r w:rsidRPr="1D471992" w:rsidR="5DEA57C7">
        <w:rPr>
          <w:rFonts w:ascii="Arial" w:hAnsi="Arial" w:eastAsia="Arial" w:cs="Arial"/>
          <w:b w:val="0"/>
          <w:bCs w:val="0"/>
          <w:i w:val="1"/>
          <w:iCs w:val="1"/>
          <w:color w:val="000000" w:themeColor="text1" w:themeTint="FF" w:themeShade="FF"/>
          <w:sz w:val="24"/>
          <w:szCs w:val="24"/>
        </w:rPr>
        <w:t xml:space="preserve">Reducing Food Waste. </w:t>
      </w:r>
      <w:r w:rsidRPr="1D471992" w:rsidR="5DEA57C7">
        <w:rPr>
          <w:rFonts w:ascii="Arial" w:hAnsi="Arial" w:eastAsia="Arial" w:cs="Arial"/>
          <w:b w:val="0"/>
          <w:bCs w:val="0"/>
          <w:i w:val="0"/>
          <w:iCs w:val="0"/>
          <w:color w:val="000000" w:themeColor="text1" w:themeTint="FF" w:themeShade="FF"/>
          <w:sz w:val="24"/>
          <w:szCs w:val="24"/>
        </w:rPr>
        <w:t xml:space="preserve">Available at: </w:t>
      </w:r>
      <w:hyperlink r:id="R9fdc5b4d7dfb4355">
        <w:r w:rsidRPr="1D471992" w:rsidR="5DEA57C7">
          <w:rPr>
            <w:rStyle w:val="Hyperlink"/>
            <w:rFonts w:ascii="Arial" w:hAnsi="Arial" w:eastAsia="Arial" w:cs="Arial"/>
            <w:b w:val="0"/>
            <w:bCs w:val="0"/>
            <w:i w:val="0"/>
            <w:iCs w:val="0"/>
            <w:color w:val="000000" w:themeColor="text1" w:themeTint="FF" w:themeShade="FF"/>
            <w:sz w:val="24"/>
            <w:szCs w:val="24"/>
          </w:rPr>
          <w:t>https://www.ukhospitality.org.uk/guidance/reducing-food-waste/</w:t>
        </w:r>
      </w:hyperlink>
      <w:r w:rsidRPr="1D471992" w:rsidR="5DEA57C7">
        <w:rPr>
          <w:rFonts w:ascii="Arial" w:hAnsi="Arial" w:eastAsia="Arial" w:cs="Arial"/>
          <w:b w:val="0"/>
          <w:bCs w:val="0"/>
          <w:i w:val="0"/>
          <w:iCs w:val="0"/>
          <w:color w:val="000000" w:themeColor="text1" w:themeTint="FF" w:themeShade="FF"/>
          <w:sz w:val="24"/>
          <w:szCs w:val="24"/>
        </w:rPr>
        <w:t xml:space="preserve"> (Accessed: </w:t>
      </w:r>
      <w:r w:rsidRPr="1D471992" w:rsidR="070E3AA2">
        <w:rPr>
          <w:rFonts w:ascii="Arial" w:hAnsi="Arial" w:eastAsia="Arial" w:cs="Arial"/>
          <w:b w:val="0"/>
          <w:bCs w:val="0"/>
          <w:i w:val="0"/>
          <w:iCs w:val="0"/>
          <w:color w:val="000000" w:themeColor="text1" w:themeTint="FF" w:themeShade="FF"/>
          <w:sz w:val="24"/>
          <w:szCs w:val="24"/>
        </w:rPr>
        <w:t>6 February 2026).</w:t>
      </w:r>
    </w:p>
    <w:p w:rsidR="5CC44E6C" w:rsidP="1D471992" w:rsidRDefault="5CC44E6C" w14:paraId="1953CC92" w14:textId="5244633A">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Wansink</w:t>
      </w:r>
      <w:r w:rsidRPr="1D471992" w:rsidR="5CC44E6C">
        <w:rPr>
          <w:rFonts w:ascii="Arial" w:hAnsi="Arial" w:eastAsia="Arial" w:cs="Arial"/>
          <w:noProof w:val="0"/>
          <w:color w:val="000000" w:themeColor="text1" w:themeTint="FF" w:themeShade="FF"/>
          <w:sz w:val="24"/>
          <w:szCs w:val="24"/>
          <w:lang w:val="en-GB"/>
        </w:rPr>
        <w:t xml:space="preserve">, B. and van </w:t>
      </w:r>
      <w:r w:rsidRPr="1D471992" w:rsidR="5CC44E6C">
        <w:rPr>
          <w:rFonts w:ascii="Arial" w:hAnsi="Arial" w:eastAsia="Arial" w:cs="Arial"/>
          <w:noProof w:val="0"/>
          <w:color w:val="000000" w:themeColor="text1" w:themeTint="FF" w:themeShade="FF"/>
          <w:sz w:val="24"/>
          <w:szCs w:val="24"/>
          <w:lang w:val="en-GB"/>
        </w:rPr>
        <w:t>Ittersum</w:t>
      </w:r>
      <w:r w:rsidRPr="1D471992" w:rsidR="5CC44E6C">
        <w:rPr>
          <w:rFonts w:ascii="Arial" w:hAnsi="Arial" w:eastAsia="Arial" w:cs="Arial"/>
          <w:noProof w:val="0"/>
          <w:color w:val="000000" w:themeColor="text1" w:themeTint="FF" w:themeShade="FF"/>
          <w:sz w:val="24"/>
          <w:szCs w:val="24"/>
          <w:lang w:val="en-GB"/>
        </w:rPr>
        <w:t xml:space="preserve">, K. (2013) “Portion Size Me: Plate-Size Induced Consumption Norms and Win-Win Solutions for Reducing Food Intake and Waste,” </w:t>
      </w:r>
      <w:r w:rsidRPr="1D471992" w:rsidR="5CC44E6C">
        <w:rPr>
          <w:rFonts w:ascii="Arial" w:hAnsi="Arial" w:eastAsia="Arial" w:cs="Arial"/>
          <w:i w:val="1"/>
          <w:iCs w:val="1"/>
          <w:noProof w:val="0"/>
          <w:color w:val="000000" w:themeColor="text1" w:themeTint="FF" w:themeShade="FF"/>
          <w:sz w:val="24"/>
          <w:szCs w:val="24"/>
          <w:lang w:val="en-GB"/>
        </w:rPr>
        <w:t>Journal of experimental psychology. Applied</w:t>
      </w:r>
      <w:r w:rsidRPr="1D471992" w:rsidR="5CC44E6C">
        <w:rPr>
          <w:rFonts w:ascii="Arial" w:hAnsi="Arial" w:eastAsia="Arial" w:cs="Arial"/>
          <w:noProof w:val="0"/>
          <w:color w:val="000000" w:themeColor="text1" w:themeTint="FF" w:themeShade="FF"/>
          <w:sz w:val="24"/>
          <w:szCs w:val="24"/>
          <w:lang w:val="en-GB"/>
        </w:rPr>
        <w:t xml:space="preserve">, 19(4), pp. 320–332. Available at: </w:t>
      </w:r>
      <w:hyperlink r:id="Rcab9d7f218db4be4">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https://doi.org/10.1037/a0035053</w:t>
        </w:r>
      </w:hyperlink>
      <w:r w:rsidRPr="1D471992" w:rsidR="5CC44E6C">
        <w:rPr>
          <w:rFonts w:ascii="Arial" w:hAnsi="Arial" w:eastAsia="Arial" w:cs="Arial"/>
          <w:noProof w:val="0"/>
          <w:color w:val="000000" w:themeColor="text1" w:themeTint="FF" w:themeShade="FF"/>
          <w:sz w:val="24"/>
          <w:szCs w:val="24"/>
          <w:lang w:val="en-GB"/>
        </w:rPr>
        <w:t>.</w:t>
      </w:r>
    </w:p>
    <w:p w:rsidR="71D32C48" w:rsidP="1D471992" w:rsidRDefault="71D32C48" w14:paraId="58A44EEE" w14:textId="6CE10BBB">
      <w:pPr>
        <w:spacing w:before="0" w:beforeAutospacing="off" w:after="160" w:afterAutospacing="off" w:line="360" w:lineRule="auto"/>
        <w:jc w:val="both"/>
        <w:rPr>
          <w:rFonts w:ascii="Arial" w:hAnsi="Arial" w:eastAsia="Arial" w:cs="Arial"/>
          <w:i w:val="0"/>
          <w:iCs w:val="0"/>
          <w:noProof w:val="0"/>
          <w:color w:val="000000" w:themeColor="text1" w:themeTint="FF" w:themeShade="FF"/>
          <w:sz w:val="24"/>
          <w:szCs w:val="24"/>
          <w:lang w:val="en-GB"/>
        </w:rPr>
      </w:pPr>
      <w:r w:rsidRPr="1D471992" w:rsidR="71D32C48">
        <w:rPr>
          <w:rFonts w:ascii="Arial" w:hAnsi="Arial" w:eastAsia="Arial" w:cs="Arial"/>
          <w:noProof w:val="0"/>
          <w:color w:val="000000" w:themeColor="text1" w:themeTint="FF" w:themeShade="FF"/>
          <w:sz w:val="24"/>
          <w:szCs w:val="24"/>
          <w:lang w:val="en-GB"/>
        </w:rPr>
        <w:t xml:space="preserve">Waste Managed (2025) </w:t>
      </w:r>
      <w:r w:rsidRPr="1D471992" w:rsidR="71D32C48">
        <w:rPr>
          <w:rFonts w:ascii="Arial" w:hAnsi="Arial" w:eastAsia="Arial" w:cs="Arial"/>
          <w:i w:val="1"/>
          <w:iCs w:val="1"/>
          <w:noProof w:val="0"/>
          <w:color w:val="000000" w:themeColor="text1" w:themeTint="FF" w:themeShade="FF"/>
          <w:sz w:val="24"/>
          <w:szCs w:val="24"/>
          <w:lang w:val="en-GB"/>
        </w:rPr>
        <w:t xml:space="preserve">Food Waste – 2025 Facts &amp; Statistics. </w:t>
      </w:r>
      <w:r w:rsidRPr="1D471992" w:rsidR="71D32C48">
        <w:rPr>
          <w:rFonts w:ascii="Arial" w:hAnsi="Arial" w:eastAsia="Arial" w:cs="Arial"/>
          <w:i w:val="0"/>
          <w:iCs w:val="0"/>
          <w:noProof w:val="0"/>
          <w:color w:val="000000" w:themeColor="text1" w:themeTint="FF" w:themeShade="FF"/>
          <w:sz w:val="24"/>
          <w:szCs w:val="24"/>
          <w:lang w:val="en-GB"/>
        </w:rPr>
        <w:t xml:space="preserve">Available at: </w:t>
      </w:r>
      <w:hyperlink r:id="R9f5fc24b1f984fe6">
        <w:r w:rsidRPr="1D471992" w:rsidR="43F80BC3">
          <w:rPr>
            <w:rStyle w:val="Hyperlink"/>
            <w:rFonts w:ascii="Arial" w:hAnsi="Arial" w:eastAsia="Arial" w:cs="Arial"/>
            <w:i w:val="0"/>
            <w:iCs w:val="0"/>
            <w:noProof w:val="0"/>
            <w:color w:val="000000" w:themeColor="text1" w:themeTint="FF" w:themeShade="FF"/>
            <w:sz w:val="24"/>
            <w:szCs w:val="24"/>
            <w:lang w:val="en-GB"/>
          </w:rPr>
          <w:t>https://www.wastemanaged.co.uk/our-news/food-waste/food-waste-facts-statistics/</w:t>
        </w:r>
      </w:hyperlink>
      <w:r w:rsidRPr="1D471992" w:rsidR="43F80BC3">
        <w:rPr>
          <w:rFonts w:ascii="Arial" w:hAnsi="Arial" w:eastAsia="Arial" w:cs="Arial"/>
          <w:i w:val="0"/>
          <w:iCs w:val="0"/>
          <w:noProof w:val="0"/>
          <w:color w:val="000000" w:themeColor="text1" w:themeTint="FF" w:themeShade="FF"/>
          <w:sz w:val="24"/>
          <w:szCs w:val="24"/>
          <w:lang w:val="en-GB"/>
        </w:rPr>
        <w:t xml:space="preserve"> (Accessed: 9 February 2026).</w:t>
      </w:r>
    </w:p>
    <w:p w:rsidR="5CC44E6C" w:rsidP="1D471992" w:rsidRDefault="5CC44E6C" w14:paraId="62262C18" w14:textId="057F883E">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fr"/>
        </w:rPr>
        <w:t>Way</w:t>
      </w:r>
      <w:r w:rsidRPr="1D471992" w:rsidR="5CC44E6C">
        <w:rPr>
          <w:rFonts w:ascii="Arial" w:hAnsi="Arial" w:eastAsia="Arial" w:cs="Arial"/>
          <w:noProof w:val="0"/>
          <w:color w:val="000000" w:themeColor="text1" w:themeTint="FF" w:themeShade="FF"/>
          <w:sz w:val="24"/>
          <w:szCs w:val="24"/>
          <w:lang w:val="fr"/>
        </w:rPr>
        <w:t xml:space="preserve">, K.A. </w:t>
      </w:r>
      <w:r w:rsidRPr="1D471992" w:rsidR="5CC44E6C">
        <w:rPr>
          <w:rFonts w:ascii="Arial" w:hAnsi="Arial" w:eastAsia="Arial" w:cs="Arial"/>
          <w:i w:val="1"/>
          <w:iCs w:val="1"/>
          <w:noProof w:val="0"/>
          <w:color w:val="000000" w:themeColor="text1" w:themeTint="FF" w:themeShade="FF"/>
          <w:sz w:val="24"/>
          <w:szCs w:val="24"/>
          <w:lang w:val="en-GB"/>
        </w:rPr>
        <w:t>et al.</w:t>
      </w:r>
      <w:r w:rsidRPr="1D471992" w:rsidR="5CC44E6C">
        <w:rPr>
          <w:rFonts w:ascii="Arial" w:hAnsi="Arial" w:eastAsia="Arial" w:cs="Arial"/>
          <w:noProof w:val="0"/>
          <w:color w:val="000000" w:themeColor="text1" w:themeTint="FF" w:themeShade="FF"/>
          <w:sz w:val="24"/>
          <w:szCs w:val="24"/>
          <w:lang w:val="en-GB"/>
        </w:rPr>
        <w:t xml:space="preserve"> </w:t>
      </w:r>
      <w:r w:rsidRPr="1D471992" w:rsidR="5CC44E6C">
        <w:rPr>
          <w:rFonts w:ascii="Arial" w:hAnsi="Arial" w:eastAsia="Arial" w:cs="Arial"/>
          <w:noProof w:val="0"/>
          <w:color w:val="000000" w:themeColor="text1" w:themeTint="FF" w:themeShade="FF"/>
          <w:sz w:val="24"/>
          <w:szCs w:val="24"/>
          <w:lang w:val="en-GB"/>
        </w:rPr>
        <w:t xml:space="preserve">(2025) “Addressing Food Waste in Restaurant Training: Practices and Challenges,” </w:t>
      </w:r>
      <w:r w:rsidRPr="1D471992" w:rsidR="5CC44E6C">
        <w:rPr>
          <w:rFonts w:ascii="Arial" w:hAnsi="Arial" w:eastAsia="Arial" w:cs="Arial"/>
          <w:i w:val="1"/>
          <w:iCs w:val="1"/>
          <w:noProof w:val="0"/>
          <w:color w:val="000000" w:themeColor="text1" w:themeTint="FF" w:themeShade="FF"/>
          <w:sz w:val="24"/>
          <w:szCs w:val="24"/>
          <w:lang w:val="en-GB"/>
        </w:rPr>
        <w:t>Tourism and hospitality (Basel)</w:t>
      </w:r>
      <w:r w:rsidRPr="1D471992" w:rsidR="5CC44E6C">
        <w:rPr>
          <w:rFonts w:ascii="Arial" w:hAnsi="Arial" w:eastAsia="Arial" w:cs="Arial"/>
          <w:noProof w:val="0"/>
          <w:color w:val="000000" w:themeColor="text1" w:themeTint="FF" w:themeShade="FF"/>
          <w:sz w:val="24"/>
          <w:szCs w:val="24"/>
          <w:lang w:val="en-GB"/>
        </w:rPr>
        <w:t xml:space="preserve">, 6(3), p. 121. Available at: </w:t>
      </w:r>
      <w:hyperlink r:id="R4ade0f6de08c432d">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https://doi.org/10.3390/tourhosp6030121</w:t>
        </w:r>
      </w:hyperlink>
      <w:r w:rsidRPr="1D471992" w:rsidR="5CC44E6C">
        <w:rPr>
          <w:rFonts w:ascii="Arial" w:hAnsi="Arial" w:eastAsia="Arial" w:cs="Arial"/>
          <w:noProof w:val="0"/>
          <w:color w:val="000000" w:themeColor="text1" w:themeTint="FF" w:themeShade="FF"/>
          <w:sz w:val="24"/>
          <w:szCs w:val="24"/>
          <w:lang w:val="en-GB"/>
        </w:rPr>
        <w:t>.</w:t>
      </w:r>
    </w:p>
    <w:p w:rsidR="6FD27A2E" w:rsidP="1D471992" w:rsidRDefault="6FD27A2E" w14:paraId="5A262952" w14:textId="61B79C60">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6FD27A2E">
        <w:rPr>
          <w:rFonts w:ascii="Arial" w:hAnsi="Arial" w:eastAsia="Arial" w:cs="Arial"/>
          <w:noProof w:val="0"/>
          <w:color w:val="000000" w:themeColor="text1" w:themeTint="FF" w:themeShade="FF"/>
          <w:sz w:val="24"/>
          <w:szCs w:val="24"/>
          <w:lang w:val="en-GB"/>
        </w:rPr>
        <w:t>World Sustainable Hospitality Alliance (2025)</w:t>
      </w:r>
      <w:r w:rsidRPr="1D471992" w:rsidR="7566C3BE">
        <w:rPr>
          <w:rFonts w:ascii="Arial" w:hAnsi="Arial" w:eastAsia="Arial" w:cs="Arial"/>
          <w:noProof w:val="0"/>
          <w:color w:val="000000" w:themeColor="text1" w:themeTint="FF" w:themeShade="FF"/>
          <w:sz w:val="24"/>
          <w:szCs w:val="24"/>
          <w:lang w:val="en-GB"/>
        </w:rPr>
        <w:t xml:space="preserve"> </w:t>
      </w:r>
      <w:r w:rsidRPr="1D471992" w:rsidR="6FD27A2E">
        <w:rPr>
          <w:rFonts w:ascii="Arial" w:hAnsi="Arial" w:eastAsia="Arial" w:cs="Arial"/>
          <w:i w:val="1"/>
          <w:iCs w:val="1"/>
          <w:noProof w:val="0"/>
          <w:color w:val="000000" w:themeColor="text1" w:themeTint="FF" w:themeShade="FF"/>
          <w:sz w:val="24"/>
          <w:szCs w:val="24"/>
          <w:lang w:val="en-GB"/>
        </w:rPr>
        <w:t>Guide to Net Positive Hospitality Pathway</w:t>
      </w:r>
      <w:r w:rsidRPr="1D471992" w:rsidR="60ED8122">
        <w:rPr>
          <w:rFonts w:ascii="Arial" w:hAnsi="Arial" w:eastAsia="Arial" w:cs="Arial"/>
          <w:i w:val="1"/>
          <w:iCs w:val="1"/>
          <w:noProof w:val="0"/>
          <w:color w:val="000000" w:themeColor="text1" w:themeTint="FF" w:themeShade="FF"/>
          <w:sz w:val="24"/>
          <w:szCs w:val="24"/>
          <w:lang w:val="en-GB"/>
        </w:rPr>
        <w:t xml:space="preserve">. </w:t>
      </w:r>
      <w:r w:rsidRPr="1D471992" w:rsidR="60ED8122">
        <w:rPr>
          <w:rFonts w:ascii="Arial" w:hAnsi="Arial" w:eastAsia="Arial" w:cs="Arial"/>
          <w:i w:val="0"/>
          <w:iCs w:val="0"/>
          <w:noProof w:val="0"/>
          <w:color w:val="000000" w:themeColor="text1" w:themeTint="FF" w:themeShade="FF"/>
          <w:sz w:val="24"/>
          <w:szCs w:val="24"/>
          <w:lang w:val="en-GB"/>
        </w:rPr>
        <w:t xml:space="preserve">Available at: </w:t>
      </w:r>
      <w:hyperlink r:id="R3c855898ba0f4750">
        <w:r w:rsidRPr="1D471992" w:rsidR="60ED8122">
          <w:rPr>
            <w:rStyle w:val="Hyperlink"/>
            <w:rFonts w:ascii="Arial" w:hAnsi="Arial" w:eastAsia="Arial" w:cs="Arial"/>
            <w:noProof w:val="0"/>
            <w:color w:val="000000" w:themeColor="text1" w:themeTint="FF" w:themeShade="FF"/>
            <w:sz w:val="24"/>
            <w:szCs w:val="24"/>
            <w:lang w:val="en-GB"/>
          </w:rPr>
          <w:t>Guide-to-Net-Positive-Hospitality-Pathway-Report-2025.pdf</w:t>
        </w:r>
      </w:hyperlink>
      <w:r w:rsidRPr="1D471992" w:rsidR="60ED8122">
        <w:rPr>
          <w:rFonts w:ascii="Arial" w:hAnsi="Arial" w:eastAsia="Arial" w:cs="Arial"/>
          <w:noProof w:val="0"/>
          <w:color w:val="000000" w:themeColor="text1" w:themeTint="FF" w:themeShade="FF"/>
          <w:sz w:val="24"/>
          <w:szCs w:val="24"/>
          <w:lang w:val="en-GB"/>
        </w:rPr>
        <w:t xml:space="preserve"> (Accessed 4 February 2026).</w:t>
      </w:r>
    </w:p>
    <w:p w:rsidR="5CC44E6C" w:rsidP="1D471992" w:rsidRDefault="5CC44E6C" w14:paraId="64C22DE0" w14:textId="08088C87">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1D471992" w:rsidR="5CC44E6C">
        <w:rPr>
          <w:rFonts w:ascii="Arial" w:hAnsi="Arial" w:eastAsia="Arial" w:cs="Arial"/>
          <w:noProof w:val="0"/>
          <w:color w:val="000000" w:themeColor="text1" w:themeTint="FF" w:themeShade="FF"/>
          <w:sz w:val="24"/>
          <w:szCs w:val="24"/>
          <w:lang w:val="en-GB"/>
        </w:rPr>
        <w:t xml:space="preserve">Wu, H.H. </w:t>
      </w:r>
      <w:r w:rsidRPr="1D471992" w:rsidR="5CC44E6C">
        <w:rPr>
          <w:rFonts w:ascii="Arial" w:hAnsi="Arial" w:eastAsia="Arial" w:cs="Arial"/>
          <w:i w:val="1"/>
          <w:iCs w:val="1"/>
          <w:noProof w:val="0"/>
          <w:color w:val="000000" w:themeColor="text1" w:themeTint="FF" w:themeShade="FF"/>
          <w:sz w:val="24"/>
          <w:szCs w:val="24"/>
          <w:lang w:val="en-GB"/>
        </w:rPr>
        <w:t>et al.</w:t>
      </w:r>
      <w:r w:rsidRPr="1D471992" w:rsidR="5CC44E6C">
        <w:rPr>
          <w:rFonts w:ascii="Arial" w:hAnsi="Arial" w:eastAsia="Arial" w:cs="Arial"/>
          <w:noProof w:val="0"/>
          <w:color w:val="000000" w:themeColor="text1" w:themeTint="FF" w:themeShade="FF"/>
          <w:sz w:val="24"/>
          <w:szCs w:val="24"/>
          <w:lang w:val="en-GB"/>
        </w:rPr>
        <w:t xml:space="preserve"> (2023) </w:t>
      </w:r>
      <w:r w:rsidRPr="1D471992" w:rsidR="5CC44E6C">
        <w:rPr>
          <w:rFonts w:ascii="Arial" w:hAnsi="Arial" w:eastAsia="Arial" w:cs="Arial"/>
          <w:i w:val="1"/>
          <w:iCs w:val="1"/>
          <w:noProof w:val="0"/>
          <w:color w:val="000000" w:themeColor="text1" w:themeTint="FF" w:themeShade="FF"/>
          <w:sz w:val="24"/>
          <w:szCs w:val="24"/>
          <w:lang w:val="en-GB"/>
        </w:rPr>
        <w:t xml:space="preserve">Moving Toward Net-Zero Carbon </w:t>
      </w:r>
      <w:r w:rsidRPr="1D471992" w:rsidR="28215420">
        <w:rPr>
          <w:rFonts w:ascii="Arial" w:hAnsi="Arial" w:eastAsia="Arial" w:cs="Arial"/>
          <w:i w:val="1"/>
          <w:iCs w:val="1"/>
          <w:noProof w:val="0"/>
          <w:color w:val="000000" w:themeColor="text1" w:themeTint="FF" w:themeShade="FF"/>
          <w:sz w:val="24"/>
          <w:szCs w:val="24"/>
          <w:lang w:val="en-GB"/>
        </w:rPr>
        <w:t>Society:</w:t>
      </w:r>
      <w:r w:rsidRPr="1D471992" w:rsidR="5CC44E6C">
        <w:rPr>
          <w:rFonts w:ascii="Arial" w:hAnsi="Arial" w:eastAsia="Arial" w:cs="Arial"/>
          <w:i w:val="1"/>
          <w:iCs w:val="1"/>
          <w:noProof w:val="0"/>
          <w:color w:val="000000" w:themeColor="text1" w:themeTint="FF" w:themeShade="FF"/>
          <w:sz w:val="24"/>
          <w:szCs w:val="24"/>
          <w:lang w:val="en-GB"/>
        </w:rPr>
        <w:t xml:space="preserve"> Challenges and Opportunities</w:t>
      </w:r>
      <w:r w:rsidRPr="1D471992" w:rsidR="5CC44E6C">
        <w:rPr>
          <w:rFonts w:ascii="Arial" w:hAnsi="Arial" w:eastAsia="Arial" w:cs="Arial"/>
          <w:noProof w:val="0"/>
          <w:color w:val="000000" w:themeColor="text1" w:themeTint="FF" w:themeShade="FF"/>
          <w:sz w:val="24"/>
          <w:szCs w:val="24"/>
          <w:lang w:val="en-GB"/>
        </w:rPr>
        <w:t xml:space="preserve">. 1st ed. 2023. Cham: Springer International Publishing. Available at: </w:t>
      </w:r>
      <w:hyperlink r:id="Ra1646bde3d2444a6">
        <w:r w:rsidRPr="1D471992" w:rsidR="5CC44E6C">
          <w:rPr>
            <w:rStyle w:val="Hyperlink"/>
            <w:rFonts w:ascii="Arial" w:hAnsi="Arial" w:eastAsia="Arial" w:cs="Arial"/>
            <w:strike w:val="0"/>
            <w:dstrike w:val="0"/>
            <w:noProof w:val="0"/>
            <w:color w:val="000000" w:themeColor="text1" w:themeTint="FF" w:themeShade="FF"/>
            <w:sz w:val="24"/>
            <w:szCs w:val="24"/>
            <w:u w:val="single"/>
            <w:lang w:val="en-GB"/>
          </w:rPr>
          <w:t>https://doi.org/10.1007/978-3-031-24545-9</w:t>
        </w:r>
      </w:hyperlink>
      <w:r w:rsidRPr="1D471992" w:rsidR="5CC44E6C">
        <w:rPr>
          <w:rFonts w:ascii="Arial" w:hAnsi="Arial" w:eastAsia="Arial" w:cs="Arial"/>
          <w:noProof w:val="0"/>
          <w:color w:val="000000" w:themeColor="text1" w:themeTint="FF" w:themeShade="FF"/>
          <w:sz w:val="24"/>
          <w:szCs w:val="24"/>
          <w:lang w:val="en-GB"/>
        </w:rPr>
        <w:t>.</w:t>
      </w:r>
    </w:p>
    <w:p w:rsidR="1D471992" w:rsidP="1D471992" w:rsidRDefault="1D471992" w14:paraId="7CE3CDBE" w14:textId="0E3CFE15">
      <w:pPr>
        <w:spacing w:line="360" w:lineRule="auto"/>
        <w:jc w:val="both"/>
        <w:rPr>
          <w:rFonts w:ascii="Arial" w:hAnsi="Arial" w:eastAsia="Arial" w:cs="Arial"/>
          <w:b w:val="1"/>
          <w:bCs w:val="1"/>
          <w:color w:val="000000" w:themeColor="text1" w:themeTint="FF" w:themeShade="FF"/>
          <w:sz w:val="24"/>
          <w:szCs w:val="24"/>
        </w:rPr>
      </w:pPr>
    </w:p>
    <w:p w:rsidR="1D471992" w:rsidP="1D471992" w:rsidRDefault="1D471992" w14:paraId="4E95B1F1" w14:textId="04BDE3FF">
      <w:pPr>
        <w:spacing w:line="360" w:lineRule="auto"/>
        <w:jc w:val="both"/>
        <w:rPr>
          <w:rFonts w:ascii="Arial" w:hAnsi="Arial" w:eastAsia="Arial" w:cs="Arial"/>
          <w:b w:val="1"/>
          <w:bCs w:val="1"/>
        </w:rPr>
      </w:pPr>
    </w:p>
    <w:p w:rsidR="1D471992" w:rsidP="1D471992" w:rsidRDefault="1D471992" w14:paraId="69C92272" w14:textId="5F11F43D">
      <w:pPr>
        <w:spacing w:line="360" w:lineRule="auto"/>
        <w:jc w:val="both"/>
        <w:rPr>
          <w:rFonts w:ascii="Arial" w:hAnsi="Arial" w:eastAsia="Arial" w:cs="Arial"/>
          <w:b w:val="1"/>
          <w:bCs w:val="1"/>
        </w:rPr>
      </w:pPr>
    </w:p>
    <w:p w:rsidR="1D471992" w:rsidP="1D471992" w:rsidRDefault="1D471992" w14:paraId="74AC4141" w14:textId="1DF44FE1">
      <w:pPr>
        <w:spacing w:line="360" w:lineRule="auto"/>
        <w:jc w:val="both"/>
        <w:rPr>
          <w:rFonts w:ascii="Arial" w:hAnsi="Arial" w:eastAsia="Arial" w:cs="Arial"/>
          <w:b w:val="1"/>
          <w:bCs w:val="1"/>
        </w:rPr>
      </w:pPr>
    </w:p>
    <w:p w:rsidR="1D471992" w:rsidP="1D471992" w:rsidRDefault="1D471992" w14:paraId="224029F3" w14:textId="5BA9F317">
      <w:pPr>
        <w:spacing w:line="360" w:lineRule="auto"/>
        <w:jc w:val="both"/>
        <w:rPr>
          <w:rFonts w:ascii="Arial" w:hAnsi="Arial" w:eastAsia="Arial" w:cs="Arial"/>
          <w:b w:val="1"/>
          <w:bCs w:val="1"/>
        </w:rPr>
      </w:pPr>
    </w:p>
    <w:p w:rsidR="1D471992" w:rsidP="1D471992" w:rsidRDefault="1D471992" w14:paraId="4BBCBA65" w14:textId="0E77A14B">
      <w:pPr>
        <w:spacing w:line="360" w:lineRule="auto"/>
        <w:jc w:val="both"/>
        <w:rPr>
          <w:rFonts w:ascii="Arial" w:hAnsi="Arial" w:eastAsia="Arial" w:cs="Arial"/>
          <w:b w:val="1"/>
          <w:bCs w:val="1"/>
        </w:rPr>
      </w:pPr>
    </w:p>
    <w:p w:rsidR="1D471992" w:rsidP="1D471992" w:rsidRDefault="1D471992" w14:paraId="41CF3030" w14:textId="1B56E6C9">
      <w:pPr>
        <w:spacing w:line="360" w:lineRule="auto"/>
        <w:jc w:val="both"/>
        <w:rPr>
          <w:rFonts w:ascii="Arial" w:hAnsi="Arial" w:eastAsia="Arial" w:cs="Arial"/>
          <w:b w:val="1"/>
          <w:bCs w:val="1"/>
        </w:rPr>
      </w:pPr>
    </w:p>
    <w:p w:rsidR="1D471992" w:rsidP="1D471992" w:rsidRDefault="1D471992" w14:paraId="2AA01095" w14:textId="6562D2E0">
      <w:pPr>
        <w:spacing w:line="360" w:lineRule="auto"/>
        <w:jc w:val="both"/>
        <w:rPr>
          <w:rFonts w:ascii="Arial" w:hAnsi="Arial" w:eastAsia="Arial" w:cs="Arial"/>
          <w:b w:val="1"/>
          <w:bCs w:val="1"/>
        </w:rPr>
      </w:pPr>
    </w:p>
    <w:p w:rsidR="1D471992" w:rsidP="1D471992" w:rsidRDefault="1D471992" w14:paraId="2F3AC929" w14:textId="3994D3B7">
      <w:pPr>
        <w:spacing w:line="360" w:lineRule="auto"/>
        <w:jc w:val="both"/>
        <w:rPr>
          <w:rFonts w:ascii="Arial" w:hAnsi="Arial" w:eastAsia="Arial" w:cs="Arial"/>
          <w:b w:val="1"/>
          <w:bCs w:val="1"/>
        </w:rPr>
      </w:pPr>
    </w:p>
    <w:p w:rsidR="1D471992" w:rsidP="1D471992" w:rsidRDefault="1D471992" w14:paraId="27D8A1AF" w14:textId="2D567A64">
      <w:pPr>
        <w:spacing w:line="360" w:lineRule="auto"/>
        <w:jc w:val="both"/>
        <w:rPr>
          <w:rFonts w:ascii="Arial" w:hAnsi="Arial" w:eastAsia="Arial" w:cs="Arial"/>
          <w:b w:val="1"/>
          <w:bCs w:val="1"/>
        </w:rPr>
      </w:pPr>
    </w:p>
    <w:p w:rsidR="1D471992" w:rsidP="1D471992" w:rsidRDefault="1D471992" w14:paraId="7220E1A5" w14:textId="6AC01960">
      <w:pPr>
        <w:spacing w:line="360" w:lineRule="auto"/>
        <w:jc w:val="both"/>
        <w:rPr>
          <w:rFonts w:ascii="Arial" w:hAnsi="Arial" w:eastAsia="Arial" w:cs="Arial"/>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5dcd6f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9d72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CAB0A2"/>
    <w:rsid w:val="0045F303"/>
    <w:rsid w:val="0158347E"/>
    <w:rsid w:val="018937C2"/>
    <w:rsid w:val="02402DFE"/>
    <w:rsid w:val="02D2E428"/>
    <w:rsid w:val="068E6044"/>
    <w:rsid w:val="070E3AA2"/>
    <w:rsid w:val="08528BC1"/>
    <w:rsid w:val="0B1C1FCD"/>
    <w:rsid w:val="0B8BBF70"/>
    <w:rsid w:val="0BB05CE0"/>
    <w:rsid w:val="0C0C527E"/>
    <w:rsid w:val="0EE89AFD"/>
    <w:rsid w:val="0F46B68C"/>
    <w:rsid w:val="0F664C97"/>
    <w:rsid w:val="0FF256C9"/>
    <w:rsid w:val="106D981B"/>
    <w:rsid w:val="10B65045"/>
    <w:rsid w:val="1101D561"/>
    <w:rsid w:val="12B6DDE3"/>
    <w:rsid w:val="1426372F"/>
    <w:rsid w:val="15C20ADD"/>
    <w:rsid w:val="17E0AA7D"/>
    <w:rsid w:val="1835A733"/>
    <w:rsid w:val="19735D3E"/>
    <w:rsid w:val="1B3F7FD3"/>
    <w:rsid w:val="1B57D07E"/>
    <w:rsid w:val="1CEF55F9"/>
    <w:rsid w:val="1D471992"/>
    <w:rsid w:val="1D68CFE4"/>
    <w:rsid w:val="1DEF9A15"/>
    <w:rsid w:val="1E6AC1C6"/>
    <w:rsid w:val="1EC883AE"/>
    <w:rsid w:val="1FEE58B1"/>
    <w:rsid w:val="2087D326"/>
    <w:rsid w:val="20AB4B9E"/>
    <w:rsid w:val="21D8B00C"/>
    <w:rsid w:val="239BD12C"/>
    <w:rsid w:val="2430B7FB"/>
    <w:rsid w:val="24DAEF5B"/>
    <w:rsid w:val="258E268F"/>
    <w:rsid w:val="25DBEE62"/>
    <w:rsid w:val="25EC063B"/>
    <w:rsid w:val="27535D66"/>
    <w:rsid w:val="28215420"/>
    <w:rsid w:val="283DD7A2"/>
    <w:rsid w:val="28CCC55F"/>
    <w:rsid w:val="28F3B246"/>
    <w:rsid w:val="2A9F9E9B"/>
    <w:rsid w:val="2B6BD8A4"/>
    <w:rsid w:val="2B98F19B"/>
    <w:rsid w:val="2BF95A01"/>
    <w:rsid w:val="2D313D6F"/>
    <w:rsid w:val="2DE793FE"/>
    <w:rsid w:val="2EC0F16E"/>
    <w:rsid w:val="2F127636"/>
    <w:rsid w:val="2F5E1C45"/>
    <w:rsid w:val="33295D9D"/>
    <w:rsid w:val="335F6D3F"/>
    <w:rsid w:val="33D04CFE"/>
    <w:rsid w:val="345F0E50"/>
    <w:rsid w:val="3823DEA7"/>
    <w:rsid w:val="39D5A897"/>
    <w:rsid w:val="3B441BAD"/>
    <w:rsid w:val="3B98DA0B"/>
    <w:rsid w:val="3BB0CDDD"/>
    <w:rsid w:val="3E826B13"/>
    <w:rsid w:val="3EAAC6EA"/>
    <w:rsid w:val="3EE4C422"/>
    <w:rsid w:val="3FA88934"/>
    <w:rsid w:val="3FD6A102"/>
    <w:rsid w:val="40AC922F"/>
    <w:rsid w:val="41A8BEAC"/>
    <w:rsid w:val="436DEE58"/>
    <w:rsid w:val="4380D710"/>
    <w:rsid w:val="43F80BC3"/>
    <w:rsid w:val="4412E42E"/>
    <w:rsid w:val="470415E7"/>
    <w:rsid w:val="474F9624"/>
    <w:rsid w:val="48828A4E"/>
    <w:rsid w:val="493D9FF6"/>
    <w:rsid w:val="49E3B855"/>
    <w:rsid w:val="4BA90576"/>
    <w:rsid w:val="4CBAD55A"/>
    <w:rsid w:val="4DD338E0"/>
    <w:rsid w:val="4EFDC8AD"/>
    <w:rsid w:val="4F0F5CEB"/>
    <w:rsid w:val="4F33DEAC"/>
    <w:rsid w:val="4F351E7C"/>
    <w:rsid w:val="513B646E"/>
    <w:rsid w:val="52749601"/>
    <w:rsid w:val="54089751"/>
    <w:rsid w:val="5496F90E"/>
    <w:rsid w:val="552350B4"/>
    <w:rsid w:val="55C3B580"/>
    <w:rsid w:val="56231C22"/>
    <w:rsid w:val="565F8B8A"/>
    <w:rsid w:val="567B8CE2"/>
    <w:rsid w:val="573C9F17"/>
    <w:rsid w:val="57C84F91"/>
    <w:rsid w:val="57D881B4"/>
    <w:rsid w:val="5A1B90E0"/>
    <w:rsid w:val="5A85EE0D"/>
    <w:rsid w:val="5ABAC61C"/>
    <w:rsid w:val="5AD5FB2A"/>
    <w:rsid w:val="5B4C87CA"/>
    <w:rsid w:val="5C3F520C"/>
    <w:rsid w:val="5CC44E6C"/>
    <w:rsid w:val="5DEA57C7"/>
    <w:rsid w:val="5DF047C0"/>
    <w:rsid w:val="5DFB24E5"/>
    <w:rsid w:val="5FA3A81C"/>
    <w:rsid w:val="60ED8122"/>
    <w:rsid w:val="632C1602"/>
    <w:rsid w:val="638B8B12"/>
    <w:rsid w:val="63DCD033"/>
    <w:rsid w:val="63E5DF95"/>
    <w:rsid w:val="63E62534"/>
    <w:rsid w:val="64A2E4D7"/>
    <w:rsid w:val="6590F059"/>
    <w:rsid w:val="65E5C234"/>
    <w:rsid w:val="65EEECF4"/>
    <w:rsid w:val="6736DFC0"/>
    <w:rsid w:val="67FD09A6"/>
    <w:rsid w:val="68A0380D"/>
    <w:rsid w:val="68AC55E4"/>
    <w:rsid w:val="69FF4F2B"/>
    <w:rsid w:val="6ACAB0A2"/>
    <w:rsid w:val="6B098E73"/>
    <w:rsid w:val="6B40E41F"/>
    <w:rsid w:val="6C7C563C"/>
    <w:rsid w:val="6D3CD117"/>
    <w:rsid w:val="6DDB640F"/>
    <w:rsid w:val="6FA7EE42"/>
    <w:rsid w:val="6FD27A2E"/>
    <w:rsid w:val="702857F1"/>
    <w:rsid w:val="71D32C48"/>
    <w:rsid w:val="722FB46F"/>
    <w:rsid w:val="7396880C"/>
    <w:rsid w:val="7449F02E"/>
    <w:rsid w:val="7566C3BE"/>
    <w:rsid w:val="75907254"/>
    <w:rsid w:val="76BD6E1E"/>
    <w:rsid w:val="76BF5558"/>
    <w:rsid w:val="76DB23EE"/>
    <w:rsid w:val="770BF18A"/>
    <w:rsid w:val="7717376F"/>
    <w:rsid w:val="78551B4D"/>
    <w:rsid w:val="7AEE168C"/>
    <w:rsid w:val="7B149A6E"/>
    <w:rsid w:val="7D029B45"/>
    <w:rsid w:val="7E26FE63"/>
    <w:rsid w:val="7F5C9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8035B"/>
  <w15:chartTrackingRefBased/>
  <w15:docId w15:val="{EF81AF64-DA77-4905-AE1D-09801FF070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D471992"/>
    <w:pPr>
      <w:spacing/>
      <w:ind w:left="720"/>
      <w:contextualSpacing/>
    </w:pPr>
  </w:style>
  <w:style w:type="character" w:styleId="Hyperlink">
    <w:uiPriority w:val="99"/>
    <w:name w:val="Hyperlink"/>
    <w:basedOn w:val="DefaultParagraphFont"/>
    <w:unhideWhenUsed/>
    <w:rsid w:val="1D47199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390/su17125356" TargetMode="External" Id="R9adf7df89e054f51" /><Relationship Type="http://schemas.openxmlformats.org/officeDocument/2006/relationships/hyperlink" Target="https://doi.org/10.1108/IJCHM-11-2014-0564" TargetMode="External" Id="R3b46f05f8efc4eeb" /><Relationship Type="http://schemas.openxmlformats.org/officeDocument/2006/relationships/hyperlink" Target="https://www.arup.com/globalassets/downloads/insights/transforming-existing-hotels-to-net-zero-carbon.pdf" TargetMode="External" Id="R9c5307276d6c494f" /><Relationship Type="http://schemas.openxmlformats.org/officeDocument/2006/relationships/hyperlink" Target="http://dx.doi.org/10.5772/intechopen.111094" TargetMode="External" Id="Ree8d5be2083e4b3d" /><Relationship Type="http://schemas.openxmlformats.org/officeDocument/2006/relationships/hyperlink" Target="https://doi-org.uwtsd.idm.oclc.org/10.1093/oxfordhb/9780199372263.001.0001" TargetMode="External" Id="R6d30116009dd4d6d" /><Relationship Type="http://schemas.openxmlformats.org/officeDocument/2006/relationships/hyperlink" Target="https://doi.org/10.1007/s10532-023-10034-5" TargetMode="External" Id="R0ad09bab27b94032" /><Relationship Type="http://schemas.openxmlformats.org/officeDocument/2006/relationships/hyperlink" Target="https://doi.org/10.3390/su17051996" TargetMode="External" Id="Re3e9981598ca4f28" /><Relationship Type="http://schemas.openxmlformats.org/officeDocument/2006/relationships/hyperlink" Target="https://www.hilton.com/en/hotels/emahnhn-hilton-east-midlands-airport/" TargetMode="External" Id="Rd1b566460f9c4ab4" /><Relationship Type="http://schemas.openxmlformats.org/officeDocument/2006/relationships/hyperlink" Target="https://www.itchotels.com/in/en/itcgrandchola-chennai" TargetMode="External" Id="Rffbeec9afa8449ce" /><Relationship Type="http://schemas.openxmlformats.org/officeDocument/2006/relationships/hyperlink" Target="https://doi.org/10.30486/ijrowa.2022.1960507.1481" TargetMode="External" Id="R40c7cd779f004dde" /><Relationship Type="http://schemas.openxmlformats.org/officeDocument/2006/relationships/hyperlink" Target="https://lamingtongroup.com/media/kzfmqgoe/lg-conscious-consumer-whitepaper-august-2025.pdf" TargetMode="External" Id="Rf6557e2a09c749c2" /><Relationship Type="http://schemas.openxmlformats.org/officeDocument/2006/relationships/hyperlink" Target="https://lamingtongroup.com/media/kzfmqgoe/lg-conscious-consumer-whitepaper-august-2025.pdf" TargetMode="External" Id="R9a727e5106d64ca2" /><Relationship Type="http://schemas.openxmlformats.org/officeDocument/2006/relationships/hyperlink" Target="https://doi.org/10.1016/j.procs.2013.05.048" TargetMode="External" Id="R34885a29135e4317" /><Relationship Type="http://schemas.openxmlformats.org/officeDocument/2006/relationships/hyperlink" Target="https://doi.org/10.20867/thm.31.1.3" TargetMode="External" Id="Re8b1a8a0176545f2" /><Relationship Type="http://schemas.openxmlformats.org/officeDocument/2006/relationships/hyperlink" Target="https://doi.org/10.61093/sec.8(4).112-120.2024" TargetMode="External" Id="R141b85a877cd4ce4" /><Relationship Type="http://schemas.openxmlformats.org/officeDocument/2006/relationships/hyperlink" Target="https://doi.org/10.1007/s10661-024-13314-6" TargetMode="External" Id="Rd47bc550a2d54c63" /><Relationship Type="http://schemas.openxmlformats.org/officeDocument/2006/relationships/hyperlink" Target="https://doi.org/10.1080/09669582.2024.2367513" TargetMode="External" Id="Rcd3b93da8c0c4a39" /><Relationship Type="http://schemas.openxmlformats.org/officeDocument/2006/relationships/hyperlink" Target="https://doi.org/10.4324/9780429331930" TargetMode="External" Id="Rcf3b46bd83d34fc6" /><Relationship Type="http://schemas.openxmlformats.org/officeDocument/2006/relationships/hyperlink" Target="https://doi.org/10.1016/j.geoforum.2018.01.002" TargetMode="External" Id="Rc9be93dd03094f2f" /><Relationship Type="http://schemas.openxmlformats.org/officeDocument/2006/relationships/hyperlink" Target="https://thelovat.com/?gad_source=1&amp;gad_campaignid=17325956841&amp;gbraid=0AAAAAD6K-UWfzn6lj9vqPdsVwWiM17SlE&amp;gclid=CjwKCAiAkbbMBhB2EiwANbxtbYPKEH864MVTOPKyA8XlSw6TReW_jA5HPmUxgadfaIH0e_7KMjBFbBoCRxQQAvD_BwE" TargetMode="External" Id="Re9ce70e05d13438e" /><Relationship Type="http://schemas.openxmlformats.org/officeDocument/2006/relationships/hyperlink" Target="https://www.thepighotel.com/" TargetMode="External" Id="R7f520e219e6b4b7d" /><Relationship Type="http://schemas.openxmlformats.org/officeDocument/2006/relationships/hyperlink" Target="https://doi.org/10.1080/23311975.2025.2462272" TargetMode="External" Id="R3352fc9a587a4744" /><Relationship Type="http://schemas.openxmlformats.org/officeDocument/2006/relationships/hyperlink" Target="https://www.ukhospitality.org.uk/guidance/reducing-food-waste/" TargetMode="External" Id="R9fdc5b4d7dfb4355" /><Relationship Type="http://schemas.openxmlformats.org/officeDocument/2006/relationships/hyperlink" Target="https://doi.org/10.1037/a0035053" TargetMode="External" Id="Rcab9d7f218db4be4" /><Relationship Type="http://schemas.openxmlformats.org/officeDocument/2006/relationships/hyperlink" Target="https://www.wastemanaged.co.uk/our-news/food-waste/food-waste-facts-statistics/" TargetMode="External" Id="R9f5fc24b1f984fe6" /><Relationship Type="http://schemas.openxmlformats.org/officeDocument/2006/relationships/hyperlink" Target="https://doi.org/10.3390/tourhosp6030121" TargetMode="External" Id="R4ade0f6de08c432d" /><Relationship Type="http://schemas.openxmlformats.org/officeDocument/2006/relationships/hyperlink" Target="https://sustainablehospitalityalliance.org/wp-content/uploads/2023/11/Guide-to-Net-Positive-Hospitality-Pathway-Report-2025.pdf" TargetMode="External" Id="R3c855898ba0f4750" /><Relationship Type="http://schemas.openxmlformats.org/officeDocument/2006/relationships/hyperlink" Target="https://doi.org/10.1007/978-3-031-24545-9" TargetMode="External" Id="Ra1646bde3d2444a6" /><Relationship Type="http://schemas.openxmlformats.org/officeDocument/2006/relationships/numbering" Target="/word/numbering.xml" Id="R68dbb802dbb645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 Bogdan Jeler (2223715)</dc:creator>
  <keywords/>
  <dc:description/>
  <lastModifiedBy>Alin Bogdan Jeler (2223715)</lastModifiedBy>
  <revision>2</revision>
  <dcterms:created xsi:type="dcterms:W3CDTF">2026-02-12T21:56:46.9934156Z</dcterms:created>
  <dcterms:modified xsi:type="dcterms:W3CDTF">2026-02-12T23:05:00.9557358Z</dcterms:modified>
</coreProperties>
</file>