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 xml:space="preserve">Diane </w:t>
      </w:r>
      <w:proofErr w:type="spellStart"/>
      <w:r w:rsidRPr="00BF16D9">
        <w:rPr>
          <w:rFonts w:ascii="Arial" w:hAnsi="Arial" w:cs="Arial"/>
          <w:sz w:val="22"/>
          <w:szCs w:val="22"/>
        </w:rPr>
        <w:t>Beldi</w:t>
      </w:r>
      <w:proofErr w:type="spellEnd"/>
      <w:r w:rsidRPr="00BF16D9">
        <w:rPr>
          <w:rFonts w:ascii="Arial" w:hAnsi="Arial" w:cs="Arial"/>
          <w:sz w:val="22"/>
          <w:szCs w:val="22"/>
        </w:rPr>
        <w:t>  </w:t>
      </w: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SID 2441314 </w:t>
      </w:r>
      <w:r w:rsidRPr="00BF16D9">
        <w:rPr>
          <w:rFonts w:ascii="Arial" w:hAnsi="Arial" w:cs="Arial"/>
          <w:sz w:val="22"/>
          <w:szCs w:val="22"/>
        </w:rPr>
        <w:br/>
        <w:t> </w:t>
      </w:r>
      <w:r w:rsidRPr="00BF16D9">
        <w:rPr>
          <w:rFonts w:ascii="Arial" w:hAnsi="Arial" w:cs="Arial"/>
          <w:sz w:val="22"/>
          <w:szCs w:val="22"/>
        </w:rPr>
        <w:br/>
      </w:r>
      <w:proofErr w:type="spellStart"/>
      <w:r w:rsidRPr="00BF16D9">
        <w:rPr>
          <w:rFonts w:ascii="Arial" w:hAnsi="Arial" w:cs="Arial"/>
          <w:sz w:val="22"/>
          <w:szCs w:val="22"/>
        </w:rPr>
        <w:t>Muntaz</w:t>
      </w:r>
      <w:proofErr w:type="spellEnd"/>
      <w:r w:rsidRPr="00BF16D9">
        <w:rPr>
          <w:rFonts w:ascii="Arial" w:hAnsi="Arial" w:cs="Arial"/>
          <w:sz w:val="22"/>
          <w:szCs w:val="22"/>
        </w:rPr>
        <w:t xml:space="preserve"> </w:t>
      </w:r>
      <w:proofErr w:type="spellStart"/>
      <w:r w:rsidRPr="00BF16D9">
        <w:rPr>
          <w:rFonts w:ascii="Arial" w:hAnsi="Arial" w:cs="Arial"/>
          <w:sz w:val="22"/>
          <w:szCs w:val="22"/>
        </w:rPr>
        <w:t>Goolam</w:t>
      </w:r>
      <w:proofErr w:type="spellEnd"/>
      <w:r w:rsidRPr="00BF16D9">
        <w:rPr>
          <w:rFonts w:ascii="Arial" w:hAnsi="Arial" w:cs="Arial"/>
          <w:sz w:val="22"/>
          <w:szCs w:val="22"/>
        </w:rPr>
        <w:t>  </w:t>
      </w: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LCHS4008 </w:t>
      </w: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Public Health  </w:t>
      </w: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 </w:t>
      </w: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Heart Disease — Written report </w:t>
      </w: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Introduction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Cardiovascular disease (CVD), commonly called heart disease, remains the leading cause of death worldwide and a major source of disability, healthcare use, and economic burden. Broadly speaking, heart disease includes disorders of the heart and blood vessels such as ischemic (coronary) heart disease, heart failure, arrhythmias, and rheumatic heart disease. Many cases are chronic and progressive, and outcomes depend on early detection, risk-factor management, and access to acute and long-term care. In high-income and low-income countries alike the prevalence of risk factors (hypertension, diabetes, obesity, smoking) drives large and growing caseloads; in the UK, rising rates of obesity and diabetes have contributed to recent increases in premature cardiovascular deaths. This report defines heart disease, summarises key signs and symptoms, presents worldwide and UK incidence and burden data, and discusses consequences for individuals, communities, and the NHS, how the condition is controlled, and factors influencing the health and wellbeing of affected people and their families. (World Health Organisation, 2025, British Heart Foundation, 2024).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Definition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“Heart disease” or cardiovascular disease (CVD) refers to a group of disorders of the heart and blood vessels. Major categories include coronary (ischaemic) heart disease (angina, myocardial infarction), cerebrovascular disease (stroke), peripheral arterial disease, rheumatic heart disease, congenital heart disease, and heart failure. Ischaemic heart disease (IHD), where coronary arteries supply insufficient blood to the myocardium — is the single largest contributor to CVD mortality (World Health Organisation, 2025, British Heart Foundation, 2024). </w:t>
      </w: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 </w:t>
      </w: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Signs and symptoms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lastRenderedPageBreak/>
        <w:t>Presentation varies by condition, severity, and patient factors (age, sex, comorbidity). Common features include: </w:t>
      </w:r>
    </w:p>
    <w:p w:rsidR="00BF16D9" w:rsidRPr="00BF16D9" w:rsidRDefault="00BF16D9" w:rsidP="00BF16D9">
      <w:pPr>
        <w:numPr>
          <w:ilvl w:val="0"/>
          <w:numId w:val="1"/>
        </w:numPr>
        <w:spacing w:line="360" w:lineRule="auto"/>
        <w:rPr>
          <w:rFonts w:ascii="Arial" w:hAnsi="Arial" w:cs="Arial"/>
          <w:sz w:val="22"/>
          <w:szCs w:val="22"/>
        </w:rPr>
      </w:pPr>
      <w:r w:rsidRPr="00BF16D9">
        <w:rPr>
          <w:rFonts w:ascii="Arial" w:hAnsi="Arial" w:cs="Arial"/>
          <w:sz w:val="22"/>
          <w:szCs w:val="22"/>
        </w:rPr>
        <w:t>Chest pain or discomfort (angina, crushing pain) — classic for myocardial ischemia. </w:t>
      </w:r>
    </w:p>
    <w:p w:rsidR="00BF16D9" w:rsidRPr="00BF16D9" w:rsidRDefault="00BF16D9" w:rsidP="00BF16D9">
      <w:pPr>
        <w:numPr>
          <w:ilvl w:val="0"/>
          <w:numId w:val="2"/>
        </w:numPr>
        <w:spacing w:line="360" w:lineRule="auto"/>
        <w:rPr>
          <w:rFonts w:ascii="Arial" w:hAnsi="Arial" w:cs="Arial"/>
          <w:sz w:val="22"/>
          <w:szCs w:val="22"/>
        </w:rPr>
      </w:pPr>
      <w:r w:rsidRPr="00BF16D9">
        <w:rPr>
          <w:rFonts w:ascii="Arial" w:hAnsi="Arial" w:cs="Arial"/>
          <w:sz w:val="22"/>
          <w:szCs w:val="22"/>
        </w:rPr>
        <w:t>Shortness of breath, especially on exertion or at rest — common in heart failure. </w:t>
      </w:r>
    </w:p>
    <w:p w:rsidR="00BF16D9" w:rsidRPr="00BF16D9" w:rsidRDefault="00BF16D9" w:rsidP="00BF16D9">
      <w:pPr>
        <w:numPr>
          <w:ilvl w:val="0"/>
          <w:numId w:val="3"/>
        </w:numPr>
        <w:spacing w:line="360" w:lineRule="auto"/>
        <w:rPr>
          <w:rFonts w:ascii="Arial" w:hAnsi="Arial" w:cs="Arial"/>
          <w:sz w:val="22"/>
          <w:szCs w:val="22"/>
        </w:rPr>
      </w:pPr>
      <w:r w:rsidRPr="00BF16D9">
        <w:rPr>
          <w:rFonts w:ascii="Arial" w:hAnsi="Arial" w:cs="Arial"/>
          <w:sz w:val="22"/>
          <w:szCs w:val="22"/>
        </w:rPr>
        <w:t>Palpitations, syncope or presyncope — may indicate arrhythmia. </w:t>
      </w:r>
    </w:p>
    <w:p w:rsidR="00BF16D9" w:rsidRPr="00BF16D9" w:rsidRDefault="00BF16D9" w:rsidP="00BF16D9">
      <w:pPr>
        <w:numPr>
          <w:ilvl w:val="0"/>
          <w:numId w:val="4"/>
        </w:numPr>
        <w:spacing w:line="360" w:lineRule="auto"/>
        <w:rPr>
          <w:rFonts w:ascii="Arial" w:hAnsi="Arial" w:cs="Arial"/>
          <w:sz w:val="22"/>
          <w:szCs w:val="22"/>
        </w:rPr>
      </w:pPr>
      <w:r w:rsidRPr="00BF16D9">
        <w:rPr>
          <w:rFonts w:ascii="Arial" w:hAnsi="Arial" w:cs="Arial"/>
          <w:sz w:val="22"/>
          <w:szCs w:val="22"/>
        </w:rPr>
        <w:t>Fatigue reduced exercise tolerance and peripheral oedema (leg swelling) — markers of chronic heart failure. </w:t>
      </w:r>
    </w:p>
    <w:p w:rsidR="00BF16D9" w:rsidRPr="00BF16D9" w:rsidRDefault="00BF16D9" w:rsidP="00BF16D9">
      <w:pPr>
        <w:numPr>
          <w:ilvl w:val="0"/>
          <w:numId w:val="5"/>
        </w:numPr>
        <w:spacing w:line="360" w:lineRule="auto"/>
        <w:rPr>
          <w:rFonts w:ascii="Arial" w:hAnsi="Arial" w:cs="Arial"/>
          <w:sz w:val="22"/>
          <w:szCs w:val="22"/>
        </w:rPr>
      </w:pPr>
      <w:r w:rsidRPr="00BF16D9">
        <w:rPr>
          <w:rFonts w:ascii="Arial" w:hAnsi="Arial" w:cs="Arial"/>
          <w:sz w:val="22"/>
          <w:szCs w:val="22"/>
        </w:rPr>
        <w:t>Sudden collapse or sudden cardiac death in acute myocardial infarction or life-threatening arrhythmias. </w:t>
      </w:r>
      <w:r w:rsidRPr="00BF16D9">
        <w:rPr>
          <w:rFonts w:ascii="Arial" w:hAnsi="Arial" w:cs="Arial"/>
          <w:sz w:val="22"/>
          <w:szCs w:val="22"/>
        </w:rPr>
        <w:br/>
        <w:t>Atypical presentations are common, particularly in women, older adults, and people with diabetes (e.g., breathlessness, nausea, or fatigue without chest pain) (Ding, Y. et al. 2025, World Health Organization, 2025).  </w:t>
      </w:r>
    </w:p>
    <w:p w:rsidR="00BF16D9" w:rsidRPr="00BF16D9" w:rsidRDefault="00BF16D9" w:rsidP="00BF16D9">
      <w:pPr>
        <w:numPr>
          <w:ilvl w:val="0"/>
          <w:numId w:val="6"/>
        </w:numPr>
        <w:spacing w:line="360" w:lineRule="auto"/>
        <w:rPr>
          <w:rFonts w:ascii="Arial" w:hAnsi="Arial" w:cs="Arial"/>
          <w:sz w:val="22"/>
          <w:szCs w:val="22"/>
        </w:rPr>
      </w:pPr>
      <w:r w:rsidRPr="00BF16D9">
        <w:rPr>
          <w:rFonts w:ascii="Arial" w:hAnsi="Arial" w:cs="Arial"/>
          <w:sz w:val="22"/>
          <w:szCs w:val="22"/>
        </w:rPr>
        <w:t>Incidence and severity — worldwide and UK statistics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Worldwide: cardiovascular diseases are the leading cause of death globally. Recent World Health Organization estimates put CVD deaths at 19–20 million per year (around 32% of all global deaths), with ischaemic heart disease and stroke accounting for most of these deaths. Over three-quarters of CVD deaths occur in low- and middle-income countries (Global Burden of Disease / Institute for Health Metrics and Evaluation, 2023, World Health Organization, 2025)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UK: in the UK millions live with heart and circulatory conditions. The British Heart Foundation reports that over 4.7 million people live with heart and circulatory diseases in the UK (with projected rises), and heart and circulatory diseases account for a quarter of all deaths each year in the UK (160–170,000 deaths annually in recent reports). Premature deaths (under 75 years) rose in the early 2020s, reversing a long-term downward trend and highlighting a worsening public-health picture.</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 xml:space="preserve"> Hospital admissions remain substantial, hundreds of thousands annually for coronary heart disease, heart failure, and stroke, placing persistent pressure on NHS services, (British Heart Foundation, 2024)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Consequences for the community and for the NHS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Heart disease affects individuals, families, communities and health systems through morbidity, mortality, lost productivity and cost. </w:t>
      </w: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lastRenderedPageBreak/>
        <w:t>For individuals and families, the consequences include chronic symptoms (dyspnoea, fatigue, chest pain), reduced quality of life, psychological distress (anxiety, depression), financial strain (time off work, care costs) and increased caregiving burden for partners or relatives. Sudden cardiac events (myocardial infarction, stroke, sudden cardiac death) can cause catastrophic loss of income and long-term disability (e.g., post-MI heart failure, stroke-related dependency). Social isolation and reduced ability to perform caring or paid work are common downstream effects. (British Heart Foundation, 2024)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At community and population level, heart disease drives substantial premature mortality: millions of potential life years are lost each year globally and in the UK a reversal of previous declines in premature CVD deaths has been documented, worsening health inequalities as those in more deprived communities suffer higher rates. Risk factors linked to social determinants: poverty, limited education, food environment, work patterns and housing, concentrate CVD burden in vulnerable populations, amplifying effects on those communities </w:t>
      </w:r>
      <w:r w:rsidRPr="00BF16D9">
        <w:rPr>
          <w:rFonts w:ascii="Arial" w:hAnsi="Arial" w:cs="Arial"/>
          <w:sz w:val="22"/>
          <w:szCs w:val="22"/>
          <w:u w:val="single"/>
        </w:rPr>
        <w:t>(</w:t>
      </w:r>
      <w:r w:rsidRPr="00BF16D9">
        <w:rPr>
          <w:rFonts w:ascii="Arial" w:hAnsi="Arial" w:cs="Arial"/>
          <w:sz w:val="22"/>
          <w:szCs w:val="22"/>
        </w:rPr>
        <w:t>World Health Organization, British Heart Foundation, 2024).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For the NHS, heart disease is a major consumer of acute and long-term resources. Cardiovascular emergencies (heart attacks, acute heart failure, arrhythmias) require immediate hospital care, catheter lab interventions (PCI), thrombolysis, cardiac surgery,</w:t>
      </w:r>
      <w:r w:rsidRPr="00BF16D9">
        <w:rPr>
          <w:rFonts w:ascii="Arial" w:hAnsi="Arial" w:cs="Arial"/>
          <w:sz w:val="22"/>
          <w:szCs w:val="22"/>
        </w:rPr>
        <w:t xml:space="preserve"> </w:t>
      </w:r>
      <w:r w:rsidRPr="00BF16D9">
        <w:rPr>
          <w:rFonts w:ascii="Arial" w:hAnsi="Arial" w:cs="Arial"/>
          <w:sz w:val="22"/>
          <w:szCs w:val="22"/>
        </w:rPr>
        <w:t>and critical care beds. Chronic management demands outpatient clinics, cardiac rehabilitation, device therapy (pacemakers, ICDs), long-term medications (antiplatelets, statins, ACE inhibitors, beta-blockers), and repeat admissions for decompensated heart failure. Heart failure alone accounts for around 1 million inpatient bed days and a considerable proportion of emergency medical admissions; estimated direct and indirect costs run into billions of pounds annually for the health service. Long waiting lists, workforce shortages and capacity constraints increase morbidity and delay secondary prevention, further raising future demand </w:t>
      </w:r>
      <w:r w:rsidRPr="00BF16D9">
        <w:rPr>
          <w:rFonts w:ascii="Arial" w:hAnsi="Arial" w:cs="Arial"/>
          <w:sz w:val="22"/>
          <w:szCs w:val="22"/>
          <w:u w:val="single"/>
        </w:rPr>
        <w:t>(</w:t>
      </w:r>
      <w:r w:rsidRPr="00BF16D9">
        <w:rPr>
          <w:rFonts w:ascii="Arial" w:hAnsi="Arial" w:cs="Arial"/>
          <w:sz w:val="22"/>
          <w:szCs w:val="22"/>
        </w:rPr>
        <w:t>NHS England, Lord’s Library, 2025).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How heart disease is controlled (prevention, detection, and management)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Control of heart disease operates across three levels: primary prevention, secondary prevention/early detection, and acute/long-term clinical management. </w:t>
      </w: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 xml:space="preserve">Primary prevention: population-level measures reduce incidence by targeting modifiable risk factors: tobacco control, healthy diet and salt reduction, physical activity promotion, alcohol policies, weight management, and hypertension and diabetes prevention. Policy actions (food reformulation, smoking bans, taxation) and public health campaigns are critical to shifting population risk. Clinical primary prevention includes screening for hypertension, </w:t>
      </w:r>
      <w:r w:rsidRPr="00BF16D9">
        <w:rPr>
          <w:rFonts w:ascii="Arial" w:hAnsi="Arial" w:cs="Arial"/>
          <w:sz w:val="22"/>
          <w:szCs w:val="22"/>
        </w:rPr>
        <w:lastRenderedPageBreak/>
        <w:t>dyslipidaemia and diabetes in primary care and offering statins, antihypertensives and smoking cessation support where appropriate (World Health Organization, 2025, British Heart Foundation, 2024).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Secondary prevention and early detection: identifying people at high cardiovascular risk (e.g., by QRISK or similar tools in primary care), prompt management of acute coronary syndromes (time-to-PCI), and secondary prevention (dual antiplatelet therapy after stenting, high-intensity statins, blood pressure control, cardiac rehabilitation) reduce recurrent events and improve survival. National programmes and guidelines (NICE in the UK) standardise pathways for acute coronary care and follow-up (British Heart Foundation, 2024, Lord’s Library (Parliamentary Research), 2025).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Acute care and long-term management: emergency services, timely reperfusion for myocardial infarction, arrhythmia management, and multidisciplinary heart-failure teams are central. Long term approaches include optimisation of medical therapy, device implantation (CRT/ICD) when indicated, structured cardiac rehabilitation, and integrated care models to reduce readmissions. Public access defibrillators and bystander CPR training also reduce out of hospital mortality. Investment in diagnostics, community follow up and secondary prevention clinics improves outcomes. (British Heart Foundation, 2024, NHS Digital, 2025) Pharmacological advances and procedural care have reduced mortality for many patients, but equitable access is required to translate innovations into population benefit. </w:t>
      </w:r>
      <w:r w:rsidRPr="00BF16D9">
        <w:rPr>
          <w:rFonts w:ascii="Arial" w:hAnsi="Arial" w:cs="Arial"/>
          <w:sz w:val="22"/>
          <w:szCs w:val="22"/>
          <w:u w:val="single"/>
        </w:rPr>
        <w:t>(</w:t>
      </w:r>
      <w:r w:rsidRPr="00BF16D9">
        <w:rPr>
          <w:rFonts w:ascii="Arial" w:hAnsi="Arial" w:cs="Arial"/>
          <w:sz w:val="22"/>
          <w:szCs w:val="22"/>
        </w:rPr>
        <w:t>Global Burden of Disease / Institute for Health Metrics and Evaluation, 2023, Ding, Y. et al. 2025)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Factors influencing health and well-being of affected people and their contacts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Multiple interacting determinants influence the course of heart disease and the well-being of patients and those around them. </w:t>
      </w:r>
    </w:p>
    <w:p w:rsidR="00BF16D9" w:rsidRPr="00BF16D9" w:rsidRDefault="00BF16D9" w:rsidP="00BF16D9">
      <w:pPr>
        <w:numPr>
          <w:ilvl w:val="0"/>
          <w:numId w:val="7"/>
        </w:numPr>
        <w:spacing w:line="360" w:lineRule="auto"/>
        <w:rPr>
          <w:rFonts w:ascii="Arial" w:hAnsi="Arial" w:cs="Arial"/>
          <w:sz w:val="22"/>
          <w:szCs w:val="22"/>
        </w:rPr>
      </w:pPr>
      <w:r w:rsidRPr="00BF16D9">
        <w:rPr>
          <w:rFonts w:ascii="Arial" w:hAnsi="Arial" w:cs="Arial"/>
          <w:sz w:val="22"/>
          <w:szCs w:val="22"/>
        </w:rPr>
        <w:t>Medical comorbidity and biology — Age, sex, genetics, and comorbid conditions (diabetes, chronic kidney disease, chronic obstructive pulmonary disease) affect prognosis and treatment tolerability. For example, diabetes increases CVD risk several-fold and complicates post-MI recovery. (British Heart Foundation, 2024) </w:t>
      </w:r>
    </w:p>
    <w:p w:rsidR="00BF16D9" w:rsidRPr="00BF16D9" w:rsidRDefault="00BF16D9" w:rsidP="00BF16D9">
      <w:pPr>
        <w:numPr>
          <w:ilvl w:val="0"/>
          <w:numId w:val="8"/>
        </w:numPr>
        <w:spacing w:line="360" w:lineRule="auto"/>
        <w:rPr>
          <w:rFonts w:ascii="Arial" w:hAnsi="Arial" w:cs="Arial"/>
          <w:sz w:val="22"/>
          <w:szCs w:val="22"/>
        </w:rPr>
      </w:pPr>
      <w:r w:rsidRPr="00BF16D9">
        <w:rPr>
          <w:rFonts w:ascii="Arial" w:hAnsi="Arial" w:cs="Arial"/>
          <w:sz w:val="22"/>
          <w:szCs w:val="22"/>
        </w:rPr>
        <w:t>Socioeconomic and environmental factors — Deprivation, unemployment, low educational attainment, poor housing and limited access to healthy food or safe physical activity spaces increase exposure to risk factors and reduce ability to engage with preventive care. Areas of higher deprivation see higher CVD incidence and mortality (British Heart Foundation, 2024). </w:t>
      </w:r>
    </w:p>
    <w:p w:rsidR="00BF16D9" w:rsidRPr="00BF16D9" w:rsidRDefault="00BF16D9" w:rsidP="00BF16D9">
      <w:pPr>
        <w:numPr>
          <w:ilvl w:val="0"/>
          <w:numId w:val="9"/>
        </w:numPr>
        <w:spacing w:line="360" w:lineRule="auto"/>
        <w:rPr>
          <w:rFonts w:ascii="Arial" w:hAnsi="Arial" w:cs="Arial"/>
          <w:sz w:val="22"/>
          <w:szCs w:val="22"/>
        </w:rPr>
      </w:pPr>
      <w:r w:rsidRPr="00BF16D9">
        <w:rPr>
          <w:rFonts w:ascii="Arial" w:hAnsi="Arial" w:cs="Arial"/>
          <w:sz w:val="22"/>
          <w:szCs w:val="22"/>
        </w:rPr>
        <w:lastRenderedPageBreak/>
        <w:t>Health behaviours — Smoking, unhealthy diet, physical inactivity, harmful alcohol use and poor medication adherence are directly modifiable determinants. Behavioural interventions and community support can improve outcomes, but sustained change is challenging without structural supports (World Health Organization, 2025). </w:t>
      </w:r>
    </w:p>
    <w:p w:rsidR="00BF16D9" w:rsidRPr="00BF16D9" w:rsidRDefault="00BF16D9" w:rsidP="00BF16D9">
      <w:pPr>
        <w:numPr>
          <w:ilvl w:val="0"/>
          <w:numId w:val="10"/>
        </w:numPr>
        <w:spacing w:line="360" w:lineRule="auto"/>
        <w:rPr>
          <w:rFonts w:ascii="Arial" w:hAnsi="Arial" w:cs="Arial"/>
          <w:sz w:val="22"/>
          <w:szCs w:val="22"/>
        </w:rPr>
      </w:pPr>
      <w:r w:rsidRPr="00BF16D9">
        <w:rPr>
          <w:rFonts w:ascii="Arial" w:hAnsi="Arial" w:cs="Arial"/>
          <w:sz w:val="22"/>
          <w:szCs w:val="22"/>
        </w:rPr>
        <w:t>Health-system access and quality — Timely access to primary care for risk-factor screening and to acute cardiac services (ambulance response, catheter labs) determines survival after acute events. Workforce shortages, long waiting times and postcode variation in services reduce equitable outcomes. Rehabilitation services and integrated multidisciplinary teams support recovery but are unevenly delivered </w:t>
      </w:r>
      <w:r w:rsidRPr="00BF16D9">
        <w:rPr>
          <w:rFonts w:ascii="Arial" w:hAnsi="Arial" w:cs="Arial"/>
          <w:sz w:val="22"/>
          <w:szCs w:val="22"/>
          <w:u w:val="single"/>
        </w:rPr>
        <w:t>(</w:t>
      </w:r>
      <w:r w:rsidRPr="00BF16D9">
        <w:rPr>
          <w:rFonts w:ascii="Arial" w:hAnsi="Arial" w:cs="Arial"/>
          <w:sz w:val="22"/>
          <w:szCs w:val="22"/>
        </w:rPr>
        <w:t>NHS England, 2025, Lord’s Library, 2025). </w:t>
      </w:r>
    </w:p>
    <w:p w:rsidR="00BF16D9" w:rsidRPr="00BF16D9" w:rsidRDefault="00BF16D9" w:rsidP="00BF16D9">
      <w:pPr>
        <w:numPr>
          <w:ilvl w:val="0"/>
          <w:numId w:val="11"/>
        </w:numPr>
        <w:spacing w:line="360" w:lineRule="auto"/>
        <w:rPr>
          <w:rFonts w:ascii="Arial" w:hAnsi="Arial" w:cs="Arial"/>
          <w:sz w:val="22"/>
          <w:szCs w:val="22"/>
        </w:rPr>
      </w:pPr>
      <w:r w:rsidRPr="00BF16D9">
        <w:rPr>
          <w:rFonts w:ascii="Arial" w:hAnsi="Arial" w:cs="Arial"/>
          <w:sz w:val="22"/>
          <w:szCs w:val="22"/>
        </w:rPr>
        <w:t>Psychosocial factors — Anxiety, depression, social isolation, and caregiving burden reduce quality of life and can worsen adherence to therapy. Family members may experience stress, financial strain, and role changes when a relative has chronic heart disease. </w:t>
      </w:r>
    </w:p>
    <w:p w:rsidR="00BF16D9" w:rsidRPr="00BF16D9" w:rsidRDefault="00BF16D9" w:rsidP="00BF16D9">
      <w:pPr>
        <w:numPr>
          <w:ilvl w:val="0"/>
          <w:numId w:val="12"/>
        </w:numPr>
        <w:spacing w:line="360" w:lineRule="auto"/>
        <w:rPr>
          <w:rFonts w:ascii="Arial" w:hAnsi="Arial" w:cs="Arial"/>
          <w:sz w:val="22"/>
          <w:szCs w:val="22"/>
        </w:rPr>
      </w:pPr>
      <w:r w:rsidRPr="00BF16D9">
        <w:rPr>
          <w:rFonts w:ascii="Arial" w:hAnsi="Arial" w:cs="Arial"/>
          <w:sz w:val="22"/>
          <w:szCs w:val="22"/>
        </w:rPr>
        <w:t>Policy and public health environment — Government action on tobacco, processed food, alcohol, active travel, and health inequalities shapes the prevalence of risk factors and population health trajectories. Evidence supports combined policy and clinical approaches to achieve sustained reductions in CVD (British Heart Foundation 2024, World Health Organization, 2025).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Conclusion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Heart disease remains the world’s leading cause of death and a major cause of long-term disability. In the UK, despite decades of progress, latest trends show rising premature deaths and sustained pressure on hospitals, a reminder that prevention, early detection, and equitable access to high quality acute and chronic care remain essential. Controlling heart disease requires a combined strategy: population-level prevention policies to reduce exposure to tobacco, unhealthy diets, and inactivity; primary-care screening and risk-factor management; timely acute interventions and robust long-term care pathways including cardiac rehabilitation; and social policies to tackle the underlying determinants of health. Addressing inequalities, geographically and socioeconomically and ensuring the NHS has the capacity and workforce to deliver evidence-based interventions are crucial to reducing the human and economic toll of heart disease over the coming decades. Continued surveillance, research and investment in prevention and integrated care will be central to reversing recent adverse trends World Health Organization (2025)  </w:t>
      </w: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p>
    <w:p w:rsidR="00BF16D9" w:rsidRPr="00BF16D9" w:rsidRDefault="00BF16D9" w:rsidP="00BF16D9">
      <w:pPr>
        <w:spacing w:line="360" w:lineRule="auto"/>
        <w:rPr>
          <w:rFonts w:ascii="Arial" w:hAnsi="Arial" w:cs="Arial"/>
          <w:sz w:val="22"/>
          <w:szCs w:val="22"/>
        </w:rPr>
      </w:pPr>
      <w:r w:rsidRPr="00BF16D9">
        <w:rPr>
          <w:rFonts w:ascii="Arial" w:hAnsi="Arial" w:cs="Arial"/>
          <w:sz w:val="22"/>
          <w:szCs w:val="22"/>
        </w:rPr>
        <w:t>References  </w:t>
      </w:r>
    </w:p>
    <w:p w:rsidR="00BF16D9" w:rsidRPr="00BF16D9" w:rsidRDefault="00BF16D9" w:rsidP="00BF16D9">
      <w:pPr>
        <w:spacing w:line="360" w:lineRule="auto"/>
        <w:rPr>
          <w:rFonts w:ascii="Arial" w:hAnsi="Arial" w:cs="Arial"/>
          <w:sz w:val="22"/>
          <w:szCs w:val="22"/>
        </w:rPr>
      </w:pPr>
    </w:p>
    <w:p w:rsidR="00BF16D9" w:rsidRPr="00BF16D9" w:rsidRDefault="00BF16D9" w:rsidP="00BF16D9">
      <w:pPr>
        <w:numPr>
          <w:ilvl w:val="0"/>
          <w:numId w:val="13"/>
        </w:numPr>
        <w:spacing w:line="360" w:lineRule="auto"/>
        <w:rPr>
          <w:rFonts w:ascii="Arial" w:hAnsi="Arial" w:cs="Arial"/>
          <w:sz w:val="22"/>
          <w:szCs w:val="22"/>
        </w:rPr>
      </w:pPr>
      <w:r w:rsidRPr="00BF16D9">
        <w:rPr>
          <w:rFonts w:ascii="Arial" w:hAnsi="Arial" w:cs="Arial"/>
          <w:sz w:val="22"/>
          <w:szCs w:val="22"/>
        </w:rPr>
        <w:t>World Health Organization (2025) </w:t>
      </w:r>
      <w:proofErr w:type="gramStart"/>
      <w:r w:rsidRPr="00BF16D9">
        <w:rPr>
          <w:rFonts w:ascii="Arial" w:hAnsi="Arial" w:cs="Arial"/>
          <w:i/>
          <w:iCs/>
          <w:sz w:val="22"/>
          <w:szCs w:val="22"/>
        </w:rPr>
        <w:t>Cardiovascular diseases</w:t>
      </w:r>
      <w:proofErr w:type="gramEnd"/>
      <w:r w:rsidRPr="00BF16D9">
        <w:rPr>
          <w:rFonts w:ascii="Arial" w:hAnsi="Arial" w:cs="Arial"/>
          <w:i/>
          <w:iCs/>
          <w:sz w:val="22"/>
          <w:szCs w:val="22"/>
        </w:rPr>
        <w:t> (CVDs) — fact sheet</w:t>
      </w:r>
      <w:r w:rsidRPr="00BF16D9">
        <w:rPr>
          <w:rFonts w:ascii="Arial" w:hAnsi="Arial" w:cs="Arial"/>
          <w:sz w:val="22"/>
          <w:szCs w:val="22"/>
        </w:rPr>
        <w:t>. WHO. Available at: </w:t>
      </w:r>
      <w:hyperlink r:id="rId5" w:tgtFrame="_blank" w:history="1">
        <w:r w:rsidRPr="00BF16D9">
          <w:rPr>
            <w:rStyle w:val="Hyperlink"/>
            <w:rFonts w:ascii="Arial" w:hAnsi="Arial" w:cs="Arial"/>
            <w:sz w:val="22"/>
            <w:szCs w:val="22"/>
          </w:rPr>
          <w:t>https://www.who.int/news-room/fact-sheets/detail/cardiovascular-diseases-(cvds)</w:t>
        </w:r>
      </w:hyperlink>
      <w:r w:rsidRPr="00BF16D9">
        <w:rPr>
          <w:rFonts w:ascii="Arial" w:hAnsi="Arial" w:cs="Arial"/>
          <w:sz w:val="22"/>
          <w:szCs w:val="22"/>
        </w:rPr>
        <w:t> (Accessed: 16 November 2025).  </w:t>
      </w:r>
    </w:p>
    <w:p w:rsidR="00BF16D9" w:rsidRPr="00BF16D9" w:rsidRDefault="00BF16D9" w:rsidP="00BF16D9">
      <w:pPr>
        <w:numPr>
          <w:ilvl w:val="0"/>
          <w:numId w:val="14"/>
        </w:numPr>
        <w:spacing w:line="360" w:lineRule="auto"/>
        <w:rPr>
          <w:rFonts w:ascii="Arial" w:hAnsi="Arial" w:cs="Arial"/>
          <w:sz w:val="22"/>
          <w:szCs w:val="22"/>
        </w:rPr>
      </w:pPr>
      <w:r w:rsidRPr="00BF16D9">
        <w:rPr>
          <w:rFonts w:ascii="Arial" w:hAnsi="Arial" w:cs="Arial"/>
          <w:sz w:val="22"/>
          <w:szCs w:val="22"/>
        </w:rPr>
        <w:t>British Heart Foundation (2024) </w:t>
      </w:r>
      <w:r w:rsidRPr="00BF16D9">
        <w:rPr>
          <w:rFonts w:ascii="Arial" w:hAnsi="Arial" w:cs="Arial"/>
          <w:i/>
          <w:iCs/>
          <w:sz w:val="22"/>
          <w:szCs w:val="22"/>
        </w:rPr>
        <w:t>Heart and Circulatory Disease Statistics 2024</w:t>
      </w:r>
      <w:r w:rsidRPr="00BF16D9">
        <w:rPr>
          <w:rFonts w:ascii="Arial" w:hAnsi="Arial" w:cs="Arial"/>
          <w:sz w:val="22"/>
          <w:szCs w:val="22"/>
        </w:rPr>
        <w:t> (v3). British Heart Foundation. Available at: </w:t>
      </w:r>
      <w:hyperlink r:id="rId6" w:tgtFrame="_blank" w:history="1">
        <w:r w:rsidRPr="00BF16D9">
          <w:rPr>
            <w:rStyle w:val="Hyperlink"/>
            <w:rFonts w:ascii="Arial" w:hAnsi="Arial" w:cs="Arial"/>
            <w:sz w:val="22"/>
            <w:szCs w:val="22"/>
          </w:rPr>
          <w:t>https://www.bhf.org.uk/what-we-do/our-research/heart-statistics/heart-statistics-publications/cardiovascular-disease-statistics-2024</w:t>
        </w:r>
      </w:hyperlink>
      <w:r w:rsidRPr="00BF16D9">
        <w:rPr>
          <w:rFonts w:ascii="Arial" w:hAnsi="Arial" w:cs="Arial"/>
          <w:sz w:val="22"/>
          <w:szCs w:val="22"/>
        </w:rPr>
        <w:t> (Accessed: 16 November 2025).  </w:t>
      </w:r>
    </w:p>
    <w:p w:rsidR="00BF16D9" w:rsidRPr="00BF16D9" w:rsidRDefault="00BF16D9" w:rsidP="00BF16D9">
      <w:pPr>
        <w:numPr>
          <w:ilvl w:val="0"/>
          <w:numId w:val="15"/>
        </w:numPr>
        <w:spacing w:line="360" w:lineRule="auto"/>
        <w:rPr>
          <w:rFonts w:ascii="Arial" w:hAnsi="Arial" w:cs="Arial"/>
          <w:sz w:val="22"/>
          <w:szCs w:val="22"/>
        </w:rPr>
      </w:pPr>
      <w:r w:rsidRPr="00BF16D9">
        <w:rPr>
          <w:rFonts w:ascii="Arial" w:hAnsi="Arial" w:cs="Arial"/>
          <w:sz w:val="22"/>
          <w:szCs w:val="22"/>
        </w:rPr>
        <w:t>British Heart Foundation (2024) </w:t>
      </w:r>
      <w:r w:rsidRPr="00BF16D9">
        <w:rPr>
          <w:rFonts w:ascii="Arial" w:hAnsi="Arial" w:cs="Arial"/>
          <w:i/>
          <w:iCs/>
          <w:sz w:val="22"/>
          <w:szCs w:val="22"/>
        </w:rPr>
        <w:t>UK cardiovascular disease factsheet</w:t>
      </w:r>
      <w:r w:rsidRPr="00BF16D9">
        <w:rPr>
          <w:rFonts w:ascii="Arial" w:hAnsi="Arial" w:cs="Arial"/>
          <w:sz w:val="22"/>
          <w:szCs w:val="22"/>
        </w:rPr>
        <w:t>. British Heart Foundation. Available at: </w:t>
      </w:r>
      <w:hyperlink r:id="rId7" w:tgtFrame="_blank" w:history="1">
        <w:r w:rsidRPr="00BF16D9">
          <w:rPr>
            <w:rStyle w:val="Hyperlink"/>
            <w:rFonts w:ascii="Arial" w:hAnsi="Arial" w:cs="Arial"/>
            <w:sz w:val="22"/>
            <w:szCs w:val="22"/>
          </w:rPr>
          <w:t>https://www.bhf.org.uk/-/media/files/for-professionals/research/heart-statistics/bhf-cvd-statistics-uk-factsheet.pdf</w:t>
        </w:r>
      </w:hyperlink>
      <w:r w:rsidRPr="00BF16D9">
        <w:rPr>
          <w:rFonts w:ascii="Arial" w:hAnsi="Arial" w:cs="Arial"/>
          <w:sz w:val="22"/>
          <w:szCs w:val="22"/>
        </w:rPr>
        <w:t>(Accessed: 16 November 2025).  </w:t>
      </w:r>
    </w:p>
    <w:p w:rsidR="00BF16D9" w:rsidRPr="00BF16D9" w:rsidRDefault="00BF16D9" w:rsidP="00BF16D9">
      <w:pPr>
        <w:numPr>
          <w:ilvl w:val="0"/>
          <w:numId w:val="16"/>
        </w:numPr>
        <w:spacing w:line="360" w:lineRule="auto"/>
        <w:rPr>
          <w:rFonts w:ascii="Arial" w:hAnsi="Arial" w:cs="Arial"/>
          <w:sz w:val="22"/>
          <w:szCs w:val="22"/>
        </w:rPr>
      </w:pPr>
      <w:r w:rsidRPr="00BF16D9">
        <w:rPr>
          <w:rFonts w:ascii="Arial" w:hAnsi="Arial" w:cs="Arial"/>
          <w:sz w:val="22"/>
          <w:szCs w:val="22"/>
        </w:rPr>
        <w:t>NHS England (n.d.) </w:t>
      </w:r>
      <w:proofErr w:type="gramStart"/>
      <w:r w:rsidRPr="00BF16D9">
        <w:rPr>
          <w:rFonts w:ascii="Arial" w:hAnsi="Arial" w:cs="Arial"/>
          <w:i/>
          <w:iCs/>
          <w:sz w:val="22"/>
          <w:szCs w:val="22"/>
        </w:rPr>
        <w:t>Cardiovascular disease</w:t>
      </w:r>
      <w:proofErr w:type="gramEnd"/>
      <w:r w:rsidRPr="00BF16D9">
        <w:rPr>
          <w:rFonts w:ascii="Arial" w:hAnsi="Arial" w:cs="Arial"/>
          <w:i/>
          <w:iCs/>
          <w:sz w:val="22"/>
          <w:szCs w:val="22"/>
        </w:rPr>
        <w:t> high-impact interventions</w:t>
      </w:r>
      <w:r w:rsidRPr="00BF16D9">
        <w:rPr>
          <w:rFonts w:ascii="Arial" w:hAnsi="Arial" w:cs="Arial"/>
          <w:sz w:val="22"/>
          <w:szCs w:val="22"/>
        </w:rPr>
        <w:t>. NHS England. Available at: </w:t>
      </w:r>
      <w:hyperlink r:id="rId8" w:tgtFrame="_blank" w:history="1">
        <w:r w:rsidRPr="00BF16D9">
          <w:rPr>
            <w:rStyle w:val="Hyperlink"/>
            <w:rFonts w:ascii="Arial" w:hAnsi="Arial" w:cs="Arial"/>
            <w:sz w:val="22"/>
            <w:szCs w:val="22"/>
          </w:rPr>
          <w:t>https://www.england.nhs.uk/ourwork/prevention/secondary-prevention/cardiovascular-disease-high-impact-interventions/</w:t>
        </w:r>
      </w:hyperlink>
      <w:r w:rsidRPr="00BF16D9">
        <w:rPr>
          <w:rFonts w:ascii="Arial" w:hAnsi="Arial" w:cs="Arial"/>
          <w:sz w:val="22"/>
          <w:szCs w:val="22"/>
        </w:rPr>
        <w:t>(Accessed: 16 November 2025). </w:t>
      </w:r>
      <w:hyperlink r:id="rId9" w:tgtFrame="_blank" w:history="1">
        <w:r w:rsidRPr="00BF16D9">
          <w:rPr>
            <w:rStyle w:val="Hyperlink"/>
            <w:rFonts w:ascii="Arial" w:hAnsi="Arial" w:cs="Arial"/>
            <w:sz w:val="22"/>
            <w:szCs w:val="22"/>
          </w:rPr>
          <w:t>NHS England</w:t>
        </w:r>
      </w:hyperlink>
      <w:r w:rsidRPr="00BF16D9">
        <w:rPr>
          <w:rFonts w:ascii="Arial" w:hAnsi="Arial" w:cs="Arial"/>
          <w:sz w:val="22"/>
          <w:szCs w:val="22"/>
        </w:rPr>
        <w:t> </w:t>
      </w:r>
    </w:p>
    <w:p w:rsidR="00BF16D9" w:rsidRPr="00BF16D9" w:rsidRDefault="00BF16D9" w:rsidP="00BF16D9">
      <w:pPr>
        <w:numPr>
          <w:ilvl w:val="0"/>
          <w:numId w:val="17"/>
        </w:numPr>
        <w:spacing w:line="360" w:lineRule="auto"/>
        <w:rPr>
          <w:rFonts w:ascii="Arial" w:hAnsi="Arial" w:cs="Arial"/>
          <w:sz w:val="22"/>
          <w:szCs w:val="22"/>
        </w:rPr>
      </w:pPr>
      <w:r w:rsidRPr="00BF16D9">
        <w:rPr>
          <w:rFonts w:ascii="Arial" w:hAnsi="Arial" w:cs="Arial"/>
          <w:sz w:val="22"/>
          <w:szCs w:val="22"/>
        </w:rPr>
        <w:t>NHS Digital (2025) Statistics on Public Health, England 2023 Official statistics, National statistics, Accredited official statisticsAvailable at:</w:t>
      </w:r>
      <w:r w:rsidRPr="00BF16D9">
        <w:rPr>
          <w:rFonts w:ascii="Arial" w:hAnsi="Arial" w:cs="Arial"/>
          <w:sz w:val="22"/>
          <w:szCs w:val="22"/>
          <w:u w:val="single"/>
        </w:rPr>
        <w:t> </w:t>
      </w:r>
      <w:hyperlink r:id="rId10" w:tgtFrame="_blank" w:history="1">
        <w:r w:rsidRPr="00BF16D9">
          <w:rPr>
            <w:rStyle w:val="Hyperlink"/>
            <w:rFonts w:ascii="Arial" w:hAnsi="Arial" w:cs="Arial"/>
            <w:sz w:val="22"/>
            <w:szCs w:val="22"/>
          </w:rPr>
          <w:t>https://digital.nhs.uk/data-and-information/publications/statistical/statistics-on-public-health/2023/part-1-hospital-admissions?utm_source=chatgpt.com</w:t>
        </w:r>
      </w:hyperlink>
      <w:r w:rsidRPr="00BF16D9">
        <w:rPr>
          <w:rFonts w:ascii="Arial" w:hAnsi="Arial" w:cs="Arial"/>
          <w:sz w:val="22"/>
          <w:szCs w:val="22"/>
          <w:u w:val="single"/>
        </w:rPr>
        <w:t> </w:t>
      </w:r>
      <w:r w:rsidRPr="00BF16D9">
        <w:rPr>
          <w:rFonts w:ascii="Arial" w:hAnsi="Arial" w:cs="Arial"/>
          <w:sz w:val="22"/>
          <w:szCs w:val="22"/>
        </w:rPr>
        <w:t>Accessed: 16 November 2025) </w:t>
      </w:r>
    </w:p>
    <w:p w:rsidR="00BF16D9" w:rsidRPr="00BF16D9" w:rsidRDefault="00BF16D9" w:rsidP="00BF16D9">
      <w:pPr>
        <w:numPr>
          <w:ilvl w:val="0"/>
          <w:numId w:val="18"/>
        </w:numPr>
        <w:spacing w:line="360" w:lineRule="auto"/>
        <w:rPr>
          <w:rFonts w:ascii="Arial" w:hAnsi="Arial" w:cs="Arial"/>
          <w:sz w:val="22"/>
          <w:szCs w:val="22"/>
        </w:rPr>
      </w:pPr>
      <w:r w:rsidRPr="00BF16D9">
        <w:rPr>
          <w:rFonts w:ascii="Arial" w:hAnsi="Arial" w:cs="Arial"/>
          <w:sz w:val="22"/>
          <w:szCs w:val="22"/>
        </w:rPr>
        <w:t>Global Burden of Disease / Institute for Health Metrics and Evaluation (2023) </w:t>
      </w:r>
      <w:r w:rsidRPr="00BF16D9">
        <w:rPr>
          <w:rFonts w:ascii="Arial" w:hAnsi="Arial" w:cs="Arial"/>
          <w:i/>
          <w:iCs/>
          <w:sz w:val="22"/>
          <w:szCs w:val="22"/>
        </w:rPr>
        <w:t>Global burden of cardiovascular diseases and risks, 1990–2022</w:t>
      </w:r>
      <w:r w:rsidRPr="00BF16D9">
        <w:rPr>
          <w:rFonts w:ascii="Arial" w:hAnsi="Arial" w:cs="Arial"/>
          <w:sz w:val="22"/>
          <w:szCs w:val="22"/>
        </w:rPr>
        <w:t>. IHME. Available at: </w:t>
      </w:r>
      <w:hyperlink r:id="rId11" w:tgtFrame="_blank" w:history="1">
        <w:r w:rsidRPr="00BF16D9">
          <w:rPr>
            <w:rStyle w:val="Hyperlink"/>
            <w:rFonts w:ascii="Arial" w:hAnsi="Arial" w:cs="Arial"/>
            <w:sz w:val="22"/>
            <w:szCs w:val="22"/>
          </w:rPr>
          <w:t>https://www.healthdata.org/research-analysis/library/global-burden-cardiovascular-diseases-and-risks-1990-2022</w:t>
        </w:r>
      </w:hyperlink>
      <w:r w:rsidRPr="00BF16D9">
        <w:rPr>
          <w:rFonts w:ascii="Arial" w:hAnsi="Arial" w:cs="Arial"/>
          <w:sz w:val="22"/>
          <w:szCs w:val="22"/>
        </w:rPr>
        <w:t> (Accessed: 16 November 2025). </w:t>
      </w:r>
    </w:p>
    <w:p w:rsidR="00BF16D9" w:rsidRPr="00BF16D9" w:rsidRDefault="00BF16D9" w:rsidP="00BF16D9">
      <w:pPr>
        <w:numPr>
          <w:ilvl w:val="0"/>
          <w:numId w:val="19"/>
        </w:numPr>
        <w:spacing w:line="360" w:lineRule="auto"/>
        <w:rPr>
          <w:rFonts w:ascii="Arial" w:hAnsi="Arial" w:cs="Arial"/>
          <w:sz w:val="22"/>
          <w:szCs w:val="22"/>
        </w:rPr>
      </w:pPr>
      <w:r w:rsidRPr="00BF16D9">
        <w:rPr>
          <w:rFonts w:ascii="Arial" w:hAnsi="Arial" w:cs="Arial"/>
          <w:sz w:val="22"/>
          <w:szCs w:val="22"/>
        </w:rPr>
        <w:t>Ding, Y. et al. (2025) ‘The burden and trend prediction of ischemic heart disease’, </w:t>
      </w:r>
      <w:r w:rsidRPr="00BF16D9">
        <w:rPr>
          <w:rFonts w:ascii="Arial" w:hAnsi="Arial" w:cs="Arial"/>
          <w:i/>
          <w:iCs/>
          <w:sz w:val="22"/>
          <w:szCs w:val="22"/>
        </w:rPr>
        <w:t>Journal / PubMed Central</w:t>
      </w:r>
      <w:r w:rsidRPr="00BF16D9">
        <w:rPr>
          <w:rFonts w:ascii="Arial" w:hAnsi="Arial" w:cs="Arial"/>
          <w:sz w:val="22"/>
          <w:szCs w:val="22"/>
        </w:rPr>
        <w:t>, available </w:t>
      </w:r>
    </w:p>
    <w:p w:rsidR="00702C0D" w:rsidRPr="00BF16D9" w:rsidRDefault="00702C0D" w:rsidP="00BF16D9">
      <w:pPr>
        <w:spacing w:line="360" w:lineRule="auto"/>
        <w:rPr>
          <w:rFonts w:ascii="Arial" w:hAnsi="Arial" w:cs="Arial"/>
          <w:sz w:val="22"/>
          <w:szCs w:val="22"/>
        </w:rPr>
      </w:pPr>
    </w:p>
    <w:sectPr w:rsidR="00702C0D" w:rsidRPr="00BF16D9" w:rsidSect="00A8214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C104C1"/>
    <w:multiLevelType w:val="multilevel"/>
    <w:tmpl w:val="20BAF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CF195F"/>
    <w:multiLevelType w:val="multilevel"/>
    <w:tmpl w:val="02E8F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A35E05"/>
    <w:multiLevelType w:val="multilevel"/>
    <w:tmpl w:val="573E7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533D99"/>
    <w:multiLevelType w:val="multilevel"/>
    <w:tmpl w:val="BCC6A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0F3C68"/>
    <w:multiLevelType w:val="multilevel"/>
    <w:tmpl w:val="47FE412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DC0A48"/>
    <w:multiLevelType w:val="multilevel"/>
    <w:tmpl w:val="5410597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460120"/>
    <w:multiLevelType w:val="multilevel"/>
    <w:tmpl w:val="AE825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C03794"/>
    <w:multiLevelType w:val="multilevel"/>
    <w:tmpl w:val="B33C7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78D10D2"/>
    <w:multiLevelType w:val="multilevel"/>
    <w:tmpl w:val="EDC09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FC307A"/>
    <w:multiLevelType w:val="multilevel"/>
    <w:tmpl w:val="D8549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7D3B2C"/>
    <w:multiLevelType w:val="multilevel"/>
    <w:tmpl w:val="7046B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3F201B6"/>
    <w:multiLevelType w:val="multilevel"/>
    <w:tmpl w:val="B874C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8A66C35"/>
    <w:multiLevelType w:val="multilevel"/>
    <w:tmpl w:val="07967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666950"/>
    <w:multiLevelType w:val="multilevel"/>
    <w:tmpl w:val="038EC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2AC7425"/>
    <w:multiLevelType w:val="multilevel"/>
    <w:tmpl w:val="1D48B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842CAE"/>
    <w:multiLevelType w:val="multilevel"/>
    <w:tmpl w:val="7480AC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9A165BB"/>
    <w:multiLevelType w:val="multilevel"/>
    <w:tmpl w:val="21786F0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E50593"/>
    <w:multiLevelType w:val="multilevel"/>
    <w:tmpl w:val="20CE0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501297A"/>
    <w:multiLevelType w:val="multilevel"/>
    <w:tmpl w:val="C6AE858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2440696">
    <w:abstractNumId w:val="12"/>
  </w:num>
  <w:num w:numId="2" w16cid:durableId="717316699">
    <w:abstractNumId w:val="2"/>
  </w:num>
  <w:num w:numId="3" w16cid:durableId="1148010558">
    <w:abstractNumId w:val="11"/>
  </w:num>
  <w:num w:numId="4" w16cid:durableId="1162429123">
    <w:abstractNumId w:val="13"/>
  </w:num>
  <w:num w:numId="5" w16cid:durableId="830100024">
    <w:abstractNumId w:val="9"/>
  </w:num>
  <w:num w:numId="6" w16cid:durableId="978026176">
    <w:abstractNumId w:val="7"/>
  </w:num>
  <w:num w:numId="7" w16cid:durableId="1861045468">
    <w:abstractNumId w:val="0"/>
  </w:num>
  <w:num w:numId="8" w16cid:durableId="292059136">
    <w:abstractNumId w:val="15"/>
  </w:num>
  <w:num w:numId="9" w16cid:durableId="1600748584">
    <w:abstractNumId w:val="18"/>
  </w:num>
  <w:num w:numId="10" w16cid:durableId="233977992">
    <w:abstractNumId w:val="5"/>
  </w:num>
  <w:num w:numId="11" w16cid:durableId="1569993022">
    <w:abstractNumId w:val="16"/>
  </w:num>
  <w:num w:numId="12" w16cid:durableId="1273824056">
    <w:abstractNumId w:val="4"/>
  </w:num>
  <w:num w:numId="13" w16cid:durableId="359017764">
    <w:abstractNumId w:val="6"/>
  </w:num>
  <w:num w:numId="14" w16cid:durableId="1638606904">
    <w:abstractNumId w:val="10"/>
  </w:num>
  <w:num w:numId="15" w16cid:durableId="437992629">
    <w:abstractNumId w:val="17"/>
  </w:num>
  <w:num w:numId="16" w16cid:durableId="1651667502">
    <w:abstractNumId w:val="14"/>
  </w:num>
  <w:num w:numId="17" w16cid:durableId="1278368593">
    <w:abstractNumId w:val="1"/>
  </w:num>
  <w:num w:numId="18" w16cid:durableId="1275094986">
    <w:abstractNumId w:val="3"/>
  </w:num>
  <w:num w:numId="19" w16cid:durableId="35600160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6D9"/>
    <w:rsid w:val="00057F78"/>
    <w:rsid w:val="00071B94"/>
    <w:rsid w:val="004E0705"/>
    <w:rsid w:val="00702C0D"/>
    <w:rsid w:val="00A82146"/>
    <w:rsid w:val="00BF16D9"/>
    <w:rsid w:val="00D51C0D"/>
    <w:rsid w:val="00E40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12102E"/>
  <w15:chartTrackingRefBased/>
  <w15:docId w15:val="{9B4A1EBE-E15B-F44E-8FA7-4549280BB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16D9"/>
    <w:rPr>
      <w:color w:val="0563C1" w:themeColor="hyperlink"/>
      <w:u w:val="single"/>
    </w:rPr>
  </w:style>
  <w:style w:type="character" w:styleId="UnresolvedMention">
    <w:name w:val="Unresolved Mention"/>
    <w:basedOn w:val="DefaultParagraphFont"/>
    <w:uiPriority w:val="99"/>
    <w:semiHidden/>
    <w:unhideWhenUsed/>
    <w:rsid w:val="00BF16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3051749">
      <w:bodyDiv w:val="1"/>
      <w:marLeft w:val="0"/>
      <w:marRight w:val="0"/>
      <w:marTop w:val="0"/>
      <w:marBottom w:val="0"/>
      <w:divBdr>
        <w:top w:val="none" w:sz="0" w:space="0" w:color="auto"/>
        <w:left w:val="none" w:sz="0" w:space="0" w:color="auto"/>
        <w:bottom w:val="none" w:sz="0" w:space="0" w:color="auto"/>
        <w:right w:val="none" w:sz="0" w:space="0" w:color="auto"/>
      </w:divBdr>
      <w:divsChild>
        <w:div w:id="1411659005">
          <w:marLeft w:val="0"/>
          <w:marRight w:val="0"/>
          <w:marTop w:val="0"/>
          <w:marBottom w:val="0"/>
          <w:divBdr>
            <w:top w:val="none" w:sz="0" w:space="0" w:color="auto"/>
            <w:left w:val="none" w:sz="0" w:space="0" w:color="auto"/>
            <w:bottom w:val="none" w:sz="0" w:space="0" w:color="auto"/>
            <w:right w:val="none" w:sz="0" w:space="0" w:color="auto"/>
          </w:divBdr>
        </w:div>
        <w:div w:id="1478766971">
          <w:marLeft w:val="0"/>
          <w:marRight w:val="0"/>
          <w:marTop w:val="0"/>
          <w:marBottom w:val="0"/>
          <w:divBdr>
            <w:top w:val="none" w:sz="0" w:space="0" w:color="auto"/>
            <w:left w:val="none" w:sz="0" w:space="0" w:color="auto"/>
            <w:bottom w:val="none" w:sz="0" w:space="0" w:color="auto"/>
            <w:right w:val="none" w:sz="0" w:space="0" w:color="auto"/>
          </w:divBdr>
        </w:div>
        <w:div w:id="1563516356">
          <w:marLeft w:val="0"/>
          <w:marRight w:val="0"/>
          <w:marTop w:val="0"/>
          <w:marBottom w:val="0"/>
          <w:divBdr>
            <w:top w:val="none" w:sz="0" w:space="0" w:color="auto"/>
            <w:left w:val="none" w:sz="0" w:space="0" w:color="auto"/>
            <w:bottom w:val="none" w:sz="0" w:space="0" w:color="auto"/>
            <w:right w:val="none" w:sz="0" w:space="0" w:color="auto"/>
          </w:divBdr>
        </w:div>
        <w:div w:id="978194233">
          <w:marLeft w:val="0"/>
          <w:marRight w:val="0"/>
          <w:marTop w:val="0"/>
          <w:marBottom w:val="0"/>
          <w:divBdr>
            <w:top w:val="none" w:sz="0" w:space="0" w:color="auto"/>
            <w:left w:val="none" w:sz="0" w:space="0" w:color="auto"/>
            <w:bottom w:val="none" w:sz="0" w:space="0" w:color="auto"/>
            <w:right w:val="none" w:sz="0" w:space="0" w:color="auto"/>
          </w:divBdr>
        </w:div>
        <w:div w:id="2000376772">
          <w:marLeft w:val="0"/>
          <w:marRight w:val="0"/>
          <w:marTop w:val="0"/>
          <w:marBottom w:val="0"/>
          <w:divBdr>
            <w:top w:val="none" w:sz="0" w:space="0" w:color="auto"/>
            <w:left w:val="none" w:sz="0" w:space="0" w:color="auto"/>
            <w:bottom w:val="none" w:sz="0" w:space="0" w:color="auto"/>
            <w:right w:val="none" w:sz="0" w:space="0" w:color="auto"/>
          </w:divBdr>
        </w:div>
        <w:div w:id="788476538">
          <w:marLeft w:val="0"/>
          <w:marRight w:val="0"/>
          <w:marTop w:val="0"/>
          <w:marBottom w:val="0"/>
          <w:divBdr>
            <w:top w:val="none" w:sz="0" w:space="0" w:color="auto"/>
            <w:left w:val="none" w:sz="0" w:space="0" w:color="auto"/>
            <w:bottom w:val="none" w:sz="0" w:space="0" w:color="auto"/>
            <w:right w:val="none" w:sz="0" w:space="0" w:color="auto"/>
          </w:divBdr>
        </w:div>
        <w:div w:id="2137674477">
          <w:marLeft w:val="0"/>
          <w:marRight w:val="0"/>
          <w:marTop w:val="0"/>
          <w:marBottom w:val="0"/>
          <w:divBdr>
            <w:top w:val="none" w:sz="0" w:space="0" w:color="auto"/>
            <w:left w:val="none" w:sz="0" w:space="0" w:color="auto"/>
            <w:bottom w:val="none" w:sz="0" w:space="0" w:color="auto"/>
            <w:right w:val="none" w:sz="0" w:space="0" w:color="auto"/>
          </w:divBdr>
        </w:div>
        <w:div w:id="1814322556">
          <w:marLeft w:val="0"/>
          <w:marRight w:val="0"/>
          <w:marTop w:val="0"/>
          <w:marBottom w:val="0"/>
          <w:divBdr>
            <w:top w:val="none" w:sz="0" w:space="0" w:color="auto"/>
            <w:left w:val="none" w:sz="0" w:space="0" w:color="auto"/>
            <w:bottom w:val="none" w:sz="0" w:space="0" w:color="auto"/>
            <w:right w:val="none" w:sz="0" w:space="0" w:color="auto"/>
          </w:divBdr>
        </w:div>
        <w:div w:id="205799129">
          <w:marLeft w:val="0"/>
          <w:marRight w:val="0"/>
          <w:marTop w:val="0"/>
          <w:marBottom w:val="0"/>
          <w:divBdr>
            <w:top w:val="none" w:sz="0" w:space="0" w:color="auto"/>
            <w:left w:val="none" w:sz="0" w:space="0" w:color="auto"/>
            <w:bottom w:val="none" w:sz="0" w:space="0" w:color="auto"/>
            <w:right w:val="none" w:sz="0" w:space="0" w:color="auto"/>
          </w:divBdr>
        </w:div>
        <w:div w:id="709456440">
          <w:marLeft w:val="0"/>
          <w:marRight w:val="0"/>
          <w:marTop w:val="0"/>
          <w:marBottom w:val="0"/>
          <w:divBdr>
            <w:top w:val="none" w:sz="0" w:space="0" w:color="auto"/>
            <w:left w:val="none" w:sz="0" w:space="0" w:color="auto"/>
            <w:bottom w:val="none" w:sz="0" w:space="0" w:color="auto"/>
            <w:right w:val="none" w:sz="0" w:space="0" w:color="auto"/>
          </w:divBdr>
        </w:div>
        <w:div w:id="2101027024">
          <w:marLeft w:val="0"/>
          <w:marRight w:val="0"/>
          <w:marTop w:val="0"/>
          <w:marBottom w:val="0"/>
          <w:divBdr>
            <w:top w:val="none" w:sz="0" w:space="0" w:color="auto"/>
            <w:left w:val="none" w:sz="0" w:space="0" w:color="auto"/>
            <w:bottom w:val="none" w:sz="0" w:space="0" w:color="auto"/>
            <w:right w:val="none" w:sz="0" w:space="0" w:color="auto"/>
          </w:divBdr>
        </w:div>
        <w:div w:id="1328896565">
          <w:marLeft w:val="0"/>
          <w:marRight w:val="0"/>
          <w:marTop w:val="0"/>
          <w:marBottom w:val="0"/>
          <w:divBdr>
            <w:top w:val="none" w:sz="0" w:space="0" w:color="auto"/>
            <w:left w:val="none" w:sz="0" w:space="0" w:color="auto"/>
            <w:bottom w:val="none" w:sz="0" w:space="0" w:color="auto"/>
            <w:right w:val="none" w:sz="0" w:space="0" w:color="auto"/>
          </w:divBdr>
        </w:div>
        <w:div w:id="1088037082">
          <w:marLeft w:val="0"/>
          <w:marRight w:val="0"/>
          <w:marTop w:val="0"/>
          <w:marBottom w:val="0"/>
          <w:divBdr>
            <w:top w:val="none" w:sz="0" w:space="0" w:color="auto"/>
            <w:left w:val="none" w:sz="0" w:space="0" w:color="auto"/>
            <w:bottom w:val="none" w:sz="0" w:space="0" w:color="auto"/>
            <w:right w:val="none" w:sz="0" w:space="0" w:color="auto"/>
          </w:divBdr>
        </w:div>
        <w:div w:id="1197700229">
          <w:marLeft w:val="0"/>
          <w:marRight w:val="0"/>
          <w:marTop w:val="0"/>
          <w:marBottom w:val="0"/>
          <w:divBdr>
            <w:top w:val="none" w:sz="0" w:space="0" w:color="auto"/>
            <w:left w:val="none" w:sz="0" w:space="0" w:color="auto"/>
            <w:bottom w:val="none" w:sz="0" w:space="0" w:color="auto"/>
            <w:right w:val="none" w:sz="0" w:space="0" w:color="auto"/>
          </w:divBdr>
        </w:div>
        <w:div w:id="1428187327">
          <w:marLeft w:val="0"/>
          <w:marRight w:val="0"/>
          <w:marTop w:val="0"/>
          <w:marBottom w:val="0"/>
          <w:divBdr>
            <w:top w:val="none" w:sz="0" w:space="0" w:color="auto"/>
            <w:left w:val="none" w:sz="0" w:space="0" w:color="auto"/>
            <w:bottom w:val="none" w:sz="0" w:space="0" w:color="auto"/>
            <w:right w:val="none" w:sz="0" w:space="0" w:color="auto"/>
          </w:divBdr>
        </w:div>
        <w:div w:id="1368947444">
          <w:marLeft w:val="0"/>
          <w:marRight w:val="0"/>
          <w:marTop w:val="0"/>
          <w:marBottom w:val="0"/>
          <w:divBdr>
            <w:top w:val="none" w:sz="0" w:space="0" w:color="auto"/>
            <w:left w:val="none" w:sz="0" w:space="0" w:color="auto"/>
            <w:bottom w:val="none" w:sz="0" w:space="0" w:color="auto"/>
            <w:right w:val="none" w:sz="0" w:space="0" w:color="auto"/>
          </w:divBdr>
        </w:div>
        <w:div w:id="1232348518">
          <w:marLeft w:val="0"/>
          <w:marRight w:val="0"/>
          <w:marTop w:val="0"/>
          <w:marBottom w:val="0"/>
          <w:divBdr>
            <w:top w:val="none" w:sz="0" w:space="0" w:color="auto"/>
            <w:left w:val="none" w:sz="0" w:space="0" w:color="auto"/>
            <w:bottom w:val="none" w:sz="0" w:space="0" w:color="auto"/>
            <w:right w:val="none" w:sz="0" w:space="0" w:color="auto"/>
          </w:divBdr>
        </w:div>
        <w:div w:id="2007589174">
          <w:marLeft w:val="0"/>
          <w:marRight w:val="0"/>
          <w:marTop w:val="0"/>
          <w:marBottom w:val="0"/>
          <w:divBdr>
            <w:top w:val="none" w:sz="0" w:space="0" w:color="auto"/>
            <w:left w:val="none" w:sz="0" w:space="0" w:color="auto"/>
            <w:bottom w:val="none" w:sz="0" w:space="0" w:color="auto"/>
            <w:right w:val="none" w:sz="0" w:space="0" w:color="auto"/>
          </w:divBdr>
        </w:div>
        <w:div w:id="301884185">
          <w:marLeft w:val="0"/>
          <w:marRight w:val="0"/>
          <w:marTop w:val="0"/>
          <w:marBottom w:val="0"/>
          <w:divBdr>
            <w:top w:val="none" w:sz="0" w:space="0" w:color="auto"/>
            <w:left w:val="none" w:sz="0" w:space="0" w:color="auto"/>
            <w:bottom w:val="none" w:sz="0" w:space="0" w:color="auto"/>
            <w:right w:val="none" w:sz="0" w:space="0" w:color="auto"/>
          </w:divBdr>
        </w:div>
        <w:div w:id="1835416884">
          <w:marLeft w:val="0"/>
          <w:marRight w:val="0"/>
          <w:marTop w:val="0"/>
          <w:marBottom w:val="0"/>
          <w:divBdr>
            <w:top w:val="none" w:sz="0" w:space="0" w:color="auto"/>
            <w:left w:val="none" w:sz="0" w:space="0" w:color="auto"/>
            <w:bottom w:val="none" w:sz="0" w:space="0" w:color="auto"/>
            <w:right w:val="none" w:sz="0" w:space="0" w:color="auto"/>
          </w:divBdr>
        </w:div>
        <w:div w:id="364526409">
          <w:marLeft w:val="0"/>
          <w:marRight w:val="0"/>
          <w:marTop w:val="0"/>
          <w:marBottom w:val="0"/>
          <w:divBdr>
            <w:top w:val="none" w:sz="0" w:space="0" w:color="auto"/>
            <w:left w:val="none" w:sz="0" w:space="0" w:color="auto"/>
            <w:bottom w:val="none" w:sz="0" w:space="0" w:color="auto"/>
            <w:right w:val="none" w:sz="0" w:space="0" w:color="auto"/>
          </w:divBdr>
        </w:div>
        <w:div w:id="1821074227">
          <w:marLeft w:val="0"/>
          <w:marRight w:val="0"/>
          <w:marTop w:val="0"/>
          <w:marBottom w:val="0"/>
          <w:divBdr>
            <w:top w:val="none" w:sz="0" w:space="0" w:color="auto"/>
            <w:left w:val="none" w:sz="0" w:space="0" w:color="auto"/>
            <w:bottom w:val="none" w:sz="0" w:space="0" w:color="auto"/>
            <w:right w:val="none" w:sz="0" w:space="0" w:color="auto"/>
          </w:divBdr>
        </w:div>
        <w:div w:id="1178278684">
          <w:marLeft w:val="0"/>
          <w:marRight w:val="0"/>
          <w:marTop w:val="0"/>
          <w:marBottom w:val="0"/>
          <w:divBdr>
            <w:top w:val="none" w:sz="0" w:space="0" w:color="auto"/>
            <w:left w:val="none" w:sz="0" w:space="0" w:color="auto"/>
            <w:bottom w:val="none" w:sz="0" w:space="0" w:color="auto"/>
            <w:right w:val="none" w:sz="0" w:space="0" w:color="auto"/>
          </w:divBdr>
        </w:div>
        <w:div w:id="416903396">
          <w:marLeft w:val="0"/>
          <w:marRight w:val="0"/>
          <w:marTop w:val="0"/>
          <w:marBottom w:val="0"/>
          <w:divBdr>
            <w:top w:val="none" w:sz="0" w:space="0" w:color="auto"/>
            <w:left w:val="none" w:sz="0" w:space="0" w:color="auto"/>
            <w:bottom w:val="none" w:sz="0" w:space="0" w:color="auto"/>
            <w:right w:val="none" w:sz="0" w:space="0" w:color="auto"/>
          </w:divBdr>
        </w:div>
        <w:div w:id="150485228">
          <w:marLeft w:val="0"/>
          <w:marRight w:val="0"/>
          <w:marTop w:val="0"/>
          <w:marBottom w:val="0"/>
          <w:divBdr>
            <w:top w:val="none" w:sz="0" w:space="0" w:color="auto"/>
            <w:left w:val="none" w:sz="0" w:space="0" w:color="auto"/>
            <w:bottom w:val="none" w:sz="0" w:space="0" w:color="auto"/>
            <w:right w:val="none" w:sz="0" w:space="0" w:color="auto"/>
          </w:divBdr>
        </w:div>
        <w:div w:id="1126317627">
          <w:marLeft w:val="0"/>
          <w:marRight w:val="0"/>
          <w:marTop w:val="0"/>
          <w:marBottom w:val="0"/>
          <w:divBdr>
            <w:top w:val="none" w:sz="0" w:space="0" w:color="auto"/>
            <w:left w:val="none" w:sz="0" w:space="0" w:color="auto"/>
            <w:bottom w:val="none" w:sz="0" w:space="0" w:color="auto"/>
            <w:right w:val="none" w:sz="0" w:space="0" w:color="auto"/>
          </w:divBdr>
        </w:div>
        <w:div w:id="41056806">
          <w:marLeft w:val="0"/>
          <w:marRight w:val="0"/>
          <w:marTop w:val="0"/>
          <w:marBottom w:val="0"/>
          <w:divBdr>
            <w:top w:val="none" w:sz="0" w:space="0" w:color="auto"/>
            <w:left w:val="none" w:sz="0" w:space="0" w:color="auto"/>
            <w:bottom w:val="none" w:sz="0" w:space="0" w:color="auto"/>
            <w:right w:val="none" w:sz="0" w:space="0" w:color="auto"/>
          </w:divBdr>
        </w:div>
        <w:div w:id="513954191">
          <w:marLeft w:val="0"/>
          <w:marRight w:val="0"/>
          <w:marTop w:val="0"/>
          <w:marBottom w:val="0"/>
          <w:divBdr>
            <w:top w:val="none" w:sz="0" w:space="0" w:color="auto"/>
            <w:left w:val="none" w:sz="0" w:space="0" w:color="auto"/>
            <w:bottom w:val="none" w:sz="0" w:space="0" w:color="auto"/>
            <w:right w:val="none" w:sz="0" w:space="0" w:color="auto"/>
          </w:divBdr>
        </w:div>
        <w:div w:id="1835099932">
          <w:marLeft w:val="0"/>
          <w:marRight w:val="0"/>
          <w:marTop w:val="0"/>
          <w:marBottom w:val="0"/>
          <w:divBdr>
            <w:top w:val="none" w:sz="0" w:space="0" w:color="auto"/>
            <w:left w:val="none" w:sz="0" w:space="0" w:color="auto"/>
            <w:bottom w:val="none" w:sz="0" w:space="0" w:color="auto"/>
            <w:right w:val="none" w:sz="0" w:space="0" w:color="auto"/>
          </w:divBdr>
        </w:div>
        <w:div w:id="1186480264">
          <w:marLeft w:val="0"/>
          <w:marRight w:val="0"/>
          <w:marTop w:val="0"/>
          <w:marBottom w:val="0"/>
          <w:divBdr>
            <w:top w:val="none" w:sz="0" w:space="0" w:color="auto"/>
            <w:left w:val="none" w:sz="0" w:space="0" w:color="auto"/>
            <w:bottom w:val="none" w:sz="0" w:space="0" w:color="auto"/>
            <w:right w:val="none" w:sz="0" w:space="0" w:color="auto"/>
          </w:divBdr>
        </w:div>
        <w:div w:id="882979316">
          <w:marLeft w:val="0"/>
          <w:marRight w:val="0"/>
          <w:marTop w:val="0"/>
          <w:marBottom w:val="0"/>
          <w:divBdr>
            <w:top w:val="none" w:sz="0" w:space="0" w:color="auto"/>
            <w:left w:val="none" w:sz="0" w:space="0" w:color="auto"/>
            <w:bottom w:val="none" w:sz="0" w:space="0" w:color="auto"/>
            <w:right w:val="none" w:sz="0" w:space="0" w:color="auto"/>
          </w:divBdr>
        </w:div>
        <w:div w:id="1657344679">
          <w:marLeft w:val="0"/>
          <w:marRight w:val="0"/>
          <w:marTop w:val="0"/>
          <w:marBottom w:val="0"/>
          <w:divBdr>
            <w:top w:val="none" w:sz="0" w:space="0" w:color="auto"/>
            <w:left w:val="none" w:sz="0" w:space="0" w:color="auto"/>
            <w:bottom w:val="none" w:sz="0" w:space="0" w:color="auto"/>
            <w:right w:val="none" w:sz="0" w:space="0" w:color="auto"/>
          </w:divBdr>
        </w:div>
        <w:div w:id="526874744">
          <w:marLeft w:val="0"/>
          <w:marRight w:val="0"/>
          <w:marTop w:val="0"/>
          <w:marBottom w:val="0"/>
          <w:divBdr>
            <w:top w:val="none" w:sz="0" w:space="0" w:color="auto"/>
            <w:left w:val="none" w:sz="0" w:space="0" w:color="auto"/>
            <w:bottom w:val="none" w:sz="0" w:space="0" w:color="auto"/>
            <w:right w:val="none" w:sz="0" w:space="0" w:color="auto"/>
          </w:divBdr>
        </w:div>
        <w:div w:id="754980915">
          <w:marLeft w:val="0"/>
          <w:marRight w:val="0"/>
          <w:marTop w:val="0"/>
          <w:marBottom w:val="0"/>
          <w:divBdr>
            <w:top w:val="none" w:sz="0" w:space="0" w:color="auto"/>
            <w:left w:val="none" w:sz="0" w:space="0" w:color="auto"/>
            <w:bottom w:val="none" w:sz="0" w:space="0" w:color="auto"/>
            <w:right w:val="none" w:sz="0" w:space="0" w:color="auto"/>
          </w:divBdr>
        </w:div>
        <w:div w:id="1358848961">
          <w:marLeft w:val="0"/>
          <w:marRight w:val="0"/>
          <w:marTop w:val="0"/>
          <w:marBottom w:val="0"/>
          <w:divBdr>
            <w:top w:val="none" w:sz="0" w:space="0" w:color="auto"/>
            <w:left w:val="none" w:sz="0" w:space="0" w:color="auto"/>
            <w:bottom w:val="none" w:sz="0" w:space="0" w:color="auto"/>
            <w:right w:val="none" w:sz="0" w:space="0" w:color="auto"/>
          </w:divBdr>
        </w:div>
        <w:div w:id="1150709304">
          <w:marLeft w:val="0"/>
          <w:marRight w:val="0"/>
          <w:marTop w:val="0"/>
          <w:marBottom w:val="0"/>
          <w:divBdr>
            <w:top w:val="none" w:sz="0" w:space="0" w:color="auto"/>
            <w:left w:val="none" w:sz="0" w:space="0" w:color="auto"/>
            <w:bottom w:val="none" w:sz="0" w:space="0" w:color="auto"/>
            <w:right w:val="none" w:sz="0" w:space="0" w:color="auto"/>
          </w:divBdr>
        </w:div>
        <w:div w:id="947466501">
          <w:marLeft w:val="0"/>
          <w:marRight w:val="0"/>
          <w:marTop w:val="0"/>
          <w:marBottom w:val="0"/>
          <w:divBdr>
            <w:top w:val="none" w:sz="0" w:space="0" w:color="auto"/>
            <w:left w:val="none" w:sz="0" w:space="0" w:color="auto"/>
            <w:bottom w:val="none" w:sz="0" w:space="0" w:color="auto"/>
            <w:right w:val="none" w:sz="0" w:space="0" w:color="auto"/>
          </w:divBdr>
        </w:div>
        <w:div w:id="1322657119">
          <w:marLeft w:val="0"/>
          <w:marRight w:val="0"/>
          <w:marTop w:val="0"/>
          <w:marBottom w:val="0"/>
          <w:divBdr>
            <w:top w:val="none" w:sz="0" w:space="0" w:color="auto"/>
            <w:left w:val="none" w:sz="0" w:space="0" w:color="auto"/>
            <w:bottom w:val="none" w:sz="0" w:space="0" w:color="auto"/>
            <w:right w:val="none" w:sz="0" w:space="0" w:color="auto"/>
          </w:divBdr>
        </w:div>
        <w:div w:id="430585261">
          <w:marLeft w:val="0"/>
          <w:marRight w:val="0"/>
          <w:marTop w:val="0"/>
          <w:marBottom w:val="0"/>
          <w:divBdr>
            <w:top w:val="none" w:sz="0" w:space="0" w:color="auto"/>
            <w:left w:val="none" w:sz="0" w:space="0" w:color="auto"/>
            <w:bottom w:val="none" w:sz="0" w:space="0" w:color="auto"/>
            <w:right w:val="none" w:sz="0" w:space="0" w:color="auto"/>
          </w:divBdr>
        </w:div>
        <w:div w:id="1479689480">
          <w:marLeft w:val="0"/>
          <w:marRight w:val="0"/>
          <w:marTop w:val="0"/>
          <w:marBottom w:val="0"/>
          <w:divBdr>
            <w:top w:val="none" w:sz="0" w:space="0" w:color="auto"/>
            <w:left w:val="none" w:sz="0" w:space="0" w:color="auto"/>
            <w:bottom w:val="none" w:sz="0" w:space="0" w:color="auto"/>
            <w:right w:val="none" w:sz="0" w:space="0" w:color="auto"/>
          </w:divBdr>
        </w:div>
        <w:div w:id="1534461607">
          <w:marLeft w:val="0"/>
          <w:marRight w:val="0"/>
          <w:marTop w:val="0"/>
          <w:marBottom w:val="0"/>
          <w:divBdr>
            <w:top w:val="none" w:sz="0" w:space="0" w:color="auto"/>
            <w:left w:val="none" w:sz="0" w:space="0" w:color="auto"/>
            <w:bottom w:val="none" w:sz="0" w:space="0" w:color="auto"/>
            <w:right w:val="none" w:sz="0" w:space="0" w:color="auto"/>
          </w:divBdr>
        </w:div>
        <w:div w:id="1141844160">
          <w:marLeft w:val="0"/>
          <w:marRight w:val="0"/>
          <w:marTop w:val="0"/>
          <w:marBottom w:val="0"/>
          <w:divBdr>
            <w:top w:val="none" w:sz="0" w:space="0" w:color="auto"/>
            <w:left w:val="none" w:sz="0" w:space="0" w:color="auto"/>
            <w:bottom w:val="none" w:sz="0" w:space="0" w:color="auto"/>
            <w:right w:val="none" w:sz="0" w:space="0" w:color="auto"/>
          </w:divBdr>
        </w:div>
        <w:div w:id="1534876868">
          <w:marLeft w:val="0"/>
          <w:marRight w:val="0"/>
          <w:marTop w:val="0"/>
          <w:marBottom w:val="0"/>
          <w:divBdr>
            <w:top w:val="none" w:sz="0" w:space="0" w:color="auto"/>
            <w:left w:val="none" w:sz="0" w:space="0" w:color="auto"/>
            <w:bottom w:val="none" w:sz="0" w:space="0" w:color="auto"/>
            <w:right w:val="none" w:sz="0" w:space="0" w:color="auto"/>
          </w:divBdr>
        </w:div>
        <w:div w:id="1008215253">
          <w:marLeft w:val="0"/>
          <w:marRight w:val="0"/>
          <w:marTop w:val="0"/>
          <w:marBottom w:val="0"/>
          <w:divBdr>
            <w:top w:val="none" w:sz="0" w:space="0" w:color="auto"/>
            <w:left w:val="none" w:sz="0" w:space="0" w:color="auto"/>
            <w:bottom w:val="none" w:sz="0" w:space="0" w:color="auto"/>
            <w:right w:val="none" w:sz="0" w:space="0" w:color="auto"/>
          </w:divBdr>
        </w:div>
        <w:div w:id="1680961111">
          <w:marLeft w:val="0"/>
          <w:marRight w:val="0"/>
          <w:marTop w:val="0"/>
          <w:marBottom w:val="0"/>
          <w:divBdr>
            <w:top w:val="none" w:sz="0" w:space="0" w:color="auto"/>
            <w:left w:val="none" w:sz="0" w:space="0" w:color="auto"/>
            <w:bottom w:val="none" w:sz="0" w:space="0" w:color="auto"/>
            <w:right w:val="none" w:sz="0" w:space="0" w:color="auto"/>
          </w:divBdr>
        </w:div>
        <w:div w:id="1057782552">
          <w:marLeft w:val="0"/>
          <w:marRight w:val="0"/>
          <w:marTop w:val="0"/>
          <w:marBottom w:val="0"/>
          <w:divBdr>
            <w:top w:val="none" w:sz="0" w:space="0" w:color="auto"/>
            <w:left w:val="none" w:sz="0" w:space="0" w:color="auto"/>
            <w:bottom w:val="none" w:sz="0" w:space="0" w:color="auto"/>
            <w:right w:val="none" w:sz="0" w:space="0" w:color="auto"/>
          </w:divBdr>
        </w:div>
        <w:div w:id="976060232">
          <w:marLeft w:val="0"/>
          <w:marRight w:val="0"/>
          <w:marTop w:val="0"/>
          <w:marBottom w:val="0"/>
          <w:divBdr>
            <w:top w:val="none" w:sz="0" w:space="0" w:color="auto"/>
            <w:left w:val="none" w:sz="0" w:space="0" w:color="auto"/>
            <w:bottom w:val="none" w:sz="0" w:space="0" w:color="auto"/>
            <w:right w:val="none" w:sz="0" w:space="0" w:color="auto"/>
          </w:divBdr>
        </w:div>
        <w:div w:id="90785827">
          <w:marLeft w:val="0"/>
          <w:marRight w:val="0"/>
          <w:marTop w:val="0"/>
          <w:marBottom w:val="0"/>
          <w:divBdr>
            <w:top w:val="none" w:sz="0" w:space="0" w:color="auto"/>
            <w:left w:val="none" w:sz="0" w:space="0" w:color="auto"/>
            <w:bottom w:val="none" w:sz="0" w:space="0" w:color="auto"/>
            <w:right w:val="none" w:sz="0" w:space="0" w:color="auto"/>
          </w:divBdr>
        </w:div>
        <w:div w:id="86124761">
          <w:marLeft w:val="0"/>
          <w:marRight w:val="0"/>
          <w:marTop w:val="0"/>
          <w:marBottom w:val="0"/>
          <w:divBdr>
            <w:top w:val="none" w:sz="0" w:space="0" w:color="auto"/>
            <w:left w:val="none" w:sz="0" w:space="0" w:color="auto"/>
            <w:bottom w:val="none" w:sz="0" w:space="0" w:color="auto"/>
            <w:right w:val="none" w:sz="0" w:space="0" w:color="auto"/>
          </w:divBdr>
        </w:div>
        <w:div w:id="341014574">
          <w:marLeft w:val="0"/>
          <w:marRight w:val="0"/>
          <w:marTop w:val="0"/>
          <w:marBottom w:val="0"/>
          <w:divBdr>
            <w:top w:val="none" w:sz="0" w:space="0" w:color="auto"/>
            <w:left w:val="none" w:sz="0" w:space="0" w:color="auto"/>
            <w:bottom w:val="none" w:sz="0" w:space="0" w:color="auto"/>
            <w:right w:val="none" w:sz="0" w:space="0" w:color="auto"/>
          </w:divBdr>
        </w:div>
      </w:divsChild>
    </w:div>
    <w:div w:id="1309244512">
      <w:bodyDiv w:val="1"/>
      <w:marLeft w:val="0"/>
      <w:marRight w:val="0"/>
      <w:marTop w:val="0"/>
      <w:marBottom w:val="0"/>
      <w:divBdr>
        <w:top w:val="none" w:sz="0" w:space="0" w:color="auto"/>
        <w:left w:val="none" w:sz="0" w:space="0" w:color="auto"/>
        <w:bottom w:val="none" w:sz="0" w:space="0" w:color="auto"/>
        <w:right w:val="none" w:sz="0" w:space="0" w:color="auto"/>
      </w:divBdr>
      <w:divsChild>
        <w:div w:id="591472838">
          <w:marLeft w:val="0"/>
          <w:marRight w:val="0"/>
          <w:marTop w:val="0"/>
          <w:marBottom w:val="0"/>
          <w:divBdr>
            <w:top w:val="none" w:sz="0" w:space="0" w:color="auto"/>
            <w:left w:val="none" w:sz="0" w:space="0" w:color="auto"/>
            <w:bottom w:val="none" w:sz="0" w:space="0" w:color="auto"/>
            <w:right w:val="none" w:sz="0" w:space="0" w:color="auto"/>
          </w:divBdr>
        </w:div>
        <w:div w:id="1457530434">
          <w:marLeft w:val="0"/>
          <w:marRight w:val="0"/>
          <w:marTop w:val="0"/>
          <w:marBottom w:val="0"/>
          <w:divBdr>
            <w:top w:val="none" w:sz="0" w:space="0" w:color="auto"/>
            <w:left w:val="none" w:sz="0" w:space="0" w:color="auto"/>
            <w:bottom w:val="none" w:sz="0" w:space="0" w:color="auto"/>
            <w:right w:val="none" w:sz="0" w:space="0" w:color="auto"/>
          </w:divBdr>
        </w:div>
        <w:div w:id="847906244">
          <w:marLeft w:val="0"/>
          <w:marRight w:val="0"/>
          <w:marTop w:val="0"/>
          <w:marBottom w:val="0"/>
          <w:divBdr>
            <w:top w:val="none" w:sz="0" w:space="0" w:color="auto"/>
            <w:left w:val="none" w:sz="0" w:space="0" w:color="auto"/>
            <w:bottom w:val="none" w:sz="0" w:space="0" w:color="auto"/>
            <w:right w:val="none" w:sz="0" w:space="0" w:color="auto"/>
          </w:divBdr>
        </w:div>
        <w:div w:id="700133043">
          <w:marLeft w:val="0"/>
          <w:marRight w:val="0"/>
          <w:marTop w:val="0"/>
          <w:marBottom w:val="0"/>
          <w:divBdr>
            <w:top w:val="none" w:sz="0" w:space="0" w:color="auto"/>
            <w:left w:val="none" w:sz="0" w:space="0" w:color="auto"/>
            <w:bottom w:val="none" w:sz="0" w:space="0" w:color="auto"/>
            <w:right w:val="none" w:sz="0" w:space="0" w:color="auto"/>
          </w:divBdr>
        </w:div>
        <w:div w:id="217789683">
          <w:marLeft w:val="0"/>
          <w:marRight w:val="0"/>
          <w:marTop w:val="0"/>
          <w:marBottom w:val="0"/>
          <w:divBdr>
            <w:top w:val="none" w:sz="0" w:space="0" w:color="auto"/>
            <w:left w:val="none" w:sz="0" w:space="0" w:color="auto"/>
            <w:bottom w:val="none" w:sz="0" w:space="0" w:color="auto"/>
            <w:right w:val="none" w:sz="0" w:space="0" w:color="auto"/>
          </w:divBdr>
        </w:div>
        <w:div w:id="1655261627">
          <w:marLeft w:val="0"/>
          <w:marRight w:val="0"/>
          <w:marTop w:val="0"/>
          <w:marBottom w:val="0"/>
          <w:divBdr>
            <w:top w:val="none" w:sz="0" w:space="0" w:color="auto"/>
            <w:left w:val="none" w:sz="0" w:space="0" w:color="auto"/>
            <w:bottom w:val="none" w:sz="0" w:space="0" w:color="auto"/>
            <w:right w:val="none" w:sz="0" w:space="0" w:color="auto"/>
          </w:divBdr>
        </w:div>
        <w:div w:id="1007053916">
          <w:marLeft w:val="0"/>
          <w:marRight w:val="0"/>
          <w:marTop w:val="0"/>
          <w:marBottom w:val="0"/>
          <w:divBdr>
            <w:top w:val="none" w:sz="0" w:space="0" w:color="auto"/>
            <w:left w:val="none" w:sz="0" w:space="0" w:color="auto"/>
            <w:bottom w:val="none" w:sz="0" w:space="0" w:color="auto"/>
            <w:right w:val="none" w:sz="0" w:space="0" w:color="auto"/>
          </w:divBdr>
        </w:div>
        <w:div w:id="880554263">
          <w:marLeft w:val="0"/>
          <w:marRight w:val="0"/>
          <w:marTop w:val="0"/>
          <w:marBottom w:val="0"/>
          <w:divBdr>
            <w:top w:val="none" w:sz="0" w:space="0" w:color="auto"/>
            <w:left w:val="none" w:sz="0" w:space="0" w:color="auto"/>
            <w:bottom w:val="none" w:sz="0" w:space="0" w:color="auto"/>
            <w:right w:val="none" w:sz="0" w:space="0" w:color="auto"/>
          </w:divBdr>
        </w:div>
        <w:div w:id="1619752419">
          <w:marLeft w:val="0"/>
          <w:marRight w:val="0"/>
          <w:marTop w:val="0"/>
          <w:marBottom w:val="0"/>
          <w:divBdr>
            <w:top w:val="none" w:sz="0" w:space="0" w:color="auto"/>
            <w:left w:val="none" w:sz="0" w:space="0" w:color="auto"/>
            <w:bottom w:val="none" w:sz="0" w:space="0" w:color="auto"/>
            <w:right w:val="none" w:sz="0" w:space="0" w:color="auto"/>
          </w:divBdr>
        </w:div>
        <w:div w:id="528954975">
          <w:marLeft w:val="0"/>
          <w:marRight w:val="0"/>
          <w:marTop w:val="0"/>
          <w:marBottom w:val="0"/>
          <w:divBdr>
            <w:top w:val="none" w:sz="0" w:space="0" w:color="auto"/>
            <w:left w:val="none" w:sz="0" w:space="0" w:color="auto"/>
            <w:bottom w:val="none" w:sz="0" w:space="0" w:color="auto"/>
            <w:right w:val="none" w:sz="0" w:space="0" w:color="auto"/>
          </w:divBdr>
        </w:div>
        <w:div w:id="48498361">
          <w:marLeft w:val="0"/>
          <w:marRight w:val="0"/>
          <w:marTop w:val="0"/>
          <w:marBottom w:val="0"/>
          <w:divBdr>
            <w:top w:val="none" w:sz="0" w:space="0" w:color="auto"/>
            <w:left w:val="none" w:sz="0" w:space="0" w:color="auto"/>
            <w:bottom w:val="none" w:sz="0" w:space="0" w:color="auto"/>
            <w:right w:val="none" w:sz="0" w:space="0" w:color="auto"/>
          </w:divBdr>
        </w:div>
        <w:div w:id="1756703692">
          <w:marLeft w:val="0"/>
          <w:marRight w:val="0"/>
          <w:marTop w:val="0"/>
          <w:marBottom w:val="0"/>
          <w:divBdr>
            <w:top w:val="none" w:sz="0" w:space="0" w:color="auto"/>
            <w:left w:val="none" w:sz="0" w:space="0" w:color="auto"/>
            <w:bottom w:val="none" w:sz="0" w:space="0" w:color="auto"/>
            <w:right w:val="none" w:sz="0" w:space="0" w:color="auto"/>
          </w:divBdr>
        </w:div>
        <w:div w:id="935869632">
          <w:marLeft w:val="0"/>
          <w:marRight w:val="0"/>
          <w:marTop w:val="0"/>
          <w:marBottom w:val="0"/>
          <w:divBdr>
            <w:top w:val="none" w:sz="0" w:space="0" w:color="auto"/>
            <w:left w:val="none" w:sz="0" w:space="0" w:color="auto"/>
            <w:bottom w:val="none" w:sz="0" w:space="0" w:color="auto"/>
            <w:right w:val="none" w:sz="0" w:space="0" w:color="auto"/>
          </w:divBdr>
        </w:div>
        <w:div w:id="992028935">
          <w:marLeft w:val="0"/>
          <w:marRight w:val="0"/>
          <w:marTop w:val="0"/>
          <w:marBottom w:val="0"/>
          <w:divBdr>
            <w:top w:val="none" w:sz="0" w:space="0" w:color="auto"/>
            <w:left w:val="none" w:sz="0" w:space="0" w:color="auto"/>
            <w:bottom w:val="none" w:sz="0" w:space="0" w:color="auto"/>
            <w:right w:val="none" w:sz="0" w:space="0" w:color="auto"/>
          </w:divBdr>
        </w:div>
        <w:div w:id="2035157568">
          <w:marLeft w:val="0"/>
          <w:marRight w:val="0"/>
          <w:marTop w:val="0"/>
          <w:marBottom w:val="0"/>
          <w:divBdr>
            <w:top w:val="none" w:sz="0" w:space="0" w:color="auto"/>
            <w:left w:val="none" w:sz="0" w:space="0" w:color="auto"/>
            <w:bottom w:val="none" w:sz="0" w:space="0" w:color="auto"/>
            <w:right w:val="none" w:sz="0" w:space="0" w:color="auto"/>
          </w:divBdr>
        </w:div>
        <w:div w:id="1459181542">
          <w:marLeft w:val="0"/>
          <w:marRight w:val="0"/>
          <w:marTop w:val="0"/>
          <w:marBottom w:val="0"/>
          <w:divBdr>
            <w:top w:val="none" w:sz="0" w:space="0" w:color="auto"/>
            <w:left w:val="none" w:sz="0" w:space="0" w:color="auto"/>
            <w:bottom w:val="none" w:sz="0" w:space="0" w:color="auto"/>
            <w:right w:val="none" w:sz="0" w:space="0" w:color="auto"/>
          </w:divBdr>
        </w:div>
        <w:div w:id="1642423294">
          <w:marLeft w:val="0"/>
          <w:marRight w:val="0"/>
          <w:marTop w:val="0"/>
          <w:marBottom w:val="0"/>
          <w:divBdr>
            <w:top w:val="none" w:sz="0" w:space="0" w:color="auto"/>
            <w:left w:val="none" w:sz="0" w:space="0" w:color="auto"/>
            <w:bottom w:val="none" w:sz="0" w:space="0" w:color="auto"/>
            <w:right w:val="none" w:sz="0" w:space="0" w:color="auto"/>
          </w:divBdr>
        </w:div>
        <w:div w:id="1904101999">
          <w:marLeft w:val="0"/>
          <w:marRight w:val="0"/>
          <w:marTop w:val="0"/>
          <w:marBottom w:val="0"/>
          <w:divBdr>
            <w:top w:val="none" w:sz="0" w:space="0" w:color="auto"/>
            <w:left w:val="none" w:sz="0" w:space="0" w:color="auto"/>
            <w:bottom w:val="none" w:sz="0" w:space="0" w:color="auto"/>
            <w:right w:val="none" w:sz="0" w:space="0" w:color="auto"/>
          </w:divBdr>
        </w:div>
        <w:div w:id="1826050880">
          <w:marLeft w:val="0"/>
          <w:marRight w:val="0"/>
          <w:marTop w:val="0"/>
          <w:marBottom w:val="0"/>
          <w:divBdr>
            <w:top w:val="none" w:sz="0" w:space="0" w:color="auto"/>
            <w:left w:val="none" w:sz="0" w:space="0" w:color="auto"/>
            <w:bottom w:val="none" w:sz="0" w:space="0" w:color="auto"/>
            <w:right w:val="none" w:sz="0" w:space="0" w:color="auto"/>
          </w:divBdr>
        </w:div>
        <w:div w:id="1629161664">
          <w:marLeft w:val="0"/>
          <w:marRight w:val="0"/>
          <w:marTop w:val="0"/>
          <w:marBottom w:val="0"/>
          <w:divBdr>
            <w:top w:val="none" w:sz="0" w:space="0" w:color="auto"/>
            <w:left w:val="none" w:sz="0" w:space="0" w:color="auto"/>
            <w:bottom w:val="none" w:sz="0" w:space="0" w:color="auto"/>
            <w:right w:val="none" w:sz="0" w:space="0" w:color="auto"/>
          </w:divBdr>
        </w:div>
        <w:div w:id="683676710">
          <w:marLeft w:val="0"/>
          <w:marRight w:val="0"/>
          <w:marTop w:val="0"/>
          <w:marBottom w:val="0"/>
          <w:divBdr>
            <w:top w:val="none" w:sz="0" w:space="0" w:color="auto"/>
            <w:left w:val="none" w:sz="0" w:space="0" w:color="auto"/>
            <w:bottom w:val="none" w:sz="0" w:space="0" w:color="auto"/>
            <w:right w:val="none" w:sz="0" w:space="0" w:color="auto"/>
          </w:divBdr>
        </w:div>
        <w:div w:id="253320775">
          <w:marLeft w:val="0"/>
          <w:marRight w:val="0"/>
          <w:marTop w:val="0"/>
          <w:marBottom w:val="0"/>
          <w:divBdr>
            <w:top w:val="none" w:sz="0" w:space="0" w:color="auto"/>
            <w:left w:val="none" w:sz="0" w:space="0" w:color="auto"/>
            <w:bottom w:val="none" w:sz="0" w:space="0" w:color="auto"/>
            <w:right w:val="none" w:sz="0" w:space="0" w:color="auto"/>
          </w:divBdr>
        </w:div>
        <w:div w:id="1556314065">
          <w:marLeft w:val="0"/>
          <w:marRight w:val="0"/>
          <w:marTop w:val="0"/>
          <w:marBottom w:val="0"/>
          <w:divBdr>
            <w:top w:val="none" w:sz="0" w:space="0" w:color="auto"/>
            <w:left w:val="none" w:sz="0" w:space="0" w:color="auto"/>
            <w:bottom w:val="none" w:sz="0" w:space="0" w:color="auto"/>
            <w:right w:val="none" w:sz="0" w:space="0" w:color="auto"/>
          </w:divBdr>
        </w:div>
        <w:div w:id="787163405">
          <w:marLeft w:val="0"/>
          <w:marRight w:val="0"/>
          <w:marTop w:val="0"/>
          <w:marBottom w:val="0"/>
          <w:divBdr>
            <w:top w:val="none" w:sz="0" w:space="0" w:color="auto"/>
            <w:left w:val="none" w:sz="0" w:space="0" w:color="auto"/>
            <w:bottom w:val="none" w:sz="0" w:space="0" w:color="auto"/>
            <w:right w:val="none" w:sz="0" w:space="0" w:color="auto"/>
          </w:divBdr>
        </w:div>
        <w:div w:id="1797791146">
          <w:marLeft w:val="0"/>
          <w:marRight w:val="0"/>
          <w:marTop w:val="0"/>
          <w:marBottom w:val="0"/>
          <w:divBdr>
            <w:top w:val="none" w:sz="0" w:space="0" w:color="auto"/>
            <w:left w:val="none" w:sz="0" w:space="0" w:color="auto"/>
            <w:bottom w:val="none" w:sz="0" w:space="0" w:color="auto"/>
            <w:right w:val="none" w:sz="0" w:space="0" w:color="auto"/>
          </w:divBdr>
        </w:div>
        <w:div w:id="185023749">
          <w:marLeft w:val="0"/>
          <w:marRight w:val="0"/>
          <w:marTop w:val="0"/>
          <w:marBottom w:val="0"/>
          <w:divBdr>
            <w:top w:val="none" w:sz="0" w:space="0" w:color="auto"/>
            <w:left w:val="none" w:sz="0" w:space="0" w:color="auto"/>
            <w:bottom w:val="none" w:sz="0" w:space="0" w:color="auto"/>
            <w:right w:val="none" w:sz="0" w:space="0" w:color="auto"/>
          </w:divBdr>
        </w:div>
        <w:div w:id="2012443528">
          <w:marLeft w:val="0"/>
          <w:marRight w:val="0"/>
          <w:marTop w:val="0"/>
          <w:marBottom w:val="0"/>
          <w:divBdr>
            <w:top w:val="none" w:sz="0" w:space="0" w:color="auto"/>
            <w:left w:val="none" w:sz="0" w:space="0" w:color="auto"/>
            <w:bottom w:val="none" w:sz="0" w:space="0" w:color="auto"/>
            <w:right w:val="none" w:sz="0" w:space="0" w:color="auto"/>
          </w:divBdr>
        </w:div>
        <w:div w:id="1499076889">
          <w:marLeft w:val="0"/>
          <w:marRight w:val="0"/>
          <w:marTop w:val="0"/>
          <w:marBottom w:val="0"/>
          <w:divBdr>
            <w:top w:val="none" w:sz="0" w:space="0" w:color="auto"/>
            <w:left w:val="none" w:sz="0" w:space="0" w:color="auto"/>
            <w:bottom w:val="none" w:sz="0" w:space="0" w:color="auto"/>
            <w:right w:val="none" w:sz="0" w:space="0" w:color="auto"/>
          </w:divBdr>
        </w:div>
        <w:div w:id="1487357627">
          <w:marLeft w:val="0"/>
          <w:marRight w:val="0"/>
          <w:marTop w:val="0"/>
          <w:marBottom w:val="0"/>
          <w:divBdr>
            <w:top w:val="none" w:sz="0" w:space="0" w:color="auto"/>
            <w:left w:val="none" w:sz="0" w:space="0" w:color="auto"/>
            <w:bottom w:val="none" w:sz="0" w:space="0" w:color="auto"/>
            <w:right w:val="none" w:sz="0" w:space="0" w:color="auto"/>
          </w:divBdr>
        </w:div>
        <w:div w:id="132870658">
          <w:marLeft w:val="0"/>
          <w:marRight w:val="0"/>
          <w:marTop w:val="0"/>
          <w:marBottom w:val="0"/>
          <w:divBdr>
            <w:top w:val="none" w:sz="0" w:space="0" w:color="auto"/>
            <w:left w:val="none" w:sz="0" w:space="0" w:color="auto"/>
            <w:bottom w:val="none" w:sz="0" w:space="0" w:color="auto"/>
            <w:right w:val="none" w:sz="0" w:space="0" w:color="auto"/>
          </w:divBdr>
        </w:div>
        <w:div w:id="1942907537">
          <w:marLeft w:val="0"/>
          <w:marRight w:val="0"/>
          <w:marTop w:val="0"/>
          <w:marBottom w:val="0"/>
          <w:divBdr>
            <w:top w:val="none" w:sz="0" w:space="0" w:color="auto"/>
            <w:left w:val="none" w:sz="0" w:space="0" w:color="auto"/>
            <w:bottom w:val="none" w:sz="0" w:space="0" w:color="auto"/>
            <w:right w:val="none" w:sz="0" w:space="0" w:color="auto"/>
          </w:divBdr>
        </w:div>
        <w:div w:id="1612086138">
          <w:marLeft w:val="0"/>
          <w:marRight w:val="0"/>
          <w:marTop w:val="0"/>
          <w:marBottom w:val="0"/>
          <w:divBdr>
            <w:top w:val="none" w:sz="0" w:space="0" w:color="auto"/>
            <w:left w:val="none" w:sz="0" w:space="0" w:color="auto"/>
            <w:bottom w:val="none" w:sz="0" w:space="0" w:color="auto"/>
            <w:right w:val="none" w:sz="0" w:space="0" w:color="auto"/>
          </w:divBdr>
        </w:div>
        <w:div w:id="709651420">
          <w:marLeft w:val="0"/>
          <w:marRight w:val="0"/>
          <w:marTop w:val="0"/>
          <w:marBottom w:val="0"/>
          <w:divBdr>
            <w:top w:val="none" w:sz="0" w:space="0" w:color="auto"/>
            <w:left w:val="none" w:sz="0" w:space="0" w:color="auto"/>
            <w:bottom w:val="none" w:sz="0" w:space="0" w:color="auto"/>
            <w:right w:val="none" w:sz="0" w:space="0" w:color="auto"/>
          </w:divBdr>
        </w:div>
        <w:div w:id="1593657841">
          <w:marLeft w:val="0"/>
          <w:marRight w:val="0"/>
          <w:marTop w:val="0"/>
          <w:marBottom w:val="0"/>
          <w:divBdr>
            <w:top w:val="none" w:sz="0" w:space="0" w:color="auto"/>
            <w:left w:val="none" w:sz="0" w:space="0" w:color="auto"/>
            <w:bottom w:val="none" w:sz="0" w:space="0" w:color="auto"/>
            <w:right w:val="none" w:sz="0" w:space="0" w:color="auto"/>
          </w:divBdr>
        </w:div>
        <w:div w:id="1559823353">
          <w:marLeft w:val="0"/>
          <w:marRight w:val="0"/>
          <w:marTop w:val="0"/>
          <w:marBottom w:val="0"/>
          <w:divBdr>
            <w:top w:val="none" w:sz="0" w:space="0" w:color="auto"/>
            <w:left w:val="none" w:sz="0" w:space="0" w:color="auto"/>
            <w:bottom w:val="none" w:sz="0" w:space="0" w:color="auto"/>
            <w:right w:val="none" w:sz="0" w:space="0" w:color="auto"/>
          </w:divBdr>
        </w:div>
        <w:div w:id="1673534313">
          <w:marLeft w:val="0"/>
          <w:marRight w:val="0"/>
          <w:marTop w:val="0"/>
          <w:marBottom w:val="0"/>
          <w:divBdr>
            <w:top w:val="none" w:sz="0" w:space="0" w:color="auto"/>
            <w:left w:val="none" w:sz="0" w:space="0" w:color="auto"/>
            <w:bottom w:val="none" w:sz="0" w:space="0" w:color="auto"/>
            <w:right w:val="none" w:sz="0" w:space="0" w:color="auto"/>
          </w:divBdr>
        </w:div>
        <w:div w:id="196235388">
          <w:marLeft w:val="0"/>
          <w:marRight w:val="0"/>
          <w:marTop w:val="0"/>
          <w:marBottom w:val="0"/>
          <w:divBdr>
            <w:top w:val="none" w:sz="0" w:space="0" w:color="auto"/>
            <w:left w:val="none" w:sz="0" w:space="0" w:color="auto"/>
            <w:bottom w:val="none" w:sz="0" w:space="0" w:color="auto"/>
            <w:right w:val="none" w:sz="0" w:space="0" w:color="auto"/>
          </w:divBdr>
        </w:div>
        <w:div w:id="1731344512">
          <w:marLeft w:val="0"/>
          <w:marRight w:val="0"/>
          <w:marTop w:val="0"/>
          <w:marBottom w:val="0"/>
          <w:divBdr>
            <w:top w:val="none" w:sz="0" w:space="0" w:color="auto"/>
            <w:left w:val="none" w:sz="0" w:space="0" w:color="auto"/>
            <w:bottom w:val="none" w:sz="0" w:space="0" w:color="auto"/>
            <w:right w:val="none" w:sz="0" w:space="0" w:color="auto"/>
          </w:divBdr>
        </w:div>
        <w:div w:id="772669763">
          <w:marLeft w:val="0"/>
          <w:marRight w:val="0"/>
          <w:marTop w:val="0"/>
          <w:marBottom w:val="0"/>
          <w:divBdr>
            <w:top w:val="none" w:sz="0" w:space="0" w:color="auto"/>
            <w:left w:val="none" w:sz="0" w:space="0" w:color="auto"/>
            <w:bottom w:val="none" w:sz="0" w:space="0" w:color="auto"/>
            <w:right w:val="none" w:sz="0" w:space="0" w:color="auto"/>
          </w:divBdr>
        </w:div>
        <w:div w:id="1926181133">
          <w:marLeft w:val="0"/>
          <w:marRight w:val="0"/>
          <w:marTop w:val="0"/>
          <w:marBottom w:val="0"/>
          <w:divBdr>
            <w:top w:val="none" w:sz="0" w:space="0" w:color="auto"/>
            <w:left w:val="none" w:sz="0" w:space="0" w:color="auto"/>
            <w:bottom w:val="none" w:sz="0" w:space="0" w:color="auto"/>
            <w:right w:val="none" w:sz="0" w:space="0" w:color="auto"/>
          </w:divBdr>
        </w:div>
        <w:div w:id="1273516969">
          <w:marLeft w:val="0"/>
          <w:marRight w:val="0"/>
          <w:marTop w:val="0"/>
          <w:marBottom w:val="0"/>
          <w:divBdr>
            <w:top w:val="none" w:sz="0" w:space="0" w:color="auto"/>
            <w:left w:val="none" w:sz="0" w:space="0" w:color="auto"/>
            <w:bottom w:val="none" w:sz="0" w:space="0" w:color="auto"/>
            <w:right w:val="none" w:sz="0" w:space="0" w:color="auto"/>
          </w:divBdr>
        </w:div>
        <w:div w:id="747001928">
          <w:marLeft w:val="0"/>
          <w:marRight w:val="0"/>
          <w:marTop w:val="0"/>
          <w:marBottom w:val="0"/>
          <w:divBdr>
            <w:top w:val="none" w:sz="0" w:space="0" w:color="auto"/>
            <w:left w:val="none" w:sz="0" w:space="0" w:color="auto"/>
            <w:bottom w:val="none" w:sz="0" w:space="0" w:color="auto"/>
            <w:right w:val="none" w:sz="0" w:space="0" w:color="auto"/>
          </w:divBdr>
        </w:div>
        <w:div w:id="1839229076">
          <w:marLeft w:val="0"/>
          <w:marRight w:val="0"/>
          <w:marTop w:val="0"/>
          <w:marBottom w:val="0"/>
          <w:divBdr>
            <w:top w:val="none" w:sz="0" w:space="0" w:color="auto"/>
            <w:left w:val="none" w:sz="0" w:space="0" w:color="auto"/>
            <w:bottom w:val="none" w:sz="0" w:space="0" w:color="auto"/>
            <w:right w:val="none" w:sz="0" w:space="0" w:color="auto"/>
          </w:divBdr>
        </w:div>
        <w:div w:id="1882866430">
          <w:marLeft w:val="0"/>
          <w:marRight w:val="0"/>
          <w:marTop w:val="0"/>
          <w:marBottom w:val="0"/>
          <w:divBdr>
            <w:top w:val="none" w:sz="0" w:space="0" w:color="auto"/>
            <w:left w:val="none" w:sz="0" w:space="0" w:color="auto"/>
            <w:bottom w:val="none" w:sz="0" w:space="0" w:color="auto"/>
            <w:right w:val="none" w:sz="0" w:space="0" w:color="auto"/>
          </w:divBdr>
        </w:div>
        <w:div w:id="456989630">
          <w:marLeft w:val="0"/>
          <w:marRight w:val="0"/>
          <w:marTop w:val="0"/>
          <w:marBottom w:val="0"/>
          <w:divBdr>
            <w:top w:val="none" w:sz="0" w:space="0" w:color="auto"/>
            <w:left w:val="none" w:sz="0" w:space="0" w:color="auto"/>
            <w:bottom w:val="none" w:sz="0" w:space="0" w:color="auto"/>
            <w:right w:val="none" w:sz="0" w:space="0" w:color="auto"/>
          </w:divBdr>
        </w:div>
        <w:div w:id="821385808">
          <w:marLeft w:val="0"/>
          <w:marRight w:val="0"/>
          <w:marTop w:val="0"/>
          <w:marBottom w:val="0"/>
          <w:divBdr>
            <w:top w:val="none" w:sz="0" w:space="0" w:color="auto"/>
            <w:left w:val="none" w:sz="0" w:space="0" w:color="auto"/>
            <w:bottom w:val="none" w:sz="0" w:space="0" w:color="auto"/>
            <w:right w:val="none" w:sz="0" w:space="0" w:color="auto"/>
          </w:divBdr>
        </w:div>
        <w:div w:id="819149768">
          <w:marLeft w:val="0"/>
          <w:marRight w:val="0"/>
          <w:marTop w:val="0"/>
          <w:marBottom w:val="0"/>
          <w:divBdr>
            <w:top w:val="none" w:sz="0" w:space="0" w:color="auto"/>
            <w:left w:val="none" w:sz="0" w:space="0" w:color="auto"/>
            <w:bottom w:val="none" w:sz="0" w:space="0" w:color="auto"/>
            <w:right w:val="none" w:sz="0" w:space="0" w:color="auto"/>
          </w:divBdr>
        </w:div>
        <w:div w:id="2109613726">
          <w:marLeft w:val="0"/>
          <w:marRight w:val="0"/>
          <w:marTop w:val="0"/>
          <w:marBottom w:val="0"/>
          <w:divBdr>
            <w:top w:val="none" w:sz="0" w:space="0" w:color="auto"/>
            <w:left w:val="none" w:sz="0" w:space="0" w:color="auto"/>
            <w:bottom w:val="none" w:sz="0" w:space="0" w:color="auto"/>
            <w:right w:val="none" w:sz="0" w:space="0" w:color="auto"/>
          </w:divBdr>
        </w:div>
        <w:div w:id="1896425906">
          <w:marLeft w:val="0"/>
          <w:marRight w:val="0"/>
          <w:marTop w:val="0"/>
          <w:marBottom w:val="0"/>
          <w:divBdr>
            <w:top w:val="none" w:sz="0" w:space="0" w:color="auto"/>
            <w:left w:val="none" w:sz="0" w:space="0" w:color="auto"/>
            <w:bottom w:val="none" w:sz="0" w:space="0" w:color="auto"/>
            <w:right w:val="none" w:sz="0" w:space="0" w:color="auto"/>
          </w:divBdr>
        </w:div>
        <w:div w:id="11834766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ourwork/prevention/secondary-prevention/cardiovascular-disease-high-impact-interventions/?utm_source=chatgpt.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hf.org.uk/-/media/files/for-professionals/research/heart-statistics/bhf-cvd-statistics-uk-factsheet.pdf?utm_source=chatgpt.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hf.org.uk/what-we-do/our-research/heart-statistics/heart-statistics-publications/cardiovascular-disease-statistics-2024?utm_source=chatgpt.com" TargetMode="External"/><Relationship Id="rId11" Type="http://schemas.openxmlformats.org/officeDocument/2006/relationships/hyperlink" Target="https://www.healthdata.org/research-analysis/library/global-burden-cardiovascular-diseases-and-risks-1990-2022?utm_source=chatgpt.com" TargetMode="External"/><Relationship Id="rId5" Type="http://schemas.openxmlformats.org/officeDocument/2006/relationships/hyperlink" Target="https://www.who.int/news-room/fact-sheets/detail/cardiovascular-diseases-(cvds)?utm_source=chatgpt.com" TargetMode="External"/><Relationship Id="rId10" Type="http://schemas.openxmlformats.org/officeDocument/2006/relationships/hyperlink" Target="https://digital.nhs.uk/data-and-information/publications/statistical/statistics-on-public-health/2023/part-1-hospital-admissions?utm_source=chatgpt.com" TargetMode="External"/><Relationship Id="rId4" Type="http://schemas.openxmlformats.org/officeDocument/2006/relationships/webSettings" Target="webSettings.xml"/><Relationship Id="rId9" Type="http://schemas.openxmlformats.org/officeDocument/2006/relationships/hyperlink" Target="https://www.england.nhs.uk/ourwork/prevention/secondary-prevention/cardiovascular-disease-high-impact-intervention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2230</Words>
  <Characters>12715</Characters>
  <Application>Microsoft Office Word</Application>
  <DocSecurity>0</DocSecurity>
  <Lines>105</Lines>
  <Paragraphs>29</Paragraphs>
  <ScaleCrop>false</ScaleCrop>
  <Company/>
  <LinksUpToDate>false</LinksUpToDate>
  <CharactersWithSpaces>14916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Beldi (2441314)</dc:creator>
  <cp:keywords/>
  <dc:description/>
  <cp:lastModifiedBy>Diane Beldi (2441314)</cp:lastModifiedBy>
  <cp:revision>2</cp:revision>
  <dcterms:created xsi:type="dcterms:W3CDTF">2025-11-16T19:11:00Z</dcterms:created>
  <dcterms:modified xsi:type="dcterms:W3CDTF">2025-11-16T19:11:00Z</dcterms:modified>
</cp:coreProperties>
</file>