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DD1B8" w14:textId="0F54DD1D" w:rsidR="006041C3" w:rsidRPr="00B10FD1" w:rsidRDefault="006041C3" w:rsidP="006041C3">
      <w:pPr>
        <w:pStyle w:val="Heading1"/>
        <w:jc w:val="center"/>
        <w:rPr>
          <w:b w:val="0"/>
        </w:rPr>
      </w:pPr>
      <w:bookmarkStart w:id="0" w:name="_Toc209284764"/>
      <w:r w:rsidRPr="00B10FD1">
        <w:t>CHAPTE</w:t>
      </w:r>
      <w:r w:rsidR="00CD549A">
        <w:t>R</w:t>
      </w:r>
      <w:r w:rsidRPr="00B10FD1">
        <w:t xml:space="preserve"> 4 – Findings and Discussion</w:t>
      </w:r>
      <w:bookmarkEnd w:id="0"/>
    </w:p>
    <w:p w14:paraId="49B3551D" w14:textId="33CEB9CD"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1" w:name="_Toc209284765"/>
      <w:r w:rsidRPr="00B10FD1">
        <w:rPr>
          <w:rFonts w:ascii="Arial" w:hAnsi="Arial" w:cs="Arial"/>
          <w:color w:val="000000" w:themeColor="text1"/>
        </w:rPr>
        <w:t>4.1 Introduct</w:t>
      </w:r>
      <w:bookmarkEnd w:id="1"/>
      <w:r w:rsidR="00CD549A">
        <w:rPr>
          <w:rFonts w:ascii="Arial" w:hAnsi="Arial" w:cs="Arial"/>
          <w:color w:val="000000" w:themeColor="text1"/>
        </w:rPr>
        <w:t>ION</w:t>
      </w:r>
    </w:p>
    <w:p w14:paraId="7FD50822"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This chapter presents and interprets the qualitative findings from 44 UK studies (2015–2025) on how social isolation and </w:t>
      </w:r>
      <w:r w:rsidRPr="00B10FD1">
        <w:rPr>
          <w:rStyle w:val="Strong"/>
          <w:rFonts w:ascii="Arial" w:hAnsi="Arial" w:cs="Arial"/>
          <w:color w:val="000000" w:themeColor="text1"/>
          <w:sz w:val="22"/>
        </w:rPr>
        <w:t>digital exclusion</w:t>
      </w:r>
      <w:r w:rsidRPr="00B10FD1">
        <w:rPr>
          <w:rFonts w:ascii="Arial" w:hAnsi="Arial" w:cs="Arial"/>
          <w:color w:val="000000" w:themeColor="text1"/>
          <w:sz w:val="22"/>
        </w:rPr>
        <w:t xml:space="preserve"> intersect to shape older adults’ (≥60) mental health and experiences of care. Following the methodology in Chapter 3, we conducted a thematic synthesis and </w:t>
      </w:r>
      <w:proofErr w:type="spellStart"/>
      <w:r w:rsidRPr="00B10FD1">
        <w:rPr>
          <w:rFonts w:ascii="Arial" w:hAnsi="Arial" w:cs="Arial"/>
          <w:color w:val="000000" w:themeColor="text1"/>
          <w:sz w:val="22"/>
        </w:rPr>
        <w:t>organised</w:t>
      </w:r>
      <w:proofErr w:type="spellEnd"/>
      <w:r w:rsidRPr="00B10FD1">
        <w:rPr>
          <w:rFonts w:ascii="Arial" w:hAnsi="Arial" w:cs="Arial"/>
          <w:color w:val="000000" w:themeColor="text1"/>
          <w:sz w:val="22"/>
        </w:rPr>
        <w:t xml:space="preserve"> the evidence into four inter-locking themes that map directly to the study objectives: (1) the nature of digital exclusion among older adults in health and social care; (2) consequences for access, wellbeing and care experience; (3) the efficacy of current policies and interventions; and (4) evidence-based recommendations. Together, these themes illuminate mechanisms and contexts through which digital change can either protect social connection or deepen isolation for older people in the UK. </w:t>
      </w:r>
    </w:p>
    <w:p w14:paraId="2AA5EEF3"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0"/>
        </w:rPr>
      </w:pPr>
      <w:r w:rsidRPr="00B10FD1">
        <w:rPr>
          <w:rFonts w:ascii="Arial" w:hAnsi="Arial" w:cs="Arial"/>
          <w:sz w:val="22"/>
        </w:rPr>
        <w:t xml:space="preserve">With the chapter scope defined, section 4.2 next </w:t>
      </w:r>
      <w:proofErr w:type="gramStart"/>
      <w:r w:rsidRPr="00B10FD1">
        <w:rPr>
          <w:rFonts w:ascii="Arial" w:hAnsi="Arial" w:cs="Arial"/>
          <w:sz w:val="22"/>
        </w:rPr>
        <w:t>explain</w:t>
      </w:r>
      <w:proofErr w:type="gramEnd"/>
      <w:r w:rsidRPr="00B10FD1">
        <w:rPr>
          <w:rFonts w:ascii="Arial" w:hAnsi="Arial" w:cs="Arial"/>
          <w:sz w:val="22"/>
        </w:rPr>
        <w:t xml:space="preserve"> the analytical approach used to generate the themes.</w:t>
      </w:r>
    </w:p>
    <w:p w14:paraId="3ACC97A6"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2" w:name="_Toc209284766"/>
      <w:r w:rsidRPr="00B10FD1">
        <w:rPr>
          <w:rFonts w:ascii="Arial" w:hAnsi="Arial" w:cs="Arial"/>
          <w:color w:val="000000" w:themeColor="text1"/>
        </w:rPr>
        <w:t>4.2 Thematic Analysis</w:t>
      </w:r>
      <w:bookmarkEnd w:id="2"/>
      <w:r w:rsidRPr="00B10FD1">
        <w:rPr>
          <w:rFonts w:ascii="Arial" w:hAnsi="Arial" w:cs="Arial"/>
          <w:color w:val="000000" w:themeColor="text1"/>
        </w:rPr>
        <w:t xml:space="preserve"> </w:t>
      </w:r>
    </w:p>
    <w:p w14:paraId="55E29E0F"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Thematic analysis is a flexible method for identifying, </w:t>
      </w:r>
      <w:proofErr w:type="spellStart"/>
      <w:r w:rsidRPr="00B10FD1">
        <w:rPr>
          <w:rFonts w:ascii="Arial" w:hAnsi="Arial" w:cs="Arial"/>
          <w:color w:val="000000" w:themeColor="text1"/>
          <w:sz w:val="22"/>
        </w:rPr>
        <w:t>analysing</w:t>
      </w:r>
      <w:proofErr w:type="spellEnd"/>
      <w:r w:rsidRPr="00B10FD1">
        <w:rPr>
          <w:rFonts w:ascii="Arial" w:hAnsi="Arial" w:cs="Arial"/>
          <w:color w:val="000000" w:themeColor="text1"/>
          <w:sz w:val="22"/>
        </w:rPr>
        <w:t xml:space="preserve"> and reporting patterns (“themes”) within qualitative datasets; it typically proceeds through </w:t>
      </w:r>
      <w:proofErr w:type="spellStart"/>
      <w:r w:rsidRPr="00B10FD1">
        <w:rPr>
          <w:rFonts w:ascii="Arial" w:hAnsi="Arial" w:cs="Arial"/>
          <w:color w:val="000000" w:themeColor="text1"/>
          <w:sz w:val="22"/>
        </w:rPr>
        <w:t>familiarisation</w:t>
      </w:r>
      <w:proofErr w:type="spellEnd"/>
      <w:r w:rsidRPr="00B10FD1">
        <w:rPr>
          <w:rFonts w:ascii="Arial" w:hAnsi="Arial" w:cs="Arial"/>
          <w:color w:val="000000" w:themeColor="text1"/>
          <w:sz w:val="22"/>
        </w:rPr>
        <w:t xml:space="preserve">, coding, developing and reviewing themes, and reporting (Braun and Clarke, 2006). In secondary research, it helps to bring conceptual order to diverse study findings. We applied line-by-line coding to participant quotations and authors’ interpretations across included studies, </w:t>
      </w:r>
      <w:proofErr w:type="spellStart"/>
      <w:r w:rsidRPr="00B10FD1">
        <w:rPr>
          <w:rFonts w:ascii="Arial" w:hAnsi="Arial" w:cs="Arial"/>
          <w:color w:val="000000" w:themeColor="text1"/>
          <w:sz w:val="22"/>
        </w:rPr>
        <w:t>organised</w:t>
      </w:r>
      <w:proofErr w:type="spellEnd"/>
      <w:r w:rsidRPr="00B10FD1">
        <w:rPr>
          <w:rFonts w:ascii="Arial" w:hAnsi="Arial" w:cs="Arial"/>
          <w:color w:val="000000" w:themeColor="text1"/>
          <w:sz w:val="22"/>
        </w:rPr>
        <w:t xml:space="preserve"> descriptive codes, then generated higher-order themes that explain how digital exclusion amplifies isolation and affects mental health. The resulting themes, disengagement and barriers, impacts on access and wellbeing, interventions and policies, and practical recommendations, structure the remainder of this chapter (Braun and Clarke, 2006). </w:t>
      </w:r>
    </w:p>
    <w:p w14:paraId="71D68EB9"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0"/>
        </w:rPr>
      </w:pPr>
      <w:r w:rsidRPr="00B10FD1">
        <w:rPr>
          <w:rFonts w:ascii="Arial" w:hAnsi="Arial" w:cs="Arial"/>
          <w:sz w:val="22"/>
        </w:rPr>
        <w:t xml:space="preserve">Having outlined the method, section 4.3 </w:t>
      </w:r>
      <w:proofErr w:type="gramStart"/>
      <w:r w:rsidRPr="00B10FD1">
        <w:rPr>
          <w:rFonts w:ascii="Arial" w:hAnsi="Arial" w:cs="Arial"/>
          <w:sz w:val="22"/>
        </w:rPr>
        <w:t>begin</w:t>
      </w:r>
      <w:proofErr w:type="gramEnd"/>
      <w:r w:rsidRPr="00B10FD1">
        <w:rPr>
          <w:rFonts w:ascii="Arial" w:hAnsi="Arial" w:cs="Arial"/>
          <w:sz w:val="22"/>
        </w:rPr>
        <w:t xml:space="preserve"> with Theme 1 to map how digital exclusion manifests for older adults.</w:t>
      </w:r>
    </w:p>
    <w:p w14:paraId="4F2E30EA"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3" w:name="_Toc209284767"/>
      <w:r w:rsidRPr="00B10FD1">
        <w:rPr>
          <w:rFonts w:ascii="Arial" w:hAnsi="Arial" w:cs="Arial"/>
          <w:color w:val="000000" w:themeColor="text1"/>
        </w:rPr>
        <w:t>4.3 Theme 1 – Disengagement and Barriers: how digital exclusion manifests for older adults in UK health &amp; social care</w:t>
      </w:r>
      <w:bookmarkEnd w:id="3"/>
      <w:r w:rsidRPr="00B10FD1">
        <w:rPr>
          <w:rFonts w:ascii="Arial" w:hAnsi="Arial" w:cs="Arial"/>
          <w:color w:val="000000" w:themeColor="text1"/>
        </w:rPr>
        <w:t xml:space="preserve"> </w:t>
      </w:r>
    </w:p>
    <w:p w14:paraId="3A175574"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4" w:name="_Toc209284768"/>
      <w:r w:rsidRPr="00B10FD1">
        <w:rPr>
          <w:rFonts w:ascii="Arial" w:hAnsi="Arial" w:cs="Arial"/>
          <w:color w:val="000000" w:themeColor="text1"/>
        </w:rPr>
        <w:t>4.3.1 Definition and scope</w:t>
      </w:r>
      <w:bookmarkEnd w:id="4"/>
    </w:p>
    <w:p w14:paraId="2C3611D1"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lastRenderedPageBreak/>
        <w:t>In this review, digital exclusion is understood as layered inequality across three linked levels: (1) access to devices and reliable connectivity; (2) skills and confidence to use them safely; and (3) meaningful use that enables completion of valued, health-related tasks (e.g., booking a GP appointment, viewing test results)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 UK guidance explicitly states that digital offers must be complementary to non-digital routes, not replacements, precisely to protect equity for groups at higher risk of exclusion, including older adults (NHS England, 2024). </w:t>
      </w:r>
    </w:p>
    <w:p w14:paraId="31564E20"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5" w:name="_Toc209284769"/>
      <w:r w:rsidRPr="00B10FD1">
        <w:rPr>
          <w:rFonts w:ascii="Arial" w:hAnsi="Arial" w:cs="Arial"/>
          <w:color w:val="000000" w:themeColor="text1"/>
        </w:rPr>
        <w:t>4.3.2 Historical/contextual Background</w:t>
      </w:r>
      <w:bookmarkEnd w:id="5"/>
    </w:p>
    <w:p w14:paraId="56FFFB3D"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The digital divide literature has long argued that inequality extends beyond mere ownership of devices to encompass skills and the capacity for meaningful application (van Dijk, 2006). For many older adults, age-related sensory changes, multimorbidity and the historical timing of their exposure to ICTs compound disadvantage when services migrate online (</w:t>
      </w:r>
      <w:proofErr w:type="spellStart"/>
      <w:r w:rsidRPr="00B10FD1">
        <w:rPr>
          <w:rFonts w:ascii="Arial" w:hAnsi="Arial" w:cs="Arial"/>
          <w:color w:val="000000" w:themeColor="text1"/>
          <w:sz w:val="22"/>
        </w:rPr>
        <w:t>Vaportzis</w:t>
      </w:r>
      <w:proofErr w:type="spellEnd"/>
      <w:r w:rsidRPr="00B10FD1">
        <w:rPr>
          <w:rFonts w:ascii="Arial" w:hAnsi="Arial" w:cs="Arial"/>
          <w:color w:val="000000" w:themeColor="text1"/>
          <w:sz w:val="22"/>
        </w:rPr>
        <w:t xml:space="preserve"> et al., 2017). In UK policy discourse on loneliness, older adults are frequently positioned as targets of technological “solutions,” sometimes alongside surveillance-style proposals (e.g., “loneliness heatmaps”), which can feel </w:t>
      </w:r>
      <w:proofErr w:type="spellStart"/>
      <w:r w:rsidRPr="00B10FD1">
        <w:rPr>
          <w:rFonts w:ascii="Arial" w:hAnsi="Arial" w:cs="Arial"/>
          <w:color w:val="000000" w:themeColor="text1"/>
          <w:sz w:val="22"/>
        </w:rPr>
        <w:t>stigmatising</w:t>
      </w:r>
      <w:proofErr w:type="spellEnd"/>
      <w:r w:rsidRPr="00B10FD1">
        <w:rPr>
          <w:rFonts w:ascii="Arial" w:hAnsi="Arial" w:cs="Arial"/>
          <w:color w:val="000000" w:themeColor="text1"/>
          <w:sz w:val="22"/>
        </w:rPr>
        <w:t xml:space="preserve"> and alienate those least confident digitally (Jentoft, 2023). These contexts help explain why the same digital tools that streamline access for some can enforce disengagement for others. </w:t>
      </w:r>
    </w:p>
    <w:p w14:paraId="3556364B"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6" w:name="_Toc209284770"/>
      <w:r w:rsidRPr="00B10FD1">
        <w:rPr>
          <w:rFonts w:ascii="Arial" w:hAnsi="Arial" w:cs="Arial"/>
          <w:color w:val="000000" w:themeColor="text1"/>
        </w:rPr>
        <w:t>4.3.3 Scale and Salience</w:t>
      </w:r>
      <w:bookmarkEnd w:id="6"/>
    </w:p>
    <w:p w14:paraId="476D9AA3"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rPr>
      </w:pPr>
      <w:r w:rsidRPr="00B10FD1">
        <w:rPr>
          <w:rFonts w:ascii="Arial" w:hAnsi="Arial" w:cs="Arial"/>
          <w:color w:val="000000" w:themeColor="text1"/>
          <w:sz w:val="22"/>
        </w:rPr>
        <w:t>The problem is substantial, as Age UK analysis suggests ~5.8 million people aged 65+ (≈46%) are either not online or cannot use the internet safely and successfully; risk increases with age (75+) (Age UK, 2023). While descriptive, these statistics set the risk environment within which qualitative accounts from older users and frontline staff should be interpreted. Place-based studies in England further show exclusion is patterned by deprivation and local infrastructure constraints, underlining that generic training alone rarely suffices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w:t>
      </w:r>
      <w:r w:rsidRPr="00B10FD1">
        <w:rPr>
          <w:rFonts w:ascii="Arial" w:hAnsi="Arial" w:cs="Arial"/>
          <w:color w:val="000000" w:themeColor="text1"/>
        </w:rPr>
        <w:t xml:space="preserve"> </w:t>
      </w:r>
    </w:p>
    <w:p w14:paraId="52D22C51"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7" w:name="_Toc209284771"/>
      <w:r w:rsidRPr="00B10FD1">
        <w:rPr>
          <w:rFonts w:ascii="Arial" w:hAnsi="Arial" w:cs="Arial"/>
          <w:color w:val="000000" w:themeColor="text1"/>
        </w:rPr>
        <w:t>4.3.4 Distinctive Obstacles in Health &amp; Social Care</w:t>
      </w:r>
      <w:bookmarkEnd w:id="7"/>
    </w:p>
    <w:p w14:paraId="63FAF5BE"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Across the UK qualitative corpus, three interlocking barrier-sets recur:</w:t>
      </w:r>
    </w:p>
    <w:p w14:paraId="2DB25D74"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(a) Access &amp; affordability: Participants report unreliable broadband (especially rural), outdated/shared devices, and data costs that make video consultations or portal use untenable. Reliance on family-owned devices reduces privacy and availability. Mixed-methods borough research identifies place-based patterns, exclusion clustering with poverty, disability and poor infrastructure, arguing for locally tailored responses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 European </w:t>
      </w:r>
      <w:r w:rsidRPr="00B10FD1">
        <w:rPr>
          <w:rFonts w:ascii="Arial" w:hAnsi="Arial" w:cs="Arial"/>
          <w:color w:val="000000" w:themeColor="text1"/>
          <w:sz w:val="22"/>
        </w:rPr>
        <w:lastRenderedPageBreak/>
        <w:t xml:space="preserve">fundamental-rights analysis likewise cautions that “online-only” public services risk excluding older people unless offline alternatives are protected in practice (FRA, 2023). </w:t>
      </w:r>
    </w:p>
    <w:p w14:paraId="2EB8066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 (b) Skills, confidence &amp; trust: Many older adults describe anxiety about “doing it wrong,” scams, passwords and two-factor authentication. Small on-screen keyboards, complex verification and unfamiliar terminology add cognitive/physical load. During COVID-19, rapid </w:t>
      </w:r>
      <w:proofErr w:type="spellStart"/>
      <w:r w:rsidRPr="00B10FD1">
        <w:rPr>
          <w:rFonts w:ascii="Arial" w:hAnsi="Arial" w:cs="Arial"/>
          <w:color w:val="000000" w:themeColor="text1"/>
          <w:sz w:val="22"/>
        </w:rPr>
        <w:t>digitisation</w:t>
      </w:r>
      <w:proofErr w:type="spellEnd"/>
      <w:r w:rsidRPr="00B10FD1">
        <w:rPr>
          <w:rFonts w:ascii="Arial" w:hAnsi="Arial" w:cs="Arial"/>
          <w:color w:val="000000" w:themeColor="text1"/>
          <w:sz w:val="22"/>
        </w:rPr>
        <w:t xml:space="preserve"> often outpaced confidence-building, intensifying stress among those already isolated (Stuart et al., 2022). Focus-group work with UK older adult’s documents intimidation by technology and a poor fit with everyday needs, even when interest exists (</w:t>
      </w:r>
      <w:proofErr w:type="spellStart"/>
      <w:r w:rsidRPr="00B10FD1">
        <w:rPr>
          <w:rFonts w:ascii="Arial" w:hAnsi="Arial" w:cs="Arial"/>
          <w:color w:val="000000" w:themeColor="text1"/>
          <w:sz w:val="22"/>
        </w:rPr>
        <w:t>Vaportzis</w:t>
      </w:r>
      <w:proofErr w:type="spellEnd"/>
      <w:r w:rsidRPr="00B10FD1">
        <w:rPr>
          <w:rFonts w:ascii="Arial" w:hAnsi="Arial" w:cs="Arial"/>
          <w:color w:val="000000" w:themeColor="text1"/>
          <w:sz w:val="22"/>
        </w:rPr>
        <w:t xml:space="preserve"> et al., 2017). </w:t>
      </w:r>
    </w:p>
    <w:p w14:paraId="64DA8065"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 (c) Motivation &amp; perceived relevance (“drive”): Some perceive online forms and portals as gatekeeping, not enabling care; others prefer relational continuity and face-to-face interaction. Policy discourse analysis warns that casting loneliness as an individual failing to be “fixed” by tech can undermine motivation to engage, especially for those already wary of surveillance (Jentoft, 2023). Evidence from Switzerland during the pandemic shows internet use rose among community-dwelling older adults but far less among residents of long-term care, underscoring how context (not just attitude) shapes motivation and opportunity (Seifert, 2021). </w:t>
      </w:r>
    </w:p>
    <w:p w14:paraId="2D7CA0DF"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8" w:name="_Toc209284772"/>
      <w:r w:rsidRPr="00B10FD1">
        <w:rPr>
          <w:rFonts w:ascii="Arial" w:hAnsi="Arial" w:cs="Arial"/>
          <w:color w:val="000000" w:themeColor="text1"/>
        </w:rPr>
        <w:t>4.3.5 Theoretical Framing</w:t>
      </w:r>
      <w:bookmarkEnd w:id="8"/>
    </w:p>
    <w:p w14:paraId="2134605B"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The three-level model of the digital divide (access → skills → use) explains why device distribution alone rarely produces inclusion (van Dijk, 2006). Social capital perspectives illuminate the role of intermediaries, family members, librarians, volunteers, who act as digital brokers, turning access into connection. From an ageing-studies lens, activity theory </w:t>
      </w:r>
      <w:proofErr w:type="spellStart"/>
      <w:r w:rsidRPr="00B10FD1">
        <w:rPr>
          <w:rFonts w:ascii="Arial" w:hAnsi="Arial" w:cs="Arial"/>
          <w:color w:val="000000" w:themeColor="text1"/>
          <w:sz w:val="22"/>
        </w:rPr>
        <w:t>emphasises</w:t>
      </w:r>
      <w:proofErr w:type="spellEnd"/>
      <w:r w:rsidRPr="00B10FD1">
        <w:rPr>
          <w:rFonts w:ascii="Arial" w:hAnsi="Arial" w:cs="Arial"/>
          <w:color w:val="000000" w:themeColor="text1"/>
          <w:sz w:val="22"/>
        </w:rPr>
        <w:t xml:space="preserve"> wellbeing benefits of ongoing participation, while disengagement is not simply a voluntary retreat but can be enforced by system design (e.g., online-only booking). Importantly, an umbrella review of reviews concludes that evidence on whether digital technologies enhance older people’s access remains mixed, with a notable evaluation blind spot </w:t>
      </w:r>
      <w:proofErr w:type="gramStart"/>
      <w:r w:rsidRPr="00B10FD1">
        <w:rPr>
          <w:rFonts w:ascii="Arial" w:hAnsi="Arial" w:cs="Arial"/>
          <w:color w:val="000000" w:themeColor="text1"/>
          <w:sz w:val="22"/>
        </w:rPr>
        <w:t>around first-contact tools (online booking/e-triage)</w:t>
      </w:r>
      <w:proofErr w:type="gramEnd"/>
      <w:r w:rsidRPr="00B10FD1">
        <w:rPr>
          <w:rFonts w:ascii="Arial" w:hAnsi="Arial" w:cs="Arial"/>
          <w:color w:val="000000" w:themeColor="text1"/>
          <w:sz w:val="22"/>
        </w:rPr>
        <w:t xml:space="preserve">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w:t>
      </w:r>
    </w:p>
    <w:p w14:paraId="716158A0"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9" w:name="_Toc209284773"/>
      <w:r>
        <w:rPr>
          <w:rFonts w:ascii="Arial" w:hAnsi="Arial" w:cs="Arial"/>
          <w:color w:val="000000" w:themeColor="text1"/>
        </w:rPr>
        <w:t>4.3.6</w:t>
      </w:r>
      <w:r w:rsidRPr="00B10FD1">
        <w:rPr>
          <w:rFonts w:ascii="Arial" w:hAnsi="Arial" w:cs="Arial"/>
          <w:color w:val="000000" w:themeColor="text1"/>
        </w:rPr>
        <w:t xml:space="preserve"> Illustrative UK examples</w:t>
      </w:r>
      <w:bookmarkEnd w:id="9"/>
    </w:p>
    <w:p w14:paraId="3E91DC99"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Local, trusted-place models such as 100% Digital Leeds position VCSEs, libraries and housing providers as partners delivering one-to-one coaching, small-group learning, device loans and data access, functions that reduce anxiety and enable meaningful use of GP portals and booking systems (Leeds City Council/Digital Inclusion Toolkit, 2022). Such models </w:t>
      </w:r>
      <w:proofErr w:type="spellStart"/>
      <w:r w:rsidRPr="00B10FD1">
        <w:rPr>
          <w:rFonts w:ascii="Arial" w:hAnsi="Arial" w:cs="Arial"/>
          <w:color w:val="000000" w:themeColor="text1"/>
          <w:sz w:val="22"/>
        </w:rPr>
        <w:t>operationalise</w:t>
      </w:r>
      <w:proofErr w:type="spellEnd"/>
      <w:r w:rsidRPr="00B10FD1">
        <w:rPr>
          <w:rFonts w:ascii="Arial" w:hAnsi="Arial" w:cs="Arial"/>
          <w:color w:val="000000" w:themeColor="text1"/>
          <w:sz w:val="22"/>
        </w:rPr>
        <w:t xml:space="preserve"> the NHS principle that digital must remain complementary and assisted, not compulsory (NHS England, 2023/2024). </w:t>
      </w:r>
    </w:p>
    <w:p w14:paraId="7CC8B7C3"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0" w:name="_Toc209284774"/>
      <w:r>
        <w:rPr>
          <w:rFonts w:ascii="Arial" w:hAnsi="Arial" w:cs="Arial"/>
          <w:color w:val="000000" w:themeColor="text1"/>
        </w:rPr>
        <w:lastRenderedPageBreak/>
        <w:t>4.3.7</w:t>
      </w:r>
      <w:r w:rsidRPr="00B10FD1">
        <w:rPr>
          <w:rFonts w:ascii="Arial" w:hAnsi="Arial" w:cs="Arial"/>
          <w:color w:val="000000" w:themeColor="text1"/>
        </w:rPr>
        <w:t xml:space="preserve"> Relevance to The Research Objective 1</w:t>
      </w:r>
      <w:bookmarkEnd w:id="10"/>
    </w:p>
    <w:p w14:paraId="3B3EC06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Digital exclusion precedes and compounds social isolation. When first-contact routes to care (appointments, repeat prescriptions, advice) move behind digital thresholds, older adults with limited access, low skills/confidence, or low perceived relevance experience cumulative disadvantage. This raises the likelihood of foregone care and intensifies loneliness and anxiety, established determinants of poorer mental and physical health (Holt-</w:t>
      </w:r>
      <w:proofErr w:type="spellStart"/>
      <w:r w:rsidRPr="00B10FD1">
        <w:rPr>
          <w:rFonts w:ascii="Arial" w:hAnsi="Arial" w:cs="Arial"/>
          <w:color w:val="000000" w:themeColor="text1"/>
          <w:sz w:val="22"/>
        </w:rPr>
        <w:t>Lunstad</w:t>
      </w:r>
      <w:proofErr w:type="spellEnd"/>
      <w:r w:rsidRPr="00B10FD1">
        <w:rPr>
          <w:rFonts w:ascii="Arial" w:hAnsi="Arial" w:cs="Arial"/>
          <w:color w:val="000000" w:themeColor="text1"/>
          <w:sz w:val="22"/>
        </w:rPr>
        <w:t xml:space="preserve">, 2024; NASEM, 2020). Thus, Theme 1 addresses Objective 1 by specifying how access, proficiency and drive interact in everyday UK care contexts to produce (or reduce) exclusionary experiences. </w:t>
      </w:r>
    </w:p>
    <w:p w14:paraId="71682654"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1" w:name="_Toc209284775"/>
      <w:r w:rsidRPr="00B10FD1">
        <w:rPr>
          <w:rFonts w:ascii="Arial" w:hAnsi="Arial" w:cs="Arial"/>
          <w:color w:val="000000" w:themeColor="text1"/>
        </w:rPr>
        <w:t>4.3.8 Connections to Other Themes</w:t>
      </w:r>
      <w:bookmarkEnd w:id="11"/>
    </w:p>
    <w:p w14:paraId="4393487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This foundational theme underpins Theme 2 (consequences for access, wellbeing and care experience) and informs Theme 3 (what works in policy and practice). It also motivates Theme 4 by showing why assisted-digital, parity of access and place-based commissioning are not optional extras but essential design features for equity.</w:t>
      </w:r>
    </w:p>
    <w:p w14:paraId="0450096D"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rPr>
        <w:t>Building on identified barriers, Theme 2 examines the downstream consequences for access, wellbeing and care experience.</w:t>
      </w:r>
    </w:p>
    <w:p w14:paraId="0D86484F"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12" w:name="_Toc209284776"/>
      <w:r w:rsidRPr="00B10FD1">
        <w:rPr>
          <w:rFonts w:ascii="Arial" w:hAnsi="Arial" w:cs="Arial"/>
          <w:color w:val="000000" w:themeColor="text1"/>
        </w:rPr>
        <w:t>4.4 Theme 2 – Consequences: access to services, mental health, wellbeing and care experience</w:t>
      </w:r>
      <w:bookmarkEnd w:id="12"/>
      <w:r w:rsidRPr="00B10FD1">
        <w:rPr>
          <w:rFonts w:ascii="Arial" w:hAnsi="Arial" w:cs="Arial"/>
          <w:color w:val="000000" w:themeColor="text1"/>
        </w:rPr>
        <w:t xml:space="preserve"> </w:t>
      </w:r>
    </w:p>
    <w:p w14:paraId="7390AA88"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3" w:name="_Toc209284777"/>
      <w:r w:rsidRPr="00B10FD1">
        <w:rPr>
          <w:rFonts w:ascii="Arial" w:hAnsi="Arial" w:cs="Arial"/>
          <w:color w:val="000000" w:themeColor="text1"/>
        </w:rPr>
        <w:t>4.4.1 Definition and Scope</w:t>
      </w:r>
      <w:bookmarkEnd w:id="13"/>
    </w:p>
    <w:p w14:paraId="0FEB0737"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This theme </w:t>
      </w:r>
      <w:proofErr w:type="spellStart"/>
      <w:r w:rsidRPr="00B10FD1">
        <w:rPr>
          <w:rFonts w:ascii="Arial" w:hAnsi="Arial" w:cs="Arial"/>
          <w:color w:val="000000" w:themeColor="text1"/>
          <w:sz w:val="22"/>
        </w:rPr>
        <w:t>synthesises</w:t>
      </w:r>
      <w:proofErr w:type="spellEnd"/>
      <w:r w:rsidRPr="00B10FD1">
        <w:rPr>
          <w:rFonts w:ascii="Arial" w:hAnsi="Arial" w:cs="Arial"/>
          <w:color w:val="000000" w:themeColor="text1"/>
          <w:sz w:val="22"/>
        </w:rPr>
        <w:t xml:space="preserve"> how digital exclusion, insufficient access, skills/confidence, or meaningful use, translates into consequences for older adults’ ability to reach services (appointments, prescriptions, results), for mental health and wellbeing (loneliness, anxiety, low mood, loss of control) and for the </w:t>
      </w:r>
      <w:proofErr w:type="gramStart"/>
      <w:r w:rsidRPr="00B10FD1">
        <w:rPr>
          <w:rFonts w:ascii="Arial" w:hAnsi="Arial" w:cs="Arial"/>
          <w:color w:val="000000" w:themeColor="text1"/>
          <w:sz w:val="22"/>
        </w:rPr>
        <w:t>quality of care</w:t>
      </w:r>
      <w:proofErr w:type="gramEnd"/>
      <w:r w:rsidRPr="00B10FD1">
        <w:rPr>
          <w:rFonts w:ascii="Arial" w:hAnsi="Arial" w:cs="Arial"/>
          <w:color w:val="000000" w:themeColor="text1"/>
          <w:sz w:val="22"/>
        </w:rPr>
        <w:t xml:space="preserve"> experience (dignity, trust, continuity). Consequences are rarely isolated events: friction at the first point of contact can trigger avoidance, which deepens isolation and further erodes confidence, creating a feedback loop with tangible health risks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Holt-</w:t>
      </w:r>
      <w:proofErr w:type="spellStart"/>
      <w:r w:rsidRPr="00B10FD1">
        <w:rPr>
          <w:rFonts w:ascii="Arial" w:hAnsi="Arial" w:cs="Arial"/>
          <w:color w:val="000000" w:themeColor="text1"/>
          <w:sz w:val="22"/>
        </w:rPr>
        <w:t>Lunstad</w:t>
      </w:r>
      <w:proofErr w:type="spellEnd"/>
      <w:r w:rsidRPr="00B10FD1">
        <w:rPr>
          <w:rFonts w:ascii="Arial" w:hAnsi="Arial" w:cs="Arial"/>
          <w:color w:val="000000" w:themeColor="text1"/>
          <w:sz w:val="22"/>
        </w:rPr>
        <w:t xml:space="preserve">, 2024). </w:t>
      </w:r>
    </w:p>
    <w:p w14:paraId="46807A5C"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4" w:name="_Toc209284778"/>
      <w:r w:rsidRPr="00B10FD1">
        <w:rPr>
          <w:rFonts w:ascii="Arial" w:hAnsi="Arial" w:cs="Arial"/>
          <w:color w:val="000000" w:themeColor="text1"/>
        </w:rPr>
        <w:t>4.4.2 Background and Mechanisms</w:t>
      </w:r>
      <w:bookmarkEnd w:id="14"/>
    </w:p>
    <w:p w14:paraId="49E2E9CC"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Rapid </w:t>
      </w:r>
      <w:proofErr w:type="spellStart"/>
      <w:r w:rsidRPr="00B10FD1">
        <w:rPr>
          <w:rFonts w:ascii="Arial" w:hAnsi="Arial" w:cs="Arial"/>
          <w:color w:val="000000" w:themeColor="text1"/>
          <w:sz w:val="22"/>
        </w:rPr>
        <w:t>digitisation</w:t>
      </w:r>
      <w:proofErr w:type="spellEnd"/>
      <w:r w:rsidRPr="00B10FD1">
        <w:rPr>
          <w:rFonts w:ascii="Arial" w:hAnsi="Arial" w:cs="Arial"/>
          <w:color w:val="000000" w:themeColor="text1"/>
          <w:sz w:val="22"/>
        </w:rPr>
        <w:t xml:space="preserve"> accelerated during COVID-19 shifted many “front-door” routes to online forms, e-triage and portals, assuming stable connectivity, usable devices, and confidence with multi-step verification. For a substantial minority of older people, these assumptions do not hold, making digital touchpoints feel like thresholds to care rather than facilitators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UK </w:t>
      </w:r>
      <w:r w:rsidRPr="00B10FD1">
        <w:rPr>
          <w:rFonts w:ascii="Arial" w:hAnsi="Arial" w:cs="Arial"/>
          <w:color w:val="000000" w:themeColor="text1"/>
          <w:sz w:val="22"/>
        </w:rPr>
        <w:lastRenderedPageBreak/>
        <w:t xml:space="preserve">guidance now </w:t>
      </w:r>
      <w:proofErr w:type="spellStart"/>
      <w:r w:rsidRPr="00B10FD1">
        <w:rPr>
          <w:rFonts w:ascii="Arial" w:hAnsi="Arial" w:cs="Arial"/>
          <w:color w:val="000000" w:themeColor="text1"/>
          <w:sz w:val="22"/>
        </w:rPr>
        <w:t>emphasises</w:t>
      </w:r>
      <w:proofErr w:type="spellEnd"/>
      <w:r w:rsidRPr="00B10FD1">
        <w:rPr>
          <w:rFonts w:ascii="Arial" w:hAnsi="Arial" w:cs="Arial"/>
          <w:color w:val="000000" w:themeColor="text1"/>
          <w:sz w:val="22"/>
        </w:rPr>
        <w:t xml:space="preserve"> that digital must remain complementary to non-digital routes and supported by assisted-digital options, precisely to avoid inequitable effects (NHS England, 2023/24). </w:t>
      </w:r>
    </w:p>
    <w:p w14:paraId="213010CD"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5" w:name="_Toc209284779"/>
      <w:r w:rsidRPr="00B10FD1">
        <w:rPr>
          <w:rFonts w:ascii="Arial" w:hAnsi="Arial" w:cs="Arial"/>
          <w:color w:val="000000" w:themeColor="text1"/>
        </w:rPr>
        <w:t>4.4.3 Access to Services: Friction, Delay and Forgone Care</w:t>
      </w:r>
      <w:bookmarkEnd w:id="15"/>
    </w:p>
    <w:p w14:paraId="4C014C35"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Across UK qualitative and mixed-methods studies, older adults describe abandoning online booking after repeated failures (passwords/2FA, unclear forms), deferring prescription requests, or defaulting to urgent care when problems escalate. Local evidence from North-East England shows exclusion is place-based, clustered with deprivation, disability, and poor infrastructure, so generic “skills classes” alone do not fix access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 The umbrella review by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highlights a notable evaluation gap: first-contact technologies (online booking/e-triage) are under-studied for older adults relative to remote consultations, despite being the point where inequity often emerges. </w:t>
      </w:r>
    </w:p>
    <w:p w14:paraId="68D56EE2"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6" w:name="_Toc209284780"/>
      <w:r w:rsidRPr="00B10FD1">
        <w:rPr>
          <w:rFonts w:ascii="Arial" w:hAnsi="Arial" w:cs="Arial"/>
          <w:color w:val="000000" w:themeColor="text1"/>
        </w:rPr>
        <w:t>4.4.4 Mental Health and Wellbeing</w:t>
      </w:r>
      <w:bookmarkEnd w:id="16"/>
    </w:p>
    <w:p w14:paraId="5F0BC7F0"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Three linked mechanisms recur:</w:t>
      </w:r>
    </w:p>
    <w:p w14:paraId="62023B5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Loneliness and identity loss: When familiar, relationship-rich routes (walking to reception, phoning a known clerk) are de-</w:t>
      </w:r>
      <w:proofErr w:type="spellStart"/>
      <w:r w:rsidRPr="00B10FD1">
        <w:rPr>
          <w:rFonts w:ascii="Arial" w:hAnsi="Arial" w:cs="Arial"/>
          <w:color w:val="000000" w:themeColor="text1"/>
          <w:sz w:val="22"/>
        </w:rPr>
        <w:t>prioritised</w:t>
      </w:r>
      <w:proofErr w:type="spellEnd"/>
      <w:r w:rsidRPr="00B10FD1">
        <w:rPr>
          <w:rFonts w:ascii="Arial" w:hAnsi="Arial" w:cs="Arial"/>
          <w:color w:val="000000" w:themeColor="text1"/>
          <w:sz w:val="22"/>
        </w:rPr>
        <w:t>, older adults report feeling shut out, undermining social identity and belonging. A social-identity–informed review argues digital interventions must enable group membership and connection, not just content delivery (Stuart et al., 2022). Meta-level evidence affirms that social connection is a causal determinant of mental and physical health (Holt-</w:t>
      </w:r>
      <w:proofErr w:type="spellStart"/>
      <w:r w:rsidRPr="00B10FD1">
        <w:rPr>
          <w:rFonts w:ascii="Arial" w:hAnsi="Arial" w:cs="Arial"/>
          <w:color w:val="000000" w:themeColor="text1"/>
          <w:sz w:val="22"/>
        </w:rPr>
        <w:t>Lunstad</w:t>
      </w:r>
      <w:proofErr w:type="spellEnd"/>
      <w:r w:rsidRPr="00B10FD1">
        <w:rPr>
          <w:rFonts w:ascii="Arial" w:hAnsi="Arial" w:cs="Arial"/>
          <w:color w:val="000000" w:themeColor="text1"/>
          <w:sz w:val="22"/>
        </w:rPr>
        <w:t xml:space="preserve">, 2024). </w:t>
      </w:r>
    </w:p>
    <w:p w14:paraId="0AAB9429"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Stress–anxiety cycle: Fear of scams, unfamiliar terminology, and repeated authentication failures heighten anticipatory anxiety; negative experiences lead to withdrawal from help-seeking. Pandemic-era </w:t>
      </w:r>
      <w:proofErr w:type="spellStart"/>
      <w:r w:rsidRPr="00B10FD1">
        <w:rPr>
          <w:rFonts w:ascii="Arial" w:hAnsi="Arial" w:cs="Arial"/>
          <w:color w:val="000000" w:themeColor="text1"/>
          <w:sz w:val="22"/>
        </w:rPr>
        <w:t>digitisation</w:t>
      </w:r>
      <w:proofErr w:type="spellEnd"/>
      <w:r w:rsidRPr="00B10FD1">
        <w:rPr>
          <w:rFonts w:ascii="Arial" w:hAnsi="Arial" w:cs="Arial"/>
          <w:color w:val="000000" w:themeColor="text1"/>
          <w:sz w:val="22"/>
        </w:rPr>
        <w:t xml:space="preserve"> without adequate coaching amplified this stress among people already isolated (Stuart et al., 2022; NASEM, 2020). </w:t>
      </w:r>
    </w:p>
    <w:p w14:paraId="735F9FAA"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Erosion of trust and help-seeking: When portals are experienced as gatekeeping, trust in services declines; pride and stigma make repeated requests for help harder. Fundamental-rights analysis warns that online-only public services risk excluding older people unless offline alternatives are protected as a matter of practice (FRA, 2023). </w:t>
      </w:r>
    </w:p>
    <w:p w14:paraId="367D347F"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7" w:name="_Toc209284781"/>
      <w:r w:rsidRPr="00B10FD1">
        <w:rPr>
          <w:rFonts w:ascii="Arial" w:hAnsi="Arial" w:cs="Arial"/>
          <w:color w:val="000000" w:themeColor="text1"/>
        </w:rPr>
        <w:t>4.4.5 Care Experience: Dignity, Choice and Continuity</w:t>
      </w:r>
      <w:bookmarkEnd w:id="17"/>
    </w:p>
    <w:p w14:paraId="7C53A9CD"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lastRenderedPageBreak/>
        <w:t xml:space="preserve">Older adults consistently value being heard, continuity with known clinicians, and the ability to narrate complex problems. Digital channels can support this (e.g., secure messaging) when assisted-digital support is available at the point of need (reception “digital champions,” library coaching). NHS England’s inclusion framework explicitly instructs that digital approaches must be complementary to phone/face-to-face options and designed with users, to protect dignity and choice (NHS England, 2023/24). </w:t>
      </w:r>
    </w:p>
    <w:p w14:paraId="30A60A1F"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8" w:name="_Toc209284782"/>
      <w:r w:rsidRPr="00B10FD1">
        <w:rPr>
          <w:rFonts w:ascii="Arial" w:hAnsi="Arial" w:cs="Arial"/>
          <w:color w:val="000000" w:themeColor="text1"/>
        </w:rPr>
        <w:t>4.4.6 Statistical Context (Triangulation)</w:t>
      </w:r>
      <w:bookmarkEnd w:id="18"/>
    </w:p>
    <w:p w14:paraId="6CDF096C"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Age UK estimates suggest ~5.8 million people aged 65+ are either offline or unable to use the internet safely and successfully, around 46%, with risk highest among the oldest-old (Age UK, 2023). International evidence shows internet use rose during COVID-19 for many community-dwelling older adults but far less in long-term care, underscoring structural constraints beyond motivation (Seifert, 2021). These signals triangulate the qualitative mechanisms above: a large at-risk cohort faces cumulative disadvantage as essential services move online. </w:t>
      </w:r>
    </w:p>
    <w:p w14:paraId="43795CFC"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19" w:name="_Toc209284783"/>
      <w:r>
        <w:rPr>
          <w:rFonts w:ascii="Arial" w:hAnsi="Arial" w:cs="Arial"/>
          <w:color w:val="000000" w:themeColor="text1"/>
        </w:rPr>
        <w:t>4.4.7</w:t>
      </w:r>
      <w:r w:rsidRPr="00B10FD1">
        <w:rPr>
          <w:rFonts w:ascii="Arial" w:hAnsi="Arial" w:cs="Arial"/>
          <w:color w:val="000000" w:themeColor="text1"/>
        </w:rPr>
        <w:t xml:space="preserve"> Illustrative Intervention Evidence (Mechanism Plausibility)</w:t>
      </w:r>
      <w:bookmarkEnd w:id="19"/>
    </w:p>
    <w:p w14:paraId="21F106FE"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Where assisted digital is built around relationships, mental-health benefits are observable. Quasi-experimental and trial-like studies of staff-mediated video-communication for nursing-home residents report improvements in loneliness and depressive symptoms, illustrating how digitally enabled social contact can help, provided usability and support are addressed (Tsai et al., 2010; Tsai et al., 2011; Lin et al., 2020). These studies reinforce a core point: technology per se is not protective; supported, relational use is. </w:t>
      </w:r>
    </w:p>
    <w:p w14:paraId="36A5F0C7"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Consequences identified here justify current UK policy principles: retain offline parity, embed assisted-digital at first contact, and partner with community </w:t>
      </w:r>
      <w:proofErr w:type="spellStart"/>
      <w:r w:rsidRPr="00B10FD1">
        <w:rPr>
          <w:rFonts w:ascii="Arial" w:hAnsi="Arial" w:cs="Arial"/>
          <w:color w:val="000000" w:themeColor="text1"/>
          <w:sz w:val="22"/>
        </w:rPr>
        <w:t>organisations</w:t>
      </w:r>
      <w:proofErr w:type="spellEnd"/>
      <w:r w:rsidRPr="00B10FD1">
        <w:rPr>
          <w:rFonts w:ascii="Arial" w:hAnsi="Arial" w:cs="Arial"/>
          <w:color w:val="000000" w:themeColor="text1"/>
          <w:sz w:val="22"/>
        </w:rPr>
        <w:t xml:space="preserve"> to deliver help in trusted places. They also justify investment in implementation capacity (training, protected staff time, devices/data), because technology spending alone will not reduce inequities in access or mental health (Health Foundation commentary; NHS framework). </w:t>
      </w:r>
    </w:p>
    <w:p w14:paraId="1712C61B"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0" w:name="_Toc209284784"/>
      <w:r>
        <w:rPr>
          <w:rFonts w:ascii="Arial" w:hAnsi="Arial" w:cs="Arial"/>
          <w:color w:val="000000" w:themeColor="text1"/>
        </w:rPr>
        <w:t>4.4.8</w:t>
      </w:r>
      <w:r w:rsidRPr="00B10FD1">
        <w:rPr>
          <w:rFonts w:ascii="Arial" w:hAnsi="Arial" w:cs="Arial"/>
          <w:color w:val="000000" w:themeColor="text1"/>
        </w:rPr>
        <w:t xml:space="preserve"> Relevance to The Research Objective 2</w:t>
      </w:r>
      <w:bookmarkEnd w:id="20"/>
    </w:p>
    <w:p w14:paraId="4646BC0C"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This theme directly evidences how digital exclusion converts into concrete access barriers (missed/foregone appointments, delayed prescriptions), thereby worsening health outcomes and wellbeing through heightened loneliness, anxiety, and loss of control. Lived accounts show that digital-by-default pathways reshape the care experience, eroding dignity and trust when assisted or non-digital options are absent. By mapping these mechanisms, from first-contact friction to </w:t>
      </w:r>
      <w:r w:rsidRPr="00B10FD1">
        <w:rPr>
          <w:rFonts w:ascii="Arial" w:hAnsi="Arial" w:cs="Arial"/>
          <w:color w:val="000000" w:themeColor="text1"/>
          <w:sz w:val="22"/>
        </w:rPr>
        <w:lastRenderedPageBreak/>
        <w:t>psychological harm, the findings fulfil Objective 2’s aim to examine consequences across service access, health effects, wellbeing, and user experience in UK older adults.</w:t>
      </w:r>
    </w:p>
    <w:p w14:paraId="22A8E1B7"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1" w:name="_Toc209284785"/>
      <w:r w:rsidRPr="00B10FD1">
        <w:rPr>
          <w:rFonts w:ascii="Arial" w:hAnsi="Arial" w:cs="Arial"/>
          <w:color w:val="000000" w:themeColor="text1"/>
        </w:rPr>
        <w:t>4.4.9 Connections to Other Themes</w:t>
      </w:r>
      <w:bookmarkEnd w:id="21"/>
    </w:p>
    <w:p w14:paraId="43E7FCA7"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These consequences flow directly from the barriers in Theme 1 and motivate Theme 3’s focus on what works (community-based, assisted models; parity by design). They also underpin Theme 4’s recommendations, especially the call to measure inclusive access and psychosocial outcomes (belonging, anxiety) rather than portal sign-ups alone.</w:t>
      </w:r>
    </w:p>
    <w:p w14:paraId="35D45DF9" w14:textId="77777777" w:rsidR="006041C3" w:rsidRPr="00B10FD1" w:rsidRDefault="006041C3" w:rsidP="006041C3">
      <w:pPr>
        <w:pStyle w:val="NormalWeb"/>
        <w:rPr>
          <w:rFonts w:ascii="Arial" w:hAnsi="Arial" w:cs="Arial"/>
        </w:rPr>
      </w:pPr>
      <w:r w:rsidRPr="00B10FD1">
        <w:rPr>
          <w:rFonts w:ascii="Arial" w:hAnsi="Arial" w:cs="Arial"/>
        </w:rPr>
        <w:t>Given these impacts, Theme 3 evaluates which UK policies and interventions show evidence of effectiveness.</w:t>
      </w:r>
    </w:p>
    <w:p w14:paraId="2F25E1FD"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22" w:name="_Toc209284786"/>
      <w:r w:rsidRPr="00B10FD1">
        <w:rPr>
          <w:rFonts w:ascii="Arial" w:hAnsi="Arial" w:cs="Arial"/>
          <w:color w:val="000000" w:themeColor="text1"/>
        </w:rPr>
        <w:t>4.5 Theme 3 – What works? Efficacy of UK policies and interventions to stimulate digital inclusion</w:t>
      </w:r>
      <w:bookmarkEnd w:id="22"/>
      <w:r w:rsidRPr="00B10FD1">
        <w:rPr>
          <w:rFonts w:ascii="Arial" w:hAnsi="Arial" w:cs="Arial"/>
          <w:color w:val="000000" w:themeColor="text1"/>
        </w:rPr>
        <w:t xml:space="preserve"> </w:t>
      </w:r>
    </w:p>
    <w:p w14:paraId="5B5B7A27"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3" w:name="_Toc209284787"/>
      <w:r w:rsidRPr="00B10FD1">
        <w:rPr>
          <w:rFonts w:ascii="Arial" w:hAnsi="Arial" w:cs="Arial"/>
          <w:color w:val="000000" w:themeColor="text1"/>
        </w:rPr>
        <w:t>4.5.1 Definition and scope</w:t>
      </w:r>
      <w:bookmarkEnd w:id="23"/>
    </w:p>
    <w:p w14:paraId="5F6A22CD"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Here, “what works” refers to policies and interventions that reduce digital exclusion among older adults by (a) safeguarding equitable routes to care (parity of digital and non-digital access), (b) assisting people at the point of need, and (c) demonstrably improving use, confidence, experience, and ultimately wellbeing. UK system guidance locates digital inclusion within core quality and equity aims, stating that digital offers must be complementary, not a substitute, for non-digital services and should be co-designed, supported, measured, and partnered locally. These principles define the yardstick for judging efficacy (NHS England, 2023).</w:t>
      </w:r>
    </w:p>
    <w:p w14:paraId="05C5FD40"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4" w:name="_Toc209284788"/>
      <w:r w:rsidRPr="00B10FD1">
        <w:rPr>
          <w:rFonts w:ascii="Arial" w:hAnsi="Arial" w:cs="Arial"/>
          <w:color w:val="000000" w:themeColor="text1"/>
        </w:rPr>
        <w:t>4.5.2 Background and Policy Direction</w:t>
      </w:r>
      <w:bookmarkEnd w:id="24"/>
    </w:p>
    <w:p w14:paraId="17912D82"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The UK government’s Plan for Digital Health and Social Care (2022) sets a vision for a digitally enabled system, while NHS England’s Inclusive Digital Healthcare framework (2023, updated 2024) translates this into actionable principles: co-design, parity of access, assisted-digital support, partnerships with VCSE/community </w:t>
      </w:r>
      <w:proofErr w:type="spellStart"/>
      <w:r w:rsidRPr="00B10FD1">
        <w:rPr>
          <w:rFonts w:ascii="Arial" w:hAnsi="Arial" w:cs="Arial"/>
          <w:color w:val="000000" w:themeColor="text1"/>
          <w:sz w:val="22"/>
        </w:rPr>
        <w:t>organisations</w:t>
      </w:r>
      <w:proofErr w:type="spellEnd"/>
      <w:r w:rsidRPr="00B10FD1">
        <w:rPr>
          <w:rFonts w:ascii="Arial" w:hAnsi="Arial" w:cs="Arial"/>
          <w:color w:val="000000" w:themeColor="text1"/>
          <w:sz w:val="22"/>
        </w:rPr>
        <w:t xml:space="preserve">, and measurement of inclusion (Health Foundation, 2025). Independent analysis welcomes </w:t>
      </w:r>
      <w:proofErr w:type="gramStart"/>
      <w:r w:rsidRPr="00B10FD1">
        <w:rPr>
          <w:rFonts w:ascii="Arial" w:hAnsi="Arial" w:cs="Arial"/>
          <w:color w:val="000000" w:themeColor="text1"/>
          <w:sz w:val="22"/>
        </w:rPr>
        <w:t>the ambition</w:t>
      </w:r>
      <w:proofErr w:type="gramEnd"/>
      <w:r w:rsidRPr="00B10FD1">
        <w:rPr>
          <w:rFonts w:ascii="Arial" w:hAnsi="Arial" w:cs="Arial"/>
          <w:color w:val="000000" w:themeColor="text1"/>
          <w:sz w:val="22"/>
        </w:rPr>
        <w:t xml:space="preserve"> but stresses that technology spend alone does not deliver benefits without parallel investment in implementation capacity (people, training, change management) (Financial Times, 2025). Recent estimates suggest the transition from analogue to digital will require very substantial, multi-year funding, reinforcing the case for </w:t>
      </w:r>
      <w:proofErr w:type="spellStart"/>
      <w:r w:rsidRPr="00B10FD1">
        <w:rPr>
          <w:rFonts w:ascii="Arial" w:hAnsi="Arial" w:cs="Arial"/>
          <w:color w:val="000000" w:themeColor="text1"/>
          <w:sz w:val="22"/>
        </w:rPr>
        <w:t>prioritising</w:t>
      </w:r>
      <w:proofErr w:type="spellEnd"/>
      <w:r w:rsidRPr="00B10FD1">
        <w:rPr>
          <w:rFonts w:ascii="Arial" w:hAnsi="Arial" w:cs="Arial"/>
          <w:color w:val="000000" w:themeColor="text1"/>
          <w:sz w:val="22"/>
        </w:rPr>
        <w:t xml:space="preserve"> inclusion and evaluation during rollout (Department of Health and Social Care and NHS England, 2022).</w:t>
      </w:r>
    </w:p>
    <w:p w14:paraId="378BA2FA"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5" w:name="_Toc209284789"/>
      <w:r w:rsidRPr="00B10FD1">
        <w:rPr>
          <w:rFonts w:ascii="Arial" w:hAnsi="Arial" w:cs="Arial"/>
          <w:color w:val="000000" w:themeColor="text1"/>
        </w:rPr>
        <w:lastRenderedPageBreak/>
        <w:t>4.5.3 What Shows Promise in Practice?</w:t>
      </w:r>
      <w:bookmarkEnd w:id="25"/>
    </w:p>
    <w:p w14:paraId="02F826FE"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Community-based models, notably 100% Digital Leeds, consistently surface as practical </w:t>
      </w:r>
      <w:proofErr w:type="gramStart"/>
      <w:r w:rsidRPr="00B10FD1">
        <w:rPr>
          <w:rFonts w:ascii="Arial" w:hAnsi="Arial" w:cs="Arial"/>
          <w:color w:val="000000" w:themeColor="text1"/>
          <w:sz w:val="22"/>
        </w:rPr>
        <w:t>exemplars</w:t>
      </w:r>
      <w:proofErr w:type="gramEnd"/>
      <w:r w:rsidRPr="00B10FD1">
        <w:rPr>
          <w:rFonts w:ascii="Arial" w:hAnsi="Arial" w:cs="Arial"/>
          <w:color w:val="000000" w:themeColor="text1"/>
          <w:sz w:val="22"/>
        </w:rPr>
        <w:t xml:space="preserve">. The Leeds model </w:t>
      </w:r>
      <w:proofErr w:type="spellStart"/>
      <w:r w:rsidRPr="00B10FD1">
        <w:rPr>
          <w:rFonts w:ascii="Arial" w:hAnsi="Arial" w:cs="Arial"/>
          <w:color w:val="000000" w:themeColor="text1"/>
          <w:sz w:val="22"/>
        </w:rPr>
        <w:t>formalises</w:t>
      </w:r>
      <w:proofErr w:type="spellEnd"/>
      <w:r w:rsidRPr="00B10FD1">
        <w:rPr>
          <w:rFonts w:ascii="Arial" w:hAnsi="Arial" w:cs="Arial"/>
          <w:color w:val="000000" w:themeColor="text1"/>
          <w:sz w:val="22"/>
        </w:rPr>
        <w:t xml:space="preserve"> a place-based coalition (council, libraries, housing, VCSE groups) that provides 1-to-1 coaching, small-group learning, device lending and data access, and acts as a digital broker into GP portals, booking systems and wider support. Evidence from Leeds and similar </w:t>
      </w:r>
      <w:proofErr w:type="spellStart"/>
      <w:r w:rsidRPr="00B10FD1">
        <w:rPr>
          <w:rFonts w:ascii="Arial" w:hAnsi="Arial" w:cs="Arial"/>
          <w:color w:val="000000" w:themeColor="text1"/>
          <w:sz w:val="22"/>
        </w:rPr>
        <w:t>programmes</w:t>
      </w:r>
      <w:proofErr w:type="spellEnd"/>
      <w:r w:rsidRPr="00B10FD1">
        <w:rPr>
          <w:rFonts w:ascii="Arial" w:hAnsi="Arial" w:cs="Arial"/>
          <w:color w:val="000000" w:themeColor="text1"/>
          <w:sz w:val="22"/>
        </w:rPr>
        <w:t xml:space="preserve"> indicates that interventions are most effective when delivered in trusted places, paced to individual need, and connected to meaningful goals (e.g., managing repeat prescriptions or contacting </w:t>
      </w:r>
      <w:proofErr w:type="gramStart"/>
      <w:r w:rsidRPr="00B10FD1">
        <w:rPr>
          <w:rFonts w:ascii="Arial" w:hAnsi="Arial" w:cs="Arial"/>
          <w:color w:val="000000" w:themeColor="text1"/>
          <w:sz w:val="22"/>
        </w:rPr>
        <w:t>a known</w:t>
      </w:r>
      <w:proofErr w:type="gramEnd"/>
      <w:r w:rsidRPr="00B10FD1">
        <w:rPr>
          <w:rFonts w:ascii="Arial" w:hAnsi="Arial" w:cs="Arial"/>
          <w:color w:val="000000" w:themeColor="text1"/>
          <w:sz w:val="22"/>
        </w:rPr>
        <w:t xml:space="preserve"> clinician). These designs align closely with NHS principles and with ageing and social-capital theories (build confidence, reduce cognitive load, embed social belonging) (Leeds City Council/Digital Inclusion Toolkit, 2022; NHS England, 2023; 2024).</w:t>
      </w:r>
    </w:p>
    <w:p w14:paraId="04FC8D6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A cross-borough mixed-methods study (North-East England) strengthens the case for place-tailored provision: digital exclusion clustered with deprivation, disability and poorer infrastructure, implying that generic classes are insufficient without assisted options at first contact and offline parity. This reinforces the need for local mapping and commissioning that follows need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w:t>
      </w:r>
    </w:p>
    <w:p w14:paraId="67C98BEC"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From an implementation science perspective, many otherwise promising technologies fail at the points captured by the NASSS framework, Non-adoption, Abandonment, Scale-up, Spread and Sustainability, when complexity is high and </w:t>
      </w:r>
      <w:proofErr w:type="spellStart"/>
      <w:r w:rsidRPr="00B10FD1">
        <w:rPr>
          <w:rFonts w:ascii="Arial" w:hAnsi="Arial" w:cs="Arial"/>
          <w:color w:val="000000" w:themeColor="text1"/>
          <w:sz w:val="22"/>
        </w:rPr>
        <w:t>organisational</w:t>
      </w:r>
      <w:proofErr w:type="spellEnd"/>
      <w:r w:rsidRPr="00B10FD1">
        <w:rPr>
          <w:rFonts w:ascii="Arial" w:hAnsi="Arial" w:cs="Arial"/>
          <w:color w:val="000000" w:themeColor="text1"/>
          <w:sz w:val="22"/>
        </w:rPr>
        <w:t xml:space="preserve"> capacity is thin. Applying NASSS clarifies why assisted-digital roles, parity statements, and co-design reduce non-adoption and abandonment among older adults by addressing complexity in users, technology, value proposition and </w:t>
      </w:r>
      <w:proofErr w:type="spellStart"/>
      <w:r w:rsidRPr="00B10FD1">
        <w:rPr>
          <w:rFonts w:ascii="Arial" w:hAnsi="Arial" w:cs="Arial"/>
          <w:color w:val="000000" w:themeColor="text1"/>
          <w:sz w:val="22"/>
        </w:rPr>
        <w:t>organisational</w:t>
      </w:r>
      <w:proofErr w:type="spellEnd"/>
      <w:r w:rsidRPr="00B10FD1">
        <w:rPr>
          <w:rFonts w:ascii="Arial" w:hAnsi="Arial" w:cs="Arial"/>
          <w:color w:val="000000" w:themeColor="text1"/>
          <w:sz w:val="22"/>
        </w:rPr>
        <w:t xml:space="preserve"> routines (Greenhalgh et al., 2017).</w:t>
      </w:r>
    </w:p>
    <w:p w14:paraId="3A09D5F6"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Libraries are a particularly effective, scalable asset. National reporting underscores libraries’ role in digital and health literacy support and as safe, trusted spaces for “crisis moments” of digital exclusion. Embedding referral pathways between primary care and libraries strengthens continuity and reduces the “front-door” friction that often deters older users (DCMS, 2024; Libraries Connected, 2024).</w:t>
      </w:r>
    </w:p>
    <w:p w14:paraId="266204E0"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6" w:name="_Toc209284790"/>
      <w:r w:rsidRPr="00B10FD1">
        <w:rPr>
          <w:rFonts w:ascii="Arial" w:hAnsi="Arial" w:cs="Arial"/>
          <w:color w:val="000000" w:themeColor="text1"/>
        </w:rPr>
        <w:t xml:space="preserve">4.5.4 What </w:t>
      </w:r>
      <w:proofErr w:type="gramStart"/>
      <w:r w:rsidRPr="00B10FD1">
        <w:rPr>
          <w:rFonts w:ascii="Arial" w:hAnsi="Arial" w:cs="Arial"/>
          <w:color w:val="000000" w:themeColor="text1"/>
        </w:rPr>
        <w:t>The</w:t>
      </w:r>
      <w:proofErr w:type="gramEnd"/>
      <w:r w:rsidRPr="00B10FD1">
        <w:rPr>
          <w:rFonts w:ascii="Arial" w:hAnsi="Arial" w:cs="Arial"/>
          <w:color w:val="000000" w:themeColor="text1"/>
        </w:rPr>
        <w:t xml:space="preserve"> Evidence Cautions?</w:t>
      </w:r>
      <w:bookmarkEnd w:id="26"/>
    </w:p>
    <w:p w14:paraId="1961DC4B"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Despite progress, two evidence gaps recur. First, the umbrella review of reviews on older people’s access found no reviews of first-contact tools (online booking/e-triage) and concluded that the impact of digital technologies on equitable access for older adults remains unclear, precisely where exclusion often originates. Second, measurement frequently </w:t>
      </w:r>
      <w:proofErr w:type="spellStart"/>
      <w:r w:rsidRPr="00B10FD1">
        <w:rPr>
          <w:rFonts w:ascii="Arial" w:hAnsi="Arial" w:cs="Arial"/>
          <w:color w:val="000000" w:themeColor="text1"/>
          <w:sz w:val="22"/>
        </w:rPr>
        <w:t>prioritises</w:t>
      </w:r>
      <w:proofErr w:type="spellEnd"/>
      <w:r w:rsidRPr="00B10FD1">
        <w:rPr>
          <w:rFonts w:ascii="Arial" w:hAnsi="Arial" w:cs="Arial"/>
          <w:color w:val="000000" w:themeColor="text1"/>
          <w:sz w:val="22"/>
        </w:rPr>
        <w:t xml:space="preserve"> sign-ups or </w:t>
      </w:r>
      <w:r w:rsidRPr="00B10FD1">
        <w:rPr>
          <w:rFonts w:ascii="Arial" w:hAnsi="Arial" w:cs="Arial"/>
          <w:color w:val="000000" w:themeColor="text1"/>
          <w:sz w:val="22"/>
        </w:rPr>
        <w:lastRenderedPageBreak/>
        <w:t>downloads over outcomes that matter (e.g., completed contacts for 75+, reduced missed care due to digital barriers, changes in tech-related anxiety or loneliness). Addressing both gaps is essential to demonstrate real-world equity gains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w:t>
      </w:r>
    </w:p>
    <w:p w14:paraId="5A4CF7B2"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Emerging quantitative work shows digital health inequality in </w:t>
      </w:r>
      <w:proofErr w:type="spellStart"/>
      <w:r w:rsidRPr="00B10FD1">
        <w:rPr>
          <w:rFonts w:ascii="Arial" w:hAnsi="Arial" w:cs="Arial"/>
          <w:color w:val="000000" w:themeColor="text1"/>
          <w:sz w:val="22"/>
        </w:rPr>
        <w:t>utilisation</w:t>
      </w:r>
      <w:proofErr w:type="spellEnd"/>
      <w:r w:rsidRPr="00B10FD1">
        <w:rPr>
          <w:rFonts w:ascii="Arial" w:hAnsi="Arial" w:cs="Arial"/>
          <w:color w:val="000000" w:themeColor="text1"/>
          <w:sz w:val="22"/>
        </w:rPr>
        <w:t xml:space="preserve"> of national tools (e.g., NHS App, online primary care services), implying that universal deployment does not equal universal use; without assisted pathways and offline parity, the most disadvantaged groups benefit least. Editorials and scoping reviews reiterate that inclusion, infrastructure and co-design are preconditions for equitable benefit, especially for older people and those in deprived areas (Zhang et al., 2023; The BMJ, 2025).</w:t>
      </w:r>
    </w:p>
    <w:p w14:paraId="55C74852"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Relative to the dissertation aim, the most efficacious approaches are those that build capacity around the patient (assisted-digital staff, library/VCSE partners), guarantee non-digital parity, and simplify digital journeys (fewer steps, accessible design, proxy support). Policy architecture is sound; implementation quality, funding stability, workforce time, partnerships, and measurement, determines whether digital change reduces or reproduces isolation. This aligns with Theme 1–2 mechanisms (thresholds, confidence, belonging) and provides a pathway to measurable improvements in access and wellbeing for older adults (NHS England, 2023; 2024).</w:t>
      </w:r>
    </w:p>
    <w:p w14:paraId="592E57C4"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7" w:name="_Toc209284791"/>
      <w:r w:rsidRPr="00B10FD1">
        <w:rPr>
          <w:rFonts w:ascii="Arial" w:hAnsi="Arial" w:cs="Arial"/>
          <w:color w:val="000000" w:themeColor="text1"/>
        </w:rPr>
        <w:t>4.5.5 Illustrative from Convergent Evidence</w:t>
      </w:r>
      <w:bookmarkEnd w:id="27"/>
    </w:p>
    <w:p w14:paraId="61E9DC35"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An evidence-informed minimum effective package would embed assisted-digital support at first contact, for example, reception-based digital champions and warm handovers to community partners, because such mediation reduces complexity and non-adoption among older adults (Greenhalgh et al., 2017;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 It should bundle device, data and skills rather than training alone to address first-, second- and third-level divides simultaneously (van Dijk, 2006;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Services must hard-wire parity by design, giving phone/face-to-face routes visible, equal status alongside digital options to mitigate documented digital health inequalities in national tools (Zhang et al., 2023). Commissioning should be place-based, guided by local exclusion maps, reflecting the clustering of barriers with deprivation and disability (Wilson-</w:t>
      </w:r>
      <w:proofErr w:type="spellStart"/>
      <w:r w:rsidRPr="00B10FD1">
        <w:rPr>
          <w:rFonts w:ascii="Arial" w:hAnsi="Arial" w:cs="Arial"/>
          <w:color w:val="000000" w:themeColor="text1"/>
          <w:sz w:val="22"/>
        </w:rPr>
        <w:t>Menzfeld</w:t>
      </w:r>
      <w:proofErr w:type="spellEnd"/>
      <w:r w:rsidRPr="00B10FD1">
        <w:rPr>
          <w:rFonts w:ascii="Arial" w:hAnsi="Arial" w:cs="Arial"/>
          <w:color w:val="000000" w:themeColor="text1"/>
          <w:sz w:val="22"/>
        </w:rPr>
        <w:t xml:space="preserve"> et al., 2024). Finally, co-design with older adults and carers and tracking equity KPIs (e.g., completed access, patient-reported confidence/belonging) are essential for spread and sustainability, aligning with implementation science on scale-up and evaluation (Greenhalgh et al., 2017; Stuart et al., 2022). Collectively, these elements are feasible within existing UK assets and are consistent with the best available evidence on reducing exclusion while protecting wellbeing (</w:t>
      </w:r>
      <w:proofErr w:type="spellStart"/>
      <w:r w:rsidRPr="00B10FD1">
        <w:rPr>
          <w:rFonts w:ascii="Arial" w:hAnsi="Arial" w:cs="Arial"/>
          <w:color w:val="000000" w:themeColor="text1"/>
          <w:sz w:val="22"/>
        </w:rPr>
        <w:t>Kunonga</w:t>
      </w:r>
      <w:proofErr w:type="spellEnd"/>
      <w:r w:rsidRPr="00B10FD1">
        <w:rPr>
          <w:rFonts w:ascii="Arial" w:hAnsi="Arial" w:cs="Arial"/>
          <w:color w:val="000000" w:themeColor="text1"/>
          <w:sz w:val="22"/>
        </w:rPr>
        <w:t xml:space="preserve"> et al., 2021; Holt-</w:t>
      </w:r>
      <w:proofErr w:type="spellStart"/>
      <w:r w:rsidRPr="00B10FD1">
        <w:rPr>
          <w:rFonts w:ascii="Arial" w:hAnsi="Arial" w:cs="Arial"/>
          <w:color w:val="000000" w:themeColor="text1"/>
          <w:sz w:val="22"/>
        </w:rPr>
        <w:t>Lunstad</w:t>
      </w:r>
      <w:proofErr w:type="spellEnd"/>
      <w:r w:rsidRPr="00B10FD1">
        <w:rPr>
          <w:rFonts w:ascii="Arial" w:hAnsi="Arial" w:cs="Arial"/>
          <w:color w:val="000000" w:themeColor="text1"/>
          <w:sz w:val="22"/>
        </w:rPr>
        <w:t>, 2024).</w:t>
      </w:r>
    </w:p>
    <w:p w14:paraId="63B1CD92"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8" w:name="_Toc209284792"/>
      <w:r w:rsidRPr="00B10FD1">
        <w:rPr>
          <w:rFonts w:ascii="Arial" w:hAnsi="Arial" w:cs="Arial"/>
          <w:color w:val="000000" w:themeColor="text1"/>
        </w:rPr>
        <w:lastRenderedPageBreak/>
        <w:t>4.5.6 Relevance to The Research Objective 3</w:t>
      </w:r>
      <w:bookmarkEnd w:id="28"/>
    </w:p>
    <w:p w14:paraId="37283E98"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 xml:space="preserve">This theme evaluates whether UK frameworks (e.g., NHS Inclusive Digital Healthcare) and local community-led models (e.g., 100% Digital Leeds) measurably reduce exclusion through assisted access, parity of offline routes, and place-based delivery. It interrogates not just adoption but outcomes, completed contacts, confidence, and wellbeing, highlighting </w:t>
      </w:r>
      <w:proofErr w:type="gramStart"/>
      <w:r w:rsidRPr="00B10FD1">
        <w:rPr>
          <w:rFonts w:ascii="Arial" w:hAnsi="Arial" w:cs="Arial"/>
          <w:color w:val="000000" w:themeColor="text1"/>
          <w:sz w:val="22"/>
        </w:rPr>
        <w:t>that technology</w:t>
      </w:r>
      <w:proofErr w:type="gramEnd"/>
      <w:r w:rsidRPr="00B10FD1">
        <w:rPr>
          <w:rFonts w:ascii="Arial" w:hAnsi="Arial" w:cs="Arial"/>
          <w:color w:val="000000" w:themeColor="text1"/>
          <w:sz w:val="22"/>
        </w:rPr>
        <w:t xml:space="preserve"> </w:t>
      </w:r>
      <w:proofErr w:type="gramStart"/>
      <w:r w:rsidRPr="00B10FD1">
        <w:rPr>
          <w:rFonts w:ascii="Arial" w:hAnsi="Arial" w:cs="Arial"/>
          <w:color w:val="000000" w:themeColor="text1"/>
          <w:sz w:val="22"/>
        </w:rPr>
        <w:t>spend</w:t>
      </w:r>
      <w:proofErr w:type="gramEnd"/>
      <w:r w:rsidRPr="00B10FD1">
        <w:rPr>
          <w:rFonts w:ascii="Arial" w:hAnsi="Arial" w:cs="Arial"/>
          <w:color w:val="000000" w:themeColor="text1"/>
          <w:sz w:val="22"/>
        </w:rPr>
        <w:t xml:space="preserve"> alone is insufficient without implementation capacity, partnerships, and evaluation. The synthesis therefore directly addresses Objective 3 by identifying which policy ingredients and delivery mechanisms most credibly improve equitable access for older adults.</w:t>
      </w:r>
    </w:p>
    <w:p w14:paraId="1DF61DEB"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29" w:name="_Toc209284793"/>
      <w:r w:rsidRPr="00B10FD1">
        <w:rPr>
          <w:rFonts w:ascii="Arial" w:hAnsi="Arial" w:cs="Arial"/>
          <w:color w:val="000000" w:themeColor="text1"/>
        </w:rPr>
        <w:t>4.5.7 Connections to Other Themes</w:t>
      </w:r>
      <w:bookmarkEnd w:id="29"/>
    </w:p>
    <w:p w14:paraId="05E68BE7"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color w:val="000000" w:themeColor="text1"/>
          <w:sz w:val="22"/>
        </w:rPr>
        <w:t>Findings here operationalize barriers mapped in Theme 1 and target the downstream harms evidenced in Theme 2 (missed care, anxiety, loneliness) via assisted-digital support and parity-by-design. The practical levers and equity KPIs distilled in Theme 3 feed forward into Theme 4’s recommendations, converting principles into actionable commissioning and service changes. Together, the themes move from mechanisms including consequences, solutions, implementation guidance, maintaining coherence with the dissertation’s aims.</w:t>
      </w:r>
    </w:p>
    <w:p w14:paraId="7891D3FD" w14:textId="77777777" w:rsidR="006041C3" w:rsidRPr="00B10FD1" w:rsidRDefault="006041C3" w:rsidP="006041C3">
      <w:pPr>
        <w:pStyle w:val="NormalWeb"/>
        <w:spacing w:before="120" w:beforeAutospacing="0" w:after="120" w:afterAutospacing="0" w:line="360" w:lineRule="auto"/>
        <w:jc w:val="both"/>
        <w:rPr>
          <w:rFonts w:ascii="Arial" w:hAnsi="Arial" w:cs="Arial"/>
          <w:color w:val="000000" w:themeColor="text1"/>
          <w:sz w:val="22"/>
        </w:rPr>
      </w:pPr>
      <w:r w:rsidRPr="00B10FD1">
        <w:rPr>
          <w:rFonts w:ascii="Arial" w:hAnsi="Arial" w:cs="Arial"/>
        </w:rPr>
        <w:t>Translating “what works” into action, Theme 4 sets out practical recommendations for providers, commissioners and communities.</w:t>
      </w:r>
    </w:p>
    <w:p w14:paraId="0D7E7E29"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30" w:name="_Toc209284794"/>
      <w:r w:rsidRPr="00B10FD1">
        <w:rPr>
          <w:rFonts w:ascii="Arial" w:hAnsi="Arial" w:cs="Arial"/>
          <w:color w:val="000000" w:themeColor="text1"/>
        </w:rPr>
        <w:t>4.6 Theme 4 – Recommendations: evidence-based, achievable actions for providers, policymakers and communities</w:t>
      </w:r>
      <w:bookmarkEnd w:id="30"/>
      <w:r w:rsidRPr="00B10FD1">
        <w:rPr>
          <w:rFonts w:ascii="Arial" w:hAnsi="Arial" w:cs="Arial"/>
          <w:color w:val="000000" w:themeColor="text1"/>
        </w:rPr>
        <w:t xml:space="preserve"> </w:t>
      </w:r>
    </w:p>
    <w:p w14:paraId="48BA9813"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1" w:name="_Toc209284795"/>
      <w:r w:rsidRPr="00B10FD1">
        <w:rPr>
          <w:rFonts w:ascii="Arial" w:hAnsi="Arial" w:cs="Arial"/>
          <w:color w:val="000000" w:themeColor="text1"/>
        </w:rPr>
        <w:t>4.6.1 Definition and orientation</w:t>
      </w:r>
      <w:bookmarkEnd w:id="31"/>
    </w:p>
    <w:p w14:paraId="3968FF0C"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t xml:space="preserve">In this theme, recommendations are practical, evidence-based actions that </w:t>
      </w:r>
      <w:proofErr w:type="spellStart"/>
      <w:r w:rsidRPr="00B10FD1">
        <w:rPr>
          <w:rFonts w:eastAsia="Times New Roman" w:cs="Arial"/>
          <w:color w:val="000000" w:themeColor="text1"/>
          <w:szCs w:val="24"/>
        </w:rPr>
        <w:t>organisations</w:t>
      </w:r>
      <w:proofErr w:type="spellEnd"/>
      <w:r w:rsidRPr="00B10FD1">
        <w:rPr>
          <w:rFonts w:eastAsia="Times New Roman" w:cs="Arial"/>
          <w:color w:val="000000" w:themeColor="text1"/>
          <w:szCs w:val="24"/>
        </w:rPr>
        <w:t xml:space="preserve"> can implement to reduce digital exclusion among older adults while protecting social connection and mental health. The focus is on measures that (</w:t>
      </w:r>
      <w:proofErr w:type="spellStart"/>
      <w:r w:rsidRPr="00B10FD1">
        <w:rPr>
          <w:rFonts w:eastAsia="Times New Roman" w:cs="Arial"/>
          <w:color w:val="000000" w:themeColor="text1"/>
          <w:szCs w:val="24"/>
        </w:rPr>
        <w:t>i</w:t>
      </w:r>
      <w:proofErr w:type="spellEnd"/>
      <w:r w:rsidRPr="00B10FD1">
        <w:rPr>
          <w:rFonts w:eastAsia="Times New Roman" w:cs="Arial"/>
          <w:color w:val="000000" w:themeColor="text1"/>
          <w:szCs w:val="24"/>
        </w:rPr>
        <w:t>) ensure equitable access routes to care, (ii) provide assisted-digital support at the point of need, and (iii) measure inclusive outcomes, not merely technology uptake (</w:t>
      </w:r>
      <w:proofErr w:type="spellStart"/>
      <w:r w:rsidRPr="00B10FD1">
        <w:rPr>
          <w:rFonts w:eastAsia="Times New Roman" w:cs="Arial"/>
          <w:color w:val="000000" w:themeColor="text1"/>
          <w:szCs w:val="24"/>
        </w:rPr>
        <w:t>Kunonga</w:t>
      </w:r>
      <w:proofErr w:type="spellEnd"/>
      <w:r w:rsidRPr="00B10FD1">
        <w:rPr>
          <w:rFonts w:eastAsia="Times New Roman" w:cs="Arial"/>
          <w:color w:val="000000" w:themeColor="text1"/>
          <w:szCs w:val="24"/>
        </w:rPr>
        <w:t xml:space="preserve"> et al., 2021).</w:t>
      </w:r>
    </w:p>
    <w:p w14:paraId="0C0D49A7"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2" w:name="_Toc209284796"/>
      <w:r w:rsidRPr="00B10FD1">
        <w:rPr>
          <w:rFonts w:ascii="Arial" w:hAnsi="Arial" w:cs="Arial"/>
          <w:color w:val="000000" w:themeColor="text1"/>
        </w:rPr>
        <w:t>4.6.2 Background</w:t>
      </w:r>
      <w:bookmarkEnd w:id="32"/>
      <w:r w:rsidRPr="00B10FD1">
        <w:rPr>
          <w:rFonts w:ascii="Arial" w:hAnsi="Arial" w:cs="Arial"/>
          <w:color w:val="000000" w:themeColor="text1"/>
        </w:rPr>
        <w:t xml:space="preserve"> </w:t>
      </w:r>
    </w:p>
    <w:p w14:paraId="74CF3A6C"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t>Chapters 1–3 showed that digital exclusion operates across access, skills/confidence and meaningful use, often clustering with deprivation and ill-health (van Dijk, 2006; Wilson-</w:t>
      </w:r>
      <w:proofErr w:type="spellStart"/>
      <w:r w:rsidRPr="00B10FD1">
        <w:rPr>
          <w:rFonts w:eastAsia="Times New Roman" w:cs="Arial"/>
          <w:color w:val="000000" w:themeColor="text1"/>
          <w:szCs w:val="24"/>
        </w:rPr>
        <w:t>Menzfeld</w:t>
      </w:r>
      <w:proofErr w:type="spellEnd"/>
      <w:r w:rsidRPr="00B10FD1">
        <w:rPr>
          <w:rFonts w:eastAsia="Times New Roman" w:cs="Arial"/>
          <w:color w:val="000000" w:themeColor="text1"/>
          <w:szCs w:val="24"/>
        </w:rPr>
        <w:t xml:space="preserve"> et al., 2024). Chapter 4 (Themes 1–2) linked these barriers to foregone care, anxiety and loneliness, reinforcing the public-health case for action (Holt-Lunstad, 2024; NASEM, 2020). UK </w:t>
      </w:r>
      <w:r w:rsidRPr="00B10FD1">
        <w:rPr>
          <w:rFonts w:eastAsia="Times New Roman" w:cs="Arial"/>
          <w:color w:val="000000" w:themeColor="text1"/>
          <w:szCs w:val="24"/>
        </w:rPr>
        <w:lastRenderedPageBreak/>
        <w:t>policy already mandates inclusion, digital offers must be complementary to non-digital routes and co-designed with users, but outcomes depend on local implementation capacity (NHS England, 2023; DHSC &amp; NHS England, 2022).</w:t>
      </w:r>
    </w:p>
    <w:p w14:paraId="4D012843"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3" w:name="_Toc209284797"/>
      <w:r w:rsidRPr="00B10FD1">
        <w:rPr>
          <w:rFonts w:ascii="Arial" w:hAnsi="Arial" w:cs="Arial"/>
          <w:color w:val="000000" w:themeColor="text1"/>
        </w:rPr>
        <w:t>4.6.3 Recommendations for providers (NHS trusts, PCNs/GP practices, adult social care)</w:t>
      </w:r>
      <w:bookmarkEnd w:id="33"/>
    </w:p>
    <w:p w14:paraId="407262E3" w14:textId="77777777" w:rsidR="006041C3" w:rsidRPr="00B10FD1" w:rsidRDefault="006041C3" w:rsidP="006041C3">
      <w:pPr>
        <w:pStyle w:val="ListParagraph"/>
        <w:numPr>
          <w:ilvl w:val="0"/>
          <w:numId w:val="1"/>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Guarantee parity of access. Give visible, equal status to phone and face-to-face booking alongside online options (web pages, IVR messages, posters). Parity mitigates first-contact “digital thresholds” and rebuilds trust among digitally anxious patients (NHS England, 2023; Zhang et al., 2023).</w:t>
      </w:r>
    </w:p>
    <w:p w14:paraId="7F48826A" w14:textId="77777777" w:rsidR="006041C3" w:rsidRPr="00B10FD1" w:rsidRDefault="006041C3" w:rsidP="006041C3">
      <w:pPr>
        <w:pStyle w:val="ListParagraph"/>
        <w:numPr>
          <w:ilvl w:val="0"/>
          <w:numId w:val="1"/>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Embed assisted-digital at first contact. Train reception/care-coordination staff as digital champions with protected time for on-the-spot support (account set-up, 2FA, portal navigation) and warm handovers to community partners for follow-up coaching (Greenhalgh et al., 2017; Leeds City Council, 2022).</w:t>
      </w:r>
    </w:p>
    <w:p w14:paraId="1BC0288D" w14:textId="77777777" w:rsidR="006041C3" w:rsidRPr="00B10FD1" w:rsidRDefault="006041C3" w:rsidP="006041C3">
      <w:pPr>
        <w:pStyle w:val="ListParagraph"/>
        <w:numPr>
          <w:ilvl w:val="0"/>
          <w:numId w:val="1"/>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 xml:space="preserve">Bundle device + data + skills. Where affordability and connectivity are binding constraints, couple training with loan devices, data vouchers/social tariffs, and accessible “how-to” guides, rather than offering stand-alone classes (van Dijk, 2006; </w:t>
      </w:r>
      <w:proofErr w:type="spellStart"/>
      <w:r w:rsidRPr="00B10FD1">
        <w:rPr>
          <w:rFonts w:ascii="Arial" w:eastAsia="Times New Roman" w:hAnsi="Arial" w:cs="Arial"/>
          <w:color w:val="000000" w:themeColor="text1"/>
          <w:sz w:val="22"/>
          <w:szCs w:val="24"/>
        </w:rPr>
        <w:t>Kunonga</w:t>
      </w:r>
      <w:proofErr w:type="spellEnd"/>
      <w:r w:rsidRPr="00B10FD1">
        <w:rPr>
          <w:rFonts w:ascii="Arial" w:eastAsia="Times New Roman" w:hAnsi="Arial" w:cs="Arial"/>
          <w:color w:val="000000" w:themeColor="text1"/>
          <w:sz w:val="22"/>
          <w:szCs w:val="24"/>
        </w:rPr>
        <w:t xml:space="preserve"> et al., 2021).</w:t>
      </w:r>
    </w:p>
    <w:p w14:paraId="35E06F6E" w14:textId="77777777" w:rsidR="006041C3" w:rsidRPr="00B10FD1" w:rsidRDefault="006041C3" w:rsidP="006041C3">
      <w:pPr>
        <w:pStyle w:val="ListParagraph"/>
        <w:numPr>
          <w:ilvl w:val="0"/>
          <w:numId w:val="1"/>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Design for cognitive load and impairment. Simplify flows (fewer steps; plain language), enlarge default text/icons, and offer alternative verification and proxy access for carers (with consent). Co-design features with older adults to avoid “good tech, poor fit” (NHS England, 2024; Stuart et al., 2022).</w:t>
      </w:r>
    </w:p>
    <w:p w14:paraId="7E1FB05D" w14:textId="77777777" w:rsidR="006041C3" w:rsidRPr="00B10FD1" w:rsidRDefault="006041C3" w:rsidP="006041C3">
      <w:pPr>
        <w:pStyle w:val="ListParagraph"/>
        <w:numPr>
          <w:ilvl w:val="0"/>
          <w:numId w:val="1"/>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Protect relational continuity. Where remote tools are used, enable contact with known clinicians/teams and invite supporters to join virtual encounters when appropriate. Continuity supports comprehension, reduces anxiety and sustains belonging (NASEM, 2020; Holt-</w:t>
      </w:r>
      <w:proofErr w:type="spellStart"/>
      <w:r w:rsidRPr="00B10FD1">
        <w:rPr>
          <w:rFonts w:ascii="Arial" w:eastAsia="Times New Roman" w:hAnsi="Arial" w:cs="Arial"/>
          <w:color w:val="000000" w:themeColor="text1"/>
          <w:sz w:val="22"/>
          <w:szCs w:val="24"/>
        </w:rPr>
        <w:t>Lunstad</w:t>
      </w:r>
      <w:proofErr w:type="spellEnd"/>
      <w:r w:rsidRPr="00B10FD1">
        <w:rPr>
          <w:rFonts w:ascii="Arial" w:eastAsia="Times New Roman" w:hAnsi="Arial" w:cs="Arial"/>
          <w:color w:val="000000" w:themeColor="text1"/>
          <w:sz w:val="22"/>
          <w:szCs w:val="24"/>
        </w:rPr>
        <w:t>, 2024).</w:t>
      </w:r>
    </w:p>
    <w:p w14:paraId="20BDE516"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4" w:name="_Toc209284798"/>
      <w:r w:rsidRPr="00B10FD1">
        <w:rPr>
          <w:rFonts w:ascii="Arial" w:hAnsi="Arial" w:cs="Arial"/>
          <w:color w:val="000000" w:themeColor="text1"/>
        </w:rPr>
        <w:t>4.6.4 Recommendations for commissioners and policymakers (ICBs/ICSs, local authorities, DHSC/NHSE)</w:t>
      </w:r>
      <w:bookmarkEnd w:id="34"/>
    </w:p>
    <w:p w14:paraId="300A35DD" w14:textId="77777777" w:rsidR="006041C3" w:rsidRPr="00B10FD1" w:rsidRDefault="006041C3" w:rsidP="006041C3">
      <w:pPr>
        <w:pStyle w:val="ListParagraph"/>
        <w:numPr>
          <w:ilvl w:val="0"/>
          <w:numId w:val="2"/>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Fund place-based inclusion at scale. Commission multi-year, community-anchored programmes that leverage libraries, housing associations and VCSE partners, mirroring the 100% Digital Leeds model (Leeds City Council, 2022; DCMS, 2024; Libraries Connected, 2024).</w:t>
      </w:r>
    </w:p>
    <w:p w14:paraId="12C133F5" w14:textId="77777777" w:rsidR="006041C3" w:rsidRPr="00B10FD1" w:rsidRDefault="006041C3" w:rsidP="006041C3">
      <w:pPr>
        <w:pStyle w:val="ListParagraph"/>
        <w:numPr>
          <w:ilvl w:val="0"/>
          <w:numId w:val="2"/>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 xml:space="preserve">Measure inclusion, not just adoption. Require equity KPIs </w:t>
      </w:r>
      <w:proofErr w:type="gramStart"/>
      <w:r w:rsidRPr="00B10FD1">
        <w:rPr>
          <w:rFonts w:ascii="Arial" w:eastAsia="Times New Roman" w:hAnsi="Arial" w:cs="Arial"/>
          <w:color w:val="000000" w:themeColor="text1"/>
          <w:sz w:val="22"/>
          <w:szCs w:val="24"/>
        </w:rPr>
        <w:t>such as:</w:t>
      </w:r>
      <w:proofErr w:type="gramEnd"/>
      <w:r w:rsidRPr="00B10FD1">
        <w:rPr>
          <w:rFonts w:ascii="Arial" w:eastAsia="Times New Roman" w:hAnsi="Arial" w:cs="Arial"/>
          <w:color w:val="000000" w:themeColor="text1"/>
          <w:sz w:val="22"/>
          <w:szCs w:val="24"/>
        </w:rPr>
        <w:t xml:space="preserve"> proportion of 75+ completing bookings without digital barriers; reduction in missed care due to digital </w:t>
      </w:r>
      <w:r w:rsidRPr="00B10FD1">
        <w:rPr>
          <w:rFonts w:ascii="Arial" w:eastAsia="Times New Roman" w:hAnsi="Arial" w:cs="Arial"/>
          <w:color w:val="000000" w:themeColor="text1"/>
          <w:sz w:val="22"/>
          <w:szCs w:val="24"/>
        </w:rPr>
        <w:lastRenderedPageBreak/>
        <w:t>obstacles; changes in tech-related anxiety or loneliness among participants. Publish access statements demonstrating how offline options are maintained (NHS England, 2023; FRA, 2023).</w:t>
      </w:r>
    </w:p>
    <w:p w14:paraId="18F2FB39" w14:textId="77777777" w:rsidR="006041C3" w:rsidRPr="00B10FD1" w:rsidRDefault="006041C3" w:rsidP="006041C3">
      <w:pPr>
        <w:pStyle w:val="ListParagraph"/>
        <w:numPr>
          <w:ilvl w:val="0"/>
          <w:numId w:val="2"/>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Close the first-contact evidence gap. Commission evaluations of online booking/e-triage for older adults, including comparators and qualitative components, responding to the umbrella review’s finding that this is an under-evaluated area where exclusion often originates (</w:t>
      </w:r>
      <w:proofErr w:type="spellStart"/>
      <w:r w:rsidRPr="00B10FD1">
        <w:rPr>
          <w:rFonts w:ascii="Arial" w:eastAsia="Times New Roman" w:hAnsi="Arial" w:cs="Arial"/>
          <w:color w:val="000000" w:themeColor="text1"/>
          <w:sz w:val="22"/>
          <w:szCs w:val="24"/>
        </w:rPr>
        <w:t>Kunonga</w:t>
      </w:r>
      <w:proofErr w:type="spellEnd"/>
      <w:r w:rsidRPr="00B10FD1">
        <w:rPr>
          <w:rFonts w:ascii="Arial" w:eastAsia="Times New Roman" w:hAnsi="Arial" w:cs="Arial"/>
          <w:color w:val="000000" w:themeColor="text1"/>
          <w:sz w:val="22"/>
          <w:szCs w:val="24"/>
        </w:rPr>
        <w:t xml:space="preserve"> et al., 2021).</w:t>
      </w:r>
    </w:p>
    <w:p w14:paraId="3C9C7C8B" w14:textId="77777777" w:rsidR="006041C3" w:rsidRPr="00B10FD1" w:rsidRDefault="006041C3" w:rsidP="006041C3">
      <w:pPr>
        <w:pStyle w:val="ListParagraph"/>
        <w:numPr>
          <w:ilvl w:val="0"/>
          <w:numId w:val="2"/>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Address affordability and infrastructure. Expand social tariffs, explore zero-rating key NHS domains, and target rural broadband where poor connectivity blocks access; preserve offline legal entitlements for public services (FRA, 2023; Wilson-</w:t>
      </w:r>
      <w:proofErr w:type="spellStart"/>
      <w:r w:rsidRPr="00B10FD1">
        <w:rPr>
          <w:rFonts w:ascii="Arial" w:eastAsia="Times New Roman" w:hAnsi="Arial" w:cs="Arial"/>
          <w:color w:val="000000" w:themeColor="text1"/>
          <w:sz w:val="22"/>
          <w:szCs w:val="24"/>
        </w:rPr>
        <w:t>Menzfeld</w:t>
      </w:r>
      <w:proofErr w:type="spellEnd"/>
      <w:r w:rsidRPr="00B10FD1">
        <w:rPr>
          <w:rFonts w:ascii="Arial" w:eastAsia="Times New Roman" w:hAnsi="Arial" w:cs="Arial"/>
          <w:color w:val="000000" w:themeColor="text1"/>
          <w:sz w:val="22"/>
          <w:szCs w:val="24"/>
        </w:rPr>
        <w:t xml:space="preserve"> et al., 2024).</w:t>
      </w:r>
    </w:p>
    <w:p w14:paraId="5A62BB3C" w14:textId="77777777" w:rsidR="006041C3" w:rsidRPr="00B10FD1" w:rsidRDefault="006041C3" w:rsidP="006041C3">
      <w:pPr>
        <w:pStyle w:val="ListParagraph"/>
        <w:numPr>
          <w:ilvl w:val="0"/>
          <w:numId w:val="2"/>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Resource implementation capacity. Allocate funds for workforce training, change management, evaluation and data-sharing agreements, recognising that technology procurement alone will not yield equitable benefit (Greenhalgh et al., 2017; DHSC &amp; NHS England, 2022).</w:t>
      </w:r>
    </w:p>
    <w:p w14:paraId="18B5C55D"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5" w:name="_Toc209284799"/>
      <w:r w:rsidRPr="00B10FD1">
        <w:rPr>
          <w:rFonts w:ascii="Arial" w:hAnsi="Arial" w:cs="Arial"/>
          <w:color w:val="000000" w:themeColor="text1"/>
        </w:rPr>
        <w:t>4.6.5 Recommendations for VCSEs, libraries and housing providers</w:t>
      </w:r>
      <w:bookmarkEnd w:id="35"/>
    </w:p>
    <w:p w14:paraId="10614F17" w14:textId="77777777" w:rsidR="006041C3" w:rsidRPr="00B10FD1" w:rsidRDefault="006041C3" w:rsidP="006041C3">
      <w:pPr>
        <w:pStyle w:val="ListParagraph"/>
        <w:numPr>
          <w:ilvl w:val="0"/>
          <w:numId w:val="3"/>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Deliver in trusted places with social purpose. Provide 1-to-1 and small-group coaching embedded in meaningful activities (e.g., medication management, hobby clubs), which reduces stigma and sustains attendance (Leeds City Council, 2022; Libraries Connected, 2024).</w:t>
      </w:r>
    </w:p>
    <w:p w14:paraId="0023D1B8" w14:textId="77777777" w:rsidR="006041C3" w:rsidRPr="00B10FD1" w:rsidRDefault="006041C3" w:rsidP="006041C3">
      <w:pPr>
        <w:pStyle w:val="ListParagraph"/>
        <w:numPr>
          <w:ilvl w:val="0"/>
          <w:numId w:val="3"/>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Act as digital brokers. Formalise referral pathways with GP practices/social prescribers; provide assisted account set-up and follow-up coaching; share simple referral feedback loops (van Dijk, 2006; Greenhalgh et al., 2017).</w:t>
      </w:r>
    </w:p>
    <w:p w14:paraId="79312155" w14:textId="77777777" w:rsidR="006041C3" w:rsidRPr="00B10FD1" w:rsidRDefault="006041C3" w:rsidP="006041C3">
      <w:pPr>
        <w:pStyle w:val="ListParagraph"/>
        <w:numPr>
          <w:ilvl w:val="0"/>
          <w:numId w:val="3"/>
        </w:numPr>
        <w:spacing w:before="120" w:after="120" w:line="360" w:lineRule="auto"/>
        <w:jc w:val="both"/>
        <w:rPr>
          <w:rFonts w:ascii="Arial" w:eastAsia="Times New Roman" w:hAnsi="Arial" w:cs="Arial"/>
          <w:color w:val="000000" w:themeColor="text1"/>
          <w:sz w:val="22"/>
          <w:szCs w:val="24"/>
        </w:rPr>
      </w:pPr>
      <w:r w:rsidRPr="00B10FD1">
        <w:rPr>
          <w:rFonts w:ascii="Arial" w:eastAsia="Times New Roman" w:hAnsi="Arial" w:cs="Arial"/>
          <w:color w:val="000000" w:themeColor="text1"/>
          <w:sz w:val="22"/>
          <w:szCs w:val="24"/>
        </w:rPr>
        <w:t>Co-design and co-evaluate. Involve older adults and carers from scoping to testing; publish Plain-English learning to aid spread; prioritise groups facing multiple exclusions (NHS England, 2024; Stuart et al., 2022).</w:t>
      </w:r>
    </w:p>
    <w:p w14:paraId="6CD8C180"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6" w:name="_Toc209284800"/>
      <w:r w:rsidRPr="00B10FD1">
        <w:rPr>
          <w:rFonts w:ascii="Arial" w:hAnsi="Arial" w:cs="Arial"/>
          <w:color w:val="000000" w:themeColor="text1"/>
        </w:rPr>
        <w:t>4.6.6 Theoretical and ethical underpinnings</w:t>
      </w:r>
      <w:bookmarkEnd w:id="36"/>
    </w:p>
    <w:p w14:paraId="52842AE2"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t xml:space="preserve">The package addresses all three levels of the digital divide (access, skills, meaningful use) (van Dijk, 2006), strengthens social capital via trusted intermediaries (community partners), and aligns with NASSS by reducing complexity and supporting scale-up/sustainability (Greenhalgh et al., 2017). Ethically, it </w:t>
      </w:r>
      <w:proofErr w:type="spellStart"/>
      <w:r w:rsidRPr="00B10FD1">
        <w:rPr>
          <w:rFonts w:eastAsia="Times New Roman" w:cs="Arial"/>
          <w:color w:val="000000" w:themeColor="text1"/>
          <w:szCs w:val="24"/>
        </w:rPr>
        <w:t>honours</w:t>
      </w:r>
      <w:proofErr w:type="spellEnd"/>
      <w:r w:rsidRPr="00B10FD1">
        <w:rPr>
          <w:rFonts w:eastAsia="Times New Roman" w:cs="Arial"/>
          <w:color w:val="000000" w:themeColor="text1"/>
          <w:szCs w:val="24"/>
        </w:rPr>
        <w:t xml:space="preserve"> principles of proportionality, fairness and respect by preserving choice and dignity while enabling participation (FRA, 2023; NHS England, 2023).</w:t>
      </w:r>
    </w:p>
    <w:p w14:paraId="336E02C9"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7" w:name="_Toc209284801"/>
      <w:r w:rsidRPr="00B10FD1">
        <w:rPr>
          <w:rFonts w:ascii="Arial" w:hAnsi="Arial" w:cs="Arial"/>
          <w:color w:val="000000" w:themeColor="text1"/>
        </w:rPr>
        <w:t>4.6.7 Relevance to Research Objective 4</w:t>
      </w:r>
      <w:bookmarkEnd w:id="37"/>
    </w:p>
    <w:p w14:paraId="1E6D94F7"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lastRenderedPageBreak/>
        <w:t xml:space="preserve">Theme 4 </w:t>
      </w:r>
      <w:proofErr w:type="spellStart"/>
      <w:r w:rsidRPr="00B10FD1">
        <w:rPr>
          <w:rFonts w:eastAsia="Times New Roman" w:cs="Arial"/>
          <w:color w:val="000000" w:themeColor="text1"/>
          <w:szCs w:val="24"/>
        </w:rPr>
        <w:t>operationalises</w:t>
      </w:r>
      <w:proofErr w:type="spellEnd"/>
      <w:r w:rsidRPr="00B10FD1">
        <w:rPr>
          <w:rFonts w:eastAsia="Times New Roman" w:cs="Arial"/>
          <w:color w:val="000000" w:themeColor="text1"/>
          <w:szCs w:val="24"/>
        </w:rPr>
        <w:t xml:space="preserve"> Objective 4 by translating evidence into actionable, context-ready recommendations for providers, commissioners, and community partners, </w:t>
      </w:r>
      <w:proofErr w:type="spellStart"/>
      <w:r w:rsidRPr="00B10FD1">
        <w:rPr>
          <w:rFonts w:eastAsia="Times New Roman" w:cs="Arial"/>
          <w:color w:val="000000" w:themeColor="text1"/>
          <w:szCs w:val="24"/>
        </w:rPr>
        <w:t>centred</w:t>
      </w:r>
      <w:proofErr w:type="spellEnd"/>
      <w:r w:rsidRPr="00B10FD1">
        <w:rPr>
          <w:rFonts w:eastAsia="Times New Roman" w:cs="Arial"/>
          <w:color w:val="000000" w:themeColor="text1"/>
          <w:szCs w:val="24"/>
        </w:rPr>
        <w:t xml:space="preserve"> on assisted-digital support, parity of offline and online routes, place-based delivery, and equity-focused metrics. These actions directly target reduction of digital exclusion and improvement of accessible, dignified care and mental wellbeing for older adults.</w:t>
      </w:r>
    </w:p>
    <w:p w14:paraId="6CF88731" w14:textId="77777777" w:rsidR="006041C3" w:rsidRPr="00B10FD1" w:rsidRDefault="006041C3" w:rsidP="006041C3">
      <w:pPr>
        <w:pStyle w:val="Heading3"/>
        <w:spacing w:before="120" w:beforeAutospacing="0" w:after="120" w:afterAutospacing="0" w:line="360" w:lineRule="auto"/>
        <w:jc w:val="both"/>
        <w:rPr>
          <w:rFonts w:ascii="Arial" w:hAnsi="Arial" w:cs="Arial"/>
          <w:color w:val="000000" w:themeColor="text1"/>
        </w:rPr>
      </w:pPr>
      <w:bookmarkStart w:id="38" w:name="_Toc209284802"/>
      <w:r w:rsidRPr="00B10FD1">
        <w:rPr>
          <w:rFonts w:ascii="Arial" w:hAnsi="Arial" w:cs="Arial"/>
          <w:color w:val="000000" w:themeColor="text1"/>
        </w:rPr>
        <w:t>4.6.8 Connections to Other Themes</w:t>
      </w:r>
      <w:bookmarkEnd w:id="38"/>
    </w:p>
    <w:p w14:paraId="15675D3D"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t>The recommendations address the barriers mapped in Theme 1 (access, skills, motivation) and interrupt the harms detailed in Theme 2 (missed care, anxiety, loneliness) via practical levers such as digital champions and co-design. They also convert Theme 3 insights on what works into a coherent implementation package, linking mechanisms, consequences, evaluated solutions across the chapter.</w:t>
      </w:r>
    </w:p>
    <w:p w14:paraId="39709925" w14:textId="77777777" w:rsidR="006041C3" w:rsidRPr="00B10FD1" w:rsidRDefault="006041C3" w:rsidP="006041C3">
      <w:pPr>
        <w:pStyle w:val="NormalWeb"/>
        <w:rPr>
          <w:rFonts w:ascii="Arial" w:hAnsi="Arial" w:cs="Arial"/>
        </w:rPr>
      </w:pPr>
      <w:r w:rsidRPr="00B10FD1">
        <w:rPr>
          <w:rFonts w:ascii="Arial" w:hAnsi="Arial" w:cs="Arial"/>
        </w:rPr>
        <w:t xml:space="preserve">Section 4.7 now </w:t>
      </w:r>
      <w:proofErr w:type="gramStart"/>
      <w:r w:rsidRPr="00B10FD1">
        <w:rPr>
          <w:rFonts w:ascii="Arial" w:hAnsi="Arial" w:cs="Arial"/>
        </w:rPr>
        <w:t>synthesize</w:t>
      </w:r>
      <w:proofErr w:type="gramEnd"/>
      <w:r w:rsidRPr="00B10FD1">
        <w:rPr>
          <w:rFonts w:ascii="Arial" w:hAnsi="Arial" w:cs="Arial"/>
        </w:rPr>
        <w:t xml:space="preserve"> insights across themes and </w:t>
      </w:r>
      <w:proofErr w:type="gramStart"/>
      <w:r w:rsidRPr="00B10FD1">
        <w:rPr>
          <w:rFonts w:ascii="Arial" w:hAnsi="Arial" w:cs="Arial"/>
        </w:rPr>
        <w:t>signpost</w:t>
      </w:r>
      <w:proofErr w:type="gramEnd"/>
      <w:r w:rsidRPr="00B10FD1">
        <w:rPr>
          <w:rFonts w:ascii="Arial" w:hAnsi="Arial" w:cs="Arial"/>
        </w:rPr>
        <w:t xml:space="preserve"> the implications for the remainder of the dissertation.</w:t>
      </w:r>
    </w:p>
    <w:p w14:paraId="2FAFEBD2" w14:textId="77777777" w:rsidR="006041C3" w:rsidRPr="00B10FD1" w:rsidRDefault="006041C3" w:rsidP="006041C3">
      <w:pPr>
        <w:pStyle w:val="Heading2"/>
        <w:spacing w:before="120" w:beforeAutospacing="0" w:after="120" w:afterAutospacing="0" w:line="360" w:lineRule="auto"/>
        <w:jc w:val="both"/>
        <w:rPr>
          <w:rFonts w:ascii="Arial" w:hAnsi="Arial" w:cs="Arial"/>
          <w:color w:val="000000" w:themeColor="text1"/>
        </w:rPr>
      </w:pPr>
      <w:bookmarkStart w:id="39" w:name="_Toc209284803"/>
      <w:r w:rsidRPr="00B10FD1">
        <w:rPr>
          <w:rFonts w:ascii="Arial" w:hAnsi="Arial" w:cs="Arial"/>
          <w:color w:val="000000" w:themeColor="text1"/>
        </w:rPr>
        <w:t>4.7 Chapter Conclusion</w:t>
      </w:r>
      <w:bookmarkEnd w:id="39"/>
      <w:r w:rsidRPr="00B10FD1">
        <w:rPr>
          <w:rFonts w:ascii="Arial" w:hAnsi="Arial" w:cs="Arial"/>
          <w:color w:val="000000" w:themeColor="text1"/>
        </w:rPr>
        <w:t xml:space="preserve"> </w:t>
      </w:r>
    </w:p>
    <w:p w14:paraId="0AF6A6CB" w14:textId="77777777" w:rsidR="006041C3" w:rsidRPr="00B10FD1" w:rsidRDefault="006041C3" w:rsidP="006041C3">
      <w:pPr>
        <w:spacing w:before="120" w:after="120" w:line="360" w:lineRule="auto"/>
        <w:jc w:val="both"/>
        <w:rPr>
          <w:rFonts w:eastAsia="Times New Roman" w:cs="Arial"/>
          <w:color w:val="000000" w:themeColor="text1"/>
          <w:szCs w:val="24"/>
        </w:rPr>
      </w:pPr>
      <w:r w:rsidRPr="00B10FD1">
        <w:rPr>
          <w:rFonts w:eastAsia="Times New Roman" w:cs="Arial"/>
          <w:color w:val="000000" w:themeColor="text1"/>
          <w:szCs w:val="24"/>
        </w:rPr>
        <w:t>This chapter synthesized qualitative evidence from 44 UK studies (2015–2025) to explain how digital exclusion and social isolation intersect in later life. Theme 1 mapped clustered barriers (access, skills, motivation) that can enforce disengagement. Theme 2 showed consequences for service access, mental health and care experience, including foregone care, anxiety and erosion of trust. Theme 3 identified what works, parity of offline/online routes, assisted-digital support, place-based partnerships and meaningful metrics. Theme 4 translated these into actionable recommendations for providers, commissioners and communities. The following chapter will evaluate current literature on implementation and evaluation strategies, focusing on closing the first-contact evidence gap and measuring equity outcomes.</w:t>
      </w:r>
    </w:p>
    <w:p w14:paraId="33696282"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6CF4E7DF"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0A703D44"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0EEB18DF"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6C25DB35"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035762F0" w14:textId="77777777" w:rsidR="006041C3" w:rsidRPr="00B10FD1" w:rsidRDefault="006041C3" w:rsidP="006041C3">
      <w:pPr>
        <w:spacing w:before="120" w:after="120" w:line="360" w:lineRule="auto"/>
        <w:jc w:val="both"/>
        <w:rPr>
          <w:rFonts w:eastAsia="Times New Roman" w:cs="Arial"/>
          <w:color w:val="000000" w:themeColor="text1"/>
          <w:sz w:val="24"/>
          <w:szCs w:val="24"/>
        </w:rPr>
      </w:pPr>
    </w:p>
    <w:p w14:paraId="4A7B4D34" w14:textId="77777777" w:rsidR="006041C3" w:rsidRPr="00B10FD1" w:rsidRDefault="006041C3" w:rsidP="006041C3">
      <w:pPr>
        <w:pStyle w:val="Heading1"/>
        <w:jc w:val="center"/>
        <w:rPr>
          <w:b w:val="0"/>
        </w:rPr>
      </w:pPr>
      <w:bookmarkStart w:id="40" w:name="_Toc209284804"/>
      <w:r w:rsidRPr="00B10FD1">
        <w:lastRenderedPageBreak/>
        <w:t>CHAPTER 5 – Conclusion and Recommendations</w:t>
      </w:r>
      <w:bookmarkEnd w:id="40"/>
    </w:p>
    <w:p w14:paraId="774DB0AF" w14:textId="77777777" w:rsidR="006041C3" w:rsidRPr="00B10FD1" w:rsidRDefault="006041C3" w:rsidP="006041C3">
      <w:pPr>
        <w:pStyle w:val="Heading2"/>
        <w:spacing w:before="120" w:beforeAutospacing="0" w:after="120" w:afterAutospacing="0" w:line="360" w:lineRule="auto"/>
        <w:jc w:val="both"/>
        <w:rPr>
          <w:rFonts w:ascii="Arial" w:hAnsi="Arial" w:cs="Arial"/>
        </w:rPr>
      </w:pPr>
      <w:bookmarkStart w:id="41" w:name="_Toc209284805"/>
      <w:r w:rsidRPr="00B10FD1">
        <w:rPr>
          <w:rFonts w:ascii="Arial" w:hAnsi="Arial" w:cs="Arial"/>
        </w:rPr>
        <w:t>5.1 Overall Conclusion</w:t>
      </w:r>
      <w:bookmarkEnd w:id="41"/>
      <w:r w:rsidRPr="00B10FD1">
        <w:rPr>
          <w:rFonts w:ascii="Arial" w:hAnsi="Arial" w:cs="Arial"/>
        </w:rPr>
        <w:t xml:space="preserve"> </w:t>
      </w:r>
    </w:p>
    <w:p w14:paraId="7A801FE2"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 xml:space="preserve">This dissertation examined how social isolation and digital exclusion intersect to shape the mental health and care experiences of older adults in the UK. Chapter 1 set out the problem, defined terms, and established four objectives focused on describing digital exclusion, examining its consequences, assessing the efficacy of UK interventions, and generating actionable recommendations. Chapter 2 provided historical, theoretical, and policy context, showing how access, skills/confidence, and meaningful use form layered barriers. Chapter 3 outlined a rigorous qualitative synthesis approach that yielded 44 studies (2015–2025). Chapter 4 reported four themes: (1) Disengagement and Barriers, access, proficiency and motivation constraints that can enforce withdrawal; (2) Consequences, missed care, heightened anxiety and loneliness, and erosion of trust and dignity; (3) What Works, parity of offline/online routes, assisted-digital support, and place-based delivery; and (4) Recommendations, a minimum effective package </w:t>
      </w:r>
      <w:proofErr w:type="spellStart"/>
      <w:r w:rsidRPr="00B10FD1">
        <w:rPr>
          <w:rFonts w:eastAsia="Times New Roman" w:cs="Arial"/>
          <w:szCs w:val="24"/>
        </w:rPr>
        <w:t>centred</w:t>
      </w:r>
      <w:proofErr w:type="spellEnd"/>
      <w:r w:rsidRPr="00B10FD1">
        <w:rPr>
          <w:rFonts w:eastAsia="Times New Roman" w:cs="Arial"/>
          <w:szCs w:val="24"/>
        </w:rPr>
        <w:t xml:space="preserve"> on co-design and equity metrics. In short, the evidence supports the aim: digital exclusion meaningfully affects older adults’ mental health and access to services, but feasible solutions exist. Objectives 1–3 were satisfied through detailed mapping of barriers, consequences, and intervention efficacy. Objective 4 is fulfilled through a set of practical, context-ready recommendations for providers, commissioners, and community partners.</w:t>
      </w:r>
    </w:p>
    <w:p w14:paraId="20541A1D" w14:textId="77777777" w:rsidR="006041C3" w:rsidRPr="00B10FD1" w:rsidRDefault="006041C3" w:rsidP="006041C3">
      <w:pPr>
        <w:spacing w:before="120" w:after="120" w:line="360" w:lineRule="auto"/>
        <w:jc w:val="both"/>
        <w:rPr>
          <w:rFonts w:eastAsia="Times New Roman" w:cs="Arial"/>
          <w:szCs w:val="24"/>
        </w:rPr>
      </w:pPr>
      <w:r w:rsidRPr="00B10FD1">
        <w:rPr>
          <w:rFonts w:cs="Arial"/>
        </w:rPr>
        <w:t>With the overarching findings consolidated, section 5.2 translates evidence into practical, actionable recommendations for practice, commissioning and policy.</w:t>
      </w:r>
    </w:p>
    <w:p w14:paraId="557A8B7F" w14:textId="77777777" w:rsidR="006041C3" w:rsidRPr="00B10FD1" w:rsidRDefault="006041C3" w:rsidP="006041C3">
      <w:pPr>
        <w:pStyle w:val="Heading2"/>
        <w:spacing w:before="120" w:beforeAutospacing="0" w:after="120" w:afterAutospacing="0" w:line="360" w:lineRule="auto"/>
        <w:jc w:val="both"/>
        <w:rPr>
          <w:rFonts w:ascii="Arial" w:hAnsi="Arial" w:cs="Arial"/>
        </w:rPr>
      </w:pPr>
      <w:bookmarkStart w:id="42" w:name="_Toc209284806"/>
      <w:r w:rsidRPr="00B10FD1">
        <w:rPr>
          <w:rFonts w:ascii="Arial" w:hAnsi="Arial" w:cs="Arial"/>
        </w:rPr>
        <w:t>5.2 Recommendations</w:t>
      </w:r>
      <w:bookmarkEnd w:id="42"/>
      <w:r w:rsidRPr="00B10FD1">
        <w:rPr>
          <w:rFonts w:ascii="Arial" w:hAnsi="Arial" w:cs="Arial"/>
        </w:rPr>
        <w:t xml:space="preserve"> </w:t>
      </w:r>
    </w:p>
    <w:p w14:paraId="5946737B" w14:textId="77777777" w:rsidR="006041C3" w:rsidRPr="00B10FD1" w:rsidRDefault="006041C3" w:rsidP="006041C3">
      <w:pPr>
        <w:pStyle w:val="Heading3"/>
        <w:spacing w:before="120" w:beforeAutospacing="0" w:after="120" w:afterAutospacing="0" w:line="360" w:lineRule="auto"/>
        <w:jc w:val="both"/>
        <w:rPr>
          <w:rFonts w:ascii="Arial" w:hAnsi="Arial" w:cs="Arial"/>
        </w:rPr>
      </w:pPr>
      <w:bookmarkStart w:id="43" w:name="_Toc209284807"/>
      <w:r w:rsidRPr="00B10FD1">
        <w:rPr>
          <w:rFonts w:ascii="Arial" w:hAnsi="Arial" w:cs="Arial"/>
        </w:rPr>
        <w:t>5.2.1 Recommendation 1: Embed assisted-digital support and parity by design at the first point of contact</w:t>
      </w:r>
      <w:bookmarkEnd w:id="43"/>
    </w:p>
    <w:p w14:paraId="7EC9288C"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What to do: In every primary care, community health and adult social care setting, make assisted-digital help available at reception or the “front door” (e.g., trained digital champions with protected time). Publicly commit to parity by design—phone and face-to-face routes remain visibly equal to digital channels on websites, posters, IVR messages and appointment letters. Build warm handovers from reception to local libraries/VCSE partners for ongoing coaching.</w:t>
      </w:r>
    </w:p>
    <w:p w14:paraId="06256E29"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lastRenderedPageBreak/>
        <w:t>Why it matters: This removes the digital “threshold” that deters older adults, reduces anxiety, and turns digital tools into facilitators rather than gatekeepers. It also preserves choice and dignity—critical for mental wellbeing.</w:t>
      </w:r>
    </w:p>
    <w:p w14:paraId="64FFD290"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Barriers: Staffing capacity, variable digital confidence among front-line staff, and inconsistent local partnerships.</w:t>
      </w:r>
    </w:p>
    <w:p w14:paraId="453DDCF1"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How to overcome: (</w:t>
      </w:r>
      <w:proofErr w:type="spellStart"/>
      <w:r w:rsidRPr="00B10FD1">
        <w:rPr>
          <w:rFonts w:eastAsia="Times New Roman" w:cs="Arial"/>
          <w:szCs w:val="24"/>
        </w:rPr>
        <w:t>i</w:t>
      </w:r>
      <w:proofErr w:type="spellEnd"/>
      <w:r w:rsidRPr="00B10FD1">
        <w:rPr>
          <w:rFonts w:eastAsia="Times New Roman" w:cs="Arial"/>
          <w:szCs w:val="24"/>
        </w:rPr>
        <w:t xml:space="preserve">) Create a short accredited micro-credential for reception/coordination staff; (ii) ring-fence small amounts of recurrent funding for </w:t>
      </w:r>
      <w:proofErr w:type="spellStart"/>
      <w:r w:rsidRPr="00B10FD1">
        <w:rPr>
          <w:rFonts w:eastAsia="Times New Roman" w:cs="Arial"/>
          <w:szCs w:val="24"/>
        </w:rPr>
        <w:t>rota</w:t>
      </w:r>
      <w:proofErr w:type="spellEnd"/>
      <w:r w:rsidRPr="00B10FD1">
        <w:rPr>
          <w:rFonts w:eastAsia="Times New Roman" w:cs="Arial"/>
          <w:szCs w:val="24"/>
        </w:rPr>
        <w:t xml:space="preserve">-based champion time; (iii) sign lightweight </w:t>
      </w:r>
      <w:proofErr w:type="spellStart"/>
      <w:r w:rsidRPr="00B10FD1">
        <w:rPr>
          <w:rFonts w:eastAsia="Times New Roman" w:cs="Arial"/>
          <w:szCs w:val="24"/>
        </w:rPr>
        <w:t>MoUs</w:t>
      </w:r>
      <w:proofErr w:type="spellEnd"/>
      <w:r w:rsidRPr="00B10FD1">
        <w:rPr>
          <w:rFonts w:eastAsia="Times New Roman" w:cs="Arial"/>
          <w:szCs w:val="24"/>
        </w:rPr>
        <w:t xml:space="preserve"> with libraries/housing/VCSEs to </w:t>
      </w:r>
      <w:proofErr w:type="spellStart"/>
      <w:r w:rsidRPr="00B10FD1">
        <w:rPr>
          <w:rFonts w:eastAsia="Times New Roman" w:cs="Arial"/>
          <w:szCs w:val="24"/>
        </w:rPr>
        <w:t>formalise</w:t>
      </w:r>
      <w:proofErr w:type="spellEnd"/>
      <w:r w:rsidRPr="00B10FD1">
        <w:rPr>
          <w:rFonts w:eastAsia="Times New Roman" w:cs="Arial"/>
          <w:szCs w:val="24"/>
        </w:rPr>
        <w:t xml:space="preserve"> handovers; (iv) add equity KPIs (e.g., proportion of 75+ completing bookings without digital obstacles) to practice/PCN dashboards.</w:t>
      </w:r>
    </w:p>
    <w:p w14:paraId="7151E257" w14:textId="77777777" w:rsidR="006041C3" w:rsidRPr="00B10FD1" w:rsidRDefault="006041C3" w:rsidP="006041C3">
      <w:pPr>
        <w:pStyle w:val="Heading3"/>
        <w:spacing w:before="120" w:beforeAutospacing="0" w:after="120" w:afterAutospacing="0" w:line="360" w:lineRule="auto"/>
        <w:jc w:val="both"/>
        <w:rPr>
          <w:rFonts w:ascii="Arial" w:hAnsi="Arial" w:cs="Arial"/>
        </w:rPr>
      </w:pPr>
      <w:bookmarkStart w:id="44" w:name="_Toc209284808"/>
      <w:r w:rsidRPr="00B10FD1">
        <w:rPr>
          <w:rFonts w:ascii="Arial" w:hAnsi="Arial" w:cs="Arial"/>
        </w:rPr>
        <w:t>5.2.2 Recommendation 2: Commission place-based inclusion bundles—device + data + skills – co-designed with older adults</w:t>
      </w:r>
      <w:bookmarkEnd w:id="44"/>
    </w:p>
    <w:p w14:paraId="6D6506CF"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 xml:space="preserve">What to do: At ICB/local authority level, fund multi-year, community-anchored </w:t>
      </w:r>
      <w:proofErr w:type="spellStart"/>
      <w:r w:rsidRPr="00B10FD1">
        <w:rPr>
          <w:rFonts w:eastAsia="Times New Roman" w:cs="Arial"/>
          <w:szCs w:val="24"/>
        </w:rPr>
        <w:t>programmes</w:t>
      </w:r>
      <w:proofErr w:type="spellEnd"/>
      <w:r w:rsidRPr="00B10FD1">
        <w:rPr>
          <w:rFonts w:eastAsia="Times New Roman" w:cs="Arial"/>
          <w:szCs w:val="24"/>
        </w:rPr>
        <w:t xml:space="preserve"> that bundle loan devices, affordable connectivity (social tariffs/data vouchers), and progressive skills support delivered in trusted places (libraries, housing schemes, community </w:t>
      </w:r>
      <w:proofErr w:type="spellStart"/>
      <w:r w:rsidRPr="00B10FD1">
        <w:rPr>
          <w:rFonts w:eastAsia="Times New Roman" w:cs="Arial"/>
          <w:szCs w:val="24"/>
        </w:rPr>
        <w:t>centres</w:t>
      </w:r>
      <w:proofErr w:type="spellEnd"/>
      <w:r w:rsidRPr="00B10FD1">
        <w:rPr>
          <w:rFonts w:eastAsia="Times New Roman" w:cs="Arial"/>
          <w:szCs w:val="24"/>
        </w:rPr>
        <w:t>). Co-design curricula and materials with older adults and carers; include accessible features (large fonts, plain language, alternative verification, proxy/carer access).</w:t>
      </w:r>
    </w:p>
    <w:p w14:paraId="57C31FEB"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 xml:space="preserve">Why it matters: Training alone does not resolve affordability or connectivity barriers. Bundling addresses first-, second- and third-level </w:t>
      </w:r>
      <w:proofErr w:type="gramStart"/>
      <w:r w:rsidRPr="00B10FD1">
        <w:rPr>
          <w:rFonts w:eastAsia="Times New Roman" w:cs="Arial"/>
          <w:szCs w:val="24"/>
        </w:rPr>
        <w:t>divides</w:t>
      </w:r>
      <w:proofErr w:type="gramEnd"/>
      <w:r w:rsidRPr="00B10FD1">
        <w:rPr>
          <w:rFonts w:eastAsia="Times New Roman" w:cs="Arial"/>
          <w:szCs w:val="24"/>
        </w:rPr>
        <w:t xml:space="preserve"> simultaneously and links learning to meaningful goals (e.g., ordering prescriptions, contacting known clinicians, social connection tools), which improves motivation and sustained use.</w:t>
      </w:r>
    </w:p>
    <w:p w14:paraId="73AC69C9"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Barriers: Short-term funding cycles (“</w:t>
      </w:r>
      <w:proofErr w:type="spellStart"/>
      <w:r w:rsidRPr="00B10FD1">
        <w:rPr>
          <w:rFonts w:eastAsia="Times New Roman" w:cs="Arial"/>
          <w:szCs w:val="24"/>
        </w:rPr>
        <w:t>pilotitis</w:t>
      </w:r>
      <w:proofErr w:type="spellEnd"/>
      <w:r w:rsidRPr="00B10FD1">
        <w:rPr>
          <w:rFonts w:eastAsia="Times New Roman" w:cs="Arial"/>
          <w:szCs w:val="24"/>
        </w:rPr>
        <w:t>”); fragmented local mapping of need; stigma about “not being good with tech.”</w:t>
      </w:r>
    </w:p>
    <w:p w14:paraId="3863480B"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How to overcome: (</w:t>
      </w:r>
      <w:proofErr w:type="spellStart"/>
      <w:r w:rsidRPr="00B10FD1">
        <w:rPr>
          <w:rFonts w:eastAsia="Times New Roman" w:cs="Arial"/>
          <w:szCs w:val="24"/>
        </w:rPr>
        <w:t>i</w:t>
      </w:r>
      <w:proofErr w:type="spellEnd"/>
      <w:r w:rsidRPr="00B10FD1">
        <w:rPr>
          <w:rFonts w:eastAsia="Times New Roman" w:cs="Arial"/>
          <w:szCs w:val="24"/>
        </w:rPr>
        <w:t xml:space="preserve">) Use multi-year commissioning with milestones tied to equity outcomes (completed contacts, reduced missed care, self-reported confidence/belonging); (ii) require a local exclusion map (deprivation, disability, rural connectivity) to target outreach; (iii) embed </w:t>
      </w:r>
      <w:proofErr w:type="spellStart"/>
      <w:r w:rsidRPr="00B10FD1">
        <w:rPr>
          <w:rFonts w:eastAsia="Times New Roman" w:cs="Arial"/>
          <w:szCs w:val="24"/>
        </w:rPr>
        <w:t>programmes</w:t>
      </w:r>
      <w:proofErr w:type="spellEnd"/>
      <w:r w:rsidRPr="00B10FD1">
        <w:rPr>
          <w:rFonts w:eastAsia="Times New Roman" w:cs="Arial"/>
          <w:szCs w:val="24"/>
        </w:rPr>
        <w:t xml:space="preserve"> in social activities (hobby clubs, coffee mornings) to </w:t>
      </w:r>
      <w:proofErr w:type="spellStart"/>
      <w:r w:rsidRPr="00B10FD1">
        <w:rPr>
          <w:rFonts w:eastAsia="Times New Roman" w:cs="Arial"/>
          <w:szCs w:val="24"/>
        </w:rPr>
        <w:t>normalise</w:t>
      </w:r>
      <w:proofErr w:type="spellEnd"/>
      <w:r w:rsidRPr="00B10FD1">
        <w:rPr>
          <w:rFonts w:eastAsia="Times New Roman" w:cs="Arial"/>
          <w:szCs w:val="24"/>
        </w:rPr>
        <w:t xml:space="preserve"> participation and reduce stigma.</w:t>
      </w:r>
    </w:p>
    <w:p w14:paraId="53CFA9EF" w14:textId="77777777" w:rsidR="006041C3" w:rsidRPr="00B10FD1" w:rsidRDefault="006041C3" w:rsidP="006041C3">
      <w:pPr>
        <w:pStyle w:val="Heading3"/>
        <w:spacing w:before="120" w:beforeAutospacing="0" w:after="120" w:afterAutospacing="0" w:line="360" w:lineRule="auto"/>
        <w:jc w:val="both"/>
        <w:rPr>
          <w:rFonts w:ascii="Arial" w:hAnsi="Arial" w:cs="Arial"/>
        </w:rPr>
      </w:pPr>
      <w:bookmarkStart w:id="45" w:name="_Toc209284809"/>
      <w:r w:rsidRPr="00B10FD1">
        <w:rPr>
          <w:rFonts w:ascii="Arial" w:hAnsi="Arial" w:cs="Arial"/>
        </w:rPr>
        <w:t>5.2.3 Recommendation 3: Close the first-contact evidence gap and mainstream equity-led evaluation</w:t>
      </w:r>
      <w:bookmarkEnd w:id="45"/>
    </w:p>
    <w:p w14:paraId="60B70ACB"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lastRenderedPageBreak/>
        <w:t xml:space="preserve">What to do: </w:t>
      </w:r>
      <w:proofErr w:type="spellStart"/>
      <w:r w:rsidRPr="00B10FD1">
        <w:rPr>
          <w:rFonts w:eastAsia="Times New Roman" w:cs="Arial"/>
          <w:szCs w:val="24"/>
        </w:rPr>
        <w:t>Prioritise</w:t>
      </w:r>
      <w:proofErr w:type="spellEnd"/>
      <w:r w:rsidRPr="00B10FD1">
        <w:rPr>
          <w:rFonts w:eastAsia="Times New Roman" w:cs="Arial"/>
          <w:szCs w:val="24"/>
        </w:rPr>
        <w:t xml:space="preserve"> evaluation of online booking and e-triage for older adults, the current weak point. Mandate routine equity monitoring across digital and non-digital routes (age bands incl. 75+, long-term conditions, deprivation quintiles), and track not only adoption (sign-ups) but experience and wellbeing (technology-related anxiety, loneliness, perceived control). Publish access </w:t>
      </w:r>
      <w:proofErr w:type="gramStart"/>
      <w:r w:rsidRPr="00B10FD1">
        <w:rPr>
          <w:rFonts w:eastAsia="Times New Roman" w:cs="Arial"/>
          <w:szCs w:val="24"/>
        </w:rPr>
        <w:t>statements that</w:t>
      </w:r>
      <w:proofErr w:type="gramEnd"/>
      <w:r w:rsidRPr="00B10FD1">
        <w:rPr>
          <w:rFonts w:eastAsia="Times New Roman" w:cs="Arial"/>
          <w:szCs w:val="24"/>
        </w:rPr>
        <w:t xml:space="preserve"> show how offline options are preserved and how assisted-digital is offered.</w:t>
      </w:r>
    </w:p>
    <w:p w14:paraId="6925E6D5"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Why it matters: Without evidence about the earliest step in the journey, inequities persist unnoticed. Measuring what matters, completed access and psychosocial outcomes, prevents false reassurance from portal registrations alone.</w:t>
      </w:r>
    </w:p>
    <w:p w14:paraId="6E157874"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Barriers: Data linkage challenges across systems; limited analytic capacity; concern about additional reporting burden.</w:t>
      </w:r>
    </w:p>
    <w:p w14:paraId="48BAFCBE"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How to overcome: (</w:t>
      </w:r>
      <w:proofErr w:type="spellStart"/>
      <w:r w:rsidRPr="00B10FD1">
        <w:rPr>
          <w:rFonts w:eastAsia="Times New Roman" w:cs="Arial"/>
          <w:szCs w:val="24"/>
        </w:rPr>
        <w:t>i</w:t>
      </w:r>
      <w:proofErr w:type="spellEnd"/>
      <w:r w:rsidRPr="00B10FD1">
        <w:rPr>
          <w:rFonts w:eastAsia="Times New Roman" w:cs="Arial"/>
          <w:szCs w:val="24"/>
        </w:rPr>
        <w:t xml:space="preserve">) </w:t>
      </w:r>
      <w:proofErr w:type="spellStart"/>
      <w:r w:rsidRPr="00B10FD1">
        <w:rPr>
          <w:rFonts w:eastAsia="Times New Roman" w:cs="Arial"/>
          <w:szCs w:val="24"/>
        </w:rPr>
        <w:t>Standardise</w:t>
      </w:r>
      <w:proofErr w:type="spellEnd"/>
      <w:r w:rsidRPr="00B10FD1">
        <w:rPr>
          <w:rFonts w:eastAsia="Times New Roman" w:cs="Arial"/>
          <w:szCs w:val="24"/>
        </w:rPr>
        <w:t xml:space="preserve"> a lean indicator set (e.g., three access KPIs and two wellbeing items) built into existing systems; (ii) provide shared analytics via ICB teams; (iii) </w:t>
      </w:r>
      <w:proofErr w:type="spellStart"/>
      <w:r w:rsidRPr="00B10FD1">
        <w:rPr>
          <w:rFonts w:eastAsia="Times New Roman" w:cs="Arial"/>
          <w:szCs w:val="24"/>
        </w:rPr>
        <w:t>incentivise</w:t>
      </w:r>
      <w:proofErr w:type="spellEnd"/>
      <w:r w:rsidRPr="00B10FD1">
        <w:rPr>
          <w:rFonts w:eastAsia="Times New Roman" w:cs="Arial"/>
          <w:szCs w:val="24"/>
        </w:rPr>
        <w:t xml:space="preserve"> through quality improvement schemes or contractual schedules; (iv) engage Patient and Public Involvement (PPIE) groups of older adults to co-design measures and interpret findings.</w:t>
      </w:r>
    </w:p>
    <w:p w14:paraId="487ECF94" w14:textId="77777777" w:rsidR="006041C3" w:rsidRPr="00B10FD1" w:rsidRDefault="006041C3" w:rsidP="006041C3">
      <w:pPr>
        <w:spacing w:before="120" w:after="120" w:line="360" w:lineRule="auto"/>
        <w:jc w:val="both"/>
        <w:rPr>
          <w:rFonts w:eastAsia="Times New Roman" w:cs="Arial"/>
          <w:szCs w:val="24"/>
        </w:rPr>
      </w:pPr>
      <w:r w:rsidRPr="00B10FD1">
        <w:rPr>
          <w:rFonts w:cs="Arial"/>
        </w:rPr>
        <w:t xml:space="preserve">Having set out feasible actions and enablers, section 5.3 </w:t>
      </w:r>
      <w:proofErr w:type="gramStart"/>
      <w:r w:rsidRPr="00B10FD1">
        <w:rPr>
          <w:rFonts w:cs="Arial"/>
        </w:rPr>
        <w:t>conclude</w:t>
      </w:r>
      <w:proofErr w:type="gramEnd"/>
      <w:r w:rsidRPr="00B10FD1">
        <w:rPr>
          <w:rFonts w:cs="Arial"/>
        </w:rPr>
        <w:t xml:space="preserve"> the chapter by drawing these strands together and clarifying their system-level implications.</w:t>
      </w:r>
    </w:p>
    <w:p w14:paraId="43EE3057" w14:textId="77777777" w:rsidR="006041C3" w:rsidRPr="00B10FD1" w:rsidRDefault="006041C3" w:rsidP="006041C3">
      <w:pPr>
        <w:pStyle w:val="Heading2"/>
        <w:spacing w:before="120" w:beforeAutospacing="0" w:after="120" w:afterAutospacing="0" w:line="360" w:lineRule="auto"/>
        <w:jc w:val="both"/>
        <w:rPr>
          <w:rFonts w:ascii="Arial" w:hAnsi="Arial" w:cs="Arial"/>
        </w:rPr>
      </w:pPr>
      <w:bookmarkStart w:id="46" w:name="_Toc209284810"/>
      <w:r w:rsidRPr="00B10FD1">
        <w:rPr>
          <w:rFonts w:ascii="Arial" w:hAnsi="Arial" w:cs="Arial"/>
        </w:rPr>
        <w:t>5.3 Closing note</w:t>
      </w:r>
      <w:bookmarkEnd w:id="46"/>
    </w:p>
    <w:p w14:paraId="23C14FB3" w14:textId="77777777" w:rsidR="006041C3" w:rsidRPr="00B10FD1" w:rsidRDefault="006041C3" w:rsidP="006041C3">
      <w:pPr>
        <w:spacing w:before="120" w:after="120" w:line="360" w:lineRule="auto"/>
        <w:jc w:val="both"/>
        <w:rPr>
          <w:rFonts w:eastAsia="Times New Roman" w:cs="Arial"/>
          <w:szCs w:val="24"/>
        </w:rPr>
      </w:pPr>
      <w:r w:rsidRPr="00B10FD1">
        <w:rPr>
          <w:rFonts w:eastAsia="Times New Roman" w:cs="Arial"/>
          <w:szCs w:val="24"/>
        </w:rPr>
        <w:t xml:space="preserve">Together, these recommendations form a coherent, achievable </w:t>
      </w:r>
      <w:proofErr w:type="spellStart"/>
      <w:r w:rsidRPr="00B10FD1">
        <w:rPr>
          <w:rFonts w:eastAsia="Times New Roman" w:cs="Arial"/>
          <w:szCs w:val="24"/>
        </w:rPr>
        <w:t>programme</w:t>
      </w:r>
      <w:proofErr w:type="spellEnd"/>
      <w:r w:rsidRPr="00B10FD1">
        <w:rPr>
          <w:rFonts w:eastAsia="Times New Roman" w:cs="Arial"/>
          <w:szCs w:val="24"/>
        </w:rPr>
        <w:t xml:space="preserve"> that matches the realities of UK health and social care: keep choice and assistance at the front door; </w:t>
      </w:r>
      <w:proofErr w:type="gramStart"/>
      <w:r w:rsidRPr="00B10FD1">
        <w:rPr>
          <w:rFonts w:eastAsia="Times New Roman" w:cs="Arial"/>
          <w:szCs w:val="24"/>
        </w:rPr>
        <w:t>invest</w:t>
      </w:r>
      <w:proofErr w:type="gramEnd"/>
      <w:r w:rsidRPr="00B10FD1">
        <w:rPr>
          <w:rFonts w:eastAsia="Times New Roman" w:cs="Arial"/>
          <w:szCs w:val="24"/>
        </w:rPr>
        <w:t xml:space="preserve"> where people live and learn; and measure equity and wellbeing, not just clicks. Implemented in concert, they offer a credible route to reduce digital exclusion, enhance mental health and social connection, and ensure that system </w:t>
      </w:r>
      <w:proofErr w:type="spellStart"/>
      <w:r w:rsidRPr="00B10FD1">
        <w:rPr>
          <w:rFonts w:eastAsia="Times New Roman" w:cs="Arial"/>
          <w:szCs w:val="24"/>
        </w:rPr>
        <w:t>digitisation</w:t>
      </w:r>
      <w:proofErr w:type="spellEnd"/>
      <w:r w:rsidRPr="00B10FD1">
        <w:rPr>
          <w:rFonts w:eastAsia="Times New Roman" w:cs="Arial"/>
          <w:szCs w:val="24"/>
        </w:rPr>
        <w:t xml:space="preserve"> narrows, rather than widens, inequalities for older adults.</w:t>
      </w:r>
    </w:p>
    <w:p w14:paraId="4A1B548D" w14:textId="77777777" w:rsidR="006041C3" w:rsidRPr="00B10FD1" w:rsidRDefault="006041C3" w:rsidP="006041C3">
      <w:pPr>
        <w:spacing w:before="120" w:after="120" w:line="360" w:lineRule="auto"/>
        <w:jc w:val="both"/>
        <w:rPr>
          <w:rFonts w:eastAsia="Times New Roman" w:cs="Arial"/>
          <w:sz w:val="24"/>
          <w:szCs w:val="24"/>
        </w:rPr>
      </w:pPr>
    </w:p>
    <w:p w14:paraId="15878CDA" w14:textId="77777777" w:rsidR="006041C3" w:rsidRPr="00B10FD1" w:rsidRDefault="006041C3" w:rsidP="006041C3">
      <w:pPr>
        <w:spacing w:before="120" w:after="120" w:line="360" w:lineRule="auto"/>
        <w:jc w:val="both"/>
        <w:rPr>
          <w:rFonts w:eastAsia="Times New Roman" w:cs="Arial"/>
          <w:sz w:val="24"/>
          <w:szCs w:val="24"/>
        </w:rPr>
      </w:pPr>
    </w:p>
    <w:p w14:paraId="0C3342B1" w14:textId="77777777" w:rsidR="006041C3" w:rsidRPr="00B10FD1" w:rsidRDefault="006041C3" w:rsidP="006041C3">
      <w:pPr>
        <w:pStyle w:val="NormalWeb"/>
        <w:spacing w:before="120" w:beforeAutospacing="0" w:after="120" w:afterAutospacing="0" w:line="360" w:lineRule="auto"/>
        <w:jc w:val="both"/>
        <w:rPr>
          <w:rFonts w:ascii="Arial" w:hAnsi="Arial" w:cs="Arial"/>
        </w:rPr>
      </w:pPr>
    </w:p>
    <w:p w14:paraId="25923C52" w14:textId="77777777" w:rsidR="006041C3" w:rsidRPr="00B10FD1" w:rsidRDefault="006041C3" w:rsidP="006041C3">
      <w:pPr>
        <w:pStyle w:val="NormalWeb"/>
        <w:spacing w:before="120" w:beforeAutospacing="0" w:after="120" w:afterAutospacing="0" w:line="360" w:lineRule="auto"/>
        <w:jc w:val="both"/>
        <w:rPr>
          <w:rFonts w:ascii="Arial" w:hAnsi="Arial" w:cs="Arial"/>
        </w:rPr>
      </w:pPr>
    </w:p>
    <w:p w14:paraId="7620DC38" w14:textId="77777777" w:rsidR="006041C3" w:rsidRPr="00B10FD1" w:rsidRDefault="006041C3" w:rsidP="006041C3">
      <w:pPr>
        <w:pStyle w:val="NormalWeb"/>
        <w:spacing w:before="120" w:beforeAutospacing="0" w:after="120" w:afterAutospacing="0" w:line="360" w:lineRule="auto"/>
        <w:jc w:val="both"/>
        <w:rPr>
          <w:rFonts w:ascii="Arial" w:hAnsi="Arial" w:cs="Arial"/>
        </w:rPr>
      </w:pPr>
    </w:p>
    <w:p w14:paraId="65AD46A7" w14:textId="77777777" w:rsidR="006041C3" w:rsidRDefault="006041C3" w:rsidP="006041C3">
      <w:pPr>
        <w:pStyle w:val="Heading2"/>
      </w:pPr>
      <w:r>
        <w:lastRenderedPageBreak/>
        <w:t>References</w:t>
      </w:r>
    </w:p>
    <w:p w14:paraId="437C6DA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AGE Platform Europe. (2019, November 27). </w:t>
      </w:r>
      <w:r w:rsidRPr="00B10FD1">
        <w:rPr>
          <w:rFonts w:ascii="Arial" w:hAnsi="Arial" w:cs="Arial"/>
          <w:i/>
          <w:iCs/>
          <w:color w:val="000000" w:themeColor="text1"/>
          <w:sz w:val="22"/>
          <w:szCs w:val="22"/>
        </w:rPr>
        <w:t>Age UK campaigns against loneliness in old age - AGE Platform Europe</w:t>
      </w:r>
      <w:r w:rsidRPr="00B10FD1">
        <w:rPr>
          <w:rFonts w:ascii="Arial" w:hAnsi="Arial" w:cs="Arial"/>
          <w:color w:val="000000" w:themeColor="text1"/>
          <w:sz w:val="22"/>
          <w:szCs w:val="22"/>
        </w:rPr>
        <w:t xml:space="preserve">. </w:t>
      </w:r>
      <w:hyperlink r:id="rId5" w:history="1">
        <w:r w:rsidRPr="00B10FD1">
          <w:rPr>
            <w:rStyle w:val="Hyperlink"/>
            <w:rFonts w:ascii="Arial" w:hAnsi="Arial" w:cs="Arial"/>
            <w:sz w:val="22"/>
            <w:szCs w:val="22"/>
          </w:rPr>
          <w:t>https://www.age-platform.eu/age-uk-campaigns-against-loneliness-in-old-age/</w:t>
        </w:r>
      </w:hyperlink>
      <w:r w:rsidRPr="00B10FD1">
        <w:rPr>
          <w:rStyle w:val="url"/>
          <w:rFonts w:ascii="Arial" w:hAnsi="Arial" w:cs="Arial"/>
          <w:color w:val="000000" w:themeColor="text1"/>
          <w:sz w:val="22"/>
          <w:szCs w:val="22"/>
        </w:rPr>
        <w:t xml:space="preserve"> (Accessed: July 17, 2025).</w:t>
      </w:r>
    </w:p>
    <w:p w14:paraId="17886D1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Age UK. (2023). </w:t>
      </w:r>
      <w:r w:rsidRPr="00B10FD1">
        <w:rPr>
          <w:rFonts w:ascii="Arial" w:hAnsi="Arial" w:cs="Arial"/>
          <w:i/>
          <w:iCs/>
          <w:color w:val="000000" w:themeColor="text1"/>
          <w:sz w:val="22"/>
          <w:szCs w:val="22"/>
        </w:rPr>
        <w:t>Age UK launches offline and overlooked digital campaign</w:t>
      </w:r>
      <w:r w:rsidRPr="00B10FD1">
        <w:rPr>
          <w:rFonts w:ascii="Arial" w:hAnsi="Arial" w:cs="Arial"/>
          <w:color w:val="000000" w:themeColor="text1"/>
          <w:sz w:val="22"/>
          <w:szCs w:val="22"/>
        </w:rPr>
        <w:t xml:space="preserve">. </w:t>
      </w:r>
      <w:hyperlink r:id="rId6" w:history="1">
        <w:r w:rsidRPr="00B10FD1">
          <w:rPr>
            <w:rStyle w:val="Hyperlink"/>
            <w:rFonts w:ascii="Arial" w:hAnsi="Arial" w:cs="Arial"/>
            <w:sz w:val="22"/>
            <w:szCs w:val="22"/>
          </w:rPr>
          <w:t>https://www.ageuk.org.uk/latest-press/articles/2023/age-uk-analysis-reveals-that-almost-6-million-people-5800000-aged-65-are-either-unable-to-use-the-internet-safely-and-successfully-or-arent-online-at-all/</w:t>
        </w:r>
      </w:hyperlink>
      <w:r w:rsidRPr="00B10FD1">
        <w:rPr>
          <w:rStyle w:val="url"/>
          <w:rFonts w:ascii="Arial" w:hAnsi="Arial" w:cs="Arial"/>
          <w:color w:val="000000" w:themeColor="text1"/>
          <w:sz w:val="22"/>
          <w:szCs w:val="22"/>
        </w:rPr>
        <w:t xml:space="preserve">  (Accessed: July 17, 2025).</w:t>
      </w:r>
    </w:p>
    <w:p w14:paraId="67CE3D75"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Age UK (</w:t>
      </w:r>
      <w:proofErr w:type="gramStart"/>
      <w:r w:rsidRPr="00B10FD1">
        <w:rPr>
          <w:rFonts w:ascii="Arial" w:hAnsi="Arial" w:cs="Arial"/>
          <w:sz w:val="22"/>
          <w:szCs w:val="22"/>
        </w:rPr>
        <w:t>2023) ‘</w:t>
      </w:r>
      <w:proofErr w:type="gramEnd"/>
      <w:r w:rsidRPr="00B10FD1">
        <w:rPr>
          <w:rFonts w:ascii="Arial" w:hAnsi="Arial" w:cs="Arial"/>
          <w:sz w:val="22"/>
          <w:szCs w:val="22"/>
        </w:rPr>
        <w:t xml:space="preserve">Age UK analysis reveals that almost 6 million people (5,800,000) aged 65+ are either unable to use the internet safely and successfully or aren’t online at all.’ Available at: </w:t>
      </w:r>
      <w:hyperlink r:id="rId7" w:tgtFrame="_new" w:history="1">
        <w:r w:rsidRPr="00B10FD1">
          <w:rPr>
            <w:rStyle w:val="Hyperlink"/>
            <w:rFonts w:ascii="Arial" w:hAnsi="Arial" w:cs="Arial"/>
            <w:sz w:val="22"/>
            <w:szCs w:val="22"/>
          </w:rPr>
          <w:t>https://www.ageuk.org.uk/latest-press/articles/2023/age-uk-analysis-reveals-that-almost-6-million-people-5800000-aged-65-are-either-unable-to-use-the-internet-safely-and-successfully-or-arent-online-at-all/</w:t>
        </w:r>
      </w:hyperlink>
      <w:r w:rsidRPr="00B10FD1">
        <w:rPr>
          <w:rFonts w:ascii="Arial" w:hAnsi="Arial" w:cs="Arial"/>
          <w:sz w:val="22"/>
          <w:szCs w:val="22"/>
        </w:rPr>
        <w:t xml:space="preserve"> (Accessed 20 September 2025).</w:t>
      </w:r>
    </w:p>
    <w:p w14:paraId="6E18A87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r w:rsidRPr="00B10FD1">
        <w:rPr>
          <w:rFonts w:ascii="Arial" w:hAnsi="Arial" w:cs="Arial"/>
          <w:sz w:val="22"/>
          <w:szCs w:val="22"/>
        </w:rPr>
        <w:t xml:space="preserve">Age UK (2023) </w:t>
      </w:r>
      <w:r w:rsidRPr="00B10FD1">
        <w:rPr>
          <w:rStyle w:val="Emphasis"/>
          <w:rFonts w:ascii="Arial" w:hAnsi="Arial" w:cs="Arial"/>
          <w:sz w:val="22"/>
          <w:szCs w:val="22"/>
        </w:rPr>
        <w:t>The State of Health and Care of Older People (abridged)</w:t>
      </w:r>
      <w:r w:rsidRPr="00B10FD1">
        <w:rPr>
          <w:rFonts w:ascii="Arial" w:hAnsi="Arial" w:cs="Arial"/>
          <w:sz w:val="22"/>
          <w:szCs w:val="22"/>
        </w:rPr>
        <w:t xml:space="preserve">. Available at: </w:t>
      </w:r>
      <w:hyperlink r:id="rId8" w:tgtFrame="_new" w:history="1">
        <w:r w:rsidRPr="00B10FD1">
          <w:rPr>
            <w:rStyle w:val="Hyperlink"/>
            <w:rFonts w:ascii="Arial" w:hAnsi="Arial" w:cs="Arial"/>
            <w:sz w:val="22"/>
            <w:szCs w:val="22"/>
          </w:rPr>
          <w:t>https://www.ageuk.org.uk/siteassets/documents/reports-and-publications/reports-and-briefings/health--wellbeing/age-uk-briefing-state-of-health-and-care-july-2023-abridged-version.pdf</w:t>
        </w:r>
      </w:hyperlink>
      <w:r w:rsidRPr="00B10FD1">
        <w:rPr>
          <w:rFonts w:ascii="Arial" w:hAnsi="Arial" w:cs="Arial"/>
          <w:sz w:val="22"/>
          <w:szCs w:val="22"/>
        </w:rPr>
        <w:t xml:space="preserve"> (Accessed 20 September 2025).</w:t>
      </w:r>
    </w:p>
    <w:p w14:paraId="4304AE55"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rPr>
      </w:pPr>
      <w:r w:rsidRPr="00B10FD1">
        <w:rPr>
          <w:rFonts w:ascii="Arial" w:hAnsi="Arial" w:cs="Arial"/>
        </w:rPr>
        <w:t xml:space="preserve">Booth, A., Sutton, A., &amp; Papaioannou, D. (2016). </w:t>
      </w:r>
      <w:r w:rsidRPr="00B10FD1">
        <w:rPr>
          <w:rFonts w:ascii="Arial" w:hAnsi="Arial" w:cs="Arial"/>
          <w:i/>
          <w:iCs/>
        </w:rPr>
        <w:t>Systematic Approaches to a Successful Literature Review</w:t>
      </w:r>
      <w:r w:rsidRPr="00B10FD1">
        <w:rPr>
          <w:rFonts w:ascii="Arial" w:hAnsi="Arial" w:cs="Arial"/>
        </w:rPr>
        <w:t xml:space="preserve"> (2nd ed.). Sage.</w:t>
      </w:r>
    </w:p>
    <w:p w14:paraId="25A0D483"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rPr>
        <w:t xml:space="preserve">Braun, V., &amp; Clarke, V. (2006). Using thematic analysis in psychology. </w:t>
      </w:r>
      <w:r w:rsidRPr="00B10FD1">
        <w:rPr>
          <w:rFonts w:ascii="Arial" w:hAnsi="Arial" w:cs="Arial"/>
          <w:i/>
          <w:iCs/>
        </w:rPr>
        <w:t>Qualitative Research in Psychology, 3</w:t>
      </w:r>
      <w:r w:rsidRPr="00B10FD1">
        <w:rPr>
          <w:rFonts w:ascii="Arial" w:hAnsi="Arial" w:cs="Arial"/>
        </w:rPr>
        <w:t xml:space="preserve">(2), 77–101. </w:t>
      </w:r>
      <w:hyperlink r:id="rId9" w:history="1">
        <w:r w:rsidRPr="00B10FD1">
          <w:rPr>
            <w:rStyle w:val="Hyperlink"/>
            <w:rFonts w:ascii="Arial" w:hAnsi="Arial" w:cs="Arial"/>
          </w:rPr>
          <w:t>https://doi.org/10.1191/1478088706qp063oa</w:t>
        </w:r>
      </w:hyperlink>
      <w:r w:rsidRPr="00B10FD1">
        <w:rPr>
          <w:rFonts w:ascii="Arial" w:hAnsi="Arial" w:cs="Arial"/>
        </w:rPr>
        <w:t xml:space="preserve"> </w:t>
      </w:r>
    </w:p>
    <w:p w14:paraId="26057311"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Braun, V. and Clarke, V. (2006) ‘Using thematic analysis in psychology’, </w:t>
      </w:r>
      <w:r w:rsidRPr="00B10FD1">
        <w:rPr>
          <w:rStyle w:val="Emphasis"/>
          <w:rFonts w:ascii="Arial" w:hAnsi="Arial" w:cs="Arial"/>
          <w:sz w:val="22"/>
          <w:szCs w:val="22"/>
        </w:rPr>
        <w:t>Qualitative Research in Psychology</w:t>
      </w:r>
      <w:r w:rsidRPr="00B10FD1">
        <w:rPr>
          <w:rFonts w:ascii="Arial" w:hAnsi="Arial" w:cs="Arial"/>
          <w:sz w:val="22"/>
          <w:szCs w:val="22"/>
        </w:rPr>
        <w:t xml:space="preserve">, 3(2), pp. 77–101. DOI: 10.1191/1478088706qp063oa. Available at: </w:t>
      </w:r>
      <w:hyperlink r:id="rId10" w:history="1">
        <w:r w:rsidRPr="00B10FD1">
          <w:rPr>
            <w:rStyle w:val="Hyperlink"/>
            <w:rFonts w:ascii="Arial" w:hAnsi="Arial" w:cs="Arial"/>
            <w:sz w:val="22"/>
            <w:szCs w:val="22"/>
          </w:rPr>
          <w:t>https://qualresmethods.files.wordpress.com/2016/05/braun_2006_using-thematic-analysis-in-psychology.pdf</w:t>
        </w:r>
      </w:hyperlink>
      <w:r w:rsidRPr="00B10FD1">
        <w:rPr>
          <w:rFonts w:ascii="Arial" w:hAnsi="Arial" w:cs="Arial"/>
          <w:sz w:val="22"/>
          <w:szCs w:val="22"/>
        </w:rPr>
        <w:t xml:space="preserve"> (Accessed 20 September 2025).</w:t>
      </w:r>
    </w:p>
    <w:p w14:paraId="3A1C25F9"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Bober, T., Rollman, B. L., Handler, S., Watson, A., Nelson, L. A., Faieta, J., &amp; Rosland, A. (2024). Digital Health Readiness: Making digital health care more inclusive. </w:t>
      </w:r>
      <w:r w:rsidRPr="00B10FD1">
        <w:rPr>
          <w:rFonts w:ascii="Arial" w:hAnsi="Arial" w:cs="Arial"/>
          <w:i/>
          <w:iCs/>
          <w:color w:val="000000" w:themeColor="text1"/>
          <w:sz w:val="22"/>
          <w:szCs w:val="22"/>
        </w:rPr>
        <w:t xml:space="preserve">JMIR </w:t>
      </w:r>
      <w:proofErr w:type="spellStart"/>
      <w:r w:rsidRPr="00B10FD1">
        <w:rPr>
          <w:rFonts w:ascii="Arial" w:hAnsi="Arial" w:cs="Arial"/>
          <w:i/>
          <w:iCs/>
          <w:color w:val="000000" w:themeColor="text1"/>
          <w:sz w:val="22"/>
          <w:szCs w:val="22"/>
        </w:rPr>
        <w:t>Mhealth</w:t>
      </w:r>
      <w:proofErr w:type="spellEnd"/>
      <w:r w:rsidRPr="00B10FD1">
        <w:rPr>
          <w:rFonts w:ascii="Arial" w:hAnsi="Arial" w:cs="Arial"/>
          <w:i/>
          <w:iCs/>
          <w:color w:val="000000" w:themeColor="text1"/>
          <w:sz w:val="22"/>
          <w:szCs w:val="22"/>
        </w:rPr>
        <w:t xml:space="preserve"> and </w:t>
      </w:r>
      <w:proofErr w:type="spellStart"/>
      <w:r w:rsidRPr="00B10FD1">
        <w:rPr>
          <w:rFonts w:ascii="Arial" w:hAnsi="Arial" w:cs="Arial"/>
          <w:i/>
          <w:iCs/>
          <w:color w:val="000000" w:themeColor="text1"/>
          <w:sz w:val="22"/>
          <w:szCs w:val="22"/>
        </w:rPr>
        <w:t>Uhealth</w:t>
      </w:r>
      <w:proofErr w:type="spellEnd"/>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12</w:t>
      </w:r>
      <w:r w:rsidRPr="00B10FD1">
        <w:rPr>
          <w:rFonts w:ascii="Arial" w:hAnsi="Arial" w:cs="Arial"/>
          <w:color w:val="000000" w:themeColor="text1"/>
          <w:sz w:val="22"/>
          <w:szCs w:val="22"/>
        </w:rPr>
        <w:t xml:space="preserve">, e58035. </w:t>
      </w:r>
      <w:hyperlink r:id="rId11" w:history="1">
        <w:r w:rsidRPr="00B10FD1">
          <w:rPr>
            <w:rStyle w:val="Hyperlink"/>
            <w:rFonts w:ascii="Arial" w:hAnsi="Arial" w:cs="Arial"/>
            <w:sz w:val="22"/>
            <w:szCs w:val="22"/>
          </w:rPr>
          <w:t>https://doi.org/10.2196/58035</w:t>
        </w:r>
      </w:hyperlink>
      <w:r w:rsidRPr="00B10FD1">
        <w:rPr>
          <w:rStyle w:val="url"/>
          <w:rFonts w:ascii="Arial" w:hAnsi="Arial" w:cs="Arial"/>
          <w:color w:val="000000" w:themeColor="text1"/>
          <w:sz w:val="22"/>
          <w:szCs w:val="22"/>
        </w:rPr>
        <w:t xml:space="preserve"> </w:t>
      </w:r>
    </w:p>
    <w:p w14:paraId="64E9904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lastRenderedPageBreak/>
        <w:t xml:space="preserve">Bourdieu, P. (1986). </w:t>
      </w:r>
      <w:r w:rsidRPr="00B10FD1">
        <w:rPr>
          <w:rFonts w:ascii="Arial" w:hAnsi="Arial" w:cs="Arial"/>
          <w:i/>
          <w:iCs/>
          <w:color w:val="000000" w:themeColor="text1"/>
          <w:sz w:val="22"/>
          <w:szCs w:val="22"/>
        </w:rPr>
        <w:t>The Forms of Capital by Pierre Bourdieu 1986</w:t>
      </w:r>
      <w:r w:rsidRPr="00B10FD1">
        <w:rPr>
          <w:rFonts w:ascii="Arial" w:hAnsi="Arial" w:cs="Arial"/>
          <w:color w:val="000000" w:themeColor="text1"/>
          <w:sz w:val="22"/>
          <w:szCs w:val="22"/>
        </w:rPr>
        <w:t xml:space="preserve">. </w:t>
      </w:r>
      <w:hyperlink r:id="rId12" w:history="1">
        <w:r w:rsidRPr="00B10FD1">
          <w:rPr>
            <w:rStyle w:val="Hyperlink"/>
            <w:rFonts w:ascii="Arial" w:hAnsi="Arial" w:cs="Arial"/>
            <w:sz w:val="22"/>
            <w:szCs w:val="22"/>
          </w:rPr>
          <w:t>https://www.marxists.org/reference/subject/philosophy/works/fr/bourdieu-forms-capital.htm</w:t>
        </w:r>
      </w:hyperlink>
      <w:r w:rsidRPr="00B10FD1">
        <w:rPr>
          <w:rStyle w:val="url"/>
          <w:rFonts w:ascii="Arial" w:hAnsi="Arial" w:cs="Arial"/>
          <w:color w:val="000000" w:themeColor="text1"/>
          <w:sz w:val="22"/>
          <w:szCs w:val="22"/>
        </w:rPr>
        <w:t xml:space="preserve"> (Accessed: July 17, 2025).</w:t>
      </w:r>
    </w:p>
    <w:p w14:paraId="6F50F74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color w:val="000000" w:themeColor="text1"/>
          <w:sz w:val="22"/>
          <w:szCs w:val="22"/>
        </w:rPr>
        <w:t>Bražinová</w:t>
      </w:r>
      <w:proofErr w:type="spellEnd"/>
      <w:r w:rsidRPr="00B10FD1">
        <w:rPr>
          <w:rFonts w:ascii="Arial" w:hAnsi="Arial" w:cs="Arial"/>
          <w:color w:val="000000" w:themeColor="text1"/>
          <w:sz w:val="22"/>
          <w:szCs w:val="22"/>
        </w:rPr>
        <w:t xml:space="preserve">, I., &amp; Chytil, O. (2024). The family as a source of social support for older adults: Implications for gerontological social work. </w:t>
      </w:r>
      <w:r w:rsidRPr="00B10FD1">
        <w:rPr>
          <w:rFonts w:ascii="Arial" w:hAnsi="Arial" w:cs="Arial"/>
          <w:i/>
          <w:iCs/>
          <w:color w:val="000000" w:themeColor="text1"/>
          <w:sz w:val="22"/>
          <w:szCs w:val="22"/>
        </w:rPr>
        <w:t>Journal of Social Work</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24</w:t>
      </w:r>
      <w:r w:rsidRPr="00B10FD1">
        <w:rPr>
          <w:rFonts w:ascii="Arial" w:hAnsi="Arial" w:cs="Arial"/>
          <w:color w:val="000000" w:themeColor="text1"/>
          <w:sz w:val="22"/>
          <w:szCs w:val="22"/>
        </w:rPr>
        <w:t xml:space="preserve">(3), 339–356. </w:t>
      </w:r>
      <w:hyperlink r:id="rId13" w:history="1">
        <w:r w:rsidRPr="00B10FD1">
          <w:rPr>
            <w:rStyle w:val="Hyperlink"/>
            <w:rFonts w:ascii="Arial" w:hAnsi="Arial" w:cs="Arial"/>
            <w:sz w:val="22"/>
            <w:szCs w:val="22"/>
          </w:rPr>
          <w:t>https://doi.org/10.1177/14680173231222612</w:t>
        </w:r>
      </w:hyperlink>
      <w:r w:rsidRPr="00B10FD1">
        <w:rPr>
          <w:rStyle w:val="url"/>
          <w:rFonts w:ascii="Arial" w:hAnsi="Arial" w:cs="Arial"/>
          <w:color w:val="000000" w:themeColor="text1"/>
          <w:sz w:val="22"/>
          <w:szCs w:val="22"/>
        </w:rPr>
        <w:t xml:space="preserve"> </w:t>
      </w:r>
    </w:p>
    <w:p w14:paraId="102BC99F"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Cambridge Centre for Housing and Planning Research (CCHPR). (2020, May 6). </w:t>
      </w:r>
      <w:r w:rsidRPr="00B10FD1">
        <w:rPr>
          <w:rFonts w:ascii="Arial" w:hAnsi="Arial" w:cs="Arial"/>
          <w:i/>
          <w:iCs/>
          <w:color w:val="000000" w:themeColor="text1"/>
          <w:sz w:val="22"/>
          <w:szCs w:val="22"/>
        </w:rPr>
        <w:t>Opinion: Coronavirus has intensified the UK’s digital divide</w:t>
      </w:r>
      <w:r w:rsidRPr="00B10FD1">
        <w:rPr>
          <w:rFonts w:ascii="Arial" w:hAnsi="Arial" w:cs="Arial"/>
          <w:color w:val="000000" w:themeColor="text1"/>
          <w:sz w:val="22"/>
          <w:szCs w:val="22"/>
        </w:rPr>
        <w:t xml:space="preserve">. University of Cambridge. </w:t>
      </w:r>
      <w:hyperlink r:id="rId14" w:history="1">
        <w:r w:rsidRPr="00B10FD1">
          <w:rPr>
            <w:rStyle w:val="Hyperlink"/>
            <w:rFonts w:ascii="Arial" w:hAnsi="Arial" w:cs="Arial"/>
            <w:sz w:val="22"/>
            <w:szCs w:val="22"/>
          </w:rPr>
          <w:t>https://www.cam.ac.uk/stories/digitaldivide</w:t>
        </w:r>
      </w:hyperlink>
      <w:r w:rsidRPr="00B10FD1">
        <w:rPr>
          <w:rStyle w:val="url"/>
          <w:rFonts w:ascii="Arial" w:hAnsi="Arial" w:cs="Arial"/>
          <w:color w:val="000000" w:themeColor="text1"/>
          <w:sz w:val="22"/>
          <w:szCs w:val="22"/>
        </w:rPr>
        <w:t xml:space="preserve"> (Accessed: July 17, 2025).</w:t>
      </w:r>
    </w:p>
    <w:p w14:paraId="7AE2966D" w14:textId="77777777" w:rsidR="006041C3" w:rsidRPr="00B10FD1" w:rsidRDefault="006041C3" w:rsidP="006041C3">
      <w:pPr>
        <w:pStyle w:val="NormalWeb"/>
        <w:spacing w:before="120" w:beforeAutospacing="0" w:after="120" w:afterAutospacing="0" w:line="360" w:lineRule="auto"/>
        <w:ind w:left="720" w:hanging="720"/>
        <w:jc w:val="both"/>
        <w:rPr>
          <w:rStyle w:val="url"/>
          <w:rFonts w:ascii="Arial" w:hAnsi="Arial" w:cs="Arial"/>
          <w:color w:val="000000" w:themeColor="text1"/>
          <w:sz w:val="22"/>
          <w:szCs w:val="22"/>
        </w:rPr>
      </w:pPr>
      <w:r w:rsidRPr="00B10FD1">
        <w:rPr>
          <w:rFonts w:ascii="Arial" w:hAnsi="Arial" w:cs="Arial"/>
          <w:color w:val="000000" w:themeColor="text1"/>
          <w:sz w:val="22"/>
          <w:szCs w:val="22"/>
        </w:rPr>
        <w:t xml:space="preserve">Carpenter, S. (2019, June 3). </w:t>
      </w:r>
      <w:r w:rsidRPr="00B10FD1">
        <w:rPr>
          <w:rFonts w:ascii="Arial" w:hAnsi="Arial" w:cs="Arial"/>
          <w:i/>
          <w:iCs/>
          <w:color w:val="000000" w:themeColor="text1"/>
          <w:sz w:val="22"/>
          <w:szCs w:val="22"/>
        </w:rPr>
        <w:t>Solving Britain’s “rural vs urban” broadband connectivity divide</w:t>
      </w:r>
      <w:r w:rsidRPr="00B10FD1">
        <w:rPr>
          <w:rFonts w:ascii="Arial" w:hAnsi="Arial" w:cs="Arial"/>
          <w:color w:val="000000" w:themeColor="text1"/>
          <w:sz w:val="22"/>
          <w:szCs w:val="22"/>
        </w:rPr>
        <w:t xml:space="preserve">. Open Access Government. </w:t>
      </w:r>
      <w:hyperlink r:id="rId15" w:history="1">
        <w:r w:rsidRPr="00B10FD1">
          <w:rPr>
            <w:rStyle w:val="Hyperlink"/>
            <w:rFonts w:ascii="Arial" w:hAnsi="Arial" w:cs="Arial"/>
            <w:sz w:val="22"/>
            <w:szCs w:val="22"/>
          </w:rPr>
          <w:t>https://www.openaccessgovernment.org/rural-vs-urban-broadband-connectivity/66215/</w:t>
        </w:r>
      </w:hyperlink>
      <w:r w:rsidRPr="00B10FD1">
        <w:rPr>
          <w:rStyle w:val="url"/>
          <w:rFonts w:ascii="Arial" w:hAnsi="Arial" w:cs="Arial"/>
          <w:color w:val="000000" w:themeColor="text1"/>
          <w:sz w:val="22"/>
          <w:szCs w:val="22"/>
        </w:rPr>
        <w:t xml:space="preserve"> (Accessed: July 17, 2025).</w:t>
      </w:r>
    </w:p>
    <w:p w14:paraId="61B1C03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rPr>
        <w:t xml:space="preserve">Creswell, J. W., &amp; Poth, C. N. (2018). </w:t>
      </w:r>
      <w:r w:rsidRPr="00B10FD1">
        <w:rPr>
          <w:rFonts w:ascii="Arial" w:hAnsi="Arial" w:cs="Arial"/>
          <w:i/>
          <w:iCs/>
        </w:rPr>
        <w:t>Qualitative Inquiry and Research Design: Choosing Among Five Approaches</w:t>
      </w:r>
      <w:r w:rsidRPr="00B10FD1">
        <w:rPr>
          <w:rFonts w:ascii="Arial" w:hAnsi="Arial" w:cs="Arial"/>
        </w:rPr>
        <w:t xml:space="preserve"> (4th ed.). Sage.</w:t>
      </w:r>
    </w:p>
    <w:p w14:paraId="7B28F30C"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Clark. (2024). </w:t>
      </w:r>
      <w:r w:rsidRPr="00B10FD1">
        <w:rPr>
          <w:rFonts w:ascii="Arial" w:hAnsi="Arial" w:cs="Arial"/>
          <w:i/>
          <w:iCs/>
          <w:color w:val="000000" w:themeColor="text1"/>
          <w:sz w:val="22"/>
          <w:szCs w:val="22"/>
        </w:rPr>
        <w:t>Debate on digital exclusion</w:t>
      </w:r>
      <w:r w:rsidRPr="00B10FD1">
        <w:rPr>
          <w:rFonts w:ascii="Arial" w:hAnsi="Arial" w:cs="Arial"/>
          <w:color w:val="000000" w:themeColor="text1"/>
          <w:sz w:val="22"/>
          <w:szCs w:val="22"/>
        </w:rPr>
        <w:t xml:space="preserve">. </w:t>
      </w:r>
      <w:hyperlink r:id="rId16" w:history="1">
        <w:r w:rsidRPr="00B10FD1">
          <w:rPr>
            <w:rStyle w:val="Hyperlink"/>
            <w:rFonts w:ascii="Arial" w:hAnsi="Arial" w:cs="Arial"/>
            <w:sz w:val="22"/>
            <w:szCs w:val="22"/>
          </w:rPr>
          <w:t>https://researchbriefings.files.parliament.uk/documents/CDP-2024-0041/CDP-2024-0041.pdf</w:t>
        </w:r>
      </w:hyperlink>
      <w:r w:rsidRPr="00B10FD1">
        <w:rPr>
          <w:rStyle w:val="url"/>
          <w:rFonts w:ascii="Arial" w:hAnsi="Arial" w:cs="Arial"/>
          <w:color w:val="000000" w:themeColor="text1"/>
          <w:sz w:val="22"/>
          <w:szCs w:val="22"/>
        </w:rPr>
        <w:t xml:space="preserve"> (Accessed: July 17, 2025).</w:t>
      </w:r>
    </w:p>
    <w:p w14:paraId="6D00FC1B"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Cumming E. and Henry W., Growing Old (1961): the Process of Disengagement. Basic Books, New York, 1961. (Reprint: Arno, New York, 1979, ISBN 0405 118147.). </w:t>
      </w:r>
      <w:r w:rsidRPr="00B10FD1">
        <w:rPr>
          <w:rFonts w:ascii="Arial" w:hAnsi="Arial" w:cs="Arial"/>
          <w:i/>
          <w:iCs/>
          <w:color w:val="000000" w:themeColor="text1"/>
          <w:sz w:val="22"/>
          <w:szCs w:val="22"/>
        </w:rPr>
        <w:t>Ageing and Society</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11</w:t>
      </w:r>
      <w:r w:rsidRPr="00B10FD1">
        <w:rPr>
          <w:rFonts w:ascii="Arial" w:hAnsi="Arial" w:cs="Arial"/>
          <w:color w:val="000000" w:themeColor="text1"/>
          <w:sz w:val="22"/>
          <w:szCs w:val="22"/>
        </w:rPr>
        <w:t xml:space="preserve">(2), 217–220. </w:t>
      </w:r>
      <w:hyperlink r:id="rId17" w:history="1">
        <w:r w:rsidRPr="00B10FD1">
          <w:rPr>
            <w:rStyle w:val="Hyperlink"/>
            <w:rFonts w:ascii="Arial" w:hAnsi="Arial" w:cs="Arial"/>
            <w:sz w:val="22"/>
            <w:szCs w:val="22"/>
          </w:rPr>
          <w:t>https://doi.org/10.1017/s0144686x00004025</w:t>
        </w:r>
      </w:hyperlink>
      <w:r w:rsidRPr="00B10FD1">
        <w:rPr>
          <w:rStyle w:val="url"/>
          <w:rFonts w:ascii="Arial" w:hAnsi="Arial" w:cs="Arial"/>
          <w:color w:val="000000" w:themeColor="text1"/>
          <w:sz w:val="22"/>
          <w:szCs w:val="22"/>
        </w:rPr>
        <w:t xml:space="preserve"> </w:t>
      </w:r>
    </w:p>
    <w:p w14:paraId="59D4959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Coyle, D., &amp; Muhtar, A. (2023). </w:t>
      </w:r>
      <w:proofErr w:type="gramStart"/>
      <w:r w:rsidRPr="00B10FD1">
        <w:rPr>
          <w:rFonts w:ascii="Arial" w:hAnsi="Arial" w:cs="Arial"/>
          <w:color w:val="000000" w:themeColor="text1"/>
          <w:sz w:val="22"/>
          <w:szCs w:val="22"/>
        </w:rPr>
        <w:t>Levelling</w:t>
      </w:r>
      <w:proofErr w:type="gramEnd"/>
      <w:r w:rsidRPr="00B10FD1">
        <w:rPr>
          <w:rFonts w:ascii="Arial" w:hAnsi="Arial" w:cs="Arial"/>
          <w:color w:val="000000" w:themeColor="text1"/>
          <w:sz w:val="22"/>
          <w:szCs w:val="22"/>
        </w:rPr>
        <w:t xml:space="preserve"> up policies and </w:t>
      </w:r>
      <w:proofErr w:type="gramStart"/>
      <w:r w:rsidRPr="00B10FD1">
        <w:rPr>
          <w:rFonts w:ascii="Arial" w:hAnsi="Arial" w:cs="Arial"/>
          <w:color w:val="000000" w:themeColor="text1"/>
          <w:sz w:val="22"/>
          <w:szCs w:val="22"/>
        </w:rPr>
        <w:t>the failure</w:t>
      </w:r>
      <w:proofErr w:type="gramEnd"/>
      <w:r w:rsidRPr="00B10FD1">
        <w:rPr>
          <w:rFonts w:ascii="Arial" w:hAnsi="Arial" w:cs="Arial"/>
          <w:color w:val="000000" w:themeColor="text1"/>
          <w:sz w:val="22"/>
          <w:szCs w:val="22"/>
        </w:rPr>
        <w:t xml:space="preserve"> to learn. </w:t>
      </w:r>
      <w:r w:rsidRPr="00B10FD1">
        <w:rPr>
          <w:rFonts w:ascii="Arial" w:hAnsi="Arial" w:cs="Arial"/>
          <w:i/>
          <w:iCs/>
          <w:color w:val="000000" w:themeColor="text1"/>
          <w:sz w:val="22"/>
          <w:szCs w:val="22"/>
        </w:rPr>
        <w:t>Contemporary Social Science</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18</w:t>
      </w:r>
      <w:r w:rsidRPr="00B10FD1">
        <w:rPr>
          <w:rFonts w:ascii="Arial" w:hAnsi="Arial" w:cs="Arial"/>
          <w:color w:val="000000" w:themeColor="text1"/>
          <w:sz w:val="22"/>
          <w:szCs w:val="22"/>
        </w:rPr>
        <w:t xml:space="preserve">(3–4), 406–427. </w:t>
      </w:r>
      <w:hyperlink r:id="rId18" w:history="1">
        <w:r w:rsidRPr="00B10FD1">
          <w:rPr>
            <w:rStyle w:val="Hyperlink"/>
            <w:rFonts w:ascii="Arial" w:hAnsi="Arial" w:cs="Arial"/>
            <w:sz w:val="22"/>
            <w:szCs w:val="22"/>
          </w:rPr>
          <w:t>https://doi.org/10.1080/21582041.2023.2197877</w:t>
        </w:r>
      </w:hyperlink>
      <w:r w:rsidRPr="00B10FD1">
        <w:rPr>
          <w:rStyle w:val="url"/>
          <w:rFonts w:ascii="Arial" w:hAnsi="Arial" w:cs="Arial"/>
          <w:color w:val="000000" w:themeColor="text1"/>
          <w:sz w:val="22"/>
          <w:szCs w:val="22"/>
        </w:rPr>
        <w:t xml:space="preserve"> </w:t>
      </w:r>
    </w:p>
    <w:p w14:paraId="4B7C80F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Department for Digital, Culture, Media &amp; Sport. (2022, October 4). </w:t>
      </w:r>
      <w:r w:rsidRPr="00B10FD1">
        <w:rPr>
          <w:rFonts w:ascii="Arial" w:hAnsi="Arial" w:cs="Arial"/>
          <w:i/>
          <w:iCs/>
          <w:color w:val="000000" w:themeColor="text1"/>
          <w:sz w:val="22"/>
          <w:szCs w:val="22"/>
        </w:rPr>
        <w:t>UK’s digital strategy</w:t>
      </w:r>
      <w:r w:rsidRPr="00B10FD1">
        <w:rPr>
          <w:rFonts w:ascii="Arial" w:hAnsi="Arial" w:cs="Arial"/>
          <w:color w:val="000000" w:themeColor="text1"/>
          <w:sz w:val="22"/>
          <w:szCs w:val="22"/>
        </w:rPr>
        <w:t xml:space="preserve">. GOV.UK. </w:t>
      </w:r>
      <w:hyperlink r:id="rId19" w:history="1">
        <w:r w:rsidRPr="00B10FD1">
          <w:rPr>
            <w:rStyle w:val="Hyperlink"/>
            <w:rFonts w:ascii="Arial" w:hAnsi="Arial" w:cs="Arial"/>
            <w:sz w:val="22"/>
            <w:szCs w:val="22"/>
          </w:rPr>
          <w:t>https://www.gov.uk/government/publications/uks-digital-strategy</w:t>
        </w:r>
      </w:hyperlink>
      <w:r w:rsidRPr="00B10FD1">
        <w:rPr>
          <w:rStyle w:val="url"/>
          <w:rFonts w:ascii="Arial" w:hAnsi="Arial" w:cs="Arial"/>
          <w:color w:val="000000" w:themeColor="text1"/>
          <w:sz w:val="22"/>
          <w:szCs w:val="22"/>
        </w:rPr>
        <w:t xml:space="preserve"> (Accessed: July 17, 2025).</w:t>
      </w:r>
    </w:p>
    <w:p w14:paraId="026CC19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Department for Culture, Media and Sport (DCMS) (2024) </w:t>
      </w:r>
      <w:r w:rsidRPr="00B10FD1">
        <w:rPr>
          <w:rStyle w:val="Emphasis"/>
          <w:rFonts w:ascii="Arial" w:hAnsi="Arial" w:cs="Arial"/>
          <w:sz w:val="22"/>
          <w:szCs w:val="22"/>
        </w:rPr>
        <w:t>Annual Libraries Report 2023–2024</w:t>
      </w:r>
      <w:r w:rsidRPr="00B10FD1">
        <w:rPr>
          <w:rFonts w:ascii="Arial" w:hAnsi="Arial" w:cs="Arial"/>
          <w:sz w:val="22"/>
          <w:szCs w:val="22"/>
        </w:rPr>
        <w:t xml:space="preserve">. London: DCMS. Available at: </w:t>
      </w:r>
      <w:hyperlink r:id="rId20" w:tgtFrame="_new" w:history="1">
        <w:r w:rsidRPr="00B10FD1">
          <w:rPr>
            <w:rStyle w:val="Hyperlink"/>
            <w:rFonts w:ascii="Arial" w:hAnsi="Arial" w:cs="Arial"/>
            <w:sz w:val="22"/>
            <w:szCs w:val="22"/>
          </w:rPr>
          <w:t>https://assets.publishing.service.gov.uk/media/66e0430ffd14944ed96c5b6a/Annual_Libraries_Report_2023-2024_-_accessible_.pdf</w:t>
        </w:r>
      </w:hyperlink>
      <w:r w:rsidRPr="00B10FD1">
        <w:rPr>
          <w:rFonts w:ascii="Arial" w:hAnsi="Arial" w:cs="Arial"/>
          <w:sz w:val="22"/>
          <w:szCs w:val="22"/>
        </w:rPr>
        <w:t xml:space="preserve"> (Accessed 20 September 2025).</w:t>
      </w:r>
    </w:p>
    <w:p w14:paraId="214BEF1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lastRenderedPageBreak/>
        <w:t xml:space="preserve">Department of Health and Social Care (DHSC) and NHS England (2022) </w:t>
      </w:r>
      <w:r w:rsidRPr="00B10FD1">
        <w:rPr>
          <w:rStyle w:val="Emphasis"/>
          <w:rFonts w:ascii="Arial" w:hAnsi="Arial" w:cs="Arial"/>
          <w:sz w:val="22"/>
          <w:szCs w:val="22"/>
        </w:rPr>
        <w:t>A plan for digital health and social care</w:t>
      </w:r>
      <w:r w:rsidRPr="00B10FD1">
        <w:rPr>
          <w:rFonts w:ascii="Arial" w:hAnsi="Arial" w:cs="Arial"/>
          <w:sz w:val="22"/>
          <w:szCs w:val="22"/>
        </w:rPr>
        <w:t xml:space="preserve">. Available at: </w:t>
      </w:r>
      <w:hyperlink r:id="rId21" w:tgtFrame="_new" w:history="1">
        <w:r w:rsidRPr="00B10FD1">
          <w:rPr>
            <w:rStyle w:val="Hyperlink"/>
            <w:rFonts w:ascii="Arial" w:hAnsi="Arial" w:cs="Arial"/>
            <w:sz w:val="22"/>
            <w:szCs w:val="22"/>
          </w:rPr>
          <w:t>https://www.gov.uk/government/publications/a-plan-for-digital-health-and-social-care</w:t>
        </w:r>
      </w:hyperlink>
      <w:r w:rsidRPr="00B10FD1">
        <w:rPr>
          <w:rFonts w:ascii="Arial" w:hAnsi="Arial" w:cs="Arial"/>
          <w:sz w:val="22"/>
          <w:szCs w:val="22"/>
        </w:rPr>
        <w:t xml:space="preserve"> (Accessed 20 September 2025).</w:t>
      </w:r>
    </w:p>
    <w:p w14:paraId="791F028B"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Digital Inclusion Toolkit / Leeds City Council (2022) </w:t>
      </w:r>
      <w:r w:rsidRPr="00B10FD1">
        <w:rPr>
          <w:rStyle w:val="Emphasis"/>
          <w:rFonts w:ascii="Arial" w:hAnsi="Arial" w:cs="Arial"/>
          <w:sz w:val="22"/>
          <w:szCs w:val="22"/>
        </w:rPr>
        <w:t>100% Digital Leeds: A community-based approach to digital inclusion</w:t>
      </w:r>
      <w:r w:rsidRPr="00B10FD1">
        <w:rPr>
          <w:rFonts w:ascii="Arial" w:hAnsi="Arial" w:cs="Arial"/>
          <w:sz w:val="22"/>
          <w:szCs w:val="22"/>
        </w:rPr>
        <w:t xml:space="preserve">. Available at: </w:t>
      </w:r>
      <w:hyperlink r:id="rId22" w:tgtFrame="_new" w:history="1">
        <w:r w:rsidRPr="00B10FD1">
          <w:rPr>
            <w:rStyle w:val="Hyperlink"/>
            <w:rFonts w:ascii="Arial" w:hAnsi="Arial" w:cs="Arial"/>
            <w:sz w:val="22"/>
            <w:szCs w:val="22"/>
          </w:rPr>
          <w:t>https://digitalinclusionkit.org/wp-content/uploads/2022/12/100-Digital-Leeds-model-for-a-community-based-approach-to-digital-inclusion.pdf</w:t>
        </w:r>
      </w:hyperlink>
      <w:r w:rsidRPr="00B10FD1">
        <w:rPr>
          <w:rFonts w:ascii="Arial" w:hAnsi="Arial" w:cs="Arial"/>
          <w:sz w:val="22"/>
          <w:szCs w:val="22"/>
        </w:rPr>
        <w:t xml:space="preserve"> (Accessed 20 September 2025).</w:t>
      </w:r>
    </w:p>
    <w:p w14:paraId="35B17526"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European Union Agency for Fundamental Rights (FRA) (2023) </w:t>
      </w:r>
      <w:r w:rsidRPr="00B10FD1">
        <w:rPr>
          <w:rStyle w:val="Emphasis"/>
          <w:rFonts w:ascii="Arial" w:hAnsi="Arial" w:cs="Arial"/>
          <w:sz w:val="22"/>
          <w:szCs w:val="22"/>
        </w:rPr>
        <w:t>Ensuring access to public services for older people in digital societies</w:t>
      </w:r>
      <w:r w:rsidRPr="00B10FD1">
        <w:rPr>
          <w:rFonts w:ascii="Arial" w:hAnsi="Arial" w:cs="Arial"/>
          <w:sz w:val="22"/>
          <w:szCs w:val="22"/>
        </w:rPr>
        <w:t xml:space="preserve">. Available at: </w:t>
      </w:r>
      <w:hyperlink r:id="rId23" w:tgtFrame="_new" w:history="1">
        <w:r w:rsidRPr="00B10FD1">
          <w:rPr>
            <w:rStyle w:val="Hyperlink"/>
            <w:rFonts w:ascii="Arial" w:hAnsi="Arial" w:cs="Arial"/>
            <w:sz w:val="22"/>
            <w:szCs w:val="22"/>
          </w:rPr>
          <w:t>https://fra.europa.eu/en/publication/2023/older-people-digital-rights</w:t>
        </w:r>
      </w:hyperlink>
      <w:r w:rsidRPr="00B10FD1">
        <w:rPr>
          <w:rFonts w:ascii="Arial" w:hAnsi="Arial" w:cs="Arial"/>
          <w:sz w:val="22"/>
          <w:szCs w:val="22"/>
        </w:rPr>
        <w:t xml:space="preserve"> (Accessed 20 September 2025).</w:t>
      </w:r>
    </w:p>
    <w:p w14:paraId="73E806F2"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Financial Times (2025) ‘Moving NHS “from analogue to digital” will cost £21bn, think-tank says’, 7 May. Available at: </w:t>
      </w:r>
      <w:hyperlink r:id="rId24" w:tgtFrame="_new" w:history="1">
        <w:r w:rsidRPr="00B10FD1">
          <w:rPr>
            <w:rStyle w:val="Hyperlink"/>
            <w:rFonts w:ascii="Arial" w:hAnsi="Arial" w:cs="Arial"/>
            <w:sz w:val="22"/>
            <w:szCs w:val="22"/>
          </w:rPr>
          <w:t>https://www.ft.com/content/81a9fcfe-dae9-4145-948f-4638670a598e</w:t>
        </w:r>
      </w:hyperlink>
      <w:r w:rsidRPr="00B10FD1">
        <w:rPr>
          <w:rFonts w:ascii="Arial" w:hAnsi="Arial" w:cs="Arial"/>
          <w:sz w:val="22"/>
          <w:szCs w:val="22"/>
        </w:rPr>
        <w:t xml:space="preserve"> (Accessed 20 September 2025).</w:t>
      </w:r>
    </w:p>
    <w:p w14:paraId="275F7172"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Frontiers in Sociology (</w:t>
      </w:r>
      <w:proofErr w:type="gramStart"/>
      <w:r w:rsidRPr="00B10FD1">
        <w:rPr>
          <w:rFonts w:ascii="Arial" w:hAnsi="Arial" w:cs="Arial"/>
          <w:sz w:val="22"/>
          <w:szCs w:val="22"/>
        </w:rPr>
        <w:t>2023) ‘</w:t>
      </w:r>
      <w:proofErr w:type="gramEnd"/>
      <w:r w:rsidRPr="00B10FD1">
        <w:rPr>
          <w:rFonts w:ascii="Arial" w:hAnsi="Arial" w:cs="Arial"/>
          <w:sz w:val="22"/>
          <w:szCs w:val="22"/>
        </w:rPr>
        <w:t xml:space="preserve">Internet usage, frequency and intensity in old age during the COVID-19 pandemic’. </w:t>
      </w:r>
      <w:r w:rsidRPr="00B10FD1">
        <w:rPr>
          <w:rStyle w:val="Emphasis"/>
          <w:rFonts w:ascii="Arial" w:hAnsi="Arial" w:cs="Arial"/>
          <w:sz w:val="22"/>
          <w:szCs w:val="22"/>
        </w:rPr>
        <w:t>Frontiers in Sociology</w:t>
      </w:r>
      <w:r w:rsidRPr="00B10FD1">
        <w:rPr>
          <w:rFonts w:ascii="Arial" w:hAnsi="Arial" w:cs="Arial"/>
          <w:sz w:val="22"/>
          <w:szCs w:val="22"/>
        </w:rPr>
        <w:t xml:space="preserve">, 8, 1268613. DOI: 10.3389/fsoc.2023.1268613. Available at: </w:t>
      </w:r>
      <w:hyperlink r:id="rId25" w:history="1">
        <w:r w:rsidRPr="00B10FD1">
          <w:rPr>
            <w:rStyle w:val="Hyperlink"/>
            <w:rFonts w:ascii="Arial" w:hAnsi="Arial" w:cs="Arial"/>
            <w:sz w:val="22"/>
            <w:szCs w:val="22"/>
          </w:rPr>
          <w:t>https://www.frontiersin.org/articles/10.3389/fsoc.2023.1268613/full</w:t>
        </w:r>
      </w:hyperlink>
    </w:p>
    <w:p w14:paraId="138FDBE3"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FRA. (2023, September 13). </w:t>
      </w:r>
      <w:r w:rsidRPr="00B10FD1">
        <w:rPr>
          <w:rFonts w:ascii="Arial" w:hAnsi="Arial" w:cs="Arial"/>
          <w:i/>
          <w:iCs/>
          <w:color w:val="000000" w:themeColor="text1"/>
          <w:sz w:val="22"/>
          <w:szCs w:val="22"/>
        </w:rPr>
        <w:t>Ensuring access to public services for older people in digital societies</w:t>
      </w:r>
      <w:r w:rsidRPr="00B10FD1">
        <w:rPr>
          <w:rFonts w:ascii="Arial" w:hAnsi="Arial" w:cs="Arial"/>
          <w:color w:val="000000" w:themeColor="text1"/>
          <w:sz w:val="22"/>
          <w:szCs w:val="22"/>
        </w:rPr>
        <w:t xml:space="preserve">. European Union Agency for Fundamental Rights. </w:t>
      </w:r>
      <w:hyperlink r:id="rId26" w:history="1">
        <w:r w:rsidRPr="00B10FD1">
          <w:rPr>
            <w:rStyle w:val="Hyperlink"/>
            <w:rFonts w:ascii="Arial" w:hAnsi="Arial" w:cs="Arial"/>
            <w:sz w:val="22"/>
            <w:szCs w:val="22"/>
          </w:rPr>
          <w:t>https://fra.europa.eu/en/news/2023/ensuring-access-public-services-older-people-digital-societies</w:t>
        </w:r>
      </w:hyperlink>
      <w:r w:rsidRPr="00B10FD1">
        <w:rPr>
          <w:rStyle w:val="url"/>
          <w:rFonts w:ascii="Arial" w:hAnsi="Arial" w:cs="Arial"/>
          <w:color w:val="000000" w:themeColor="text1"/>
          <w:sz w:val="22"/>
          <w:szCs w:val="22"/>
        </w:rPr>
        <w:t xml:space="preserve"> (Accessed: July 17, 2025).</w:t>
      </w:r>
    </w:p>
    <w:p w14:paraId="10F3532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Garlatti, A., Iacuzzi, S., </w:t>
      </w:r>
      <w:proofErr w:type="spellStart"/>
      <w:r w:rsidRPr="00B10FD1">
        <w:rPr>
          <w:rFonts w:ascii="Arial" w:hAnsi="Arial" w:cs="Arial"/>
          <w:color w:val="000000" w:themeColor="text1"/>
          <w:sz w:val="22"/>
          <w:szCs w:val="22"/>
        </w:rPr>
        <w:t>Pauluzzo</w:t>
      </w:r>
      <w:proofErr w:type="spellEnd"/>
      <w:r w:rsidRPr="00B10FD1">
        <w:rPr>
          <w:rFonts w:ascii="Arial" w:hAnsi="Arial" w:cs="Arial"/>
          <w:color w:val="000000" w:themeColor="text1"/>
          <w:sz w:val="22"/>
          <w:szCs w:val="22"/>
        </w:rPr>
        <w:t xml:space="preserve">, R., &amp; </w:t>
      </w:r>
      <w:proofErr w:type="spellStart"/>
      <w:r w:rsidRPr="00B10FD1">
        <w:rPr>
          <w:rFonts w:ascii="Arial" w:hAnsi="Arial" w:cs="Arial"/>
          <w:color w:val="000000" w:themeColor="text1"/>
          <w:sz w:val="22"/>
          <w:szCs w:val="22"/>
        </w:rPr>
        <w:t>Pericolo</w:t>
      </w:r>
      <w:proofErr w:type="spellEnd"/>
      <w:r w:rsidRPr="00B10FD1">
        <w:rPr>
          <w:rFonts w:ascii="Arial" w:hAnsi="Arial" w:cs="Arial"/>
          <w:color w:val="000000" w:themeColor="text1"/>
          <w:sz w:val="22"/>
          <w:szCs w:val="22"/>
        </w:rPr>
        <w:t xml:space="preserve">, E. (2025). Assessing the effect of </w:t>
      </w:r>
      <w:proofErr w:type="spellStart"/>
      <w:r w:rsidRPr="00B10FD1">
        <w:rPr>
          <w:rFonts w:ascii="Arial" w:hAnsi="Arial" w:cs="Arial"/>
          <w:color w:val="000000" w:themeColor="text1"/>
          <w:sz w:val="22"/>
          <w:szCs w:val="22"/>
        </w:rPr>
        <w:t>digitalisation</w:t>
      </w:r>
      <w:proofErr w:type="spellEnd"/>
      <w:r w:rsidRPr="00B10FD1">
        <w:rPr>
          <w:rFonts w:ascii="Arial" w:hAnsi="Arial" w:cs="Arial"/>
          <w:color w:val="000000" w:themeColor="text1"/>
          <w:sz w:val="22"/>
          <w:szCs w:val="22"/>
        </w:rPr>
        <w:t xml:space="preserve"> on a public “self-servicing” service. </w:t>
      </w:r>
      <w:r w:rsidRPr="00B10FD1">
        <w:rPr>
          <w:rFonts w:ascii="Arial" w:hAnsi="Arial" w:cs="Arial"/>
          <w:i/>
          <w:iCs/>
          <w:color w:val="000000" w:themeColor="text1"/>
          <w:sz w:val="22"/>
          <w:szCs w:val="22"/>
        </w:rPr>
        <w:t>Journal of Public Budgeting Accounting &amp; Financial Management</w:t>
      </w:r>
      <w:r w:rsidRPr="00B10FD1">
        <w:rPr>
          <w:rFonts w:ascii="Arial" w:hAnsi="Arial" w:cs="Arial"/>
          <w:color w:val="000000" w:themeColor="text1"/>
          <w:sz w:val="22"/>
          <w:szCs w:val="22"/>
        </w:rPr>
        <w:t xml:space="preserve">. </w:t>
      </w:r>
      <w:hyperlink r:id="rId27" w:history="1">
        <w:r w:rsidRPr="00B10FD1">
          <w:rPr>
            <w:rStyle w:val="Hyperlink"/>
            <w:rFonts w:ascii="Arial" w:hAnsi="Arial" w:cs="Arial"/>
            <w:sz w:val="22"/>
            <w:szCs w:val="22"/>
          </w:rPr>
          <w:t>https://doi.org/10.1108/jpbafm-09-2024-0186</w:t>
        </w:r>
      </w:hyperlink>
      <w:r w:rsidRPr="00B10FD1">
        <w:rPr>
          <w:rStyle w:val="url"/>
          <w:rFonts w:ascii="Arial" w:hAnsi="Arial" w:cs="Arial"/>
          <w:color w:val="000000" w:themeColor="text1"/>
          <w:sz w:val="22"/>
          <w:szCs w:val="22"/>
        </w:rPr>
        <w:t xml:space="preserve"> </w:t>
      </w:r>
    </w:p>
    <w:p w14:paraId="61C9E824"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Gerlach, L. B., Solway, E. S., &amp; Malani, P. N. (2024). Social isolation and loneliness in older adults. </w:t>
      </w:r>
      <w:r w:rsidRPr="00B10FD1">
        <w:rPr>
          <w:rFonts w:ascii="Arial" w:hAnsi="Arial" w:cs="Arial"/>
          <w:i/>
          <w:iCs/>
          <w:color w:val="000000" w:themeColor="text1"/>
          <w:sz w:val="22"/>
          <w:szCs w:val="22"/>
        </w:rPr>
        <w:t>JAMA</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331</w:t>
      </w:r>
      <w:r w:rsidRPr="00B10FD1">
        <w:rPr>
          <w:rFonts w:ascii="Arial" w:hAnsi="Arial" w:cs="Arial"/>
          <w:color w:val="000000" w:themeColor="text1"/>
          <w:sz w:val="22"/>
          <w:szCs w:val="22"/>
        </w:rPr>
        <w:t xml:space="preserve">(23), 2058. </w:t>
      </w:r>
      <w:hyperlink r:id="rId28" w:history="1">
        <w:r w:rsidRPr="00B10FD1">
          <w:rPr>
            <w:rStyle w:val="Hyperlink"/>
            <w:rFonts w:ascii="Arial" w:hAnsi="Arial" w:cs="Arial"/>
            <w:sz w:val="22"/>
            <w:szCs w:val="22"/>
          </w:rPr>
          <w:t>https://doi.org/10.1001/jama.2024.3456</w:t>
        </w:r>
      </w:hyperlink>
      <w:r w:rsidRPr="00B10FD1">
        <w:rPr>
          <w:rStyle w:val="url"/>
          <w:rFonts w:ascii="Arial" w:hAnsi="Arial" w:cs="Arial"/>
          <w:color w:val="000000" w:themeColor="text1"/>
          <w:sz w:val="22"/>
          <w:szCs w:val="22"/>
        </w:rPr>
        <w:t xml:space="preserve"> </w:t>
      </w:r>
    </w:p>
    <w:p w14:paraId="19DB9947"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Gorsky, M. (2008). The British National Health Service 1948-2008: A review of the Historiography. </w:t>
      </w:r>
      <w:r w:rsidRPr="00B10FD1">
        <w:rPr>
          <w:rFonts w:ascii="Arial" w:hAnsi="Arial" w:cs="Arial"/>
          <w:i/>
          <w:iCs/>
          <w:color w:val="000000" w:themeColor="text1"/>
          <w:sz w:val="22"/>
          <w:szCs w:val="22"/>
        </w:rPr>
        <w:t>Social History of Medicine</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21</w:t>
      </w:r>
      <w:r w:rsidRPr="00B10FD1">
        <w:rPr>
          <w:rFonts w:ascii="Arial" w:hAnsi="Arial" w:cs="Arial"/>
          <w:color w:val="000000" w:themeColor="text1"/>
          <w:sz w:val="22"/>
          <w:szCs w:val="22"/>
        </w:rPr>
        <w:t xml:space="preserve">(3), 437–460. </w:t>
      </w:r>
      <w:hyperlink r:id="rId29" w:history="1">
        <w:r w:rsidRPr="00B10FD1">
          <w:rPr>
            <w:rStyle w:val="Hyperlink"/>
            <w:rFonts w:ascii="Arial" w:hAnsi="Arial" w:cs="Arial"/>
            <w:sz w:val="22"/>
            <w:szCs w:val="22"/>
          </w:rPr>
          <w:t>https://doi.org/10.1093/shm/hkn064</w:t>
        </w:r>
      </w:hyperlink>
      <w:r w:rsidRPr="00B10FD1">
        <w:rPr>
          <w:rStyle w:val="url"/>
          <w:rFonts w:ascii="Arial" w:hAnsi="Arial" w:cs="Arial"/>
          <w:color w:val="000000" w:themeColor="text1"/>
          <w:sz w:val="22"/>
          <w:szCs w:val="22"/>
        </w:rPr>
        <w:t xml:space="preserve"> </w:t>
      </w:r>
    </w:p>
    <w:p w14:paraId="1893F75C"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lastRenderedPageBreak/>
        <w:t xml:space="preserve">Gorsky, M. (2015). </w:t>
      </w:r>
      <w:r w:rsidRPr="00B10FD1">
        <w:rPr>
          <w:rFonts w:ascii="Arial" w:hAnsi="Arial" w:cs="Arial"/>
          <w:i/>
          <w:iCs/>
          <w:color w:val="000000" w:themeColor="text1"/>
          <w:sz w:val="22"/>
          <w:szCs w:val="22"/>
        </w:rPr>
        <w:t>The NHS in Britain: Any Lesson from History for Universal Health Coverage?</w:t>
      </w:r>
      <w:r w:rsidRPr="00B10FD1">
        <w:rPr>
          <w:rFonts w:ascii="Arial" w:hAnsi="Arial" w:cs="Arial"/>
          <w:color w:val="000000" w:themeColor="text1"/>
          <w:sz w:val="22"/>
          <w:szCs w:val="22"/>
        </w:rPr>
        <w:t xml:space="preserve"> Health for All - NCBI Bookshelf. </w:t>
      </w:r>
      <w:hyperlink r:id="rId30" w:history="1">
        <w:r w:rsidRPr="00B10FD1">
          <w:rPr>
            <w:rStyle w:val="Hyperlink"/>
            <w:rFonts w:ascii="Arial" w:hAnsi="Arial" w:cs="Arial"/>
            <w:sz w:val="22"/>
            <w:szCs w:val="22"/>
          </w:rPr>
          <w:t>https://www.ncbi.nlm.nih.gov/books/NBK316274/</w:t>
        </w:r>
      </w:hyperlink>
      <w:r w:rsidRPr="00B10FD1">
        <w:rPr>
          <w:rStyle w:val="url"/>
          <w:rFonts w:ascii="Arial" w:hAnsi="Arial" w:cs="Arial"/>
          <w:color w:val="000000" w:themeColor="text1"/>
          <w:sz w:val="22"/>
          <w:szCs w:val="22"/>
        </w:rPr>
        <w:t xml:space="preserve"> (Accessed: July 17, 2025).</w:t>
      </w:r>
    </w:p>
    <w:p w14:paraId="7F85519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Greenhalgh, T., </w:t>
      </w:r>
      <w:proofErr w:type="spellStart"/>
      <w:r w:rsidRPr="00B10FD1">
        <w:rPr>
          <w:rFonts w:ascii="Arial" w:hAnsi="Arial" w:cs="Arial"/>
          <w:sz w:val="22"/>
          <w:szCs w:val="22"/>
        </w:rPr>
        <w:t>Wherton</w:t>
      </w:r>
      <w:proofErr w:type="spellEnd"/>
      <w:r w:rsidRPr="00B10FD1">
        <w:rPr>
          <w:rFonts w:ascii="Arial" w:hAnsi="Arial" w:cs="Arial"/>
          <w:sz w:val="22"/>
          <w:szCs w:val="22"/>
        </w:rPr>
        <w:t xml:space="preserve">, J., Papoutsi, C., Lynch, J., Hughes, G., A’Court, C., Hinder, S. and Shaw, S. (2017) ‘Beyond adoption: A new framework for </w:t>
      </w:r>
      <w:proofErr w:type="spellStart"/>
      <w:r w:rsidRPr="00B10FD1">
        <w:rPr>
          <w:rFonts w:ascii="Arial" w:hAnsi="Arial" w:cs="Arial"/>
          <w:sz w:val="22"/>
          <w:szCs w:val="22"/>
        </w:rPr>
        <w:t>theorising</w:t>
      </w:r>
      <w:proofErr w:type="spellEnd"/>
      <w:r w:rsidRPr="00B10FD1">
        <w:rPr>
          <w:rFonts w:ascii="Arial" w:hAnsi="Arial" w:cs="Arial"/>
          <w:sz w:val="22"/>
          <w:szCs w:val="22"/>
        </w:rPr>
        <w:t xml:space="preserve"> and evaluating non-adoption, abandonment, and challenges to scale-up, spread, and sustainability (NASSS) of health and care technologies’, </w:t>
      </w:r>
      <w:r w:rsidRPr="00B10FD1">
        <w:rPr>
          <w:rStyle w:val="Emphasis"/>
          <w:rFonts w:ascii="Arial" w:hAnsi="Arial" w:cs="Arial"/>
          <w:sz w:val="22"/>
          <w:szCs w:val="22"/>
        </w:rPr>
        <w:t>Journal of Medical Internet Research</w:t>
      </w:r>
      <w:r w:rsidRPr="00B10FD1">
        <w:rPr>
          <w:rFonts w:ascii="Arial" w:hAnsi="Arial" w:cs="Arial"/>
          <w:sz w:val="22"/>
          <w:szCs w:val="22"/>
        </w:rPr>
        <w:t xml:space="preserve">, 19(11), e367. DOI: 10.2196/jmir.8775. Available at: </w:t>
      </w:r>
      <w:hyperlink r:id="rId31" w:tgtFrame="_new" w:history="1">
        <w:r w:rsidRPr="00B10FD1">
          <w:rPr>
            <w:rStyle w:val="Hyperlink"/>
            <w:rFonts w:ascii="Arial" w:hAnsi="Arial" w:cs="Arial"/>
            <w:sz w:val="22"/>
            <w:szCs w:val="22"/>
          </w:rPr>
          <w:t>https://www.jmir.org/2017/11/e367</w:t>
        </w:r>
      </w:hyperlink>
    </w:p>
    <w:p w14:paraId="389837D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Health Foundation (</w:t>
      </w:r>
      <w:proofErr w:type="gramStart"/>
      <w:r w:rsidRPr="00B10FD1">
        <w:rPr>
          <w:rFonts w:ascii="Arial" w:hAnsi="Arial" w:cs="Arial"/>
          <w:sz w:val="22"/>
          <w:szCs w:val="22"/>
        </w:rPr>
        <w:t>2022) ‘</w:t>
      </w:r>
      <w:proofErr w:type="gramEnd"/>
      <w:r w:rsidRPr="00B10FD1">
        <w:rPr>
          <w:rFonts w:ascii="Arial" w:hAnsi="Arial" w:cs="Arial"/>
          <w:sz w:val="22"/>
          <w:szCs w:val="22"/>
        </w:rPr>
        <w:t xml:space="preserve">The plan for digital health and social care: what will be needed to make it work?’ (Blog). Available at: </w:t>
      </w:r>
      <w:hyperlink r:id="rId32" w:tgtFrame="_new" w:history="1">
        <w:r w:rsidRPr="00B10FD1">
          <w:rPr>
            <w:rStyle w:val="Hyperlink"/>
            <w:rFonts w:ascii="Arial" w:hAnsi="Arial" w:cs="Arial"/>
            <w:sz w:val="22"/>
            <w:szCs w:val="22"/>
          </w:rPr>
          <w:t>https://www.health.org.uk/features-and-opinion/blogs/the-plan-for-digital-health-and-social-care-what-will-be-needed-to</w:t>
        </w:r>
      </w:hyperlink>
      <w:r w:rsidRPr="00B10FD1">
        <w:rPr>
          <w:rFonts w:ascii="Arial" w:hAnsi="Arial" w:cs="Arial"/>
          <w:sz w:val="22"/>
          <w:szCs w:val="22"/>
        </w:rPr>
        <w:t xml:space="preserve"> (Accessed 20 September 2025).</w:t>
      </w:r>
    </w:p>
    <w:p w14:paraId="42A41F0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Health Foundation (2025) ‘Estimated £21 billion required over next 5 years to </w:t>
      </w:r>
      <w:proofErr w:type="spellStart"/>
      <w:r w:rsidRPr="00B10FD1">
        <w:rPr>
          <w:rFonts w:ascii="Arial" w:hAnsi="Arial" w:cs="Arial"/>
          <w:sz w:val="22"/>
          <w:szCs w:val="22"/>
        </w:rPr>
        <w:t>digitise</w:t>
      </w:r>
      <w:proofErr w:type="spellEnd"/>
      <w:r w:rsidRPr="00B10FD1">
        <w:rPr>
          <w:rFonts w:ascii="Arial" w:hAnsi="Arial" w:cs="Arial"/>
          <w:sz w:val="22"/>
          <w:szCs w:val="22"/>
        </w:rPr>
        <w:t xml:space="preserve"> NHS and adult social care across UK’ (Press release). Available at: </w:t>
      </w:r>
      <w:hyperlink r:id="rId33" w:tgtFrame="_new" w:history="1">
        <w:r w:rsidRPr="00B10FD1">
          <w:rPr>
            <w:rStyle w:val="Hyperlink"/>
            <w:rFonts w:ascii="Arial" w:hAnsi="Arial" w:cs="Arial"/>
            <w:sz w:val="22"/>
            <w:szCs w:val="22"/>
          </w:rPr>
          <w:t>https://www.health.org.uk/press-office/press-releases/estimated-21-billion-required-over-next-5-years-to-digitise-nhs-and-adult-social-care-across-uk</w:t>
        </w:r>
      </w:hyperlink>
      <w:r w:rsidRPr="00B10FD1">
        <w:rPr>
          <w:rFonts w:ascii="Arial" w:hAnsi="Arial" w:cs="Arial"/>
          <w:sz w:val="22"/>
          <w:szCs w:val="22"/>
        </w:rPr>
        <w:t xml:space="preserve"> (Accessed 20 September 2025).</w:t>
      </w:r>
    </w:p>
    <w:p w14:paraId="2D475883"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Holt-Lunstad, J. (2024) ‘Social connection as a critical factor for mental and physical health: evidence, trends, challenges, and future implications’, </w:t>
      </w:r>
      <w:r w:rsidRPr="00B10FD1">
        <w:rPr>
          <w:rStyle w:val="Emphasis"/>
          <w:rFonts w:ascii="Arial" w:hAnsi="Arial" w:cs="Arial"/>
          <w:sz w:val="22"/>
          <w:szCs w:val="22"/>
        </w:rPr>
        <w:t>World Psychiatry</w:t>
      </w:r>
      <w:r w:rsidRPr="00B10FD1">
        <w:rPr>
          <w:rFonts w:ascii="Arial" w:hAnsi="Arial" w:cs="Arial"/>
          <w:sz w:val="22"/>
          <w:szCs w:val="22"/>
        </w:rPr>
        <w:t xml:space="preserve">, 23(3), pp. 312–332. DOI: 10.1002/wps.21224. Available at: </w:t>
      </w:r>
      <w:hyperlink r:id="rId34" w:tgtFrame="_new" w:history="1">
        <w:r w:rsidRPr="00B10FD1">
          <w:rPr>
            <w:rStyle w:val="Hyperlink"/>
            <w:rFonts w:ascii="Arial" w:hAnsi="Arial" w:cs="Arial"/>
            <w:sz w:val="22"/>
            <w:szCs w:val="22"/>
          </w:rPr>
          <w:t>https://doi.org/10.1002/wps.21224</w:t>
        </w:r>
      </w:hyperlink>
    </w:p>
    <w:p w14:paraId="251B74E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Havighurst, R. J. (1961). Successful aging1. </w:t>
      </w:r>
      <w:r w:rsidRPr="00B10FD1">
        <w:rPr>
          <w:rFonts w:ascii="Arial" w:hAnsi="Arial" w:cs="Arial"/>
          <w:i/>
          <w:iCs/>
          <w:color w:val="000000" w:themeColor="text1"/>
          <w:sz w:val="22"/>
          <w:szCs w:val="22"/>
        </w:rPr>
        <w:t>The Gerontologist</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1</w:t>
      </w:r>
      <w:r w:rsidRPr="00B10FD1">
        <w:rPr>
          <w:rFonts w:ascii="Arial" w:hAnsi="Arial" w:cs="Arial"/>
          <w:color w:val="000000" w:themeColor="text1"/>
          <w:sz w:val="22"/>
          <w:szCs w:val="22"/>
        </w:rPr>
        <w:t xml:space="preserve">(1), 8–13. </w:t>
      </w:r>
      <w:hyperlink r:id="rId35" w:history="1">
        <w:r w:rsidRPr="00B10FD1">
          <w:rPr>
            <w:rStyle w:val="Hyperlink"/>
            <w:rFonts w:ascii="Arial" w:hAnsi="Arial" w:cs="Arial"/>
            <w:sz w:val="22"/>
            <w:szCs w:val="22"/>
          </w:rPr>
          <w:t>https://doi.org/10.1093/geront/1.1.8</w:t>
        </w:r>
      </w:hyperlink>
      <w:r w:rsidRPr="00B10FD1">
        <w:rPr>
          <w:rStyle w:val="url"/>
          <w:rFonts w:ascii="Arial" w:hAnsi="Arial" w:cs="Arial"/>
          <w:color w:val="000000" w:themeColor="text1"/>
          <w:sz w:val="22"/>
          <w:szCs w:val="22"/>
        </w:rPr>
        <w:t xml:space="preserve"> </w:t>
      </w:r>
    </w:p>
    <w:p w14:paraId="2961920C"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Hearn, A. (2022, November 23). </w:t>
      </w:r>
      <w:r w:rsidRPr="00B10FD1">
        <w:rPr>
          <w:rFonts w:ascii="Arial" w:hAnsi="Arial" w:cs="Arial"/>
          <w:i/>
          <w:iCs/>
          <w:color w:val="000000" w:themeColor="text1"/>
          <w:sz w:val="22"/>
          <w:szCs w:val="22"/>
        </w:rPr>
        <w:t>Launching the 100% Digital Leeds model for a community-based approach to digital inclusion – 100% Digital Leeds</w:t>
      </w:r>
      <w:r w:rsidRPr="00B10FD1">
        <w:rPr>
          <w:rFonts w:ascii="Arial" w:hAnsi="Arial" w:cs="Arial"/>
          <w:color w:val="000000" w:themeColor="text1"/>
          <w:sz w:val="22"/>
          <w:szCs w:val="22"/>
        </w:rPr>
        <w:t xml:space="preserve">. </w:t>
      </w:r>
      <w:hyperlink r:id="rId36" w:history="1">
        <w:r w:rsidRPr="00B10FD1">
          <w:rPr>
            <w:rStyle w:val="Hyperlink"/>
            <w:rFonts w:ascii="Arial" w:hAnsi="Arial" w:cs="Arial"/>
            <w:sz w:val="22"/>
            <w:szCs w:val="22"/>
          </w:rPr>
          <w:t>https://digitalinclusionleeds.com/launching-the-100-digital-leeds-model-for-a-community-based-approach-to-digital-inclusion</w:t>
        </w:r>
      </w:hyperlink>
      <w:r w:rsidRPr="00B10FD1">
        <w:rPr>
          <w:rStyle w:val="url"/>
          <w:rFonts w:ascii="Arial" w:hAnsi="Arial" w:cs="Arial"/>
          <w:color w:val="000000" w:themeColor="text1"/>
          <w:sz w:val="22"/>
          <w:szCs w:val="22"/>
        </w:rPr>
        <w:t xml:space="preserve"> (Accessed: July 17, 2025).</w:t>
      </w:r>
    </w:p>
    <w:p w14:paraId="1F2CAA0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Holt</w:t>
      </w:r>
      <w:r w:rsidRPr="00B10FD1">
        <w:rPr>
          <w:rFonts w:ascii="Cambria Math" w:hAnsi="Cambria Math" w:cs="Cambria Math"/>
          <w:color w:val="000000" w:themeColor="text1"/>
          <w:sz w:val="22"/>
          <w:szCs w:val="22"/>
        </w:rPr>
        <w:t>‐</w:t>
      </w:r>
      <w:r w:rsidRPr="00B10FD1">
        <w:rPr>
          <w:rFonts w:ascii="Arial" w:hAnsi="Arial" w:cs="Arial"/>
          <w:color w:val="000000" w:themeColor="text1"/>
          <w:sz w:val="22"/>
          <w:szCs w:val="22"/>
        </w:rPr>
        <w:t xml:space="preserve">Lunstad, J. (2024). Social connection as a critical factor for mental and physical health: evidence, trends, challenges, and future implications. </w:t>
      </w:r>
      <w:r w:rsidRPr="00B10FD1">
        <w:rPr>
          <w:rFonts w:ascii="Arial" w:hAnsi="Arial" w:cs="Arial"/>
          <w:i/>
          <w:iCs/>
          <w:color w:val="000000" w:themeColor="text1"/>
          <w:sz w:val="22"/>
          <w:szCs w:val="22"/>
        </w:rPr>
        <w:t>World Psychiatry</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23</w:t>
      </w:r>
      <w:r w:rsidRPr="00B10FD1">
        <w:rPr>
          <w:rFonts w:ascii="Arial" w:hAnsi="Arial" w:cs="Arial"/>
          <w:color w:val="000000" w:themeColor="text1"/>
          <w:sz w:val="22"/>
          <w:szCs w:val="22"/>
        </w:rPr>
        <w:t xml:space="preserve">(3), 312–332. </w:t>
      </w:r>
      <w:hyperlink r:id="rId37" w:history="1">
        <w:r w:rsidRPr="00B10FD1">
          <w:rPr>
            <w:rStyle w:val="Hyperlink"/>
            <w:rFonts w:ascii="Arial" w:hAnsi="Arial" w:cs="Arial"/>
            <w:sz w:val="22"/>
            <w:szCs w:val="22"/>
          </w:rPr>
          <w:t>https://doi.org/10.1002/wps.21224</w:t>
        </w:r>
      </w:hyperlink>
      <w:r w:rsidRPr="00B10FD1">
        <w:rPr>
          <w:rStyle w:val="url"/>
          <w:rFonts w:ascii="Arial" w:hAnsi="Arial" w:cs="Arial"/>
          <w:color w:val="000000" w:themeColor="text1"/>
          <w:sz w:val="22"/>
          <w:szCs w:val="22"/>
        </w:rPr>
        <w:t xml:space="preserve"> </w:t>
      </w:r>
    </w:p>
    <w:p w14:paraId="0F84B0CF"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Jentoft, E. E. (2023). Technology and older adults in British loneliness policy and political discourse. </w:t>
      </w:r>
      <w:r w:rsidRPr="00B10FD1">
        <w:rPr>
          <w:rFonts w:ascii="Arial" w:hAnsi="Arial" w:cs="Arial"/>
          <w:i/>
          <w:iCs/>
          <w:color w:val="000000" w:themeColor="text1"/>
          <w:sz w:val="22"/>
          <w:szCs w:val="22"/>
        </w:rPr>
        <w:t>Frontiers in Digital Health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5</w:t>
      </w:r>
      <w:r w:rsidRPr="00B10FD1">
        <w:rPr>
          <w:rFonts w:ascii="Arial" w:hAnsi="Arial" w:cs="Arial"/>
          <w:color w:val="000000" w:themeColor="text1"/>
          <w:sz w:val="22"/>
          <w:szCs w:val="22"/>
        </w:rPr>
        <w:t xml:space="preserve">. </w:t>
      </w:r>
      <w:hyperlink r:id="rId38" w:history="1">
        <w:r w:rsidRPr="00B10FD1">
          <w:rPr>
            <w:rStyle w:val="Hyperlink"/>
            <w:rFonts w:ascii="Arial" w:hAnsi="Arial" w:cs="Arial"/>
            <w:sz w:val="22"/>
            <w:szCs w:val="22"/>
          </w:rPr>
          <w:t>https://doi.org/10.3389/fdgth.2023.1168413</w:t>
        </w:r>
      </w:hyperlink>
      <w:r w:rsidRPr="00B10FD1">
        <w:rPr>
          <w:rStyle w:val="url"/>
          <w:rFonts w:ascii="Arial" w:hAnsi="Arial" w:cs="Arial"/>
          <w:color w:val="000000" w:themeColor="text1"/>
          <w:sz w:val="22"/>
          <w:szCs w:val="22"/>
        </w:rPr>
        <w:t xml:space="preserve"> </w:t>
      </w:r>
    </w:p>
    <w:p w14:paraId="707FA0E1"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lastRenderedPageBreak/>
        <w:t xml:space="preserve">Jones, I. R., Hyde, M., Victor, C. R., Wiggins, R. D., </w:t>
      </w:r>
      <w:proofErr w:type="spellStart"/>
      <w:r w:rsidRPr="00B10FD1">
        <w:rPr>
          <w:rFonts w:ascii="Arial" w:hAnsi="Arial" w:cs="Arial"/>
          <w:color w:val="000000" w:themeColor="text1"/>
          <w:sz w:val="22"/>
          <w:szCs w:val="22"/>
        </w:rPr>
        <w:t>Gilleard</w:t>
      </w:r>
      <w:proofErr w:type="spellEnd"/>
      <w:r w:rsidRPr="00B10FD1">
        <w:rPr>
          <w:rFonts w:ascii="Arial" w:hAnsi="Arial" w:cs="Arial"/>
          <w:color w:val="000000" w:themeColor="text1"/>
          <w:sz w:val="22"/>
          <w:szCs w:val="22"/>
        </w:rPr>
        <w:t xml:space="preserve">, C., &amp; Higgs, P. (2008). The historical evolution of the third age. In </w:t>
      </w:r>
      <w:r w:rsidRPr="00B10FD1">
        <w:rPr>
          <w:rFonts w:ascii="Arial" w:hAnsi="Arial" w:cs="Arial"/>
          <w:i/>
          <w:iCs/>
          <w:color w:val="000000" w:themeColor="text1"/>
          <w:sz w:val="22"/>
          <w:szCs w:val="22"/>
        </w:rPr>
        <w:t>Policy Press eBooks</w:t>
      </w:r>
      <w:r w:rsidRPr="00B10FD1">
        <w:rPr>
          <w:rFonts w:ascii="Arial" w:hAnsi="Arial" w:cs="Arial"/>
          <w:color w:val="000000" w:themeColor="text1"/>
          <w:sz w:val="22"/>
          <w:szCs w:val="22"/>
        </w:rPr>
        <w:t xml:space="preserve"> (pp. 13–28). </w:t>
      </w:r>
      <w:hyperlink r:id="rId39" w:history="1">
        <w:r w:rsidRPr="00B10FD1">
          <w:rPr>
            <w:rStyle w:val="Hyperlink"/>
            <w:rFonts w:ascii="Arial" w:hAnsi="Arial" w:cs="Arial"/>
            <w:sz w:val="22"/>
            <w:szCs w:val="22"/>
          </w:rPr>
          <w:t>https://doi.org/10.51952/9781847423627.ch002</w:t>
        </w:r>
      </w:hyperlink>
      <w:r w:rsidRPr="00B10FD1">
        <w:rPr>
          <w:rStyle w:val="url"/>
          <w:rFonts w:ascii="Arial" w:hAnsi="Arial" w:cs="Arial"/>
          <w:color w:val="000000" w:themeColor="text1"/>
          <w:sz w:val="22"/>
          <w:szCs w:val="22"/>
        </w:rPr>
        <w:t xml:space="preserve"> </w:t>
      </w:r>
    </w:p>
    <w:p w14:paraId="6B4BD3F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Jentoft, E.E. (2023) ‘Technology and older adults in British loneliness policy and political discourse’, </w:t>
      </w:r>
      <w:r w:rsidRPr="00B10FD1">
        <w:rPr>
          <w:rStyle w:val="Emphasis"/>
          <w:rFonts w:ascii="Arial" w:hAnsi="Arial" w:cs="Arial"/>
          <w:sz w:val="22"/>
          <w:szCs w:val="22"/>
        </w:rPr>
        <w:t>Frontiers in Digital Health</w:t>
      </w:r>
      <w:r w:rsidRPr="00B10FD1">
        <w:rPr>
          <w:rFonts w:ascii="Arial" w:hAnsi="Arial" w:cs="Arial"/>
          <w:sz w:val="22"/>
          <w:szCs w:val="22"/>
        </w:rPr>
        <w:t xml:space="preserve">, 5, 1168413. DOI: 10.3389/fdgth.2023.1168413. Available at: </w:t>
      </w:r>
      <w:hyperlink r:id="rId40" w:history="1">
        <w:r w:rsidRPr="00B10FD1">
          <w:rPr>
            <w:rStyle w:val="Hyperlink"/>
            <w:rFonts w:ascii="Arial" w:hAnsi="Arial" w:cs="Arial"/>
            <w:sz w:val="22"/>
            <w:szCs w:val="22"/>
          </w:rPr>
          <w:t>https://www.frontiersin.org/articles/10.3389/fdgth.2023.1168413/full</w:t>
        </w:r>
      </w:hyperlink>
      <w:r w:rsidRPr="00B10FD1">
        <w:rPr>
          <w:rFonts w:ascii="Arial" w:hAnsi="Arial" w:cs="Arial"/>
          <w:sz w:val="22"/>
          <w:szCs w:val="22"/>
        </w:rPr>
        <w:t xml:space="preserve"> </w:t>
      </w:r>
    </w:p>
    <w:p w14:paraId="570FB13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color w:val="000000" w:themeColor="text1"/>
          <w:sz w:val="22"/>
          <w:szCs w:val="22"/>
        </w:rPr>
        <w:t>Khavinson</w:t>
      </w:r>
      <w:proofErr w:type="spellEnd"/>
      <w:r w:rsidRPr="00B10FD1">
        <w:rPr>
          <w:rFonts w:ascii="Arial" w:hAnsi="Arial" w:cs="Arial"/>
          <w:color w:val="000000" w:themeColor="text1"/>
          <w:sz w:val="22"/>
          <w:szCs w:val="22"/>
        </w:rPr>
        <w:t xml:space="preserve">, V., Popovich, I., &amp; Mikhailova, O. (2020). Towards realization of longer life. </w:t>
      </w:r>
      <w:r w:rsidRPr="00B10FD1">
        <w:rPr>
          <w:rFonts w:ascii="Arial" w:hAnsi="Arial" w:cs="Arial"/>
          <w:i/>
          <w:iCs/>
          <w:color w:val="000000" w:themeColor="text1"/>
          <w:sz w:val="22"/>
          <w:szCs w:val="22"/>
        </w:rPr>
        <w:t>Acta Bio-</w:t>
      </w:r>
      <w:proofErr w:type="gramStart"/>
      <w:r w:rsidRPr="00B10FD1">
        <w:rPr>
          <w:rFonts w:ascii="Arial" w:hAnsi="Arial" w:cs="Arial"/>
          <w:i/>
          <w:iCs/>
          <w:color w:val="000000" w:themeColor="text1"/>
          <w:sz w:val="22"/>
          <w:szCs w:val="22"/>
        </w:rPr>
        <w:t>medica :</w:t>
      </w:r>
      <w:proofErr w:type="gramEnd"/>
      <w:r w:rsidRPr="00B10FD1">
        <w:rPr>
          <w:rFonts w:ascii="Arial" w:hAnsi="Arial" w:cs="Arial"/>
          <w:i/>
          <w:iCs/>
          <w:color w:val="000000" w:themeColor="text1"/>
          <w:sz w:val="22"/>
          <w:szCs w:val="22"/>
        </w:rPr>
        <w:t xml:space="preserve"> </w:t>
      </w:r>
      <w:proofErr w:type="spellStart"/>
      <w:r w:rsidRPr="00B10FD1">
        <w:rPr>
          <w:rFonts w:ascii="Arial" w:hAnsi="Arial" w:cs="Arial"/>
          <w:i/>
          <w:iCs/>
          <w:color w:val="000000" w:themeColor="text1"/>
          <w:sz w:val="22"/>
          <w:szCs w:val="22"/>
        </w:rPr>
        <w:t>Atenei</w:t>
      </w:r>
      <w:proofErr w:type="spellEnd"/>
      <w:r w:rsidRPr="00B10FD1">
        <w:rPr>
          <w:rFonts w:ascii="Arial" w:hAnsi="Arial" w:cs="Arial"/>
          <w:i/>
          <w:iCs/>
          <w:color w:val="000000" w:themeColor="text1"/>
          <w:sz w:val="22"/>
          <w:szCs w:val="22"/>
        </w:rPr>
        <w:t xml:space="preserve"> </w:t>
      </w:r>
      <w:proofErr w:type="spellStart"/>
      <w:r w:rsidRPr="00B10FD1">
        <w:rPr>
          <w:rFonts w:ascii="Arial" w:hAnsi="Arial" w:cs="Arial"/>
          <w:i/>
          <w:iCs/>
          <w:color w:val="000000" w:themeColor="text1"/>
          <w:sz w:val="22"/>
          <w:szCs w:val="22"/>
        </w:rPr>
        <w:t>Parmensis</w:t>
      </w:r>
      <w:proofErr w:type="spellEnd"/>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91</w:t>
      </w:r>
      <w:r w:rsidRPr="00B10FD1">
        <w:rPr>
          <w:rFonts w:ascii="Arial" w:hAnsi="Arial" w:cs="Arial"/>
          <w:color w:val="000000" w:themeColor="text1"/>
          <w:sz w:val="22"/>
          <w:szCs w:val="22"/>
        </w:rPr>
        <w:t xml:space="preserve">(3). </w:t>
      </w:r>
      <w:hyperlink r:id="rId41" w:history="1">
        <w:r w:rsidRPr="00B10FD1">
          <w:rPr>
            <w:rStyle w:val="Hyperlink"/>
            <w:rFonts w:ascii="Arial" w:hAnsi="Arial" w:cs="Arial"/>
            <w:sz w:val="22"/>
            <w:szCs w:val="22"/>
          </w:rPr>
          <w:t>https://doi.org/10.23750/abm.v91i3.10079</w:t>
        </w:r>
      </w:hyperlink>
      <w:r w:rsidRPr="00B10FD1">
        <w:rPr>
          <w:rStyle w:val="url"/>
          <w:rFonts w:ascii="Arial" w:hAnsi="Arial" w:cs="Arial"/>
          <w:color w:val="000000" w:themeColor="text1"/>
          <w:sz w:val="22"/>
          <w:szCs w:val="22"/>
        </w:rPr>
        <w:t xml:space="preserve"> </w:t>
      </w:r>
    </w:p>
    <w:p w14:paraId="100ED9B6"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color w:val="000000" w:themeColor="text1"/>
          <w:sz w:val="22"/>
          <w:szCs w:val="22"/>
        </w:rPr>
        <w:t>Kunonga</w:t>
      </w:r>
      <w:proofErr w:type="spellEnd"/>
      <w:r w:rsidRPr="00B10FD1">
        <w:rPr>
          <w:rFonts w:ascii="Arial" w:hAnsi="Arial" w:cs="Arial"/>
          <w:color w:val="000000" w:themeColor="text1"/>
          <w:sz w:val="22"/>
          <w:szCs w:val="22"/>
        </w:rPr>
        <w:t xml:space="preserve">, T. P., Spiers, G. F., Beyer, F. R., Hanratty, B., Boulton, E., Hall, A., Bower, P., Todd, C., &amp; Craig, D. (2021). Effects of digital technologies on older people’s access to health and social care: Umbrella review. </w:t>
      </w:r>
      <w:r w:rsidRPr="00B10FD1">
        <w:rPr>
          <w:rFonts w:ascii="Arial" w:hAnsi="Arial" w:cs="Arial"/>
          <w:i/>
          <w:iCs/>
          <w:color w:val="000000" w:themeColor="text1"/>
          <w:sz w:val="22"/>
          <w:szCs w:val="22"/>
        </w:rPr>
        <w:t>Journal of Medical Internet Research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23</w:t>
      </w:r>
      <w:r w:rsidRPr="00B10FD1">
        <w:rPr>
          <w:rFonts w:ascii="Arial" w:hAnsi="Arial" w:cs="Arial"/>
          <w:color w:val="000000" w:themeColor="text1"/>
          <w:sz w:val="22"/>
          <w:szCs w:val="22"/>
        </w:rPr>
        <w:t xml:space="preserve">(11), e25887. </w:t>
      </w:r>
      <w:hyperlink r:id="rId42" w:history="1">
        <w:r w:rsidRPr="00B10FD1">
          <w:rPr>
            <w:rStyle w:val="Hyperlink"/>
            <w:rFonts w:ascii="Arial" w:hAnsi="Arial" w:cs="Arial"/>
            <w:sz w:val="22"/>
            <w:szCs w:val="22"/>
          </w:rPr>
          <w:t>https://doi.org/10.2196/25887</w:t>
        </w:r>
      </w:hyperlink>
      <w:r w:rsidRPr="00B10FD1">
        <w:rPr>
          <w:rStyle w:val="url"/>
          <w:rFonts w:ascii="Arial" w:hAnsi="Arial" w:cs="Arial"/>
          <w:color w:val="000000" w:themeColor="text1"/>
          <w:sz w:val="22"/>
          <w:szCs w:val="22"/>
        </w:rPr>
        <w:t xml:space="preserve"> </w:t>
      </w:r>
    </w:p>
    <w:p w14:paraId="24C2D437"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sz w:val="22"/>
          <w:szCs w:val="22"/>
        </w:rPr>
        <w:t>Kunonga</w:t>
      </w:r>
      <w:proofErr w:type="spellEnd"/>
      <w:r w:rsidRPr="00B10FD1">
        <w:rPr>
          <w:rFonts w:ascii="Arial" w:hAnsi="Arial" w:cs="Arial"/>
          <w:sz w:val="22"/>
          <w:szCs w:val="22"/>
        </w:rPr>
        <w:t>, T.P., Spiers, G.F., Beyer, F.R., Hanratty, B., Boulton, E., Hall, A., Bower, P., Todd, C. and Craig, D. (</w:t>
      </w:r>
      <w:proofErr w:type="gramStart"/>
      <w:r w:rsidRPr="00B10FD1">
        <w:rPr>
          <w:rFonts w:ascii="Arial" w:hAnsi="Arial" w:cs="Arial"/>
          <w:sz w:val="22"/>
          <w:szCs w:val="22"/>
        </w:rPr>
        <w:t>2021) ‘</w:t>
      </w:r>
      <w:proofErr w:type="gramEnd"/>
      <w:r w:rsidRPr="00B10FD1">
        <w:rPr>
          <w:rFonts w:ascii="Arial" w:hAnsi="Arial" w:cs="Arial"/>
          <w:sz w:val="22"/>
          <w:szCs w:val="22"/>
        </w:rPr>
        <w:t xml:space="preserve">Effects of digital technologies on older people’s access to health and social care: an umbrella review’, </w:t>
      </w:r>
      <w:r w:rsidRPr="00B10FD1">
        <w:rPr>
          <w:rStyle w:val="Emphasis"/>
          <w:rFonts w:ascii="Arial" w:hAnsi="Arial" w:cs="Arial"/>
          <w:sz w:val="22"/>
          <w:szCs w:val="22"/>
        </w:rPr>
        <w:t>Journal of Medical Internet Research</w:t>
      </w:r>
      <w:r w:rsidRPr="00B10FD1">
        <w:rPr>
          <w:rFonts w:ascii="Arial" w:hAnsi="Arial" w:cs="Arial"/>
          <w:sz w:val="22"/>
          <w:szCs w:val="22"/>
        </w:rPr>
        <w:t xml:space="preserve">, 23(11), e25887. DOI: 10.2196/25887. Available at: </w:t>
      </w:r>
      <w:hyperlink r:id="rId43" w:tgtFrame="_new" w:history="1">
        <w:r w:rsidRPr="00B10FD1">
          <w:rPr>
            <w:rStyle w:val="Hyperlink"/>
            <w:rFonts w:ascii="Arial" w:hAnsi="Arial" w:cs="Arial"/>
            <w:sz w:val="22"/>
            <w:szCs w:val="22"/>
          </w:rPr>
          <w:t>https://www.jmir.org/2021/11/e25887</w:t>
        </w:r>
      </w:hyperlink>
    </w:p>
    <w:p w14:paraId="6154053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Libraries Connected (2024) </w:t>
      </w:r>
      <w:r w:rsidRPr="00B10FD1">
        <w:rPr>
          <w:rStyle w:val="Emphasis"/>
          <w:rFonts w:ascii="Arial" w:hAnsi="Arial" w:cs="Arial"/>
          <w:sz w:val="22"/>
          <w:szCs w:val="22"/>
        </w:rPr>
        <w:t>Libraries for Living, and for Living Better</w:t>
      </w:r>
      <w:r w:rsidRPr="00B10FD1">
        <w:rPr>
          <w:rFonts w:ascii="Arial" w:hAnsi="Arial" w:cs="Arial"/>
          <w:sz w:val="22"/>
          <w:szCs w:val="22"/>
        </w:rPr>
        <w:t xml:space="preserve">. Available at: </w:t>
      </w:r>
      <w:hyperlink r:id="rId44" w:tgtFrame="_new" w:history="1">
        <w:r w:rsidRPr="00B10FD1">
          <w:rPr>
            <w:rStyle w:val="Hyperlink"/>
            <w:rFonts w:ascii="Arial" w:hAnsi="Arial" w:cs="Arial"/>
            <w:sz w:val="22"/>
            <w:szCs w:val="22"/>
          </w:rPr>
          <w:t>https://www.librariesconnected.org.uk/sites/default/files/2024-10/Libraries%20for%20Living%2C%20and%20for%20Living%20Better.pdf</w:t>
        </w:r>
      </w:hyperlink>
      <w:r w:rsidRPr="00B10FD1">
        <w:rPr>
          <w:rFonts w:ascii="Arial" w:hAnsi="Arial" w:cs="Arial"/>
          <w:sz w:val="22"/>
          <w:szCs w:val="22"/>
        </w:rPr>
        <w:t xml:space="preserve"> (Accessed 20 September 2025).</w:t>
      </w:r>
    </w:p>
    <w:p w14:paraId="6F580004"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r w:rsidRPr="00B10FD1">
        <w:rPr>
          <w:rFonts w:ascii="Arial" w:hAnsi="Arial" w:cs="Arial"/>
          <w:sz w:val="22"/>
          <w:szCs w:val="22"/>
        </w:rPr>
        <w:t xml:space="preserve">Lin, S.-T., Chen, Y.-M., Hsu, Y.-C., Wang, R.-H., Wu, S.-C. and Lin, L.-J. (2020) ‘Effects of a smartphone-based videoconferencing program for older nursing home residents’, </w:t>
      </w:r>
      <w:r w:rsidRPr="00B10FD1">
        <w:rPr>
          <w:rStyle w:val="Emphasis"/>
          <w:rFonts w:ascii="Arial" w:hAnsi="Arial" w:cs="Arial"/>
          <w:sz w:val="22"/>
          <w:szCs w:val="22"/>
        </w:rPr>
        <w:t>BMC Geriatrics</w:t>
      </w:r>
      <w:r w:rsidRPr="00B10FD1">
        <w:rPr>
          <w:rFonts w:ascii="Arial" w:hAnsi="Arial" w:cs="Arial"/>
          <w:sz w:val="22"/>
          <w:szCs w:val="22"/>
        </w:rPr>
        <w:t xml:space="preserve">, 20, 27. DOI: 10.1186/s12877-020-1426-2. Available at: </w:t>
      </w:r>
      <w:hyperlink r:id="rId45" w:tgtFrame="_new" w:history="1">
        <w:r w:rsidRPr="00B10FD1">
          <w:rPr>
            <w:rStyle w:val="Hyperlink"/>
            <w:rFonts w:ascii="Arial" w:hAnsi="Arial" w:cs="Arial"/>
            <w:sz w:val="22"/>
            <w:szCs w:val="22"/>
          </w:rPr>
          <w:t>https://link.springer.com/content/pdf/10.1186/s12877-020-1426-2.pdf</w:t>
        </w:r>
      </w:hyperlink>
    </w:p>
    <w:p w14:paraId="1E0583C7"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rPr>
      </w:pPr>
      <w:r w:rsidRPr="00B10FD1">
        <w:rPr>
          <w:rFonts w:ascii="Arial" w:hAnsi="Arial" w:cs="Arial"/>
        </w:rPr>
        <w:t>Lewin, S., Booth, A., Glenton, C., et al. (2018). Applying GRADE-</w:t>
      </w:r>
      <w:proofErr w:type="spellStart"/>
      <w:r w:rsidRPr="00B10FD1">
        <w:rPr>
          <w:rFonts w:ascii="Arial" w:hAnsi="Arial" w:cs="Arial"/>
        </w:rPr>
        <w:t>CERQual</w:t>
      </w:r>
      <w:proofErr w:type="spellEnd"/>
      <w:r w:rsidRPr="00B10FD1">
        <w:rPr>
          <w:rFonts w:ascii="Arial" w:hAnsi="Arial" w:cs="Arial"/>
        </w:rPr>
        <w:t xml:space="preserve"> to qualitative evidence synthesis findings. </w:t>
      </w:r>
      <w:r w:rsidRPr="00B10FD1">
        <w:rPr>
          <w:rFonts w:ascii="Arial" w:hAnsi="Arial" w:cs="Arial"/>
          <w:i/>
          <w:iCs/>
        </w:rPr>
        <w:t>Implementation Science, 13</w:t>
      </w:r>
      <w:r w:rsidRPr="00B10FD1">
        <w:rPr>
          <w:rFonts w:ascii="Arial" w:hAnsi="Arial" w:cs="Arial"/>
        </w:rPr>
        <w:t xml:space="preserve">(Suppl 1), 2–10. </w:t>
      </w:r>
      <w:hyperlink r:id="rId46" w:history="1">
        <w:r w:rsidRPr="00B10FD1">
          <w:rPr>
            <w:rStyle w:val="Hyperlink"/>
            <w:rFonts w:ascii="Arial" w:hAnsi="Arial" w:cs="Arial"/>
          </w:rPr>
          <w:t>https://doi.org/10.1186/s13012-017-0688-3</w:t>
        </w:r>
      </w:hyperlink>
    </w:p>
    <w:p w14:paraId="549D398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rPr>
        <w:t xml:space="preserve">Lockwood, C., Munn, Z., &amp; Porritt, K. (2015). Qualitative research synthesis: methodological guidance for systematic reviewers utilizing JBI methods. </w:t>
      </w:r>
      <w:r w:rsidRPr="00B10FD1">
        <w:rPr>
          <w:rFonts w:ascii="Arial" w:hAnsi="Arial" w:cs="Arial"/>
          <w:i/>
          <w:iCs/>
        </w:rPr>
        <w:t>International Journal of Evidence-Based Healthcare, 13</w:t>
      </w:r>
      <w:r w:rsidRPr="00B10FD1">
        <w:rPr>
          <w:rFonts w:ascii="Arial" w:hAnsi="Arial" w:cs="Arial"/>
        </w:rPr>
        <w:t xml:space="preserve">(3), 179–187. </w:t>
      </w:r>
      <w:hyperlink r:id="rId47" w:history="1">
        <w:r w:rsidRPr="00B10FD1">
          <w:rPr>
            <w:rStyle w:val="Hyperlink"/>
            <w:rFonts w:ascii="Arial" w:hAnsi="Arial" w:cs="Arial"/>
          </w:rPr>
          <w:t>https://doi.org/10.1097/XEB.0000000000000062</w:t>
        </w:r>
      </w:hyperlink>
    </w:p>
    <w:p w14:paraId="2EB55194"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lastRenderedPageBreak/>
        <w:t xml:space="preserve">National Academies Press (US). (2020, February 27). </w:t>
      </w:r>
      <w:r w:rsidRPr="00B10FD1">
        <w:rPr>
          <w:rFonts w:ascii="Arial" w:hAnsi="Arial" w:cs="Arial"/>
          <w:i/>
          <w:iCs/>
          <w:color w:val="000000" w:themeColor="text1"/>
          <w:sz w:val="22"/>
          <w:szCs w:val="22"/>
        </w:rPr>
        <w:t>Introduction</w:t>
      </w:r>
      <w:r w:rsidRPr="00B10FD1">
        <w:rPr>
          <w:rFonts w:ascii="Arial" w:hAnsi="Arial" w:cs="Arial"/>
          <w:color w:val="000000" w:themeColor="text1"/>
          <w:sz w:val="22"/>
          <w:szCs w:val="22"/>
        </w:rPr>
        <w:t xml:space="preserve">. Social Isolation and Loneliness in Older Adults - NCBI Bookshelf. </w:t>
      </w:r>
      <w:hyperlink r:id="rId48" w:history="1">
        <w:r w:rsidRPr="00B10FD1">
          <w:rPr>
            <w:rStyle w:val="Hyperlink"/>
            <w:rFonts w:ascii="Arial" w:hAnsi="Arial" w:cs="Arial"/>
            <w:sz w:val="22"/>
            <w:szCs w:val="22"/>
          </w:rPr>
          <w:t>https://www.ncbi.nlm.nih.gov/books/NBK557969/</w:t>
        </w:r>
      </w:hyperlink>
      <w:r w:rsidRPr="00B10FD1">
        <w:rPr>
          <w:rStyle w:val="url"/>
          <w:rFonts w:ascii="Arial" w:hAnsi="Arial" w:cs="Arial"/>
          <w:color w:val="000000" w:themeColor="text1"/>
          <w:sz w:val="22"/>
          <w:szCs w:val="22"/>
        </w:rPr>
        <w:t xml:space="preserve"> (Accessed: July 17, 2025).</w:t>
      </w:r>
    </w:p>
    <w:p w14:paraId="7D076A9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NHS England. (2022, June 29). </w:t>
      </w:r>
      <w:r w:rsidRPr="00B10FD1">
        <w:rPr>
          <w:rFonts w:ascii="Arial" w:hAnsi="Arial" w:cs="Arial"/>
          <w:i/>
          <w:iCs/>
          <w:color w:val="000000" w:themeColor="text1"/>
          <w:sz w:val="22"/>
          <w:szCs w:val="22"/>
        </w:rPr>
        <w:t>A plan for digital health and social care</w:t>
      </w:r>
      <w:r w:rsidRPr="00B10FD1">
        <w:rPr>
          <w:rFonts w:ascii="Arial" w:hAnsi="Arial" w:cs="Arial"/>
          <w:color w:val="000000" w:themeColor="text1"/>
          <w:sz w:val="22"/>
          <w:szCs w:val="22"/>
        </w:rPr>
        <w:t xml:space="preserve">. GOV.UK. </w:t>
      </w:r>
      <w:hyperlink r:id="rId49" w:history="1">
        <w:r w:rsidRPr="00B10FD1">
          <w:rPr>
            <w:rStyle w:val="Hyperlink"/>
            <w:rFonts w:ascii="Arial" w:hAnsi="Arial" w:cs="Arial"/>
            <w:sz w:val="22"/>
            <w:szCs w:val="22"/>
          </w:rPr>
          <w:t>https://www.gov.uk/government/publications/a-plan-for-digital-health-and-social-care/a-plan-for-digital-health-and-social-care</w:t>
        </w:r>
      </w:hyperlink>
      <w:r w:rsidRPr="00B10FD1">
        <w:rPr>
          <w:rStyle w:val="url"/>
          <w:rFonts w:ascii="Arial" w:hAnsi="Arial" w:cs="Arial"/>
          <w:color w:val="000000" w:themeColor="text1"/>
          <w:sz w:val="22"/>
          <w:szCs w:val="22"/>
        </w:rPr>
        <w:t xml:space="preserve"> (Accessed: July 17, 2025).</w:t>
      </w:r>
    </w:p>
    <w:p w14:paraId="2090015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NHS England. (2023a). </w:t>
      </w:r>
      <w:r w:rsidRPr="00B10FD1">
        <w:rPr>
          <w:rFonts w:ascii="Arial" w:hAnsi="Arial" w:cs="Arial"/>
          <w:i/>
          <w:iCs/>
          <w:color w:val="000000" w:themeColor="text1"/>
          <w:sz w:val="22"/>
          <w:szCs w:val="22"/>
        </w:rPr>
        <w:t>NHS England » Inclusive digital healthcare: a framework for NHS action on digital inclusion</w:t>
      </w:r>
      <w:r w:rsidRPr="00B10FD1">
        <w:rPr>
          <w:rFonts w:ascii="Arial" w:hAnsi="Arial" w:cs="Arial"/>
          <w:color w:val="000000" w:themeColor="text1"/>
          <w:sz w:val="22"/>
          <w:szCs w:val="22"/>
        </w:rPr>
        <w:t xml:space="preserve">. </w:t>
      </w:r>
      <w:hyperlink r:id="rId50" w:history="1">
        <w:r w:rsidRPr="00B10FD1">
          <w:rPr>
            <w:rStyle w:val="Hyperlink"/>
            <w:rFonts w:ascii="Arial" w:hAnsi="Arial" w:cs="Arial"/>
            <w:sz w:val="22"/>
            <w:szCs w:val="22"/>
          </w:rPr>
          <w:t>https://www.england.nhs.uk/long-read/inclusive-digital-healthcare-a-framework-for-nhs-action-on-digital-inclusion/</w:t>
        </w:r>
      </w:hyperlink>
      <w:r w:rsidRPr="00B10FD1">
        <w:rPr>
          <w:rStyle w:val="url"/>
          <w:rFonts w:ascii="Arial" w:hAnsi="Arial" w:cs="Arial"/>
          <w:color w:val="000000" w:themeColor="text1"/>
          <w:sz w:val="22"/>
          <w:szCs w:val="22"/>
        </w:rPr>
        <w:t xml:space="preserve"> (Accessed: July 17, 2025).</w:t>
      </w:r>
    </w:p>
    <w:p w14:paraId="4F8F1C39"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NHS England. (2023b). </w:t>
      </w:r>
      <w:r w:rsidRPr="00B10FD1">
        <w:rPr>
          <w:rFonts w:ascii="Arial" w:hAnsi="Arial" w:cs="Arial"/>
          <w:i/>
          <w:iCs/>
          <w:color w:val="000000" w:themeColor="text1"/>
          <w:sz w:val="22"/>
          <w:szCs w:val="22"/>
        </w:rPr>
        <w:t>NHS England » Milestones of the NHS</w:t>
      </w:r>
      <w:r w:rsidRPr="00B10FD1">
        <w:rPr>
          <w:rFonts w:ascii="Arial" w:hAnsi="Arial" w:cs="Arial"/>
          <w:color w:val="000000" w:themeColor="text1"/>
          <w:sz w:val="22"/>
          <w:szCs w:val="22"/>
        </w:rPr>
        <w:t xml:space="preserve">. </w:t>
      </w:r>
      <w:hyperlink r:id="rId51" w:history="1">
        <w:r w:rsidRPr="00B10FD1">
          <w:rPr>
            <w:rStyle w:val="Hyperlink"/>
            <w:rFonts w:ascii="Arial" w:hAnsi="Arial" w:cs="Arial"/>
            <w:sz w:val="22"/>
            <w:szCs w:val="22"/>
          </w:rPr>
          <w:t>https://www.england.nhs.uk/about/nhs-history/</w:t>
        </w:r>
      </w:hyperlink>
      <w:r w:rsidRPr="00B10FD1">
        <w:rPr>
          <w:rStyle w:val="url"/>
          <w:rFonts w:ascii="Arial" w:hAnsi="Arial" w:cs="Arial"/>
          <w:color w:val="000000" w:themeColor="text1"/>
          <w:sz w:val="22"/>
          <w:szCs w:val="22"/>
        </w:rPr>
        <w:t xml:space="preserve"> (Accessed: July 17, 2025).</w:t>
      </w:r>
    </w:p>
    <w:p w14:paraId="403A9F75"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National Academies of Sciences, Engineering, and Medicine (NASEM) (2020) </w:t>
      </w:r>
      <w:r w:rsidRPr="00B10FD1">
        <w:rPr>
          <w:rStyle w:val="Emphasis"/>
          <w:rFonts w:ascii="Arial" w:hAnsi="Arial" w:cs="Arial"/>
          <w:sz w:val="22"/>
          <w:szCs w:val="22"/>
        </w:rPr>
        <w:t>Social Isolation and Loneliness in Older Adults: Opportunities for the Health Care System</w:t>
      </w:r>
      <w:r w:rsidRPr="00B10FD1">
        <w:rPr>
          <w:rFonts w:ascii="Arial" w:hAnsi="Arial" w:cs="Arial"/>
          <w:sz w:val="22"/>
          <w:szCs w:val="22"/>
        </w:rPr>
        <w:t xml:space="preserve">. Washington, DC: National Academies Press. DOI: 10.17226/25663. Available at: </w:t>
      </w:r>
      <w:hyperlink r:id="rId52" w:history="1">
        <w:r w:rsidRPr="00B10FD1">
          <w:rPr>
            <w:rStyle w:val="Hyperlink"/>
            <w:rFonts w:ascii="Arial" w:hAnsi="Arial" w:cs="Arial"/>
            <w:sz w:val="22"/>
            <w:szCs w:val="22"/>
          </w:rPr>
          <w:t>https://nap.nationalacademies.org/catalog/25663</w:t>
        </w:r>
      </w:hyperlink>
    </w:p>
    <w:p w14:paraId="240422CC"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NHS England (2023; updated 2024) </w:t>
      </w:r>
      <w:r w:rsidRPr="00B10FD1">
        <w:rPr>
          <w:rStyle w:val="Emphasis"/>
          <w:rFonts w:ascii="Arial" w:hAnsi="Arial" w:cs="Arial"/>
          <w:sz w:val="22"/>
          <w:szCs w:val="22"/>
        </w:rPr>
        <w:t>Inclusive digital healthcare: a framework for NHS action on digital inclusion</w:t>
      </w:r>
      <w:r w:rsidRPr="00B10FD1">
        <w:rPr>
          <w:rFonts w:ascii="Arial" w:hAnsi="Arial" w:cs="Arial"/>
          <w:sz w:val="22"/>
          <w:szCs w:val="22"/>
        </w:rPr>
        <w:t xml:space="preserve">. Available at: </w:t>
      </w:r>
      <w:hyperlink r:id="rId53" w:tgtFrame="_new" w:history="1">
        <w:r w:rsidRPr="00B10FD1">
          <w:rPr>
            <w:rStyle w:val="Hyperlink"/>
            <w:rFonts w:ascii="Arial" w:hAnsi="Arial" w:cs="Arial"/>
            <w:sz w:val="22"/>
            <w:szCs w:val="22"/>
          </w:rPr>
          <w:t>https://www.england.nhs.uk/long-read/inclusive-digital-healthcare-a-framework-for-nhs-action-on-digital-inclusion/</w:t>
        </w:r>
      </w:hyperlink>
      <w:r w:rsidRPr="00B10FD1">
        <w:rPr>
          <w:rFonts w:ascii="Arial" w:hAnsi="Arial" w:cs="Arial"/>
          <w:sz w:val="22"/>
          <w:szCs w:val="22"/>
        </w:rPr>
        <w:t xml:space="preserve"> (Accessed 20 September 2025).</w:t>
      </w:r>
    </w:p>
    <w:p w14:paraId="4DB7B70A" w14:textId="77777777" w:rsidR="006041C3" w:rsidRPr="00B10FD1" w:rsidRDefault="006041C3" w:rsidP="006041C3">
      <w:pPr>
        <w:spacing w:before="120" w:after="120" w:line="360" w:lineRule="auto"/>
        <w:jc w:val="both"/>
        <w:rPr>
          <w:rFonts w:eastAsia="Times New Roman" w:cs="Arial"/>
        </w:rPr>
      </w:pPr>
      <w:r w:rsidRPr="00B10FD1">
        <w:rPr>
          <w:rFonts w:eastAsia="Times New Roman" w:cs="Arial"/>
        </w:rPr>
        <w:t xml:space="preserve">Noblit, G. W., &amp; Hare, R. D. (1988). </w:t>
      </w:r>
      <w:r w:rsidRPr="00B10FD1">
        <w:rPr>
          <w:rFonts w:eastAsia="Times New Roman" w:cs="Arial"/>
          <w:i/>
          <w:iCs/>
        </w:rPr>
        <w:t>Meta-Ethnography: Synthesizing Qualitative Studies</w:t>
      </w:r>
      <w:r w:rsidRPr="00B10FD1">
        <w:rPr>
          <w:rFonts w:eastAsia="Times New Roman" w:cs="Arial"/>
        </w:rPr>
        <w:t>. Sage.</w:t>
      </w:r>
    </w:p>
    <w:p w14:paraId="1BF5C6B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color w:val="000000" w:themeColor="text1"/>
          <w:sz w:val="22"/>
          <w:szCs w:val="22"/>
        </w:rPr>
        <w:t>Paúl</w:t>
      </w:r>
      <w:proofErr w:type="spellEnd"/>
      <w:r w:rsidRPr="00B10FD1">
        <w:rPr>
          <w:rFonts w:ascii="Arial" w:hAnsi="Arial" w:cs="Arial"/>
          <w:color w:val="000000" w:themeColor="text1"/>
          <w:sz w:val="22"/>
          <w:szCs w:val="22"/>
        </w:rPr>
        <w:t xml:space="preserve">, C., Ribeiro, O., &amp; Teixeira, L. (2012). Active Ageing: An Empirical approach to the WHO model. </w:t>
      </w:r>
      <w:r w:rsidRPr="00B10FD1">
        <w:rPr>
          <w:rFonts w:ascii="Arial" w:hAnsi="Arial" w:cs="Arial"/>
          <w:i/>
          <w:iCs/>
          <w:color w:val="000000" w:themeColor="text1"/>
          <w:sz w:val="22"/>
          <w:szCs w:val="22"/>
        </w:rPr>
        <w:t>Current Gerontology and Geriatrics Research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2012</w:t>
      </w:r>
      <w:r w:rsidRPr="00B10FD1">
        <w:rPr>
          <w:rFonts w:ascii="Arial" w:hAnsi="Arial" w:cs="Arial"/>
          <w:color w:val="000000" w:themeColor="text1"/>
          <w:sz w:val="22"/>
          <w:szCs w:val="22"/>
        </w:rPr>
        <w:t xml:space="preserve">, 1–10. </w:t>
      </w:r>
      <w:hyperlink r:id="rId54" w:history="1">
        <w:r w:rsidRPr="00B10FD1">
          <w:rPr>
            <w:rStyle w:val="Hyperlink"/>
            <w:rFonts w:ascii="Arial" w:hAnsi="Arial" w:cs="Arial"/>
            <w:sz w:val="22"/>
            <w:szCs w:val="22"/>
          </w:rPr>
          <w:t>https://doi.org/10.1155/2012/382972</w:t>
        </w:r>
      </w:hyperlink>
      <w:r w:rsidRPr="00B10FD1">
        <w:rPr>
          <w:rStyle w:val="url"/>
          <w:rFonts w:ascii="Arial" w:hAnsi="Arial" w:cs="Arial"/>
          <w:color w:val="000000" w:themeColor="text1"/>
          <w:sz w:val="22"/>
          <w:szCs w:val="22"/>
        </w:rPr>
        <w:t xml:space="preserve"> </w:t>
      </w:r>
    </w:p>
    <w:p w14:paraId="3ED40F6D" w14:textId="77777777" w:rsidR="006041C3" w:rsidRPr="00B10FD1" w:rsidRDefault="006041C3" w:rsidP="006041C3">
      <w:pPr>
        <w:pStyle w:val="NormalWeb"/>
        <w:spacing w:before="120" w:beforeAutospacing="0" w:after="120" w:afterAutospacing="0" w:line="360" w:lineRule="auto"/>
        <w:ind w:left="720" w:hanging="720"/>
        <w:jc w:val="both"/>
        <w:rPr>
          <w:rStyle w:val="url"/>
          <w:rFonts w:ascii="Arial" w:hAnsi="Arial" w:cs="Arial"/>
          <w:color w:val="000000" w:themeColor="text1"/>
          <w:sz w:val="22"/>
          <w:szCs w:val="22"/>
        </w:rPr>
      </w:pPr>
      <w:r w:rsidRPr="00B10FD1">
        <w:rPr>
          <w:rFonts w:ascii="Arial" w:hAnsi="Arial" w:cs="Arial"/>
          <w:color w:val="000000" w:themeColor="text1"/>
          <w:sz w:val="22"/>
          <w:szCs w:val="22"/>
        </w:rPr>
        <w:t xml:space="preserve">Philip, L., Cottrill, C., Farrington, J., Williams, F., &amp; Ashmore, F. (2017). The digital divide: Patterns, policy and scenarios for connecting the ‘final few’ in rural communities across Great Britain. </w:t>
      </w:r>
      <w:r w:rsidRPr="00B10FD1">
        <w:rPr>
          <w:rFonts w:ascii="Arial" w:hAnsi="Arial" w:cs="Arial"/>
          <w:i/>
          <w:iCs/>
          <w:color w:val="000000" w:themeColor="text1"/>
          <w:sz w:val="22"/>
          <w:szCs w:val="22"/>
        </w:rPr>
        <w:t>Journal of Rural Studies</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54</w:t>
      </w:r>
      <w:r w:rsidRPr="00B10FD1">
        <w:rPr>
          <w:rFonts w:ascii="Arial" w:hAnsi="Arial" w:cs="Arial"/>
          <w:color w:val="000000" w:themeColor="text1"/>
          <w:sz w:val="22"/>
          <w:szCs w:val="22"/>
        </w:rPr>
        <w:t xml:space="preserve">, 386–398. </w:t>
      </w:r>
      <w:hyperlink r:id="rId55" w:history="1">
        <w:r w:rsidRPr="00B10FD1">
          <w:rPr>
            <w:rStyle w:val="Hyperlink"/>
            <w:rFonts w:ascii="Arial" w:hAnsi="Arial" w:cs="Arial"/>
            <w:sz w:val="22"/>
            <w:szCs w:val="22"/>
          </w:rPr>
          <w:t>https://doi.org/10.1016/j.jrurstud.2016.12.002</w:t>
        </w:r>
      </w:hyperlink>
      <w:r w:rsidRPr="00B10FD1">
        <w:rPr>
          <w:rStyle w:val="url"/>
          <w:rFonts w:ascii="Arial" w:hAnsi="Arial" w:cs="Arial"/>
          <w:color w:val="000000" w:themeColor="text1"/>
          <w:sz w:val="22"/>
          <w:szCs w:val="22"/>
        </w:rPr>
        <w:t xml:space="preserve"> </w:t>
      </w:r>
    </w:p>
    <w:p w14:paraId="686098F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rPr>
        <w:t xml:space="preserve">Page, M. J., McKenzie, J. E., Bossuyt, P. M., et al. (2021). The PRISMA 2020 statement: an updated guideline for reporting systematic reviews. </w:t>
      </w:r>
      <w:r w:rsidRPr="00B10FD1">
        <w:rPr>
          <w:rFonts w:ascii="Arial" w:hAnsi="Arial" w:cs="Arial"/>
          <w:i/>
          <w:iCs/>
        </w:rPr>
        <w:t>BMJ, 372</w:t>
      </w:r>
      <w:r w:rsidRPr="00B10FD1">
        <w:rPr>
          <w:rFonts w:ascii="Arial" w:hAnsi="Arial" w:cs="Arial"/>
        </w:rPr>
        <w:t xml:space="preserve">, n71. </w:t>
      </w:r>
      <w:hyperlink r:id="rId56" w:history="1">
        <w:r w:rsidRPr="00B10FD1">
          <w:rPr>
            <w:rStyle w:val="Hyperlink"/>
            <w:rFonts w:ascii="Arial" w:hAnsi="Arial" w:cs="Arial"/>
          </w:rPr>
          <w:t>https://doi.org/10.1136/bmj.n71</w:t>
        </w:r>
      </w:hyperlink>
      <w:r w:rsidRPr="00B10FD1">
        <w:rPr>
          <w:rFonts w:ascii="Arial" w:hAnsi="Arial" w:cs="Arial"/>
        </w:rPr>
        <w:t xml:space="preserve"> </w:t>
      </w:r>
    </w:p>
    <w:p w14:paraId="5CDA44A7"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lastRenderedPageBreak/>
        <w:t xml:space="preserve">Rosenlund, M., Kinnunen, U., &amp; </w:t>
      </w:r>
      <w:proofErr w:type="spellStart"/>
      <w:r w:rsidRPr="00B10FD1">
        <w:rPr>
          <w:rFonts w:ascii="Arial" w:hAnsi="Arial" w:cs="Arial"/>
          <w:color w:val="000000" w:themeColor="text1"/>
          <w:sz w:val="22"/>
          <w:szCs w:val="22"/>
        </w:rPr>
        <w:t>Saranto</w:t>
      </w:r>
      <w:proofErr w:type="spellEnd"/>
      <w:r w:rsidRPr="00B10FD1">
        <w:rPr>
          <w:rFonts w:ascii="Arial" w:hAnsi="Arial" w:cs="Arial"/>
          <w:color w:val="000000" w:themeColor="text1"/>
          <w:sz w:val="22"/>
          <w:szCs w:val="22"/>
        </w:rPr>
        <w:t xml:space="preserve">, K. (2023). The use of digital health services among patients and citizens living at Home: Scoping review. </w:t>
      </w:r>
      <w:r w:rsidRPr="00B10FD1">
        <w:rPr>
          <w:rFonts w:ascii="Arial" w:hAnsi="Arial" w:cs="Arial"/>
          <w:i/>
          <w:iCs/>
          <w:color w:val="000000" w:themeColor="text1"/>
          <w:sz w:val="22"/>
          <w:szCs w:val="22"/>
        </w:rPr>
        <w:t>Journal of Medical Internet Research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25</w:t>
      </w:r>
      <w:r w:rsidRPr="00B10FD1">
        <w:rPr>
          <w:rFonts w:ascii="Arial" w:hAnsi="Arial" w:cs="Arial"/>
          <w:color w:val="000000" w:themeColor="text1"/>
          <w:sz w:val="22"/>
          <w:szCs w:val="22"/>
        </w:rPr>
        <w:t xml:space="preserve">, e44711. </w:t>
      </w:r>
      <w:hyperlink r:id="rId57" w:history="1">
        <w:r w:rsidRPr="00B10FD1">
          <w:rPr>
            <w:rStyle w:val="Hyperlink"/>
            <w:rFonts w:ascii="Arial" w:hAnsi="Arial" w:cs="Arial"/>
            <w:sz w:val="22"/>
            <w:szCs w:val="22"/>
          </w:rPr>
          <w:t>https://doi.org/10.2196/44711</w:t>
        </w:r>
      </w:hyperlink>
      <w:r w:rsidRPr="00B10FD1">
        <w:rPr>
          <w:rStyle w:val="url"/>
          <w:rFonts w:ascii="Arial" w:hAnsi="Arial" w:cs="Arial"/>
          <w:color w:val="000000" w:themeColor="text1"/>
          <w:sz w:val="22"/>
          <w:szCs w:val="22"/>
        </w:rPr>
        <w:t xml:space="preserve"> </w:t>
      </w:r>
    </w:p>
    <w:p w14:paraId="3C88A897"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Seifert, A. (2021). Growth in Internet Usage During the COVID-19 Pandemic among Older Adults. </w:t>
      </w:r>
      <w:r w:rsidRPr="00B10FD1">
        <w:rPr>
          <w:rFonts w:ascii="Arial" w:hAnsi="Arial" w:cs="Arial"/>
          <w:i/>
          <w:iCs/>
          <w:color w:val="000000" w:themeColor="text1"/>
          <w:sz w:val="22"/>
          <w:szCs w:val="22"/>
        </w:rPr>
        <w:t>Science Open</w:t>
      </w:r>
      <w:r w:rsidRPr="00B10FD1">
        <w:rPr>
          <w:rFonts w:ascii="Arial" w:hAnsi="Arial" w:cs="Arial"/>
          <w:color w:val="000000" w:themeColor="text1"/>
          <w:sz w:val="22"/>
          <w:szCs w:val="22"/>
        </w:rPr>
        <w:t xml:space="preserve">. </w:t>
      </w:r>
      <w:hyperlink r:id="rId58" w:history="1">
        <w:r w:rsidRPr="00B10FD1">
          <w:rPr>
            <w:rStyle w:val="Hyperlink"/>
            <w:rFonts w:ascii="Arial" w:hAnsi="Arial" w:cs="Arial"/>
            <w:sz w:val="22"/>
            <w:szCs w:val="22"/>
          </w:rPr>
          <w:t>https://doi.org/10.14293/s2199-1006.1.sor-.pp2hohn.v1</w:t>
        </w:r>
      </w:hyperlink>
      <w:r w:rsidRPr="00B10FD1">
        <w:rPr>
          <w:rStyle w:val="url"/>
          <w:rFonts w:ascii="Arial" w:hAnsi="Arial" w:cs="Arial"/>
          <w:color w:val="000000" w:themeColor="text1"/>
          <w:sz w:val="22"/>
          <w:szCs w:val="22"/>
        </w:rPr>
        <w:t xml:space="preserve"> </w:t>
      </w:r>
    </w:p>
    <w:p w14:paraId="61B86E3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Stuart, A., Katz, D., Stevenson, C., Gooch, D., Harkin, L., </w:t>
      </w:r>
      <w:proofErr w:type="spellStart"/>
      <w:r w:rsidRPr="00B10FD1">
        <w:rPr>
          <w:rFonts w:ascii="Arial" w:hAnsi="Arial" w:cs="Arial"/>
          <w:color w:val="000000" w:themeColor="text1"/>
          <w:sz w:val="22"/>
          <w:szCs w:val="22"/>
        </w:rPr>
        <w:t>Bennasar</w:t>
      </w:r>
      <w:proofErr w:type="spellEnd"/>
      <w:r w:rsidRPr="00B10FD1">
        <w:rPr>
          <w:rFonts w:ascii="Arial" w:hAnsi="Arial" w:cs="Arial"/>
          <w:color w:val="000000" w:themeColor="text1"/>
          <w:sz w:val="22"/>
          <w:szCs w:val="22"/>
        </w:rPr>
        <w:t xml:space="preserve">, M., Sanderson, L., Liddle, J., Bennaceur, A., Levine, M., Mehta, V., Wijesundara, A., Talbot, C., Bandara, A., Price, B., &amp; </w:t>
      </w:r>
      <w:proofErr w:type="spellStart"/>
      <w:r w:rsidRPr="00B10FD1">
        <w:rPr>
          <w:rFonts w:ascii="Arial" w:hAnsi="Arial" w:cs="Arial"/>
          <w:color w:val="000000" w:themeColor="text1"/>
          <w:sz w:val="22"/>
          <w:szCs w:val="22"/>
        </w:rPr>
        <w:t>Nuseibeh</w:t>
      </w:r>
      <w:proofErr w:type="spellEnd"/>
      <w:r w:rsidRPr="00B10FD1">
        <w:rPr>
          <w:rFonts w:ascii="Arial" w:hAnsi="Arial" w:cs="Arial"/>
          <w:color w:val="000000" w:themeColor="text1"/>
          <w:sz w:val="22"/>
          <w:szCs w:val="22"/>
        </w:rPr>
        <w:t xml:space="preserve">, B. (2022). Loneliness in older people and COVID-19: Applying the social identity approach to digital intervention design. </w:t>
      </w:r>
      <w:r w:rsidRPr="00B10FD1">
        <w:rPr>
          <w:rFonts w:ascii="Arial" w:hAnsi="Arial" w:cs="Arial"/>
          <w:i/>
          <w:iCs/>
          <w:color w:val="000000" w:themeColor="text1"/>
          <w:sz w:val="22"/>
          <w:szCs w:val="22"/>
        </w:rPr>
        <w:t>Computers in Human Behavior Reports</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6</w:t>
      </w:r>
      <w:r w:rsidRPr="00B10FD1">
        <w:rPr>
          <w:rFonts w:ascii="Arial" w:hAnsi="Arial" w:cs="Arial"/>
          <w:color w:val="000000" w:themeColor="text1"/>
          <w:sz w:val="22"/>
          <w:szCs w:val="22"/>
        </w:rPr>
        <w:t xml:space="preserve">, 100179. </w:t>
      </w:r>
      <w:hyperlink r:id="rId59" w:history="1">
        <w:r w:rsidRPr="00B10FD1">
          <w:rPr>
            <w:rStyle w:val="Hyperlink"/>
            <w:rFonts w:ascii="Arial" w:hAnsi="Arial" w:cs="Arial"/>
            <w:sz w:val="22"/>
            <w:szCs w:val="22"/>
          </w:rPr>
          <w:t>https://doi.org/10.1016/j.chbr.2022.100179</w:t>
        </w:r>
      </w:hyperlink>
      <w:r w:rsidRPr="00B10FD1">
        <w:rPr>
          <w:rStyle w:val="url"/>
          <w:rFonts w:ascii="Arial" w:hAnsi="Arial" w:cs="Arial"/>
          <w:color w:val="000000" w:themeColor="text1"/>
          <w:sz w:val="22"/>
          <w:szCs w:val="22"/>
        </w:rPr>
        <w:t xml:space="preserve"> </w:t>
      </w:r>
    </w:p>
    <w:p w14:paraId="7B69FBA3"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Seifert, A. (</w:t>
      </w:r>
      <w:proofErr w:type="gramStart"/>
      <w:r w:rsidRPr="00B10FD1">
        <w:rPr>
          <w:rFonts w:ascii="Arial" w:hAnsi="Arial" w:cs="Arial"/>
          <w:sz w:val="22"/>
          <w:szCs w:val="22"/>
        </w:rPr>
        <w:t>2021) ‘</w:t>
      </w:r>
      <w:proofErr w:type="gramEnd"/>
      <w:r w:rsidRPr="00B10FD1">
        <w:rPr>
          <w:rFonts w:ascii="Arial" w:hAnsi="Arial" w:cs="Arial"/>
          <w:sz w:val="22"/>
          <w:szCs w:val="22"/>
        </w:rPr>
        <w:t xml:space="preserve">Growth in Internet Usage During the COVID-19 Pandemic among Older Adults’, </w:t>
      </w:r>
      <w:proofErr w:type="spellStart"/>
      <w:r w:rsidRPr="00B10FD1">
        <w:rPr>
          <w:rStyle w:val="Emphasis"/>
          <w:rFonts w:ascii="Arial" w:hAnsi="Arial" w:cs="Arial"/>
          <w:sz w:val="22"/>
          <w:szCs w:val="22"/>
        </w:rPr>
        <w:t>ScienceOpen</w:t>
      </w:r>
      <w:proofErr w:type="spellEnd"/>
      <w:r w:rsidRPr="00B10FD1">
        <w:rPr>
          <w:rStyle w:val="Emphasis"/>
          <w:rFonts w:ascii="Arial" w:hAnsi="Arial" w:cs="Arial"/>
          <w:sz w:val="22"/>
          <w:szCs w:val="22"/>
        </w:rPr>
        <w:t xml:space="preserve"> Research</w:t>
      </w:r>
      <w:r w:rsidRPr="00B10FD1">
        <w:rPr>
          <w:rFonts w:ascii="Arial" w:hAnsi="Arial" w:cs="Arial"/>
          <w:sz w:val="22"/>
          <w:szCs w:val="22"/>
        </w:rPr>
        <w:t xml:space="preserve">. DOI: 10.14293/S2199-1006.1.SOR-.PP2HOHN.v1. Available at: </w:t>
      </w:r>
      <w:hyperlink r:id="rId60" w:tgtFrame="_new" w:history="1">
        <w:r w:rsidRPr="00B10FD1">
          <w:rPr>
            <w:rStyle w:val="Hyperlink"/>
            <w:rFonts w:ascii="Arial" w:hAnsi="Arial" w:cs="Arial"/>
            <w:sz w:val="22"/>
            <w:szCs w:val="22"/>
          </w:rPr>
          <w:t>https://www.scienceopen.com/hosted-document?doi=10.14293/S2199-1006.1.SOR-.PP2HOHN.v1</w:t>
        </w:r>
      </w:hyperlink>
    </w:p>
    <w:p w14:paraId="2BE7A87B"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r w:rsidRPr="00B10FD1">
        <w:rPr>
          <w:rFonts w:ascii="Arial" w:hAnsi="Arial" w:cs="Arial"/>
          <w:sz w:val="22"/>
          <w:szCs w:val="22"/>
        </w:rPr>
        <w:t xml:space="preserve">Stuart, A., Katz, D., Stevenson, C., Gooch, D., Harkin, L., </w:t>
      </w:r>
      <w:proofErr w:type="spellStart"/>
      <w:r w:rsidRPr="00B10FD1">
        <w:rPr>
          <w:rFonts w:ascii="Arial" w:hAnsi="Arial" w:cs="Arial"/>
          <w:sz w:val="22"/>
          <w:szCs w:val="22"/>
        </w:rPr>
        <w:t>Bennasar</w:t>
      </w:r>
      <w:proofErr w:type="spellEnd"/>
      <w:r w:rsidRPr="00B10FD1">
        <w:rPr>
          <w:rFonts w:ascii="Arial" w:hAnsi="Arial" w:cs="Arial"/>
          <w:sz w:val="22"/>
          <w:szCs w:val="22"/>
        </w:rPr>
        <w:t xml:space="preserve">, M., Sanderson, L., Liddle, J., Bennaceur, A., Levine, M., Mehta, V., Wijesundara, A., Talbot, C., Bandara, A., Price, B. and </w:t>
      </w:r>
      <w:proofErr w:type="spellStart"/>
      <w:r w:rsidRPr="00B10FD1">
        <w:rPr>
          <w:rFonts w:ascii="Arial" w:hAnsi="Arial" w:cs="Arial"/>
          <w:sz w:val="22"/>
          <w:szCs w:val="22"/>
        </w:rPr>
        <w:t>Nuseibeh</w:t>
      </w:r>
      <w:proofErr w:type="spellEnd"/>
      <w:r w:rsidRPr="00B10FD1">
        <w:rPr>
          <w:rFonts w:ascii="Arial" w:hAnsi="Arial" w:cs="Arial"/>
          <w:sz w:val="22"/>
          <w:szCs w:val="22"/>
        </w:rPr>
        <w:t xml:space="preserve">, B. (2022) ‘Loneliness in older people and COVID-19: Applying the social identity approach to digital intervention design’, </w:t>
      </w:r>
      <w:r w:rsidRPr="00B10FD1">
        <w:rPr>
          <w:rStyle w:val="Emphasis"/>
          <w:rFonts w:ascii="Arial" w:hAnsi="Arial" w:cs="Arial"/>
          <w:sz w:val="22"/>
          <w:szCs w:val="22"/>
        </w:rPr>
        <w:t>Computers in Human Behavior Reports</w:t>
      </w:r>
      <w:r w:rsidRPr="00B10FD1">
        <w:rPr>
          <w:rFonts w:ascii="Arial" w:hAnsi="Arial" w:cs="Arial"/>
          <w:sz w:val="22"/>
          <w:szCs w:val="22"/>
        </w:rPr>
        <w:t xml:space="preserve">, 6, 100179. DOI: 10.1016/j.chbr.2022.100179. Available at: </w:t>
      </w:r>
      <w:hyperlink r:id="rId61" w:tgtFrame="_new" w:history="1">
        <w:r w:rsidRPr="00B10FD1">
          <w:rPr>
            <w:rStyle w:val="Hyperlink"/>
            <w:rFonts w:ascii="Arial" w:hAnsi="Arial" w:cs="Arial"/>
            <w:sz w:val="22"/>
            <w:szCs w:val="22"/>
          </w:rPr>
          <w:t>https://doi.org/10.1016/j.chbr.2022.100179</w:t>
        </w:r>
      </w:hyperlink>
    </w:p>
    <w:p w14:paraId="713751B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rPr>
      </w:pPr>
      <w:r w:rsidRPr="00B10FD1">
        <w:rPr>
          <w:rFonts w:ascii="Arial" w:hAnsi="Arial" w:cs="Arial"/>
        </w:rPr>
        <w:t xml:space="preserve">Sandelowski, M. (2000). Whatever happened to qualitative description? </w:t>
      </w:r>
      <w:r w:rsidRPr="00B10FD1">
        <w:rPr>
          <w:rFonts w:ascii="Arial" w:hAnsi="Arial" w:cs="Arial"/>
          <w:i/>
          <w:iCs/>
        </w:rPr>
        <w:t>Research in Nursing &amp; Health, 23</w:t>
      </w:r>
      <w:r w:rsidRPr="00B10FD1">
        <w:rPr>
          <w:rFonts w:ascii="Arial" w:hAnsi="Arial" w:cs="Arial"/>
        </w:rPr>
        <w:t xml:space="preserve">(4), 334–340. </w:t>
      </w:r>
      <w:hyperlink r:id="rId62" w:history="1">
        <w:r w:rsidRPr="00B10FD1">
          <w:rPr>
            <w:rStyle w:val="Hyperlink"/>
            <w:rFonts w:ascii="Arial" w:hAnsi="Arial" w:cs="Arial"/>
          </w:rPr>
          <w:t>https://doi.org/10.1002/1098-240X(200008)23:4&lt;334::AID-NUR9&gt;3.0.CO;2-G</w:t>
        </w:r>
      </w:hyperlink>
    </w:p>
    <w:p w14:paraId="7246F44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rPr>
      </w:pPr>
      <w:r w:rsidRPr="00B10FD1">
        <w:rPr>
          <w:rFonts w:ascii="Arial" w:hAnsi="Arial" w:cs="Arial"/>
        </w:rPr>
        <w:t xml:space="preserve">Thomas, J., &amp; Harden, A. (2008). Methods for the thematic synthesis of qualitative research in systematic reviews. </w:t>
      </w:r>
      <w:r w:rsidRPr="00B10FD1">
        <w:rPr>
          <w:rFonts w:ascii="Arial" w:hAnsi="Arial" w:cs="Arial"/>
          <w:i/>
          <w:iCs/>
        </w:rPr>
        <w:t>BMC Medical Research Methodology, 8</w:t>
      </w:r>
      <w:r w:rsidRPr="00B10FD1">
        <w:rPr>
          <w:rFonts w:ascii="Arial" w:hAnsi="Arial" w:cs="Arial"/>
        </w:rPr>
        <w:t xml:space="preserve">, 45. </w:t>
      </w:r>
      <w:hyperlink r:id="rId63" w:history="1">
        <w:r w:rsidRPr="00B10FD1">
          <w:rPr>
            <w:rStyle w:val="Hyperlink"/>
            <w:rFonts w:ascii="Arial" w:hAnsi="Arial" w:cs="Arial"/>
          </w:rPr>
          <w:t>https://doi.org/10.1186/1471-2288-8-45</w:t>
        </w:r>
      </w:hyperlink>
    </w:p>
    <w:p w14:paraId="2716527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rPr>
        <w:t xml:space="preserve">Tong, A., Sainsbury, P., &amp; Craig, J. (2007). Consolidated criteria for reporting qualitative research (COREQ): a 32-item checklist. </w:t>
      </w:r>
      <w:r w:rsidRPr="00B10FD1">
        <w:rPr>
          <w:rFonts w:ascii="Arial" w:hAnsi="Arial" w:cs="Arial"/>
          <w:i/>
          <w:iCs/>
        </w:rPr>
        <w:t>International Journal for Quality in Health Care, 19</w:t>
      </w:r>
      <w:r w:rsidRPr="00B10FD1">
        <w:rPr>
          <w:rFonts w:ascii="Arial" w:hAnsi="Arial" w:cs="Arial"/>
        </w:rPr>
        <w:t xml:space="preserve">(6), 349–357. </w:t>
      </w:r>
      <w:hyperlink r:id="rId64" w:history="1">
        <w:r w:rsidRPr="00B10FD1">
          <w:rPr>
            <w:rStyle w:val="Hyperlink"/>
            <w:rFonts w:ascii="Arial" w:hAnsi="Arial" w:cs="Arial"/>
          </w:rPr>
          <w:t>https://doi.org/10.1093/intqhc/mzm042</w:t>
        </w:r>
      </w:hyperlink>
      <w:r w:rsidRPr="00B10FD1">
        <w:rPr>
          <w:rFonts w:ascii="Arial" w:hAnsi="Arial" w:cs="Arial"/>
        </w:rPr>
        <w:t xml:space="preserve"> </w:t>
      </w:r>
    </w:p>
    <w:p w14:paraId="1E67414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The BMJ (</w:t>
      </w:r>
      <w:proofErr w:type="gramStart"/>
      <w:r w:rsidRPr="00B10FD1">
        <w:rPr>
          <w:rFonts w:ascii="Arial" w:hAnsi="Arial" w:cs="Arial"/>
          <w:sz w:val="22"/>
          <w:szCs w:val="22"/>
        </w:rPr>
        <w:t>2025) ‘</w:t>
      </w:r>
      <w:proofErr w:type="gramEnd"/>
      <w:r w:rsidRPr="00B10FD1">
        <w:rPr>
          <w:rFonts w:ascii="Arial" w:hAnsi="Arial" w:cs="Arial"/>
          <w:sz w:val="22"/>
          <w:szCs w:val="22"/>
        </w:rPr>
        <w:t xml:space="preserve">Can a digital NHS be equitable?’ </w:t>
      </w:r>
      <w:r w:rsidRPr="00B10FD1">
        <w:rPr>
          <w:rStyle w:val="Emphasis"/>
          <w:rFonts w:ascii="Arial" w:hAnsi="Arial" w:cs="Arial"/>
          <w:sz w:val="22"/>
          <w:szCs w:val="22"/>
        </w:rPr>
        <w:t>The BMJ</w:t>
      </w:r>
      <w:r w:rsidRPr="00B10FD1">
        <w:rPr>
          <w:rFonts w:ascii="Arial" w:hAnsi="Arial" w:cs="Arial"/>
          <w:sz w:val="22"/>
          <w:szCs w:val="22"/>
        </w:rPr>
        <w:t xml:space="preserve">, 389, r1317 (Editorial). Available at: </w:t>
      </w:r>
      <w:hyperlink r:id="rId65" w:tgtFrame="_new" w:history="1">
        <w:r w:rsidRPr="00B10FD1">
          <w:rPr>
            <w:rStyle w:val="Hyperlink"/>
            <w:rFonts w:ascii="Arial" w:hAnsi="Arial" w:cs="Arial"/>
            <w:sz w:val="22"/>
            <w:szCs w:val="22"/>
          </w:rPr>
          <w:t>https://www.bmj.com/content/389/bmj.r1317.full</w:t>
        </w:r>
      </w:hyperlink>
      <w:r w:rsidRPr="00B10FD1">
        <w:rPr>
          <w:rFonts w:ascii="Arial" w:hAnsi="Arial" w:cs="Arial"/>
          <w:sz w:val="22"/>
          <w:szCs w:val="22"/>
        </w:rPr>
        <w:t xml:space="preserve"> (Accessed 20 September 2025).</w:t>
      </w:r>
    </w:p>
    <w:p w14:paraId="7A401FA6"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lastRenderedPageBreak/>
        <w:t xml:space="preserve">Tsai, H.-H., Tsai, Y.-F., Wang, H.-H., Chang, Y.-C. and Chu, H.H. (2010) ‘Videoconference program enhances social support, loneliness, and depressive status of elderly nursing home residents’, </w:t>
      </w:r>
      <w:r w:rsidRPr="00B10FD1">
        <w:rPr>
          <w:rStyle w:val="Emphasis"/>
          <w:rFonts w:ascii="Arial" w:hAnsi="Arial" w:cs="Arial"/>
          <w:sz w:val="22"/>
          <w:szCs w:val="22"/>
        </w:rPr>
        <w:t>Aging &amp; Mental Health</w:t>
      </w:r>
      <w:r w:rsidRPr="00B10FD1">
        <w:rPr>
          <w:rFonts w:ascii="Arial" w:hAnsi="Arial" w:cs="Arial"/>
          <w:sz w:val="22"/>
          <w:szCs w:val="22"/>
        </w:rPr>
        <w:t xml:space="preserve">, 14(8), pp. 947–954. DOI: 10.1080/13607863.2010.501057. Available at: </w:t>
      </w:r>
      <w:hyperlink r:id="rId66" w:tgtFrame="_new" w:history="1">
        <w:r w:rsidRPr="00B10FD1">
          <w:rPr>
            <w:rStyle w:val="Hyperlink"/>
            <w:rFonts w:ascii="Arial" w:hAnsi="Arial" w:cs="Arial"/>
            <w:sz w:val="22"/>
            <w:szCs w:val="22"/>
          </w:rPr>
          <w:t>https://europepmc.org/article/MED/21069600</w:t>
        </w:r>
      </w:hyperlink>
    </w:p>
    <w:p w14:paraId="090B21D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r w:rsidRPr="00B10FD1">
        <w:rPr>
          <w:rFonts w:ascii="Arial" w:hAnsi="Arial" w:cs="Arial"/>
          <w:sz w:val="22"/>
          <w:szCs w:val="22"/>
        </w:rPr>
        <w:t>Tsai, H.-H., Cheng, C.-Y., Shieh, W.-Y. and Chu, H.H. (</w:t>
      </w:r>
      <w:proofErr w:type="gramStart"/>
      <w:r w:rsidRPr="00B10FD1">
        <w:rPr>
          <w:rFonts w:ascii="Arial" w:hAnsi="Arial" w:cs="Arial"/>
          <w:sz w:val="22"/>
          <w:szCs w:val="22"/>
        </w:rPr>
        <w:t>2011) ‘</w:t>
      </w:r>
      <w:proofErr w:type="gramEnd"/>
      <w:r w:rsidRPr="00B10FD1">
        <w:rPr>
          <w:rFonts w:ascii="Arial" w:hAnsi="Arial" w:cs="Arial"/>
          <w:sz w:val="22"/>
          <w:szCs w:val="22"/>
        </w:rPr>
        <w:t xml:space="preserve">Changes in depressive symptoms, social support, and loneliness over 1 year after a videoconference program for older nursing home residents’, </w:t>
      </w:r>
      <w:r w:rsidRPr="00B10FD1">
        <w:rPr>
          <w:rStyle w:val="Emphasis"/>
          <w:rFonts w:ascii="Arial" w:hAnsi="Arial" w:cs="Arial"/>
          <w:sz w:val="22"/>
          <w:szCs w:val="22"/>
        </w:rPr>
        <w:t>Journal of Medical Internet Research</w:t>
      </w:r>
      <w:r w:rsidRPr="00B10FD1">
        <w:rPr>
          <w:rFonts w:ascii="Arial" w:hAnsi="Arial" w:cs="Arial"/>
          <w:sz w:val="22"/>
          <w:szCs w:val="22"/>
        </w:rPr>
        <w:t xml:space="preserve">, 13(4), e93. DOI: 10.2196/jmir.1678. Available at: </w:t>
      </w:r>
      <w:hyperlink r:id="rId67" w:history="1">
        <w:r w:rsidRPr="00B10FD1">
          <w:rPr>
            <w:rStyle w:val="Hyperlink"/>
            <w:rFonts w:ascii="Arial" w:hAnsi="Arial" w:cs="Arial"/>
            <w:sz w:val="22"/>
            <w:szCs w:val="22"/>
          </w:rPr>
          <w:t>https://www.jmir.org/2011/4/e93</w:t>
        </w:r>
      </w:hyperlink>
    </w:p>
    <w:p w14:paraId="0B1EC6D2"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Tomczyk, Ł., Mascia, M. L., Gierszewski, D., &amp; Walker, C. (2023). Barriers to digital inclusion among older people: </w:t>
      </w:r>
      <w:proofErr w:type="spellStart"/>
      <w:proofErr w:type="gramStart"/>
      <w:r w:rsidRPr="00B10FD1">
        <w:rPr>
          <w:rFonts w:ascii="Arial" w:hAnsi="Arial" w:cs="Arial"/>
          <w:color w:val="000000" w:themeColor="text1"/>
          <w:sz w:val="22"/>
          <w:szCs w:val="22"/>
        </w:rPr>
        <w:t>a</w:t>
      </w:r>
      <w:proofErr w:type="spellEnd"/>
      <w:proofErr w:type="gramEnd"/>
      <w:r w:rsidRPr="00B10FD1">
        <w:rPr>
          <w:rFonts w:ascii="Arial" w:hAnsi="Arial" w:cs="Arial"/>
          <w:color w:val="000000" w:themeColor="text1"/>
          <w:sz w:val="22"/>
          <w:szCs w:val="22"/>
        </w:rPr>
        <w:t xml:space="preserve"> intergenerational reflection on the need to develop digital competences for the group with the highest level of digital exclusion. </w:t>
      </w:r>
      <w:proofErr w:type="spellStart"/>
      <w:r w:rsidRPr="00B10FD1">
        <w:rPr>
          <w:rFonts w:ascii="Arial" w:hAnsi="Arial" w:cs="Arial"/>
          <w:i/>
          <w:iCs/>
          <w:color w:val="000000" w:themeColor="text1"/>
          <w:sz w:val="22"/>
          <w:szCs w:val="22"/>
        </w:rPr>
        <w:t>Innoeduca</w:t>
      </w:r>
      <w:proofErr w:type="spellEnd"/>
      <w:r w:rsidRPr="00B10FD1">
        <w:rPr>
          <w:rFonts w:ascii="Arial" w:hAnsi="Arial" w:cs="Arial"/>
          <w:i/>
          <w:iCs/>
          <w:color w:val="000000" w:themeColor="text1"/>
          <w:sz w:val="22"/>
          <w:szCs w:val="22"/>
        </w:rPr>
        <w:t xml:space="preserve"> International Journal of Technology and Educational Innovation</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9</w:t>
      </w:r>
      <w:r w:rsidRPr="00B10FD1">
        <w:rPr>
          <w:rFonts w:ascii="Arial" w:hAnsi="Arial" w:cs="Arial"/>
          <w:color w:val="000000" w:themeColor="text1"/>
          <w:sz w:val="22"/>
          <w:szCs w:val="22"/>
        </w:rPr>
        <w:t xml:space="preserve">(1), 5–26. </w:t>
      </w:r>
      <w:hyperlink r:id="rId68" w:history="1">
        <w:r w:rsidRPr="00B10FD1">
          <w:rPr>
            <w:rStyle w:val="Hyperlink"/>
            <w:rFonts w:ascii="Arial" w:hAnsi="Arial" w:cs="Arial"/>
            <w:sz w:val="22"/>
            <w:szCs w:val="22"/>
          </w:rPr>
          <w:t>https://doi.org/10.24310/innoeduca.2023.v9i1.16433</w:t>
        </w:r>
      </w:hyperlink>
      <w:r w:rsidRPr="00B10FD1">
        <w:rPr>
          <w:rStyle w:val="url"/>
          <w:rFonts w:ascii="Arial" w:hAnsi="Arial" w:cs="Arial"/>
          <w:color w:val="000000" w:themeColor="text1"/>
          <w:sz w:val="22"/>
          <w:szCs w:val="22"/>
        </w:rPr>
        <w:t xml:space="preserve"> </w:t>
      </w:r>
    </w:p>
    <w:p w14:paraId="36BE2E39"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Tsai, H., Tsai, Y., Wang, H., Chang, Y., &amp; Chu, H. H. (2010). Videoconference program enhances social support, loneliness, and depressive status of elderly nursing home residents. </w:t>
      </w:r>
      <w:r w:rsidRPr="00B10FD1">
        <w:rPr>
          <w:rFonts w:ascii="Arial" w:hAnsi="Arial" w:cs="Arial"/>
          <w:i/>
          <w:iCs/>
          <w:color w:val="000000" w:themeColor="text1"/>
          <w:sz w:val="22"/>
          <w:szCs w:val="22"/>
        </w:rPr>
        <w:t>Aging &amp; Mental Health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14</w:t>
      </w:r>
      <w:r w:rsidRPr="00B10FD1">
        <w:rPr>
          <w:rFonts w:ascii="Arial" w:hAnsi="Arial" w:cs="Arial"/>
          <w:color w:val="000000" w:themeColor="text1"/>
          <w:sz w:val="22"/>
          <w:szCs w:val="22"/>
        </w:rPr>
        <w:t xml:space="preserve">(8), 947–954. </w:t>
      </w:r>
      <w:hyperlink r:id="rId69" w:history="1">
        <w:r w:rsidRPr="00B10FD1">
          <w:rPr>
            <w:rStyle w:val="Hyperlink"/>
            <w:rFonts w:ascii="Arial" w:hAnsi="Arial" w:cs="Arial"/>
            <w:sz w:val="22"/>
            <w:szCs w:val="22"/>
          </w:rPr>
          <w:t>https://doi.org/10.1080/13607863.2010.501057</w:t>
        </w:r>
      </w:hyperlink>
      <w:r w:rsidRPr="00B10FD1">
        <w:rPr>
          <w:rStyle w:val="url"/>
          <w:rFonts w:ascii="Arial" w:hAnsi="Arial" w:cs="Arial"/>
          <w:color w:val="000000" w:themeColor="text1"/>
          <w:sz w:val="22"/>
          <w:szCs w:val="22"/>
        </w:rPr>
        <w:t xml:space="preserve"> </w:t>
      </w:r>
    </w:p>
    <w:p w14:paraId="39000292"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Tsatsou, P. (2011). Digital divides revisited: what is new about divides and their research? </w:t>
      </w:r>
      <w:r w:rsidRPr="00B10FD1">
        <w:rPr>
          <w:rFonts w:ascii="Arial" w:hAnsi="Arial" w:cs="Arial"/>
          <w:i/>
          <w:iCs/>
          <w:color w:val="000000" w:themeColor="text1"/>
          <w:sz w:val="22"/>
          <w:szCs w:val="22"/>
        </w:rPr>
        <w:t>Media Culture &amp; Society</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33</w:t>
      </w:r>
      <w:r w:rsidRPr="00B10FD1">
        <w:rPr>
          <w:rFonts w:ascii="Arial" w:hAnsi="Arial" w:cs="Arial"/>
          <w:color w:val="000000" w:themeColor="text1"/>
          <w:sz w:val="22"/>
          <w:szCs w:val="22"/>
        </w:rPr>
        <w:t xml:space="preserve">(2), 317–331. </w:t>
      </w:r>
      <w:hyperlink r:id="rId70" w:history="1">
        <w:r w:rsidRPr="00B10FD1">
          <w:rPr>
            <w:rStyle w:val="Hyperlink"/>
            <w:rFonts w:ascii="Arial" w:hAnsi="Arial" w:cs="Arial"/>
            <w:sz w:val="22"/>
            <w:szCs w:val="22"/>
          </w:rPr>
          <w:t>https://doi.org/10.1177/0163443710393865</w:t>
        </w:r>
      </w:hyperlink>
      <w:r w:rsidRPr="00B10FD1">
        <w:rPr>
          <w:rStyle w:val="url"/>
          <w:rFonts w:ascii="Arial" w:hAnsi="Arial" w:cs="Arial"/>
          <w:color w:val="000000" w:themeColor="text1"/>
          <w:sz w:val="22"/>
          <w:szCs w:val="22"/>
        </w:rPr>
        <w:t xml:space="preserve"> </w:t>
      </w:r>
    </w:p>
    <w:p w14:paraId="506F67E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UNHCR. (2025, June 13). Older </w:t>
      </w:r>
      <w:proofErr w:type="gramStart"/>
      <w:r w:rsidRPr="00B10FD1">
        <w:rPr>
          <w:rFonts w:ascii="Arial" w:hAnsi="Arial" w:cs="Arial"/>
          <w:color w:val="000000" w:themeColor="text1"/>
          <w:sz w:val="22"/>
          <w:szCs w:val="22"/>
        </w:rPr>
        <w:t>persons</w:t>
      </w:r>
      <w:proofErr w:type="gramEnd"/>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UNHCR</w:t>
      </w:r>
      <w:r w:rsidRPr="00B10FD1">
        <w:rPr>
          <w:rFonts w:ascii="Arial" w:hAnsi="Arial" w:cs="Arial"/>
          <w:color w:val="000000" w:themeColor="text1"/>
          <w:sz w:val="22"/>
          <w:szCs w:val="22"/>
        </w:rPr>
        <w:t xml:space="preserve">. </w:t>
      </w:r>
      <w:hyperlink r:id="rId71" w:history="1">
        <w:r w:rsidRPr="00B10FD1">
          <w:rPr>
            <w:rStyle w:val="Hyperlink"/>
            <w:rFonts w:ascii="Arial" w:hAnsi="Arial" w:cs="Arial"/>
            <w:sz w:val="22"/>
            <w:szCs w:val="22"/>
          </w:rPr>
          <w:t>https://emergency.unhcr.org/protection/persons-risk/older-persons</w:t>
        </w:r>
      </w:hyperlink>
      <w:r w:rsidRPr="00B10FD1">
        <w:rPr>
          <w:rStyle w:val="url"/>
          <w:rFonts w:ascii="Arial" w:hAnsi="Arial" w:cs="Arial"/>
          <w:color w:val="000000" w:themeColor="text1"/>
          <w:sz w:val="22"/>
          <w:szCs w:val="22"/>
        </w:rPr>
        <w:t xml:space="preserve"> (Accessed: July 17, 2025).</w:t>
      </w:r>
    </w:p>
    <w:p w14:paraId="5CF263C8"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Van Dijk, J. A. (2006). Digital divide research, achievements and shortcomings. </w:t>
      </w:r>
      <w:r w:rsidRPr="00B10FD1">
        <w:rPr>
          <w:rFonts w:ascii="Arial" w:hAnsi="Arial" w:cs="Arial"/>
          <w:i/>
          <w:iCs/>
          <w:color w:val="000000" w:themeColor="text1"/>
          <w:sz w:val="22"/>
          <w:szCs w:val="22"/>
        </w:rPr>
        <w:t>Poetics</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34</w:t>
      </w:r>
      <w:r w:rsidRPr="00B10FD1">
        <w:rPr>
          <w:rFonts w:ascii="Arial" w:hAnsi="Arial" w:cs="Arial"/>
          <w:color w:val="000000" w:themeColor="text1"/>
          <w:sz w:val="22"/>
          <w:szCs w:val="22"/>
        </w:rPr>
        <w:t xml:space="preserve">(4–5), 221–235. </w:t>
      </w:r>
      <w:hyperlink r:id="rId72" w:history="1">
        <w:r w:rsidRPr="00B10FD1">
          <w:rPr>
            <w:rStyle w:val="Hyperlink"/>
            <w:rFonts w:ascii="Arial" w:hAnsi="Arial" w:cs="Arial"/>
            <w:sz w:val="22"/>
            <w:szCs w:val="22"/>
          </w:rPr>
          <w:t>https://doi.org/10.1016/j.poetic.2006.05.004</w:t>
        </w:r>
      </w:hyperlink>
      <w:r w:rsidRPr="00B10FD1">
        <w:rPr>
          <w:rStyle w:val="url"/>
          <w:rFonts w:ascii="Arial" w:hAnsi="Arial" w:cs="Arial"/>
          <w:color w:val="000000" w:themeColor="text1"/>
          <w:sz w:val="22"/>
          <w:szCs w:val="22"/>
        </w:rPr>
        <w:t xml:space="preserve"> </w:t>
      </w:r>
    </w:p>
    <w:p w14:paraId="59EADF73"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proofErr w:type="spellStart"/>
      <w:r w:rsidRPr="00B10FD1">
        <w:rPr>
          <w:rFonts w:ascii="Arial" w:hAnsi="Arial" w:cs="Arial"/>
          <w:color w:val="000000" w:themeColor="text1"/>
          <w:sz w:val="22"/>
          <w:szCs w:val="22"/>
        </w:rPr>
        <w:t>Vaportzis</w:t>
      </w:r>
      <w:proofErr w:type="spellEnd"/>
      <w:r w:rsidRPr="00B10FD1">
        <w:rPr>
          <w:rFonts w:ascii="Arial" w:hAnsi="Arial" w:cs="Arial"/>
          <w:color w:val="000000" w:themeColor="text1"/>
          <w:sz w:val="22"/>
          <w:szCs w:val="22"/>
        </w:rPr>
        <w:t xml:space="preserve">, E., Clausen, M. G., &amp; Gow, A. J. (2017). Older Adults Perceptions of Technology and Barriers to Interacting with Tablet Computers: A Focus Group Study. </w:t>
      </w:r>
      <w:r w:rsidRPr="00B10FD1">
        <w:rPr>
          <w:rFonts w:ascii="Arial" w:hAnsi="Arial" w:cs="Arial"/>
          <w:i/>
          <w:iCs/>
          <w:color w:val="000000" w:themeColor="text1"/>
          <w:sz w:val="22"/>
          <w:szCs w:val="22"/>
        </w:rPr>
        <w:t>Frontiers in Psychology</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8</w:t>
      </w:r>
      <w:r w:rsidRPr="00B10FD1">
        <w:rPr>
          <w:rFonts w:ascii="Arial" w:hAnsi="Arial" w:cs="Arial"/>
          <w:color w:val="000000" w:themeColor="text1"/>
          <w:sz w:val="22"/>
          <w:szCs w:val="22"/>
        </w:rPr>
        <w:t xml:space="preserve">. </w:t>
      </w:r>
      <w:hyperlink r:id="rId73" w:history="1">
        <w:r w:rsidRPr="00B10FD1">
          <w:rPr>
            <w:rStyle w:val="Hyperlink"/>
            <w:rFonts w:ascii="Arial" w:hAnsi="Arial" w:cs="Arial"/>
            <w:sz w:val="22"/>
            <w:szCs w:val="22"/>
          </w:rPr>
          <w:t>https://doi.org/10.3389/fpsyg.2017.01687</w:t>
        </w:r>
      </w:hyperlink>
      <w:r w:rsidRPr="00B10FD1">
        <w:rPr>
          <w:rStyle w:val="url"/>
          <w:rFonts w:ascii="Arial" w:hAnsi="Arial" w:cs="Arial"/>
          <w:color w:val="000000" w:themeColor="text1"/>
          <w:sz w:val="22"/>
          <w:szCs w:val="22"/>
        </w:rPr>
        <w:t xml:space="preserve"> </w:t>
      </w:r>
    </w:p>
    <w:p w14:paraId="228B18EB"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Veazie, S., Gilbert, J., Winchell, K., Paynter, R., &amp; Guise, J. (2019, February 1). </w:t>
      </w:r>
      <w:r w:rsidRPr="00B10FD1">
        <w:rPr>
          <w:rFonts w:ascii="Arial" w:hAnsi="Arial" w:cs="Arial"/>
          <w:i/>
          <w:iCs/>
          <w:color w:val="000000" w:themeColor="text1"/>
          <w:sz w:val="22"/>
          <w:szCs w:val="22"/>
        </w:rPr>
        <w:t>Social isolation and Loneliness Definitions and Measures</w:t>
      </w:r>
      <w:r w:rsidRPr="00B10FD1">
        <w:rPr>
          <w:rFonts w:ascii="Arial" w:hAnsi="Arial" w:cs="Arial"/>
          <w:color w:val="000000" w:themeColor="text1"/>
          <w:sz w:val="22"/>
          <w:szCs w:val="22"/>
        </w:rPr>
        <w:t xml:space="preserve">. Addressing Social Isolation to Improve the Health of Older Adults: A Rapid Review - NCBI Bookshelf. </w:t>
      </w:r>
      <w:hyperlink r:id="rId74" w:history="1">
        <w:r w:rsidRPr="00B10FD1">
          <w:rPr>
            <w:rStyle w:val="Hyperlink"/>
            <w:rFonts w:ascii="Arial" w:hAnsi="Arial" w:cs="Arial"/>
            <w:sz w:val="22"/>
            <w:szCs w:val="22"/>
          </w:rPr>
          <w:t>https://www.ncbi.nlm.nih.gov/books/NBK537897/</w:t>
        </w:r>
      </w:hyperlink>
      <w:r w:rsidRPr="00B10FD1">
        <w:rPr>
          <w:rStyle w:val="url"/>
          <w:rFonts w:ascii="Arial" w:hAnsi="Arial" w:cs="Arial"/>
          <w:color w:val="000000" w:themeColor="text1"/>
          <w:sz w:val="22"/>
          <w:szCs w:val="22"/>
        </w:rPr>
        <w:t xml:space="preserve"> (Accessed: July 17, 2025).</w:t>
      </w:r>
    </w:p>
    <w:p w14:paraId="4D47B68D"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lastRenderedPageBreak/>
        <w:t xml:space="preserve">van Dijk, J. (2006) ‘Digital divide research: Achievements and shortcomings’, </w:t>
      </w:r>
      <w:r w:rsidRPr="00B10FD1">
        <w:rPr>
          <w:rStyle w:val="Emphasis"/>
          <w:rFonts w:ascii="Arial" w:hAnsi="Arial" w:cs="Arial"/>
          <w:sz w:val="22"/>
          <w:szCs w:val="22"/>
        </w:rPr>
        <w:t>Poetics</w:t>
      </w:r>
      <w:r w:rsidRPr="00B10FD1">
        <w:rPr>
          <w:rFonts w:ascii="Arial" w:hAnsi="Arial" w:cs="Arial"/>
          <w:sz w:val="22"/>
          <w:szCs w:val="22"/>
        </w:rPr>
        <w:t xml:space="preserve">, 34(4–5), pp. 221–235. DOI: 10.1016/j.poetic.2006.05.004. Available at: </w:t>
      </w:r>
      <w:hyperlink r:id="rId75" w:tgtFrame="_new" w:history="1">
        <w:r w:rsidRPr="00B10FD1">
          <w:rPr>
            <w:rStyle w:val="Hyperlink"/>
            <w:rFonts w:ascii="Arial" w:hAnsi="Arial" w:cs="Arial"/>
            <w:sz w:val="22"/>
            <w:szCs w:val="22"/>
          </w:rPr>
          <w:t>https://doi.org/10.1016/j.poetic.2006.05.004</w:t>
        </w:r>
      </w:hyperlink>
    </w:p>
    <w:p w14:paraId="53332E7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proofErr w:type="spellStart"/>
      <w:r w:rsidRPr="00B10FD1">
        <w:rPr>
          <w:rFonts w:ascii="Arial" w:hAnsi="Arial" w:cs="Arial"/>
          <w:sz w:val="22"/>
          <w:szCs w:val="22"/>
        </w:rPr>
        <w:t>Vaportzis</w:t>
      </w:r>
      <w:proofErr w:type="spellEnd"/>
      <w:r w:rsidRPr="00B10FD1">
        <w:rPr>
          <w:rFonts w:ascii="Arial" w:hAnsi="Arial" w:cs="Arial"/>
          <w:sz w:val="22"/>
          <w:szCs w:val="22"/>
        </w:rPr>
        <w:t xml:space="preserve">, E., </w:t>
      </w:r>
      <w:proofErr w:type="spellStart"/>
      <w:r w:rsidRPr="00B10FD1">
        <w:rPr>
          <w:rFonts w:ascii="Arial" w:hAnsi="Arial" w:cs="Arial"/>
          <w:sz w:val="22"/>
          <w:szCs w:val="22"/>
        </w:rPr>
        <w:t>Giatsi</w:t>
      </w:r>
      <w:proofErr w:type="spellEnd"/>
      <w:r w:rsidRPr="00B10FD1">
        <w:rPr>
          <w:rFonts w:ascii="Arial" w:hAnsi="Arial" w:cs="Arial"/>
          <w:sz w:val="22"/>
          <w:szCs w:val="22"/>
        </w:rPr>
        <w:t xml:space="preserve"> Clausen, M. and Gow, A.J. (</w:t>
      </w:r>
      <w:proofErr w:type="gramStart"/>
      <w:r w:rsidRPr="00B10FD1">
        <w:rPr>
          <w:rFonts w:ascii="Arial" w:hAnsi="Arial" w:cs="Arial"/>
          <w:sz w:val="22"/>
          <w:szCs w:val="22"/>
        </w:rPr>
        <w:t>2017) ‘</w:t>
      </w:r>
      <w:proofErr w:type="gramEnd"/>
      <w:r w:rsidRPr="00B10FD1">
        <w:rPr>
          <w:rFonts w:ascii="Arial" w:hAnsi="Arial" w:cs="Arial"/>
          <w:sz w:val="22"/>
          <w:szCs w:val="22"/>
        </w:rPr>
        <w:t xml:space="preserve">Older adults’ perceptions of technology and barriers to interacting with tablet computers: A focus group study’, </w:t>
      </w:r>
      <w:r w:rsidRPr="00B10FD1">
        <w:rPr>
          <w:rStyle w:val="Emphasis"/>
          <w:rFonts w:ascii="Arial" w:hAnsi="Arial" w:cs="Arial"/>
          <w:sz w:val="22"/>
          <w:szCs w:val="22"/>
        </w:rPr>
        <w:t>Frontiers in Psychology</w:t>
      </w:r>
      <w:r w:rsidRPr="00B10FD1">
        <w:rPr>
          <w:rFonts w:ascii="Arial" w:hAnsi="Arial" w:cs="Arial"/>
          <w:sz w:val="22"/>
          <w:szCs w:val="22"/>
        </w:rPr>
        <w:t xml:space="preserve">, 8, 1687. DOI: 10.3389/fpsyg.2017.01687. Available at: </w:t>
      </w:r>
      <w:hyperlink r:id="rId76" w:history="1">
        <w:r w:rsidRPr="00B10FD1">
          <w:rPr>
            <w:rStyle w:val="Hyperlink"/>
            <w:rFonts w:ascii="Arial" w:hAnsi="Arial" w:cs="Arial"/>
            <w:sz w:val="22"/>
            <w:szCs w:val="22"/>
          </w:rPr>
          <w:t>https://www.frontiersin.org/articles/10.3389/fpsyg.2017.01687/full</w:t>
        </w:r>
      </w:hyperlink>
    </w:p>
    <w:p w14:paraId="6D8B677F"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sz w:val="22"/>
          <w:szCs w:val="22"/>
        </w:rPr>
      </w:pPr>
      <w:r w:rsidRPr="00B10FD1">
        <w:rPr>
          <w:rFonts w:ascii="Arial" w:hAnsi="Arial" w:cs="Arial"/>
          <w:sz w:val="22"/>
          <w:szCs w:val="22"/>
        </w:rPr>
        <w:t xml:space="preserve">Wilson-Menzfeld, G., Erfani, G., Young-Murphy, L., Charlton, W., De Luca, H., Brittain, K. and Steven, A. (2024) ‘Identifying and understanding digital exclusion: A mixed-methods study’, </w:t>
      </w:r>
      <w:proofErr w:type="spellStart"/>
      <w:r w:rsidRPr="00B10FD1">
        <w:rPr>
          <w:rStyle w:val="Emphasis"/>
          <w:rFonts w:ascii="Arial" w:hAnsi="Arial" w:cs="Arial"/>
          <w:sz w:val="22"/>
          <w:szCs w:val="22"/>
        </w:rPr>
        <w:t>Behaviour</w:t>
      </w:r>
      <w:proofErr w:type="spellEnd"/>
      <w:r w:rsidRPr="00B10FD1">
        <w:rPr>
          <w:rStyle w:val="Emphasis"/>
          <w:rFonts w:ascii="Arial" w:hAnsi="Arial" w:cs="Arial"/>
          <w:sz w:val="22"/>
          <w:szCs w:val="22"/>
        </w:rPr>
        <w:t xml:space="preserve"> &amp; Information Technology</w:t>
      </w:r>
      <w:r w:rsidRPr="00B10FD1">
        <w:rPr>
          <w:rFonts w:ascii="Arial" w:hAnsi="Arial" w:cs="Arial"/>
          <w:sz w:val="22"/>
          <w:szCs w:val="22"/>
        </w:rPr>
        <w:t>. DOI: 10.1080/0144929X.2024.2368087. Available at: https://www.tandfonline.com/doi/full/10.1080/0144929X.2024.2368087</w:t>
      </w:r>
    </w:p>
    <w:p w14:paraId="180E572B"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Wani, A., </w:t>
      </w:r>
      <w:proofErr w:type="spellStart"/>
      <w:r w:rsidRPr="00B10FD1">
        <w:rPr>
          <w:rFonts w:ascii="Arial" w:hAnsi="Arial" w:cs="Arial"/>
          <w:color w:val="000000" w:themeColor="text1"/>
          <w:sz w:val="22"/>
          <w:szCs w:val="22"/>
        </w:rPr>
        <w:t>Ganaie</w:t>
      </w:r>
      <w:proofErr w:type="spellEnd"/>
      <w:r w:rsidRPr="00B10FD1">
        <w:rPr>
          <w:rFonts w:ascii="Arial" w:hAnsi="Arial" w:cs="Arial"/>
          <w:color w:val="000000" w:themeColor="text1"/>
          <w:sz w:val="22"/>
          <w:szCs w:val="22"/>
        </w:rPr>
        <w:t xml:space="preserve">, S., &amp; Shafi, A. (2024). Family transition and older adults: does age still matter? </w:t>
      </w:r>
      <w:r w:rsidRPr="00B10FD1">
        <w:rPr>
          <w:rFonts w:ascii="Arial" w:hAnsi="Arial" w:cs="Arial"/>
          <w:i/>
          <w:iCs/>
          <w:color w:val="000000" w:themeColor="text1"/>
          <w:sz w:val="22"/>
          <w:szCs w:val="22"/>
        </w:rPr>
        <w:t>Working With Older People</w:t>
      </w:r>
      <w:r w:rsidRPr="00B10FD1">
        <w:rPr>
          <w:rFonts w:ascii="Arial" w:hAnsi="Arial" w:cs="Arial"/>
          <w:color w:val="000000" w:themeColor="text1"/>
          <w:sz w:val="22"/>
          <w:szCs w:val="22"/>
        </w:rPr>
        <w:t xml:space="preserve">. </w:t>
      </w:r>
      <w:hyperlink r:id="rId77" w:history="1">
        <w:r w:rsidRPr="00B10FD1">
          <w:rPr>
            <w:rStyle w:val="Hyperlink"/>
            <w:rFonts w:ascii="Arial" w:hAnsi="Arial" w:cs="Arial"/>
            <w:sz w:val="22"/>
            <w:szCs w:val="22"/>
          </w:rPr>
          <w:t>https://doi.org/10.1108/wwop-02-2024-0010</w:t>
        </w:r>
      </w:hyperlink>
      <w:r w:rsidRPr="00B10FD1">
        <w:rPr>
          <w:rStyle w:val="url"/>
          <w:rFonts w:ascii="Arial" w:hAnsi="Arial" w:cs="Arial"/>
          <w:color w:val="000000" w:themeColor="text1"/>
          <w:sz w:val="22"/>
          <w:szCs w:val="22"/>
        </w:rPr>
        <w:t xml:space="preserve"> </w:t>
      </w:r>
    </w:p>
    <w:p w14:paraId="7932D2F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Wilson, J., Heinsch, M., Betts, D., Booth, D., &amp; Kay-Lambkin, F. (2021). Barriers and facilitators to the use of e-health by older adults: a scoping review. </w:t>
      </w:r>
      <w:r w:rsidRPr="00B10FD1">
        <w:rPr>
          <w:rFonts w:ascii="Arial" w:hAnsi="Arial" w:cs="Arial"/>
          <w:i/>
          <w:iCs/>
          <w:color w:val="000000" w:themeColor="text1"/>
          <w:sz w:val="22"/>
          <w:szCs w:val="22"/>
        </w:rPr>
        <w:t>BMC Public Health</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21</w:t>
      </w:r>
      <w:r w:rsidRPr="00B10FD1">
        <w:rPr>
          <w:rFonts w:ascii="Arial" w:hAnsi="Arial" w:cs="Arial"/>
          <w:color w:val="000000" w:themeColor="text1"/>
          <w:sz w:val="22"/>
          <w:szCs w:val="22"/>
        </w:rPr>
        <w:t xml:space="preserve">(1). </w:t>
      </w:r>
      <w:hyperlink r:id="rId78" w:history="1">
        <w:r w:rsidRPr="00B10FD1">
          <w:rPr>
            <w:rStyle w:val="Hyperlink"/>
            <w:rFonts w:ascii="Arial" w:hAnsi="Arial" w:cs="Arial"/>
            <w:sz w:val="22"/>
            <w:szCs w:val="22"/>
          </w:rPr>
          <w:t>https://doi.org/10.1186/s12889-021-11623-w</w:t>
        </w:r>
      </w:hyperlink>
      <w:r w:rsidRPr="00B10FD1">
        <w:rPr>
          <w:rStyle w:val="url"/>
          <w:rFonts w:ascii="Arial" w:hAnsi="Arial" w:cs="Arial"/>
          <w:color w:val="000000" w:themeColor="text1"/>
          <w:sz w:val="22"/>
          <w:szCs w:val="22"/>
        </w:rPr>
        <w:t xml:space="preserve"> </w:t>
      </w:r>
    </w:p>
    <w:p w14:paraId="2DD4B02A"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Wilson-Menzfeld, G., Erfani, G., Young-Murphy, L., Charlton, W., De Luca, H., Brittain, K., &amp; Steven, A. (2024). Identifying and understanding digital exclusion: a mixed-methods study. </w:t>
      </w:r>
      <w:proofErr w:type="spellStart"/>
      <w:r w:rsidRPr="00B10FD1">
        <w:rPr>
          <w:rFonts w:ascii="Arial" w:hAnsi="Arial" w:cs="Arial"/>
          <w:i/>
          <w:iCs/>
          <w:color w:val="000000" w:themeColor="text1"/>
          <w:sz w:val="22"/>
          <w:szCs w:val="22"/>
        </w:rPr>
        <w:t>Behaviour</w:t>
      </w:r>
      <w:proofErr w:type="spellEnd"/>
      <w:r w:rsidRPr="00B10FD1">
        <w:rPr>
          <w:rFonts w:ascii="Arial" w:hAnsi="Arial" w:cs="Arial"/>
          <w:i/>
          <w:iCs/>
          <w:color w:val="000000" w:themeColor="text1"/>
          <w:sz w:val="22"/>
          <w:szCs w:val="22"/>
        </w:rPr>
        <w:t xml:space="preserve"> and Information Technology</w:t>
      </w:r>
      <w:r w:rsidRPr="00B10FD1">
        <w:rPr>
          <w:rFonts w:ascii="Arial" w:hAnsi="Arial" w:cs="Arial"/>
          <w:color w:val="000000" w:themeColor="text1"/>
          <w:sz w:val="22"/>
          <w:szCs w:val="22"/>
        </w:rPr>
        <w:t xml:space="preserve">, 1–18. </w:t>
      </w:r>
      <w:hyperlink r:id="rId79" w:history="1">
        <w:r w:rsidRPr="00B10FD1">
          <w:rPr>
            <w:rStyle w:val="Hyperlink"/>
            <w:rFonts w:ascii="Arial" w:hAnsi="Arial" w:cs="Arial"/>
            <w:sz w:val="22"/>
            <w:szCs w:val="22"/>
          </w:rPr>
          <w:t>https://doi.org/10.1080/0144929x.2024.2368087</w:t>
        </w:r>
      </w:hyperlink>
      <w:r w:rsidRPr="00B10FD1">
        <w:rPr>
          <w:rStyle w:val="url"/>
          <w:rFonts w:ascii="Arial" w:hAnsi="Arial" w:cs="Arial"/>
          <w:color w:val="000000" w:themeColor="text1"/>
          <w:sz w:val="22"/>
          <w:szCs w:val="22"/>
        </w:rPr>
        <w:t xml:space="preserve"> </w:t>
      </w:r>
    </w:p>
    <w:p w14:paraId="53771219"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World Health Organization: WHO. (2022, June 17). </w:t>
      </w:r>
      <w:r w:rsidRPr="00B10FD1">
        <w:rPr>
          <w:rFonts w:ascii="Arial" w:hAnsi="Arial" w:cs="Arial"/>
          <w:i/>
          <w:iCs/>
          <w:color w:val="000000" w:themeColor="text1"/>
          <w:sz w:val="22"/>
          <w:szCs w:val="22"/>
        </w:rPr>
        <w:t>Mental health</w:t>
      </w:r>
      <w:r w:rsidRPr="00B10FD1">
        <w:rPr>
          <w:rFonts w:ascii="Arial" w:hAnsi="Arial" w:cs="Arial"/>
          <w:color w:val="000000" w:themeColor="text1"/>
          <w:sz w:val="22"/>
          <w:szCs w:val="22"/>
        </w:rPr>
        <w:t xml:space="preserve">. </w:t>
      </w:r>
      <w:hyperlink r:id="rId80" w:history="1">
        <w:r w:rsidRPr="00B10FD1">
          <w:rPr>
            <w:rStyle w:val="Hyperlink"/>
            <w:rFonts w:ascii="Arial" w:hAnsi="Arial" w:cs="Arial"/>
            <w:sz w:val="22"/>
            <w:szCs w:val="22"/>
          </w:rPr>
          <w:t>https://www.who.int/news-room/fact-sheets/detail/mental-health-strengthening-our-response</w:t>
        </w:r>
      </w:hyperlink>
      <w:r w:rsidRPr="00B10FD1">
        <w:rPr>
          <w:rStyle w:val="url"/>
          <w:rFonts w:ascii="Arial" w:hAnsi="Arial" w:cs="Arial"/>
          <w:color w:val="000000" w:themeColor="text1"/>
          <w:sz w:val="22"/>
          <w:szCs w:val="22"/>
        </w:rPr>
        <w:t xml:space="preserve"> (Accessed: July 17, 2025).</w:t>
      </w:r>
    </w:p>
    <w:p w14:paraId="19FE36EE"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color w:val="000000" w:themeColor="text1"/>
          <w:sz w:val="22"/>
          <w:szCs w:val="22"/>
        </w:rPr>
        <w:t xml:space="preserve">Zapletal, A., Wells, T., Russell, E., &amp; Skinner, M. W. (2023). On the triple exclusion of older adults during COVID-19: Technology, digital literacy and social isolation. </w:t>
      </w:r>
      <w:r w:rsidRPr="00B10FD1">
        <w:rPr>
          <w:rFonts w:ascii="Arial" w:hAnsi="Arial" w:cs="Arial"/>
          <w:i/>
          <w:iCs/>
          <w:color w:val="000000" w:themeColor="text1"/>
          <w:sz w:val="22"/>
          <w:szCs w:val="22"/>
        </w:rPr>
        <w:t>Social Sciences &amp; Humanities Open</w:t>
      </w:r>
      <w:r w:rsidRPr="00B10FD1">
        <w:rPr>
          <w:rFonts w:ascii="Arial" w:hAnsi="Arial" w:cs="Arial"/>
          <w:color w:val="000000" w:themeColor="text1"/>
          <w:sz w:val="22"/>
          <w:szCs w:val="22"/>
        </w:rPr>
        <w:t xml:space="preserve">, </w:t>
      </w:r>
      <w:r w:rsidRPr="00B10FD1">
        <w:rPr>
          <w:rFonts w:ascii="Arial" w:hAnsi="Arial" w:cs="Arial"/>
          <w:i/>
          <w:iCs/>
          <w:color w:val="000000" w:themeColor="text1"/>
          <w:sz w:val="22"/>
          <w:szCs w:val="22"/>
        </w:rPr>
        <w:t>8</w:t>
      </w:r>
      <w:r w:rsidRPr="00B10FD1">
        <w:rPr>
          <w:rFonts w:ascii="Arial" w:hAnsi="Arial" w:cs="Arial"/>
          <w:color w:val="000000" w:themeColor="text1"/>
          <w:sz w:val="22"/>
          <w:szCs w:val="22"/>
        </w:rPr>
        <w:t xml:space="preserve">(1), 100511. </w:t>
      </w:r>
      <w:hyperlink r:id="rId81" w:history="1">
        <w:r w:rsidRPr="00B10FD1">
          <w:rPr>
            <w:rStyle w:val="Hyperlink"/>
            <w:rFonts w:ascii="Arial" w:hAnsi="Arial" w:cs="Arial"/>
            <w:sz w:val="22"/>
            <w:szCs w:val="22"/>
          </w:rPr>
          <w:t>https://doi.org/10.1016/j.ssaho.2023.100511</w:t>
        </w:r>
      </w:hyperlink>
      <w:r w:rsidRPr="00B10FD1">
        <w:rPr>
          <w:rStyle w:val="url"/>
          <w:rFonts w:ascii="Arial" w:hAnsi="Arial" w:cs="Arial"/>
          <w:color w:val="000000" w:themeColor="text1"/>
          <w:sz w:val="22"/>
          <w:szCs w:val="22"/>
        </w:rPr>
        <w:t xml:space="preserve"> </w:t>
      </w:r>
    </w:p>
    <w:p w14:paraId="488E06E0" w14:textId="77777777" w:rsidR="006041C3" w:rsidRPr="00B10FD1" w:rsidRDefault="006041C3" w:rsidP="006041C3">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B10FD1">
        <w:rPr>
          <w:rFonts w:ascii="Arial" w:hAnsi="Arial" w:cs="Arial"/>
          <w:sz w:val="22"/>
          <w:szCs w:val="22"/>
        </w:rPr>
        <w:t xml:space="preserve">Zhang, J., </w:t>
      </w:r>
      <w:proofErr w:type="spellStart"/>
      <w:r w:rsidRPr="00B10FD1">
        <w:rPr>
          <w:rFonts w:ascii="Arial" w:hAnsi="Arial" w:cs="Arial"/>
          <w:sz w:val="22"/>
          <w:szCs w:val="22"/>
        </w:rPr>
        <w:t>Gallifant</w:t>
      </w:r>
      <w:proofErr w:type="spellEnd"/>
      <w:r w:rsidRPr="00B10FD1">
        <w:rPr>
          <w:rFonts w:ascii="Arial" w:hAnsi="Arial" w:cs="Arial"/>
          <w:sz w:val="22"/>
          <w:szCs w:val="22"/>
        </w:rPr>
        <w:t xml:space="preserve">, J., Pierce, R.L., Fordham, A., Teo, J.T.H., Celi, L.A. and </w:t>
      </w:r>
      <w:proofErr w:type="spellStart"/>
      <w:r w:rsidRPr="00B10FD1">
        <w:rPr>
          <w:rFonts w:ascii="Arial" w:hAnsi="Arial" w:cs="Arial"/>
          <w:sz w:val="22"/>
          <w:szCs w:val="22"/>
        </w:rPr>
        <w:t>Ashrafian</w:t>
      </w:r>
      <w:proofErr w:type="spellEnd"/>
      <w:r w:rsidRPr="00B10FD1">
        <w:rPr>
          <w:rFonts w:ascii="Arial" w:hAnsi="Arial" w:cs="Arial"/>
          <w:sz w:val="22"/>
          <w:szCs w:val="22"/>
        </w:rPr>
        <w:t>, H. (</w:t>
      </w:r>
      <w:proofErr w:type="gramStart"/>
      <w:r w:rsidRPr="00B10FD1">
        <w:rPr>
          <w:rFonts w:ascii="Arial" w:hAnsi="Arial" w:cs="Arial"/>
          <w:sz w:val="22"/>
          <w:szCs w:val="22"/>
        </w:rPr>
        <w:t>2023) ‘</w:t>
      </w:r>
      <w:proofErr w:type="gramEnd"/>
      <w:r w:rsidRPr="00B10FD1">
        <w:rPr>
          <w:rFonts w:ascii="Arial" w:hAnsi="Arial" w:cs="Arial"/>
          <w:sz w:val="22"/>
          <w:szCs w:val="22"/>
        </w:rPr>
        <w:t xml:space="preserve">Quantifying digital health inequality across a national healthcare system’, </w:t>
      </w:r>
      <w:r w:rsidRPr="00B10FD1">
        <w:rPr>
          <w:rStyle w:val="Emphasis"/>
          <w:rFonts w:ascii="Arial" w:hAnsi="Arial" w:cs="Arial"/>
          <w:sz w:val="22"/>
          <w:szCs w:val="22"/>
        </w:rPr>
        <w:t>BMJ Health &amp; Care Informatics</w:t>
      </w:r>
      <w:r w:rsidRPr="00B10FD1">
        <w:rPr>
          <w:rFonts w:ascii="Arial" w:hAnsi="Arial" w:cs="Arial"/>
          <w:sz w:val="22"/>
          <w:szCs w:val="22"/>
        </w:rPr>
        <w:t xml:space="preserve">, 30(1), e100809. DOI: 10.1136/bmjhci-2023-100809. Available at: </w:t>
      </w:r>
      <w:hyperlink r:id="rId82" w:tgtFrame="_new" w:history="1">
        <w:r w:rsidRPr="00B10FD1">
          <w:rPr>
            <w:rStyle w:val="Hyperlink"/>
            <w:rFonts w:ascii="Arial" w:hAnsi="Arial" w:cs="Arial"/>
            <w:sz w:val="22"/>
            <w:szCs w:val="22"/>
          </w:rPr>
          <w:t>https://informatics.bmj.com/content/30/1/e100809</w:t>
        </w:r>
      </w:hyperlink>
    </w:p>
    <w:p w14:paraId="0BAAA4FB" w14:textId="77777777" w:rsidR="009D728F" w:rsidRDefault="009D728F"/>
    <w:sectPr w:rsidR="009D728F" w:rsidSect="00214C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97968"/>
    <w:multiLevelType w:val="hybridMultilevel"/>
    <w:tmpl w:val="9690A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6171F"/>
    <w:multiLevelType w:val="hybridMultilevel"/>
    <w:tmpl w:val="8C8A1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AA4871"/>
    <w:multiLevelType w:val="hybridMultilevel"/>
    <w:tmpl w:val="CA081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1160763">
    <w:abstractNumId w:val="2"/>
  </w:num>
  <w:num w:numId="2" w16cid:durableId="1445929082">
    <w:abstractNumId w:val="0"/>
  </w:num>
  <w:num w:numId="3" w16cid:durableId="1989556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46F"/>
    <w:rsid w:val="00214C3A"/>
    <w:rsid w:val="006041C3"/>
    <w:rsid w:val="009D728F"/>
    <w:rsid w:val="00BD0A53"/>
    <w:rsid w:val="00CD549A"/>
    <w:rsid w:val="00D20C28"/>
    <w:rsid w:val="00DE0235"/>
    <w:rsid w:val="00E26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49A9B"/>
  <w15:chartTrackingRefBased/>
  <w15:docId w15:val="{E5DE2783-0AD6-4A3E-89D1-23C296CEF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1C3"/>
    <w:rPr>
      <w:rFonts w:ascii="Arial" w:hAnsi="Arial"/>
    </w:rPr>
  </w:style>
  <w:style w:type="paragraph" w:styleId="Heading1">
    <w:name w:val="heading 1"/>
    <w:basedOn w:val="Normal"/>
    <w:next w:val="Normal"/>
    <w:link w:val="Heading1Char"/>
    <w:autoRedefine/>
    <w:uiPriority w:val="9"/>
    <w:qFormat/>
    <w:rsid w:val="00D20C28"/>
    <w:pPr>
      <w:keepNext/>
      <w:keepLines/>
      <w:spacing w:before="120" w:after="120" w:line="360" w:lineRule="auto"/>
      <w:jc w:val="both"/>
      <w:outlineLvl w:val="0"/>
    </w:pPr>
    <w:rPr>
      <w:rFonts w:eastAsia="Times New Roman" w:cs="Arial"/>
      <w:b/>
      <w:color w:val="000000" w:themeColor="text1"/>
      <w:sz w:val="32"/>
    </w:rPr>
  </w:style>
  <w:style w:type="paragraph" w:styleId="Heading2">
    <w:name w:val="heading 2"/>
    <w:basedOn w:val="Normal"/>
    <w:link w:val="Heading2Char"/>
    <w:uiPriority w:val="9"/>
    <w:qFormat/>
    <w:rsid w:val="006041C3"/>
    <w:pPr>
      <w:spacing w:before="100" w:beforeAutospacing="1" w:after="100" w:afterAutospacing="1" w:line="240" w:lineRule="auto"/>
      <w:outlineLvl w:val="1"/>
    </w:pPr>
    <w:rPr>
      <w:rFonts w:ascii="Times New Roman" w:eastAsia="Times New Roman" w:hAnsi="Times New Roman" w:cs="Times New Roman"/>
      <w:b/>
      <w:bCs/>
      <w:sz w:val="28"/>
      <w:szCs w:val="36"/>
    </w:rPr>
  </w:style>
  <w:style w:type="paragraph" w:styleId="Heading3">
    <w:name w:val="heading 3"/>
    <w:basedOn w:val="Normal"/>
    <w:link w:val="Heading3Char"/>
    <w:uiPriority w:val="9"/>
    <w:qFormat/>
    <w:rsid w:val="006041C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C28"/>
    <w:rPr>
      <w:rFonts w:ascii="Arial" w:eastAsia="Times New Roman" w:hAnsi="Arial" w:cs="Arial"/>
      <w:b/>
      <w:color w:val="000000" w:themeColor="text1"/>
      <w:sz w:val="32"/>
    </w:rPr>
  </w:style>
  <w:style w:type="character" w:customStyle="1" w:styleId="Heading2Char">
    <w:name w:val="Heading 2 Char"/>
    <w:basedOn w:val="DefaultParagraphFont"/>
    <w:link w:val="Heading2"/>
    <w:uiPriority w:val="9"/>
    <w:rsid w:val="006041C3"/>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6041C3"/>
    <w:rPr>
      <w:rFonts w:ascii="Times New Roman" w:eastAsia="Times New Roman" w:hAnsi="Times New Roman" w:cs="Times New Roman"/>
      <w:b/>
      <w:bCs/>
      <w:sz w:val="27"/>
      <w:szCs w:val="27"/>
    </w:rPr>
  </w:style>
  <w:style w:type="paragraph" w:styleId="NormalWeb">
    <w:name w:val="Normal (Web)"/>
    <w:basedOn w:val="Normal"/>
    <w:uiPriority w:val="99"/>
    <w:unhideWhenUsed/>
    <w:rsid w:val="006041C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041C3"/>
    <w:rPr>
      <w:b/>
      <w:bCs/>
    </w:rPr>
  </w:style>
  <w:style w:type="paragraph" w:styleId="ListParagraph">
    <w:name w:val="List Paragraph"/>
    <w:basedOn w:val="Normal"/>
    <w:uiPriority w:val="34"/>
    <w:qFormat/>
    <w:rsid w:val="006041C3"/>
    <w:pPr>
      <w:spacing w:line="256" w:lineRule="auto"/>
      <w:ind w:left="720"/>
      <w:contextualSpacing/>
    </w:pPr>
    <w:rPr>
      <w:rFonts w:ascii="Times New Roman" w:hAnsi="Times New Roman"/>
      <w:sz w:val="24"/>
      <w:lang w:val="en-GB"/>
    </w:rPr>
  </w:style>
  <w:style w:type="character" w:customStyle="1" w:styleId="url">
    <w:name w:val="url"/>
    <w:basedOn w:val="DefaultParagraphFont"/>
    <w:rsid w:val="006041C3"/>
  </w:style>
  <w:style w:type="character" w:styleId="Hyperlink">
    <w:name w:val="Hyperlink"/>
    <w:basedOn w:val="DefaultParagraphFont"/>
    <w:uiPriority w:val="99"/>
    <w:unhideWhenUsed/>
    <w:rsid w:val="006041C3"/>
    <w:rPr>
      <w:color w:val="0563C1" w:themeColor="hyperlink"/>
      <w:u w:val="single"/>
    </w:rPr>
  </w:style>
  <w:style w:type="character" w:styleId="Emphasis">
    <w:name w:val="Emphasis"/>
    <w:basedOn w:val="DefaultParagraphFont"/>
    <w:uiPriority w:val="20"/>
    <w:qFormat/>
    <w:rsid w:val="006041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ra.europa.eu/en/news/2023/ensuring-access-public-services-older-people-digital-societies" TargetMode="External"/><Relationship Id="rId21" Type="http://schemas.openxmlformats.org/officeDocument/2006/relationships/hyperlink" Target="https://www.gov.uk/government/publications/a-plan-for-digital-health-and-social-care?utm_source=chatgpt.com" TargetMode="External"/><Relationship Id="rId42" Type="http://schemas.openxmlformats.org/officeDocument/2006/relationships/hyperlink" Target="https://doi.org/10.2196/25887" TargetMode="External"/><Relationship Id="rId47" Type="http://schemas.openxmlformats.org/officeDocument/2006/relationships/hyperlink" Target="https://doi.org/10.1097/XEB.0000000000000062" TargetMode="External"/><Relationship Id="rId63" Type="http://schemas.openxmlformats.org/officeDocument/2006/relationships/hyperlink" Target="https://doi.org/10.1186/1471-2288-8-45" TargetMode="External"/><Relationship Id="rId68" Type="http://schemas.openxmlformats.org/officeDocument/2006/relationships/hyperlink" Target="https://doi.org/10.24310/innoeduca.2023.v9i1.16433" TargetMode="External"/><Relationship Id="rId84" Type="http://schemas.openxmlformats.org/officeDocument/2006/relationships/theme" Target="theme/theme1.xml"/><Relationship Id="rId16" Type="http://schemas.openxmlformats.org/officeDocument/2006/relationships/hyperlink" Target="https://researchbriefings.files.parliament.uk/documents/CDP-2024-0041/CDP-2024-0041.pdf" TargetMode="External"/><Relationship Id="rId11" Type="http://schemas.openxmlformats.org/officeDocument/2006/relationships/hyperlink" Target="https://doi.org/10.2196/58035" TargetMode="External"/><Relationship Id="rId32" Type="http://schemas.openxmlformats.org/officeDocument/2006/relationships/hyperlink" Target="https://www.health.org.uk/features-and-opinion/blogs/the-plan-for-digital-health-and-social-care-what-will-be-needed-to?utm_source=chatgpt.com" TargetMode="External"/><Relationship Id="rId37" Type="http://schemas.openxmlformats.org/officeDocument/2006/relationships/hyperlink" Target="https://doi.org/10.1002/wps.21224" TargetMode="External"/><Relationship Id="rId53" Type="http://schemas.openxmlformats.org/officeDocument/2006/relationships/hyperlink" Target="https://www.england.nhs.uk/long-read/inclusive-digital-healthcare-a-framework-for-nhs-action-on-digital-inclusion/?utm_source=chatgpt.com" TargetMode="External"/><Relationship Id="rId58" Type="http://schemas.openxmlformats.org/officeDocument/2006/relationships/hyperlink" Target="https://doi.org/10.14293/s2199-1006.1.sor-.pp2hohn.v1" TargetMode="External"/><Relationship Id="rId74" Type="http://schemas.openxmlformats.org/officeDocument/2006/relationships/hyperlink" Target="https://www.ncbi.nlm.nih.gov/books/NBK537897/" TargetMode="External"/><Relationship Id="rId79" Type="http://schemas.openxmlformats.org/officeDocument/2006/relationships/hyperlink" Target="https://doi.org/10.1080/0144929x.2024.2368087" TargetMode="External"/><Relationship Id="rId5" Type="http://schemas.openxmlformats.org/officeDocument/2006/relationships/hyperlink" Target="https://www.age-platform.eu/age-uk-campaigns-against-loneliness-in-old-age/" TargetMode="External"/><Relationship Id="rId61" Type="http://schemas.openxmlformats.org/officeDocument/2006/relationships/hyperlink" Target="https://doi.org/10.1016/j.chbr.2022.100179" TargetMode="External"/><Relationship Id="rId82" Type="http://schemas.openxmlformats.org/officeDocument/2006/relationships/hyperlink" Target="https://informatics.bmj.com/content/30/1/e100809?utm_source=chatgpt.com" TargetMode="External"/><Relationship Id="rId19" Type="http://schemas.openxmlformats.org/officeDocument/2006/relationships/hyperlink" Target="https://www.gov.uk/government/publications/uks-digital-strategy" TargetMode="External"/><Relationship Id="rId14" Type="http://schemas.openxmlformats.org/officeDocument/2006/relationships/hyperlink" Target="https://www.cam.ac.uk/stories/digitaldivide" TargetMode="External"/><Relationship Id="rId22" Type="http://schemas.openxmlformats.org/officeDocument/2006/relationships/hyperlink" Target="https://digitalinclusionkit.org/wp-content/uploads/2022/12/100-Digital-Leeds-model-for-a-community-based-approach-to-digital-inclusion.pdf?utm_source=chatgpt.com" TargetMode="External"/><Relationship Id="rId27" Type="http://schemas.openxmlformats.org/officeDocument/2006/relationships/hyperlink" Target="https://doi.org/10.1108/jpbafm-09-2024-0186" TargetMode="External"/><Relationship Id="rId30" Type="http://schemas.openxmlformats.org/officeDocument/2006/relationships/hyperlink" Target="https://www.ncbi.nlm.nih.gov/books/NBK316274/" TargetMode="External"/><Relationship Id="rId35" Type="http://schemas.openxmlformats.org/officeDocument/2006/relationships/hyperlink" Target="https://doi.org/10.1093/geront/1.1.8" TargetMode="External"/><Relationship Id="rId43" Type="http://schemas.openxmlformats.org/officeDocument/2006/relationships/hyperlink" Target="https://www.jmir.org/2021/11/e25887?utm_source=chatgpt.com" TargetMode="External"/><Relationship Id="rId48" Type="http://schemas.openxmlformats.org/officeDocument/2006/relationships/hyperlink" Target="https://www.ncbi.nlm.nih.gov/books/NBK557969/" TargetMode="External"/><Relationship Id="rId56" Type="http://schemas.openxmlformats.org/officeDocument/2006/relationships/hyperlink" Target="https://doi.org/10.1136/bmj.n71" TargetMode="External"/><Relationship Id="rId64" Type="http://schemas.openxmlformats.org/officeDocument/2006/relationships/hyperlink" Target="https://doi.org/10.1093/intqhc/mzm042" TargetMode="External"/><Relationship Id="rId69" Type="http://schemas.openxmlformats.org/officeDocument/2006/relationships/hyperlink" Target="https://doi.org/10.1080/13607863.2010.501057" TargetMode="External"/><Relationship Id="rId77" Type="http://schemas.openxmlformats.org/officeDocument/2006/relationships/hyperlink" Target="https://doi.org/10.1108/wwop-02-2024-0010" TargetMode="External"/><Relationship Id="rId8" Type="http://schemas.openxmlformats.org/officeDocument/2006/relationships/hyperlink" Target="https://www.ageuk.org.uk/siteassets/documents/reports-and-publications/reports-and-briefings/health--wellbeing/age-uk-briefing-state-of-health-and-care-july-2023-abridged-version.pdf?utm_source=chatgpt.com" TargetMode="External"/><Relationship Id="rId51" Type="http://schemas.openxmlformats.org/officeDocument/2006/relationships/hyperlink" Target="https://www.england.nhs.uk/about/nhs-history/" TargetMode="External"/><Relationship Id="rId72" Type="http://schemas.openxmlformats.org/officeDocument/2006/relationships/hyperlink" Target="https://doi.org/10.1016/j.poetic.2006.05.004" TargetMode="External"/><Relationship Id="rId80"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12" Type="http://schemas.openxmlformats.org/officeDocument/2006/relationships/hyperlink" Target="https://www.marxists.org/reference/subject/philosophy/works/fr/bourdieu-forms-capital.htm" TargetMode="External"/><Relationship Id="rId17" Type="http://schemas.openxmlformats.org/officeDocument/2006/relationships/hyperlink" Target="https://doi.org/10.1017/s0144686x00004025" TargetMode="External"/><Relationship Id="rId25" Type="http://schemas.openxmlformats.org/officeDocument/2006/relationships/hyperlink" Target="https://www.frontiersin.org/articles/10.3389/fsoc.2023.1268613/full" TargetMode="External"/><Relationship Id="rId33" Type="http://schemas.openxmlformats.org/officeDocument/2006/relationships/hyperlink" Target="https://www.health.org.uk/press-office/press-releases/estimated-21-billion-required-over-next-5-years-to-digitise-nhs-and-adult-social-care-across-uk?utm_source=chatgpt.com" TargetMode="External"/><Relationship Id="rId38" Type="http://schemas.openxmlformats.org/officeDocument/2006/relationships/hyperlink" Target="https://doi.org/10.3389/fdgth.2023.1168413" TargetMode="External"/><Relationship Id="rId46" Type="http://schemas.openxmlformats.org/officeDocument/2006/relationships/hyperlink" Target="https://doi.org/10.1186/s13012-017-0688-3" TargetMode="External"/><Relationship Id="rId59" Type="http://schemas.openxmlformats.org/officeDocument/2006/relationships/hyperlink" Target="https://doi.org/10.1016/j.chbr.2022.100179" TargetMode="External"/><Relationship Id="rId67" Type="http://schemas.openxmlformats.org/officeDocument/2006/relationships/hyperlink" Target="https://www.jmir.org/2011/4/e93" TargetMode="External"/><Relationship Id="rId20" Type="http://schemas.openxmlformats.org/officeDocument/2006/relationships/hyperlink" Target="https://assets.publishing.service.gov.uk/media/66e0430ffd14944ed96c5b6a/Annual_Libraries_Report_2023-2024_-_accessible_.pdf?utm_source=chatgpt.com" TargetMode="External"/><Relationship Id="rId41" Type="http://schemas.openxmlformats.org/officeDocument/2006/relationships/hyperlink" Target="https://doi.org/10.23750/abm.v91i3.10079" TargetMode="External"/><Relationship Id="rId54" Type="http://schemas.openxmlformats.org/officeDocument/2006/relationships/hyperlink" Target="https://doi.org/10.1155/2012/382972" TargetMode="External"/><Relationship Id="rId62" Type="http://schemas.openxmlformats.org/officeDocument/2006/relationships/hyperlink" Target="https://doi.org/10.1002/1098-240X(200008)23:4%3c334::AID-NUR9%3e3.0.CO;2-G" TargetMode="External"/><Relationship Id="rId70" Type="http://schemas.openxmlformats.org/officeDocument/2006/relationships/hyperlink" Target="https://doi.org/10.1177/0163443710393865" TargetMode="External"/><Relationship Id="rId75" Type="http://schemas.openxmlformats.org/officeDocument/2006/relationships/hyperlink" Target="https://doi.org/10.1016/j.poetic.2006.05.004"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geuk.org.uk/latest-press/articles/2023/age-uk-analysis-reveals-that-almost-6-million-people-5800000-aged-65-are-either-unable-to-use-the-internet-safely-and-successfully-or-arent-online-at-all/" TargetMode="External"/><Relationship Id="rId15" Type="http://schemas.openxmlformats.org/officeDocument/2006/relationships/hyperlink" Target="https://www.openaccessgovernment.org/rural-vs-urban-broadband-connectivity/66215/" TargetMode="External"/><Relationship Id="rId23" Type="http://schemas.openxmlformats.org/officeDocument/2006/relationships/hyperlink" Target="https://fra.europa.eu/en/publication/2023/older-people-digital-rights?utm_source=chatgpt.com" TargetMode="External"/><Relationship Id="rId28" Type="http://schemas.openxmlformats.org/officeDocument/2006/relationships/hyperlink" Target="https://doi.org/10.1001/jama.2024.3456" TargetMode="External"/><Relationship Id="rId36" Type="http://schemas.openxmlformats.org/officeDocument/2006/relationships/hyperlink" Target="https://digitalinclusionleeds.com/launching-the-100-digital-leeds-model-for-a-community-based-approach-to-digital-inclusion" TargetMode="External"/><Relationship Id="rId49" Type="http://schemas.openxmlformats.org/officeDocument/2006/relationships/hyperlink" Target="https://www.gov.uk/government/publications/a-plan-for-digital-health-and-social-care/a-plan-for-digital-health-and-social-care" TargetMode="External"/><Relationship Id="rId57" Type="http://schemas.openxmlformats.org/officeDocument/2006/relationships/hyperlink" Target="https://doi.org/10.2196/44711" TargetMode="External"/><Relationship Id="rId10" Type="http://schemas.openxmlformats.org/officeDocument/2006/relationships/hyperlink" Target="https://qualresmethods.files.wordpress.com/2016/05/braun_2006_using-thematic-analysis-in-psychology.pdf" TargetMode="External"/><Relationship Id="rId31" Type="http://schemas.openxmlformats.org/officeDocument/2006/relationships/hyperlink" Target="https://www.jmir.org/2017/11/e367?utm_source=chatgpt.com" TargetMode="External"/><Relationship Id="rId44" Type="http://schemas.openxmlformats.org/officeDocument/2006/relationships/hyperlink" Target="https://www.librariesconnected.org.uk/sites/default/files/2024-10/Libraries%20for%20Living%2C%20and%20for%20Living%20Better.pdf?utm_source=chatgpt.com" TargetMode="External"/><Relationship Id="rId52" Type="http://schemas.openxmlformats.org/officeDocument/2006/relationships/hyperlink" Target="https://nap.nationalacademies.org/catalog/25663" TargetMode="External"/><Relationship Id="rId60" Type="http://schemas.openxmlformats.org/officeDocument/2006/relationships/hyperlink" Target="https://www.scienceopen.com/hosted-document?doi=10.14293%2FS2199-1006.1.SOR-.PP2HOHN.v1&amp;utm_source=chatgpt.com" TargetMode="External"/><Relationship Id="rId65" Type="http://schemas.openxmlformats.org/officeDocument/2006/relationships/hyperlink" Target="https://www.bmj.com/content/389/bmj.r1317.full?utm_source=chatgpt.com" TargetMode="External"/><Relationship Id="rId73" Type="http://schemas.openxmlformats.org/officeDocument/2006/relationships/hyperlink" Target="https://doi.org/10.3389/fpsyg.2017.01687" TargetMode="External"/><Relationship Id="rId78" Type="http://schemas.openxmlformats.org/officeDocument/2006/relationships/hyperlink" Target="https://doi.org/10.1186/s12889-021-11623-w" TargetMode="External"/><Relationship Id="rId81" Type="http://schemas.openxmlformats.org/officeDocument/2006/relationships/hyperlink" Target="https://doi.org/10.1016/j.ssaho.2023.100511" TargetMode="External"/><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3" Type="http://schemas.openxmlformats.org/officeDocument/2006/relationships/hyperlink" Target="https://doi.org/10.1177/14680173231222612" TargetMode="External"/><Relationship Id="rId18" Type="http://schemas.openxmlformats.org/officeDocument/2006/relationships/hyperlink" Target="https://doi.org/10.1080/21582041.2023.2197877" TargetMode="External"/><Relationship Id="rId39" Type="http://schemas.openxmlformats.org/officeDocument/2006/relationships/hyperlink" Target="https://doi.org/10.51952/9781847423627.ch002" TargetMode="External"/><Relationship Id="rId34" Type="http://schemas.openxmlformats.org/officeDocument/2006/relationships/hyperlink" Target="https://doi.org/10.1002/wps.21224" TargetMode="External"/><Relationship Id="rId50" Type="http://schemas.openxmlformats.org/officeDocument/2006/relationships/hyperlink" Target="https://www.england.nhs.uk/long-read/inclusive-digital-healthcare-a-framework-for-nhs-action-on-digital-inclusion/" TargetMode="External"/><Relationship Id="rId55" Type="http://schemas.openxmlformats.org/officeDocument/2006/relationships/hyperlink" Target="https://doi.org/10.1016/j.jrurstud.2016.12.002" TargetMode="External"/><Relationship Id="rId76" Type="http://schemas.openxmlformats.org/officeDocument/2006/relationships/hyperlink" Target="https://www.frontiersin.org/articles/10.3389/fpsyg.2017.01687/full" TargetMode="External"/><Relationship Id="rId7" Type="http://schemas.openxmlformats.org/officeDocument/2006/relationships/hyperlink" Target="https://www.ageuk.org.uk/latest-press/articles/2023/age-uk-analysis-reveals-that-almost-6-million-people-5800000-aged-65-are-either-unable-to-use-the-internet-safely-and-successfully-or-arent-online-at-all/?utm_source=chatgpt.com" TargetMode="External"/><Relationship Id="rId71" Type="http://schemas.openxmlformats.org/officeDocument/2006/relationships/hyperlink" Target="https://emergency.unhcr.org/protection/persons-risk/older-persons" TargetMode="External"/><Relationship Id="rId2" Type="http://schemas.openxmlformats.org/officeDocument/2006/relationships/styles" Target="styles.xml"/><Relationship Id="rId29" Type="http://schemas.openxmlformats.org/officeDocument/2006/relationships/hyperlink" Target="https://doi.org/10.1093/shm/hkn064" TargetMode="External"/><Relationship Id="rId24" Type="http://schemas.openxmlformats.org/officeDocument/2006/relationships/hyperlink" Target="https://www.ft.com/content/81a9fcfe-dae9-4145-948f-4638670a598e?utm_source=chatgpt.com" TargetMode="External"/><Relationship Id="rId40" Type="http://schemas.openxmlformats.org/officeDocument/2006/relationships/hyperlink" Target="https://www.frontiersin.org/articles/10.3389/fdgth.2023.1168413/full" TargetMode="External"/><Relationship Id="rId45" Type="http://schemas.openxmlformats.org/officeDocument/2006/relationships/hyperlink" Target="https://link.springer.com/content/pdf/10.1186/s12877-020-1426-2.pdf?utm_source=chatgpt.com" TargetMode="External"/><Relationship Id="rId66" Type="http://schemas.openxmlformats.org/officeDocument/2006/relationships/hyperlink" Target="https://europepmc.org/article/MED/21069600?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9644</Words>
  <Characters>54974</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64490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2026633@student.uwtsd.ac.uk</dc:creator>
  <cp:keywords/>
  <dc:description/>
  <cp:lastModifiedBy>Shabana Sharif (2026633)</cp:lastModifiedBy>
  <cp:revision>2</cp:revision>
  <dcterms:created xsi:type="dcterms:W3CDTF">2025-10-23T17:06:00Z</dcterms:created>
  <dcterms:modified xsi:type="dcterms:W3CDTF">2025-10-23T17:06:00Z</dcterms:modified>
</cp:coreProperties>
</file>