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FCD9F" w14:textId="153D8888" w:rsidR="00DE11A4" w:rsidRDefault="00DE11A4" w:rsidP="00570AB6">
      <w:pPr>
        <w:shd w:val="clear" w:color="auto" w:fill="FBF7F5"/>
        <w:spacing w:after="100" w:afterAutospacing="1" w:line="240" w:lineRule="auto"/>
        <w:outlineLvl w:val="1"/>
        <w:rPr>
          <w:rFonts w:ascii="Segoe UI" w:eastAsia="Times New Roman" w:hAnsi="Segoe UI" w:cs="Segoe UI"/>
          <w:color w:val="373A3C"/>
          <w:sz w:val="36"/>
          <w:szCs w:val="36"/>
          <w:lang w:eastAsia="en-GB"/>
        </w:rPr>
      </w:pPr>
      <w:r>
        <w:rPr>
          <w:rFonts w:ascii="Segoe UI" w:eastAsia="Times New Roman" w:hAnsi="Segoe UI" w:cs="Segoe UI"/>
          <w:color w:val="373A3C"/>
          <w:sz w:val="36"/>
          <w:szCs w:val="36"/>
          <w:lang w:eastAsia="en-GB"/>
        </w:rPr>
        <w:t xml:space="preserve">BMHP 4001_BIRM Complementary Therapies </w:t>
      </w:r>
    </w:p>
    <w:p w14:paraId="7F6FD74E" w14:textId="16A5B50F" w:rsidR="00570AB6" w:rsidRPr="00570AB6" w:rsidRDefault="00570AB6" w:rsidP="00570AB6">
      <w:pPr>
        <w:shd w:val="clear" w:color="auto" w:fill="FBF7F5"/>
        <w:spacing w:after="100" w:afterAutospacing="1" w:line="240" w:lineRule="auto"/>
        <w:outlineLvl w:val="1"/>
        <w:rPr>
          <w:rFonts w:ascii="Segoe UI" w:eastAsia="Times New Roman" w:hAnsi="Segoe UI" w:cs="Segoe UI"/>
          <w:color w:val="373A3C"/>
          <w:sz w:val="36"/>
          <w:szCs w:val="36"/>
          <w:lang w:eastAsia="en-GB"/>
        </w:rPr>
      </w:pPr>
      <w:r w:rsidRPr="00570AB6">
        <w:rPr>
          <w:rFonts w:ascii="Segoe UI" w:eastAsia="Times New Roman" w:hAnsi="Segoe UI" w:cs="Segoe UI"/>
          <w:color w:val="373A3C"/>
          <w:sz w:val="36"/>
          <w:szCs w:val="36"/>
          <w:lang w:eastAsia="en-GB"/>
        </w:rPr>
        <w:t>Suggested Reading and Resources</w:t>
      </w:r>
    </w:p>
    <w:p w14:paraId="00A3D402"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b/>
          <w:bCs/>
          <w:color w:val="373A3C"/>
          <w:sz w:val="23"/>
          <w:szCs w:val="23"/>
          <w:lang w:eastAsia="en-GB"/>
        </w:rPr>
        <w:t>Journals </w:t>
      </w:r>
    </w:p>
    <w:p w14:paraId="28091031"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Alternative and Complementary Therapies (Green cover) www.liebertpub.com/ACT</w:t>
      </w:r>
    </w:p>
    <w:p w14:paraId="7EBEFBDE"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 xml:space="preserve">Alternative Therapies </w:t>
      </w:r>
      <w:proofErr w:type="gramStart"/>
      <w:r w:rsidRPr="00570AB6">
        <w:rPr>
          <w:rFonts w:ascii="Segoe UI" w:eastAsia="Times New Roman" w:hAnsi="Segoe UI" w:cs="Segoe UI"/>
          <w:color w:val="373A3C"/>
          <w:sz w:val="23"/>
          <w:szCs w:val="23"/>
          <w:lang w:eastAsia="en-GB"/>
        </w:rPr>
        <w:t>In</w:t>
      </w:r>
      <w:proofErr w:type="gramEnd"/>
      <w:r w:rsidRPr="00570AB6">
        <w:rPr>
          <w:rFonts w:ascii="Segoe UI" w:eastAsia="Times New Roman" w:hAnsi="Segoe UI" w:cs="Segoe UI"/>
          <w:color w:val="373A3C"/>
          <w:sz w:val="23"/>
          <w:szCs w:val="23"/>
          <w:lang w:eastAsia="en-GB"/>
        </w:rPr>
        <w:t xml:space="preserve"> Medicine and Health www.alternative-therapies.com</w:t>
      </w:r>
    </w:p>
    <w:p w14:paraId="7FD177B5"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BMC Complementary and Alternative Medicine Journal http://www.biomedcentral.com/bmccomplementalternmed</w:t>
      </w:r>
    </w:p>
    <w:p w14:paraId="21EA4D52"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Evidence-Based Complementary and Alternative Medicine (</w:t>
      </w:r>
      <w:proofErr w:type="spellStart"/>
      <w:r w:rsidRPr="00570AB6">
        <w:rPr>
          <w:rFonts w:ascii="Segoe UI" w:eastAsia="Times New Roman" w:hAnsi="Segoe UI" w:cs="Segoe UI"/>
          <w:color w:val="373A3C"/>
          <w:sz w:val="23"/>
          <w:szCs w:val="23"/>
          <w:lang w:eastAsia="en-GB"/>
        </w:rPr>
        <w:t>eCAM</w:t>
      </w:r>
      <w:proofErr w:type="spellEnd"/>
      <w:r w:rsidRPr="00570AB6">
        <w:rPr>
          <w:rFonts w:ascii="Segoe UI" w:eastAsia="Times New Roman" w:hAnsi="Segoe UI" w:cs="Segoe UI"/>
          <w:color w:val="373A3C"/>
          <w:sz w:val="23"/>
          <w:szCs w:val="23"/>
          <w:lang w:eastAsia="en-GB"/>
        </w:rPr>
        <w:t>) http://www.ecam.oupjournals.org</w:t>
      </w:r>
    </w:p>
    <w:p w14:paraId="34A5124A"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Integrative Medicine - A Clinician's Journal www.imjournal.com</w:t>
      </w:r>
    </w:p>
    <w:p w14:paraId="3BBB7002"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Journal of Alternative and Complementary Medicine (blue journal) www.liebertpub.com/acm</w:t>
      </w:r>
    </w:p>
    <w:p w14:paraId="20C4CF60"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Journal of Nutrition www.jn.nutrition.org</w:t>
      </w:r>
    </w:p>
    <w:p w14:paraId="395456C3"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Topics in Integrative Health Care, an International Journal http://www.tihcij.com</w:t>
      </w:r>
    </w:p>
    <w:p w14:paraId="73915C37"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b/>
          <w:bCs/>
          <w:color w:val="373A3C"/>
          <w:sz w:val="23"/>
          <w:szCs w:val="23"/>
          <w:lang w:eastAsia="en-GB"/>
        </w:rPr>
        <w:t>Textbooks </w:t>
      </w:r>
    </w:p>
    <w:p w14:paraId="2A8BA0F8"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 xml:space="preserve">Integrative Medicine David </w:t>
      </w:r>
      <w:proofErr w:type="spellStart"/>
      <w:r w:rsidRPr="00570AB6">
        <w:rPr>
          <w:rFonts w:ascii="Segoe UI" w:eastAsia="Times New Roman" w:hAnsi="Segoe UI" w:cs="Segoe UI"/>
          <w:color w:val="373A3C"/>
          <w:sz w:val="23"/>
          <w:szCs w:val="23"/>
          <w:lang w:eastAsia="en-GB"/>
        </w:rPr>
        <w:t>Rakel</w:t>
      </w:r>
      <w:proofErr w:type="spellEnd"/>
      <w:r w:rsidRPr="00570AB6">
        <w:rPr>
          <w:rFonts w:ascii="Segoe UI" w:eastAsia="Times New Roman" w:hAnsi="Segoe UI" w:cs="Segoe UI"/>
          <w:color w:val="373A3C"/>
          <w:sz w:val="23"/>
          <w:szCs w:val="23"/>
          <w:lang w:eastAsia="en-GB"/>
        </w:rPr>
        <w:t>.</w:t>
      </w:r>
    </w:p>
    <w:p w14:paraId="49AB0EA7"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 xml:space="preserve">Integrative medicine: principles for practice (Benjamin </w:t>
      </w:r>
      <w:proofErr w:type="spellStart"/>
      <w:r w:rsidRPr="00570AB6">
        <w:rPr>
          <w:rFonts w:ascii="Segoe UI" w:eastAsia="Times New Roman" w:hAnsi="Segoe UI" w:cs="Segoe UI"/>
          <w:color w:val="373A3C"/>
          <w:sz w:val="23"/>
          <w:szCs w:val="23"/>
          <w:lang w:eastAsia="en-GB"/>
        </w:rPr>
        <w:t>Kligler</w:t>
      </w:r>
      <w:proofErr w:type="spellEnd"/>
      <w:r w:rsidRPr="00570AB6">
        <w:rPr>
          <w:rFonts w:ascii="Segoe UI" w:eastAsia="Times New Roman" w:hAnsi="Segoe UI" w:cs="Segoe UI"/>
          <w:color w:val="373A3C"/>
          <w:sz w:val="23"/>
          <w:szCs w:val="23"/>
          <w:lang w:eastAsia="en-GB"/>
        </w:rPr>
        <w:t>, Roberta A. Lee)</w:t>
      </w:r>
    </w:p>
    <w:p w14:paraId="425DFE3A"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b/>
          <w:bCs/>
          <w:color w:val="373A3C"/>
          <w:sz w:val="23"/>
          <w:szCs w:val="23"/>
          <w:lang w:eastAsia="en-GB"/>
        </w:rPr>
        <w:t>Other Reading</w:t>
      </w:r>
    </w:p>
    <w:p w14:paraId="2AEEBD94"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 xml:space="preserve">The National </w:t>
      </w:r>
      <w:proofErr w:type="spellStart"/>
      <w:r w:rsidRPr="00570AB6">
        <w:rPr>
          <w:rFonts w:ascii="Segoe UI" w:eastAsia="Times New Roman" w:hAnsi="Segoe UI" w:cs="Segoe UI"/>
          <w:color w:val="373A3C"/>
          <w:sz w:val="23"/>
          <w:szCs w:val="23"/>
          <w:lang w:eastAsia="en-GB"/>
        </w:rPr>
        <w:t>Center</w:t>
      </w:r>
      <w:proofErr w:type="spellEnd"/>
      <w:r w:rsidRPr="00570AB6">
        <w:rPr>
          <w:rFonts w:ascii="Segoe UI" w:eastAsia="Times New Roman" w:hAnsi="Segoe UI" w:cs="Segoe UI"/>
          <w:color w:val="373A3C"/>
          <w:sz w:val="23"/>
          <w:szCs w:val="23"/>
          <w:lang w:eastAsia="en-GB"/>
        </w:rPr>
        <w:t xml:space="preserve"> for Complementary and Alternative Medicine (NCCAM) http://nccam.nih.gov/ NCCAM is the Federal Government's lead agency for scientific research on CAM. Herbs </w:t>
      </w:r>
      <w:proofErr w:type="gramStart"/>
      <w:r w:rsidRPr="00570AB6">
        <w:rPr>
          <w:rFonts w:ascii="Segoe UI" w:eastAsia="Times New Roman" w:hAnsi="Segoe UI" w:cs="Segoe UI"/>
          <w:color w:val="373A3C"/>
          <w:sz w:val="23"/>
          <w:szCs w:val="23"/>
          <w:lang w:eastAsia="en-GB"/>
        </w:rPr>
        <w:t>at a Glance</w:t>
      </w:r>
      <w:proofErr w:type="gramEnd"/>
      <w:r w:rsidRPr="00570AB6">
        <w:rPr>
          <w:rFonts w:ascii="Segoe UI" w:eastAsia="Times New Roman" w:hAnsi="Segoe UI" w:cs="Segoe UI"/>
          <w:color w:val="373A3C"/>
          <w:sz w:val="23"/>
          <w:szCs w:val="23"/>
          <w:lang w:eastAsia="en-GB"/>
        </w:rPr>
        <w:t>, a series of 42 patient information sheets, are listed at http://nccam.nih.gov/health/herbsataglance.htm</w:t>
      </w:r>
    </w:p>
    <w:p w14:paraId="23EBADAF"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NIH Office of Dietary Supplements http://ods.od.nih.gov/ Provides overview of vitamins, minerals, and dietary supplements with two levels of information – Health Professional and QuickFacts. Dietary Supplements Labels Database http://dietarysupplements.nlm.nih.gov/dietary/ Dietary Supplements Labels Database offers information about label ingredients, enabling users to compare label ingredients in different brands. Each dietary supplement has additional links to other government created HDS resources such as Medline, Clinical Trials.gov, and NCCAM.</w:t>
      </w:r>
    </w:p>
    <w:p w14:paraId="2372E107"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lastRenderedPageBreak/>
        <w:t>MedlinePlus – Dietary Supplements – For Free http://medlineplus.gov This consumer health database from the National Library of Medicine offers extensive information on dietary supplements. http://www.nlm.nih.gov/medlineplus/druginformation.html (Free)</w:t>
      </w:r>
    </w:p>
    <w:p w14:paraId="092F83D7"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University of Wisconsin Family Medicine Integrative Medicine Website www.fammed.wisc.edu/integrative An excellent resource for clinician learning modules and patient information handouts.</w:t>
      </w:r>
    </w:p>
    <w:p w14:paraId="7EE18EB7" w14:textId="77777777" w:rsidR="00570AB6" w:rsidRPr="00570AB6" w:rsidRDefault="00570AB6" w:rsidP="00570AB6">
      <w:pPr>
        <w:shd w:val="clear" w:color="auto" w:fill="FBF7F5"/>
        <w:spacing w:after="100" w:afterAutospacing="1" w:line="240" w:lineRule="auto"/>
        <w:rPr>
          <w:rFonts w:ascii="Segoe UI" w:eastAsia="Times New Roman" w:hAnsi="Segoe UI" w:cs="Segoe UI"/>
          <w:color w:val="373A3C"/>
          <w:sz w:val="23"/>
          <w:szCs w:val="23"/>
          <w:lang w:eastAsia="en-GB"/>
        </w:rPr>
      </w:pPr>
      <w:r w:rsidRPr="00570AB6">
        <w:rPr>
          <w:rFonts w:ascii="Segoe UI" w:eastAsia="Times New Roman" w:hAnsi="Segoe UI" w:cs="Segoe UI"/>
          <w:color w:val="373A3C"/>
          <w:sz w:val="23"/>
          <w:szCs w:val="23"/>
          <w:lang w:eastAsia="en-GB"/>
        </w:rPr>
        <w:t>Im4us.org http://www.im4us.org/ Toolkit for clinicians and residents working in and teaching in communities with underserved populations</w:t>
      </w:r>
    </w:p>
    <w:p w14:paraId="0EB4AF4E"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House of Lords Select Committee on Science and Technology. (2000) </w:t>
      </w:r>
      <w:r>
        <w:rPr>
          <w:rStyle w:val="Emphasis"/>
          <w:rFonts w:ascii="Segoe UI" w:hAnsi="Segoe UI" w:cs="Segoe UI"/>
          <w:color w:val="373A3C"/>
          <w:sz w:val="23"/>
          <w:szCs w:val="23"/>
        </w:rPr>
        <w:t>Session 1999-2000, 6th Report (HL Paper 123), Complementary and Alternative Medicine. London: The Stationery Office.</w:t>
      </w:r>
    </w:p>
    <w:p w14:paraId="44B5EA26"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proofErr w:type="spellStart"/>
      <w:r>
        <w:rPr>
          <w:rStyle w:val="Strong"/>
          <w:rFonts w:ascii="Segoe UI" w:hAnsi="Segoe UI" w:cs="Segoe UI"/>
          <w:color w:val="373A3C"/>
          <w:sz w:val="23"/>
          <w:szCs w:val="23"/>
        </w:rPr>
        <w:t>Melchart</w:t>
      </w:r>
      <w:proofErr w:type="spellEnd"/>
      <w:r>
        <w:rPr>
          <w:rStyle w:val="Strong"/>
          <w:rFonts w:ascii="Segoe UI" w:hAnsi="Segoe UI" w:cs="Segoe UI"/>
          <w:color w:val="373A3C"/>
          <w:sz w:val="23"/>
          <w:szCs w:val="23"/>
        </w:rPr>
        <w:t xml:space="preserve">, D., Linde, K., </w:t>
      </w:r>
      <w:proofErr w:type="spellStart"/>
      <w:r>
        <w:rPr>
          <w:rStyle w:val="Strong"/>
          <w:rFonts w:ascii="Segoe UI" w:hAnsi="Segoe UI" w:cs="Segoe UI"/>
          <w:color w:val="373A3C"/>
          <w:sz w:val="23"/>
          <w:szCs w:val="23"/>
        </w:rPr>
        <w:t>Weidenhammer</w:t>
      </w:r>
      <w:proofErr w:type="spellEnd"/>
      <w:r>
        <w:rPr>
          <w:rStyle w:val="Strong"/>
          <w:rFonts w:ascii="Segoe UI" w:hAnsi="Segoe UI" w:cs="Segoe UI"/>
          <w:color w:val="373A3C"/>
          <w:sz w:val="23"/>
          <w:szCs w:val="23"/>
        </w:rPr>
        <w:t>, W. (</w:t>
      </w:r>
      <w:proofErr w:type="gramStart"/>
      <w:r>
        <w:rPr>
          <w:rStyle w:val="Strong"/>
          <w:rFonts w:ascii="Segoe UI" w:hAnsi="Segoe UI" w:cs="Segoe UI"/>
          <w:color w:val="373A3C"/>
          <w:sz w:val="23"/>
          <w:szCs w:val="23"/>
        </w:rPr>
        <w:t>1997)</w:t>
      </w:r>
      <w:r>
        <w:rPr>
          <w:rStyle w:val="Emphasis"/>
          <w:rFonts w:ascii="Segoe UI" w:hAnsi="Segoe UI" w:cs="Segoe UI"/>
          <w:color w:val="373A3C"/>
          <w:sz w:val="23"/>
          <w:szCs w:val="23"/>
        </w:rPr>
        <w:t>Systematic</w:t>
      </w:r>
      <w:proofErr w:type="gramEnd"/>
      <w:r>
        <w:rPr>
          <w:rStyle w:val="Emphasis"/>
          <w:rFonts w:ascii="Segoe UI" w:hAnsi="Segoe UI" w:cs="Segoe UI"/>
          <w:color w:val="373A3C"/>
          <w:sz w:val="23"/>
          <w:szCs w:val="23"/>
        </w:rPr>
        <w:t xml:space="preserve"> Clinical Auditing in Complementary Medicine: Rationale, concept, and a pilot study. Alternative Therapies in Health and Medicine 3: 1, 33-39.</w:t>
      </w:r>
    </w:p>
    <w:p w14:paraId="11E49118"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Mercer, G., Long, A.F., Smith, I.J. (1995) </w:t>
      </w:r>
      <w:r>
        <w:rPr>
          <w:rStyle w:val="Emphasis"/>
          <w:rFonts w:ascii="Segoe UI" w:hAnsi="Segoe UI" w:cs="Segoe UI"/>
          <w:color w:val="373A3C"/>
          <w:sz w:val="23"/>
          <w:szCs w:val="23"/>
        </w:rPr>
        <w:t>Researching and Evaluating Complementary Therapies: The state of the debate. Leeds: Collaborating Centre for Health Service Research, Nuffield Institute for Health.</w:t>
      </w:r>
    </w:p>
    <w:p w14:paraId="089EFEAB"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Mulrow, C.D. (1995) </w:t>
      </w:r>
      <w:r>
        <w:rPr>
          <w:rStyle w:val="Emphasis"/>
          <w:rFonts w:ascii="Segoe UI" w:hAnsi="Segoe UI" w:cs="Segoe UI"/>
          <w:color w:val="373A3C"/>
          <w:sz w:val="23"/>
          <w:szCs w:val="23"/>
        </w:rPr>
        <w:t>Rationale for systematic reviews. In: Chalmers I. &amp; Altman D. (eds). Systematic Reviews. London: BMJ Publishing Group.</w:t>
      </w:r>
    </w:p>
    <w:p w14:paraId="569C9B65"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proofErr w:type="spellStart"/>
      <w:r>
        <w:rPr>
          <w:rStyle w:val="Strong"/>
          <w:rFonts w:ascii="Segoe UI" w:hAnsi="Segoe UI" w:cs="Segoe UI"/>
          <w:color w:val="373A3C"/>
          <w:sz w:val="23"/>
          <w:szCs w:val="23"/>
        </w:rPr>
        <w:t>Norheim</w:t>
      </w:r>
      <w:proofErr w:type="spellEnd"/>
      <w:r>
        <w:rPr>
          <w:rStyle w:val="Strong"/>
          <w:rFonts w:ascii="Segoe UI" w:hAnsi="Segoe UI" w:cs="Segoe UI"/>
          <w:color w:val="373A3C"/>
          <w:sz w:val="23"/>
          <w:szCs w:val="23"/>
        </w:rPr>
        <w:t xml:space="preserve">, A.J., </w:t>
      </w:r>
      <w:proofErr w:type="spellStart"/>
      <w:r>
        <w:rPr>
          <w:rStyle w:val="Strong"/>
          <w:rFonts w:ascii="Segoe UI" w:hAnsi="Segoe UI" w:cs="Segoe UI"/>
          <w:color w:val="373A3C"/>
          <w:sz w:val="23"/>
          <w:szCs w:val="23"/>
        </w:rPr>
        <w:t>Fonnebo</w:t>
      </w:r>
      <w:proofErr w:type="spellEnd"/>
      <w:r>
        <w:rPr>
          <w:rStyle w:val="Strong"/>
          <w:rFonts w:ascii="Segoe UI" w:hAnsi="Segoe UI" w:cs="Segoe UI"/>
          <w:color w:val="373A3C"/>
          <w:sz w:val="23"/>
          <w:szCs w:val="23"/>
        </w:rPr>
        <w:t>, V. (1996) </w:t>
      </w:r>
      <w:r>
        <w:rPr>
          <w:rStyle w:val="Emphasis"/>
          <w:rFonts w:ascii="Segoe UI" w:hAnsi="Segoe UI" w:cs="Segoe UI"/>
          <w:color w:val="373A3C"/>
          <w:sz w:val="23"/>
          <w:szCs w:val="23"/>
        </w:rPr>
        <w:t>Acupuncture adverse effects are more than occasional case reports: results from questionnaires among 1135 randomly selected doctors and 197 acupuncturists. Complementary Therapies in Medicine 4: 8-13.</w:t>
      </w:r>
    </w:p>
    <w:p w14:paraId="51025126"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Norton, L. (1995) </w:t>
      </w:r>
      <w:r>
        <w:rPr>
          <w:rStyle w:val="Emphasis"/>
          <w:rFonts w:ascii="Segoe UI" w:hAnsi="Segoe UI" w:cs="Segoe UI"/>
          <w:color w:val="373A3C"/>
          <w:sz w:val="23"/>
          <w:szCs w:val="23"/>
        </w:rPr>
        <w:t>Complementary therapies in practice: the ethical issues. Journal of Clinical Nursing 4: 6, 343-8.</w:t>
      </w:r>
    </w:p>
    <w:p w14:paraId="60F00861"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proofErr w:type="spellStart"/>
      <w:r>
        <w:rPr>
          <w:rStyle w:val="Strong"/>
          <w:rFonts w:ascii="Segoe UI" w:hAnsi="Segoe UI" w:cs="Segoe UI"/>
          <w:color w:val="373A3C"/>
          <w:sz w:val="23"/>
          <w:szCs w:val="23"/>
        </w:rPr>
        <w:t>Rampes</w:t>
      </w:r>
      <w:proofErr w:type="spellEnd"/>
      <w:r>
        <w:rPr>
          <w:rStyle w:val="Strong"/>
          <w:rFonts w:ascii="Segoe UI" w:hAnsi="Segoe UI" w:cs="Segoe UI"/>
          <w:color w:val="373A3C"/>
          <w:sz w:val="23"/>
          <w:szCs w:val="23"/>
        </w:rPr>
        <w:t>, H., James, R. (1995) </w:t>
      </w:r>
      <w:r>
        <w:rPr>
          <w:rStyle w:val="Emphasis"/>
          <w:rFonts w:ascii="Segoe UI" w:hAnsi="Segoe UI" w:cs="Segoe UI"/>
          <w:color w:val="373A3C"/>
          <w:sz w:val="23"/>
          <w:szCs w:val="23"/>
        </w:rPr>
        <w:t>Complications of acupuncture. Acupuncture in Medicine 13: 1, 26-33.</w:t>
      </w:r>
    </w:p>
    <w:p w14:paraId="737E4874"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Rees, R.W. (1995b) </w:t>
      </w:r>
      <w:r>
        <w:rPr>
          <w:rStyle w:val="Emphasis"/>
          <w:rFonts w:ascii="Segoe UI" w:hAnsi="Segoe UI" w:cs="Segoe UI"/>
          <w:color w:val="373A3C"/>
          <w:sz w:val="23"/>
          <w:szCs w:val="23"/>
        </w:rPr>
        <w:t>CISCOM, the Centralised Information Service for Complementary Medicine. Complementary Therapies in Medicine 3: 183-186.</w:t>
      </w:r>
    </w:p>
    <w:p w14:paraId="4EAE7477"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 xml:space="preserve">Rees, R.W., </w:t>
      </w:r>
      <w:proofErr w:type="spellStart"/>
      <w:r>
        <w:rPr>
          <w:rStyle w:val="Strong"/>
          <w:rFonts w:ascii="Segoe UI" w:hAnsi="Segoe UI" w:cs="Segoe UI"/>
          <w:color w:val="373A3C"/>
          <w:sz w:val="23"/>
          <w:szCs w:val="23"/>
        </w:rPr>
        <w:t>Feigel</w:t>
      </w:r>
      <w:proofErr w:type="spellEnd"/>
      <w:r>
        <w:rPr>
          <w:rStyle w:val="Strong"/>
          <w:rFonts w:ascii="Segoe UI" w:hAnsi="Segoe UI" w:cs="Segoe UI"/>
          <w:color w:val="373A3C"/>
          <w:sz w:val="23"/>
          <w:szCs w:val="23"/>
        </w:rPr>
        <w:t>, I., Vickers, A. et al. (</w:t>
      </w:r>
      <w:proofErr w:type="gramStart"/>
      <w:r>
        <w:rPr>
          <w:rStyle w:val="Strong"/>
          <w:rFonts w:ascii="Segoe UI" w:hAnsi="Segoe UI" w:cs="Segoe UI"/>
          <w:color w:val="373A3C"/>
          <w:sz w:val="23"/>
          <w:szCs w:val="23"/>
        </w:rPr>
        <w:t>2000)</w:t>
      </w:r>
      <w:r>
        <w:rPr>
          <w:rStyle w:val="Emphasis"/>
          <w:rFonts w:ascii="Segoe UI" w:hAnsi="Segoe UI" w:cs="Segoe UI"/>
          <w:color w:val="373A3C"/>
          <w:sz w:val="23"/>
          <w:szCs w:val="23"/>
        </w:rPr>
        <w:t>Prevalence</w:t>
      </w:r>
      <w:proofErr w:type="gramEnd"/>
      <w:r>
        <w:rPr>
          <w:rStyle w:val="Emphasis"/>
          <w:rFonts w:ascii="Segoe UI" w:hAnsi="Segoe UI" w:cs="Segoe UI"/>
          <w:color w:val="373A3C"/>
          <w:sz w:val="23"/>
          <w:szCs w:val="23"/>
        </w:rPr>
        <w:t xml:space="preserve"> of complementary therapy use by women with breast cancer: a population-based survey. European Journal of Cancer 36: 1359-1364.</w:t>
      </w:r>
    </w:p>
    <w:p w14:paraId="15B6C97B"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Rees, R.W. (</w:t>
      </w:r>
      <w:proofErr w:type="gramStart"/>
      <w:r>
        <w:rPr>
          <w:rStyle w:val="Strong"/>
          <w:rFonts w:ascii="Segoe UI" w:hAnsi="Segoe UI" w:cs="Segoe UI"/>
          <w:color w:val="373A3C"/>
          <w:sz w:val="23"/>
          <w:szCs w:val="23"/>
        </w:rPr>
        <w:t>2001)</w:t>
      </w:r>
      <w:r>
        <w:rPr>
          <w:rStyle w:val="Emphasis"/>
          <w:rFonts w:ascii="Segoe UI" w:hAnsi="Segoe UI" w:cs="Segoe UI"/>
          <w:color w:val="373A3C"/>
          <w:sz w:val="23"/>
          <w:szCs w:val="23"/>
        </w:rPr>
        <w:t>Researching</w:t>
      </w:r>
      <w:proofErr w:type="gramEnd"/>
      <w:r>
        <w:rPr>
          <w:rStyle w:val="Emphasis"/>
          <w:rFonts w:ascii="Segoe UI" w:hAnsi="Segoe UI" w:cs="Segoe UI"/>
          <w:color w:val="373A3C"/>
          <w:sz w:val="23"/>
          <w:szCs w:val="23"/>
        </w:rPr>
        <w:t xml:space="preserve"> complementary therapies in cancer care. In: Barraclough J. (Ed.). Integrated Cancer Care: Holistic, </w:t>
      </w:r>
      <w:proofErr w:type="gramStart"/>
      <w:r>
        <w:rPr>
          <w:rStyle w:val="Emphasis"/>
          <w:rFonts w:ascii="Segoe UI" w:hAnsi="Segoe UI" w:cs="Segoe UI"/>
          <w:color w:val="373A3C"/>
          <w:sz w:val="23"/>
          <w:szCs w:val="23"/>
        </w:rPr>
        <w:t>complementary</w:t>
      </w:r>
      <w:proofErr w:type="gramEnd"/>
      <w:r>
        <w:rPr>
          <w:rStyle w:val="Emphasis"/>
          <w:rFonts w:ascii="Segoe UI" w:hAnsi="Segoe UI" w:cs="Segoe UI"/>
          <w:color w:val="373A3C"/>
          <w:sz w:val="23"/>
          <w:szCs w:val="23"/>
        </w:rPr>
        <w:t xml:space="preserve"> and creative approaches. Oxford: Oxford University Press.</w:t>
      </w:r>
    </w:p>
    <w:p w14:paraId="205C3BC4"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lastRenderedPageBreak/>
        <w:t>Richardson, J. (</w:t>
      </w:r>
      <w:proofErr w:type="gramStart"/>
      <w:r>
        <w:rPr>
          <w:rStyle w:val="Strong"/>
          <w:rFonts w:ascii="Segoe UI" w:hAnsi="Segoe UI" w:cs="Segoe UI"/>
          <w:color w:val="373A3C"/>
          <w:sz w:val="23"/>
          <w:szCs w:val="23"/>
        </w:rPr>
        <w:t>2000)</w:t>
      </w:r>
      <w:r>
        <w:rPr>
          <w:rStyle w:val="Emphasis"/>
          <w:rFonts w:ascii="Segoe UI" w:hAnsi="Segoe UI" w:cs="Segoe UI"/>
          <w:color w:val="373A3C"/>
          <w:sz w:val="23"/>
          <w:szCs w:val="23"/>
        </w:rPr>
        <w:t>The</w:t>
      </w:r>
      <w:proofErr w:type="gramEnd"/>
      <w:r>
        <w:rPr>
          <w:rStyle w:val="Emphasis"/>
          <w:rFonts w:ascii="Segoe UI" w:hAnsi="Segoe UI" w:cs="Segoe UI"/>
          <w:color w:val="373A3C"/>
          <w:sz w:val="23"/>
          <w:szCs w:val="23"/>
        </w:rPr>
        <w:t xml:space="preserve"> use of randomized control trials in complementary therapy: Exploring the methodological issues. Journal of Advanced Nursing 32: 2, 398-406.</w:t>
      </w:r>
    </w:p>
    <w:p w14:paraId="0D6D9E01"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Richardson, J. (</w:t>
      </w:r>
      <w:proofErr w:type="gramStart"/>
      <w:r>
        <w:rPr>
          <w:rStyle w:val="Strong"/>
          <w:rFonts w:ascii="Segoe UI" w:hAnsi="Segoe UI" w:cs="Segoe UI"/>
          <w:color w:val="373A3C"/>
          <w:sz w:val="23"/>
          <w:szCs w:val="23"/>
        </w:rPr>
        <w:t>2001)</w:t>
      </w:r>
      <w:r>
        <w:rPr>
          <w:rStyle w:val="Emphasis"/>
          <w:rFonts w:ascii="Segoe UI" w:hAnsi="Segoe UI" w:cs="Segoe UI"/>
          <w:color w:val="373A3C"/>
          <w:sz w:val="23"/>
          <w:szCs w:val="23"/>
        </w:rPr>
        <w:t>Integrated</w:t>
      </w:r>
      <w:proofErr w:type="gramEnd"/>
      <w:r>
        <w:rPr>
          <w:rStyle w:val="Emphasis"/>
          <w:rFonts w:ascii="Segoe UI" w:hAnsi="Segoe UI" w:cs="Segoe UI"/>
          <w:color w:val="373A3C"/>
          <w:sz w:val="23"/>
          <w:szCs w:val="23"/>
        </w:rPr>
        <w:t xml:space="preserve"> Health: a strategy for Oxford Brookes University. Unpublished project report.</w:t>
      </w:r>
      <w:r>
        <w:rPr>
          <w:rFonts w:ascii="Segoe UI" w:hAnsi="Segoe UI" w:cs="Segoe UI"/>
          <w:color w:val="373A3C"/>
          <w:sz w:val="23"/>
          <w:szCs w:val="23"/>
        </w:rPr>
        <w:t> </w:t>
      </w:r>
    </w:p>
    <w:p w14:paraId="415350FF"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proofErr w:type="spellStart"/>
      <w:r>
        <w:rPr>
          <w:rStyle w:val="Strong"/>
          <w:rFonts w:ascii="Segoe UI" w:hAnsi="Segoe UI" w:cs="Segoe UI"/>
          <w:color w:val="373A3C"/>
          <w:sz w:val="23"/>
          <w:szCs w:val="23"/>
        </w:rPr>
        <w:t>Stevensen</w:t>
      </w:r>
      <w:proofErr w:type="spellEnd"/>
      <w:r>
        <w:rPr>
          <w:rStyle w:val="Strong"/>
          <w:rFonts w:ascii="Segoe UI" w:hAnsi="Segoe UI" w:cs="Segoe UI"/>
          <w:color w:val="373A3C"/>
          <w:sz w:val="23"/>
          <w:szCs w:val="23"/>
        </w:rPr>
        <w:t>, C. (</w:t>
      </w:r>
      <w:proofErr w:type="gramStart"/>
      <w:r>
        <w:rPr>
          <w:rStyle w:val="Strong"/>
          <w:rFonts w:ascii="Segoe UI" w:hAnsi="Segoe UI" w:cs="Segoe UI"/>
          <w:color w:val="373A3C"/>
          <w:sz w:val="23"/>
          <w:szCs w:val="23"/>
        </w:rPr>
        <w:t>1997)</w:t>
      </w:r>
      <w:r>
        <w:rPr>
          <w:rStyle w:val="Emphasis"/>
          <w:rFonts w:ascii="Segoe UI" w:hAnsi="Segoe UI" w:cs="Segoe UI"/>
          <w:color w:val="373A3C"/>
          <w:sz w:val="23"/>
          <w:szCs w:val="23"/>
        </w:rPr>
        <w:t>Complementary</w:t>
      </w:r>
      <w:proofErr w:type="gramEnd"/>
      <w:r>
        <w:rPr>
          <w:rStyle w:val="Emphasis"/>
          <w:rFonts w:ascii="Segoe UI" w:hAnsi="Segoe UI" w:cs="Segoe UI"/>
          <w:color w:val="373A3C"/>
          <w:sz w:val="23"/>
          <w:szCs w:val="23"/>
        </w:rPr>
        <w:t xml:space="preserve"> therapies and their role in nursing care. Nursing Standard 11: 24, 49-53.</w:t>
      </w:r>
    </w:p>
    <w:p w14:paraId="34572F2A" w14:textId="77777777" w:rsidR="00570AB6" w:rsidRDefault="00570AB6" w:rsidP="00570AB6">
      <w:pPr>
        <w:pStyle w:val="NormalWeb"/>
        <w:shd w:val="clear" w:color="auto" w:fill="FBF7F5"/>
        <w:spacing w:before="0" w:beforeAutospacing="0"/>
        <w:rPr>
          <w:rFonts w:ascii="Segoe UI" w:hAnsi="Segoe UI" w:cs="Segoe UI"/>
          <w:color w:val="373A3C"/>
          <w:sz w:val="23"/>
          <w:szCs w:val="23"/>
        </w:rPr>
      </w:pPr>
      <w:r>
        <w:rPr>
          <w:rStyle w:val="Strong"/>
          <w:rFonts w:ascii="Segoe UI" w:hAnsi="Segoe UI" w:cs="Segoe UI"/>
          <w:color w:val="373A3C"/>
          <w:sz w:val="23"/>
          <w:szCs w:val="23"/>
        </w:rPr>
        <w:t>St George, D. (</w:t>
      </w:r>
      <w:proofErr w:type="gramStart"/>
      <w:r>
        <w:rPr>
          <w:rStyle w:val="Strong"/>
          <w:rFonts w:ascii="Segoe UI" w:hAnsi="Segoe UI" w:cs="Segoe UI"/>
          <w:color w:val="373A3C"/>
          <w:sz w:val="23"/>
          <w:szCs w:val="23"/>
        </w:rPr>
        <w:t>1994)</w:t>
      </w:r>
      <w:r>
        <w:rPr>
          <w:rStyle w:val="Emphasis"/>
          <w:rFonts w:ascii="Segoe UI" w:hAnsi="Segoe UI" w:cs="Segoe UI"/>
          <w:color w:val="373A3C"/>
          <w:sz w:val="23"/>
          <w:szCs w:val="23"/>
        </w:rPr>
        <w:t>Towards</w:t>
      </w:r>
      <w:proofErr w:type="gramEnd"/>
      <w:r>
        <w:rPr>
          <w:rStyle w:val="Emphasis"/>
          <w:rFonts w:ascii="Segoe UI" w:hAnsi="Segoe UI" w:cs="Segoe UI"/>
          <w:color w:val="373A3C"/>
          <w:sz w:val="23"/>
          <w:szCs w:val="23"/>
        </w:rPr>
        <w:t xml:space="preserve"> a Research &amp; Development Strategy for Complementary Medicine. The Homoeopath 54: 254-257</w:t>
      </w:r>
    </w:p>
    <w:p w14:paraId="3CC75C94" w14:textId="77777777" w:rsidR="00CA7CFA" w:rsidRDefault="00CA7CFA"/>
    <w:sectPr w:rsidR="00CA7C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AB6"/>
    <w:rsid w:val="00570AB6"/>
    <w:rsid w:val="00CA7CFA"/>
    <w:rsid w:val="00DE1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9C9AB"/>
  <w15:chartTrackingRefBased/>
  <w15:docId w15:val="{06E1E6F1-2001-492F-B1DD-79CF41F8A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0A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0AB6"/>
    <w:rPr>
      <w:b/>
      <w:bCs/>
    </w:rPr>
  </w:style>
  <w:style w:type="character" w:styleId="Emphasis">
    <w:name w:val="Emphasis"/>
    <w:basedOn w:val="DefaultParagraphFont"/>
    <w:uiPriority w:val="20"/>
    <w:qFormat/>
    <w:rsid w:val="00570A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763554">
      <w:bodyDiv w:val="1"/>
      <w:marLeft w:val="0"/>
      <w:marRight w:val="0"/>
      <w:marTop w:val="0"/>
      <w:marBottom w:val="0"/>
      <w:divBdr>
        <w:top w:val="none" w:sz="0" w:space="0" w:color="auto"/>
        <w:left w:val="none" w:sz="0" w:space="0" w:color="auto"/>
        <w:bottom w:val="none" w:sz="0" w:space="0" w:color="auto"/>
        <w:right w:val="none" w:sz="0" w:space="0" w:color="auto"/>
      </w:divBdr>
    </w:div>
    <w:div w:id="1366828433">
      <w:bodyDiv w:val="1"/>
      <w:marLeft w:val="0"/>
      <w:marRight w:val="0"/>
      <w:marTop w:val="0"/>
      <w:marBottom w:val="0"/>
      <w:divBdr>
        <w:top w:val="none" w:sz="0" w:space="0" w:color="auto"/>
        <w:left w:val="none" w:sz="0" w:space="0" w:color="auto"/>
        <w:bottom w:val="none" w:sz="0" w:space="0" w:color="auto"/>
        <w:right w:val="none" w:sz="0" w:space="0" w:color="auto"/>
      </w:divBdr>
      <w:divsChild>
        <w:div w:id="1602685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1</cp:revision>
  <dcterms:created xsi:type="dcterms:W3CDTF">2020-09-07T09:03:00Z</dcterms:created>
  <dcterms:modified xsi:type="dcterms:W3CDTF">2020-09-07T09:19:00Z</dcterms:modified>
</cp:coreProperties>
</file>