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0BE3C6" w14:textId="77777777" w:rsidR="00084E7E" w:rsidRPr="00BB7543" w:rsidRDefault="00B90EB1" w:rsidP="00BB7543">
      <w:pPr>
        <w:spacing w:line="360" w:lineRule="auto"/>
        <w:rPr>
          <w:rFonts w:ascii="Arial" w:eastAsia="Arial" w:hAnsi="Arial" w:cs="Arial"/>
          <w:color w:val="000000" w:themeColor="text1"/>
          <w:sz w:val="24"/>
          <w:szCs w:val="24"/>
          <w:lang w:val="en-GB"/>
        </w:rPr>
      </w:pPr>
      <w:r w:rsidRPr="00BB7543">
        <w:rPr>
          <w:rFonts w:ascii="Arial" w:eastAsia="Arial" w:hAnsi="Arial" w:cs="Arial"/>
          <w:color w:val="000000" w:themeColor="text1"/>
          <w:sz w:val="24"/>
          <w:szCs w:val="24"/>
          <w:u w:val="single"/>
          <w:lang w:val="en-GB"/>
        </w:rPr>
        <w:t>Part 2</w:t>
      </w:r>
      <w:r w:rsidR="006B18D7" w:rsidRPr="00BB7543">
        <w:rPr>
          <w:rFonts w:ascii="Arial" w:eastAsia="Arial" w:hAnsi="Arial" w:cs="Arial"/>
          <w:color w:val="000000" w:themeColor="text1"/>
          <w:sz w:val="24"/>
          <w:szCs w:val="24"/>
          <w:u w:val="single"/>
          <w:lang w:val="en-GB"/>
        </w:rPr>
        <w:t xml:space="preserve"> – Written Portfolio</w:t>
      </w:r>
    </w:p>
    <w:p w14:paraId="56DC581D" w14:textId="77777777" w:rsidR="00B73FCE" w:rsidRPr="00B73FCE" w:rsidRDefault="00B73FCE" w:rsidP="00BB7543">
      <w:pPr>
        <w:spacing w:line="360" w:lineRule="auto"/>
        <w:rPr>
          <w:rFonts w:ascii="Arial" w:eastAsia="Arial" w:hAnsi="Arial" w:cs="Arial"/>
          <w:b/>
          <w:bCs/>
          <w:color w:val="000000" w:themeColor="text1"/>
          <w:sz w:val="24"/>
          <w:szCs w:val="24"/>
          <w:lang w:val="en-GB"/>
        </w:rPr>
      </w:pPr>
      <w:r w:rsidRPr="00B73FCE">
        <w:rPr>
          <w:rFonts w:ascii="Arial" w:eastAsia="Arial" w:hAnsi="Arial" w:cs="Arial"/>
          <w:b/>
          <w:bCs/>
          <w:color w:val="000000" w:themeColor="text1"/>
          <w:sz w:val="24"/>
          <w:szCs w:val="24"/>
          <w:lang w:val="en-GB"/>
        </w:rPr>
        <w:t>Recognising Signs and Symptoms of Child Abuse and Effective Recording of Information</w:t>
      </w:r>
    </w:p>
    <w:p w14:paraId="5E2D3B9B"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Introduction</w:t>
      </w:r>
    </w:p>
    <w:p w14:paraId="085498CE" w14:textId="3E2F21DC"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Recognising and recording signs of child abuse is crucial in safeguarding children's welfare. Early years practitioners are in a unique position to identify and document these signs, ensuring timely intervention. Using Joanna's case study, this section discusses the importance of recognising indicators</w:t>
      </w:r>
      <w:r w:rsidR="00A22C34" w:rsidRPr="00BB7543">
        <w:rPr>
          <w:rFonts w:ascii="Arial" w:eastAsia="Arial" w:hAnsi="Arial" w:cs="Arial"/>
          <w:color w:val="000000" w:themeColor="text1"/>
          <w:sz w:val="24"/>
          <w:szCs w:val="24"/>
          <w:lang w:val="en-GB"/>
        </w:rPr>
        <w:t xml:space="preserve"> of abuse</w:t>
      </w:r>
      <w:r w:rsidRPr="00B73FCE">
        <w:rPr>
          <w:rFonts w:ascii="Arial" w:eastAsia="Arial" w:hAnsi="Arial" w:cs="Arial"/>
          <w:color w:val="000000" w:themeColor="text1"/>
          <w:sz w:val="24"/>
          <w:szCs w:val="24"/>
          <w:lang w:val="en-GB"/>
        </w:rPr>
        <w:t>, effective recording of information, and the implications for safeguarding.</w:t>
      </w:r>
    </w:p>
    <w:p w14:paraId="3076D51A"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Importance of Recognising Signs and Symptoms of Child Abuse</w:t>
      </w:r>
    </w:p>
    <w:p w14:paraId="59DA1E1C" w14:textId="26D5668E"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Early years practitioners must be vigilant in identifying signs of child abuse, which can manifest physically, emotionally, or behaviourally. According to the NSPCC (2023), general signs of abuse include changes in behaviour such as becoming withdrawn, anxious, or clingy. Joanna's case exemplifies this, as she has become quiet and clingy, a significant change from her previously happy and outgoing nature. Additionally, her reluctance to remove her cardigan despite warm weather suggests she may be trying to hide physical injuries, which aligns with the NSPCC's indication that children might wear inappropriate clothing to cover up bruises or other injuries (NSPCC, 2020)</w:t>
      </w:r>
      <w:r w:rsidR="00377A02" w:rsidRPr="00BB7543">
        <w:rPr>
          <w:rFonts w:ascii="Arial" w:eastAsia="Arial" w:hAnsi="Arial" w:cs="Arial"/>
          <w:color w:val="000000" w:themeColor="text1"/>
          <w:sz w:val="24"/>
          <w:szCs w:val="24"/>
          <w:lang w:val="en-GB"/>
        </w:rPr>
        <w:t xml:space="preserve"> </w:t>
      </w:r>
      <w:r w:rsidRPr="00B73FCE">
        <w:rPr>
          <w:rFonts w:ascii="Arial" w:eastAsia="Arial" w:hAnsi="Arial" w:cs="Arial"/>
          <w:color w:val="000000" w:themeColor="text1"/>
          <w:sz w:val="24"/>
          <w:szCs w:val="24"/>
          <w:lang w:val="en-GB"/>
        </w:rPr>
        <w:t>.Estyn's policy highlights the importance of being alert to potential indicators of abuse and emphasi</w:t>
      </w:r>
      <w:r w:rsidR="00377A02" w:rsidRPr="00BB7543">
        <w:rPr>
          <w:rFonts w:ascii="Arial" w:eastAsia="Arial" w:hAnsi="Arial" w:cs="Arial"/>
          <w:color w:val="000000" w:themeColor="text1"/>
          <w:sz w:val="24"/>
          <w:szCs w:val="24"/>
          <w:lang w:val="en-GB"/>
        </w:rPr>
        <w:t>s</w:t>
      </w:r>
      <w:r w:rsidRPr="00B73FCE">
        <w:rPr>
          <w:rFonts w:ascii="Arial" w:eastAsia="Arial" w:hAnsi="Arial" w:cs="Arial"/>
          <w:color w:val="000000" w:themeColor="text1"/>
          <w:sz w:val="24"/>
          <w:szCs w:val="24"/>
          <w:lang w:val="en-GB"/>
        </w:rPr>
        <w:t>es that all children deserve to live in a safe environment and be protected from harm (Estyn, 2019).</w:t>
      </w:r>
    </w:p>
    <w:p w14:paraId="1FC205F2" w14:textId="7ACBA4B5" w:rsidR="00B73FCE" w:rsidRPr="00B73FCE" w:rsidRDefault="00185405" w:rsidP="00BB7543">
      <w:pPr>
        <w:spacing w:line="360" w:lineRule="auto"/>
        <w:rPr>
          <w:rFonts w:ascii="Arial" w:eastAsia="Arial" w:hAnsi="Arial" w:cs="Arial"/>
          <w:color w:val="000000" w:themeColor="text1"/>
          <w:sz w:val="24"/>
          <w:szCs w:val="24"/>
          <w:lang w:val="en-GB"/>
        </w:rPr>
      </w:pPr>
      <w:r w:rsidRPr="00BB7543">
        <w:rPr>
          <w:rFonts w:ascii="Arial" w:eastAsia="Arial" w:hAnsi="Arial" w:cs="Arial"/>
          <w:color w:val="000000" w:themeColor="text1"/>
          <w:sz w:val="24"/>
          <w:szCs w:val="24"/>
          <w:lang w:val="en-GB"/>
        </w:rPr>
        <w:t xml:space="preserve">Moreover, </w:t>
      </w:r>
      <w:r w:rsidR="00BB7543" w:rsidRPr="00B73FCE">
        <w:rPr>
          <w:rFonts w:ascii="Arial" w:eastAsia="Arial" w:hAnsi="Arial" w:cs="Arial"/>
          <w:color w:val="000000" w:themeColor="text1"/>
          <w:sz w:val="24"/>
          <w:szCs w:val="24"/>
          <w:lang w:val="en-GB"/>
        </w:rPr>
        <w:t>it</w:t>
      </w:r>
      <w:r w:rsidR="00B73FCE" w:rsidRPr="00B73FCE">
        <w:rPr>
          <w:rFonts w:ascii="Arial" w:eastAsia="Arial" w:hAnsi="Arial" w:cs="Arial"/>
          <w:color w:val="000000" w:themeColor="text1"/>
          <w:sz w:val="24"/>
          <w:szCs w:val="24"/>
          <w:lang w:val="en-GB"/>
        </w:rPr>
        <w:t xml:space="preserve"> is understood that not all children can be forthcoming with disclosures, especially for a variety of reasons outlined by the NSPCC (2023), this could be out of fear of upsetting family or getting in more trouble or even out of shame. McElvaney (2015) echoes this notion, even emphasising that when children speak out or make disclosures, it is usually after years from when the abuse has taken place. As such, as cited in NSPCC (2023), authors Allnock and Miller (2013) and Coss</w:t>
      </w:r>
      <w:r w:rsidR="00D72582" w:rsidRPr="00BB7543">
        <w:rPr>
          <w:rFonts w:ascii="Arial" w:eastAsia="Arial" w:hAnsi="Arial" w:cs="Arial"/>
          <w:color w:val="000000" w:themeColor="text1"/>
          <w:sz w:val="24"/>
          <w:szCs w:val="24"/>
          <w:lang w:val="en-GB"/>
        </w:rPr>
        <w:t>a</w:t>
      </w:r>
      <w:r w:rsidR="00B73FCE" w:rsidRPr="00B73FCE">
        <w:rPr>
          <w:rFonts w:ascii="Arial" w:eastAsia="Arial" w:hAnsi="Arial" w:cs="Arial"/>
          <w:color w:val="000000" w:themeColor="text1"/>
          <w:sz w:val="24"/>
          <w:szCs w:val="24"/>
          <w:lang w:val="en-GB"/>
        </w:rPr>
        <w:t>r</w:t>
      </w:r>
      <w:r w:rsidR="00377A02" w:rsidRPr="00BB7543">
        <w:rPr>
          <w:rFonts w:ascii="Arial" w:eastAsia="Arial" w:hAnsi="Arial" w:cs="Arial"/>
          <w:color w:val="000000" w:themeColor="text1"/>
          <w:sz w:val="24"/>
          <w:szCs w:val="24"/>
          <w:lang w:val="en-GB"/>
        </w:rPr>
        <w:t>,</w:t>
      </w:r>
      <w:r w:rsidR="00B73FCE" w:rsidRPr="00B73FCE">
        <w:rPr>
          <w:rFonts w:ascii="Arial" w:eastAsia="Arial" w:hAnsi="Arial" w:cs="Arial"/>
          <w:color w:val="000000" w:themeColor="text1"/>
          <w:sz w:val="24"/>
          <w:szCs w:val="24"/>
          <w:lang w:val="en-GB"/>
        </w:rPr>
        <w:t xml:space="preserve"> </w:t>
      </w:r>
      <w:r w:rsidR="00B73FCE" w:rsidRPr="00B73FCE">
        <w:rPr>
          <w:rFonts w:ascii="Arial" w:eastAsia="Arial" w:hAnsi="Arial" w:cs="Arial"/>
          <w:i/>
          <w:iCs/>
          <w:color w:val="000000" w:themeColor="text1"/>
          <w:sz w:val="24"/>
          <w:szCs w:val="24"/>
          <w:lang w:val="en-GB"/>
        </w:rPr>
        <w:t>et al.</w:t>
      </w:r>
      <w:r w:rsidR="00D72582" w:rsidRPr="00BB7543">
        <w:rPr>
          <w:rFonts w:ascii="Arial" w:eastAsia="Arial" w:hAnsi="Arial" w:cs="Arial"/>
          <w:i/>
          <w:iCs/>
          <w:color w:val="000000" w:themeColor="text1"/>
          <w:sz w:val="24"/>
          <w:szCs w:val="24"/>
          <w:lang w:val="en-GB"/>
        </w:rPr>
        <w:t>,</w:t>
      </w:r>
      <w:r w:rsidR="00B73FCE" w:rsidRPr="00B73FCE">
        <w:rPr>
          <w:rFonts w:ascii="Arial" w:eastAsia="Arial" w:hAnsi="Arial" w:cs="Arial"/>
          <w:color w:val="000000" w:themeColor="text1"/>
          <w:sz w:val="24"/>
          <w:szCs w:val="24"/>
          <w:lang w:val="en-GB"/>
        </w:rPr>
        <w:t xml:space="preserve"> (2013) suggest that children sometimes will offer clues through their actions and by using </w:t>
      </w:r>
      <w:r w:rsidR="00B73FCE" w:rsidRPr="00B73FCE">
        <w:rPr>
          <w:rFonts w:ascii="Arial" w:eastAsia="Arial" w:hAnsi="Arial" w:cs="Arial"/>
          <w:color w:val="000000" w:themeColor="text1"/>
          <w:sz w:val="24"/>
          <w:szCs w:val="24"/>
          <w:lang w:val="en-GB"/>
        </w:rPr>
        <w:lastRenderedPageBreak/>
        <w:t>indirect words. This necessitates the importance for practitioners and adults to be ever more vigilant and aware of signs and symptoms of child abuse (NSPCC, 2020).</w:t>
      </w:r>
    </w:p>
    <w:p w14:paraId="716ACC5C"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Effective Recording of Information</w:t>
      </w:r>
    </w:p>
    <w:p w14:paraId="292ECF26" w14:textId="0AE59FDC"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Accurate and detailed recording of observations is essential for effective safeguarding. Practitioners should document what they see and hear without inserting personal interpretations or assumptions. Detailed records provide a factual basis for any subsequent investigations and ensure that the child’s situation is understood accurately. For Joanna, documenting her behavioural changes, the specific location and appearance of the bruises, and her emotional response when questioned about the bruises is crucial. This objective recording supports the safeguarding process and meets legal requirements (Wales Safeguarding Procedures, 2021).</w:t>
      </w:r>
    </w:p>
    <w:p w14:paraId="03CDA3AC" w14:textId="15B878C0"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The Daniel Pelka case illustrates the tragic consequences of failing to recogni</w:t>
      </w:r>
      <w:r w:rsidR="00377A02" w:rsidRPr="00BB7543">
        <w:rPr>
          <w:rFonts w:ascii="Arial" w:eastAsia="Arial" w:hAnsi="Arial" w:cs="Arial"/>
          <w:color w:val="000000" w:themeColor="text1"/>
          <w:sz w:val="24"/>
          <w:szCs w:val="24"/>
          <w:lang w:val="en-GB"/>
        </w:rPr>
        <w:t>s</w:t>
      </w:r>
      <w:r w:rsidRPr="00B73FCE">
        <w:rPr>
          <w:rFonts w:ascii="Arial" w:eastAsia="Arial" w:hAnsi="Arial" w:cs="Arial"/>
          <w:color w:val="000000" w:themeColor="text1"/>
          <w:sz w:val="24"/>
          <w:szCs w:val="24"/>
          <w:lang w:val="en-GB"/>
        </w:rPr>
        <w:t>e and act on signs of abuse. Despite numerous indicators, including physical injuries and behavioural changes, Daniel's suffering was not adequately addressed, leading to his untimely death (</w:t>
      </w:r>
      <w:r w:rsidR="00D72582" w:rsidRPr="00B73FCE">
        <w:rPr>
          <w:rFonts w:ascii="Arial" w:eastAsia="Arial" w:hAnsi="Arial" w:cs="Arial"/>
          <w:color w:val="000000" w:themeColor="text1"/>
          <w:sz w:val="24"/>
          <w:szCs w:val="24"/>
          <w:lang w:val="en-GB"/>
        </w:rPr>
        <w:t>Hal</w:t>
      </w:r>
      <w:r w:rsidR="00D72582" w:rsidRPr="00BB7543">
        <w:rPr>
          <w:rFonts w:ascii="Arial" w:eastAsia="Arial" w:hAnsi="Arial" w:cs="Arial"/>
          <w:color w:val="000000" w:themeColor="text1"/>
          <w:sz w:val="24"/>
          <w:szCs w:val="24"/>
          <w:lang w:val="en-GB"/>
        </w:rPr>
        <w:t>l</w:t>
      </w:r>
      <w:r w:rsidRPr="00B73FCE">
        <w:rPr>
          <w:rFonts w:ascii="Arial" w:eastAsia="Arial" w:hAnsi="Arial" w:cs="Arial"/>
          <w:color w:val="000000" w:themeColor="text1"/>
          <w:sz w:val="24"/>
          <w:szCs w:val="24"/>
          <w:lang w:val="en-GB"/>
        </w:rPr>
        <w:t>, 2013).</w:t>
      </w:r>
      <w:r w:rsidR="00A22C34" w:rsidRPr="00BB7543">
        <w:rPr>
          <w:rFonts w:ascii="Arial" w:eastAsia="Arial" w:hAnsi="Arial" w:cs="Arial"/>
          <w:color w:val="000000" w:themeColor="text1"/>
          <w:sz w:val="24"/>
          <w:szCs w:val="24"/>
          <w:lang w:val="en-GB"/>
        </w:rPr>
        <w:t xml:space="preserve"> </w:t>
      </w:r>
      <w:r w:rsidR="00A22C34" w:rsidRPr="00BB7543">
        <w:rPr>
          <w:rFonts w:ascii="Arial" w:eastAsia="Arial" w:hAnsi="Arial" w:cs="Arial"/>
          <w:color w:val="000000" w:themeColor="text1"/>
          <w:sz w:val="24"/>
          <w:szCs w:val="24"/>
          <w:lang w:val="en-GB"/>
        </w:rPr>
        <w:t xml:space="preserve">The </w:t>
      </w:r>
      <w:r w:rsidR="0086576F" w:rsidRPr="00BB7543">
        <w:rPr>
          <w:rFonts w:ascii="Arial" w:eastAsia="Arial" w:hAnsi="Arial" w:cs="Arial"/>
          <w:i/>
          <w:iCs/>
          <w:color w:val="000000" w:themeColor="text1"/>
          <w:sz w:val="24"/>
          <w:szCs w:val="24"/>
          <w:lang w:val="en-GB"/>
        </w:rPr>
        <w:t>‘</w:t>
      </w:r>
      <w:r w:rsidR="00A22C34" w:rsidRPr="00BB7543">
        <w:rPr>
          <w:rFonts w:ascii="Arial" w:eastAsia="Arial" w:hAnsi="Arial" w:cs="Arial"/>
          <w:i/>
          <w:iCs/>
          <w:color w:val="000000" w:themeColor="text1"/>
          <w:sz w:val="24"/>
          <w:szCs w:val="24"/>
          <w:lang w:val="en-GB"/>
        </w:rPr>
        <w:t>Bichard Report</w:t>
      </w:r>
      <w:r w:rsidR="0086576F" w:rsidRPr="00BB7543">
        <w:rPr>
          <w:rFonts w:ascii="Arial" w:eastAsia="Arial" w:hAnsi="Arial" w:cs="Arial"/>
          <w:i/>
          <w:iCs/>
          <w:color w:val="000000" w:themeColor="text1"/>
          <w:sz w:val="24"/>
          <w:szCs w:val="24"/>
          <w:lang w:val="en-GB"/>
        </w:rPr>
        <w:t>’</w:t>
      </w:r>
      <w:r w:rsidR="00A22C34" w:rsidRPr="00BB7543">
        <w:rPr>
          <w:rFonts w:ascii="Arial" w:eastAsia="Arial" w:hAnsi="Arial" w:cs="Arial"/>
          <w:color w:val="000000" w:themeColor="text1"/>
          <w:sz w:val="24"/>
          <w:szCs w:val="24"/>
          <w:lang w:val="en-GB"/>
        </w:rPr>
        <w:t xml:space="preserve"> also emphasises the critical nature of meticulous record-keeping and the sharing of information between agencies to prevent such tragedies (Bichard, 2004).</w:t>
      </w:r>
    </w:p>
    <w:p w14:paraId="030CC02D"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Observations and Questioning Techniques</w:t>
      </w:r>
    </w:p>
    <w:p w14:paraId="1B3524CA" w14:textId="2ECC038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Observing children closely and using appropriate questioning techniques are vital in identifying potential abuse. Practitioners should use non-leading, open-ended questions to encourage children to share information without feeling pressured (McElvaney, 2015). For instance, when Joanna displayed bruising, a question like, "Can you tell me what happened?" is less intimidating and more likely to yield truthful responses than a leading question such as, "Did someone hurt you?" Joanna’s upset reaction when asked about the bruises indicates the need for sensitive handling and careful observation. According to the Estyn guidelines</w:t>
      </w:r>
      <w:r w:rsidR="00377A02" w:rsidRPr="00BB7543">
        <w:rPr>
          <w:rFonts w:ascii="Arial" w:eastAsia="Arial" w:hAnsi="Arial" w:cs="Arial"/>
          <w:color w:val="000000" w:themeColor="text1"/>
          <w:sz w:val="24"/>
          <w:szCs w:val="24"/>
          <w:lang w:val="en-GB"/>
        </w:rPr>
        <w:t xml:space="preserve"> </w:t>
      </w:r>
      <w:r w:rsidR="00377A02" w:rsidRPr="00B73FCE">
        <w:rPr>
          <w:rFonts w:ascii="Arial" w:eastAsia="Arial" w:hAnsi="Arial" w:cs="Arial"/>
          <w:color w:val="000000" w:themeColor="text1"/>
          <w:sz w:val="24"/>
          <w:szCs w:val="24"/>
          <w:lang w:val="en-GB"/>
        </w:rPr>
        <w:t>(Estyn, 2019)</w:t>
      </w:r>
      <w:r w:rsidRPr="00B73FCE">
        <w:rPr>
          <w:rFonts w:ascii="Arial" w:eastAsia="Arial" w:hAnsi="Arial" w:cs="Arial"/>
          <w:color w:val="000000" w:themeColor="text1"/>
          <w:sz w:val="24"/>
          <w:szCs w:val="24"/>
          <w:lang w:val="en-GB"/>
        </w:rPr>
        <w:t>, inspectors should record all relevant details immediately and refer any concerns to the safeguarding team.</w:t>
      </w:r>
      <w:r w:rsidR="00A22C34" w:rsidRPr="00BB7543">
        <w:rPr>
          <w:rFonts w:ascii="Arial" w:eastAsia="Arial" w:hAnsi="Arial" w:cs="Arial"/>
          <w:color w:val="000000" w:themeColor="text1"/>
          <w:sz w:val="24"/>
          <w:szCs w:val="24"/>
          <w:lang w:val="en-GB"/>
        </w:rPr>
        <w:t xml:space="preserve"> </w:t>
      </w:r>
      <w:r w:rsidR="00A22C34" w:rsidRPr="00BB7543">
        <w:rPr>
          <w:rFonts w:ascii="Arial" w:eastAsia="Arial" w:hAnsi="Arial" w:cs="Arial"/>
          <w:color w:val="000000" w:themeColor="text1"/>
          <w:sz w:val="24"/>
          <w:szCs w:val="24"/>
          <w:lang w:val="en-GB"/>
        </w:rPr>
        <w:t>The</w:t>
      </w:r>
      <w:r w:rsidR="00BB7543">
        <w:rPr>
          <w:rFonts w:ascii="Arial" w:eastAsia="Arial" w:hAnsi="Arial" w:cs="Arial"/>
          <w:color w:val="000000" w:themeColor="text1"/>
          <w:sz w:val="24"/>
          <w:szCs w:val="24"/>
          <w:lang w:val="en-GB"/>
        </w:rPr>
        <w:t xml:space="preserve"> </w:t>
      </w:r>
      <w:r w:rsidR="00661AFA" w:rsidRPr="00BB7543">
        <w:rPr>
          <w:rFonts w:ascii="Arial" w:eastAsia="Arial" w:hAnsi="Arial" w:cs="Arial"/>
          <w:color w:val="000000" w:themeColor="text1"/>
          <w:sz w:val="24"/>
          <w:szCs w:val="24"/>
          <w:lang w:val="en-GB"/>
        </w:rPr>
        <w:t>‘</w:t>
      </w:r>
      <w:r w:rsidR="00661AFA" w:rsidRPr="00BB7543">
        <w:rPr>
          <w:rFonts w:ascii="Arial" w:eastAsia="Arial" w:hAnsi="Arial" w:cs="Arial"/>
          <w:i/>
          <w:iCs/>
          <w:color w:val="000000" w:themeColor="text1"/>
          <w:sz w:val="24"/>
          <w:szCs w:val="24"/>
          <w:lang w:val="en-GB"/>
        </w:rPr>
        <w:t>Victoria Climbié Inquiry Report</w:t>
      </w:r>
      <w:r w:rsidR="0086576F" w:rsidRPr="00BB7543">
        <w:rPr>
          <w:rFonts w:ascii="Arial" w:eastAsia="Arial" w:hAnsi="Arial" w:cs="Arial"/>
          <w:i/>
          <w:iCs/>
          <w:color w:val="000000" w:themeColor="text1"/>
          <w:sz w:val="24"/>
          <w:szCs w:val="24"/>
          <w:lang w:val="en-GB"/>
        </w:rPr>
        <w:t>’</w:t>
      </w:r>
      <w:r w:rsidR="00A22C34" w:rsidRPr="00BB7543">
        <w:rPr>
          <w:rFonts w:ascii="Arial" w:eastAsia="Arial" w:hAnsi="Arial" w:cs="Arial"/>
          <w:color w:val="000000" w:themeColor="text1"/>
          <w:sz w:val="24"/>
          <w:szCs w:val="24"/>
          <w:lang w:val="en-GB"/>
        </w:rPr>
        <w:t xml:space="preserve"> further highlights the importance of professional vigilance and proper questioning techniques in safeguarding children (Laming, 2003).</w:t>
      </w:r>
    </w:p>
    <w:p w14:paraId="60D113D4"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lastRenderedPageBreak/>
        <w:t>Assumption Making and Reporting Information Accurately</w:t>
      </w:r>
    </w:p>
    <w:p w14:paraId="4FF29092" w14:textId="6F219463"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Making assumptions based on limited information can be harmful and lead to false accusations. Practitioners must approach each situation with an open mind, focusing on gathering facts rather than forming premature conclusions. For Joanna, it</w:t>
      </w:r>
      <w:r w:rsidR="00BB7543">
        <w:rPr>
          <w:rFonts w:ascii="Arial" w:eastAsia="Arial" w:hAnsi="Arial" w:cs="Arial"/>
          <w:color w:val="000000" w:themeColor="text1"/>
          <w:sz w:val="24"/>
          <w:szCs w:val="24"/>
          <w:lang w:val="en-GB"/>
        </w:rPr>
        <w:t xml:space="preserve"> i</w:t>
      </w:r>
      <w:r w:rsidRPr="00B73FCE">
        <w:rPr>
          <w:rFonts w:ascii="Arial" w:eastAsia="Arial" w:hAnsi="Arial" w:cs="Arial"/>
          <w:color w:val="000000" w:themeColor="text1"/>
          <w:sz w:val="24"/>
          <w:szCs w:val="24"/>
          <w:lang w:val="en-GB"/>
        </w:rPr>
        <w:t>s essential to record her symptoms and behaviours accurately without jumping to conclusions about the cause. This balanced approach ensures that any intervention is based on solid evidence and that the child’s best interests are the primary concern.</w:t>
      </w:r>
    </w:p>
    <w:p w14:paraId="27A101BD" w14:textId="56F05E6A"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The importance of avoiding assumptions is highlighted in the Jimmy Savile case. Many victims' allegations were dismissed or ignored due to assumptions about his character and status, which allowed his abuse to continue unchecked (</w:t>
      </w:r>
      <w:r w:rsidR="007D21F9" w:rsidRPr="00BB7543">
        <w:rPr>
          <w:rFonts w:ascii="Arial" w:eastAsia="Arial" w:hAnsi="Arial" w:cs="Arial"/>
          <w:color w:val="000000" w:themeColor="text1"/>
          <w:sz w:val="24"/>
          <w:szCs w:val="24"/>
          <w:lang w:val="en-GB"/>
        </w:rPr>
        <w:t>Gray, D. and Watt, P.</w:t>
      </w:r>
      <w:r w:rsidRPr="00B73FCE">
        <w:rPr>
          <w:rFonts w:ascii="Arial" w:eastAsia="Arial" w:hAnsi="Arial" w:cs="Arial"/>
          <w:color w:val="000000" w:themeColor="text1"/>
          <w:sz w:val="24"/>
          <w:szCs w:val="24"/>
          <w:lang w:val="en-GB"/>
        </w:rPr>
        <w:t>, 2013).</w:t>
      </w:r>
      <w:r w:rsidR="00A22C34" w:rsidRPr="00BB7543">
        <w:rPr>
          <w:rFonts w:ascii="Arial" w:eastAsia="Arial" w:hAnsi="Arial" w:cs="Arial"/>
          <w:color w:val="000000" w:themeColor="text1"/>
          <w:sz w:val="24"/>
          <w:szCs w:val="24"/>
          <w:lang w:val="en-GB"/>
        </w:rPr>
        <w:t xml:space="preserve"> </w:t>
      </w:r>
      <w:r w:rsidR="00A22C34" w:rsidRPr="00BB7543">
        <w:rPr>
          <w:rFonts w:ascii="Arial" w:eastAsia="Arial" w:hAnsi="Arial" w:cs="Arial"/>
          <w:color w:val="000000" w:themeColor="text1"/>
          <w:sz w:val="24"/>
          <w:szCs w:val="24"/>
          <w:lang w:val="en-GB"/>
        </w:rPr>
        <w:t xml:space="preserve">Additionally, the </w:t>
      </w:r>
      <w:r w:rsidR="0086576F" w:rsidRPr="00BB7543">
        <w:rPr>
          <w:rFonts w:ascii="Arial" w:eastAsia="Arial" w:hAnsi="Arial" w:cs="Arial"/>
          <w:color w:val="000000" w:themeColor="text1"/>
          <w:sz w:val="24"/>
          <w:szCs w:val="24"/>
          <w:lang w:val="en-GB"/>
        </w:rPr>
        <w:t>‘</w:t>
      </w:r>
      <w:r w:rsidR="00A22C34" w:rsidRPr="00BB7543">
        <w:rPr>
          <w:rFonts w:ascii="Arial" w:eastAsia="Arial" w:hAnsi="Arial" w:cs="Arial"/>
          <w:i/>
          <w:iCs/>
          <w:color w:val="000000" w:themeColor="text1"/>
          <w:sz w:val="24"/>
          <w:szCs w:val="24"/>
          <w:lang w:val="en-GB"/>
        </w:rPr>
        <w:t>Lost in Care - Waterhouse Report</w:t>
      </w:r>
      <w:r w:rsidR="0086576F" w:rsidRPr="00BB7543">
        <w:rPr>
          <w:rFonts w:ascii="Arial" w:eastAsia="Arial" w:hAnsi="Arial" w:cs="Arial"/>
          <w:i/>
          <w:iCs/>
          <w:color w:val="000000" w:themeColor="text1"/>
          <w:sz w:val="24"/>
          <w:szCs w:val="24"/>
          <w:lang w:val="en-GB"/>
        </w:rPr>
        <w:t>’</w:t>
      </w:r>
      <w:r w:rsidR="00A22C34" w:rsidRPr="00BB7543">
        <w:rPr>
          <w:rFonts w:ascii="Arial" w:eastAsia="Arial" w:hAnsi="Arial" w:cs="Arial"/>
          <w:color w:val="000000" w:themeColor="text1"/>
          <w:sz w:val="24"/>
          <w:szCs w:val="24"/>
          <w:lang w:val="en-GB"/>
        </w:rPr>
        <w:t xml:space="preserve"> demonstrates how dangerous assumptions and failures to act on concerns can lead to systemic abuse and neglect within care institutions (Waterhous</w:t>
      </w:r>
      <w:r w:rsidR="0086576F" w:rsidRPr="00BB7543">
        <w:rPr>
          <w:rFonts w:ascii="Arial" w:eastAsia="Arial" w:hAnsi="Arial" w:cs="Arial"/>
          <w:color w:val="000000" w:themeColor="text1"/>
          <w:sz w:val="24"/>
          <w:szCs w:val="24"/>
          <w:lang w:val="en-GB"/>
        </w:rPr>
        <w:t>e</w:t>
      </w:r>
      <w:r w:rsidR="00A22C34" w:rsidRPr="00BB7543">
        <w:rPr>
          <w:rFonts w:ascii="Arial" w:eastAsia="Arial" w:hAnsi="Arial" w:cs="Arial"/>
          <w:color w:val="000000" w:themeColor="text1"/>
          <w:sz w:val="24"/>
          <w:szCs w:val="24"/>
          <w:lang w:val="en-GB"/>
        </w:rPr>
        <w:t>, 2000).</w:t>
      </w:r>
    </w:p>
    <w:p w14:paraId="66CC7B30"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Conclusion</w:t>
      </w:r>
    </w:p>
    <w:p w14:paraId="4D9EBDDF"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Recognising and recording signs of child abuse are critical components of safeguarding in early years settings. By observing children carefully, using appropriate questioning techniques, and accurately recording information, practitioners can ensure that potential abuse is identified and addressed promptly. Joanna's case highlights the importance of these practices in protecting children from harm and supporting their wellbeing.</w:t>
      </w:r>
    </w:p>
    <w:p w14:paraId="3FDEEFE7" w14:textId="77777777" w:rsidR="00377A02" w:rsidRPr="00BB7543" w:rsidRDefault="00377A02" w:rsidP="00BB7543">
      <w:pPr>
        <w:spacing w:line="360" w:lineRule="auto"/>
        <w:rPr>
          <w:rFonts w:ascii="Arial" w:eastAsia="Arial" w:hAnsi="Arial" w:cs="Arial"/>
          <w:b/>
          <w:bCs/>
          <w:color w:val="000000" w:themeColor="text1"/>
          <w:sz w:val="24"/>
          <w:szCs w:val="24"/>
          <w:lang w:val="en-GB"/>
        </w:rPr>
      </w:pPr>
      <w:r w:rsidRPr="00BB7543">
        <w:rPr>
          <w:rFonts w:ascii="Arial" w:eastAsia="Arial" w:hAnsi="Arial" w:cs="Arial"/>
          <w:b/>
          <w:bCs/>
          <w:color w:val="000000" w:themeColor="text1"/>
          <w:sz w:val="24"/>
          <w:szCs w:val="24"/>
          <w:lang w:val="en-GB"/>
        </w:rPr>
        <w:br w:type="page"/>
      </w:r>
    </w:p>
    <w:p w14:paraId="5DE70141" w14:textId="0692915A" w:rsidR="00B73FCE" w:rsidRPr="00B73FCE" w:rsidRDefault="00B73FCE" w:rsidP="00BB7543">
      <w:pPr>
        <w:spacing w:line="360" w:lineRule="auto"/>
        <w:rPr>
          <w:rFonts w:ascii="Arial" w:eastAsia="Arial" w:hAnsi="Arial" w:cs="Arial"/>
          <w:b/>
          <w:bCs/>
          <w:color w:val="000000" w:themeColor="text1"/>
          <w:sz w:val="24"/>
          <w:szCs w:val="24"/>
          <w:lang w:val="en-GB"/>
        </w:rPr>
      </w:pPr>
      <w:r w:rsidRPr="00B73FCE">
        <w:rPr>
          <w:rFonts w:ascii="Arial" w:eastAsia="Arial" w:hAnsi="Arial" w:cs="Arial"/>
          <w:b/>
          <w:bCs/>
          <w:color w:val="000000" w:themeColor="text1"/>
          <w:sz w:val="24"/>
          <w:szCs w:val="24"/>
          <w:lang w:val="en-GB"/>
        </w:rPr>
        <w:lastRenderedPageBreak/>
        <w:t>Reporting and Referral</w:t>
      </w:r>
    </w:p>
    <w:p w14:paraId="02281460"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Introduction</w:t>
      </w:r>
    </w:p>
    <w:p w14:paraId="56A260B8"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Effective reporting and referral processes are essential in safeguarding children from abuse. This section critically analyses these processes, considering statutory requirements, policy, and ethical frameworks, with reference to Joanna's case.</w:t>
      </w:r>
    </w:p>
    <w:p w14:paraId="2E655561"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Statutory Requirements</w:t>
      </w:r>
    </w:p>
    <w:p w14:paraId="00892F40" w14:textId="1B2BD815"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 xml:space="preserve">Under the </w:t>
      </w:r>
      <w:r w:rsidRPr="00B73FCE">
        <w:rPr>
          <w:rFonts w:ascii="Arial" w:eastAsia="Arial" w:hAnsi="Arial" w:cs="Arial"/>
          <w:i/>
          <w:iCs/>
          <w:color w:val="000000" w:themeColor="text1"/>
          <w:sz w:val="24"/>
          <w:szCs w:val="24"/>
          <w:lang w:val="en-GB"/>
        </w:rPr>
        <w:t>Children Act 1989</w:t>
      </w:r>
      <w:r w:rsidRPr="00B73FCE">
        <w:rPr>
          <w:rFonts w:ascii="Arial" w:eastAsia="Arial" w:hAnsi="Arial" w:cs="Arial"/>
          <w:color w:val="000000" w:themeColor="text1"/>
          <w:sz w:val="24"/>
          <w:szCs w:val="24"/>
          <w:lang w:val="en-GB"/>
        </w:rPr>
        <w:t>, practitioners have a legal obligation to report concerns about a child's welfare. This legislation mandates that any suspicion of abuse must be reported to safeguarding authorities to ensure the child's protection (</w:t>
      </w:r>
      <w:r w:rsidRPr="00B73FCE">
        <w:rPr>
          <w:rFonts w:ascii="Arial" w:eastAsia="Arial" w:hAnsi="Arial" w:cs="Arial"/>
          <w:i/>
          <w:iCs/>
          <w:color w:val="000000" w:themeColor="text1"/>
          <w:sz w:val="24"/>
          <w:szCs w:val="24"/>
          <w:lang w:val="en-GB"/>
        </w:rPr>
        <w:t>Children Act 1989</w:t>
      </w:r>
      <w:r w:rsidRPr="00B73FCE">
        <w:rPr>
          <w:rFonts w:ascii="Arial" w:eastAsia="Arial" w:hAnsi="Arial" w:cs="Arial"/>
          <w:color w:val="000000" w:themeColor="text1"/>
          <w:sz w:val="24"/>
          <w:szCs w:val="24"/>
          <w:lang w:val="en-GB"/>
        </w:rPr>
        <w:t xml:space="preserve">). In Wales, this includes following the </w:t>
      </w:r>
      <w:r w:rsidR="00377A02" w:rsidRPr="00BB7543">
        <w:rPr>
          <w:rFonts w:ascii="Arial" w:eastAsia="Arial" w:hAnsi="Arial" w:cs="Arial"/>
          <w:i/>
          <w:iCs/>
          <w:color w:val="000000" w:themeColor="text1"/>
          <w:sz w:val="24"/>
          <w:szCs w:val="24"/>
          <w:lang w:val="en-GB"/>
        </w:rPr>
        <w:t>‘</w:t>
      </w:r>
      <w:r w:rsidRPr="00B73FCE">
        <w:rPr>
          <w:rFonts w:ascii="Arial" w:eastAsia="Arial" w:hAnsi="Arial" w:cs="Arial"/>
          <w:i/>
          <w:iCs/>
          <w:color w:val="000000" w:themeColor="text1"/>
          <w:sz w:val="24"/>
          <w:szCs w:val="24"/>
          <w:lang w:val="en-GB"/>
        </w:rPr>
        <w:t>All Wales Child Protection Procedures</w:t>
      </w:r>
      <w:r w:rsidR="00377A02" w:rsidRPr="00BB7543">
        <w:rPr>
          <w:rFonts w:ascii="Arial" w:eastAsia="Arial" w:hAnsi="Arial" w:cs="Arial"/>
          <w:i/>
          <w:iCs/>
          <w:color w:val="000000" w:themeColor="text1"/>
          <w:sz w:val="24"/>
          <w:szCs w:val="24"/>
          <w:lang w:val="en-GB"/>
        </w:rPr>
        <w:t>’</w:t>
      </w:r>
      <w:r w:rsidR="007D4D49" w:rsidRPr="00BB7543">
        <w:rPr>
          <w:rFonts w:ascii="Arial" w:eastAsia="Arial" w:hAnsi="Arial" w:cs="Arial"/>
          <w:i/>
          <w:iCs/>
          <w:color w:val="000000" w:themeColor="text1"/>
          <w:sz w:val="24"/>
          <w:szCs w:val="24"/>
          <w:lang w:val="en-GB"/>
        </w:rPr>
        <w:t xml:space="preserve"> </w:t>
      </w:r>
      <w:r w:rsidR="00A22C34" w:rsidRPr="00BB7543">
        <w:rPr>
          <w:rFonts w:ascii="Arial" w:eastAsia="Arial" w:hAnsi="Arial" w:cs="Arial"/>
          <w:color w:val="000000" w:themeColor="text1"/>
          <w:sz w:val="24"/>
          <w:szCs w:val="24"/>
          <w:lang w:val="en-GB"/>
        </w:rPr>
        <w:t>(</w:t>
      </w:r>
      <w:r w:rsidR="007D4D49" w:rsidRPr="00B73FCE">
        <w:rPr>
          <w:rFonts w:ascii="Arial" w:eastAsia="Arial" w:hAnsi="Arial" w:cs="Arial"/>
          <w:color w:val="000000" w:themeColor="text1"/>
          <w:sz w:val="24"/>
          <w:szCs w:val="24"/>
          <w:lang w:val="en-GB"/>
        </w:rPr>
        <w:t>Wales Safeguarding Procedures</w:t>
      </w:r>
      <w:r w:rsidR="007D4D49" w:rsidRPr="00BB7543">
        <w:rPr>
          <w:rFonts w:ascii="Arial" w:eastAsia="Arial" w:hAnsi="Arial" w:cs="Arial"/>
          <w:color w:val="000000" w:themeColor="text1"/>
          <w:sz w:val="24"/>
          <w:szCs w:val="24"/>
          <w:lang w:val="en-GB"/>
        </w:rPr>
        <w:t>, 2021)</w:t>
      </w:r>
      <w:r w:rsidRPr="00B73FCE">
        <w:rPr>
          <w:rFonts w:ascii="Arial" w:eastAsia="Arial" w:hAnsi="Arial" w:cs="Arial"/>
          <w:color w:val="000000" w:themeColor="text1"/>
          <w:sz w:val="24"/>
          <w:szCs w:val="24"/>
          <w:lang w:val="en-GB"/>
        </w:rPr>
        <w:t xml:space="preserve">. For Joanna, the teaching assistant must report her concerns to the designated safeguarding lead (DSL) within the school, ensuring that legal obligations are </w:t>
      </w:r>
      <w:r w:rsidR="00BB7543" w:rsidRPr="00B73FCE">
        <w:rPr>
          <w:rFonts w:ascii="Arial" w:eastAsia="Arial" w:hAnsi="Arial" w:cs="Arial"/>
          <w:color w:val="000000" w:themeColor="text1"/>
          <w:sz w:val="24"/>
          <w:szCs w:val="24"/>
          <w:lang w:val="en-GB"/>
        </w:rPr>
        <w:t>met,</w:t>
      </w:r>
      <w:r w:rsidRPr="00B73FCE">
        <w:rPr>
          <w:rFonts w:ascii="Arial" w:eastAsia="Arial" w:hAnsi="Arial" w:cs="Arial"/>
          <w:color w:val="000000" w:themeColor="text1"/>
          <w:sz w:val="24"/>
          <w:szCs w:val="24"/>
          <w:lang w:val="en-GB"/>
        </w:rPr>
        <w:t xml:space="preserve"> and that Joanna receives the necessary support and protection. The Welsh Government's guidance reiterates the statutory duty of all education providers to safeguard and promote the welfare of children, highlighting the need for compliance with the Education Act 2002 and the Children Act 2004 (Welsh Government, 2008).</w:t>
      </w:r>
      <w:r w:rsidR="00480481" w:rsidRPr="00BB7543">
        <w:rPr>
          <w:rFonts w:ascii="Arial" w:eastAsia="Arial" w:hAnsi="Arial" w:cs="Arial"/>
          <w:color w:val="000000" w:themeColor="text1"/>
          <w:sz w:val="24"/>
          <w:szCs w:val="24"/>
          <w:lang w:val="en-GB"/>
        </w:rPr>
        <w:t xml:space="preserve"> </w:t>
      </w:r>
      <w:r w:rsidR="00480481" w:rsidRPr="00BB7543">
        <w:rPr>
          <w:rFonts w:ascii="Arial" w:eastAsia="Arial" w:hAnsi="Arial" w:cs="Arial"/>
          <w:color w:val="000000" w:themeColor="text1"/>
          <w:sz w:val="24"/>
          <w:szCs w:val="24"/>
          <w:lang w:val="en-GB"/>
        </w:rPr>
        <w:t>Bichard (2004) highlights the necessity of robust statutory requirements and effective inter-agency communication to prevent child abuse and protect children from harm.</w:t>
      </w:r>
      <w:r w:rsidR="00DD6E65" w:rsidRPr="00BB7543">
        <w:rPr>
          <w:rFonts w:ascii="Arial" w:eastAsia="Arial" w:hAnsi="Arial" w:cs="Arial"/>
          <w:color w:val="000000" w:themeColor="text1"/>
          <w:sz w:val="24"/>
          <w:szCs w:val="24"/>
          <w:lang w:val="en-GB"/>
        </w:rPr>
        <w:t xml:space="preserve"> </w:t>
      </w:r>
      <w:r w:rsidR="00DD6E65" w:rsidRPr="00BB7543">
        <w:rPr>
          <w:rFonts w:ascii="Arial" w:eastAsia="Arial" w:hAnsi="Arial" w:cs="Arial"/>
          <w:color w:val="000000" w:themeColor="text1"/>
          <w:sz w:val="24"/>
          <w:szCs w:val="24"/>
          <w:lang w:val="en-GB"/>
        </w:rPr>
        <w:t xml:space="preserve">Additionally, the Welsh Government's </w:t>
      </w:r>
      <w:r w:rsidR="00DD6E65" w:rsidRPr="00BB7543">
        <w:rPr>
          <w:rFonts w:ascii="Arial" w:eastAsia="Arial" w:hAnsi="Arial" w:cs="Arial"/>
          <w:i/>
          <w:iCs/>
          <w:color w:val="000000" w:themeColor="text1"/>
          <w:sz w:val="24"/>
          <w:szCs w:val="24"/>
          <w:lang w:val="en-GB"/>
        </w:rPr>
        <w:t>‘</w:t>
      </w:r>
      <w:r w:rsidR="00DD6E65" w:rsidRPr="00BB7543">
        <w:rPr>
          <w:rFonts w:ascii="Arial" w:eastAsia="Arial" w:hAnsi="Arial" w:cs="Arial"/>
          <w:i/>
          <w:iCs/>
          <w:color w:val="000000" w:themeColor="text1"/>
          <w:sz w:val="24"/>
          <w:szCs w:val="24"/>
          <w:lang w:val="en-GB"/>
        </w:rPr>
        <w:t>Working Together to Keep People Safe</w:t>
      </w:r>
      <w:r w:rsidR="00DD6E65" w:rsidRPr="00BB7543">
        <w:rPr>
          <w:rFonts w:ascii="Arial" w:eastAsia="Arial" w:hAnsi="Arial" w:cs="Arial"/>
          <w:i/>
          <w:iCs/>
          <w:color w:val="000000" w:themeColor="text1"/>
          <w:sz w:val="24"/>
          <w:szCs w:val="24"/>
          <w:lang w:val="en-GB"/>
        </w:rPr>
        <w:t>’</w:t>
      </w:r>
      <w:r w:rsidR="00DD6E65" w:rsidRPr="00BB7543">
        <w:rPr>
          <w:rFonts w:ascii="Arial" w:eastAsia="Arial" w:hAnsi="Arial" w:cs="Arial"/>
          <w:color w:val="000000" w:themeColor="text1"/>
          <w:sz w:val="24"/>
          <w:szCs w:val="24"/>
          <w:lang w:val="en-GB"/>
        </w:rPr>
        <w:t xml:space="preserve"> (2022) document underscores the importance of having safeguarding plans in place and making sure all staff are aware of their duty to report any concerns about abuse or neglect.</w:t>
      </w:r>
    </w:p>
    <w:p w14:paraId="29E668E4"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Policy and Ethical Frameworks</w:t>
      </w:r>
    </w:p>
    <w:p w14:paraId="44F20FF8" w14:textId="6E080D3D" w:rsidR="00480481"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Safeguarding policies and ethical frameworks guide the reporting and referral process, ensuring that actions taken are in the best interests of the child. The Wales Safeguarding Procedures provide a comprehensive framework for managing safeguarding concerns, emphasi</w:t>
      </w:r>
      <w:r w:rsidR="00A22C34" w:rsidRPr="00BB7543">
        <w:rPr>
          <w:rFonts w:ascii="Arial" w:eastAsia="Arial" w:hAnsi="Arial" w:cs="Arial"/>
          <w:color w:val="000000" w:themeColor="text1"/>
          <w:sz w:val="24"/>
          <w:szCs w:val="24"/>
          <w:lang w:val="en-GB"/>
        </w:rPr>
        <w:t>s</w:t>
      </w:r>
      <w:r w:rsidRPr="00B73FCE">
        <w:rPr>
          <w:rFonts w:ascii="Arial" w:eastAsia="Arial" w:hAnsi="Arial" w:cs="Arial"/>
          <w:color w:val="000000" w:themeColor="text1"/>
          <w:sz w:val="24"/>
          <w:szCs w:val="24"/>
          <w:lang w:val="en-GB"/>
        </w:rPr>
        <w:t xml:space="preserve">ing confidentiality, respect, and the child's right to protection (NSPCC, 2019). Practitioners must balance their duty to report with ethical considerations, such as maintaining the child’s trust and confidentiality. In Joanna’s </w:t>
      </w:r>
      <w:r w:rsidRPr="00B73FCE">
        <w:rPr>
          <w:rFonts w:ascii="Arial" w:eastAsia="Arial" w:hAnsi="Arial" w:cs="Arial"/>
          <w:color w:val="000000" w:themeColor="text1"/>
          <w:sz w:val="24"/>
          <w:szCs w:val="24"/>
          <w:lang w:val="en-GB"/>
        </w:rPr>
        <w:lastRenderedPageBreak/>
        <w:t>case, the teaching assistant must follow these policies to ensure that the report is handled appropriately and sensitively. Estyn’s policy also emphasi</w:t>
      </w:r>
      <w:r w:rsidR="00A22C34" w:rsidRPr="00BB7543">
        <w:rPr>
          <w:rFonts w:ascii="Arial" w:eastAsia="Arial" w:hAnsi="Arial" w:cs="Arial"/>
          <w:color w:val="000000" w:themeColor="text1"/>
          <w:sz w:val="24"/>
          <w:szCs w:val="24"/>
          <w:lang w:val="en-GB"/>
        </w:rPr>
        <w:t>s</w:t>
      </w:r>
      <w:r w:rsidRPr="00B73FCE">
        <w:rPr>
          <w:rFonts w:ascii="Arial" w:eastAsia="Arial" w:hAnsi="Arial" w:cs="Arial"/>
          <w:color w:val="000000" w:themeColor="text1"/>
          <w:sz w:val="24"/>
          <w:szCs w:val="24"/>
          <w:lang w:val="en-GB"/>
        </w:rPr>
        <w:t>es the duty of all staff to report any safeguarding concerns immediately and to follow proper referral procedures (Estyn, 2019).</w:t>
      </w:r>
      <w:r w:rsidR="00661AFA" w:rsidRPr="00BB7543">
        <w:rPr>
          <w:rFonts w:ascii="Arial" w:hAnsi="Arial" w:cs="Arial"/>
          <w:color w:val="000000" w:themeColor="text1"/>
          <w:sz w:val="24"/>
          <w:szCs w:val="24"/>
          <w:lang w:val="en-GB"/>
        </w:rPr>
        <w:t xml:space="preserve"> </w:t>
      </w:r>
      <w:r w:rsidR="00661AFA" w:rsidRPr="00BB7543">
        <w:rPr>
          <w:rFonts w:ascii="Arial" w:eastAsia="Arial" w:hAnsi="Arial" w:cs="Arial"/>
          <w:color w:val="000000" w:themeColor="text1"/>
          <w:sz w:val="24"/>
          <w:szCs w:val="24"/>
          <w:lang w:val="en-GB"/>
        </w:rPr>
        <w:t xml:space="preserve">The </w:t>
      </w:r>
      <w:r w:rsidR="00661AFA" w:rsidRPr="00BB7543">
        <w:rPr>
          <w:rFonts w:ascii="Arial" w:eastAsia="Arial" w:hAnsi="Arial" w:cs="Arial"/>
          <w:color w:val="000000" w:themeColor="text1"/>
          <w:sz w:val="24"/>
          <w:szCs w:val="24"/>
          <w:lang w:val="en-GB"/>
        </w:rPr>
        <w:t>‘</w:t>
      </w:r>
      <w:r w:rsidR="00661AFA" w:rsidRPr="00BB7543">
        <w:rPr>
          <w:rFonts w:ascii="Arial" w:eastAsia="Arial" w:hAnsi="Arial" w:cs="Arial"/>
          <w:i/>
          <w:iCs/>
          <w:color w:val="000000" w:themeColor="text1"/>
          <w:sz w:val="24"/>
          <w:szCs w:val="24"/>
          <w:lang w:val="en-GB"/>
        </w:rPr>
        <w:t>Victoria Climbié Inquiry Report</w:t>
      </w:r>
      <w:r w:rsidR="00661AFA" w:rsidRPr="00BB7543">
        <w:rPr>
          <w:rFonts w:ascii="Arial" w:eastAsia="Arial" w:hAnsi="Arial" w:cs="Arial"/>
          <w:i/>
          <w:iCs/>
          <w:color w:val="000000" w:themeColor="text1"/>
          <w:sz w:val="24"/>
          <w:szCs w:val="24"/>
          <w:lang w:val="en-GB"/>
        </w:rPr>
        <w:t>’</w:t>
      </w:r>
      <w:r w:rsidR="00480481" w:rsidRPr="00BB7543">
        <w:rPr>
          <w:rFonts w:ascii="Arial" w:eastAsia="Arial" w:hAnsi="Arial" w:cs="Arial"/>
          <w:color w:val="000000" w:themeColor="text1"/>
          <w:sz w:val="24"/>
          <w:szCs w:val="24"/>
          <w:lang w:val="en-GB"/>
        </w:rPr>
        <w:t xml:space="preserve"> </w:t>
      </w:r>
      <w:r w:rsidR="00480481" w:rsidRPr="00BB7543">
        <w:rPr>
          <w:rFonts w:ascii="Arial" w:eastAsia="Arial" w:hAnsi="Arial" w:cs="Arial"/>
          <w:color w:val="000000" w:themeColor="text1"/>
          <w:sz w:val="24"/>
          <w:szCs w:val="24"/>
          <w:lang w:val="en-GB"/>
        </w:rPr>
        <w:t>(</w:t>
      </w:r>
      <w:r w:rsidR="00661AFA" w:rsidRPr="00BB7543">
        <w:rPr>
          <w:rFonts w:ascii="Arial" w:eastAsia="Arial" w:hAnsi="Arial" w:cs="Arial"/>
          <w:color w:val="000000" w:themeColor="text1"/>
          <w:sz w:val="24"/>
          <w:szCs w:val="24"/>
          <w:lang w:val="en-GB"/>
        </w:rPr>
        <w:t xml:space="preserve">Laming, </w:t>
      </w:r>
      <w:r w:rsidR="00480481" w:rsidRPr="00BB7543">
        <w:rPr>
          <w:rFonts w:ascii="Arial" w:eastAsia="Arial" w:hAnsi="Arial" w:cs="Arial"/>
          <w:color w:val="000000" w:themeColor="text1"/>
          <w:sz w:val="24"/>
          <w:szCs w:val="24"/>
          <w:lang w:val="en-GB"/>
        </w:rPr>
        <w:t>2003) underscores the importance of ethical considerations in safeguarding practices, ensuring that children's welfare is prioritised in all actions taken. Additionally, the UNCRC principles for children's rights highlight the child's right to be protected from harm and to have their best interests considered (UNICEF, 1989).</w:t>
      </w:r>
      <w:r w:rsidR="00CF26E3" w:rsidRPr="00BB7543">
        <w:rPr>
          <w:rFonts w:ascii="Arial" w:eastAsia="Arial" w:hAnsi="Arial" w:cs="Arial"/>
          <w:color w:val="000000" w:themeColor="text1"/>
          <w:sz w:val="24"/>
          <w:szCs w:val="24"/>
          <w:lang w:val="en-GB"/>
        </w:rPr>
        <w:t xml:space="preserve"> </w:t>
      </w:r>
      <w:r w:rsidR="00CF26E3" w:rsidRPr="00BB7543">
        <w:rPr>
          <w:rFonts w:ascii="Arial" w:eastAsia="Arial" w:hAnsi="Arial" w:cs="Arial"/>
          <w:color w:val="000000" w:themeColor="text1"/>
          <w:sz w:val="24"/>
          <w:szCs w:val="24"/>
          <w:lang w:val="en-GB"/>
        </w:rPr>
        <w:t xml:space="preserve">The </w:t>
      </w:r>
      <w:r w:rsidR="00CF26E3" w:rsidRPr="00BB7543">
        <w:rPr>
          <w:rFonts w:ascii="Arial" w:eastAsia="Arial" w:hAnsi="Arial" w:cs="Arial"/>
          <w:i/>
          <w:iCs/>
          <w:color w:val="000000" w:themeColor="text1"/>
          <w:sz w:val="24"/>
          <w:szCs w:val="24"/>
          <w:lang w:val="en-GB"/>
        </w:rPr>
        <w:t>‘</w:t>
      </w:r>
      <w:r w:rsidR="00CF26E3" w:rsidRPr="00BB7543">
        <w:rPr>
          <w:rFonts w:ascii="Arial" w:eastAsia="Arial" w:hAnsi="Arial" w:cs="Arial"/>
          <w:i/>
          <w:iCs/>
          <w:color w:val="000000" w:themeColor="text1"/>
          <w:sz w:val="24"/>
          <w:szCs w:val="24"/>
          <w:lang w:val="en-GB"/>
        </w:rPr>
        <w:t>Working Together to Keep People Safe</w:t>
      </w:r>
      <w:r w:rsidR="00CF26E3" w:rsidRPr="00BB7543">
        <w:rPr>
          <w:rFonts w:ascii="Arial" w:eastAsia="Arial" w:hAnsi="Arial" w:cs="Arial"/>
          <w:i/>
          <w:iCs/>
          <w:color w:val="000000" w:themeColor="text1"/>
          <w:sz w:val="24"/>
          <w:szCs w:val="24"/>
          <w:lang w:val="en-GB"/>
        </w:rPr>
        <w:t>’</w:t>
      </w:r>
      <w:r w:rsidR="00CF26E3" w:rsidRPr="00BB7543">
        <w:rPr>
          <w:rFonts w:ascii="Arial" w:eastAsia="Arial" w:hAnsi="Arial" w:cs="Arial"/>
          <w:i/>
          <w:iCs/>
          <w:color w:val="000000" w:themeColor="text1"/>
          <w:sz w:val="24"/>
          <w:szCs w:val="24"/>
          <w:lang w:val="en-GB"/>
        </w:rPr>
        <w:t xml:space="preserve"> </w:t>
      </w:r>
      <w:r w:rsidR="00CF26E3" w:rsidRPr="00BB7543">
        <w:rPr>
          <w:rFonts w:ascii="Arial" w:eastAsia="Arial" w:hAnsi="Arial" w:cs="Arial"/>
          <w:color w:val="000000" w:themeColor="text1"/>
          <w:sz w:val="24"/>
          <w:szCs w:val="24"/>
          <w:lang w:val="en-GB"/>
        </w:rPr>
        <w:t>(</w:t>
      </w:r>
      <w:r w:rsidR="00CF26E3" w:rsidRPr="00BB7543">
        <w:rPr>
          <w:rFonts w:ascii="Arial" w:eastAsia="Arial" w:hAnsi="Arial" w:cs="Arial"/>
          <w:color w:val="000000" w:themeColor="text1"/>
          <w:sz w:val="24"/>
          <w:szCs w:val="24"/>
          <w:lang w:val="en-GB"/>
        </w:rPr>
        <w:t xml:space="preserve">Welsh Gov, </w:t>
      </w:r>
      <w:r w:rsidR="00CF26E3" w:rsidRPr="00BB7543">
        <w:rPr>
          <w:rFonts w:ascii="Arial" w:eastAsia="Arial" w:hAnsi="Arial" w:cs="Arial"/>
          <w:color w:val="000000" w:themeColor="text1"/>
          <w:sz w:val="24"/>
          <w:szCs w:val="24"/>
          <w:lang w:val="en-GB"/>
        </w:rPr>
        <w:t>2022) document also stresses the need for clear safeguarding policies and regular training to ensure all staff know how to handle safeguarding issues appropriately.</w:t>
      </w:r>
    </w:p>
    <w:p w14:paraId="0DA82320" w14:textId="460FBC9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The case of Jimmy Savile, as reported in the "Giving Victims a Voice" report, shows the dire consequences when concerns are not appropriately reported and referred. Savile's abuse continued for decades, partly because early reports were not taken seriously or followed through adequately (</w:t>
      </w:r>
      <w:r w:rsidR="007D21F9" w:rsidRPr="00BB7543">
        <w:rPr>
          <w:rFonts w:ascii="Arial" w:eastAsia="Arial" w:hAnsi="Arial" w:cs="Arial"/>
          <w:color w:val="000000" w:themeColor="text1"/>
          <w:sz w:val="24"/>
          <w:szCs w:val="24"/>
          <w:lang w:val="en-GB"/>
        </w:rPr>
        <w:t>Gray</w:t>
      </w:r>
      <w:r w:rsidR="00480481" w:rsidRPr="00BB7543">
        <w:rPr>
          <w:rFonts w:ascii="Arial" w:eastAsia="Arial" w:hAnsi="Arial" w:cs="Arial"/>
          <w:color w:val="000000" w:themeColor="text1"/>
          <w:sz w:val="24"/>
          <w:szCs w:val="24"/>
          <w:lang w:val="en-GB"/>
        </w:rPr>
        <w:t xml:space="preserve"> </w:t>
      </w:r>
      <w:r w:rsidR="007D21F9" w:rsidRPr="00BB7543">
        <w:rPr>
          <w:rFonts w:ascii="Arial" w:eastAsia="Arial" w:hAnsi="Arial" w:cs="Arial"/>
          <w:color w:val="000000" w:themeColor="text1"/>
          <w:sz w:val="24"/>
          <w:szCs w:val="24"/>
          <w:lang w:val="en-GB"/>
        </w:rPr>
        <w:t>and Watt</w:t>
      </w:r>
      <w:r w:rsidRPr="00B73FCE">
        <w:rPr>
          <w:rFonts w:ascii="Arial" w:eastAsia="Arial" w:hAnsi="Arial" w:cs="Arial"/>
          <w:color w:val="000000" w:themeColor="text1"/>
          <w:sz w:val="24"/>
          <w:szCs w:val="24"/>
          <w:lang w:val="en-GB"/>
        </w:rPr>
        <w:t>, 2013</w:t>
      </w:r>
      <w:r w:rsidR="007D4D49" w:rsidRPr="00BB7543">
        <w:rPr>
          <w:rFonts w:ascii="Arial" w:eastAsia="Arial" w:hAnsi="Arial" w:cs="Arial"/>
          <w:color w:val="000000" w:themeColor="text1"/>
          <w:sz w:val="24"/>
          <w:szCs w:val="24"/>
          <w:lang w:val="en-GB"/>
        </w:rPr>
        <w:t>)</w:t>
      </w:r>
      <w:r w:rsidRPr="00B73FCE">
        <w:rPr>
          <w:rFonts w:ascii="Arial" w:eastAsia="Arial" w:hAnsi="Arial" w:cs="Arial"/>
          <w:color w:val="000000" w:themeColor="text1"/>
          <w:sz w:val="24"/>
          <w:szCs w:val="24"/>
          <w:lang w:val="en-GB"/>
        </w:rPr>
        <w:t>.</w:t>
      </w:r>
    </w:p>
    <w:p w14:paraId="06584A99"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Reporting Processes</w:t>
      </w:r>
    </w:p>
    <w:p w14:paraId="043281C0" w14:textId="34C2F593"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The process of reporting suspected abuse involves several steps. Practitioners should first document their observations and concerns in detail. This documentation should then be presented to the DSL, who will review the information and decide on the next steps. Clear communication is crucial to ensure that all relevant details are conveyed accurately. For Joanna, the teaching assistant's detailed report on her behavioural changes, bruising, and emotional response will provide the DSL with the necessary information to take appropriate action.</w:t>
      </w:r>
      <w:r w:rsidR="00480481" w:rsidRPr="00BB7543">
        <w:rPr>
          <w:rFonts w:ascii="Arial" w:eastAsia="Arial" w:hAnsi="Arial" w:cs="Arial"/>
          <w:color w:val="000000" w:themeColor="text1"/>
          <w:sz w:val="24"/>
          <w:szCs w:val="24"/>
          <w:lang w:val="en-GB"/>
        </w:rPr>
        <w:t xml:space="preserve"> </w:t>
      </w:r>
      <w:r w:rsidR="00480481" w:rsidRPr="00BB7543">
        <w:rPr>
          <w:rFonts w:ascii="Arial" w:eastAsia="Arial" w:hAnsi="Arial" w:cs="Arial"/>
          <w:color w:val="000000" w:themeColor="text1"/>
          <w:sz w:val="24"/>
          <w:szCs w:val="24"/>
          <w:lang w:val="en-GB"/>
        </w:rPr>
        <w:t xml:space="preserve">The </w:t>
      </w:r>
      <w:r w:rsidR="004C4652" w:rsidRPr="00BB7543">
        <w:rPr>
          <w:rFonts w:ascii="Arial" w:eastAsia="Arial" w:hAnsi="Arial" w:cs="Arial"/>
          <w:i/>
          <w:iCs/>
          <w:color w:val="000000" w:themeColor="text1"/>
          <w:sz w:val="24"/>
          <w:szCs w:val="24"/>
          <w:lang w:val="en-GB"/>
        </w:rPr>
        <w:t>‘</w:t>
      </w:r>
      <w:r w:rsidR="00480481" w:rsidRPr="00BB7543">
        <w:rPr>
          <w:rFonts w:ascii="Arial" w:eastAsia="Arial" w:hAnsi="Arial" w:cs="Arial"/>
          <w:i/>
          <w:iCs/>
          <w:color w:val="000000" w:themeColor="text1"/>
          <w:sz w:val="24"/>
          <w:szCs w:val="24"/>
          <w:lang w:val="en-GB"/>
        </w:rPr>
        <w:t>Clywch Report</w:t>
      </w:r>
      <w:r w:rsidR="004C4652" w:rsidRPr="00BB7543">
        <w:rPr>
          <w:rFonts w:ascii="Arial" w:eastAsia="Arial" w:hAnsi="Arial" w:cs="Arial"/>
          <w:i/>
          <w:iCs/>
          <w:color w:val="000000" w:themeColor="text1"/>
          <w:sz w:val="24"/>
          <w:szCs w:val="24"/>
          <w:lang w:val="en-GB"/>
        </w:rPr>
        <w:t>’</w:t>
      </w:r>
      <w:r w:rsidR="00480481" w:rsidRPr="00BB7543">
        <w:rPr>
          <w:rFonts w:ascii="Arial" w:eastAsia="Arial" w:hAnsi="Arial" w:cs="Arial"/>
          <w:color w:val="000000" w:themeColor="text1"/>
          <w:sz w:val="24"/>
          <w:szCs w:val="24"/>
          <w:lang w:val="en-GB"/>
        </w:rPr>
        <w:t xml:space="preserve"> (</w:t>
      </w:r>
      <w:r w:rsidR="009C148E" w:rsidRPr="00BB7543">
        <w:rPr>
          <w:rFonts w:ascii="Arial" w:eastAsia="Arial" w:hAnsi="Arial" w:cs="Arial"/>
          <w:color w:val="000000" w:themeColor="text1"/>
          <w:sz w:val="24"/>
          <w:szCs w:val="24"/>
          <w:lang w:val="en-GB"/>
        </w:rPr>
        <w:t xml:space="preserve">Children’s Commissioner for Wales, </w:t>
      </w:r>
      <w:r w:rsidR="00480481" w:rsidRPr="00BB7543">
        <w:rPr>
          <w:rFonts w:ascii="Arial" w:eastAsia="Arial" w:hAnsi="Arial" w:cs="Arial"/>
          <w:color w:val="000000" w:themeColor="text1"/>
          <w:sz w:val="24"/>
          <w:szCs w:val="24"/>
          <w:lang w:val="en-GB"/>
        </w:rPr>
        <w:t>2004) stresses the critical role of detailed documentation and thorough investigation in the reporting process, ensuring that all concerns are properly addressed.</w:t>
      </w:r>
    </w:p>
    <w:p w14:paraId="20A85A63"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Referral Procedures</w:t>
      </w:r>
    </w:p>
    <w:p w14:paraId="75A04990"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 xml:space="preserve">Once a concern is reported, the referral process begins. The DSL may refer the case to social services or other relevant agencies, depending on the severity and nature of the </w:t>
      </w:r>
      <w:r w:rsidRPr="00B73FCE">
        <w:rPr>
          <w:rFonts w:ascii="Arial" w:eastAsia="Arial" w:hAnsi="Arial" w:cs="Arial"/>
          <w:color w:val="000000" w:themeColor="text1"/>
          <w:sz w:val="24"/>
          <w:szCs w:val="24"/>
          <w:lang w:val="en-GB"/>
        </w:rPr>
        <w:lastRenderedPageBreak/>
        <w:t>concerns. Referral criteria typically include evidence of physical harm, neglect, emotional abuse, or sexual abuse. Timely action is essential to ensure the child’s safety. In Joanna’s case, the DSL’s prompt referral to social services will enable a thorough investigation and ensure that Joanna receives the protection and support she needs.</w:t>
      </w:r>
    </w:p>
    <w:p w14:paraId="79C56540" w14:textId="793F0867" w:rsidR="00480481"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The Daniel Pelka case illustrates the critical importance of timely and appropriate referrals. Despite multiple concerns raised by school staff, the lack of coordinated action and failure to refer concerns to social services contributed to the continuation of Daniel's suffering (</w:t>
      </w:r>
      <w:r w:rsidR="0086576F" w:rsidRPr="00BB7543">
        <w:rPr>
          <w:rFonts w:ascii="Arial" w:eastAsia="Arial" w:hAnsi="Arial" w:cs="Arial"/>
          <w:color w:val="000000" w:themeColor="text1"/>
          <w:sz w:val="24"/>
          <w:szCs w:val="24"/>
          <w:lang w:val="en-GB"/>
        </w:rPr>
        <w:t>Hall</w:t>
      </w:r>
      <w:r w:rsidRPr="00B73FCE">
        <w:rPr>
          <w:rFonts w:ascii="Arial" w:eastAsia="Arial" w:hAnsi="Arial" w:cs="Arial"/>
          <w:color w:val="000000" w:themeColor="text1"/>
          <w:sz w:val="24"/>
          <w:szCs w:val="24"/>
          <w:lang w:val="en-GB"/>
        </w:rPr>
        <w:t>, 2013).</w:t>
      </w:r>
      <w:r w:rsidR="009C148E" w:rsidRPr="00BB7543">
        <w:rPr>
          <w:rFonts w:ascii="Arial" w:eastAsia="Arial" w:hAnsi="Arial" w:cs="Arial"/>
          <w:color w:val="000000" w:themeColor="text1"/>
          <w:sz w:val="24"/>
          <w:szCs w:val="24"/>
          <w:lang w:val="en-GB"/>
        </w:rPr>
        <w:t xml:space="preserve"> </w:t>
      </w:r>
      <w:r w:rsidR="00480481" w:rsidRPr="00BB7543">
        <w:rPr>
          <w:rFonts w:ascii="Arial" w:eastAsia="Arial" w:hAnsi="Arial" w:cs="Arial"/>
          <w:color w:val="000000" w:themeColor="text1"/>
          <w:sz w:val="24"/>
          <w:szCs w:val="24"/>
          <w:lang w:val="en-GB"/>
        </w:rPr>
        <w:t xml:space="preserve">The </w:t>
      </w:r>
      <w:r w:rsidR="00480481" w:rsidRPr="00BB7543">
        <w:rPr>
          <w:rFonts w:ascii="Arial" w:eastAsia="Arial" w:hAnsi="Arial" w:cs="Arial"/>
          <w:color w:val="000000" w:themeColor="text1"/>
          <w:sz w:val="24"/>
          <w:szCs w:val="24"/>
          <w:lang w:val="en-GB"/>
        </w:rPr>
        <w:t>‘</w:t>
      </w:r>
      <w:r w:rsidR="00480481" w:rsidRPr="00BB7543">
        <w:rPr>
          <w:rFonts w:ascii="Arial" w:eastAsia="Arial" w:hAnsi="Arial" w:cs="Arial"/>
          <w:i/>
          <w:iCs/>
          <w:color w:val="000000" w:themeColor="text1"/>
          <w:sz w:val="24"/>
          <w:szCs w:val="24"/>
          <w:lang w:val="en-GB"/>
        </w:rPr>
        <w:t>Waterhouse Report</w:t>
      </w:r>
      <w:r w:rsidR="00480481" w:rsidRPr="00BB7543">
        <w:rPr>
          <w:rFonts w:ascii="Arial" w:eastAsia="Arial" w:hAnsi="Arial" w:cs="Arial"/>
          <w:i/>
          <w:iCs/>
          <w:color w:val="000000" w:themeColor="text1"/>
          <w:sz w:val="24"/>
          <w:szCs w:val="24"/>
          <w:lang w:val="en-GB"/>
        </w:rPr>
        <w:t>’</w:t>
      </w:r>
      <w:r w:rsidR="00480481" w:rsidRPr="00BB7543">
        <w:rPr>
          <w:rFonts w:ascii="Arial" w:eastAsia="Arial" w:hAnsi="Arial" w:cs="Arial"/>
          <w:color w:val="000000" w:themeColor="text1"/>
          <w:sz w:val="24"/>
          <w:szCs w:val="24"/>
          <w:lang w:val="en-GB"/>
        </w:rPr>
        <w:t xml:space="preserve"> (</w:t>
      </w:r>
      <w:r w:rsidR="00480481" w:rsidRPr="00BB7543">
        <w:rPr>
          <w:rFonts w:ascii="Arial" w:eastAsia="Arial" w:hAnsi="Arial" w:cs="Arial"/>
          <w:color w:val="000000" w:themeColor="text1"/>
          <w:sz w:val="24"/>
          <w:szCs w:val="24"/>
          <w:lang w:val="en-GB"/>
        </w:rPr>
        <w:t xml:space="preserve">Waterhouse, </w:t>
      </w:r>
      <w:r w:rsidR="00480481" w:rsidRPr="00BB7543">
        <w:rPr>
          <w:rFonts w:ascii="Arial" w:eastAsia="Arial" w:hAnsi="Arial" w:cs="Arial"/>
          <w:color w:val="000000" w:themeColor="text1"/>
          <w:sz w:val="24"/>
          <w:szCs w:val="24"/>
          <w:lang w:val="en-GB"/>
        </w:rPr>
        <w:t xml:space="preserve">2000) provides a </w:t>
      </w:r>
      <w:r w:rsidR="00661AFA" w:rsidRPr="00BB7543">
        <w:rPr>
          <w:rFonts w:ascii="Arial" w:eastAsia="Arial" w:hAnsi="Arial" w:cs="Arial"/>
          <w:color w:val="000000" w:themeColor="text1"/>
          <w:sz w:val="24"/>
          <w:szCs w:val="24"/>
          <w:lang w:val="en-GB"/>
        </w:rPr>
        <w:t>serious</w:t>
      </w:r>
      <w:r w:rsidR="00480481" w:rsidRPr="00BB7543">
        <w:rPr>
          <w:rFonts w:ascii="Arial" w:eastAsia="Arial" w:hAnsi="Arial" w:cs="Arial"/>
          <w:color w:val="000000" w:themeColor="text1"/>
          <w:sz w:val="24"/>
          <w:szCs w:val="24"/>
          <w:lang w:val="en-GB"/>
        </w:rPr>
        <w:t xml:space="preserve"> reminder of the consequences when referral systems fail, emphasising the need for timely and appropriate action to protect children in care.</w:t>
      </w:r>
    </w:p>
    <w:p w14:paraId="3DAD9E19"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Conclusion</w:t>
      </w:r>
    </w:p>
    <w:p w14:paraId="48970AD6"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Reporting and referral processes are critical in safeguarding children from abuse. By adhering to statutory requirements, policies, and ethical frameworks, practitioners can ensure that concerns are reported and addressed appropriately. Joanna’s case illustrates the importance of these processes in protecting vulnerable children and ensuring their wellbeing.</w:t>
      </w:r>
    </w:p>
    <w:p w14:paraId="15B11917" w14:textId="77777777" w:rsidR="00377A02" w:rsidRPr="00BB7543" w:rsidRDefault="00377A02" w:rsidP="00BB7543">
      <w:pPr>
        <w:spacing w:line="360" w:lineRule="auto"/>
        <w:rPr>
          <w:rFonts w:ascii="Arial" w:eastAsia="Arial" w:hAnsi="Arial" w:cs="Arial"/>
          <w:b/>
          <w:bCs/>
          <w:color w:val="000000" w:themeColor="text1"/>
          <w:sz w:val="24"/>
          <w:szCs w:val="24"/>
          <w:lang w:val="en-GB"/>
        </w:rPr>
      </w:pPr>
      <w:r w:rsidRPr="00BB7543">
        <w:rPr>
          <w:rFonts w:ascii="Arial" w:eastAsia="Arial" w:hAnsi="Arial" w:cs="Arial"/>
          <w:b/>
          <w:bCs/>
          <w:color w:val="000000" w:themeColor="text1"/>
          <w:sz w:val="24"/>
          <w:szCs w:val="24"/>
          <w:lang w:val="en-GB"/>
        </w:rPr>
        <w:br w:type="page"/>
      </w:r>
    </w:p>
    <w:p w14:paraId="658780D7" w14:textId="66A65253" w:rsidR="00B73FCE" w:rsidRPr="00B73FCE" w:rsidRDefault="00B73FCE" w:rsidP="00BB7543">
      <w:pPr>
        <w:spacing w:line="360" w:lineRule="auto"/>
        <w:rPr>
          <w:rFonts w:ascii="Arial" w:eastAsia="Arial" w:hAnsi="Arial" w:cs="Arial"/>
          <w:b/>
          <w:bCs/>
          <w:color w:val="000000" w:themeColor="text1"/>
          <w:sz w:val="24"/>
          <w:szCs w:val="24"/>
          <w:lang w:val="en-GB"/>
        </w:rPr>
      </w:pPr>
      <w:r w:rsidRPr="00B73FCE">
        <w:rPr>
          <w:rFonts w:ascii="Arial" w:eastAsia="Arial" w:hAnsi="Arial" w:cs="Arial"/>
          <w:b/>
          <w:bCs/>
          <w:color w:val="000000" w:themeColor="text1"/>
          <w:sz w:val="24"/>
          <w:szCs w:val="24"/>
          <w:lang w:val="en-GB"/>
        </w:rPr>
        <w:lastRenderedPageBreak/>
        <w:t>Setting Responsibilities</w:t>
      </w:r>
    </w:p>
    <w:p w14:paraId="1A66B4CA"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Introduction</w:t>
      </w:r>
    </w:p>
    <w:p w14:paraId="71326672"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Early years settings have a fundamental responsibility to adopt a holistic, open, and effective approach to safeguarding. This section discusses the responsibilities of such settings, considering the impact of the United Nations Convention on the Rights of the Child (UNCRC).</w:t>
      </w:r>
    </w:p>
    <w:p w14:paraId="3591250A"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Holistic Approach to Safeguarding</w:t>
      </w:r>
    </w:p>
    <w:p w14:paraId="1C46D3C4" w14:textId="77777777" w:rsidR="00B73FCE" w:rsidRPr="00BB7543"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A holistic approach to safeguarding involves integrating various strategies to protect children from harm. This includes creating a safe environment, promoting children's welfare, and collaborating with parents and external agencies. By fostering an inclusive and supportive atmosphere, settings can better identify and address safeguarding concerns. In Joanna's case, an integrated approach ensures that her needs are met and that any concerns about her welfare are promptly addressed.</w:t>
      </w:r>
    </w:p>
    <w:p w14:paraId="572F1FC4" w14:textId="1178DC47" w:rsidR="009C148E" w:rsidRPr="00B73FCE" w:rsidRDefault="009C148E" w:rsidP="00BB7543">
      <w:pPr>
        <w:spacing w:line="360" w:lineRule="auto"/>
        <w:rPr>
          <w:rFonts w:ascii="Arial" w:eastAsia="Arial" w:hAnsi="Arial" w:cs="Arial"/>
          <w:color w:val="000000" w:themeColor="text1"/>
          <w:sz w:val="24"/>
          <w:szCs w:val="24"/>
          <w:lang w:val="en-GB"/>
        </w:rPr>
      </w:pPr>
      <w:r w:rsidRPr="00BB7543">
        <w:rPr>
          <w:rFonts w:ascii="Arial" w:eastAsia="Arial" w:hAnsi="Arial" w:cs="Arial"/>
          <w:color w:val="000000" w:themeColor="text1"/>
          <w:sz w:val="24"/>
          <w:szCs w:val="24"/>
          <w:lang w:val="en-GB"/>
        </w:rPr>
        <w:t xml:space="preserve">The </w:t>
      </w:r>
      <w:r w:rsidRPr="00BB7543">
        <w:rPr>
          <w:rFonts w:ascii="Arial" w:eastAsia="Arial" w:hAnsi="Arial" w:cs="Arial"/>
          <w:color w:val="000000" w:themeColor="text1"/>
          <w:sz w:val="24"/>
          <w:szCs w:val="24"/>
          <w:lang w:val="en-GB"/>
        </w:rPr>
        <w:t>‘</w:t>
      </w:r>
      <w:r w:rsidRPr="00BB7543">
        <w:rPr>
          <w:rFonts w:ascii="Arial" w:eastAsia="Arial" w:hAnsi="Arial" w:cs="Arial"/>
          <w:i/>
          <w:iCs/>
          <w:color w:val="000000" w:themeColor="text1"/>
          <w:sz w:val="24"/>
          <w:szCs w:val="24"/>
          <w:lang w:val="en-GB"/>
        </w:rPr>
        <w:t>Munro Review</w:t>
      </w:r>
      <w:r w:rsidRPr="00BB7543">
        <w:rPr>
          <w:rFonts w:ascii="Arial" w:eastAsia="Arial" w:hAnsi="Arial" w:cs="Arial"/>
          <w:i/>
          <w:iCs/>
          <w:color w:val="000000" w:themeColor="text1"/>
          <w:sz w:val="24"/>
          <w:szCs w:val="24"/>
          <w:lang w:val="en-GB"/>
        </w:rPr>
        <w:t>’</w:t>
      </w:r>
      <w:r w:rsidRPr="00BB7543">
        <w:rPr>
          <w:rFonts w:ascii="Arial" w:eastAsia="Arial" w:hAnsi="Arial" w:cs="Arial"/>
          <w:i/>
          <w:iCs/>
          <w:color w:val="000000" w:themeColor="text1"/>
          <w:sz w:val="24"/>
          <w:szCs w:val="24"/>
          <w:lang w:val="en-GB"/>
        </w:rPr>
        <w:t xml:space="preserve"> </w:t>
      </w:r>
      <w:r w:rsidRPr="00BB7543">
        <w:rPr>
          <w:rFonts w:ascii="Arial" w:eastAsia="Arial" w:hAnsi="Arial" w:cs="Arial"/>
          <w:color w:val="000000" w:themeColor="text1"/>
          <w:sz w:val="24"/>
          <w:szCs w:val="24"/>
          <w:lang w:val="en-GB"/>
        </w:rPr>
        <w:t>(</w:t>
      </w:r>
      <w:r w:rsidRPr="00BB7543">
        <w:rPr>
          <w:rFonts w:ascii="Arial" w:eastAsia="Arial" w:hAnsi="Arial" w:cs="Arial"/>
          <w:color w:val="000000" w:themeColor="text1"/>
          <w:sz w:val="24"/>
          <w:szCs w:val="24"/>
          <w:lang w:val="en-GB"/>
        </w:rPr>
        <w:t xml:space="preserve">Munro, </w:t>
      </w:r>
      <w:r w:rsidRPr="00BB7543">
        <w:rPr>
          <w:rFonts w:ascii="Arial" w:eastAsia="Arial" w:hAnsi="Arial" w:cs="Arial"/>
          <w:color w:val="000000" w:themeColor="text1"/>
          <w:sz w:val="24"/>
          <w:szCs w:val="24"/>
          <w:lang w:val="en-GB"/>
        </w:rPr>
        <w:t>2011) advocates for a child-centred approach to safeguarding, emphasising the need for holistic strategies that consider the child's overall well-being, rather than just focusing on immediate risks</w:t>
      </w:r>
    </w:p>
    <w:p w14:paraId="6436C597"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Open and Effective Communication</w:t>
      </w:r>
    </w:p>
    <w:p w14:paraId="24472552" w14:textId="4A5408AF"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Clear and open communication is vital in safeguarding. Settings must establish robust communication channels among staff, parents, and external agencies. Regular training and updates on safeguarding procedures are essential to ensure that all staff members are informed and prepared to handle concerns. In Joanna’s situation, effective communication within the setting can help identify patterns of behaviour or physical signs that may indicate abuse, facilitating early intervention.</w:t>
      </w:r>
      <w:r w:rsidR="009C148E" w:rsidRPr="00BB7543">
        <w:rPr>
          <w:rFonts w:ascii="Arial" w:eastAsia="Arial" w:hAnsi="Arial" w:cs="Arial"/>
          <w:color w:val="000000" w:themeColor="text1"/>
          <w:sz w:val="24"/>
          <w:szCs w:val="24"/>
          <w:lang w:val="en-GB"/>
        </w:rPr>
        <w:t xml:space="preserve"> </w:t>
      </w:r>
      <w:r w:rsidR="009C148E" w:rsidRPr="00BB7543">
        <w:rPr>
          <w:rFonts w:ascii="Arial" w:eastAsia="Arial" w:hAnsi="Arial" w:cs="Arial"/>
          <w:color w:val="000000" w:themeColor="text1"/>
          <w:sz w:val="24"/>
          <w:szCs w:val="24"/>
          <w:lang w:val="en-GB"/>
        </w:rPr>
        <w:t xml:space="preserve">The </w:t>
      </w:r>
      <w:r w:rsidR="009C148E" w:rsidRPr="00BB7543">
        <w:rPr>
          <w:rFonts w:ascii="Arial" w:eastAsia="Arial" w:hAnsi="Arial" w:cs="Arial"/>
          <w:color w:val="000000" w:themeColor="text1"/>
          <w:sz w:val="24"/>
          <w:szCs w:val="24"/>
          <w:lang w:val="en-GB"/>
        </w:rPr>
        <w:t>‘</w:t>
      </w:r>
      <w:r w:rsidR="009C148E" w:rsidRPr="00BB7543">
        <w:rPr>
          <w:rFonts w:ascii="Arial" w:eastAsia="Arial" w:hAnsi="Arial" w:cs="Arial"/>
          <w:i/>
          <w:iCs/>
          <w:color w:val="000000" w:themeColor="text1"/>
          <w:sz w:val="24"/>
          <w:szCs w:val="24"/>
          <w:lang w:val="en-GB"/>
        </w:rPr>
        <w:t>Bichard Inquiry Report</w:t>
      </w:r>
      <w:r w:rsidR="009C148E" w:rsidRPr="00BB7543">
        <w:rPr>
          <w:rFonts w:ascii="Arial" w:eastAsia="Arial" w:hAnsi="Arial" w:cs="Arial"/>
          <w:i/>
          <w:iCs/>
          <w:color w:val="000000" w:themeColor="text1"/>
          <w:sz w:val="24"/>
          <w:szCs w:val="24"/>
          <w:lang w:val="en-GB"/>
        </w:rPr>
        <w:t>’</w:t>
      </w:r>
      <w:r w:rsidR="009C148E" w:rsidRPr="00BB7543">
        <w:rPr>
          <w:rFonts w:ascii="Arial" w:eastAsia="Arial" w:hAnsi="Arial" w:cs="Arial"/>
          <w:color w:val="000000" w:themeColor="text1"/>
          <w:sz w:val="24"/>
          <w:szCs w:val="24"/>
          <w:lang w:val="en-GB"/>
        </w:rPr>
        <w:t xml:space="preserve"> </w:t>
      </w:r>
      <w:r w:rsidR="009C148E" w:rsidRPr="00BB7543">
        <w:rPr>
          <w:rFonts w:ascii="Arial" w:eastAsia="Arial" w:hAnsi="Arial" w:cs="Arial"/>
          <w:color w:val="000000" w:themeColor="text1"/>
          <w:sz w:val="24"/>
          <w:szCs w:val="24"/>
          <w:lang w:val="en-GB"/>
        </w:rPr>
        <w:t>(2004) highlights the necessity of effective communication channels and regular training to ensure that safeguarding procedures are followed correctly and efficiently.</w:t>
      </w:r>
    </w:p>
    <w:p w14:paraId="586F911B"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Impact of the UNCRC</w:t>
      </w:r>
    </w:p>
    <w:p w14:paraId="4B1E9C3D" w14:textId="7885BFCD"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 xml:space="preserve">The UNCRC outlines the rights of children to protection, participation, and provision, forming a crucial framework for safeguarding practices. It emphasizes the child's right to </w:t>
      </w:r>
      <w:r w:rsidRPr="00B73FCE">
        <w:rPr>
          <w:rFonts w:ascii="Arial" w:eastAsia="Arial" w:hAnsi="Arial" w:cs="Arial"/>
          <w:color w:val="000000" w:themeColor="text1"/>
          <w:sz w:val="24"/>
          <w:szCs w:val="24"/>
          <w:lang w:val="en-GB"/>
        </w:rPr>
        <w:lastRenderedPageBreak/>
        <w:t>be heard and to have their best interests considered in all decisions affecting them. Applying the UNCRC principles in Joanna’s case means ensuring that her voice is heard and that her welfare is the primary concern. Practitioners must advocate for her rights and ensure she receives the necessary support and protection (UNICEF, 1989</w:t>
      </w:r>
      <w:r w:rsidR="009C148E" w:rsidRPr="00BB7543">
        <w:rPr>
          <w:rFonts w:ascii="Arial" w:eastAsia="Arial" w:hAnsi="Arial" w:cs="Arial"/>
          <w:color w:val="000000" w:themeColor="text1"/>
          <w:sz w:val="24"/>
          <w:szCs w:val="24"/>
          <w:lang w:val="en-GB"/>
        </w:rPr>
        <w:t>)</w:t>
      </w:r>
      <w:r w:rsidRPr="00B73FCE">
        <w:rPr>
          <w:rFonts w:ascii="Arial" w:eastAsia="Arial" w:hAnsi="Arial" w:cs="Arial"/>
          <w:color w:val="000000" w:themeColor="text1"/>
          <w:sz w:val="24"/>
          <w:szCs w:val="24"/>
          <w:lang w:val="en-GB"/>
        </w:rPr>
        <w:t>.</w:t>
      </w:r>
    </w:p>
    <w:p w14:paraId="7F8A62B6" w14:textId="7584E827" w:rsidR="009C148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The importance of adhering to the UNCRC is evident in cases like Operation Pallial, which investigated historical abuse in care homes. The failure to uphold children's rights and protect them from harm led to significant trauma and long-term consequences for the victims (</w:t>
      </w:r>
      <w:r w:rsidR="007D21F9" w:rsidRPr="00BB7543">
        <w:rPr>
          <w:rFonts w:ascii="Arial" w:eastAsia="Arial" w:hAnsi="Arial" w:cs="Arial"/>
          <w:color w:val="000000" w:themeColor="text1"/>
          <w:sz w:val="24"/>
          <w:szCs w:val="24"/>
          <w:lang w:val="en-GB"/>
        </w:rPr>
        <w:t>Children’s Commissioner for Wales</w:t>
      </w:r>
      <w:r w:rsidRPr="00B73FCE">
        <w:rPr>
          <w:rFonts w:ascii="Arial" w:eastAsia="Arial" w:hAnsi="Arial" w:cs="Arial"/>
          <w:color w:val="000000" w:themeColor="text1"/>
          <w:sz w:val="24"/>
          <w:szCs w:val="24"/>
          <w:lang w:val="en-GB"/>
        </w:rPr>
        <w:t>, 201</w:t>
      </w:r>
      <w:r w:rsidR="007D21F9" w:rsidRPr="00BB7543">
        <w:rPr>
          <w:rFonts w:ascii="Arial" w:eastAsia="Arial" w:hAnsi="Arial" w:cs="Arial"/>
          <w:color w:val="000000" w:themeColor="text1"/>
          <w:sz w:val="24"/>
          <w:szCs w:val="24"/>
          <w:lang w:val="en-GB"/>
        </w:rPr>
        <w:t>5</w:t>
      </w:r>
      <w:r w:rsidR="009C148E" w:rsidRPr="00BB7543">
        <w:rPr>
          <w:rFonts w:ascii="Arial" w:eastAsia="Arial" w:hAnsi="Arial" w:cs="Arial"/>
          <w:color w:val="000000" w:themeColor="text1"/>
          <w:sz w:val="24"/>
          <w:szCs w:val="24"/>
          <w:lang w:val="en-GB"/>
        </w:rPr>
        <w:t>)</w:t>
      </w:r>
      <w:r w:rsidRPr="00B73FCE">
        <w:rPr>
          <w:rFonts w:ascii="Arial" w:eastAsia="Arial" w:hAnsi="Arial" w:cs="Arial"/>
          <w:color w:val="000000" w:themeColor="text1"/>
          <w:sz w:val="24"/>
          <w:szCs w:val="24"/>
          <w:lang w:val="en-GB"/>
        </w:rPr>
        <w:t>.</w:t>
      </w:r>
      <w:r w:rsidR="00661AFA" w:rsidRPr="00BB7543">
        <w:rPr>
          <w:rFonts w:ascii="Arial" w:eastAsia="Arial" w:hAnsi="Arial" w:cs="Arial"/>
          <w:color w:val="000000" w:themeColor="text1"/>
          <w:sz w:val="24"/>
          <w:szCs w:val="24"/>
          <w:lang w:val="en-GB"/>
        </w:rPr>
        <w:t xml:space="preserve"> </w:t>
      </w:r>
      <w:r w:rsidR="00661AFA" w:rsidRPr="00BB7543">
        <w:rPr>
          <w:rFonts w:ascii="Arial" w:eastAsia="Arial" w:hAnsi="Arial" w:cs="Arial"/>
          <w:color w:val="000000" w:themeColor="text1"/>
          <w:sz w:val="24"/>
          <w:szCs w:val="24"/>
          <w:lang w:val="en-GB"/>
        </w:rPr>
        <w:t>The ‘</w:t>
      </w:r>
      <w:r w:rsidR="00661AFA" w:rsidRPr="00BB7543">
        <w:rPr>
          <w:rFonts w:ascii="Arial" w:eastAsia="Arial" w:hAnsi="Arial" w:cs="Arial"/>
          <w:i/>
          <w:iCs/>
          <w:color w:val="000000" w:themeColor="text1"/>
          <w:sz w:val="24"/>
          <w:szCs w:val="24"/>
          <w:lang w:val="en-GB"/>
        </w:rPr>
        <w:t>Victoria Climbié Inquiry Report’</w:t>
      </w:r>
      <w:r w:rsidR="00661AFA" w:rsidRPr="00BB7543">
        <w:rPr>
          <w:rFonts w:ascii="Arial" w:eastAsia="Arial" w:hAnsi="Arial" w:cs="Arial"/>
          <w:color w:val="000000" w:themeColor="text1"/>
          <w:sz w:val="24"/>
          <w:szCs w:val="24"/>
          <w:lang w:val="en-GB"/>
        </w:rPr>
        <w:t xml:space="preserve"> (Laming, 2003</w:t>
      </w:r>
      <w:r w:rsidR="00661AFA" w:rsidRPr="00BB7543">
        <w:rPr>
          <w:rFonts w:ascii="Arial" w:eastAsia="Arial" w:hAnsi="Arial" w:cs="Arial"/>
          <w:color w:val="000000" w:themeColor="text1"/>
          <w:sz w:val="24"/>
          <w:szCs w:val="24"/>
          <w:lang w:val="en-GB"/>
        </w:rPr>
        <w:t xml:space="preserve">) </w:t>
      </w:r>
      <w:r w:rsidR="009C148E" w:rsidRPr="00BB7543">
        <w:rPr>
          <w:rFonts w:ascii="Arial" w:eastAsia="Arial" w:hAnsi="Arial" w:cs="Arial"/>
          <w:color w:val="000000" w:themeColor="text1"/>
          <w:sz w:val="24"/>
          <w:szCs w:val="24"/>
          <w:lang w:val="en-GB"/>
        </w:rPr>
        <w:t>also underscores the importance of upholding children's rights as outlined in the UNCRC, highlighting how failure to do so can result in severe harm.</w:t>
      </w:r>
    </w:p>
    <w:p w14:paraId="2E293137" w14:textId="77777777" w:rsidR="00B73FCE" w:rsidRPr="00B73FCE"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b/>
          <w:bCs/>
          <w:color w:val="000000" w:themeColor="text1"/>
          <w:sz w:val="24"/>
          <w:szCs w:val="24"/>
          <w:lang w:val="en-GB"/>
        </w:rPr>
        <w:t>Conclusion</w:t>
      </w:r>
    </w:p>
    <w:p w14:paraId="451842E0" w14:textId="5F814DF5" w:rsidR="00BB7543" w:rsidRPr="00BB7543" w:rsidRDefault="00B73FCE" w:rsidP="00BB7543">
      <w:pPr>
        <w:spacing w:line="360" w:lineRule="auto"/>
        <w:rPr>
          <w:rFonts w:ascii="Arial" w:eastAsia="Arial" w:hAnsi="Arial" w:cs="Arial"/>
          <w:color w:val="000000" w:themeColor="text1"/>
          <w:sz w:val="24"/>
          <w:szCs w:val="24"/>
          <w:lang w:val="en-GB"/>
        </w:rPr>
      </w:pPr>
      <w:r w:rsidRPr="00B73FCE">
        <w:rPr>
          <w:rFonts w:ascii="Arial" w:eastAsia="Arial" w:hAnsi="Arial" w:cs="Arial"/>
          <w:color w:val="000000" w:themeColor="text1"/>
          <w:sz w:val="24"/>
          <w:szCs w:val="24"/>
          <w:lang w:val="en-GB"/>
        </w:rPr>
        <w:t xml:space="preserve">Early years settings have a crucial role in safeguarding children through a holistic, open, and effective approach. By fostering an inclusive environment, maintaining clear communication, and adhering to the principles of the UNCRC, settings can ensure that children's rights are </w:t>
      </w:r>
      <w:r w:rsidR="00BB7543" w:rsidRPr="00B73FCE">
        <w:rPr>
          <w:rFonts w:ascii="Arial" w:eastAsia="Arial" w:hAnsi="Arial" w:cs="Arial"/>
          <w:color w:val="000000" w:themeColor="text1"/>
          <w:sz w:val="24"/>
          <w:szCs w:val="24"/>
          <w:lang w:val="en-GB"/>
        </w:rPr>
        <w:t>protected,</w:t>
      </w:r>
      <w:r w:rsidRPr="00B73FCE">
        <w:rPr>
          <w:rFonts w:ascii="Arial" w:eastAsia="Arial" w:hAnsi="Arial" w:cs="Arial"/>
          <w:color w:val="000000" w:themeColor="text1"/>
          <w:sz w:val="24"/>
          <w:szCs w:val="24"/>
          <w:lang w:val="en-GB"/>
        </w:rPr>
        <w:t xml:space="preserve"> and their welfare is prioriti</w:t>
      </w:r>
      <w:r w:rsidR="00661AFA" w:rsidRPr="00BB7543">
        <w:rPr>
          <w:rFonts w:ascii="Arial" w:eastAsia="Arial" w:hAnsi="Arial" w:cs="Arial"/>
          <w:color w:val="000000" w:themeColor="text1"/>
          <w:sz w:val="24"/>
          <w:szCs w:val="24"/>
          <w:lang w:val="en-GB"/>
        </w:rPr>
        <w:t>s</w:t>
      </w:r>
      <w:r w:rsidRPr="00B73FCE">
        <w:rPr>
          <w:rFonts w:ascii="Arial" w:eastAsia="Arial" w:hAnsi="Arial" w:cs="Arial"/>
          <w:color w:val="000000" w:themeColor="text1"/>
          <w:sz w:val="24"/>
          <w:szCs w:val="24"/>
          <w:lang w:val="en-GB"/>
        </w:rPr>
        <w:t>ed. Joanna's case highlights the importance of these responsibilities in creating a safe and supportive environment for all children.</w:t>
      </w:r>
    </w:p>
    <w:sectPr w:rsidR="00BB7543" w:rsidRPr="00BB7543">
      <w:headerReference w:type="default" r:id="rId7"/>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5F5C34" w14:textId="77777777" w:rsidR="001B0C1E" w:rsidRDefault="001B0C1E">
      <w:pPr>
        <w:spacing w:after="0" w:line="240" w:lineRule="auto"/>
      </w:pPr>
      <w:r>
        <w:separator/>
      </w:r>
    </w:p>
  </w:endnote>
  <w:endnote w:type="continuationSeparator" w:id="0">
    <w:p w14:paraId="2C878443" w14:textId="77777777" w:rsidR="001B0C1E" w:rsidRDefault="001B0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altName w:val="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B58C6" w14:textId="2FF80484"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5150736"/>
      <w:docPartObj>
        <w:docPartGallery w:val="Page Numbers (Bottom of Page)"/>
        <w:docPartUnique/>
      </w:docPartObj>
    </w:sdtPr>
    <w:sdtContent>
      <w:p w14:paraId="79B9533A" w14:textId="7670A451"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68FA8" w14:textId="77777777" w:rsidR="001B0C1E" w:rsidRDefault="001B0C1E">
      <w:pPr>
        <w:spacing w:after="0" w:line="240" w:lineRule="auto"/>
      </w:pPr>
      <w:r>
        <w:separator/>
      </w:r>
    </w:p>
  </w:footnote>
  <w:footnote w:type="continuationSeparator" w:id="0">
    <w:p w14:paraId="3D29EBAE" w14:textId="77777777" w:rsidR="001B0C1E" w:rsidRDefault="001B0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60A775A8">
      <w:trPr>
        <w:trHeight w:val="300"/>
      </w:trPr>
      <w:tc>
        <w:tcPr>
          <w:tcW w:w="3120" w:type="dxa"/>
        </w:tcPr>
        <w:p w14:paraId="0D570317" w14:textId="4C756E4D" w:rsidR="60A775A8" w:rsidRDefault="60A775A8" w:rsidP="60A775A8">
          <w:pPr>
            <w:pStyle w:val="Header"/>
            <w:ind w:left="-115"/>
          </w:pPr>
          <w:r>
            <w:t>2307239</w:t>
          </w:r>
        </w:p>
      </w:tc>
      <w:tc>
        <w:tcPr>
          <w:tcW w:w="3120" w:type="dxa"/>
        </w:tcPr>
        <w:p w14:paraId="4B58A09E" w14:textId="5FEC04CB" w:rsidR="60A775A8" w:rsidRDefault="008941FB" w:rsidP="60A775A8">
          <w:pPr>
            <w:pStyle w:val="Header"/>
            <w:jc w:val="center"/>
          </w:pPr>
          <w:r>
            <w:t>ECEY5011</w:t>
          </w:r>
        </w:p>
      </w:tc>
      <w:tc>
        <w:tcPr>
          <w:tcW w:w="3120" w:type="dxa"/>
        </w:tcPr>
        <w:p w14:paraId="4EA0A332" w14:textId="67A8D9BD" w:rsidR="60A775A8" w:rsidRDefault="008941FB" w:rsidP="60A775A8">
          <w:pPr>
            <w:pStyle w:val="Header"/>
            <w:ind w:right="-115"/>
            <w:jc w:val="right"/>
          </w:pPr>
          <w:r>
            <w:t>20</w:t>
          </w:r>
          <w:r w:rsidR="00C072D6">
            <w:t>60</w:t>
          </w:r>
          <w:r>
            <w:t xml:space="preserve"> Words</w:t>
          </w:r>
        </w:p>
      </w:tc>
    </w:tr>
  </w:tbl>
  <w:p w14:paraId="403141D5" w14:textId="6905C367" w:rsidR="60A775A8" w:rsidRDefault="60A775A8" w:rsidP="60A7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FC7B9C"/>
    <w:multiLevelType w:val="multilevel"/>
    <w:tmpl w:val="B84E3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C57019"/>
    <w:multiLevelType w:val="multilevel"/>
    <w:tmpl w:val="9B60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279EE"/>
    <w:multiLevelType w:val="multilevel"/>
    <w:tmpl w:val="F5A2F7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B97379"/>
    <w:multiLevelType w:val="multilevel"/>
    <w:tmpl w:val="76DA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EA470A"/>
    <w:multiLevelType w:val="hybridMultilevel"/>
    <w:tmpl w:val="256E5310"/>
    <w:lvl w:ilvl="0" w:tplc="238045C8">
      <w:start w:val="1"/>
      <w:numFmt w:val="bullet"/>
      <w:lvlText w:val=""/>
      <w:lvlJc w:val="left"/>
      <w:pPr>
        <w:tabs>
          <w:tab w:val="num" w:pos="720"/>
        </w:tabs>
        <w:ind w:left="720" w:hanging="360"/>
      </w:pPr>
      <w:rPr>
        <w:rFonts w:ascii="Symbol" w:hAnsi="Symbol" w:hint="default"/>
      </w:rPr>
    </w:lvl>
    <w:lvl w:ilvl="1" w:tplc="8766C1F6" w:tentative="1">
      <w:start w:val="1"/>
      <w:numFmt w:val="bullet"/>
      <w:lvlText w:val=""/>
      <w:lvlJc w:val="left"/>
      <w:pPr>
        <w:tabs>
          <w:tab w:val="num" w:pos="1440"/>
        </w:tabs>
        <w:ind w:left="1440" w:hanging="360"/>
      </w:pPr>
      <w:rPr>
        <w:rFonts w:ascii="Symbol" w:hAnsi="Symbol" w:hint="default"/>
      </w:rPr>
    </w:lvl>
    <w:lvl w:ilvl="2" w:tplc="A208AE4C" w:tentative="1">
      <w:start w:val="1"/>
      <w:numFmt w:val="bullet"/>
      <w:lvlText w:val=""/>
      <w:lvlJc w:val="left"/>
      <w:pPr>
        <w:tabs>
          <w:tab w:val="num" w:pos="2160"/>
        </w:tabs>
        <w:ind w:left="2160" w:hanging="360"/>
      </w:pPr>
      <w:rPr>
        <w:rFonts w:ascii="Symbol" w:hAnsi="Symbol" w:hint="default"/>
      </w:rPr>
    </w:lvl>
    <w:lvl w:ilvl="3" w:tplc="39AE4BD2" w:tentative="1">
      <w:start w:val="1"/>
      <w:numFmt w:val="bullet"/>
      <w:lvlText w:val=""/>
      <w:lvlJc w:val="left"/>
      <w:pPr>
        <w:tabs>
          <w:tab w:val="num" w:pos="2880"/>
        </w:tabs>
        <w:ind w:left="2880" w:hanging="360"/>
      </w:pPr>
      <w:rPr>
        <w:rFonts w:ascii="Symbol" w:hAnsi="Symbol" w:hint="default"/>
      </w:rPr>
    </w:lvl>
    <w:lvl w:ilvl="4" w:tplc="115A1F6C" w:tentative="1">
      <w:start w:val="1"/>
      <w:numFmt w:val="bullet"/>
      <w:lvlText w:val=""/>
      <w:lvlJc w:val="left"/>
      <w:pPr>
        <w:tabs>
          <w:tab w:val="num" w:pos="3600"/>
        </w:tabs>
        <w:ind w:left="3600" w:hanging="360"/>
      </w:pPr>
      <w:rPr>
        <w:rFonts w:ascii="Symbol" w:hAnsi="Symbol" w:hint="default"/>
      </w:rPr>
    </w:lvl>
    <w:lvl w:ilvl="5" w:tplc="B5C4B0D0" w:tentative="1">
      <w:start w:val="1"/>
      <w:numFmt w:val="bullet"/>
      <w:lvlText w:val=""/>
      <w:lvlJc w:val="left"/>
      <w:pPr>
        <w:tabs>
          <w:tab w:val="num" w:pos="4320"/>
        </w:tabs>
        <w:ind w:left="4320" w:hanging="360"/>
      </w:pPr>
      <w:rPr>
        <w:rFonts w:ascii="Symbol" w:hAnsi="Symbol" w:hint="default"/>
      </w:rPr>
    </w:lvl>
    <w:lvl w:ilvl="6" w:tplc="A558B318" w:tentative="1">
      <w:start w:val="1"/>
      <w:numFmt w:val="bullet"/>
      <w:lvlText w:val=""/>
      <w:lvlJc w:val="left"/>
      <w:pPr>
        <w:tabs>
          <w:tab w:val="num" w:pos="5040"/>
        </w:tabs>
        <w:ind w:left="5040" w:hanging="360"/>
      </w:pPr>
      <w:rPr>
        <w:rFonts w:ascii="Symbol" w:hAnsi="Symbol" w:hint="default"/>
      </w:rPr>
    </w:lvl>
    <w:lvl w:ilvl="7" w:tplc="54EC6E82" w:tentative="1">
      <w:start w:val="1"/>
      <w:numFmt w:val="bullet"/>
      <w:lvlText w:val=""/>
      <w:lvlJc w:val="left"/>
      <w:pPr>
        <w:tabs>
          <w:tab w:val="num" w:pos="5760"/>
        </w:tabs>
        <w:ind w:left="5760" w:hanging="360"/>
      </w:pPr>
      <w:rPr>
        <w:rFonts w:ascii="Symbol" w:hAnsi="Symbol" w:hint="default"/>
      </w:rPr>
    </w:lvl>
    <w:lvl w:ilvl="8" w:tplc="C97C322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4DE93A97"/>
    <w:multiLevelType w:val="multilevel"/>
    <w:tmpl w:val="CFE407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89E77CA"/>
    <w:multiLevelType w:val="multilevel"/>
    <w:tmpl w:val="AAD09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E00234"/>
    <w:multiLevelType w:val="multilevel"/>
    <w:tmpl w:val="784ED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F752AC"/>
    <w:multiLevelType w:val="multilevel"/>
    <w:tmpl w:val="3554364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Arial"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366CD1"/>
    <w:multiLevelType w:val="multilevel"/>
    <w:tmpl w:val="D8AE3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5770D7"/>
    <w:multiLevelType w:val="hybridMultilevel"/>
    <w:tmpl w:val="577ED478"/>
    <w:lvl w:ilvl="0" w:tplc="ABD6C100">
      <w:start w:val="1"/>
      <w:numFmt w:val="bullet"/>
      <w:lvlText w:val="•"/>
      <w:lvlJc w:val="left"/>
      <w:pPr>
        <w:tabs>
          <w:tab w:val="num" w:pos="720"/>
        </w:tabs>
        <w:ind w:left="720" w:hanging="360"/>
      </w:pPr>
      <w:rPr>
        <w:rFonts w:ascii="Arial" w:hAnsi="Arial" w:hint="default"/>
      </w:rPr>
    </w:lvl>
    <w:lvl w:ilvl="1" w:tplc="D62AACF2" w:tentative="1">
      <w:start w:val="1"/>
      <w:numFmt w:val="bullet"/>
      <w:lvlText w:val="•"/>
      <w:lvlJc w:val="left"/>
      <w:pPr>
        <w:tabs>
          <w:tab w:val="num" w:pos="1440"/>
        </w:tabs>
        <w:ind w:left="1440" w:hanging="360"/>
      </w:pPr>
      <w:rPr>
        <w:rFonts w:ascii="Arial" w:hAnsi="Arial" w:hint="default"/>
      </w:rPr>
    </w:lvl>
    <w:lvl w:ilvl="2" w:tplc="54022A4E" w:tentative="1">
      <w:start w:val="1"/>
      <w:numFmt w:val="bullet"/>
      <w:lvlText w:val="•"/>
      <w:lvlJc w:val="left"/>
      <w:pPr>
        <w:tabs>
          <w:tab w:val="num" w:pos="2160"/>
        </w:tabs>
        <w:ind w:left="2160" w:hanging="360"/>
      </w:pPr>
      <w:rPr>
        <w:rFonts w:ascii="Arial" w:hAnsi="Arial" w:hint="default"/>
      </w:rPr>
    </w:lvl>
    <w:lvl w:ilvl="3" w:tplc="447241B8" w:tentative="1">
      <w:start w:val="1"/>
      <w:numFmt w:val="bullet"/>
      <w:lvlText w:val="•"/>
      <w:lvlJc w:val="left"/>
      <w:pPr>
        <w:tabs>
          <w:tab w:val="num" w:pos="2880"/>
        </w:tabs>
        <w:ind w:left="2880" w:hanging="360"/>
      </w:pPr>
      <w:rPr>
        <w:rFonts w:ascii="Arial" w:hAnsi="Arial" w:hint="default"/>
      </w:rPr>
    </w:lvl>
    <w:lvl w:ilvl="4" w:tplc="C07E1A5C" w:tentative="1">
      <w:start w:val="1"/>
      <w:numFmt w:val="bullet"/>
      <w:lvlText w:val="•"/>
      <w:lvlJc w:val="left"/>
      <w:pPr>
        <w:tabs>
          <w:tab w:val="num" w:pos="3600"/>
        </w:tabs>
        <w:ind w:left="3600" w:hanging="360"/>
      </w:pPr>
      <w:rPr>
        <w:rFonts w:ascii="Arial" w:hAnsi="Arial" w:hint="default"/>
      </w:rPr>
    </w:lvl>
    <w:lvl w:ilvl="5" w:tplc="8AF43148" w:tentative="1">
      <w:start w:val="1"/>
      <w:numFmt w:val="bullet"/>
      <w:lvlText w:val="•"/>
      <w:lvlJc w:val="left"/>
      <w:pPr>
        <w:tabs>
          <w:tab w:val="num" w:pos="4320"/>
        </w:tabs>
        <w:ind w:left="4320" w:hanging="360"/>
      </w:pPr>
      <w:rPr>
        <w:rFonts w:ascii="Arial" w:hAnsi="Arial" w:hint="default"/>
      </w:rPr>
    </w:lvl>
    <w:lvl w:ilvl="6" w:tplc="22E4F03C" w:tentative="1">
      <w:start w:val="1"/>
      <w:numFmt w:val="bullet"/>
      <w:lvlText w:val="•"/>
      <w:lvlJc w:val="left"/>
      <w:pPr>
        <w:tabs>
          <w:tab w:val="num" w:pos="5040"/>
        </w:tabs>
        <w:ind w:left="5040" w:hanging="360"/>
      </w:pPr>
      <w:rPr>
        <w:rFonts w:ascii="Arial" w:hAnsi="Arial" w:hint="default"/>
      </w:rPr>
    </w:lvl>
    <w:lvl w:ilvl="7" w:tplc="EC5E8ACE" w:tentative="1">
      <w:start w:val="1"/>
      <w:numFmt w:val="bullet"/>
      <w:lvlText w:val="•"/>
      <w:lvlJc w:val="left"/>
      <w:pPr>
        <w:tabs>
          <w:tab w:val="num" w:pos="5760"/>
        </w:tabs>
        <w:ind w:left="5760" w:hanging="360"/>
      </w:pPr>
      <w:rPr>
        <w:rFonts w:ascii="Arial" w:hAnsi="Arial" w:hint="default"/>
      </w:rPr>
    </w:lvl>
    <w:lvl w:ilvl="8" w:tplc="6FB6F3E6"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5271FFB"/>
    <w:multiLevelType w:val="multilevel"/>
    <w:tmpl w:val="22EE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8191431">
    <w:abstractNumId w:val="3"/>
  </w:num>
  <w:num w:numId="2" w16cid:durableId="218907555">
    <w:abstractNumId w:val="5"/>
  </w:num>
  <w:num w:numId="3" w16cid:durableId="1017931095">
    <w:abstractNumId w:val="11"/>
  </w:num>
  <w:num w:numId="4" w16cid:durableId="824514627">
    <w:abstractNumId w:val="7"/>
  </w:num>
  <w:num w:numId="5" w16cid:durableId="1961060491">
    <w:abstractNumId w:val="10"/>
  </w:num>
  <w:num w:numId="6" w16cid:durableId="499541124">
    <w:abstractNumId w:val="8"/>
  </w:num>
  <w:num w:numId="7" w16cid:durableId="335229436">
    <w:abstractNumId w:val="8"/>
    <w:lvlOverride w:ilvl="2">
      <w:lvl w:ilvl="2">
        <w:numFmt w:val="decimal"/>
        <w:lvlText w:val="%3."/>
        <w:lvlJc w:val="left"/>
      </w:lvl>
    </w:lvlOverride>
  </w:num>
  <w:num w:numId="8" w16cid:durableId="1087070087">
    <w:abstractNumId w:val="9"/>
  </w:num>
  <w:num w:numId="9" w16cid:durableId="946739462">
    <w:abstractNumId w:val="0"/>
  </w:num>
  <w:num w:numId="10" w16cid:durableId="24445708">
    <w:abstractNumId w:val="6"/>
  </w:num>
  <w:num w:numId="11" w16cid:durableId="228922635">
    <w:abstractNumId w:val="2"/>
  </w:num>
  <w:num w:numId="12" w16cid:durableId="1452941297">
    <w:abstractNumId w:val="12"/>
  </w:num>
  <w:num w:numId="13" w16cid:durableId="1136026331">
    <w:abstractNumId w:val="4"/>
  </w:num>
  <w:num w:numId="14" w16cid:durableId="11227729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1722A"/>
    <w:rsid w:val="0008126F"/>
    <w:rsid w:val="00084E7E"/>
    <w:rsid w:val="000B34A3"/>
    <w:rsid w:val="00101933"/>
    <w:rsid w:val="00125179"/>
    <w:rsid w:val="00185405"/>
    <w:rsid w:val="001B0C1E"/>
    <w:rsid w:val="001C086C"/>
    <w:rsid w:val="002A1CFC"/>
    <w:rsid w:val="002A67F3"/>
    <w:rsid w:val="002B10BF"/>
    <w:rsid w:val="002D6FF5"/>
    <w:rsid w:val="002E35D3"/>
    <w:rsid w:val="002F1C65"/>
    <w:rsid w:val="00303F19"/>
    <w:rsid w:val="00356A3F"/>
    <w:rsid w:val="0036521A"/>
    <w:rsid w:val="00375013"/>
    <w:rsid w:val="00377A02"/>
    <w:rsid w:val="00386648"/>
    <w:rsid w:val="003E3601"/>
    <w:rsid w:val="004058F1"/>
    <w:rsid w:val="004524D4"/>
    <w:rsid w:val="00480481"/>
    <w:rsid w:val="004C2D18"/>
    <w:rsid w:val="004C4652"/>
    <w:rsid w:val="00537D49"/>
    <w:rsid w:val="00551237"/>
    <w:rsid w:val="005778B3"/>
    <w:rsid w:val="00611455"/>
    <w:rsid w:val="00623C48"/>
    <w:rsid w:val="00626F07"/>
    <w:rsid w:val="00661AFA"/>
    <w:rsid w:val="006B18D7"/>
    <w:rsid w:val="006C4F08"/>
    <w:rsid w:val="006D6E57"/>
    <w:rsid w:val="00705A4E"/>
    <w:rsid w:val="00721F28"/>
    <w:rsid w:val="00732BF4"/>
    <w:rsid w:val="007C371B"/>
    <w:rsid w:val="007D21F9"/>
    <w:rsid w:val="007D4D49"/>
    <w:rsid w:val="007E6119"/>
    <w:rsid w:val="00817C24"/>
    <w:rsid w:val="00835809"/>
    <w:rsid w:val="00842D85"/>
    <w:rsid w:val="00843B24"/>
    <w:rsid w:val="00844957"/>
    <w:rsid w:val="0086576F"/>
    <w:rsid w:val="00884032"/>
    <w:rsid w:val="008941FB"/>
    <w:rsid w:val="00896824"/>
    <w:rsid w:val="008A61C0"/>
    <w:rsid w:val="008B2B1C"/>
    <w:rsid w:val="008F41DA"/>
    <w:rsid w:val="0091586D"/>
    <w:rsid w:val="00931C1E"/>
    <w:rsid w:val="00934279"/>
    <w:rsid w:val="00942B7E"/>
    <w:rsid w:val="009577A6"/>
    <w:rsid w:val="009A0BB2"/>
    <w:rsid w:val="009B7BA3"/>
    <w:rsid w:val="009C148E"/>
    <w:rsid w:val="00A03EE5"/>
    <w:rsid w:val="00A11C34"/>
    <w:rsid w:val="00A17767"/>
    <w:rsid w:val="00A22C34"/>
    <w:rsid w:val="00A56CB5"/>
    <w:rsid w:val="00A57559"/>
    <w:rsid w:val="00A70A4F"/>
    <w:rsid w:val="00A80C07"/>
    <w:rsid w:val="00A96AC6"/>
    <w:rsid w:val="00AC29A9"/>
    <w:rsid w:val="00AD3984"/>
    <w:rsid w:val="00AD6CE7"/>
    <w:rsid w:val="00AE2D06"/>
    <w:rsid w:val="00AF2DD1"/>
    <w:rsid w:val="00B05798"/>
    <w:rsid w:val="00B05CCB"/>
    <w:rsid w:val="00B12FDF"/>
    <w:rsid w:val="00B2048B"/>
    <w:rsid w:val="00B302E4"/>
    <w:rsid w:val="00B5562A"/>
    <w:rsid w:val="00B61010"/>
    <w:rsid w:val="00B64D7F"/>
    <w:rsid w:val="00B73FCE"/>
    <w:rsid w:val="00B77136"/>
    <w:rsid w:val="00B90EB1"/>
    <w:rsid w:val="00BB7543"/>
    <w:rsid w:val="00BD1490"/>
    <w:rsid w:val="00C072D6"/>
    <w:rsid w:val="00C263D5"/>
    <w:rsid w:val="00C531B7"/>
    <w:rsid w:val="00CB5C1F"/>
    <w:rsid w:val="00CF26E3"/>
    <w:rsid w:val="00D21B78"/>
    <w:rsid w:val="00D21C31"/>
    <w:rsid w:val="00D57944"/>
    <w:rsid w:val="00D72582"/>
    <w:rsid w:val="00DB5805"/>
    <w:rsid w:val="00DD6E65"/>
    <w:rsid w:val="00E926E7"/>
    <w:rsid w:val="00E94CCC"/>
    <w:rsid w:val="00EB0960"/>
    <w:rsid w:val="00FA1B01"/>
    <w:rsid w:val="00FB5AD7"/>
    <w:rsid w:val="00FB795D"/>
    <w:rsid w:val="162F46CA"/>
    <w:rsid w:val="42D83440"/>
    <w:rsid w:val="53837B03"/>
    <w:rsid w:val="5B015775"/>
    <w:rsid w:val="5D6FD4E6"/>
    <w:rsid w:val="60A7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42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31C1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73FC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character" w:styleId="Hyperlink">
    <w:name w:val="Hyperlink"/>
    <w:basedOn w:val="DefaultParagraphFont"/>
    <w:uiPriority w:val="99"/>
    <w:unhideWhenUsed/>
    <w:rsid w:val="00B90EB1"/>
    <w:rPr>
      <w:color w:val="0563C1" w:themeColor="hyperlink"/>
      <w:u w:val="single"/>
    </w:rPr>
  </w:style>
  <w:style w:type="character" w:styleId="UnresolvedMention">
    <w:name w:val="Unresolved Mention"/>
    <w:basedOn w:val="DefaultParagraphFont"/>
    <w:uiPriority w:val="99"/>
    <w:semiHidden/>
    <w:unhideWhenUsed/>
    <w:rsid w:val="00B90EB1"/>
    <w:rPr>
      <w:color w:val="605E5C"/>
      <w:shd w:val="clear" w:color="auto" w:fill="E1DFDD"/>
    </w:rPr>
  </w:style>
  <w:style w:type="character" w:customStyle="1" w:styleId="Heading1Char">
    <w:name w:val="Heading 1 Char"/>
    <w:basedOn w:val="DefaultParagraphFont"/>
    <w:link w:val="Heading1"/>
    <w:uiPriority w:val="9"/>
    <w:rsid w:val="00934279"/>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D57944"/>
    <w:rPr>
      <w:color w:val="954F72" w:themeColor="followedHyperlink"/>
      <w:u w:val="single"/>
    </w:rPr>
  </w:style>
  <w:style w:type="character" w:customStyle="1" w:styleId="Heading3Char">
    <w:name w:val="Heading 3 Char"/>
    <w:basedOn w:val="DefaultParagraphFont"/>
    <w:link w:val="Heading3"/>
    <w:uiPriority w:val="9"/>
    <w:semiHidden/>
    <w:rsid w:val="00931C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73FCE"/>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B73FC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71127">
      <w:bodyDiv w:val="1"/>
      <w:marLeft w:val="0"/>
      <w:marRight w:val="0"/>
      <w:marTop w:val="0"/>
      <w:marBottom w:val="0"/>
      <w:divBdr>
        <w:top w:val="none" w:sz="0" w:space="0" w:color="auto"/>
        <w:left w:val="none" w:sz="0" w:space="0" w:color="auto"/>
        <w:bottom w:val="none" w:sz="0" w:space="0" w:color="auto"/>
        <w:right w:val="none" w:sz="0" w:space="0" w:color="auto"/>
      </w:divBdr>
      <w:divsChild>
        <w:div w:id="1833328045">
          <w:marLeft w:val="360"/>
          <w:marRight w:val="0"/>
          <w:marTop w:val="200"/>
          <w:marBottom w:val="0"/>
          <w:divBdr>
            <w:top w:val="none" w:sz="0" w:space="0" w:color="auto"/>
            <w:left w:val="none" w:sz="0" w:space="0" w:color="auto"/>
            <w:bottom w:val="none" w:sz="0" w:space="0" w:color="auto"/>
            <w:right w:val="none" w:sz="0" w:space="0" w:color="auto"/>
          </w:divBdr>
        </w:div>
        <w:div w:id="904725562">
          <w:marLeft w:val="360"/>
          <w:marRight w:val="0"/>
          <w:marTop w:val="200"/>
          <w:marBottom w:val="0"/>
          <w:divBdr>
            <w:top w:val="none" w:sz="0" w:space="0" w:color="auto"/>
            <w:left w:val="none" w:sz="0" w:space="0" w:color="auto"/>
            <w:bottom w:val="none" w:sz="0" w:space="0" w:color="auto"/>
            <w:right w:val="none" w:sz="0" w:space="0" w:color="auto"/>
          </w:divBdr>
        </w:div>
        <w:div w:id="928002758">
          <w:marLeft w:val="360"/>
          <w:marRight w:val="0"/>
          <w:marTop w:val="200"/>
          <w:marBottom w:val="0"/>
          <w:divBdr>
            <w:top w:val="none" w:sz="0" w:space="0" w:color="auto"/>
            <w:left w:val="none" w:sz="0" w:space="0" w:color="auto"/>
            <w:bottom w:val="none" w:sz="0" w:space="0" w:color="auto"/>
            <w:right w:val="none" w:sz="0" w:space="0" w:color="auto"/>
          </w:divBdr>
        </w:div>
        <w:div w:id="1695109262">
          <w:marLeft w:val="360"/>
          <w:marRight w:val="0"/>
          <w:marTop w:val="200"/>
          <w:marBottom w:val="0"/>
          <w:divBdr>
            <w:top w:val="none" w:sz="0" w:space="0" w:color="auto"/>
            <w:left w:val="none" w:sz="0" w:space="0" w:color="auto"/>
            <w:bottom w:val="none" w:sz="0" w:space="0" w:color="auto"/>
            <w:right w:val="none" w:sz="0" w:space="0" w:color="auto"/>
          </w:divBdr>
        </w:div>
        <w:div w:id="1312832114">
          <w:marLeft w:val="360"/>
          <w:marRight w:val="0"/>
          <w:marTop w:val="200"/>
          <w:marBottom w:val="0"/>
          <w:divBdr>
            <w:top w:val="none" w:sz="0" w:space="0" w:color="auto"/>
            <w:left w:val="none" w:sz="0" w:space="0" w:color="auto"/>
            <w:bottom w:val="none" w:sz="0" w:space="0" w:color="auto"/>
            <w:right w:val="none" w:sz="0" w:space="0" w:color="auto"/>
          </w:divBdr>
        </w:div>
        <w:div w:id="605160006">
          <w:marLeft w:val="360"/>
          <w:marRight w:val="0"/>
          <w:marTop w:val="200"/>
          <w:marBottom w:val="0"/>
          <w:divBdr>
            <w:top w:val="none" w:sz="0" w:space="0" w:color="auto"/>
            <w:left w:val="none" w:sz="0" w:space="0" w:color="auto"/>
            <w:bottom w:val="none" w:sz="0" w:space="0" w:color="auto"/>
            <w:right w:val="none" w:sz="0" w:space="0" w:color="auto"/>
          </w:divBdr>
        </w:div>
        <w:div w:id="2077703124">
          <w:marLeft w:val="360"/>
          <w:marRight w:val="0"/>
          <w:marTop w:val="200"/>
          <w:marBottom w:val="0"/>
          <w:divBdr>
            <w:top w:val="none" w:sz="0" w:space="0" w:color="auto"/>
            <w:left w:val="none" w:sz="0" w:space="0" w:color="auto"/>
            <w:bottom w:val="none" w:sz="0" w:space="0" w:color="auto"/>
            <w:right w:val="none" w:sz="0" w:space="0" w:color="auto"/>
          </w:divBdr>
        </w:div>
        <w:div w:id="1762294111">
          <w:marLeft w:val="360"/>
          <w:marRight w:val="0"/>
          <w:marTop w:val="200"/>
          <w:marBottom w:val="0"/>
          <w:divBdr>
            <w:top w:val="none" w:sz="0" w:space="0" w:color="auto"/>
            <w:left w:val="none" w:sz="0" w:space="0" w:color="auto"/>
            <w:bottom w:val="none" w:sz="0" w:space="0" w:color="auto"/>
            <w:right w:val="none" w:sz="0" w:space="0" w:color="auto"/>
          </w:divBdr>
        </w:div>
        <w:div w:id="193351178">
          <w:marLeft w:val="360"/>
          <w:marRight w:val="0"/>
          <w:marTop w:val="200"/>
          <w:marBottom w:val="0"/>
          <w:divBdr>
            <w:top w:val="none" w:sz="0" w:space="0" w:color="auto"/>
            <w:left w:val="none" w:sz="0" w:space="0" w:color="auto"/>
            <w:bottom w:val="none" w:sz="0" w:space="0" w:color="auto"/>
            <w:right w:val="none" w:sz="0" w:space="0" w:color="auto"/>
          </w:divBdr>
        </w:div>
      </w:divsChild>
    </w:div>
    <w:div w:id="114836327">
      <w:bodyDiv w:val="1"/>
      <w:marLeft w:val="0"/>
      <w:marRight w:val="0"/>
      <w:marTop w:val="0"/>
      <w:marBottom w:val="0"/>
      <w:divBdr>
        <w:top w:val="none" w:sz="0" w:space="0" w:color="auto"/>
        <w:left w:val="none" w:sz="0" w:space="0" w:color="auto"/>
        <w:bottom w:val="none" w:sz="0" w:space="0" w:color="auto"/>
        <w:right w:val="none" w:sz="0" w:space="0" w:color="auto"/>
      </w:divBdr>
    </w:div>
    <w:div w:id="179397719">
      <w:bodyDiv w:val="1"/>
      <w:marLeft w:val="0"/>
      <w:marRight w:val="0"/>
      <w:marTop w:val="0"/>
      <w:marBottom w:val="0"/>
      <w:divBdr>
        <w:top w:val="none" w:sz="0" w:space="0" w:color="auto"/>
        <w:left w:val="none" w:sz="0" w:space="0" w:color="auto"/>
        <w:bottom w:val="none" w:sz="0" w:space="0" w:color="auto"/>
        <w:right w:val="none" w:sz="0" w:space="0" w:color="auto"/>
      </w:divBdr>
    </w:div>
    <w:div w:id="184828272">
      <w:bodyDiv w:val="1"/>
      <w:marLeft w:val="0"/>
      <w:marRight w:val="0"/>
      <w:marTop w:val="0"/>
      <w:marBottom w:val="0"/>
      <w:divBdr>
        <w:top w:val="none" w:sz="0" w:space="0" w:color="auto"/>
        <w:left w:val="none" w:sz="0" w:space="0" w:color="auto"/>
        <w:bottom w:val="none" w:sz="0" w:space="0" w:color="auto"/>
        <w:right w:val="none" w:sz="0" w:space="0" w:color="auto"/>
      </w:divBdr>
    </w:div>
    <w:div w:id="198055440">
      <w:bodyDiv w:val="1"/>
      <w:marLeft w:val="0"/>
      <w:marRight w:val="0"/>
      <w:marTop w:val="0"/>
      <w:marBottom w:val="0"/>
      <w:divBdr>
        <w:top w:val="none" w:sz="0" w:space="0" w:color="auto"/>
        <w:left w:val="none" w:sz="0" w:space="0" w:color="auto"/>
        <w:bottom w:val="none" w:sz="0" w:space="0" w:color="auto"/>
        <w:right w:val="none" w:sz="0" w:space="0" w:color="auto"/>
      </w:divBdr>
      <w:divsChild>
        <w:div w:id="994383804">
          <w:marLeft w:val="360"/>
          <w:marRight w:val="0"/>
          <w:marTop w:val="200"/>
          <w:marBottom w:val="0"/>
          <w:divBdr>
            <w:top w:val="none" w:sz="0" w:space="0" w:color="auto"/>
            <w:left w:val="none" w:sz="0" w:space="0" w:color="auto"/>
            <w:bottom w:val="none" w:sz="0" w:space="0" w:color="auto"/>
            <w:right w:val="none" w:sz="0" w:space="0" w:color="auto"/>
          </w:divBdr>
        </w:div>
      </w:divsChild>
    </w:div>
    <w:div w:id="238248296">
      <w:bodyDiv w:val="1"/>
      <w:marLeft w:val="0"/>
      <w:marRight w:val="0"/>
      <w:marTop w:val="0"/>
      <w:marBottom w:val="0"/>
      <w:divBdr>
        <w:top w:val="none" w:sz="0" w:space="0" w:color="auto"/>
        <w:left w:val="none" w:sz="0" w:space="0" w:color="auto"/>
        <w:bottom w:val="none" w:sz="0" w:space="0" w:color="auto"/>
        <w:right w:val="none" w:sz="0" w:space="0" w:color="auto"/>
      </w:divBdr>
    </w:div>
    <w:div w:id="242496321">
      <w:bodyDiv w:val="1"/>
      <w:marLeft w:val="0"/>
      <w:marRight w:val="0"/>
      <w:marTop w:val="0"/>
      <w:marBottom w:val="0"/>
      <w:divBdr>
        <w:top w:val="none" w:sz="0" w:space="0" w:color="auto"/>
        <w:left w:val="none" w:sz="0" w:space="0" w:color="auto"/>
        <w:bottom w:val="none" w:sz="0" w:space="0" w:color="auto"/>
        <w:right w:val="none" w:sz="0" w:space="0" w:color="auto"/>
      </w:divBdr>
    </w:div>
    <w:div w:id="252906329">
      <w:bodyDiv w:val="1"/>
      <w:marLeft w:val="0"/>
      <w:marRight w:val="0"/>
      <w:marTop w:val="0"/>
      <w:marBottom w:val="0"/>
      <w:divBdr>
        <w:top w:val="none" w:sz="0" w:space="0" w:color="auto"/>
        <w:left w:val="none" w:sz="0" w:space="0" w:color="auto"/>
        <w:bottom w:val="none" w:sz="0" w:space="0" w:color="auto"/>
        <w:right w:val="none" w:sz="0" w:space="0" w:color="auto"/>
      </w:divBdr>
      <w:divsChild>
        <w:div w:id="154497837">
          <w:marLeft w:val="0"/>
          <w:marRight w:val="0"/>
          <w:marTop w:val="0"/>
          <w:marBottom w:val="0"/>
          <w:divBdr>
            <w:top w:val="none" w:sz="0" w:space="0" w:color="auto"/>
            <w:left w:val="none" w:sz="0" w:space="0" w:color="auto"/>
            <w:bottom w:val="none" w:sz="0" w:space="0" w:color="auto"/>
            <w:right w:val="none" w:sz="0" w:space="0" w:color="auto"/>
          </w:divBdr>
        </w:div>
        <w:div w:id="608895650">
          <w:marLeft w:val="0"/>
          <w:marRight w:val="0"/>
          <w:marTop w:val="0"/>
          <w:marBottom w:val="0"/>
          <w:divBdr>
            <w:top w:val="none" w:sz="0" w:space="0" w:color="auto"/>
            <w:left w:val="none" w:sz="0" w:space="0" w:color="auto"/>
            <w:bottom w:val="none" w:sz="0" w:space="0" w:color="auto"/>
            <w:right w:val="none" w:sz="0" w:space="0" w:color="auto"/>
          </w:divBdr>
        </w:div>
      </w:divsChild>
    </w:div>
    <w:div w:id="324433934">
      <w:bodyDiv w:val="1"/>
      <w:marLeft w:val="0"/>
      <w:marRight w:val="0"/>
      <w:marTop w:val="0"/>
      <w:marBottom w:val="0"/>
      <w:divBdr>
        <w:top w:val="none" w:sz="0" w:space="0" w:color="auto"/>
        <w:left w:val="none" w:sz="0" w:space="0" w:color="auto"/>
        <w:bottom w:val="none" w:sz="0" w:space="0" w:color="auto"/>
        <w:right w:val="none" w:sz="0" w:space="0" w:color="auto"/>
      </w:divBdr>
    </w:div>
    <w:div w:id="442573758">
      <w:bodyDiv w:val="1"/>
      <w:marLeft w:val="0"/>
      <w:marRight w:val="0"/>
      <w:marTop w:val="0"/>
      <w:marBottom w:val="0"/>
      <w:divBdr>
        <w:top w:val="none" w:sz="0" w:space="0" w:color="auto"/>
        <w:left w:val="none" w:sz="0" w:space="0" w:color="auto"/>
        <w:bottom w:val="none" w:sz="0" w:space="0" w:color="auto"/>
        <w:right w:val="none" w:sz="0" w:space="0" w:color="auto"/>
      </w:divBdr>
    </w:div>
    <w:div w:id="455606276">
      <w:bodyDiv w:val="1"/>
      <w:marLeft w:val="0"/>
      <w:marRight w:val="0"/>
      <w:marTop w:val="0"/>
      <w:marBottom w:val="0"/>
      <w:divBdr>
        <w:top w:val="none" w:sz="0" w:space="0" w:color="auto"/>
        <w:left w:val="none" w:sz="0" w:space="0" w:color="auto"/>
        <w:bottom w:val="none" w:sz="0" w:space="0" w:color="auto"/>
        <w:right w:val="none" w:sz="0" w:space="0" w:color="auto"/>
      </w:divBdr>
    </w:div>
    <w:div w:id="484859533">
      <w:bodyDiv w:val="1"/>
      <w:marLeft w:val="0"/>
      <w:marRight w:val="0"/>
      <w:marTop w:val="0"/>
      <w:marBottom w:val="0"/>
      <w:divBdr>
        <w:top w:val="none" w:sz="0" w:space="0" w:color="auto"/>
        <w:left w:val="none" w:sz="0" w:space="0" w:color="auto"/>
        <w:bottom w:val="none" w:sz="0" w:space="0" w:color="auto"/>
        <w:right w:val="none" w:sz="0" w:space="0" w:color="auto"/>
      </w:divBdr>
    </w:div>
    <w:div w:id="498665049">
      <w:bodyDiv w:val="1"/>
      <w:marLeft w:val="0"/>
      <w:marRight w:val="0"/>
      <w:marTop w:val="0"/>
      <w:marBottom w:val="0"/>
      <w:divBdr>
        <w:top w:val="none" w:sz="0" w:space="0" w:color="auto"/>
        <w:left w:val="none" w:sz="0" w:space="0" w:color="auto"/>
        <w:bottom w:val="none" w:sz="0" w:space="0" w:color="auto"/>
        <w:right w:val="none" w:sz="0" w:space="0" w:color="auto"/>
      </w:divBdr>
    </w:div>
    <w:div w:id="549654864">
      <w:bodyDiv w:val="1"/>
      <w:marLeft w:val="0"/>
      <w:marRight w:val="0"/>
      <w:marTop w:val="0"/>
      <w:marBottom w:val="0"/>
      <w:divBdr>
        <w:top w:val="none" w:sz="0" w:space="0" w:color="auto"/>
        <w:left w:val="none" w:sz="0" w:space="0" w:color="auto"/>
        <w:bottom w:val="none" w:sz="0" w:space="0" w:color="auto"/>
        <w:right w:val="none" w:sz="0" w:space="0" w:color="auto"/>
      </w:divBdr>
    </w:div>
    <w:div w:id="554967716">
      <w:bodyDiv w:val="1"/>
      <w:marLeft w:val="0"/>
      <w:marRight w:val="0"/>
      <w:marTop w:val="0"/>
      <w:marBottom w:val="0"/>
      <w:divBdr>
        <w:top w:val="none" w:sz="0" w:space="0" w:color="auto"/>
        <w:left w:val="none" w:sz="0" w:space="0" w:color="auto"/>
        <w:bottom w:val="none" w:sz="0" w:space="0" w:color="auto"/>
        <w:right w:val="none" w:sz="0" w:space="0" w:color="auto"/>
      </w:divBdr>
    </w:div>
    <w:div w:id="594677238">
      <w:bodyDiv w:val="1"/>
      <w:marLeft w:val="0"/>
      <w:marRight w:val="0"/>
      <w:marTop w:val="0"/>
      <w:marBottom w:val="0"/>
      <w:divBdr>
        <w:top w:val="none" w:sz="0" w:space="0" w:color="auto"/>
        <w:left w:val="none" w:sz="0" w:space="0" w:color="auto"/>
        <w:bottom w:val="none" w:sz="0" w:space="0" w:color="auto"/>
        <w:right w:val="none" w:sz="0" w:space="0" w:color="auto"/>
      </w:divBdr>
    </w:div>
    <w:div w:id="605112214">
      <w:bodyDiv w:val="1"/>
      <w:marLeft w:val="0"/>
      <w:marRight w:val="0"/>
      <w:marTop w:val="0"/>
      <w:marBottom w:val="0"/>
      <w:divBdr>
        <w:top w:val="none" w:sz="0" w:space="0" w:color="auto"/>
        <w:left w:val="none" w:sz="0" w:space="0" w:color="auto"/>
        <w:bottom w:val="none" w:sz="0" w:space="0" w:color="auto"/>
        <w:right w:val="none" w:sz="0" w:space="0" w:color="auto"/>
      </w:divBdr>
      <w:divsChild>
        <w:div w:id="1657758331">
          <w:marLeft w:val="0"/>
          <w:marRight w:val="0"/>
          <w:marTop w:val="0"/>
          <w:marBottom w:val="0"/>
          <w:divBdr>
            <w:top w:val="none" w:sz="0" w:space="0" w:color="auto"/>
            <w:left w:val="none" w:sz="0" w:space="0" w:color="auto"/>
            <w:bottom w:val="none" w:sz="0" w:space="0" w:color="auto"/>
            <w:right w:val="none" w:sz="0" w:space="0" w:color="auto"/>
          </w:divBdr>
          <w:divsChild>
            <w:div w:id="1496797866">
              <w:marLeft w:val="0"/>
              <w:marRight w:val="0"/>
              <w:marTop w:val="0"/>
              <w:marBottom w:val="0"/>
              <w:divBdr>
                <w:top w:val="none" w:sz="0" w:space="0" w:color="auto"/>
                <w:left w:val="none" w:sz="0" w:space="0" w:color="auto"/>
                <w:bottom w:val="none" w:sz="0" w:space="0" w:color="auto"/>
                <w:right w:val="none" w:sz="0" w:space="0" w:color="auto"/>
              </w:divBdr>
              <w:divsChild>
                <w:div w:id="1135028613">
                  <w:marLeft w:val="0"/>
                  <w:marRight w:val="0"/>
                  <w:marTop w:val="0"/>
                  <w:marBottom w:val="0"/>
                  <w:divBdr>
                    <w:top w:val="none" w:sz="0" w:space="0" w:color="auto"/>
                    <w:left w:val="none" w:sz="0" w:space="0" w:color="auto"/>
                    <w:bottom w:val="none" w:sz="0" w:space="0" w:color="auto"/>
                    <w:right w:val="none" w:sz="0" w:space="0" w:color="auto"/>
                  </w:divBdr>
                  <w:divsChild>
                    <w:div w:id="133700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6317961">
      <w:bodyDiv w:val="1"/>
      <w:marLeft w:val="0"/>
      <w:marRight w:val="0"/>
      <w:marTop w:val="0"/>
      <w:marBottom w:val="0"/>
      <w:divBdr>
        <w:top w:val="none" w:sz="0" w:space="0" w:color="auto"/>
        <w:left w:val="none" w:sz="0" w:space="0" w:color="auto"/>
        <w:bottom w:val="none" w:sz="0" w:space="0" w:color="auto"/>
        <w:right w:val="none" w:sz="0" w:space="0" w:color="auto"/>
      </w:divBdr>
    </w:div>
    <w:div w:id="774180659">
      <w:bodyDiv w:val="1"/>
      <w:marLeft w:val="0"/>
      <w:marRight w:val="0"/>
      <w:marTop w:val="0"/>
      <w:marBottom w:val="0"/>
      <w:divBdr>
        <w:top w:val="none" w:sz="0" w:space="0" w:color="auto"/>
        <w:left w:val="none" w:sz="0" w:space="0" w:color="auto"/>
        <w:bottom w:val="none" w:sz="0" w:space="0" w:color="auto"/>
        <w:right w:val="none" w:sz="0" w:space="0" w:color="auto"/>
      </w:divBdr>
    </w:div>
    <w:div w:id="791098058">
      <w:bodyDiv w:val="1"/>
      <w:marLeft w:val="0"/>
      <w:marRight w:val="0"/>
      <w:marTop w:val="0"/>
      <w:marBottom w:val="0"/>
      <w:divBdr>
        <w:top w:val="none" w:sz="0" w:space="0" w:color="auto"/>
        <w:left w:val="none" w:sz="0" w:space="0" w:color="auto"/>
        <w:bottom w:val="none" w:sz="0" w:space="0" w:color="auto"/>
        <w:right w:val="none" w:sz="0" w:space="0" w:color="auto"/>
      </w:divBdr>
    </w:div>
    <w:div w:id="902982094">
      <w:bodyDiv w:val="1"/>
      <w:marLeft w:val="0"/>
      <w:marRight w:val="0"/>
      <w:marTop w:val="0"/>
      <w:marBottom w:val="0"/>
      <w:divBdr>
        <w:top w:val="none" w:sz="0" w:space="0" w:color="auto"/>
        <w:left w:val="none" w:sz="0" w:space="0" w:color="auto"/>
        <w:bottom w:val="none" w:sz="0" w:space="0" w:color="auto"/>
        <w:right w:val="none" w:sz="0" w:space="0" w:color="auto"/>
      </w:divBdr>
    </w:div>
    <w:div w:id="950748388">
      <w:bodyDiv w:val="1"/>
      <w:marLeft w:val="0"/>
      <w:marRight w:val="0"/>
      <w:marTop w:val="0"/>
      <w:marBottom w:val="0"/>
      <w:divBdr>
        <w:top w:val="none" w:sz="0" w:space="0" w:color="auto"/>
        <w:left w:val="none" w:sz="0" w:space="0" w:color="auto"/>
        <w:bottom w:val="none" w:sz="0" w:space="0" w:color="auto"/>
        <w:right w:val="none" w:sz="0" w:space="0" w:color="auto"/>
      </w:divBdr>
      <w:divsChild>
        <w:div w:id="221136550">
          <w:marLeft w:val="360"/>
          <w:marRight w:val="0"/>
          <w:marTop w:val="200"/>
          <w:marBottom w:val="0"/>
          <w:divBdr>
            <w:top w:val="none" w:sz="0" w:space="0" w:color="auto"/>
            <w:left w:val="none" w:sz="0" w:space="0" w:color="auto"/>
            <w:bottom w:val="none" w:sz="0" w:space="0" w:color="auto"/>
            <w:right w:val="none" w:sz="0" w:space="0" w:color="auto"/>
          </w:divBdr>
        </w:div>
        <w:div w:id="1833445648">
          <w:marLeft w:val="360"/>
          <w:marRight w:val="0"/>
          <w:marTop w:val="200"/>
          <w:marBottom w:val="0"/>
          <w:divBdr>
            <w:top w:val="none" w:sz="0" w:space="0" w:color="auto"/>
            <w:left w:val="none" w:sz="0" w:space="0" w:color="auto"/>
            <w:bottom w:val="none" w:sz="0" w:space="0" w:color="auto"/>
            <w:right w:val="none" w:sz="0" w:space="0" w:color="auto"/>
          </w:divBdr>
        </w:div>
        <w:div w:id="126361790">
          <w:marLeft w:val="360"/>
          <w:marRight w:val="0"/>
          <w:marTop w:val="200"/>
          <w:marBottom w:val="0"/>
          <w:divBdr>
            <w:top w:val="none" w:sz="0" w:space="0" w:color="auto"/>
            <w:left w:val="none" w:sz="0" w:space="0" w:color="auto"/>
            <w:bottom w:val="none" w:sz="0" w:space="0" w:color="auto"/>
            <w:right w:val="none" w:sz="0" w:space="0" w:color="auto"/>
          </w:divBdr>
        </w:div>
        <w:div w:id="2038963383">
          <w:marLeft w:val="360"/>
          <w:marRight w:val="0"/>
          <w:marTop w:val="200"/>
          <w:marBottom w:val="0"/>
          <w:divBdr>
            <w:top w:val="none" w:sz="0" w:space="0" w:color="auto"/>
            <w:left w:val="none" w:sz="0" w:space="0" w:color="auto"/>
            <w:bottom w:val="none" w:sz="0" w:space="0" w:color="auto"/>
            <w:right w:val="none" w:sz="0" w:space="0" w:color="auto"/>
          </w:divBdr>
        </w:div>
        <w:div w:id="638653248">
          <w:marLeft w:val="360"/>
          <w:marRight w:val="0"/>
          <w:marTop w:val="200"/>
          <w:marBottom w:val="0"/>
          <w:divBdr>
            <w:top w:val="none" w:sz="0" w:space="0" w:color="auto"/>
            <w:left w:val="none" w:sz="0" w:space="0" w:color="auto"/>
            <w:bottom w:val="none" w:sz="0" w:space="0" w:color="auto"/>
            <w:right w:val="none" w:sz="0" w:space="0" w:color="auto"/>
          </w:divBdr>
        </w:div>
        <w:div w:id="955791709">
          <w:marLeft w:val="360"/>
          <w:marRight w:val="0"/>
          <w:marTop w:val="200"/>
          <w:marBottom w:val="0"/>
          <w:divBdr>
            <w:top w:val="none" w:sz="0" w:space="0" w:color="auto"/>
            <w:left w:val="none" w:sz="0" w:space="0" w:color="auto"/>
            <w:bottom w:val="none" w:sz="0" w:space="0" w:color="auto"/>
            <w:right w:val="none" w:sz="0" w:space="0" w:color="auto"/>
          </w:divBdr>
        </w:div>
        <w:div w:id="609747155">
          <w:marLeft w:val="360"/>
          <w:marRight w:val="0"/>
          <w:marTop w:val="200"/>
          <w:marBottom w:val="0"/>
          <w:divBdr>
            <w:top w:val="none" w:sz="0" w:space="0" w:color="auto"/>
            <w:left w:val="none" w:sz="0" w:space="0" w:color="auto"/>
            <w:bottom w:val="none" w:sz="0" w:space="0" w:color="auto"/>
            <w:right w:val="none" w:sz="0" w:space="0" w:color="auto"/>
          </w:divBdr>
        </w:div>
        <w:div w:id="572936732">
          <w:marLeft w:val="360"/>
          <w:marRight w:val="0"/>
          <w:marTop w:val="200"/>
          <w:marBottom w:val="0"/>
          <w:divBdr>
            <w:top w:val="none" w:sz="0" w:space="0" w:color="auto"/>
            <w:left w:val="none" w:sz="0" w:space="0" w:color="auto"/>
            <w:bottom w:val="none" w:sz="0" w:space="0" w:color="auto"/>
            <w:right w:val="none" w:sz="0" w:space="0" w:color="auto"/>
          </w:divBdr>
        </w:div>
        <w:div w:id="781336989">
          <w:marLeft w:val="360"/>
          <w:marRight w:val="0"/>
          <w:marTop w:val="200"/>
          <w:marBottom w:val="0"/>
          <w:divBdr>
            <w:top w:val="none" w:sz="0" w:space="0" w:color="auto"/>
            <w:left w:val="none" w:sz="0" w:space="0" w:color="auto"/>
            <w:bottom w:val="none" w:sz="0" w:space="0" w:color="auto"/>
            <w:right w:val="none" w:sz="0" w:space="0" w:color="auto"/>
          </w:divBdr>
        </w:div>
      </w:divsChild>
    </w:div>
    <w:div w:id="986283275">
      <w:bodyDiv w:val="1"/>
      <w:marLeft w:val="0"/>
      <w:marRight w:val="0"/>
      <w:marTop w:val="0"/>
      <w:marBottom w:val="0"/>
      <w:divBdr>
        <w:top w:val="none" w:sz="0" w:space="0" w:color="auto"/>
        <w:left w:val="none" w:sz="0" w:space="0" w:color="auto"/>
        <w:bottom w:val="none" w:sz="0" w:space="0" w:color="auto"/>
        <w:right w:val="none" w:sz="0" w:space="0" w:color="auto"/>
      </w:divBdr>
    </w:div>
    <w:div w:id="1014957865">
      <w:bodyDiv w:val="1"/>
      <w:marLeft w:val="0"/>
      <w:marRight w:val="0"/>
      <w:marTop w:val="0"/>
      <w:marBottom w:val="0"/>
      <w:divBdr>
        <w:top w:val="none" w:sz="0" w:space="0" w:color="auto"/>
        <w:left w:val="none" w:sz="0" w:space="0" w:color="auto"/>
        <w:bottom w:val="none" w:sz="0" w:space="0" w:color="auto"/>
        <w:right w:val="none" w:sz="0" w:space="0" w:color="auto"/>
      </w:divBdr>
    </w:div>
    <w:div w:id="1093014871">
      <w:bodyDiv w:val="1"/>
      <w:marLeft w:val="0"/>
      <w:marRight w:val="0"/>
      <w:marTop w:val="0"/>
      <w:marBottom w:val="0"/>
      <w:divBdr>
        <w:top w:val="none" w:sz="0" w:space="0" w:color="auto"/>
        <w:left w:val="none" w:sz="0" w:space="0" w:color="auto"/>
        <w:bottom w:val="none" w:sz="0" w:space="0" w:color="auto"/>
        <w:right w:val="none" w:sz="0" w:space="0" w:color="auto"/>
      </w:divBdr>
    </w:div>
    <w:div w:id="1104110166">
      <w:bodyDiv w:val="1"/>
      <w:marLeft w:val="0"/>
      <w:marRight w:val="0"/>
      <w:marTop w:val="0"/>
      <w:marBottom w:val="0"/>
      <w:divBdr>
        <w:top w:val="none" w:sz="0" w:space="0" w:color="auto"/>
        <w:left w:val="none" w:sz="0" w:space="0" w:color="auto"/>
        <w:bottom w:val="none" w:sz="0" w:space="0" w:color="auto"/>
        <w:right w:val="none" w:sz="0" w:space="0" w:color="auto"/>
      </w:divBdr>
      <w:divsChild>
        <w:div w:id="848180604">
          <w:marLeft w:val="0"/>
          <w:marRight w:val="0"/>
          <w:marTop w:val="0"/>
          <w:marBottom w:val="0"/>
          <w:divBdr>
            <w:top w:val="none" w:sz="0" w:space="0" w:color="auto"/>
            <w:left w:val="none" w:sz="0" w:space="0" w:color="auto"/>
            <w:bottom w:val="none" w:sz="0" w:space="0" w:color="auto"/>
            <w:right w:val="none" w:sz="0" w:space="0" w:color="auto"/>
          </w:divBdr>
        </w:div>
        <w:div w:id="2061244272">
          <w:marLeft w:val="0"/>
          <w:marRight w:val="0"/>
          <w:marTop w:val="0"/>
          <w:marBottom w:val="0"/>
          <w:divBdr>
            <w:top w:val="none" w:sz="0" w:space="0" w:color="auto"/>
            <w:left w:val="none" w:sz="0" w:space="0" w:color="auto"/>
            <w:bottom w:val="none" w:sz="0" w:space="0" w:color="auto"/>
            <w:right w:val="none" w:sz="0" w:space="0" w:color="auto"/>
          </w:divBdr>
        </w:div>
      </w:divsChild>
    </w:div>
    <w:div w:id="1112282219">
      <w:bodyDiv w:val="1"/>
      <w:marLeft w:val="0"/>
      <w:marRight w:val="0"/>
      <w:marTop w:val="0"/>
      <w:marBottom w:val="0"/>
      <w:divBdr>
        <w:top w:val="none" w:sz="0" w:space="0" w:color="auto"/>
        <w:left w:val="none" w:sz="0" w:space="0" w:color="auto"/>
        <w:bottom w:val="none" w:sz="0" w:space="0" w:color="auto"/>
        <w:right w:val="none" w:sz="0" w:space="0" w:color="auto"/>
      </w:divBdr>
    </w:div>
    <w:div w:id="1116481166">
      <w:bodyDiv w:val="1"/>
      <w:marLeft w:val="0"/>
      <w:marRight w:val="0"/>
      <w:marTop w:val="0"/>
      <w:marBottom w:val="0"/>
      <w:divBdr>
        <w:top w:val="none" w:sz="0" w:space="0" w:color="auto"/>
        <w:left w:val="none" w:sz="0" w:space="0" w:color="auto"/>
        <w:bottom w:val="none" w:sz="0" w:space="0" w:color="auto"/>
        <w:right w:val="none" w:sz="0" w:space="0" w:color="auto"/>
      </w:divBdr>
    </w:div>
    <w:div w:id="1332949556">
      <w:bodyDiv w:val="1"/>
      <w:marLeft w:val="0"/>
      <w:marRight w:val="0"/>
      <w:marTop w:val="0"/>
      <w:marBottom w:val="0"/>
      <w:divBdr>
        <w:top w:val="none" w:sz="0" w:space="0" w:color="auto"/>
        <w:left w:val="none" w:sz="0" w:space="0" w:color="auto"/>
        <w:bottom w:val="none" w:sz="0" w:space="0" w:color="auto"/>
        <w:right w:val="none" w:sz="0" w:space="0" w:color="auto"/>
      </w:divBdr>
      <w:divsChild>
        <w:div w:id="688870491">
          <w:marLeft w:val="0"/>
          <w:marRight w:val="0"/>
          <w:marTop w:val="0"/>
          <w:marBottom w:val="0"/>
          <w:divBdr>
            <w:top w:val="none" w:sz="0" w:space="0" w:color="auto"/>
            <w:left w:val="none" w:sz="0" w:space="0" w:color="auto"/>
            <w:bottom w:val="none" w:sz="0" w:space="0" w:color="auto"/>
            <w:right w:val="none" w:sz="0" w:space="0" w:color="auto"/>
          </w:divBdr>
        </w:div>
        <w:div w:id="1105928350">
          <w:marLeft w:val="0"/>
          <w:marRight w:val="0"/>
          <w:marTop w:val="0"/>
          <w:marBottom w:val="0"/>
          <w:divBdr>
            <w:top w:val="none" w:sz="0" w:space="0" w:color="auto"/>
            <w:left w:val="none" w:sz="0" w:space="0" w:color="auto"/>
            <w:bottom w:val="none" w:sz="0" w:space="0" w:color="auto"/>
            <w:right w:val="none" w:sz="0" w:space="0" w:color="auto"/>
          </w:divBdr>
        </w:div>
      </w:divsChild>
    </w:div>
    <w:div w:id="1413114822">
      <w:bodyDiv w:val="1"/>
      <w:marLeft w:val="0"/>
      <w:marRight w:val="0"/>
      <w:marTop w:val="0"/>
      <w:marBottom w:val="0"/>
      <w:divBdr>
        <w:top w:val="none" w:sz="0" w:space="0" w:color="auto"/>
        <w:left w:val="none" w:sz="0" w:space="0" w:color="auto"/>
        <w:bottom w:val="none" w:sz="0" w:space="0" w:color="auto"/>
        <w:right w:val="none" w:sz="0" w:space="0" w:color="auto"/>
      </w:divBdr>
      <w:divsChild>
        <w:div w:id="366494934">
          <w:marLeft w:val="0"/>
          <w:marRight w:val="0"/>
          <w:marTop w:val="0"/>
          <w:marBottom w:val="0"/>
          <w:divBdr>
            <w:top w:val="none" w:sz="0" w:space="0" w:color="auto"/>
            <w:left w:val="none" w:sz="0" w:space="0" w:color="auto"/>
            <w:bottom w:val="none" w:sz="0" w:space="0" w:color="auto"/>
            <w:right w:val="none" w:sz="0" w:space="0" w:color="auto"/>
          </w:divBdr>
          <w:divsChild>
            <w:div w:id="1520847331">
              <w:marLeft w:val="0"/>
              <w:marRight w:val="0"/>
              <w:marTop w:val="0"/>
              <w:marBottom w:val="0"/>
              <w:divBdr>
                <w:top w:val="none" w:sz="0" w:space="0" w:color="auto"/>
                <w:left w:val="none" w:sz="0" w:space="0" w:color="auto"/>
                <w:bottom w:val="none" w:sz="0" w:space="0" w:color="auto"/>
                <w:right w:val="none" w:sz="0" w:space="0" w:color="auto"/>
              </w:divBdr>
              <w:divsChild>
                <w:div w:id="313527479">
                  <w:marLeft w:val="0"/>
                  <w:marRight w:val="0"/>
                  <w:marTop w:val="0"/>
                  <w:marBottom w:val="0"/>
                  <w:divBdr>
                    <w:top w:val="none" w:sz="0" w:space="0" w:color="auto"/>
                    <w:left w:val="none" w:sz="0" w:space="0" w:color="auto"/>
                    <w:bottom w:val="none" w:sz="0" w:space="0" w:color="auto"/>
                    <w:right w:val="none" w:sz="0" w:space="0" w:color="auto"/>
                  </w:divBdr>
                  <w:divsChild>
                    <w:div w:id="2094887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6730883">
      <w:bodyDiv w:val="1"/>
      <w:marLeft w:val="0"/>
      <w:marRight w:val="0"/>
      <w:marTop w:val="0"/>
      <w:marBottom w:val="0"/>
      <w:divBdr>
        <w:top w:val="none" w:sz="0" w:space="0" w:color="auto"/>
        <w:left w:val="none" w:sz="0" w:space="0" w:color="auto"/>
        <w:bottom w:val="none" w:sz="0" w:space="0" w:color="auto"/>
        <w:right w:val="none" w:sz="0" w:space="0" w:color="auto"/>
      </w:divBdr>
      <w:divsChild>
        <w:div w:id="1084449648">
          <w:marLeft w:val="0"/>
          <w:marRight w:val="0"/>
          <w:marTop w:val="0"/>
          <w:marBottom w:val="0"/>
          <w:divBdr>
            <w:top w:val="none" w:sz="0" w:space="0" w:color="auto"/>
            <w:left w:val="none" w:sz="0" w:space="0" w:color="auto"/>
            <w:bottom w:val="none" w:sz="0" w:space="0" w:color="auto"/>
            <w:right w:val="none" w:sz="0" w:space="0" w:color="auto"/>
          </w:divBdr>
          <w:divsChild>
            <w:div w:id="1565751730">
              <w:marLeft w:val="0"/>
              <w:marRight w:val="0"/>
              <w:marTop w:val="0"/>
              <w:marBottom w:val="0"/>
              <w:divBdr>
                <w:top w:val="none" w:sz="0" w:space="0" w:color="auto"/>
                <w:left w:val="none" w:sz="0" w:space="0" w:color="auto"/>
                <w:bottom w:val="none" w:sz="0" w:space="0" w:color="auto"/>
                <w:right w:val="none" w:sz="0" w:space="0" w:color="auto"/>
              </w:divBdr>
              <w:divsChild>
                <w:div w:id="110052166">
                  <w:marLeft w:val="0"/>
                  <w:marRight w:val="0"/>
                  <w:marTop w:val="0"/>
                  <w:marBottom w:val="0"/>
                  <w:divBdr>
                    <w:top w:val="none" w:sz="0" w:space="0" w:color="auto"/>
                    <w:left w:val="none" w:sz="0" w:space="0" w:color="auto"/>
                    <w:bottom w:val="none" w:sz="0" w:space="0" w:color="auto"/>
                    <w:right w:val="none" w:sz="0" w:space="0" w:color="auto"/>
                  </w:divBdr>
                  <w:divsChild>
                    <w:div w:id="603268121">
                      <w:marLeft w:val="0"/>
                      <w:marRight w:val="0"/>
                      <w:marTop w:val="0"/>
                      <w:marBottom w:val="0"/>
                      <w:divBdr>
                        <w:top w:val="none" w:sz="0" w:space="0" w:color="auto"/>
                        <w:left w:val="none" w:sz="0" w:space="0" w:color="auto"/>
                        <w:bottom w:val="none" w:sz="0" w:space="0" w:color="auto"/>
                        <w:right w:val="none" w:sz="0" w:space="0" w:color="auto"/>
                      </w:divBdr>
                    </w:div>
                    <w:div w:id="180303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2569959">
      <w:bodyDiv w:val="1"/>
      <w:marLeft w:val="0"/>
      <w:marRight w:val="0"/>
      <w:marTop w:val="0"/>
      <w:marBottom w:val="0"/>
      <w:divBdr>
        <w:top w:val="none" w:sz="0" w:space="0" w:color="auto"/>
        <w:left w:val="none" w:sz="0" w:space="0" w:color="auto"/>
        <w:bottom w:val="none" w:sz="0" w:space="0" w:color="auto"/>
        <w:right w:val="none" w:sz="0" w:space="0" w:color="auto"/>
      </w:divBdr>
      <w:divsChild>
        <w:div w:id="1234009174">
          <w:marLeft w:val="403"/>
          <w:marRight w:val="0"/>
          <w:marTop w:val="200"/>
          <w:marBottom w:val="0"/>
          <w:divBdr>
            <w:top w:val="none" w:sz="0" w:space="0" w:color="auto"/>
            <w:left w:val="none" w:sz="0" w:space="0" w:color="auto"/>
            <w:bottom w:val="none" w:sz="0" w:space="0" w:color="auto"/>
            <w:right w:val="none" w:sz="0" w:space="0" w:color="auto"/>
          </w:divBdr>
        </w:div>
        <w:div w:id="483278926">
          <w:marLeft w:val="403"/>
          <w:marRight w:val="0"/>
          <w:marTop w:val="200"/>
          <w:marBottom w:val="0"/>
          <w:divBdr>
            <w:top w:val="none" w:sz="0" w:space="0" w:color="auto"/>
            <w:left w:val="none" w:sz="0" w:space="0" w:color="auto"/>
            <w:bottom w:val="none" w:sz="0" w:space="0" w:color="auto"/>
            <w:right w:val="none" w:sz="0" w:space="0" w:color="auto"/>
          </w:divBdr>
        </w:div>
        <w:div w:id="1203177272">
          <w:marLeft w:val="403"/>
          <w:marRight w:val="0"/>
          <w:marTop w:val="200"/>
          <w:marBottom w:val="0"/>
          <w:divBdr>
            <w:top w:val="none" w:sz="0" w:space="0" w:color="auto"/>
            <w:left w:val="none" w:sz="0" w:space="0" w:color="auto"/>
            <w:bottom w:val="none" w:sz="0" w:space="0" w:color="auto"/>
            <w:right w:val="none" w:sz="0" w:space="0" w:color="auto"/>
          </w:divBdr>
        </w:div>
        <w:div w:id="1952934665">
          <w:marLeft w:val="403"/>
          <w:marRight w:val="0"/>
          <w:marTop w:val="200"/>
          <w:marBottom w:val="0"/>
          <w:divBdr>
            <w:top w:val="none" w:sz="0" w:space="0" w:color="auto"/>
            <w:left w:val="none" w:sz="0" w:space="0" w:color="auto"/>
            <w:bottom w:val="none" w:sz="0" w:space="0" w:color="auto"/>
            <w:right w:val="none" w:sz="0" w:space="0" w:color="auto"/>
          </w:divBdr>
        </w:div>
      </w:divsChild>
    </w:div>
    <w:div w:id="1564481900">
      <w:bodyDiv w:val="1"/>
      <w:marLeft w:val="0"/>
      <w:marRight w:val="0"/>
      <w:marTop w:val="0"/>
      <w:marBottom w:val="0"/>
      <w:divBdr>
        <w:top w:val="none" w:sz="0" w:space="0" w:color="auto"/>
        <w:left w:val="none" w:sz="0" w:space="0" w:color="auto"/>
        <w:bottom w:val="none" w:sz="0" w:space="0" w:color="auto"/>
        <w:right w:val="none" w:sz="0" w:space="0" w:color="auto"/>
      </w:divBdr>
    </w:div>
    <w:div w:id="1575429398">
      <w:bodyDiv w:val="1"/>
      <w:marLeft w:val="0"/>
      <w:marRight w:val="0"/>
      <w:marTop w:val="0"/>
      <w:marBottom w:val="0"/>
      <w:divBdr>
        <w:top w:val="none" w:sz="0" w:space="0" w:color="auto"/>
        <w:left w:val="none" w:sz="0" w:space="0" w:color="auto"/>
        <w:bottom w:val="none" w:sz="0" w:space="0" w:color="auto"/>
        <w:right w:val="none" w:sz="0" w:space="0" w:color="auto"/>
      </w:divBdr>
    </w:div>
    <w:div w:id="1719861413">
      <w:bodyDiv w:val="1"/>
      <w:marLeft w:val="0"/>
      <w:marRight w:val="0"/>
      <w:marTop w:val="0"/>
      <w:marBottom w:val="0"/>
      <w:divBdr>
        <w:top w:val="none" w:sz="0" w:space="0" w:color="auto"/>
        <w:left w:val="none" w:sz="0" w:space="0" w:color="auto"/>
        <w:bottom w:val="none" w:sz="0" w:space="0" w:color="auto"/>
        <w:right w:val="none" w:sz="0" w:space="0" w:color="auto"/>
      </w:divBdr>
    </w:div>
    <w:div w:id="1865249254">
      <w:bodyDiv w:val="1"/>
      <w:marLeft w:val="0"/>
      <w:marRight w:val="0"/>
      <w:marTop w:val="0"/>
      <w:marBottom w:val="0"/>
      <w:divBdr>
        <w:top w:val="none" w:sz="0" w:space="0" w:color="auto"/>
        <w:left w:val="none" w:sz="0" w:space="0" w:color="auto"/>
        <w:bottom w:val="none" w:sz="0" w:space="0" w:color="auto"/>
        <w:right w:val="none" w:sz="0" w:space="0" w:color="auto"/>
      </w:divBdr>
      <w:divsChild>
        <w:div w:id="122309561">
          <w:marLeft w:val="360"/>
          <w:marRight w:val="0"/>
          <w:marTop w:val="200"/>
          <w:marBottom w:val="0"/>
          <w:divBdr>
            <w:top w:val="none" w:sz="0" w:space="0" w:color="auto"/>
            <w:left w:val="none" w:sz="0" w:space="0" w:color="auto"/>
            <w:bottom w:val="none" w:sz="0" w:space="0" w:color="auto"/>
            <w:right w:val="none" w:sz="0" w:space="0" w:color="auto"/>
          </w:divBdr>
        </w:div>
        <w:div w:id="251397338">
          <w:marLeft w:val="360"/>
          <w:marRight w:val="0"/>
          <w:marTop w:val="200"/>
          <w:marBottom w:val="0"/>
          <w:divBdr>
            <w:top w:val="none" w:sz="0" w:space="0" w:color="auto"/>
            <w:left w:val="none" w:sz="0" w:space="0" w:color="auto"/>
            <w:bottom w:val="none" w:sz="0" w:space="0" w:color="auto"/>
            <w:right w:val="none" w:sz="0" w:space="0" w:color="auto"/>
          </w:divBdr>
        </w:div>
        <w:div w:id="2046059184">
          <w:marLeft w:val="360"/>
          <w:marRight w:val="0"/>
          <w:marTop w:val="200"/>
          <w:marBottom w:val="0"/>
          <w:divBdr>
            <w:top w:val="none" w:sz="0" w:space="0" w:color="auto"/>
            <w:left w:val="none" w:sz="0" w:space="0" w:color="auto"/>
            <w:bottom w:val="none" w:sz="0" w:space="0" w:color="auto"/>
            <w:right w:val="none" w:sz="0" w:space="0" w:color="auto"/>
          </w:divBdr>
        </w:div>
        <w:div w:id="1403328315">
          <w:marLeft w:val="360"/>
          <w:marRight w:val="0"/>
          <w:marTop w:val="200"/>
          <w:marBottom w:val="0"/>
          <w:divBdr>
            <w:top w:val="none" w:sz="0" w:space="0" w:color="auto"/>
            <w:left w:val="none" w:sz="0" w:space="0" w:color="auto"/>
            <w:bottom w:val="none" w:sz="0" w:space="0" w:color="auto"/>
            <w:right w:val="none" w:sz="0" w:space="0" w:color="auto"/>
          </w:divBdr>
        </w:div>
        <w:div w:id="516508996">
          <w:marLeft w:val="360"/>
          <w:marRight w:val="0"/>
          <w:marTop w:val="200"/>
          <w:marBottom w:val="0"/>
          <w:divBdr>
            <w:top w:val="none" w:sz="0" w:space="0" w:color="auto"/>
            <w:left w:val="none" w:sz="0" w:space="0" w:color="auto"/>
            <w:bottom w:val="none" w:sz="0" w:space="0" w:color="auto"/>
            <w:right w:val="none" w:sz="0" w:space="0" w:color="auto"/>
          </w:divBdr>
        </w:div>
        <w:div w:id="1610357578">
          <w:marLeft w:val="360"/>
          <w:marRight w:val="0"/>
          <w:marTop w:val="200"/>
          <w:marBottom w:val="0"/>
          <w:divBdr>
            <w:top w:val="none" w:sz="0" w:space="0" w:color="auto"/>
            <w:left w:val="none" w:sz="0" w:space="0" w:color="auto"/>
            <w:bottom w:val="none" w:sz="0" w:space="0" w:color="auto"/>
            <w:right w:val="none" w:sz="0" w:space="0" w:color="auto"/>
          </w:divBdr>
        </w:div>
      </w:divsChild>
    </w:div>
    <w:div w:id="1876893879">
      <w:bodyDiv w:val="1"/>
      <w:marLeft w:val="0"/>
      <w:marRight w:val="0"/>
      <w:marTop w:val="0"/>
      <w:marBottom w:val="0"/>
      <w:divBdr>
        <w:top w:val="none" w:sz="0" w:space="0" w:color="auto"/>
        <w:left w:val="none" w:sz="0" w:space="0" w:color="auto"/>
        <w:bottom w:val="none" w:sz="0" w:space="0" w:color="auto"/>
        <w:right w:val="none" w:sz="0" w:space="0" w:color="auto"/>
      </w:divBdr>
    </w:div>
    <w:div w:id="2029982933">
      <w:bodyDiv w:val="1"/>
      <w:marLeft w:val="0"/>
      <w:marRight w:val="0"/>
      <w:marTop w:val="0"/>
      <w:marBottom w:val="0"/>
      <w:divBdr>
        <w:top w:val="none" w:sz="0" w:space="0" w:color="auto"/>
        <w:left w:val="none" w:sz="0" w:space="0" w:color="auto"/>
        <w:bottom w:val="none" w:sz="0" w:space="0" w:color="auto"/>
        <w:right w:val="none" w:sz="0" w:space="0" w:color="auto"/>
      </w:divBdr>
      <w:divsChild>
        <w:div w:id="1747678596">
          <w:marLeft w:val="0"/>
          <w:marRight w:val="0"/>
          <w:marTop w:val="0"/>
          <w:marBottom w:val="0"/>
          <w:divBdr>
            <w:top w:val="none" w:sz="0" w:space="0" w:color="auto"/>
            <w:left w:val="none" w:sz="0" w:space="0" w:color="auto"/>
            <w:bottom w:val="none" w:sz="0" w:space="0" w:color="auto"/>
            <w:right w:val="none" w:sz="0" w:space="0" w:color="auto"/>
          </w:divBdr>
          <w:divsChild>
            <w:div w:id="1798447092">
              <w:marLeft w:val="0"/>
              <w:marRight w:val="0"/>
              <w:marTop w:val="0"/>
              <w:marBottom w:val="0"/>
              <w:divBdr>
                <w:top w:val="none" w:sz="0" w:space="0" w:color="auto"/>
                <w:left w:val="none" w:sz="0" w:space="0" w:color="auto"/>
                <w:bottom w:val="none" w:sz="0" w:space="0" w:color="auto"/>
                <w:right w:val="none" w:sz="0" w:space="0" w:color="auto"/>
              </w:divBdr>
              <w:divsChild>
                <w:div w:id="896822149">
                  <w:marLeft w:val="0"/>
                  <w:marRight w:val="0"/>
                  <w:marTop w:val="0"/>
                  <w:marBottom w:val="0"/>
                  <w:divBdr>
                    <w:top w:val="none" w:sz="0" w:space="0" w:color="auto"/>
                    <w:left w:val="none" w:sz="0" w:space="0" w:color="auto"/>
                    <w:bottom w:val="none" w:sz="0" w:space="0" w:color="auto"/>
                    <w:right w:val="none" w:sz="0" w:space="0" w:color="auto"/>
                  </w:divBdr>
                  <w:divsChild>
                    <w:div w:id="73678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419256">
      <w:bodyDiv w:val="1"/>
      <w:marLeft w:val="0"/>
      <w:marRight w:val="0"/>
      <w:marTop w:val="0"/>
      <w:marBottom w:val="0"/>
      <w:divBdr>
        <w:top w:val="none" w:sz="0" w:space="0" w:color="auto"/>
        <w:left w:val="none" w:sz="0" w:space="0" w:color="auto"/>
        <w:bottom w:val="none" w:sz="0" w:space="0" w:color="auto"/>
        <w:right w:val="none" w:sz="0" w:space="0" w:color="auto"/>
      </w:divBdr>
      <w:divsChild>
        <w:div w:id="1686788240">
          <w:marLeft w:val="0"/>
          <w:marRight w:val="0"/>
          <w:marTop w:val="0"/>
          <w:marBottom w:val="0"/>
          <w:divBdr>
            <w:top w:val="none" w:sz="0" w:space="0" w:color="auto"/>
            <w:left w:val="none" w:sz="0" w:space="0" w:color="auto"/>
            <w:bottom w:val="none" w:sz="0" w:space="0" w:color="auto"/>
            <w:right w:val="none" w:sz="0" w:space="0" w:color="auto"/>
          </w:divBdr>
        </w:div>
        <w:div w:id="635645988">
          <w:marLeft w:val="0"/>
          <w:marRight w:val="0"/>
          <w:marTop w:val="0"/>
          <w:marBottom w:val="0"/>
          <w:divBdr>
            <w:top w:val="none" w:sz="0" w:space="0" w:color="auto"/>
            <w:left w:val="none" w:sz="0" w:space="0" w:color="auto"/>
            <w:bottom w:val="none" w:sz="0" w:space="0" w:color="auto"/>
            <w:right w:val="none" w:sz="0" w:space="0" w:color="auto"/>
          </w:divBdr>
        </w:div>
      </w:divsChild>
    </w:div>
    <w:div w:id="2054381607">
      <w:bodyDiv w:val="1"/>
      <w:marLeft w:val="0"/>
      <w:marRight w:val="0"/>
      <w:marTop w:val="0"/>
      <w:marBottom w:val="0"/>
      <w:divBdr>
        <w:top w:val="none" w:sz="0" w:space="0" w:color="auto"/>
        <w:left w:val="none" w:sz="0" w:space="0" w:color="auto"/>
        <w:bottom w:val="none" w:sz="0" w:space="0" w:color="auto"/>
        <w:right w:val="none" w:sz="0" w:space="0" w:color="auto"/>
      </w:divBdr>
      <w:divsChild>
        <w:div w:id="1771968894">
          <w:marLeft w:val="0"/>
          <w:marRight w:val="0"/>
          <w:marTop w:val="0"/>
          <w:marBottom w:val="0"/>
          <w:divBdr>
            <w:top w:val="none" w:sz="0" w:space="0" w:color="auto"/>
            <w:left w:val="none" w:sz="0" w:space="0" w:color="auto"/>
            <w:bottom w:val="none" w:sz="0" w:space="0" w:color="auto"/>
            <w:right w:val="none" w:sz="0" w:space="0" w:color="auto"/>
          </w:divBdr>
          <w:divsChild>
            <w:div w:id="656227698">
              <w:marLeft w:val="0"/>
              <w:marRight w:val="0"/>
              <w:marTop w:val="0"/>
              <w:marBottom w:val="0"/>
              <w:divBdr>
                <w:top w:val="none" w:sz="0" w:space="0" w:color="auto"/>
                <w:left w:val="none" w:sz="0" w:space="0" w:color="auto"/>
                <w:bottom w:val="none" w:sz="0" w:space="0" w:color="auto"/>
                <w:right w:val="none" w:sz="0" w:space="0" w:color="auto"/>
              </w:divBdr>
              <w:divsChild>
                <w:div w:id="987905963">
                  <w:marLeft w:val="0"/>
                  <w:marRight w:val="0"/>
                  <w:marTop w:val="0"/>
                  <w:marBottom w:val="0"/>
                  <w:divBdr>
                    <w:top w:val="none" w:sz="0" w:space="0" w:color="auto"/>
                    <w:left w:val="none" w:sz="0" w:space="0" w:color="auto"/>
                    <w:bottom w:val="none" w:sz="0" w:space="0" w:color="auto"/>
                    <w:right w:val="none" w:sz="0" w:space="0" w:color="auto"/>
                  </w:divBdr>
                  <w:divsChild>
                    <w:div w:id="147301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681398">
      <w:bodyDiv w:val="1"/>
      <w:marLeft w:val="0"/>
      <w:marRight w:val="0"/>
      <w:marTop w:val="0"/>
      <w:marBottom w:val="0"/>
      <w:divBdr>
        <w:top w:val="none" w:sz="0" w:space="0" w:color="auto"/>
        <w:left w:val="none" w:sz="0" w:space="0" w:color="auto"/>
        <w:bottom w:val="none" w:sz="0" w:space="0" w:color="auto"/>
        <w:right w:val="none" w:sz="0" w:space="0" w:color="auto"/>
      </w:divBdr>
    </w:div>
    <w:div w:id="213687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2174</Words>
  <Characters>12396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2</cp:revision>
  <dcterms:created xsi:type="dcterms:W3CDTF">2024-07-14T11:32:00Z</dcterms:created>
  <dcterms:modified xsi:type="dcterms:W3CDTF">2024-07-14T11:32:00Z</dcterms:modified>
</cp:coreProperties>
</file>