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71230" w14:textId="2393E272" w:rsidR="00C01E79" w:rsidRDefault="00AE545C" w:rsidP="00C01E79">
      <w:r w:rsidRPr="00AE545C">
        <w:rPr>
          <w:noProof/>
        </w:rPr>
        <w:drawing>
          <wp:inline distT="0" distB="0" distL="0" distR="0" wp14:anchorId="7B62F16C" wp14:editId="1DD4BD6A">
            <wp:extent cx="3543795" cy="1629002"/>
            <wp:effectExtent l="0" t="0" r="0" b="0"/>
            <wp:docPr id="545306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306516" name=""/>
                    <pic:cNvPicPr/>
                  </pic:nvPicPr>
                  <pic:blipFill>
                    <a:blip r:embed="rId8"/>
                    <a:stretch>
                      <a:fillRect/>
                    </a:stretch>
                  </pic:blipFill>
                  <pic:spPr>
                    <a:xfrm>
                      <a:off x="0" y="0"/>
                      <a:ext cx="3543795" cy="1629002"/>
                    </a:xfrm>
                    <a:prstGeom prst="rect">
                      <a:avLst/>
                    </a:prstGeom>
                  </pic:spPr>
                </pic:pic>
              </a:graphicData>
            </a:graphic>
          </wp:inline>
        </w:drawing>
      </w:r>
    </w:p>
    <w:p w14:paraId="48657487" w14:textId="77777777" w:rsidR="00C01E79" w:rsidRDefault="00C01E79" w:rsidP="00C01E79"/>
    <w:p w14:paraId="2C1A8962" w14:textId="77777777" w:rsidR="00C01E79" w:rsidRDefault="00C01E79" w:rsidP="00C01E79"/>
    <w:p w14:paraId="512A87B1" w14:textId="29B49B96" w:rsidR="00C01E79" w:rsidRPr="0044262B" w:rsidRDefault="00C01E79" w:rsidP="00BB5721">
      <w:pPr>
        <w:jc w:val="center"/>
        <w:rPr>
          <w:b/>
          <w:bCs/>
          <w:sz w:val="36"/>
          <w:szCs w:val="36"/>
        </w:rPr>
      </w:pPr>
      <w:r w:rsidRPr="0044262B">
        <w:rPr>
          <w:b/>
          <w:bCs/>
          <w:sz w:val="36"/>
          <w:szCs w:val="36"/>
        </w:rPr>
        <w:t xml:space="preserve">Contemporary </w:t>
      </w:r>
      <w:r w:rsidR="0044262B" w:rsidRPr="0044262B">
        <w:rPr>
          <w:b/>
          <w:bCs/>
          <w:sz w:val="36"/>
          <w:szCs w:val="36"/>
        </w:rPr>
        <w:t>Themes in</w:t>
      </w:r>
      <w:r w:rsidRPr="0044262B">
        <w:rPr>
          <w:b/>
          <w:bCs/>
          <w:sz w:val="36"/>
          <w:szCs w:val="36"/>
        </w:rPr>
        <w:t xml:space="preserve"> the Hotel and Hospitality Sector</w:t>
      </w:r>
    </w:p>
    <w:p w14:paraId="67A474F4" w14:textId="77777777" w:rsidR="00C01E79" w:rsidRPr="00BB5721" w:rsidRDefault="00C01E79" w:rsidP="00BB5721">
      <w:pPr>
        <w:jc w:val="center"/>
        <w:rPr>
          <w:b/>
          <w:bCs/>
          <w:sz w:val="32"/>
          <w:szCs w:val="32"/>
        </w:rPr>
      </w:pPr>
    </w:p>
    <w:p w14:paraId="2B27A4CF" w14:textId="77777777" w:rsidR="00C01E79" w:rsidRPr="00BB5721" w:rsidRDefault="00C01E79" w:rsidP="00BB5721">
      <w:pPr>
        <w:jc w:val="center"/>
        <w:rPr>
          <w:b/>
          <w:bCs/>
          <w:sz w:val="32"/>
          <w:szCs w:val="32"/>
        </w:rPr>
      </w:pPr>
      <w:r w:rsidRPr="00BB5721">
        <w:rPr>
          <w:b/>
          <w:bCs/>
          <w:sz w:val="32"/>
          <w:szCs w:val="32"/>
        </w:rPr>
        <w:t>BMIH6001</w:t>
      </w:r>
    </w:p>
    <w:p w14:paraId="419CD933" w14:textId="2AEA6FD1" w:rsidR="004A46D2" w:rsidRPr="00BB5721" w:rsidRDefault="00C01E79" w:rsidP="00BB5721">
      <w:pPr>
        <w:jc w:val="center"/>
        <w:rPr>
          <w:b/>
          <w:bCs/>
          <w:sz w:val="32"/>
          <w:szCs w:val="32"/>
        </w:rPr>
      </w:pPr>
      <w:r w:rsidRPr="00BB5721">
        <w:rPr>
          <w:b/>
          <w:bCs/>
          <w:sz w:val="32"/>
          <w:szCs w:val="32"/>
        </w:rPr>
        <w:t>Level 6</w:t>
      </w:r>
    </w:p>
    <w:p w14:paraId="321E9164" w14:textId="77777777" w:rsidR="00AE545C" w:rsidRPr="00BB5721" w:rsidRDefault="00AE545C" w:rsidP="00BB5721">
      <w:pPr>
        <w:jc w:val="center"/>
        <w:rPr>
          <w:b/>
          <w:bCs/>
        </w:rPr>
      </w:pPr>
    </w:p>
    <w:p w14:paraId="2EFE25EF" w14:textId="77777777" w:rsidR="00AE545C" w:rsidRPr="00BB5721" w:rsidRDefault="00AE545C" w:rsidP="00BB5721">
      <w:pPr>
        <w:jc w:val="center"/>
        <w:rPr>
          <w:b/>
          <w:bCs/>
        </w:rPr>
      </w:pPr>
    </w:p>
    <w:p w14:paraId="54F23131" w14:textId="7543ADDD" w:rsidR="00AE545C" w:rsidRPr="00BB5721" w:rsidRDefault="00AE545C" w:rsidP="00BB5721">
      <w:pPr>
        <w:jc w:val="center"/>
        <w:rPr>
          <w:b/>
          <w:bCs/>
          <w:sz w:val="28"/>
          <w:szCs w:val="28"/>
        </w:rPr>
      </w:pPr>
      <w:r w:rsidRPr="00BB5721">
        <w:rPr>
          <w:b/>
          <w:bCs/>
          <w:sz w:val="28"/>
          <w:szCs w:val="28"/>
        </w:rPr>
        <w:t>Component 1</w:t>
      </w:r>
    </w:p>
    <w:p w14:paraId="6B64B3DE" w14:textId="77777777" w:rsidR="00AE545C" w:rsidRPr="00BB5721" w:rsidRDefault="00AE545C" w:rsidP="00BB5721">
      <w:pPr>
        <w:jc w:val="center"/>
        <w:rPr>
          <w:b/>
          <w:bCs/>
        </w:rPr>
      </w:pPr>
    </w:p>
    <w:p w14:paraId="0D4C3E67" w14:textId="77777777" w:rsidR="00AE545C" w:rsidRPr="00BB5721" w:rsidRDefault="00AE545C" w:rsidP="00BB5721">
      <w:pPr>
        <w:jc w:val="center"/>
        <w:rPr>
          <w:b/>
          <w:bCs/>
        </w:rPr>
      </w:pPr>
    </w:p>
    <w:p w14:paraId="1C3060B9" w14:textId="77777777" w:rsidR="00AE545C" w:rsidRPr="00BB5721" w:rsidRDefault="00AE545C" w:rsidP="00BB5721">
      <w:pPr>
        <w:jc w:val="center"/>
        <w:rPr>
          <w:b/>
          <w:bCs/>
        </w:rPr>
      </w:pPr>
    </w:p>
    <w:p w14:paraId="728B7DCD" w14:textId="7C419239" w:rsidR="00AE545C" w:rsidRPr="00BC3BA4" w:rsidRDefault="00AE545C" w:rsidP="00BB5721">
      <w:pPr>
        <w:jc w:val="center"/>
        <w:rPr>
          <w:b/>
          <w:bCs/>
          <w:lang w:val="nl-NL"/>
        </w:rPr>
      </w:pPr>
      <w:r w:rsidRPr="00BC3BA4">
        <w:rPr>
          <w:b/>
          <w:bCs/>
          <w:lang w:val="nl-NL"/>
        </w:rPr>
        <w:t>Student</w:t>
      </w:r>
      <w:r w:rsidR="00BB5721" w:rsidRPr="00BC3BA4">
        <w:rPr>
          <w:b/>
          <w:bCs/>
          <w:lang w:val="nl-NL"/>
        </w:rPr>
        <w:t xml:space="preserve"> Name: </w:t>
      </w:r>
      <w:r w:rsidR="00BC3BA4" w:rsidRPr="00BC3BA4">
        <w:rPr>
          <w:b/>
          <w:bCs/>
          <w:lang w:val="nl-NL"/>
        </w:rPr>
        <w:t>Buddhini</w:t>
      </w:r>
      <w:r w:rsidR="00BC3BA4">
        <w:rPr>
          <w:b/>
          <w:bCs/>
          <w:lang w:val="nl-NL"/>
        </w:rPr>
        <w:t xml:space="preserve"> Wewelwala</w:t>
      </w:r>
    </w:p>
    <w:p w14:paraId="40868D96" w14:textId="6CC1A78C" w:rsidR="00AE545C" w:rsidRPr="00BC3BA4" w:rsidRDefault="00BC3BA4" w:rsidP="00BC3BA4">
      <w:pPr>
        <w:ind w:left="2160"/>
        <w:rPr>
          <w:b/>
          <w:bCs/>
          <w:lang w:val="nl-NL"/>
        </w:rPr>
      </w:pPr>
      <w:r>
        <w:rPr>
          <w:b/>
          <w:bCs/>
          <w:lang w:val="nl-NL"/>
        </w:rPr>
        <w:t xml:space="preserve">        Student ID</w:t>
      </w:r>
      <w:r w:rsidR="00BB5721" w:rsidRPr="00BC3BA4">
        <w:rPr>
          <w:b/>
          <w:bCs/>
          <w:lang w:val="nl-NL"/>
        </w:rPr>
        <w:t>:</w:t>
      </w:r>
      <w:r w:rsidRPr="00BC3BA4">
        <w:rPr>
          <w:b/>
          <w:bCs/>
          <w:lang w:val="nl-NL"/>
        </w:rPr>
        <w:t xml:space="preserve"> 2226454</w:t>
      </w:r>
    </w:p>
    <w:p w14:paraId="334E7250" w14:textId="77777777" w:rsidR="004A46D2" w:rsidRPr="00BC3BA4" w:rsidRDefault="004A46D2">
      <w:pPr>
        <w:spacing w:line="259" w:lineRule="auto"/>
        <w:jc w:val="left"/>
        <w:rPr>
          <w:lang w:val="nl-NL"/>
        </w:rPr>
      </w:pPr>
      <w:r w:rsidRPr="00BC3BA4">
        <w:rPr>
          <w:lang w:val="nl-NL"/>
        </w:rPr>
        <w:br w:type="page"/>
      </w:r>
    </w:p>
    <w:p w14:paraId="5896642E" w14:textId="71B10F7B" w:rsidR="00BB5721" w:rsidRPr="0044262B" w:rsidRDefault="0044262B" w:rsidP="0044262B">
      <w:pPr>
        <w:jc w:val="center"/>
        <w:rPr>
          <w:b/>
          <w:bCs/>
          <w:sz w:val="28"/>
          <w:szCs w:val="28"/>
        </w:rPr>
      </w:pPr>
      <w:r w:rsidRPr="0044262B">
        <w:rPr>
          <w:b/>
          <w:bCs/>
          <w:sz w:val="28"/>
          <w:szCs w:val="28"/>
        </w:rPr>
        <w:lastRenderedPageBreak/>
        <w:t xml:space="preserve">Option 3: </w:t>
      </w:r>
      <w:r w:rsidR="003F0893" w:rsidRPr="0044262B">
        <w:rPr>
          <w:b/>
          <w:bCs/>
          <w:sz w:val="28"/>
          <w:szCs w:val="28"/>
        </w:rPr>
        <w:t>Shift in Hotel Strategies Post-COVID with Reduced Business Commuting</w:t>
      </w:r>
    </w:p>
    <w:p w14:paraId="68EBE0BA" w14:textId="5B294058" w:rsidR="004A46D2" w:rsidRPr="004A46D2" w:rsidRDefault="004A46D2" w:rsidP="004A46D2">
      <w:pPr>
        <w:rPr>
          <w:b/>
          <w:bCs/>
          <w:sz w:val="32"/>
          <w:szCs w:val="32"/>
        </w:rPr>
      </w:pPr>
      <w:r w:rsidRPr="004A46D2">
        <w:rPr>
          <w:b/>
          <w:bCs/>
          <w:sz w:val="32"/>
          <w:szCs w:val="32"/>
        </w:rPr>
        <w:t>Abstract</w:t>
      </w:r>
    </w:p>
    <w:p w14:paraId="3C191ECE" w14:textId="52602E09" w:rsidR="004A46D2" w:rsidRDefault="004A46D2" w:rsidP="004A46D2">
      <w:r>
        <w:t>The pandemic of COVID-19 essentially changed the nature of hospitality provisions globally</w:t>
      </w:r>
      <w:r w:rsidR="002A3127">
        <w:t>,</w:t>
      </w:r>
      <w:r>
        <w:t xml:space="preserve"> especially due to the sharp reduction in business trips and corporate travel. The paper examines the reaction of the hotels to re-strategise their strategic priorities into leisure, hybrid</w:t>
      </w:r>
      <w:r w:rsidR="002A3127">
        <w:t>,</w:t>
      </w:r>
      <w:r>
        <w:t xml:space="preserve"> and longer stays markets. The research examines post-pandemic changes such as digitalisation, flexible booking, </w:t>
      </w:r>
      <w:r w:rsidR="002A3127">
        <w:t>wellness-centred</w:t>
      </w:r>
      <w:r>
        <w:t xml:space="preserve"> services, and increased popularity of the so-called bleisure tourism using secondary research based on the contemporary literature and industry reports. The framework of analysis is based on the Service-Dominant Logic and Market Adaptation, which reveals the importance of customer-based innovation and flexibility as the focus of recovery. The results indicate that in the hotel sector, technology has been incorporated alongside personalised experiences to ensure sustainability, well-being and remote work facilities are provided to appeal to new customer groups. Even though this diversification has resulted in short-term resiliency, strategic agility, human resource transformation, and </w:t>
      </w:r>
      <w:r w:rsidR="002A3127">
        <w:t>decision-making</w:t>
      </w:r>
      <w:r>
        <w:t xml:space="preserve"> based on data will be essential to ensure long-term competitiveness. At the end of the paper, recommendations on how to continue to be profitable and relevant in a </w:t>
      </w:r>
      <w:r w:rsidR="002A3127">
        <w:t>post-business-travel</w:t>
      </w:r>
      <w:r>
        <w:t xml:space="preserve"> environment are provided.</w:t>
      </w:r>
    </w:p>
    <w:p w14:paraId="2ABF9982" w14:textId="65AD0255" w:rsidR="004A46D2" w:rsidRDefault="004A46D2" w:rsidP="004A46D2"/>
    <w:p w14:paraId="393F5331" w14:textId="77777777" w:rsidR="004A46D2" w:rsidRDefault="004A46D2">
      <w:pPr>
        <w:spacing w:line="259" w:lineRule="auto"/>
        <w:jc w:val="left"/>
      </w:pPr>
      <w:r>
        <w:br w:type="page"/>
      </w:r>
    </w:p>
    <w:sdt>
      <w:sdtPr>
        <w:rPr>
          <w:rFonts w:ascii="Times New Roman" w:eastAsiaTheme="minorHAnsi" w:hAnsi="Times New Roman" w:cstheme="minorBidi"/>
          <w:color w:val="auto"/>
          <w:kern w:val="2"/>
          <w:sz w:val="24"/>
          <w:szCs w:val="22"/>
          <w:lang w:val="en-GB"/>
          <w14:ligatures w14:val="standardContextual"/>
        </w:rPr>
        <w:id w:val="-341158492"/>
        <w:docPartObj>
          <w:docPartGallery w:val="Table of Contents"/>
          <w:docPartUnique/>
        </w:docPartObj>
      </w:sdtPr>
      <w:sdtEndPr>
        <w:rPr>
          <w:b/>
          <w:bCs/>
          <w:noProof/>
        </w:rPr>
      </w:sdtEndPr>
      <w:sdtContent>
        <w:p w14:paraId="06589A36" w14:textId="4382F19B" w:rsidR="00630430" w:rsidRPr="00630430" w:rsidRDefault="00630430" w:rsidP="00630430">
          <w:pPr>
            <w:pStyle w:val="TOCHeading"/>
            <w:jc w:val="center"/>
            <w:rPr>
              <w:rFonts w:ascii="Times New Roman" w:hAnsi="Times New Roman" w:cs="Times New Roman"/>
              <w:b/>
              <w:bCs/>
            </w:rPr>
          </w:pPr>
          <w:r w:rsidRPr="00630430">
            <w:rPr>
              <w:rFonts w:ascii="Times New Roman" w:hAnsi="Times New Roman" w:cs="Times New Roman"/>
              <w:b/>
              <w:bCs/>
            </w:rPr>
            <w:t>Table of Contents</w:t>
          </w:r>
        </w:p>
        <w:p w14:paraId="4CF749B6" w14:textId="48A67E62" w:rsidR="00630430" w:rsidRDefault="00630430">
          <w:pPr>
            <w:pStyle w:val="TOC1"/>
            <w:tabs>
              <w:tab w:val="right" w:leader="dot" w:pos="9016"/>
            </w:tabs>
            <w:rPr>
              <w:noProof/>
            </w:rPr>
          </w:pPr>
          <w:r>
            <w:fldChar w:fldCharType="begin"/>
          </w:r>
          <w:r>
            <w:instrText xml:space="preserve"> TOC \o "1-3" \h \z \u </w:instrText>
          </w:r>
          <w:r>
            <w:fldChar w:fldCharType="separate"/>
          </w:r>
          <w:hyperlink w:anchor="_Toc212316624" w:history="1">
            <w:r w:rsidRPr="008E2190">
              <w:rPr>
                <w:rStyle w:val="Hyperlink"/>
                <w:noProof/>
              </w:rPr>
              <w:t>1. Introduction</w:t>
            </w:r>
            <w:r>
              <w:rPr>
                <w:noProof/>
                <w:webHidden/>
              </w:rPr>
              <w:tab/>
            </w:r>
            <w:r>
              <w:rPr>
                <w:noProof/>
                <w:webHidden/>
              </w:rPr>
              <w:fldChar w:fldCharType="begin"/>
            </w:r>
            <w:r>
              <w:rPr>
                <w:noProof/>
                <w:webHidden/>
              </w:rPr>
              <w:instrText xml:space="preserve"> PAGEREF _Toc212316624 \h </w:instrText>
            </w:r>
            <w:r>
              <w:rPr>
                <w:noProof/>
                <w:webHidden/>
              </w:rPr>
            </w:r>
            <w:r>
              <w:rPr>
                <w:noProof/>
                <w:webHidden/>
              </w:rPr>
              <w:fldChar w:fldCharType="separate"/>
            </w:r>
            <w:r>
              <w:rPr>
                <w:noProof/>
                <w:webHidden/>
              </w:rPr>
              <w:t>4</w:t>
            </w:r>
            <w:r>
              <w:rPr>
                <w:noProof/>
                <w:webHidden/>
              </w:rPr>
              <w:fldChar w:fldCharType="end"/>
            </w:r>
          </w:hyperlink>
        </w:p>
        <w:p w14:paraId="45D3BA29" w14:textId="02A94E6D" w:rsidR="00630430" w:rsidRDefault="00630430">
          <w:pPr>
            <w:pStyle w:val="TOC1"/>
            <w:tabs>
              <w:tab w:val="right" w:leader="dot" w:pos="9016"/>
            </w:tabs>
            <w:rPr>
              <w:noProof/>
            </w:rPr>
          </w:pPr>
          <w:hyperlink w:anchor="_Toc212316625" w:history="1">
            <w:r w:rsidRPr="008E2190">
              <w:rPr>
                <w:rStyle w:val="Hyperlink"/>
                <w:noProof/>
              </w:rPr>
              <w:t>2. Literature Review</w:t>
            </w:r>
            <w:r>
              <w:rPr>
                <w:noProof/>
                <w:webHidden/>
              </w:rPr>
              <w:tab/>
            </w:r>
            <w:r>
              <w:rPr>
                <w:noProof/>
                <w:webHidden/>
              </w:rPr>
              <w:fldChar w:fldCharType="begin"/>
            </w:r>
            <w:r>
              <w:rPr>
                <w:noProof/>
                <w:webHidden/>
              </w:rPr>
              <w:instrText xml:space="preserve"> PAGEREF _Toc212316625 \h </w:instrText>
            </w:r>
            <w:r>
              <w:rPr>
                <w:noProof/>
                <w:webHidden/>
              </w:rPr>
            </w:r>
            <w:r>
              <w:rPr>
                <w:noProof/>
                <w:webHidden/>
              </w:rPr>
              <w:fldChar w:fldCharType="separate"/>
            </w:r>
            <w:r>
              <w:rPr>
                <w:noProof/>
                <w:webHidden/>
              </w:rPr>
              <w:t>4</w:t>
            </w:r>
            <w:r>
              <w:rPr>
                <w:noProof/>
                <w:webHidden/>
              </w:rPr>
              <w:fldChar w:fldCharType="end"/>
            </w:r>
          </w:hyperlink>
        </w:p>
        <w:p w14:paraId="66999813" w14:textId="0911E920" w:rsidR="00630430" w:rsidRDefault="00630430">
          <w:pPr>
            <w:pStyle w:val="TOC2"/>
            <w:tabs>
              <w:tab w:val="right" w:leader="dot" w:pos="9016"/>
            </w:tabs>
            <w:rPr>
              <w:noProof/>
            </w:rPr>
          </w:pPr>
          <w:hyperlink w:anchor="_Toc212316626" w:history="1">
            <w:r w:rsidRPr="008E2190">
              <w:rPr>
                <w:rStyle w:val="Hyperlink"/>
                <w:noProof/>
              </w:rPr>
              <w:t>2.1 The decline of business travel and changing demand structures</w:t>
            </w:r>
            <w:r>
              <w:rPr>
                <w:noProof/>
                <w:webHidden/>
              </w:rPr>
              <w:tab/>
            </w:r>
            <w:r>
              <w:rPr>
                <w:noProof/>
                <w:webHidden/>
              </w:rPr>
              <w:fldChar w:fldCharType="begin"/>
            </w:r>
            <w:r>
              <w:rPr>
                <w:noProof/>
                <w:webHidden/>
              </w:rPr>
              <w:instrText xml:space="preserve"> PAGEREF _Toc212316626 \h </w:instrText>
            </w:r>
            <w:r>
              <w:rPr>
                <w:noProof/>
                <w:webHidden/>
              </w:rPr>
            </w:r>
            <w:r>
              <w:rPr>
                <w:noProof/>
                <w:webHidden/>
              </w:rPr>
              <w:fldChar w:fldCharType="separate"/>
            </w:r>
            <w:r>
              <w:rPr>
                <w:noProof/>
                <w:webHidden/>
              </w:rPr>
              <w:t>4</w:t>
            </w:r>
            <w:r>
              <w:rPr>
                <w:noProof/>
                <w:webHidden/>
              </w:rPr>
              <w:fldChar w:fldCharType="end"/>
            </w:r>
          </w:hyperlink>
        </w:p>
        <w:p w14:paraId="2D6C014C" w14:textId="3B0CAC14" w:rsidR="00630430" w:rsidRDefault="00630430">
          <w:pPr>
            <w:pStyle w:val="TOC2"/>
            <w:tabs>
              <w:tab w:val="right" w:leader="dot" w:pos="9016"/>
            </w:tabs>
            <w:rPr>
              <w:noProof/>
            </w:rPr>
          </w:pPr>
          <w:hyperlink w:anchor="_Toc212316627" w:history="1">
            <w:r w:rsidRPr="008E2190">
              <w:rPr>
                <w:rStyle w:val="Hyperlink"/>
                <w:noProof/>
              </w:rPr>
              <w:t>2.2 Rise of hybrid and leisure travel patterns</w:t>
            </w:r>
            <w:r>
              <w:rPr>
                <w:noProof/>
                <w:webHidden/>
              </w:rPr>
              <w:tab/>
            </w:r>
            <w:r>
              <w:rPr>
                <w:noProof/>
                <w:webHidden/>
              </w:rPr>
              <w:fldChar w:fldCharType="begin"/>
            </w:r>
            <w:r>
              <w:rPr>
                <w:noProof/>
                <w:webHidden/>
              </w:rPr>
              <w:instrText xml:space="preserve"> PAGEREF _Toc212316627 \h </w:instrText>
            </w:r>
            <w:r>
              <w:rPr>
                <w:noProof/>
                <w:webHidden/>
              </w:rPr>
            </w:r>
            <w:r>
              <w:rPr>
                <w:noProof/>
                <w:webHidden/>
              </w:rPr>
              <w:fldChar w:fldCharType="separate"/>
            </w:r>
            <w:r>
              <w:rPr>
                <w:noProof/>
                <w:webHidden/>
              </w:rPr>
              <w:t>5</w:t>
            </w:r>
            <w:r>
              <w:rPr>
                <w:noProof/>
                <w:webHidden/>
              </w:rPr>
              <w:fldChar w:fldCharType="end"/>
            </w:r>
          </w:hyperlink>
        </w:p>
        <w:p w14:paraId="237A85C5" w14:textId="572870C5" w:rsidR="00630430" w:rsidRDefault="00630430">
          <w:pPr>
            <w:pStyle w:val="TOC2"/>
            <w:tabs>
              <w:tab w:val="right" w:leader="dot" w:pos="9016"/>
            </w:tabs>
            <w:rPr>
              <w:noProof/>
            </w:rPr>
          </w:pPr>
          <w:hyperlink w:anchor="_Toc212316628" w:history="1">
            <w:r w:rsidRPr="008E2190">
              <w:rPr>
                <w:rStyle w:val="Hyperlink"/>
                <w:noProof/>
              </w:rPr>
              <w:t>2.3 Operational strategy shifts and digital transformation</w:t>
            </w:r>
            <w:r>
              <w:rPr>
                <w:noProof/>
                <w:webHidden/>
              </w:rPr>
              <w:tab/>
            </w:r>
            <w:r>
              <w:rPr>
                <w:noProof/>
                <w:webHidden/>
              </w:rPr>
              <w:fldChar w:fldCharType="begin"/>
            </w:r>
            <w:r>
              <w:rPr>
                <w:noProof/>
                <w:webHidden/>
              </w:rPr>
              <w:instrText xml:space="preserve"> PAGEREF _Toc212316628 \h </w:instrText>
            </w:r>
            <w:r>
              <w:rPr>
                <w:noProof/>
                <w:webHidden/>
              </w:rPr>
            </w:r>
            <w:r>
              <w:rPr>
                <w:noProof/>
                <w:webHidden/>
              </w:rPr>
              <w:fldChar w:fldCharType="separate"/>
            </w:r>
            <w:r>
              <w:rPr>
                <w:noProof/>
                <w:webHidden/>
              </w:rPr>
              <w:t>5</w:t>
            </w:r>
            <w:r>
              <w:rPr>
                <w:noProof/>
                <w:webHidden/>
              </w:rPr>
              <w:fldChar w:fldCharType="end"/>
            </w:r>
          </w:hyperlink>
        </w:p>
        <w:p w14:paraId="2E6AA325" w14:textId="2080329F" w:rsidR="00630430" w:rsidRDefault="00630430">
          <w:pPr>
            <w:pStyle w:val="TOC2"/>
            <w:tabs>
              <w:tab w:val="right" w:leader="dot" w:pos="9016"/>
            </w:tabs>
            <w:rPr>
              <w:noProof/>
            </w:rPr>
          </w:pPr>
          <w:hyperlink w:anchor="_Toc212316629" w:history="1">
            <w:r w:rsidRPr="008E2190">
              <w:rPr>
                <w:rStyle w:val="Hyperlink"/>
                <w:noProof/>
              </w:rPr>
              <w:t>2.4 Theoretical perspectives: Adaptation and strategic flexibility</w:t>
            </w:r>
            <w:r>
              <w:rPr>
                <w:noProof/>
                <w:webHidden/>
              </w:rPr>
              <w:tab/>
            </w:r>
            <w:r>
              <w:rPr>
                <w:noProof/>
                <w:webHidden/>
              </w:rPr>
              <w:fldChar w:fldCharType="begin"/>
            </w:r>
            <w:r>
              <w:rPr>
                <w:noProof/>
                <w:webHidden/>
              </w:rPr>
              <w:instrText xml:space="preserve"> PAGEREF _Toc212316629 \h </w:instrText>
            </w:r>
            <w:r>
              <w:rPr>
                <w:noProof/>
                <w:webHidden/>
              </w:rPr>
            </w:r>
            <w:r>
              <w:rPr>
                <w:noProof/>
                <w:webHidden/>
              </w:rPr>
              <w:fldChar w:fldCharType="separate"/>
            </w:r>
            <w:r>
              <w:rPr>
                <w:noProof/>
                <w:webHidden/>
              </w:rPr>
              <w:t>6</w:t>
            </w:r>
            <w:r>
              <w:rPr>
                <w:noProof/>
                <w:webHidden/>
              </w:rPr>
              <w:fldChar w:fldCharType="end"/>
            </w:r>
          </w:hyperlink>
        </w:p>
        <w:p w14:paraId="4C018E58" w14:textId="60264715" w:rsidR="00630430" w:rsidRDefault="00630430">
          <w:pPr>
            <w:pStyle w:val="TOC2"/>
            <w:tabs>
              <w:tab w:val="right" w:leader="dot" w:pos="9016"/>
            </w:tabs>
            <w:rPr>
              <w:noProof/>
            </w:rPr>
          </w:pPr>
          <w:hyperlink w:anchor="_Toc212316630" w:history="1">
            <w:r w:rsidRPr="008E2190">
              <w:rPr>
                <w:rStyle w:val="Hyperlink"/>
                <w:noProof/>
              </w:rPr>
              <w:t>2.5 Industry examples of strategic adaptation</w:t>
            </w:r>
            <w:r>
              <w:rPr>
                <w:noProof/>
                <w:webHidden/>
              </w:rPr>
              <w:tab/>
            </w:r>
            <w:r>
              <w:rPr>
                <w:noProof/>
                <w:webHidden/>
              </w:rPr>
              <w:fldChar w:fldCharType="begin"/>
            </w:r>
            <w:r>
              <w:rPr>
                <w:noProof/>
                <w:webHidden/>
              </w:rPr>
              <w:instrText xml:space="preserve"> PAGEREF _Toc212316630 \h </w:instrText>
            </w:r>
            <w:r>
              <w:rPr>
                <w:noProof/>
                <w:webHidden/>
              </w:rPr>
            </w:r>
            <w:r>
              <w:rPr>
                <w:noProof/>
                <w:webHidden/>
              </w:rPr>
              <w:fldChar w:fldCharType="separate"/>
            </w:r>
            <w:r>
              <w:rPr>
                <w:noProof/>
                <w:webHidden/>
              </w:rPr>
              <w:t>6</w:t>
            </w:r>
            <w:r>
              <w:rPr>
                <w:noProof/>
                <w:webHidden/>
              </w:rPr>
              <w:fldChar w:fldCharType="end"/>
            </w:r>
          </w:hyperlink>
        </w:p>
        <w:p w14:paraId="72BE9FE1" w14:textId="0B521779" w:rsidR="00630430" w:rsidRDefault="00630430">
          <w:pPr>
            <w:pStyle w:val="TOC2"/>
            <w:tabs>
              <w:tab w:val="right" w:leader="dot" w:pos="9016"/>
            </w:tabs>
            <w:rPr>
              <w:noProof/>
            </w:rPr>
          </w:pPr>
          <w:hyperlink w:anchor="_Toc212316631" w:history="1">
            <w:r w:rsidRPr="008E2190">
              <w:rPr>
                <w:rStyle w:val="Hyperlink"/>
                <w:noProof/>
              </w:rPr>
              <w:t>2.6 Summary</w:t>
            </w:r>
            <w:r>
              <w:rPr>
                <w:noProof/>
                <w:webHidden/>
              </w:rPr>
              <w:tab/>
            </w:r>
            <w:r>
              <w:rPr>
                <w:noProof/>
                <w:webHidden/>
              </w:rPr>
              <w:fldChar w:fldCharType="begin"/>
            </w:r>
            <w:r>
              <w:rPr>
                <w:noProof/>
                <w:webHidden/>
              </w:rPr>
              <w:instrText xml:space="preserve"> PAGEREF _Toc212316631 \h </w:instrText>
            </w:r>
            <w:r>
              <w:rPr>
                <w:noProof/>
                <w:webHidden/>
              </w:rPr>
            </w:r>
            <w:r>
              <w:rPr>
                <w:noProof/>
                <w:webHidden/>
              </w:rPr>
              <w:fldChar w:fldCharType="separate"/>
            </w:r>
            <w:r>
              <w:rPr>
                <w:noProof/>
                <w:webHidden/>
              </w:rPr>
              <w:t>7</w:t>
            </w:r>
            <w:r>
              <w:rPr>
                <w:noProof/>
                <w:webHidden/>
              </w:rPr>
              <w:fldChar w:fldCharType="end"/>
            </w:r>
          </w:hyperlink>
        </w:p>
        <w:p w14:paraId="160879BF" w14:textId="31A59541" w:rsidR="00630430" w:rsidRDefault="00630430">
          <w:pPr>
            <w:pStyle w:val="TOC1"/>
            <w:tabs>
              <w:tab w:val="right" w:leader="dot" w:pos="9016"/>
            </w:tabs>
            <w:rPr>
              <w:noProof/>
            </w:rPr>
          </w:pPr>
          <w:hyperlink w:anchor="_Toc212316632" w:history="1">
            <w:r w:rsidRPr="008E2190">
              <w:rPr>
                <w:rStyle w:val="Hyperlink"/>
                <w:noProof/>
              </w:rPr>
              <w:t>4. Theme Impact Analysis</w:t>
            </w:r>
            <w:r>
              <w:rPr>
                <w:noProof/>
                <w:webHidden/>
              </w:rPr>
              <w:tab/>
            </w:r>
            <w:r>
              <w:rPr>
                <w:noProof/>
                <w:webHidden/>
              </w:rPr>
              <w:fldChar w:fldCharType="begin"/>
            </w:r>
            <w:r>
              <w:rPr>
                <w:noProof/>
                <w:webHidden/>
              </w:rPr>
              <w:instrText xml:space="preserve"> PAGEREF _Toc212316632 \h </w:instrText>
            </w:r>
            <w:r>
              <w:rPr>
                <w:noProof/>
                <w:webHidden/>
              </w:rPr>
            </w:r>
            <w:r>
              <w:rPr>
                <w:noProof/>
                <w:webHidden/>
              </w:rPr>
              <w:fldChar w:fldCharType="separate"/>
            </w:r>
            <w:r>
              <w:rPr>
                <w:noProof/>
                <w:webHidden/>
              </w:rPr>
              <w:t>7</w:t>
            </w:r>
            <w:r>
              <w:rPr>
                <w:noProof/>
                <w:webHidden/>
              </w:rPr>
              <w:fldChar w:fldCharType="end"/>
            </w:r>
          </w:hyperlink>
        </w:p>
        <w:p w14:paraId="5E33435E" w14:textId="30449CE2" w:rsidR="00630430" w:rsidRDefault="00630430">
          <w:pPr>
            <w:pStyle w:val="TOC2"/>
            <w:tabs>
              <w:tab w:val="right" w:leader="dot" w:pos="9016"/>
            </w:tabs>
            <w:rPr>
              <w:noProof/>
            </w:rPr>
          </w:pPr>
          <w:hyperlink w:anchor="_Toc212316633" w:history="1">
            <w:r w:rsidRPr="008E2190">
              <w:rPr>
                <w:rStyle w:val="Hyperlink"/>
                <w:noProof/>
              </w:rPr>
              <w:t>4.1 Strengths</w:t>
            </w:r>
            <w:r>
              <w:rPr>
                <w:noProof/>
                <w:webHidden/>
              </w:rPr>
              <w:tab/>
            </w:r>
            <w:r>
              <w:rPr>
                <w:noProof/>
                <w:webHidden/>
              </w:rPr>
              <w:fldChar w:fldCharType="begin"/>
            </w:r>
            <w:r>
              <w:rPr>
                <w:noProof/>
                <w:webHidden/>
              </w:rPr>
              <w:instrText xml:space="preserve"> PAGEREF _Toc212316633 \h </w:instrText>
            </w:r>
            <w:r>
              <w:rPr>
                <w:noProof/>
                <w:webHidden/>
              </w:rPr>
            </w:r>
            <w:r>
              <w:rPr>
                <w:noProof/>
                <w:webHidden/>
              </w:rPr>
              <w:fldChar w:fldCharType="separate"/>
            </w:r>
            <w:r>
              <w:rPr>
                <w:noProof/>
                <w:webHidden/>
              </w:rPr>
              <w:t>7</w:t>
            </w:r>
            <w:r>
              <w:rPr>
                <w:noProof/>
                <w:webHidden/>
              </w:rPr>
              <w:fldChar w:fldCharType="end"/>
            </w:r>
          </w:hyperlink>
        </w:p>
        <w:p w14:paraId="6FAC42B7" w14:textId="5C551B19" w:rsidR="00630430" w:rsidRDefault="00630430">
          <w:pPr>
            <w:pStyle w:val="TOC2"/>
            <w:tabs>
              <w:tab w:val="right" w:leader="dot" w:pos="9016"/>
            </w:tabs>
            <w:rPr>
              <w:noProof/>
            </w:rPr>
          </w:pPr>
          <w:hyperlink w:anchor="_Toc212316634" w:history="1">
            <w:r w:rsidRPr="008E2190">
              <w:rPr>
                <w:rStyle w:val="Hyperlink"/>
                <w:noProof/>
              </w:rPr>
              <w:t>4.2 Weaknesses</w:t>
            </w:r>
            <w:r>
              <w:rPr>
                <w:noProof/>
                <w:webHidden/>
              </w:rPr>
              <w:tab/>
            </w:r>
            <w:r>
              <w:rPr>
                <w:noProof/>
                <w:webHidden/>
              </w:rPr>
              <w:fldChar w:fldCharType="begin"/>
            </w:r>
            <w:r>
              <w:rPr>
                <w:noProof/>
                <w:webHidden/>
              </w:rPr>
              <w:instrText xml:space="preserve"> PAGEREF _Toc212316634 \h </w:instrText>
            </w:r>
            <w:r>
              <w:rPr>
                <w:noProof/>
                <w:webHidden/>
              </w:rPr>
            </w:r>
            <w:r>
              <w:rPr>
                <w:noProof/>
                <w:webHidden/>
              </w:rPr>
              <w:fldChar w:fldCharType="separate"/>
            </w:r>
            <w:r>
              <w:rPr>
                <w:noProof/>
                <w:webHidden/>
              </w:rPr>
              <w:t>8</w:t>
            </w:r>
            <w:r>
              <w:rPr>
                <w:noProof/>
                <w:webHidden/>
              </w:rPr>
              <w:fldChar w:fldCharType="end"/>
            </w:r>
          </w:hyperlink>
        </w:p>
        <w:p w14:paraId="3E8850F4" w14:textId="63D868BE" w:rsidR="00630430" w:rsidRDefault="00630430">
          <w:pPr>
            <w:pStyle w:val="TOC2"/>
            <w:tabs>
              <w:tab w:val="right" w:leader="dot" w:pos="9016"/>
            </w:tabs>
            <w:rPr>
              <w:noProof/>
            </w:rPr>
          </w:pPr>
          <w:hyperlink w:anchor="_Toc212316635" w:history="1">
            <w:r w:rsidRPr="008E2190">
              <w:rPr>
                <w:rStyle w:val="Hyperlink"/>
                <w:noProof/>
              </w:rPr>
              <w:t>4.3 Opportunities</w:t>
            </w:r>
            <w:r>
              <w:rPr>
                <w:noProof/>
                <w:webHidden/>
              </w:rPr>
              <w:tab/>
            </w:r>
            <w:r>
              <w:rPr>
                <w:noProof/>
                <w:webHidden/>
              </w:rPr>
              <w:fldChar w:fldCharType="begin"/>
            </w:r>
            <w:r>
              <w:rPr>
                <w:noProof/>
                <w:webHidden/>
              </w:rPr>
              <w:instrText xml:space="preserve"> PAGEREF _Toc212316635 \h </w:instrText>
            </w:r>
            <w:r>
              <w:rPr>
                <w:noProof/>
                <w:webHidden/>
              </w:rPr>
            </w:r>
            <w:r>
              <w:rPr>
                <w:noProof/>
                <w:webHidden/>
              </w:rPr>
              <w:fldChar w:fldCharType="separate"/>
            </w:r>
            <w:r>
              <w:rPr>
                <w:noProof/>
                <w:webHidden/>
              </w:rPr>
              <w:t>8</w:t>
            </w:r>
            <w:r>
              <w:rPr>
                <w:noProof/>
                <w:webHidden/>
              </w:rPr>
              <w:fldChar w:fldCharType="end"/>
            </w:r>
          </w:hyperlink>
        </w:p>
        <w:p w14:paraId="0E967ED4" w14:textId="614CF112" w:rsidR="00630430" w:rsidRDefault="00630430">
          <w:pPr>
            <w:pStyle w:val="TOC2"/>
            <w:tabs>
              <w:tab w:val="right" w:leader="dot" w:pos="9016"/>
            </w:tabs>
            <w:rPr>
              <w:noProof/>
            </w:rPr>
          </w:pPr>
          <w:hyperlink w:anchor="_Toc212316636" w:history="1">
            <w:r w:rsidRPr="008E2190">
              <w:rPr>
                <w:rStyle w:val="Hyperlink"/>
                <w:noProof/>
              </w:rPr>
              <w:t>4.4 Threats</w:t>
            </w:r>
            <w:r>
              <w:rPr>
                <w:noProof/>
                <w:webHidden/>
              </w:rPr>
              <w:tab/>
            </w:r>
            <w:r>
              <w:rPr>
                <w:noProof/>
                <w:webHidden/>
              </w:rPr>
              <w:fldChar w:fldCharType="begin"/>
            </w:r>
            <w:r>
              <w:rPr>
                <w:noProof/>
                <w:webHidden/>
              </w:rPr>
              <w:instrText xml:space="preserve"> PAGEREF _Toc212316636 \h </w:instrText>
            </w:r>
            <w:r>
              <w:rPr>
                <w:noProof/>
                <w:webHidden/>
              </w:rPr>
            </w:r>
            <w:r>
              <w:rPr>
                <w:noProof/>
                <w:webHidden/>
              </w:rPr>
              <w:fldChar w:fldCharType="separate"/>
            </w:r>
            <w:r>
              <w:rPr>
                <w:noProof/>
                <w:webHidden/>
              </w:rPr>
              <w:t>9</w:t>
            </w:r>
            <w:r>
              <w:rPr>
                <w:noProof/>
                <w:webHidden/>
              </w:rPr>
              <w:fldChar w:fldCharType="end"/>
            </w:r>
          </w:hyperlink>
        </w:p>
        <w:p w14:paraId="3E8C4ADB" w14:textId="4312E4F3" w:rsidR="00630430" w:rsidRDefault="00630430">
          <w:pPr>
            <w:pStyle w:val="TOC2"/>
            <w:tabs>
              <w:tab w:val="right" w:leader="dot" w:pos="9016"/>
            </w:tabs>
            <w:rPr>
              <w:noProof/>
            </w:rPr>
          </w:pPr>
          <w:hyperlink w:anchor="_Toc212316637" w:history="1">
            <w:r w:rsidRPr="008E2190">
              <w:rPr>
                <w:rStyle w:val="Hyperlink"/>
                <w:noProof/>
              </w:rPr>
              <w:t>4.5 Critical Reflection</w:t>
            </w:r>
            <w:r>
              <w:rPr>
                <w:noProof/>
                <w:webHidden/>
              </w:rPr>
              <w:tab/>
            </w:r>
            <w:r>
              <w:rPr>
                <w:noProof/>
                <w:webHidden/>
              </w:rPr>
              <w:fldChar w:fldCharType="begin"/>
            </w:r>
            <w:r>
              <w:rPr>
                <w:noProof/>
                <w:webHidden/>
              </w:rPr>
              <w:instrText xml:space="preserve"> PAGEREF _Toc212316637 \h </w:instrText>
            </w:r>
            <w:r>
              <w:rPr>
                <w:noProof/>
                <w:webHidden/>
              </w:rPr>
            </w:r>
            <w:r>
              <w:rPr>
                <w:noProof/>
                <w:webHidden/>
              </w:rPr>
              <w:fldChar w:fldCharType="separate"/>
            </w:r>
            <w:r>
              <w:rPr>
                <w:noProof/>
                <w:webHidden/>
              </w:rPr>
              <w:t>9</w:t>
            </w:r>
            <w:r>
              <w:rPr>
                <w:noProof/>
                <w:webHidden/>
              </w:rPr>
              <w:fldChar w:fldCharType="end"/>
            </w:r>
          </w:hyperlink>
        </w:p>
        <w:p w14:paraId="2720841C" w14:textId="031E5540" w:rsidR="00630430" w:rsidRDefault="00630430">
          <w:pPr>
            <w:pStyle w:val="TOC1"/>
            <w:tabs>
              <w:tab w:val="right" w:leader="dot" w:pos="9016"/>
            </w:tabs>
            <w:rPr>
              <w:noProof/>
            </w:rPr>
          </w:pPr>
          <w:hyperlink w:anchor="_Toc212316638" w:history="1">
            <w:r w:rsidRPr="008E2190">
              <w:rPr>
                <w:rStyle w:val="Hyperlink"/>
                <w:noProof/>
              </w:rPr>
              <w:t>5. Conclusion</w:t>
            </w:r>
            <w:r>
              <w:rPr>
                <w:noProof/>
                <w:webHidden/>
              </w:rPr>
              <w:tab/>
            </w:r>
            <w:r>
              <w:rPr>
                <w:noProof/>
                <w:webHidden/>
              </w:rPr>
              <w:fldChar w:fldCharType="begin"/>
            </w:r>
            <w:r>
              <w:rPr>
                <w:noProof/>
                <w:webHidden/>
              </w:rPr>
              <w:instrText xml:space="preserve"> PAGEREF _Toc212316638 \h </w:instrText>
            </w:r>
            <w:r>
              <w:rPr>
                <w:noProof/>
                <w:webHidden/>
              </w:rPr>
            </w:r>
            <w:r>
              <w:rPr>
                <w:noProof/>
                <w:webHidden/>
              </w:rPr>
              <w:fldChar w:fldCharType="separate"/>
            </w:r>
            <w:r>
              <w:rPr>
                <w:noProof/>
                <w:webHidden/>
              </w:rPr>
              <w:t>10</w:t>
            </w:r>
            <w:r>
              <w:rPr>
                <w:noProof/>
                <w:webHidden/>
              </w:rPr>
              <w:fldChar w:fldCharType="end"/>
            </w:r>
          </w:hyperlink>
        </w:p>
        <w:p w14:paraId="2578E3C4" w14:textId="01067052" w:rsidR="00630430" w:rsidRDefault="00630430">
          <w:pPr>
            <w:pStyle w:val="TOC1"/>
            <w:tabs>
              <w:tab w:val="right" w:leader="dot" w:pos="9016"/>
            </w:tabs>
            <w:rPr>
              <w:noProof/>
            </w:rPr>
          </w:pPr>
          <w:hyperlink w:anchor="_Toc212316639" w:history="1">
            <w:r w:rsidRPr="008E2190">
              <w:rPr>
                <w:rStyle w:val="Hyperlink"/>
                <w:noProof/>
              </w:rPr>
              <w:t>6. Recommendations</w:t>
            </w:r>
            <w:r>
              <w:rPr>
                <w:noProof/>
                <w:webHidden/>
              </w:rPr>
              <w:tab/>
            </w:r>
            <w:r>
              <w:rPr>
                <w:noProof/>
                <w:webHidden/>
              </w:rPr>
              <w:fldChar w:fldCharType="begin"/>
            </w:r>
            <w:r>
              <w:rPr>
                <w:noProof/>
                <w:webHidden/>
              </w:rPr>
              <w:instrText xml:space="preserve"> PAGEREF _Toc212316639 \h </w:instrText>
            </w:r>
            <w:r>
              <w:rPr>
                <w:noProof/>
                <w:webHidden/>
              </w:rPr>
            </w:r>
            <w:r>
              <w:rPr>
                <w:noProof/>
                <w:webHidden/>
              </w:rPr>
              <w:fldChar w:fldCharType="separate"/>
            </w:r>
            <w:r>
              <w:rPr>
                <w:noProof/>
                <w:webHidden/>
              </w:rPr>
              <w:t>10</w:t>
            </w:r>
            <w:r>
              <w:rPr>
                <w:noProof/>
                <w:webHidden/>
              </w:rPr>
              <w:fldChar w:fldCharType="end"/>
            </w:r>
          </w:hyperlink>
        </w:p>
        <w:p w14:paraId="29C69585" w14:textId="48C72C3F" w:rsidR="00630430" w:rsidRDefault="00630430">
          <w:pPr>
            <w:pStyle w:val="TOC1"/>
            <w:tabs>
              <w:tab w:val="right" w:leader="dot" w:pos="9016"/>
            </w:tabs>
            <w:rPr>
              <w:noProof/>
            </w:rPr>
          </w:pPr>
          <w:hyperlink w:anchor="_Toc212316640" w:history="1">
            <w:r w:rsidRPr="008E2190">
              <w:rPr>
                <w:rStyle w:val="Hyperlink"/>
                <w:noProof/>
              </w:rPr>
              <w:t>References</w:t>
            </w:r>
            <w:r>
              <w:rPr>
                <w:noProof/>
                <w:webHidden/>
              </w:rPr>
              <w:tab/>
            </w:r>
            <w:r>
              <w:rPr>
                <w:noProof/>
                <w:webHidden/>
              </w:rPr>
              <w:fldChar w:fldCharType="begin"/>
            </w:r>
            <w:r>
              <w:rPr>
                <w:noProof/>
                <w:webHidden/>
              </w:rPr>
              <w:instrText xml:space="preserve"> PAGEREF _Toc212316640 \h </w:instrText>
            </w:r>
            <w:r>
              <w:rPr>
                <w:noProof/>
                <w:webHidden/>
              </w:rPr>
            </w:r>
            <w:r>
              <w:rPr>
                <w:noProof/>
                <w:webHidden/>
              </w:rPr>
              <w:fldChar w:fldCharType="separate"/>
            </w:r>
            <w:r>
              <w:rPr>
                <w:noProof/>
                <w:webHidden/>
              </w:rPr>
              <w:t>12</w:t>
            </w:r>
            <w:r>
              <w:rPr>
                <w:noProof/>
                <w:webHidden/>
              </w:rPr>
              <w:fldChar w:fldCharType="end"/>
            </w:r>
          </w:hyperlink>
        </w:p>
        <w:p w14:paraId="1020AD23" w14:textId="1BF93C17" w:rsidR="00630430" w:rsidRDefault="00630430">
          <w:r>
            <w:rPr>
              <w:b/>
              <w:bCs/>
              <w:noProof/>
            </w:rPr>
            <w:fldChar w:fldCharType="end"/>
          </w:r>
        </w:p>
      </w:sdtContent>
    </w:sdt>
    <w:p w14:paraId="203D2B26" w14:textId="7FF7E5E2" w:rsidR="004A46D2" w:rsidRDefault="004A46D2" w:rsidP="004A46D2"/>
    <w:p w14:paraId="0F7E6BBD" w14:textId="53FA4854" w:rsidR="004A46D2" w:rsidRDefault="004A46D2" w:rsidP="004A46D2">
      <w:pPr>
        <w:spacing w:line="259" w:lineRule="auto"/>
        <w:jc w:val="left"/>
      </w:pPr>
      <w:r>
        <w:br w:type="page"/>
      </w:r>
    </w:p>
    <w:p w14:paraId="6986513F" w14:textId="170FDEF7" w:rsidR="004A46D2" w:rsidRDefault="004A46D2" w:rsidP="004A46D2">
      <w:pPr>
        <w:pStyle w:val="Heading1"/>
      </w:pPr>
      <w:bookmarkStart w:id="0" w:name="_Toc212316624"/>
      <w:r>
        <w:lastRenderedPageBreak/>
        <w:t>1. Introduction</w:t>
      </w:r>
      <w:bookmarkEnd w:id="0"/>
    </w:p>
    <w:p w14:paraId="3A62687A" w14:textId="3F4FACF9" w:rsidR="004A46D2" w:rsidRDefault="004A46D2" w:rsidP="004A46D2">
      <w:r>
        <w:t>The COVID-19 pandemic has altered the hospitality sector in the whole world</w:t>
      </w:r>
      <w:r w:rsidR="00EF100E">
        <w:t>,</w:t>
      </w:r>
      <w:r>
        <w:t xml:space="preserve"> creating one of the biggest disruptive changes in the history of the industry (Cooper and Hall, 2019). The loss of business travel due to travel restrictions, the shift to remote working, and digital meeting technologies </w:t>
      </w:r>
      <w:r w:rsidR="003A7053">
        <w:t>have</w:t>
      </w:r>
      <w:r>
        <w:t xml:space="preserve"> permanently changed the structure of the hotel demand (Costa and Costa, 2022). The World Travel and Tourism Council stated that the amount spent on business travel around the world in 2020 was reduced by more than 60</w:t>
      </w:r>
      <w:r w:rsidR="00EF100E">
        <w:t>%</w:t>
      </w:r>
      <w:r>
        <w:t xml:space="preserve">, and recovery would take a long time before it </w:t>
      </w:r>
      <w:r w:rsidR="003A7053">
        <w:t>equalised</w:t>
      </w:r>
      <w:r>
        <w:t xml:space="preserve"> with </w:t>
      </w:r>
      <w:r w:rsidR="003A7053">
        <w:t xml:space="preserve">the </w:t>
      </w:r>
      <w:r>
        <w:t xml:space="preserve">leisure sectors (Sharma, </w:t>
      </w:r>
      <w:r w:rsidR="003A7053">
        <w:t>Singh,</w:t>
      </w:r>
      <w:r>
        <w:t xml:space="preserve"> and Tyagi, 2024). Therefore, flexible stays, remote work opportunities, and increased health and safety protocols have seen hotels shift their corporate customer base and concentrate on recreational and hybrid travellers (Batabyal and Das, 2019).</w:t>
      </w:r>
    </w:p>
    <w:p w14:paraId="6C4EDE9E" w14:textId="3EB189F9" w:rsidR="004A46D2" w:rsidRDefault="004A46D2" w:rsidP="004A46D2">
      <w:r>
        <w:t xml:space="preserve">Increased bleisure (business and leisure) travel has motivated the development of service delivery and the marketing process (Ford and Sturman, 2020). Large hotel corporations have embraced adaptable reservation </w:t>
      </w:r>
      <w:r w:rsidR="003A7053">
        <w:t>strategies</w:t>
      </w:r>
      <w:r>
        <w:t xml:space="preserve">, greener business programs, and technologically </w:t>
      </w:r>
      <w:r w:rsidR="003A7053">
        <w:t>enhanced</w:t>
      </w:r>
      <w:r>
        <w:t xml:space="preserve"> visitor experiences to stay competitive (Santos and Silva, 2019). These changes are important to understand by hospitality leaders </w:t>
      </w:r>
      <w:r w:rsidR="003A7053">
        <w:t>to understand to</w:t>
      </w:r>
      <w:r>
        <w:t xml:space="preserve"> cope with the changing consumer expectations and industry uncertainties. The present paper researches post-pandemic strategic change in the hotel industry</w:t>
      </w:r>
      <w:r w:rsidR="003A7053">
        <w:t>,</w:t>
      </w:r>
      <w:r>
        <w:t xml:space="preserve"> relying on theoretical and empirical insights to examine how the change will impact business sustainability in the future.</w:t>
      </w:r>
    </w:p>
    <w:p w14:paraId="28BF4C7C" w14:textId="77777777" w:rsidR="004A46D2" w:rsidRDefault="004A46D2" w:rsidP="004A46D2"/>
    <w:p w14:paraId="4DE5F8E7" w14:textId="74188781" w:rsidR="004A46D2" w:rsidRDefault="004A46D2" w:rsidP="004A46D2">
      <w:pPr>
        <w:pStyle w:val="Heading1"/>
      </w:pPr>
      <w:bookmarkStart w:id="1" w:name="_Toc212316625"/>
      <w:r>
        <w:t>2. Literature Review</w:t>
      </w:r>
      <w:bookmarkEnd w:id="1"/>
    </w:p>
    <w:p w14:paraId="0955BB55" w14:textId="77777777" w:rsidR="004A46D2" w:rsidRDefault="004A46D2" w:rsidP="004A46D2">
      <w:pPr>
        <w:pStyle w:val="Heading2"/>
      </w:pPr>
      <w:bookmarkStart w:id="2" w:name="_Toc212316626"/>
      <w:r w:rsidRPr="004A46D2">
        <w:t>2.1 The decline of business travel and changing demand structures</w:t>
      </w:r>
      <w:bookmarkEnd w:id="2"/>
    </w:p>
    <w:p w14:paraId="269A9E78" w14:textId="1F351DBF" w:rsidR="004A46D2" w:rsidRDefault="004A46D2" w:rsidP="004A46D2">
      <w:r>
        <w:t xml:space="preserve">The effect of the pandemic on international mobility caused a significant reduction in business travel, which transformed the hotel demand pattern at the global level. According to laws, Prideaux and Chon (2007), crises are the drivers of structural changes, which force industries to embrace adaptive models. Since 2020, most of the corporate meetings </w:t>
      </w:r>
      <w:r w:rsidR="003A7053">
        <w:t>have been</w:t>
      </w:r>
      <w:r>
        <w:t xml:space="preserve"> substituted by virtual conferencing tools like Zoom and Microsoft Teams, which led to an irreversible drop in the occupancy rates of the urban business districts during the middle of the week (Costa and Costa, 2022). According to Ford and Sturman (2020), hotels that continued to rely on convention and corporate contracts</w:t>
      </w:r>
      <w:r w:rsidR="003A7053">
        <w:t>,</w:t>
      </w:r>
      <w:r>
        <w:t xml:space="preserve"> like the ones in the city centres and airport hotels</w:t>
      </w:r>
      <w:r w:rsidR="003A7053">
        <w:t>,</w:t>
      </w:r>
      <w:r>
        <w:t xml:space="preserve"> </w:t>
      </w:r>
      <w:r>
        <w:lastRenderedPageBreak/>
        <w:t>continued to lose revenue over time</w:t>
      </w:r>
      <w:r w:rsidR="003A7053">
        <w:t>,</w:t>
      </w:r>
      <w:r>
        <w:t xml:space="preserve"> in contrast with the leisure hotels that were based in resorts.</w:t>
      </w:r>
    </w:p>
    <w:p w14:paraId="5C0FDBA4" w14:textId="6B0C32C4" w:rsidR="004A46D2" w:rsidRDefault="004A46D2" w:rsidP="004A46D2">
      <w:r>
        <w:t xml:space="preserve">According to Sharma, Singh and Tyagi (2024), the recovery of leisure travelling has been more gradual than business travelling and thus has led to a strategic </w:t>
      </w:r>
      <w:r w:rsidR="003A7053">
        <w:t>realignment</w:t>
      </w:r>
      <w:r>
        <w:t xml:space="preserve"> to domestic and experiential tourism. Remote work trends have further enhanced this change as guests can now work in any location, spend longer periods at the destination, and combine work and leisure experiences (Brotherton, 2015).</w:t>
      </w:r>
    </w:p>
    <w:p w14:paraId="683EE3F4" w14:textId="5C76B27A" w:rsidR="004A46D2" w:rsidRDefault="004A46D2" w:rsidP="004A46D2">
      <w:pPr>
        <w:pStyle w:val="Heading2"/>
      </w:pPr>
      <w:bookmarkStart w:id="3" w:name="_Toc212316627"/>
      <w:r w:rsidRPr="004A46D2">
        <w:t>2.2 Rise of hybrid and leisure travel patterns</w:t>
      </w:r>
      <w:bookmarkEnd w:id="3"/>
    </w:p>
    <w:p w14:paraId="7A9A05BE" w14:textId="643A78DF" w:rsidR="004A46D2" w:rsidRDefault="004A46D2" w:rsidP="004A46D2">
      <w:r>
        <w:t xml:space="preserve">Bleisure tourism has become a significant concept as a new type of hybrid tourism that attracts new consumer motives (Krippendorf, 2011). As Mill (2012) notes, travellers are getting </w:t>
      </w:r>
      <w:r w:rsidR="003A7053">
        <w:t>increasingly</w:t>
      </w:r>
      <w:r>
        <w:t xml:space="preserve"> interested in the experiences that can combine work with wellness and recreation. Hotels</w:t>
      </w:r>
      <w:r w:rsidR="00DF3FAB">
        <w:t>,</w:t>
      </w:r>
      <w:r>
        <w:t xml:space="preserve"> including Marriott and Hilton</w:t>
      </w:r>
      <w:r w:rsidR="00DF3FAB">
        <w:t>,</w:t>
      </w:r>
      <w:r>
        <w:t xml:space="preserve"> answered it by introducing Work from Hotel and WorkSpace by Hilton packages, including high-speed internet, work-friendly areas, and leisure activities (Costa and Costa, 2022).</w:t>
      </w:r>
    </w:p>
    <w:p w14:paraId="677C81A8" w14:textId="6F35DB89" w:rsidR="004A46D2" w:rsidRDefault="004A46D2" w:rsidP="004A46D2">
      <w:r>
        <w:t xml:space="preserve">The paradigm has taken </w:t>
      </w:r>
      <w:r w:rsidR="00DF3FAB">
        <w:t>centre</w:t>
      </w:r>
      <w:r>
        <w:t xml:space="preserve"> stage in the process of adapting hospitality to the changing consumer expectations. Tribe (2009) further states that the notion of travel philosophies </w:t>
      </w:r>
      <w:r w:rsidR="00DF3FAB">
        <w:t>focuses</w:t>
      </w:r>
      <w:r>
        <w:t xml:space="preserve"> more on the interaction of wellbeing, authenticity, and purpose-driven travelling in accordance with the holistic needs of the modern traveller. Moreover, the post-pandemic leisure demand has been predetermined by the increased environmental awareness and sustainability (Costa and Costa, 2022). Hotels, which integrate local culture, eco-friendly </w:t>
      </w:r>
      <w:r w:rsidR="00DF3FAB">
        <w:t>behaviour</w:t>
      </w:r>
      <w:r>
        <w:t xml:space="preserve"> and involvement of communities</w:t>
      </w:r>
      <w:r w:rsidR="00DF3FAB">
        <w:t>,</w:t>
      </w:r>
      <w:r>
        <w:t xml:space="preserve"> have shown a high rate of recovery, which indicates that ethical and experience variables have taken over as a source of market positioning.</w:t>
      </w:r>
    </w:p>
    <w:p w14:paraId="28D4EA3C" w14:textId="1BA08A9F" w:rsidR="004A46D2" w:rsidRDefault="004A46D2" w:rsidP="004A46D2">
      <w:pPr>
        <w:pStyle w:val="Heading2"/>
      </w:pPr>
      <w:bookmarkStart w:id="4" w:name="_Toc212316628"/>
      <w:r w:rsidRPr="004A46D2">
        <w:t>2.3 Operational strategy shifts and digital transformation</w:t>
      </w:r>
      <w:bookmarkEnd w:id="4"/>
    </w:p>
    <w:p w14:paraId="036DF09A" w14:textId="067301F6" w:rsidR="004A46D2" w:rsidRDefault="004A46D2" w:rsidP="004A46D2">
      <w:r>
        <w:t xml:space="preserve">The pandemic increased the rate of digital transformation in the hospitality business. The authors Santos and Silva (2019) stress that digital marketing and </w:t>
      </w:r>
      <w:r w:rsidR="00DF3FAB">
        <w:t xml:space="preserve">the </w:t>
      </w:r>
      <w:r>
        <w:t xml:space="preserve">integration of technology </w:t>
      </w:r>
      <w:r w:rsidR="00DF3FAB">
        <w:t>have become</w:t>
      </w:r>
      <w:r>
        <w:t xml:space="preserve"> crucial to regaining consumer confidence and involvement. The check-ins and mobile keys have become contactless, and customer service systems operated by AI have become the norm, and they have become more efficient and safer (Ivanov and Webster, 2019).</w:t>
      </w:r>
    </w:p>
    <w:p w14:paraId="313646C5" w14:textId="649D744D" w:rsidR="004A46D2" w:rsidRDefault="004A46D2" w:rsidP="004A46D2">
      <w:r>
        <w:t xml:space="preserve">Regarding the managerial aspect, agility and flexible decision-making based on projects are now becoming the necessary survival skills of a hotel. Likewise, Ford and Sturman (2020) state that it is important to redefine the organisational culture </w:t>
      </w:r>
      <w:r w:rsidR="00B2768D">
        <w:t>to</w:t>
      </w:r>
      <w:r>
        <w:t xml:space="preserve"> manage hybrid operations, which </w:t>
      </w:r>
      <w:r>
        <w:lastRenderedPageBreak/>
        <w:t xml:space="preserve">involves human service quality and technological consistency. Costa and Costa (2022) </w:t>
      </w:r>
      <w:r w:rsidR="00B2768D">
        <w:t>emphasise</w:t>
      </w:r>
      <w:r>
        <w:t xml:space="preserve"> that the key to successful digital transformation is the leadership that </w:t>
      </w:r>
      <w:r w:rsidR="00B2768D">
        <w:t>promotes</w:t>
      </w:r>
      <w:r>
        <w:t xml:space="preserve"> innovation without losing emotional closeness with guests.</w:t>
      </w:r>
    </w:p>
    <w:p w14:paraId="0A45CDDC" w14:textId="13CE8A2D" w:rsidR="004A46D2" w:rsidRDefault="004A46D2" w:rsidP="004A46D2">
      <w:r>
        <w:t xml:space="preserve">Incorporation of the concept of wellness and sustainability into hotel strategy has also enhanced </w:t>
      </w:r>
      <w:r w:rsidR="00B2768D">
        <w:t xml:space="preserve">the </w:t>
      </w:r>
      <w:r>
        <w:t>positioning of the brands. According to Sharma, Singh and Tyagi (2024), the post-pandemic recovery competitive factors include regenerative tourism and sustainable facility management. Accor and other hotels have introduced wellness-based initiatives and remote working meeting platforms</w:t>
      </w:r>
      <w:r w:rsidR="00B2768D">
        <w:t>,</w:t>
      </w:r>
      <w:r>
        <w:t xml:space="preserve"> such as ALL Connect</w:t>
      </w:r>
      <w:r w:rsidR="00B2768D">
        <w:t>,</w:t>
      </w:r>
      <w:r>
        <w:t xml:space="preserve"> to appeal to remote workers and environmentally conscious travellers.</w:t>
      </w:r>
    </w:p>
    <w:p w14:paraId="52855FD9" w14:textId="427161EA" w:rsidR="004A46D2" w:rsidRDefault="004A46D2" w:rsidP="004A46D2">
      <w:pPr>
        <w:pStyle w:val="Heading2"/>
      </w:pPr>
      <w:bookmarkStart w:id="5" w:name="_Toc212316629"/>
      <w:r w:rsidRPr="004A46D2">
        <w:t>2.4 Theoretical perspectives: Adaptation and strategic flexibility</w:t>
      </w:r>
      <w:bookmarkEnd w:id="5"/>
    </w:p>
    <w:p w14:paraId="59E90FB9" w14:textId="46E1BF51" w:rsidR="004A46D2" w:rsidRDefault="00B2768D" w:rsidP="004A46D2">
      <w:r>
        <w:t>Several</w:t>
      </w:r>
      <w:r w:rsidR="004A46D2">
        <w:t xml:space="preserve"> theories give insight into the way the hotels cope with the post-pandemic changes. According to the Market Adaptation Theory, companies </w:t>
      </w:r>
      <w:r>
        <w:t>must</w:t>
      </w:r>
      <w:r w:rsidR="004A46D2">
        <w:t xml:space="preserve"> rearrange resources and capabilities to deal with the uncertainty in the environment. This is evidenced by the volatility of the pandemic, as hotels redefined the business to suit changing target groups and health measures.</w:t>
      </w:r>
    </w:p>
    <w:p w14:paraId="5A6B2C79" w14:textId="5C9D7772" w:rsidR="004A46D2" w:rsidRDefault="004A46D2" w:rsidP="004A46D2">
      <w:r>
        <w:t>Strategic Flexibility Theory is the complementary theory, which claims that organisations that are characterised by dynamic capabilities (innovation, making decisions quickly, etc.) have better resilience (Clegg et al., 2021). According to Costa and Costa (2022), flexible pricing models, dynamic distribution channels, and diversified streams of revenue proved essential to address the post-crisis risk.</w:t>
      </w:r>
    </w:p>
    <w:p w14:paraId="5C96159E" w14:textId="1E4BD857" w:rsidR="004A46D2" w:rsidRDefault="004A46D2" w:rsidP="004A46D2">
      <w:r>
        <w:t xml:space="preserve">Furthermore, the Service-Dominant Logic (Vargo and Lusch, cited in Ford and Sturman, 2020) reevaluates hospitality as a service ecosystem, in which customer experience and relationship </w:t>
      </w:r>
      <w:r w:rsidR="00DB14D1">
        <w:t>generate</w:t>
      </w:r>
      <w:r>
        <w:t xml:space="preserve"> a mutual value. This approach is represented in post-COVID strategies, which focus on emotional engagement, safety and personalisation.</w:t>
      </w:r>
    </w:p>
    <w:p w14:paraId="3C7B2349" w14:textId="7FDEFFCA" w:rsidR="004A46D2" w:rsidRDefault="004A46D2" w:rsidP="004A46D2">
      <w:pPr>
        <w:pStyle w:val="Heading2"/>
      </w:pPr>
      <w:bookmarkStart w:id="6" w:name="_Toc212316630"/>
      <w:r w:rsidRPr="004A46D2">
        <w:t>2.5 Industry examples of strategic adaptation</w:t>
      </w:r>
      <w:bookmarkEnd w:id="6"/>
    </w:p>
    <w:p w14:paraId="7DD031A0" w14:textId="7E4AD741" w:rsidR="004A46D2" w:rsidRDefault="004A46D2" w:rsidP="004A46D2">
      <w:r>
        <w:t xml:space="preserve">This has been empirically shown to have been a result of diversification by hotels all over the world to attract new market segments. Marriott International had to diversify </w:t>
      </w:r>
      <w:r w:rsidR="00DB14D1">
        <w:t>its</w:t>
      </w:r>
      <w:r>
        <w:t xml:space="preserve"> long-stay brands, including Residence Inn and Element, to appeal to long-term travellers (Costa and Costa, 2022). The Lifestyle division of Accor, such as localised leisure experiences in the form of JO&amp;JOE and Mama Shelter, aims at flexible work-social characteristics (Sharma et al., </w:t>
      </w:r>
      <w:r>
        <w:lastRenderedPageBreak/>
        <w:t>2024). Local partnerships and digital direct-reservation systems have supported the resilience of independent boutique hotels to fight the global distribution expense (Santos and Silva, 2019).</w:t>
      </w:r>
    </w:p>
    <w:p w14:paraId="7E144C9B" w14:textId="5FD43281" w:rsidR="004A46D2" w:rsidRDefault="004A46D2" w:rsidP="004A46D2">
      <w:r>
        <w:t>Adaptations have not been as successful, however. Ford and Sturman (2020) warn that too much reliance on leisure markets may subject hotels to seasonality risks and yield on a guest. Moreover, small operators who have less capital are usually unable to implement new sophisticated technologies or redesign plants. Therefore, the recovery process is supported by the innovation, although there are still inequalities between chain and standalone restaurants (Brotherton, 2015).</w:t>
      </w:r>
    </w:p>
    <w:p w14:paraId="073BC28B" w14:textId="6AA259E6" w:rsidR="004A46D2" w:rsidRDefault="004A46D2" w:rsidP="004A46D2">
      <w:pPr>
        <w:pStyle w:val="Heading2"/>
      </w:pPr>
      <w:bookmarkStart w:id="7" w:name="_Toc212316631"/>
      <w:r>
        <w:t>2.6 Summary</w:t>
      </w:r>
      <w:bookmarkEnd w:id="7"/>
    </w:p>
    <w:p w14:paraId="28CE3726" w14:textId="6566ECCA" w:rsidR="00A51C89" w:rsidRDefault="004A46D2" w:rsidP="004A46D2">
      <w:r>
        <w:t xml:space="preserve">The body of literature </w:t>
      </w:r>
      <w:r w:rsidR="00371A9E">
        <w:t>suggests</w:t>
      </w:r>
      <w:r>
        <w:t xml:space="preserve"> in unison that the strategic environment in the hospitality industry has been transformed by the decline in business commuting. The combination of technological innovation, sustainability and human connection has resulted in digitalisation, hybrid offerings and experiential branding as </w:t>
      </w:r>
      <w:r w:rsidR="00371A9E">
        <w:t xml:space="preserve">a </w:t>
      </w:r>
      <w:r>
        <w:t>survival imperative. The post-COVID period increased the pace of the growth of hospitality into a flexible and experience-focused model, as Cooper and Hall (2019) claim. How to sustain this flexibility in the light of the current economic and environmental uncertainties is now the challenge.</w:t>
      </w:r>
    </w:p>
    <w:p w14:paraId="15644934" w14:textId="77777777" w:rsidR="00031CB9" w:rsidRDefault="00031CB9" w:rsidP="004A46D2"/>
    <w:p w14:paraId="5A86392D" w14:textId="12FC3B74" w:rsidR="004A46D2" w:rsidRDefault="00031CB9" w:rsidP="00031CB9">
      <w:pPr>
        <w:pStyle w:val="Heading1"/>
      </w:pPr>
      <w:bookmarkStart w:id="8" w:name="_Toc212316632"/>
      <w:r w:rsidRPr="00031CB9">
        <w:t>4. Theme Impact Analysis</w:t>
      </w:r>
      <w:bookmarkEnd w:id="8"/>
    </w:p>
    <w:p w14:paraId="0EA6E02E" w14:textId="7C5BB0EF" w:rsidR="004A46D2" w:rsidRDefault="00031CB9" w:rsidP="004A46D2">
      <w:r>
        <w:t>To</w:t>
      </w:r>
      <w:r w:rsidR="004A46D2">
        <w:t xml:space="preserve"> assess the extent to which the hotel industry has strategically managed to respond to the deterioration of business commuting, </w:t>
      </w:r>
      <w:r w:rsidR="00371A9E">
        <w:t xml:space="preserve">the </w:t>
      </w:r>
      <w:r w:rsidR="004A46D2">
        <w:t xml:space="preserve">SWOT analysis framework is </w:t>
      </w:r>
      <w:r w:rsidR="00371A9E">
        <w:t>utilised</w:t>
      </w:r>
      <w:r w:rsidR="004A46D2">
        <w:t>. The analysis is based on the synthesis of academic literature and industry data to indicate the post-pandemic strengths, weaknesses, opportunities, and threats of the sector.</w:t>
      </w:r>
    </w:p>
    <w:p w14:paraId="2CEBE956" w14:textId="686E78A5" w:rsidR="004A46D2" w:rsidRDefault="00031CB9" w:rsidP="00031CB9">
      <w:pPr>
        <w:pStyle w:val="Heading2"/>
      </w:pPr>
      <w:bookmarkStart w:id="9" w:name="_Toc212316633"/>
      <w:r>
        <w:t xml:space="preserve">4.1 </w:t>
      </w:r>
      <w:r w:rsidR="004A46D2">
        <w:t>Strengths</w:t>
      </w:r>
      <w:bookmarkEnd w:id="9"/>
    </w:p>
    <w:p w14:paraId="0B971E3D" w14:textId="77976BAE" w:rsidR="004A46D2" w:rsidRDefault="004A46D2" w:rsidP="004A46D2">
      <w:r>
        <w:t>One of the strengths of the post-COVID hotel strategies is the aspect of diversification. The pandemic hastened the hotel shift towards no longer relying on business travel and multi-segmentation, with leisure, extended-stay, and hybrid work sectors all coming into play (Gössling and Hall, 2021). Likewise, the All Connect provided by Accor is a hybrid meeting platform, which integrates digital conference facilities with access to a physical meeting space, offering corporate convenience with leisure services (Accor, 2023). These are illustrations of the role played by service innovation in brand adaptability.</w:t>
      </w:r>
    </w:p>
    <w:p w14:paraId="1051AC36" w14:textId="70E4AAC8" w:rsidR="004A46D2" w:rsidRDefault="004A46D2" w:rsidP="004A46D2">
      <w:r>
        <w:lastRenderedPageBreak/>
        <w:t xml:space="preserve">The other significant strength is digital transformation, which has enhanced </w:t>
      </w:r>
      <w:r w:rsidR="00371A9E">
        <w:t xml:space="preserve">the </w:t>
      </w:r>
      <w:r>
        <w:t xml:space="preserve">efficiency of operations and customer interaction. Systems on properties have gone cloud-based, chatbots are AI-based, and mobile check-ins have </w:t>
      </w:r>
      <w:r w:rsidR="00371A9E">
        <w:t>minimised</w:t>
      </w:r>
      <w:r>
        <w:t xml:space="preserve"> contact surfaces, which is in line with increased health-consciousness (Sigala, 2020). As Gretzel et al. (2021) note, by integrating digital ecosystems, hotels were not only more resilient during lockdown periods but also more likely to retain customers through real-time personalisation and using data analytics. These inventions are in line with the Service-Dominant Logic, which focuses on value co-creation based on technology-enhanced guest experience (Ford and Sturman, 2020).</w:t>
      </w:r>
    </w:p>
    <w:p w14:paraId="7888ADA1" w14:textId="35986803" w:rsidR="004A46D2" w:rsidRDefault="00031CB9" w:rsidP="00031CB9">
      <w:pPr>
        <w:pStyle w:val="Heading2"/>
      </w:pPr>
      <w:bookmarkStart w:id="10" w:name="_Toc212316634"/>
      <w:r>
        <w:t xml:space="preserve">4.2 </w:t>
      </w:r>
      <w:r w:rsidR="004A46D2">
        <w:t>Weaknesses</w:t>
      </w:r>
      <w:bookmarkEnd w:id="10"/>
    </w:p>
    <w:p w14:paraId="15CC2B50" w14:textId="216E3B27" w:rsidR="004A46D2" w:rsidRDefault="00031CB9" w:rsidP="004A46D2">
      <w:r>
        <w:t>Despite</w:t>
      </w:r>
      <w:r w:rsidR="004A46D2">
        <w:t xml:space="preserve"> innovation, there are </w:t>
      </w:r>
      <w:r>
        <w:t>several</w:t>
      </w:r>
      <w:r w:rsidR="004A46D2">
        <w:t xml:space="preserve"> weaknesses that still exist. First is excessive dependence on leisure travel. As business </w:t>
      </w:r>
      <w:r w:rsidR="00371A9E">
        <w:t>travel</w:t>
      </w:r>
      <w:r w:rsidR="004A46D2">
        <w:t xml:space="preserve"> remains on its way to recovery point, with an estimated 30</w:t>
      </w:r>
      <w:r w:rsidR="00371A9E">
        <w:t xml:space="preserve">% </w:t>
      </w:r>
      <w:r w:rsidR="004A46D2">
        <w:t xml:space="preserve">lower than in 2019 (WTTC, 2024), most hotels are experiencing occupancy volatility due to seasonality and discretionary expenditure (Sharma, </w:t>
      </w:r>
      <w:r>
        <w:t>Singh,</w:t>
      </w:r>
      <w:r w:rsidR="004A46D2">
        <w:t xml:space="preserve"> and Tyagi, 2024). The leisure-based demand is more price-sensitive as well, which lowers yield per available room compared to the pre-pandemic corporate bookings (Cooper and Hall, 2019).</w:t>
      </w:r>
    </w:p>
    <w:p w14:paraId="0D097E81" w14:textId="07C2EA55" w:rsidR="004A46D2" w:rsidRDefault="004A46D2" w:rsidP="004A46D2">
      <w:r>
        <w:t xml:space="preserve">Another problem is operational fragmentation. Independent hotels are smaller and tend to have no funds to invest in the digital infrastructure or upgrading of the facilities (Brotherton, 2015). Furthermore, the lack of staff due to the layoffs during the </w:t>
      </w:r>
      <w:r w:rsidR="00371A9E">
        <w:t>pandemic</w:t>
      </w:r>
      <w:r>
        <w:t xml:space="preserve"> has burdened the service delivery, making the service experience less predictable to the guests (Baum et al., 2020). Employee burnout and turnover</w:t>
      </w:r>
      <w:r w:rsidR="00371A9E">
        <w:t>,</w:t>
      </w:r>
      <w:r>
        <w:t xml:space="preserve"> especially in housekeeping and F&amp;B departments</w:t>
      </w:r>
      <w:r w:rsidR="00371A9E">
        <w:t>,</w:t>
      </w:r>
      <w:r>
        <w:t xml:space="preserve"> remain an obstacle to recovery (Kumar and Shekhar, 2023).</w:t>
      </w:r>
    </w:p>
    <w:p w14:paraId="781BC920" w14:textId="7C2DAB77" w:rsidR="004A46D2" w:rsidRDefault="00031CB9" w:rsidP="004A46D2">
      <w:r>
        <w:t>Also,</w:t>
      </w:r>
      <w:r w:rsidR="004A46D2">
        <w:t xml:space="preserve"> there is brand dilution risk, caused due to diversification. The aim of using several segments at the same time might contribute to brand blur as hotels will be unable to position themselves in marketing (Dolnicar and Ring, 2022). </w:t>
      </w:r>
    </w:p>
    <w:p w14:paraId="5E3FF812" w14:textId="409D2401" w:rsidR="004A46D2" w:rsidRDefault="00031CB9" w:rsidP="00031CB9">
      <w:pPr>
        <w:pStyle w:val="Heading2"/>
      </w:pPr>
      <w:bookmarkStart w:id="11" w:name="_Toc212316635"/>
      <w:r>
        <w:t xml:space="preserve">4.3 </w:t>
      </w:r>
      <w:r w:rsidR="004A46D2">
        <w:t>Opportunities</w:t>
      </w:r>
      <w:bookmarkEnd w:id="11"/>
    </w:p>
    <w:p w14:paraId="05BD56A8" w14:textId="6AC0B2F1" w:rsidR="004A46D2" w:rsidRDefault="004A46D2" w:rsidP="004A46D2">
      <w:r>
        <w:t xml:space="preserve">The key opportunities are the wellness and regenerative tourism that </w:t>
      </w:r>
      <w:r w:rsidR="00371A9E">
        <w:t>have</w:t>
      </w:r>
      <w:r>
        <w:t xml:space="preserve"> gained the </w:t>
      </w:r>
      <w:r w:rsidR="00031CB9">
        <w:t>centre</w:t>
      </w:r>
      <w:r>
        <w:t xml:space="preserve"> of the post-COVID consumer preferences (Smith and Puczkó, 2022). A significant number of hotels are reimagining their design to incorporate meditation zones, environmentally friendly spas and outdoor gyms. Wellness-oriented tourism, according to Sharma, Singh and Tyagi (2024), has become more than 18 per cent of the </w:t>
      </w:r>
      <w:r w:rsidR="00E323A9">
        <w:t>world's</w:t>
      </w:r>
      <w:r>
        <w:t xml:space="preserve"> hospitality revenue growth. To outline, the collaboration of Accor with Wellbeing at Accor and the concept of Five Feet to Fitness of Hilton can be viewed as examples of health-related facilities as a differentiation strategy.</w:t>
      </w:r>
    </w:p>
    <w:p w14:paraId="6C490F1B" w14:textId="476AE762" w:rsidR="004A46D2" w:rsidRDefault="004A46D2" w:rsidP="004A46D2">
      <w:r>
        <w:lastRenderedPageBreak/>
        <w:t xml:space="preserve">Co-working integration is another opportunity to grow. The emergence of remote work and digital nomadism has increased the market size of long-stay travellers who want to get </w:t>
      </w:r>
      <w:r w:rsidR="00E323A9">
        <w:t xml:space="preserve">a </w:t>
      </w:r>
      <w:r>
        <w:t xml:space="preserve">work-life balance (Richards, 2022). The project Live Anywhere of Airbnb and the apartments programme of Marriott Bonvoy is just an </w:t>
      </w:r>
      <w:r w:rsidR="00E323A9">
        <w:t>examples</w:t>
      </w:r>
      <w:r>
        <w:t xml:space="preserve"> of how accommodation can be transformed into a mixture of live and work spaces (Marriott, 2023). Hotels </w:t>
      </w:r>
      <w:r w:rsidR="00031CB9">
        <w:t>can</w:t>
      </w:r>
      <w:r>
        <w:t xml:space="preserve"> use </w:t>
      </w:r>
      <w:r w:rsidR="00E323A9">
        <w:t>underutilised</w:t>
      </w:r>
      <w:r>
        <w:t xml:space="preserve"> meeting rooms and </w:t>
      </w:r>
      <w:r w:rsidR="00E323A9">
        <w:t>lobbies</w:t>
      </w:r>
      <w:r>
        <w:t xml:space="preserve"> as alternative co-working spaces by creating other revenue streams.</w:t>
      </w:r>
    </w:p>
    <w:p w14:paraId="1B266DEA" w14:textId="7F18018B" w:rsidR="004A46D2" w:rsidRDefault="00031CB9" w:rsidP="00031CB9">
      <w:pPr>
        <w:pStyle w:val="Heading2"/>
      </w:pPr>
      <w:bookmarkStart w:id="12" w:name="_Toc212316636"/>
      <w:r>
        <w:t xml:space="preserve">4.4 </w:t>
      </w:r>
      <w:r w:rsidR="004A46D2">
        <w:t>Threats</w:t>
      </w:r>
      <w:bookmarkEnd w:id="12"/>
    </w:p>
    <w:p w14:paraId="191BA2D8" w14:textId="36A836BA" w:rsidR="004A46D2" w:rsidRDefault="00031CB9" w:rsidP="004A46D2">
      <w:r>
        <w:t>Economic</w:t>
      </w:r>
      <w:r w:rsidR="004A46D2">
        <w:t xml:space="preserve"> uncertainty and inflationary pressures are threats to profitability. The cost of operations in the European markets has increased by almost 20% due to the rise in utility costs, labour </w:t>
      </w:r>
      <w:r>
        <w:t>costs,</w:t>
      </w:r>
      <w:r w:rsidR="004A46D2">
        <w:t xml:space="preserve"> and supply chain disruptions (OECD, 2023). This limits investment in renewal in technology and sustainability.</w:t>
      </w:r>
    </w:p>
    <w:p w14:paraId="2A7BA562" w14:textId="495620C6" w:rsidR="004A46D2" w:rsidRDefault="004A46D2" w:rsidP="004A46D2">
      <w:r>
        <w:t xml:space="preserve">The other significant risk is the slow recovery of business travel. With virtual communication becoming part of the organisational culture, business travel might never be back to the pre-pandemic levels (UNWTO, 2023). This paradigm change requires hotels to make a </w:t>
      </w:r>
      <w:r w:rsidR="00031CB9">
        <w:t>long-term</w:t>
      </w:r>
      <w:r>
        <w:t xml:space="preserve"> change in their revenue model.</w:t>
      </w:r>
    </w:p>
    <w:p w14:paraId="0EDF80E6" w14:textId="08341A9C" w:rsidR="004A46D2" w:rsidRDefault="004A46D2" w:rsidP="004A46D2">
      <w:r>
        <w:t>Saturation of the market is increased by the competition between other accommodations, in particular, Airbnb and co-living startups (Guttentag, 2019). The flexibility of pricing, the homelike atmosphere and the long stay discounts of these platforms still appeal to the ex-corporate travellers. In the absence of differentiation, the traditional hotels will become irrelevant in the eyes of the younger generation.</w:t>
      </w:r>
    </w:p>
    <w:p w14:paraId="2A99A310" w14:textId="5D3F6C06" w:rsidR="004A46D2" w:rsidRDefault="00031CB9" w:rsidP="00031CB9">
      <w:pPr>
        <w:pStyle w:val="Heading2"/>
      </w:pPr>
      <w:bookmarkStart w:id="13" w:name="_Toc212316637"/>
      <w:r>
        <w:t xml:space="preserve">4.5 </w:t>
      </w:r>
      <w:r w:rsidR="004A46D2">
        <w:t>Critical Reflection</w:t>
      </w:r>
      <w:bookmarkEnd w:id="13"/>
    </w:p>
    <w:p w14:paraId="2D781392" w14:textId="0EBC7517" w:rsidR="004A46D2" w:rsidRDefault="00031CB9" w:rsidP="004A46D2">
      <w:r>
        <w:t>Overall</w:t>
      </w:r>
      <w:r w:rsidR="004A46D2">
        <w:t xml:space="preserve">, the recovery plans of the hotel industry post-pandemic are resilient in nature yet fragile in structure. The leisure and hybrid segments have stabilised </w:t>
      </w:r>
      <w:r w:rsidR="00E323A9">
        <w:t>short-term</w:t>
      </w:r>
      <w:r w:rsidR="004A46D2">
        <w:t xml:space="preserve"> occupancy</w:t>
      </w:r>
      <w:r w:rsidR="00E323A9">
        <w:t>,</w:t>
      </w:r>
      <w:r w:rsidR="004A46D2">
        <w:t xml:space="preserve"> but the tendency to </w:t>
      </w:r>
      <w:r w:rsidR="00E323A9">
        <w:t>over-reliance</w:t>
      </w:r>
      <w:r w:rsidR="004A46D2">
        <w:t xml:space="preserve"> on these segments has exposed the firm to economic volatility. The rising </w:t>
      </w:r>
      <w:r w:rsidR="00E323A9">
        <w:t>operational</w:t>
      </w:r>
      <w:r w:rsidR="004A46D2">
        <w:t xml:space="preserve"> resilience through digital innovation has not eliminated inequality because of diverse adoption between large and small hotels. The adaptive excellence of industry leaders (Hilton, Accor, and Marriott) is the integration of hybrid work models, sustainability, and flexible customer policies</w:t>
      </w:r>
      <w:r w:rsidR="00E323A9">
        <w:t>,</w:t>
      </w:r>
      <w:r w:rsidR="004A46D2">
        <w:t xml:space="preserve"> but </w:t>
      </w:r>
      <w:r w:rsidR="00E323A9">
        <w:t xml:space="preserve">they </w:t>
      </w:r>
      <w:r w:rsidR="004A46D2">
        <w:t>may fail to adopt this because of limited resources (Baum et al., 2020).</w:t>
      </w:r>
    </w:p>
    <w:p w14:paraId="207D370A" w14:textId="77777777" w:rsidR="004A46D2" w:rsidRDefault="004A46D2" w:rsidP="004A46D2"/>
    <w:p w14:paraId="428C0E23" w14:textId="77777777" w:rsidR="00031CB9" w:rsidRDefault="00031CB9" w:rsidP="004A46D2"/>
    <w:p w14:paraId="09EA2080" w14:textId="6908E901" w:rsidR="004A46D2" w:rsidRDefault="004A46D2" w:rsidP="00031CB9">
      <w:pPr>
        <w:pStyle w:val="Heading1"/>
      </w:pPr>
      <w:bookmarkStart w:id="14" w:name="_Toc212316638"/>
      <w:r>
        <w:lastRenderedPageBreak/>
        <w:t>5. Conclusion</w:t>
      </w:r>
      <w:bookmarkEnd w:id="14"/>
    </w:p>
    <w:p w14:paraId="75ED7F93" w14:textId="65B2D56B" w:rsidR="004A46D2" w:rsidRDefault="004A46D2" w:rsidP="004A46D2">
      <w:r>
        <w:t xml:space="preserve">This business commuting decreases the business hospitality strategic landscape. Leisure, hybrid, and </w:t>
      </w:r>
      <w:r w:rsidR="00031CB9">
        <w:t>wellness-based</w:t>
      </w:r>
      <w:r>
        <w:t xml:space="preserve"> markets have been shifted in the direction of digital innovation and flexible service models, with the support of hotels. This shift highlights the role of strategic agility, customer co-</w:t>
      </w:r>
      <w:r w:rsidR="00E323A9">
        <w:t>creation,</w:t>
      </w:r>
      <w:r>
        <w:t xml:space="preserve"> and sustainability as </w:t>
      </w:r>
      <w:r w:rsidR="00E323A9">
        <w:t>long-term</w:t>
      </w:r>
      <w:r>
        <w:t xml:space="preserve"> success </w:t>
      </w:r>
      <w:r w:rsidR="00E323A9">
        <w:t>behaviours</w:t>
      </w:r>
      <w:r>
        <w:t>. Nonetheless, excessive dependence on leisure and the adoption of technologies imbalancedly are still important weak points. To survive in the post-pandemic hospitality industry, its future relies on the ability to remain flexible, be data-driven and self-conscious with a fresh look at the guest experience.</w:t>
      </w:r>
    </w:p>
    <w:p w14:paraId="334429A2" w14:textId="77777777" w:rsidR="004A46D2" w:rsidRDefault="004A46D2" w:rsidP="004A46D2"/>
    <w:p w14:paraId="20E5CEBD" w14:textId="1D9ACFDC" w:rsidR="004A46D2" w:rsidRDefault="004A46D2" w:rsidP="00031CB9">
      <w:pPr>
        <w:pStyle w:val="Heading1"/>
      </w:pPr>
      <w:bookmarkStart w:id="15" w:name="_Toc212316639"/>
      <w:r>
        <w:t>6. Recommendations</w:t>
      </w:r>
      <w:bookmarkEnd w:id="15"/>
    </w:p>
    <w:p w14:paraId="416D24DA" w14:textId="4F1D1003" w:rsidR="004A46D2" w:rsidRDefault="004A46D2" w:rsidP="004A46D2">
      <w:r>
        <w:t xml:space="preserve">The hospitality industry needs to formalise adaptive strategies that incorporate technology, human experience and sustainability </w:t>
      </w:r>
      <w:r w:rsidR="009A22B6">
        <w:t>to</w:t>
      </w:r>
      <w:r>
        <w:t xml:space="preserve"> survive in a </w:t>
      </w:r>
      <w:r w:rsidR="009A22B6">
        <w:t>post-business commuting</w:t>
      </w:r>
      <w:r>
        <w:t xml:space="preserve"> era and ensure profitability and competitiveness. Future strategic progress can be suggested by the following recommendations:</w:t>
      </w:r>
    </w:p>
    <w:p w14:paraId="075EE531" w14:textId="3E57AB00" w:rsidR="004A46D2" w:rsidRPr="00031CB9" w:rsidRDefault="004A46D2" w:rsidP="004A46D2">
      <w:pPr>
        <w:rPr>
          <w:b/>
          <w:bCs/>
        </w:rPr>
      </w:pPr>
      <w:r w:rsidRPr="00031CB9">
        <w:rPr>
          <w:b/>
          <w:bCs/>
        </w:rPr>
        <w:t>1. Data-Driven Personalisation</w:t>
      </w:r>
    </w:p>
    <w:p w14:paraId="1E270662" w14:textId="64AE3613" w:rsidR="004A46D2" w:rsidRDefault="004A46D2" w:rsidP="004A46D2">
      <w:r>
        <w:t xml:space="preserve">Advanced CRM and AI analytics are recommended to help hotels create even more insights about the preferences and booking trends of their customer (Buhalis and Sinarta, 2019). Predictive personalisation will enable </w:t>
      </w:r>
      <w:r w:rsidR="009A22B6">
        <w:t xml:space="preserve">the </w:t>
      </w:r>
      <w:r>
        <w:t>satisfaction of the guests, pricing optimisation, and brand loyalty. Omnichannel experiences will be developed by integrating the customer information in the booking, F&amp;B, and loyalty system (Santos and Silva, 2019).</w:t>
      </w:r>
    </w:p>
    <w:p w14:paraId="7B2DF947" w14:textId="04363FF7" w:rsidR="004A46D2" w:rsidRPr="00031CB9" w:rsidRDefault="004A46D2" w:rsidP="004A46D2">
      <w:pPr>
        <w:rPr>
          <w:b/>
          <w:bCs/>
        </w:rPr>
      </w:pPr>
      <w:r w:rsidRPr="00031CB9">
        <w:rPr>
          <w:b/>
          <w:bCs/>
        </w:rPr>
        <w:t>2. Cooperation with Technology and Wellness Brands</w:t>
      </w:r>
    </w:p>
    <w:p w14:paraId="649AF85D" w14:textId="452C2ABE" w:rsidR="004A46D2" w:rsidRDefault="004A46D2" w:rsidP="004A46D2">
      <w:r>
        <w:t xml:space="preserve">Cooperation with fitness, nutrition, and mindfulness brands will help hotels </w:t>
      </w:r>
      <w:r w:rsidR="009A22B6">
        <w:t>stand out</w:t>
      </w:r>
      <w:r>
        <w:t xml:space="preserve"> with experiences in wellness (Smith and Puczkó, 2022). Also, collaboration with remote-working services and technology companies can enhance the infrastructure of hybrid meetings and digital productivity services (Gretzel et al., 2021). This type of alliance helps to create value co-creation and is consistent with consumer preferences due to </w:t>
      </w:r>
      <w:r w:rsidR="009A22B6">
        <w:t xml:space="preserve">an </w:t>
      </w:r>
      <w:r>
        <w:t>experience-based</w:t>
      </w:r>
      <w:r w:rsidR="009A22B6">
        <w:t>,</w:t>
      </w:r>
      <w:r>
        <w:t xml:space="preserve"> holistic lifestyle.</w:t>
      </w:r>
    </w:p>
    <w:p w14:paraId="2BE160DB" w14:textId="77777777" w:rsidR="00031CB9" w:rsidRDefault="00031CB9" w:rsidP="004A46D2"/>
    <w:p w14:paraId="384BAC5A" w14:textId="77777777" w:rsidR="00031CB9" w:rsidRDefault="00031CB9" w:rsidP="004A46D2"/>
    <w:p w14:paraId="40629AB1" w14:textId="05A0C699" w:rsidR="00031CB9" w:rsidRPr="00031CB9" w:rsidRDefault="000D4CB4" w:rsidP="004A46D2">
      <w:pPr>
        <w:rPr>
          <w:b/>
          <w:bCs/>
        </w:rPr>
      </w:pPr>
      <w:r>
        <w:rPr>
          <w:b/>
          <w:bCs/>
        </w:rPr>
        <w:lastRenderedPageBreak/>
        <w:t>3</w:t>
      </w:r>
      <w:r w:rsidR="00031CB9" w:rsidRPr="00031CB9">
        <w:rPr>
          <w:b/>
          <w:bCs/>
        </w:rPr>
        <w:t>. Workforce and Skill Development</w:t>
      </w:r>
    </w:p>
    <w:p w14:paraId="4333776F" w14:textId="03EFA038" w:rsidR="004A46D2" w:rsidRDefault="004A46D2" w:rsidP="004A46D2">
      <w:r>
        <w:t>Human capital will continue to be at the centre of ensuring grandiose guest experiences. Employees can be empowered to work in the hybrid models by investing in digital literacy, training in wellness services, and any cultural intelligence (Baum et al., 2020). An encouraging organisational culture that values mental health and flexibility will lower the turnover</w:t>
      </w:r>
      <w:r w:rsidR="000D4CB4">
        <w:t>,</w:t>
      </w:r>
      <w:r>
        <w:t xml:space="preserve"> and quality will be maintained.</w:t>
      </w:r>
    </w:p>
    <w:p w14:paraId="6E0CEE60" w14:textId="308E8A3B" w:rsidR="00031CB9" w:rsidRDefault="004A46D2" w:rsidP="004A46D2">
      <w:r>
        <w:t>Together, these strategies create a robust, creative and customer-focused hospitality ecosystem. Technology, empathy, and sustainability Hotel will stand out as leaders in the new</w:t>
      </w:r>
      <w:r w:rsidR="000D4CB4">
        <w:t>,</w:t>
      </w:r>
      <w:r>
        <w:t xml:space="preserve"> reshaped travel environment in the post-pandemic world.</w:t>
      </w:r>
    </w:p>
    <w:p w14:paraId="42257F69" w14:textId="77777777" w:rsidR="00031CB9" w:rsidRDefault="00031CB9">
      <w:pPr>
        <w:spacing w:line="259" w:lineRule="auto"/>
        <w:jc w:val="left"/>
      </w:pPr>
      <w:r>
        <w:br w:type="page"/>
      </w:r>
    </w:p>
    <w:p w14:paraId="439646BF" w14:textId="4E4E8B41" w:rsidR="00031CB9" w:rsidRDefault="00630430" w:rsidP="00630430">
      <w:pPr>
        <w:pStyle w:val="Heading1"/>
      </w:pPr>
      <w:bookmarkStart w:id="16" w:name="_Toc212316640"/>
      <w:r>
        <w:lastRenderedPageBreak/>
        <w:t>References</w:t>
      </w:r>
      <w:bookmarkEnd w:id="16"/>
      <w:r>
        <w:t xml:space="preserve"> </w:t>
      </w:r>
    </w:p>
    <w:p w14:paraId="5CC71E8E" w14:textId="19474DCF" w:rsidR="00031CB9" w:rsidRDefault="00031CB9" w:rsidP="00630430">
      <w:r w:rsidRPr="00031CB9">
        <w:t>Accor (2023)</w:t>
      </w:r>
      <w:r w:rsidR="000D4CB4">
        <w:t>.</w:t>
      </w:r>
      <w:r w:rsidRPr="00031CB9">
        <w:t xml:space="preserve"> </w:t>
      </w:r>
      <w:r w:rsidRPr="00630430">
        <w:rPr>
          <w:i/>
          <w:iCs/>
        </w:rPr>
        <w:t>Accor ALL Connect Hybrid Meetings Program</w:t>
      </w:r>
      <w:r w:rsidRPr="00031CB9">
        <w:t>. Paris: Accor Group.</w:t>
      </w:r>
    </w:p>
    <w:p w14:paraId="5DEC1416" w14:textId="77777777" w:rsidR="00031CB9" w:rsidRDefault="00031CB9" w:rsidP="00630430">
      <w:r w:rsidRPr="00031CB9">
        <w:t xml:space="preserve">Baum, T., Mooney, S., Robinson, R. and Solnet, D. (2020) ‘COVID-19’s impact on hospitality workforce: New crisis or accelerated change?’, </w:t>
      </w:r>
      <w:r w:rsidRPr="00630430">
        <w:rPr>
          <w:i/>
          <w:iCs/>
        </w:rPr>
        <w:t>International Journal of Contemporary Hospitality Management</w:t>
      </w:r>
      <w:r w:rsidRPr="00031CB9">
        <w:t>, 32(9), pp. 2813–2830.</w:t>
      </w:r>
    </w:p>
    <w:p w14:paraId="44CB7C6A" w14:textId="7F63EBF5" w:rsidR="00031CB9" w:rsidRDefault="00031CB9" w:rsidP="00630430">
      <w:r w:rsidRPr="00031CB9">
        <w:t>Brotherton, B. (2015)</w:t>
      </w:r>
      <w:r w:rsidR="000D4CB4">
        <w:t>.</w:t>
      </w:r>
      <w:r w:rsidRPr="00031CB9">
        <w:t xml:space="preserve"> </w:t>
      </w:r>
      <w:r w:rsidRPr="00630430">
        <w:rPr>
          <w:i/>
          <w:iCs/>
        </w:rPr>
        <w:t>Researching Hospitality and Tourism</w:t>
      </w:r>
      <w:r w:rsidRPr="00031CB9">
        <w:t>. 2nd edn. London: Sage.</w:t>
      </w:r>
    </w:p>
    <w:p w14:paraId="79CE7AFE" w14:textId="77777777" w:rsidR="00031CB9" w:rsidRDefault="00031CB9" w:rsidP="00630430">
      <w:r w:rsidRPr="00031CB9">
        <w:t xml:space="preserve">Buhalis, D. and Sinarta, Y. (2019) ‘Real-time co-creation and nowness service: Lessons from tourism and hospitality’, </w:t>
      </w:r>
      <w:r w:rsidRPr="00630430">
        <w:rPr>
          <w:i/>
          <w:iCs/>
        </w:rPr>
        <w:t>Journal of Travel &amp; Tourism Marketing</w:t>
      </w:r>
      <w:r w:rsidRPr="00031CB9">
        <w:t>, 36(5), pp. 563–582.</w:t>
      </w:r>
    </w:p>
    <w:p w14:paraId="0151670D" w14:textId="468AB548" w:rsidR="00031CB9" w:rsidRDefault="00031CB9" w:rsidP="00630430">
      <w:r w:rsidRPr="00031CB9">
        <w:t>Clegg, S.R., Skyttermoen, T. and Vaagaasar, A.L. (2021)</w:t>
      </w:r>
      <w:r w:rsidR="000D4CB4">
        <w:t>.</w:t>
      </w:r>
      <w:r w:rsidRPr="00031CB9">
        <w:t xml:space="preserve"> </w:t>
      </w:r>
      <w:r w:rsidRPr="00630430">
        <w:rPr>
          <w:i/>
          <w:iCs/>
        </w:rPr>
        <w:t>Project Management: A Value Creation Approach</w:t>
      </w:r>
      <w:r w:rsidRPr="00031CB9">
        <w:t>. London: Sage.</w:t>
      </w:r>
    </w:p>
    <w:p w14:paraId="163C2BFF" w14:textId="5D500652" w:rsidR="00031CB9" w:rsidRDefault="00031CB9" w:rsidP="00630430">
      <w:r w:rsidRPr="00031CB9">
        <w:t>Cooper, C. and Hall, M. (2019)</w:t>
      </w:r>
      <w:r w:rsidR="000D4CB4">
        <w:t>.</w:t>
      </w:r>
      <w:r w:rsidRPr="00031CB9">
        <w:t xml:space="preserve"> </w:t>
      </w:r>
      <w:r w:rsidRPr="00630430">
        <w:rPr>
          <w:i/>
          <w:iCs/>
        </w:rPr>
        <w:t>Contemporary Tourism: An International Approach</w:t>
      </w:r>
      <w:r w:rsidRPr="00031CB9">
        <w:t>. 4th edn. Oxford: Goodfellow.</w:t>
      </w:r>
    </w:p>
    <w:p w14:paraId="04B157F6" w14:textId="5604B61B" w:rsidR="00031CB9" w:rsidRDefault="00031CB9" w:rsidP="00630430">
      <w:r w:rsidRPr="00031CB9">
        <w:t>Costa, V. and Costa, C. (2022)</w:t>
      </w:r>
      <w:r w:rsidR="000D4CB4">
        <w:t>.</w:t>
      </w:r>
      <w:r w:rsidRPr="00031CB9">
        <w:t xml:space="preserve"> </w:t>
      </w:r>
      <w:r w:rsidRPr="00630430">
        <w:rPr>
          <w:i/>
          <w:iCs/>
        </w:rPr>
        <w:t>Sustainability and Competitiveness in the Hospitality Industry</w:t>
      </w:r>
      <w:r w:rsidRPr="00031CB9">
        <w:t>. Hershey, PA: IGI Global.</w:t>
      </w:r>
    </w:p>
    <w:p w14:paraId="5C5EA6B4" w14:textId="77777777" w:rsidR="00031CB9" w:rsidRDefault="00031CB9" w:rsidP="00630430">
      <w:r w:rsidRPr="00031CB9">
        <w:t xml:space="preserve">Darcy, S., Ambrose, J. and Buhalis, D. (2012) </w:t>
      </w:r>
      <w:r w:rsidRPr="00630430">
        <w:rPr>
          <w:i/>
          <w:iCs/>
        </w:rPr>
        <w:t>Best Practice in Accessible Tourism: Inclusion, Disability, Ageing Population and Tourism</w:t>
      </w:r>
      <w:r w:rsidRPr="00031CB9">
        <w:t>. London: Channel View.</w:t>
      </w:r>
    </w:p>
    <w:p w14:paraId="362E3EDD" w14:textId="5E10B41B" w:rsidR="00031CB9" w:rsidRDefault="00031CB9" w:rsidP="00630430">
      <w:r w:rsidRPr="00031CB9">
        <w:t xml:space="preserve">Dolnicar, S. and Ring, A. (2022) </w:t>
      </w:r>
      <w:r w:rsidRPr="00630430">
        <w:rPr>
          <w:i/>
          <w:iCs/>
        </w:rPr>
        <w:t>Marketing in Travel and Tourism</w:t>
      </w:r>
      <w:r w:rsidRPr="00031CB9">
        <w:t>. 2nd edn. London: Routledge.</w:t>
      </w:r>
      <w:r w:rsidRPr="00031CB9">
        <w:br/>
        <w:t>Ford, R.C. and Sturman, M.C. (2020)</w:t>
      </w:r>
      <w:r w:rsidR="000D4CB4">
        <w:t>.</w:t>
      </w:r>
      <w:r w:rsidRPr="00031CB9">
        <w:t xml:space="preserve"> </w:t>
      </w:r>
      <w:r w:rsidRPr="00630430">
        <w:rPr>
          <w:i/>
          <w:iCs/>
        </w:rPr>
        <w:t xml:space="preserve">Managing Hospitality </w:t>
      </w:r>
      <w:r w:rsidR="000D4CB4">
        <w:rPr>
          <w:i/>
          <w:iCs/>
        </w:rPr>
        <w:t>Organisations</w:t>
      </w:r>
      <w:r w:rsidRPr="00031CB9">
        <w:t>. 2nd edn. London: Sage.</w:t>
      </w:r>
      <w:r w:rsidRPr="00031CB9">
        <w:br/>
        <w:t xml:space="preserve">Gössling, S. and Hall, C.M. (2021) ‘Pandemics, tourism and global change: A rapid assessment of COVID-19’, </w:t>
      </w:r>
      <w:r w:rsidRPr="00630430">
        <w:rPr>
          <w:i/>
          <w:iCs/>
        </w:rPr>
        <w:t>Journal of Sustainable Tourism</w:t>
      </w:r>
      <w:r w:rsidRPr="00031CB9">
        <w:t>, 29(1), pp. 1–20.</w:t>
      </w:r>
    </w:p>
    <w:p w14:paraId="3E643AE4" w14:textId="77777777" w:rsidR="00031CB9" w:rsidRDefault="00031CB9" w:rsidP="00630430">
      <w:r w:rsidRPr="00031CB9">
        <w:t xml:space="preserve">Gretzel, U., Fuchs, M., Baggio, R. and Hoepken, W. (2021) ‘Smart tourism and digital transformation post-COVID-19’, </w:t>
      </w:r>
      <w:r w:rsidRPr="00630430">
        <w:rPr>
          <w:i/>
          <w:iCs/>
        </w:rPr>
        <w:t>Tourism Management Perspectives</w:t>
      </w:r>
      <w:r w:rsidRPr="00031CB9">
        <w:t>, 38, pp. 100–118.</w:t>
      </w:r>
    </w:p>
    <w:p w14:paraId="263416E5" w14:textId="77777777" w:rsidR="00031CB9" w:rsidRDefault="00031CB9" w:rsidP="00630430">
      <w:r w:rsidRPr="00031CB9">
        <w:t xml:space="preserve">Guttentag, D. (2019) ‘Progress on Airbnb: A literature review’, </w:t>
      </w:r>
      <w:r w:rsidRPr="00630430">
        <w:rPr>
          <w:i/>
          <w:iCs/>
        </w:rPr>
        <w:t>Journal of Hospitality and Tourism Technology</w:t>
      </w:r>
      <w:r w:rsidRPr="00031CB9">
        <w:t>, 10(4), pp. 814–827.</w:t>
      </w:r>
    </w:p>
    <w:p w14:paraId="375F0F68" w14:textId="77777777" w:rsidR="00031CB9" w:rsidRDefault="00031CB9" w:rsidP="00630430">
      <w:r w:rsidRPr="00031CB9">
        <w:t xml:space="preserve">Hilton (2023) </w:t>
      </w:r>
      <w:r w:rsidRPr="00630430">
        <w:rPr>
          <w:i/>
          <w:iCs/>
        </w:rPr>
        <w:t>WorkSpaces by Hilton: Remote Work Solutions</w:t>
      </w:r>
      <w:r w:rsidRPr="00031CB9">
        <w:t>. McLean, VA: Hilton Worldwide.</w:t>
      </w:r>
    </w:p>
    <w:p w14:paraId="54DED5CE" w14:textId="21619D3C" w:rsidR="00031CB9" w:rsidRDefault="00031CB9" w:rsidP="00630430">
      <w:r w:rsidRPr="00031CB9">
        <w:t>Ivanov, S. and Webster, C. (2019)</w:t>
      </w:r>
      <w:r w:rsidR="000D4CB4">
        <w:t>.</w:t>
      </w:r>
      <w:r w:rsidRPr="00031CB9">
        <w:t xml:space="preserve"> </w:t>
      </w:r>
      <w:r w:rsidRPr="00630430">
        <w:rPr>
          <w:i/>
          <w:iCs/>
        </w:rPr>
        <w:t>Robots, Artificial Intelligence, and Service Automation in Travel, Tourism and Hospitality</w:t>
      </w:r>
      <w:r w:rsidRPr="00031CB9">
        <w:t>. Bingley: Emerald Publishing.</w:t>
      </w:r>
    </w:p>
    <w:p w14:paraId="03BD358D" w14:textId="12784630" w:rsidR="00031CB9" w:rsidRDefault="00031CB9" w:rsidP="00630430">
      <w:r w:rsidRPr="00031CB9">
        <w:lastRenderedPageBreak/>
        <w:t>Krippendorf, J. (2011)</w:t>
      </w:r>
      <w:r w:rsidR="000D4CB4">
        <w:t>.</w:t>
      </w:r>
      <w:r w:rsidRPr="00031CB9">
        <w:t xml:space="preserve"> </w:t>
      </w:r>
      <w:r w:rsidRPr="00630430">
        <w:rPr>
          <w:i/>
          <w:iCs/>
        </w:rPr>
        <w:t>The Holiday Makers: Understanding the Impact of Leisure and Travel</w:t>
      </w:r>
      <w:r w:rsidRPr="00031CB9">
        <w:t>. London: Routledge.</w:t>
      </w:r>
    </w:p>
    <w:p w14:paraId="0CBC236A" w14:textId="77777777" w:rsidR="00031CB9" w:rsidRDefault="00031CB9" w:rsidP="00630430">
      <w:r w:rsidRPr="00031CB9">
        <w:t xml:space="preserve">Kumar, S. and Shekhar, S. (2023) ‘Hospitality workforce recovery post-pandemic: Challenges and strategic responses’, </w:t>
      </w:r>
      <w:r w:rsidRPr="00630430">
        <w:rPr>
          <w:i/>
          <w:iCs/>
        </w:rPr>
        <w:t>Tourism Economics</w:t>
      </w:r>
      <w:r w:rsidRPr="00031CB9">
        <w:t>, 29(3), pp. 612–629.</w:t>
      </w:r>
    </w:p>
    <w:p w14:paraId="28A74E09" w14:textId="77777777" w:rsidR="00031CB9" w:rsidRDefault="00031CB9" w:rsidP="00630430">
      <w:r w:rsidRPr="00031CB9">
        <w:t xml:space="preserve">Laws, E., Prideaux, B. and Chon, K. (2007) </w:t>
      </w:r>
      <w:r w:rsidRPr="00630430">
        <w:rPr>
          <w:i/>
          <w:iCs/>
        </w:rPr>
        <w:t>Crisis Management in Tourism</w:t>
      </w:r>
      <w:r w:rsidRPr="00031CB9">
        <w:t>. Wallingford: CABI.</w:t>
      </w:r>
    </w:p>
    <w:p w14:paraId="35696F69" w14:textId="77777777" w:rsidR="00031CB9" w:rsidRDefault="00031CB9" w:rsidP="00630430">
      <w:r w:rsidRPr="00031CB9">
        <w:t xml:space="preserve">Marriott (2023) </w:t>
      </w:r>
      <w:r w:rsidRPr="00630430">
        <w:rPr>
          <w:i/>
          <w:iCs/>
        </w:rPr>
        <w:t>Apartments by Marriott Bonvoy: Long-Stay Market Expansion</w:t>
      </w:r>
      <w:r w:rsidRPr="00031CB9">
        <w:t>. Bethesda, MD: Marriott International.</w:t>
      </w:r>
    </w:p>
    <w:p w14:paraId="28E3D534" w14:textId="1A11F448" w:rsidR="00031CB9" w:rsidRDefault="00031CB9" w:rsidP="00630430">
      <w:r w:rsidRPr="00031CB9">
        <w:t>Mill, R. (2012)</w:t>
      </w:r>
      <w:r w:rsidR="000D4CB4">
        <w:t>.</w:t>
      </w:r>
      <w:r w:rsidRPr="00031CB9">
        <w:t xml:space="preserve"> </w:t>
      </w:r>
      <w:r w:rsidRPr="00630430">
        <w:rPr>
          <w:i/>
          <w:iCs/>
        </w:rPr>
        <w:t>Resorts Management and Operations</w:t>
      </w:r>
      <w:r w:rsidRPr="00031CB9">
        <w:t>. 3rd edn. London: Wiley.</w:t>
      </w:r>
    </w:p>
    <w:p w14:paraId="4776FF5C" w14:textId="77777777" w:rsidR="00031CB9" w:rsidRDefault="00031CB9" w:rsidP="00630430">
      <w:r w:rsidRPr="00031CB9">
        <w:t xml:space="preserve">OECD (2023) </w:t>
      </w:r>
      <w:r w:rsidRPr="00630430">
        <w:rPr>
          <w:i/>
          <w:iCs/>
        </w:rPr>
        <w:t>Tourism Trends and Policies 2023</w:t>
      </w:r>
      <w:r w:rsidRPr="00031CB9">
        <w:t>. Paris: OECD Publishing.</w:t>
      </w:r>
    </w:p>
    <w:p w14:paraId="3B2F5399" w14:textId="77777777" w:rsidR="00031CB9" w:rsidRDefault="00031CB9" w:rsidP="00630430">
      <w:r w:rsidRPr="00031CB9">
        <w:t xml:space="preserve">Pappas, N. (2021) ‘COVID-19 crisis and tourism resilience: Global evidence’, </w:t>
      </w:r>
      <w:r w:rsidRPr="00630430">
        <w:rPr>
          <w:i/>
          <w:iCs/>
        </w:rPr>
        <w:t>Tourism Management Perspectives</w:t>
      </w:r>
      <w:r w:rsidRPr="00031CB9">
        <w:t>, 37, pp. 100–119.</w:t>
      </w:r>
    </w:p>
    <w:p w14:paraId="21A6F2FE" w14:textId="77777777" w:rsidR="00031CB9" w:rsidRDefault="00031CB9" w:rsidP="00630430">
      <w:r w:rsidRPr="00031CB9">
        <w:t xml:space="preserve">Richards, G. (2022) </w:t>
      </w:r>
      <w:r w:rsidRPr="00630430">
        <w:rPr>
          <w:i/>
          <w:iCs/>
        </w:rPr>
        <w:t>Tourism, Creativity and Co-creation</w:t>
      </w:r>
      <w:r w:rsidRPr="00031CB9">
        <w:t>. London: Routledge.</w:t>
      </w:r>
    </w:p>
    <w:p w14:paraId="1CC4CF05" w14:textId="77777777" w:rsidR="00031CB9" w:rsidRDefault="00031CB9" w:rsidP="00630430">
      <w:r w:rsidRPr="00031CB9">
        <w:t xml:space="preserve">Santos, J.D. and Silva, Ó.L. (2019) </w:t>
      </w:r>
      <w:r w:rsidRPr="00630430">
        <w:rPr>
          <w:i/>
          <w:iCs/>
        </w:rPr>
        <w:t>Digital Marketing Strategies for Tourism, Hospitality, and Airline Industries</w:t>
      </w:r>
      <w:r w:rsidRPr="00031CB9">
        <w:t>. Hershey, PA: IGI Global.</w:t>
      </w:r>
    </w:p>
    <w:p w14:paraId="4546B700" w14:textId="5481EDFA" w:rsidR="00031CB9" w:rsidRDefault="00031CB9" w:rsidP="00630430">
      <w:r w:rsidRPr="00031CB9">
        <w:t>Sharma, M., Singh, A.K. and Tyagi, P. (2024)</w:t>
      </w:r>
      <w:r w:rsidR="000D4CB4">
        <w:t>.</w:t>
      </w:r>
      <w:r w:rsidRPr="00031CB9">
        <w:t xml:space="preserve"> </w:t>
      </w:r>
      <w:r w:rsidRPr="00630430">
        <w:rPr>
          <w:i/>
          <w:iCs/>
        </w:rPr>
        <w:t>Proceedings of the International Conference on Innovation and Regenerative Trends in Tourism and Hospitality Industry (IRTTHI 2024)</w:t>
      </w:r>
      <w:r w:rsidRPr="00031CB9">
        <w:t>. Dordrecht: Atlantis Press.</w:t>
      </w:r>
    </w:p>
    <w:p w14:paraId="7B5DBA60" w14:textId="77777777" w:rsidR="00031CB9" w:rsidRDefault="00031CB9" w:rsidP="00630430">
      <w:r w:rsidRPr="00031CB9">
        <w:t xml:space="preserve">Sigala, M. (2020) ‘Tourism and COVID-19: Impacts and implications for advancing and resetting industry and research’, </w:t>
      </w:r>
      <w:r w:rsidRPr="00630430">
        <w:rPr>
          <w:i/>
          <w:iCs/>
        </w:rPr>
        <w:t>Journal of Business Research</w:t>
      </w:r>
      <w:r w:rsidRPr="00031CB9">
        <w:t>, 117, pp. 312–321.</w:t>
      </w:r>
    </w:p>
    <w:p w14:paraId="55C3F048" w14:textId="63A72D25" w:rsidR="00031CB9" w:rsidRDefault="00031CB9" w:rsidP="00630430">
      <w:r w:rsidRPr="00031CB9">
        <w:t>Smith, M. and Puczkó, L. (2022)</w:t>
      </w:r>
      <w:r w:rsidR="000D4CB4">
        <w:t>.</w:t>
      </w:r>
      <w:r w:rsidRPr="00031CB9">
        <w:t xml:space="preserve"> </w:t>
      </w:r>
      <w:r w:rsidRPr="00630430">
        <w:rPr>
          <w:i/>
          <w:iCs/>
        </w:rPr>
        <w:t>The Routledge Handbook of Health and Wellness Tourism</w:t>
      </w:r>
      <w:r w:rsidRPr="00031CB9">
        <w:t>. London: Routledge.</w:t>
      </w:r>
    </w:p>
    <w:p w14:paraId="58E5DA4A" w14:textId="019C99AC" w:rsidR="00031CB9" w:rsidRDefault="00031CB9" w:rsidP="00630430">
      <w:r w:rsidRPr="00031CB9">
        <w:t>Tribe, J. (2009)</w:t>
      </w:r>
      <w:r w:rsidR="000D4CB4">
        <w:t>.</w:t>
      </w:r>
      <w:r w:rsidRPr="00031CB9">
        <w:t xml:space="preserve"> </w:t>
      </w:r>
      <w:r w:rsidRPr="00630430">
        <w:rPr>
          <w:i/>
          <w:iCs/>
        </w:rPr>
        <w:t>Philosophical Issues in Tourism</w:t>
      </w:r>
      <w:r w:rsidRPr="00031CB9">
        <w:t>. Bristol: Channel View Publications.</w:t>
      </w:r>
    </w:p>
    <w:p w14:paraId="252701E8" w14:textId="77777777" w:rsidR="00031CB9" w:rsidRDefault="00031CB9" w:rsidP="00630430">
      <w:r w:rsidRPr="00031CB9">
        <w:t xml:space="preserve">UNWTO (2023) </w:t>
      </w:r>
      <w:r w:rsidRPr="00630430">
        <w:rPr>
          <w:i/>
          <w:iCs/>
        </w:rPr>
        <w:t>World Tourism Barometer: Post-COVID Recovery Analysis</w:t>
      </w:r>
      <w:r w:rsidRPr="00031CB9">
        <w:t>. Madrid: UNWTO.</w:t>
      </w:r>
    </w:p>
    <w:p w14:paraId="6480E89C" w14:textId="77777777" w:rsidR="00031CB9" w:rsidRDefault="00031CB9" w:rsidP="00630430">
      <w:r w:rsidRPr="00031CB9">
        <w:t xml:space="preserve">WTTC (2024) </w:t>
      </w:r>
      <w:r w:rsidRPr="00630430">
        <w:rPr>
          <w:i/>
          <w:iCs/>
        </w:rPr>
        <w:t>Global Economic Impact &amp; Trends 2024</w:t>
      </w:r>
      <w:r w:rsidRPr="00031CB9">
        <w:t>. London: World Travel &amp; Tourism Council.</w:t>
      </w:r>
    </w:p>
    <w:p w14:paraId="664052D5" w14:textId="77777777" w:rsidR="00031CB9" w:rsidRDefault="00031CB9" w:rsidP="004A46D2"/>
    <w:sectPr w:rsidR="00031CB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EA4A3E" w14:textId="77777777" w:rsidR="00940ACE" w:rsidRDefault="00940ACE" w:rsidP="00630430">
      <w:pPr>
        <w:spacing w:after="0" w:line="240" w:lineRule="auto"/>
      </w:pPr>
      <w:r>
        <w:separator/>
      </w:r>
    </w:p>
  </w:endnote>
  <w:endnote w:type="continuationSeparator" w:id="0">
    <w:p w14:paraId="605F031D" w14:textId="77777777" w:rsidR="00940ACE" w:rsidRDefault="00940ACE" w:rsidP="006304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8019188"/>
      <w:docPartObj>
        <w:docPartGallery w:val="Page Numbers (Bottom of Page)"/>
        <w:docPartUnique/>
      </w:docPartObj>
    </w:sdtPr>
    <w:sdtContent>
      <w:p w14:paraId="106DD241" w14:textId="276A8EA2" w:rsidR="00630430" w:rsidRDefault="00630430">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6B5B804A" wp14:editId="5C215212">
                  <wp:simplePos x="0" y="0"/>
                  <wp:positionH relativeFrom="margin">
                    <wp:align>center</wp:align>
                  </wp:positionH>
                  <wp:positionV relativeFrom="bottomMargin">
                    <wp:align>center</wp:align>
                  </wp:positionV>
                  <wp:extent cx="1282700" cy="343535"/>
                  <wp:effectExtent l="9525" t="9525" r="12700" b="8890"/>
                  <wp:wrapNone/>
                  <wp:docPr id="179341442" name="Freeform: Shap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custGeom>
                            <a:avLst/>
                            <a:gdLst>
                              <a:gd name="T0" fmla="*/ 641350 w 21600"/>
                              <a:gd name="T1" fmla="*/ 0 h 21600"/>
                              <a:gd name="T2" fmla="*/ 187832 w 21600"/>
                              <a:gd name="T3" fmla="*/ 50306 h 21600"/>
                              <a:gd name="T4" fmla="*/ 0 w 21600"/>
                              <a:gd name="T5" fmla="*/ 171768 h 21600"/>
                              <a:gd name="T6" fmla="*/ 187832 w 21600"/>
                              <a:gd name="T7" fmla="*/ 293229 h 21600"/>
                              <a:gd name="T8" fmla="*/ 641350 w 21600"/>
                              <a:gd name="T9" fmla="*/ 343535 h 21600"/>
                              <a:gd name="T10" fmla="*/ 1094868 w 21600"/>
                              <a:gd name="T11" fmla="*/ 293229 h 21600"/>
                              <a:gd name="T12" fmla="*/ 1282700 w 21600"/>
                              <a:gd name="T13" fmla="*/ 171768 h 21600"/>
                              <a:gd name="T14" fmla="*/ 1094868 w 21600"/>
                              <a:gd name="T15" fmla="*/ 50306 h 21600"/>
                              <a:gd name="T16" fmla="*/ 0 60000 65536"/>
                              <a:gd name="T17" fmla="*/ 0 60000 65536"/>
                              <a:gd name="T18" fmla="*/ 0 60000 65536"/>
                              <a:gd name="T19" fmla="*/ 0 60000 65536"/>
                              <a:gd name="T20" fmla="*/ 0 60000 65536"/>
                              <a:gd name="T21" fmla="*/ 0 60000 65536"/>
                              <a:gd name="T22" fmla="*/ 0 60000 65536"/>
                              <a:gd name="T23" fmla="*/ 0 60000 65536"/>
                              <a:gd name="T24" fmla="*/ 3163 w 21600"/>
                              <a:gd name="T25" fmla="*/ 3163 h 21600"/>
                              <a:gd name="T26" fmla="*/ 18437 w 21600"/>
                              <a:gd name="T27" fmla="*/ 18437 h 21600"/>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T24" t="T25" r="T26" b="T27"/>
                            <a:pathLst>
                              <a:path w="21600" h="21600">
                                <a:moveTo>
                                  <a:pt x="0" y="10800"/>
                                </a:moveTo>
                                <a:cubicBezTo>
                                  <a:pt x="0" y="4835"/>
                                  <a:pt x="4835" y="0"/>
                                  <a:pt x="10800" y="0"/>
                                </a:cubicBezTo>
                                <a:cubicBezTo>
                                  <a:pt x="16765" y="0"/>
                                  <a:pt x="21600" y="4835"/>
                                  <a:pt x="21600" y="10800"/>
                                </a:cubicBezTo>
                                <a:cubicBezTo>
                                  <a:pt x="21600" y="16765"/>
                                  <a:pt x="16765" y="21600"/>
                                  <a:pt x="10800" y="21600"/>
                                </a:cubicBezTo>
                                <a:cubicBezTo>
                                  <a:pt x="4835" y="21600"/>
                                  <a:pt x="0" y="16765"/>
                                  <a:pt x="0" y="10800"/>
                                </a:cubicBezTo>
                                <a:close/>
                                <a:moveTo>
                                  <a:pt x="1999" y="10800"/>
                                </a:moveTo>
                                <a:cubicBezTo>
                                  <a:pt x="1999" y="15661"/>
                                  <a:pt x="5939" y="19601"/>
                                  <a:pt x="10800" y="19601"/>
                                </a:cubicBezTo>
                                <a:cubicBezTo>
                                  <a:pt x="15661" y="19601"/>
                                  <a:pt x="19601" y="15661"/>
                                  <a:pt x="19601" y="10800"/>
                                </a:cubicBezTo>
                                <a:cubicBezTo>
                                  <a:pt x="19601" y="5939"/>
                                  <a:pt x="15661" y="1999"/>
                                  <a:pt x="10800" y="1999"/>
                                </a:cubicBezTo>
                                <a:cubicBezTo>
                                  <a:pt x="5939" y="1999"/>
                                  <a:pt x="1999" y="5939"/>
                                  <a:pt x="1999" y="10800"/>
                                </a:cubicBezTo>
                                <a:close/>
                              </a:path>
                            </a:pathLst>
                          </a:custGeom>
                          <a:noFill/>
                          <a:ln w="9525">
                            <a:solidFill>
                              <a:srgbClr val="A5A5A5"/>
                            </a:solidFill>
                            <a:round/>
                            <a:headEnd/>
                            <a:tailEnd/>
                          </a:ln>
                          <a:extLst>
                            <a:ext uri="{909E8E84-426E-40DD-AFC4-6F175D3DCCD1}">
                              <a14:hiddenFill xmlns:a14="http://schemas.microsoft.com/office/drawing/2010/main">
                                <a:solidFill>
                                  <a:srgbClr val="17365D"/>
                                </a:solidFill>
                              </a14:hiddenFill>
                            </a:ext>
                          </a:extLst>
                        </wps:spPr>
                        <wps:txbx>
                          <w:txbxContent>
                            <w:p w14:paraId="30558BC6" w14:textId="77777777" w:rsidR="00630430" w:rsidRDefault="00630430">
                              <w:pPr>
                                <w:jc w:val="cente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5B804A" id="Freeform: Shape 1" o:spid="_x0000_s1026" style="position:absolute;left:0;text-align:left;margin-left:0;margin-top:0;width:101pt;height:27.0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" adj="-11796480,,5400" path="m,10800c,4835,4835,,10800,v5965,,10800,4835,10800,10800c21600,16765,16765,21600,10800,21600,4835,21600,,16765,,10800xm1999,10800v,4861,3940,8801,8801,8801c15661,19601,19601,15661,19601,10800v,-4861,-3940,-8801,-8801,-8801c5939,1999,1999,5939,1999,10800xe" filled="f" fillcolor="#17365d" strokecolor="#a5a5a5">
                  <v:stroke joinstyle="round"/>
                  <v:formulas/>
                  <v:path o:connecttype="custom" o:connectlocs="38086095,0;11154264,800087;0,2731867;11154264,4663631;38086095,5463717;65017925,4663631;76172189,2731867;65017925,800087" o:connectangles="0,0,0,0,0,0,0,0" textboxrect="3163,3163,18437,18437"/>
                  <v:textbox>
                    <w:txbxContent>
                      <w:p w14:paraId="30558BC6" w14:textId="77777777" w:rsidR="00630430" w:rsidRDefault="00630430">
                        <w:pPr>
                          <w:jc w:val="cente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7DD757" w14:textId="77777777" w:rsidR="00940ACE" w:rsidRDefault="00940ACE" w:rsidP="00630430">
      <w:pPr>
        <w:spacing w:after="0" w:line="240" w:lineRule="auto"/>
      </w:pPr>
      <w:r>
        <w:separator/>
      </w:r>
    </w:p>
  </w:footnote>
  <w:footnote w:type="continuationSeparator" w:id="0">
    <w:p w14:paraId="3E8FD1D1" w14:textId="77777777" w:rsidR="00940ACE" w:rsidRDefault="00940ACE" w:rsidP="006304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7587D"/>
    <w:multiLevelType w:val="hybridMultilevel"/>
    <w:tmpl w:val="F43C58CC"/>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16cid:durableId="12622983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6D2"/>
    <w:rsid w:val="00031CB9"/>
    <w:rsid w:val="00071D7D"/>
    <w:rsid w:val="0009660C"/>
    <w:rsid w:val="000D4CB4"/>
    <w:rsid w:val="00131B60"/>
    <w:rsid w:val="00260B00"/>
    <w:rsid w:val="00276239"/>
    <w:rsid w:val="002A3127"/>
    <w:rsid w:val="0032068E"/>
    <w:rsid w:val="00351E3A"/>
    <w:rsid w:val="00371A9E"/>
    <w:rsid w:val="003A5534"/>
    <w:rsid w:val="003A7053"/>
    <w:rsid w:val="003F0893"/>
    <w:rsid w:val="003F2DBC"/>
    <w:rsid w:val="0044262B"/>
    <w:rsid w:val="004A46D2"/>
    <w:rsid w:val="004B11AD"/>
    <w:rsid w:val="00500F88"/>
    <w:rsid w:val="00512F6C"/>
    <w:rsid w:val="005616AD"/>
    <w:rsid w:val="0058351C"/>
    <w:rsid w:val="006063B5"/>
    <w:rsid w:val="00630430"/>
    <w:rsid w:val="0078611C"/>
    <w:rsid w:val="00922B1D"/>
    <w:rsid w:val="00940ACE"/>
    <w:rsid w:val="009A22B6"/>
    <w:rsid w:val="009C69BF"/>
    <w:rsid w:val="00A1461C"/>
    <w:rsid w:val="00A51C89"/>
    <w:rsid w:val="00AD3D05"/>
    <w:rsid w:val="00AE545C"/>
    <w:rsid w:val="00B2768D"/>
    <w:rsid w:val="00B62765"/>
    <w:rsid w:val="00BB5721"/>
    <w:rsid w:val="00BC3BA4"/>
    <w:rsid w:val="00C01E79"/>
    <w:rsid w:val="00C3305E"/>
    <w:rsid w:val="00CD2966"/>
    <w:rsid w:val="00DB14D1"/>
    <w:rsid w:val="00DF3FAB"/>
    <w:rsid w:val="00E323A9"/>
    <w:rsid w:val="00EF100E"/>
    <w:rsid w:val="00F738CD"/>
  </w:rsids>
  <m:mathPr>
    <m:mathFont m:val="Cambria Math"/>
    <m:brkBin m:val="before"/>
    <m:brkBinSub m:val="--"/>
    <m:smallFrac m:val="0"/>
    <m:dispDef/>
    <m:lMargin m:val="0"/>
    <m:rMargin m:val="0"/>
    <m:defJc m:val="centerGroup"/>
    <m:wrapIndent m:val="1440"/>
    <m:intLim m:val="subSup"/>
    <m:naryLim m:val="undOvr"/>
  </m:mathPr>
  <w:themeFontLang w:val="en-SG"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3D65299"/>
  <w15:chartTrackingRefBased/>
  <w15:docId w15:val="{B7D844C4-838C-4F14-BC32-4E6866DA6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61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51E3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461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AD3D05"/>
    <w:pPr>
      <w:keepNext/>
      <w:keepLines/>
      <w:spacing w:before="40" w:after="0"/>
      <w:outlineLvl w:val="2"/>
    </w:pPr>
    <w:rPr>
      <w:rFonts w:eastAsiaTheme="majorEastAsia" w:cstheme="majorBidi"/>
      <w:color w:val="1F3763" w:themeColor="accent1" w:themeShade="7F"/>
      <w:szCs w:val="24"/>
    </w:rPr>
  </w:style>
  <w:style w:type="paragraph" w:styleId="Heading4">
    <w:name w:val="heading 4"/>
    <w:basedOn w:val="Normal"/>
    <w:link w:val="Heading4Char"/>
    <w:uiPriority w:val="9"/>
    <w:unhideWhenUsed/>
    <w:qFormat/>
    <w:rsid w:val="00260B00"/>
    <w:pPr>
      <w:widowControl w:val="0"/>
      <w:autoSpaceDE w:val="0"/>
      <w:autoSpaceDN w:val="0"/>
      <w:spacing w:before="160" w:after="0"/>
      <w:ind w:left="100"/>
      <w:outlineLvl w:val="3"/>
    </w:pPr>
    <w:rPr>
      <w:rFonts w:eastAsia="Times New Roman" w:cs="Times New Roman"/>
      <w:b/>
      <w:bCs/>
      <w:kern w:val="0"/>
      <w:szCs w:val="24"/>
      <w:lang w:val="en-US"/>
      <w14:ligatures w14:val="none"/>
    </w:rPr>
  </w:style>
  <w:style w:type="paragraph" w:styleId="Heading5">
    <w:name w:val="heading 5"/>
    <w:basedOn w:val="Normal"/>
    <w:next w:val="Normal"/>
    <w:link w:val="Heading5Char"/>
    <w:uiPriority w:val="9"/>
    <w:semiHidden/>
    <w:unhideWhenUsed/>
    <w:qFormat/>
    <w:rsid w:val="004A46D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A46D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A46D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A46D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A46D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E3A"/>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A1461C"/>
    <w:rPr>
      <w:rFonts w:ascii="Times New Roman" w:eastAsiaTheme="majorEastAsia" w:hAnsi="Times New Roman" w:cstheme="majorBidi"/>
      <w:color w:val="2F5496" w:themeColor="accent1" w:themeShade="BF"/>
      <w:sz w:val="28"/>
      <w:szCs w:val="26"/>
      <w:lang w:val="en-GB"/>
    </w:rPr>
  </w:style>
  <w:style w:type="character" w:customStyle="1" w:styleId="Heading3Char">
    <w:name w:val="Heading 3 Char"/>
    <w:basedOn w:val="DefaultParagraphFont"/>
    <w:link w:val="Heading3"/>
    <w:uiPriority w:val="9"/>
    <w:rsid w:val="00AD3D05"/>
    <w:rPr>
      <w:rFonts w:ascii="Times New Roman" w:eastAsiaTheme="majorEastAsia" w:hAnsi="Times New Roman" w:cstheme="majorBidi"/>
      <w:color w:val="1F3763" w:themeColor="accent1" w:themeShade="7F"/>
      <w:sz w:val="24"/>
      <w:szCs w:val="24"/>
      <w:lang w:val="en-GB"/>
    </w:rPr>
  </w:style>
  <w:style w:type="character" w:customStyle="1" w:styleId="Heading4Char">
    <w:name w:val="Heading 4 Char"/>
    <w:basedOn w:val="DefaultParagraphFont"/>
    <w:link w:val="Heading4"/>
    <w:uiPriority w:val="9"/>
    <w:rsid w:val="00260B00"/>
    <w:rPr>
      <w:rFonts w:ascii="Times New Roman" w:eastAsia="Times New Roman" w:hAnsi="Times New Roman" w:cs="Times New Roman"/>
      <w:b/>
      <w:bCs/>
      <w:kern w:val="0"/>
      <w:sz w:val="24"/>
      <w:szCs w:val="24"/>
      <w:lang w:val="en-US"/>
      <w14:ligatures w14:val="none"/>
    </w:rPr>
  </w:style>
  <w:style w:type="character" w:customStyle="1" w:styleId="Heading5Char">
    <w:name w:val="Heading 5 Char"/>
    <w:basedOn w:val="DefaultParagraphFont"/>
    <w:link w:val="Heading5"/>
    <w:uiPriority w:val="9"/>
    <w:semiHidden/>
    <w:rsid w:val="004A46D2"/>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4A46D2"/>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4A46D2"/>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4A46D2"/>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4A46D2"/>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4A46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46D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A46D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46D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A46D2"/>
    <w:pPr>
      <w:spacing w:before="160"/>
      <w:jc w:val="center"/>
    </w:pPr>
    <w:rPr>
      <w:i/>
      <w:iCs/>
      <w:color w:val="404040" w:themeColor="text1" w:themeTint="BF"/>
    </w:rPr>
  </w:style>
  <w:style w:type="character" w:customStyle="1" w:styleId="QuoteChar">
    <w:name w:val="Quote Char"/>
    <w:basedOn w:val="DefaultParagraphFont"/>
    <w:link w:val="Quote"/>
    <w:uiPriority w:val="29"/>
    <w:rsid w:val="004A46D2"/>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4A46D2"/>
    <w:pPr>
      <w:ind w:left="720"/>
      <w:contextualSpacing/>
    </w:pPr>
  </w:style>
  <w:style w:type="character" w:styleId="IntenseEmphasis">
    <w:name w:val="Intense Emphasis"/>
    <w:basedOn w:val="DefaultParagraphFont"/>
    <w:uiPriority w:val="21"/>
    <w:qFormat/>
    <w:rsid w:val="004A46D2"/>
    <w:rPr>
      <w:i/>
      <w:iCs/>
      <w:color w:val="2F5496" w:themeColor="accent1" w:themeShade="BF"/>
    </w:rPr>
  </w:style>
  <w:style w:type="paragraph" w:styleId="IntenseQuote">
    <w:name w:val="Intense Quote"/>
    <w:basedOn w:val="Normal"/>
    <w:next w:val="Normal"/>
    <w:link w:val="IntenseQuoteChar"/>
    <w:uiPriority w:val="30"/>
    <w:qFormat/>
    <w:rsid w:val="004A46D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A46D2"/>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4A46D2"/>
    <w:rPr>
      <w:b/>
      <w:bCs/>
      <w:smallCaps/>
      <w:color w:val="2F5496" w:themeColor="accent1" w:themeShade="BF"/>
      <w:spacing w:val="5"/>
    </w:rPr>
  </w:style>
  <w:style w:type="paragraph" w:styleId="TOCHeading">
    <w:name w:val="TOC Heading"/>
    <w:basedOn w:val="Heading1"/>
    <w:next w:val="Normal"/>
    <w:uiPriority w:val="39"/>
    <w:unhideWhenUsed/>
    <w:qFormat/>
    <w:rsid w:val="00630430"/>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630430"/>
    <w:pPr>
      <w:spacing w:after="100"/>
    </w:pPr>
  </w:style>
  <w:style w:type="paragraph" w:styleId="TOC2">
    <w:name w:val="toc 2"/>
    <w:basedOn w:val="Normal"/>
    <w:next w:val="Normal"/>
    <w:autoRedefine/>
    <w:uiPriority w:val="39"/>
    <w:unhideWhenUsed/>
    <w:rsid w:val="00630430"/>
    <w:pPr>
      <w:spacing w:after="100"/>
      <w:ind w:left="240"/>
    </w:pPr>
  </w:style>
  <w:style w:type="character" w:styleId="Hyperlink">
    <w:name w:val="Hyperlink"/>
    <w:basedOn w:val="DefaultParagraphFont"/>
    <w:uiPriority w:val="99"/>
    <w:unhideWhenUsed/>
    <w:rsid w:val="00630430"/>
    <w:rPr>
      <w:color w:val="0563C1" w:themeColor="hyperlink"/>
      <w:u w:val="single"/>
    </w:rPr>
  </w:style>
  <w:style w:type="paragraph" w:styleId="Header">
    <w:name w:val="header"/>
    <w:basedOn w:val="Normal"/>
    <w:link w:val="HeaderChar"/>
    <w:uiPriority w:val="99"/>
    <w:unhideWhenUsed/>
    <w:rsid w:val="006304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430"/>
    <w:rPr>
      <w:rFonts w:ascii="Times New Roman" w:hAnsi="Times New Roman"/>
      <w:sz w:val="24"/>
      <w:lang w:val="en-GB"/>
    </w:rPr>
  </w:style>
  <w:style w:type="paragraph" w:styleId="Footer">
    <w:name w:val="footer"/>
    <w:basedOn w:val="Normal"/>
    <w:link w:val="FooterChar"/>
    <w:uiPriority w:val="99"/>
    <w:unhideWhenUsed/>
    <w:rsid w:val="006304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430"/>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FBE034-8456-498A-AA41-A418E7A73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3610</Words>
  <Characters>20578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buddhini hewa kanankege</cp:lastModifiedBy>
  <cp:revision>18</cp:revision>
  <dcterms:created xsi:type="dcterms:W3CDTF">2025-10-25T14:07:00Z</dcterms:created>
  <dcterms:modified xsi:type="dcterms:W3CDTF">2025-10-30T13:47:00Z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6081a49b-c91a-4a58-96e8-89675725c218</vt:lpwstr>
  </property>
</Properties>
</file>