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41A55" w14:textId="5F442A58" w:rsidR="00721E4C" w:rsidRDefault="00C2115D" w:rsidP="000C7739">
      <w:pPr>
        <w:spacing w:line="240" w:lineRule="auto"/>
        <w:jc w:val="center"/>
        <w:rPr>
          <w:rFonts w:ascii="Calibri" w:hAnsi="Calibri" w:cs="Calibri"/>
          <w:i/>
          <w:iCs/>
          <w:sz w:val="24"/>
          <w:szCs w:val="24"/>
        </w:rPr>
      </w:pPr>
      <w:r w:rsidRPr="00C2115D">
        <w:rPr>
          <w:rFonts w:ascii="Calibri" w:hAnsi="Calibri" w:cs="Calibri"/>
          <w:i/>
          <w:iCs/>
          <w:sz w:val="24"/>
          <w:szCs w:val="24"/>
        </w:rPr>
        <w:t>Was the road to Auschwitz a ‘straight road’ or a ‘twisted path’?</w:t>
      </w:r>
    </w:p>
    <w:p w14:paraId="5AD0770C" w14:textId="77777777" w:rsidR="00CB3DFA" w:rsidRPr="00C2115D" w:rsidRDefault="00CB3DFA" w:rsidP="000C7739">
      <w:pPr>
        <w:spacing w:line="240" w:lineRule="auto"/>
        <w:jc w:val="center"/>
        <w:rPr>
          <w:rFonts w:ascii="Calibri" w:hAnsi="Calibri" w:cs="Calibri"/>
          <w:i/>
          <w:iCs/>
          <w:sz w:val="24"/>
          <w:szCs w:val="24"/>
        </w:rPr>
      </w:pPr>
    </w:p>
    <w:p w14:paraId="51694ECF" w14:textId="07345289" w:rsidR="0042054C" w:rsidRPr="00491CE2" w:rsidRDefault="00102605" w:rsidP="00192F6D">
      <w:pPr>
        <w:spacing w:after="100" w:afterAutospacing="1" w:line="360" w:lineRule="auto"/>
        <w:rPr>
          <w:rFonts w:ascii="Calibri" w:hAnsi="Calibri" w:cs="Calibri"/>
          <w:sz w:val="24"/>
          <w:szCs w:val="24"/>
        </w:rPr>
      </w:pPr>
      <w:r w:rsidRPr="00491CE2">
        <w:rPr>
          <w:rFonts w:ascii="Calibri" w:hAnsi="Calibri" w:cs="Calibri"/>
          <w:sz w:val="24"/>
          <w:szCs w:val="24"/>
        </w:rPr>
        <w:t xml:space="preserve">The term </w:t>
      </w:r>
      <w:r w:rsidR="00635303" w:rsidRPr="00491CE2">
        <w:rPr>
          <w:rFonts w:ascii="Calibri" w:hAnsi="Calibri" w:cs="Calibri"/>
          <w:sz w:val="24"/>
          <w:szCs w:val="24"/>
        </w:rPr>
        <w:t>‘</w:t>
      </w:r>
      <w:r w:rsidR="00047FE9" w:rsidRPr="00491CE2">
        <w:rPr>
          <w:rFonts w:ascii="Calibri" w:hAnsi="Calibri" w:cs="Calibri"/>
          <w:sz w:val="24"/>
          <w:szCs w:val="24"/>
        </w:rPr>
        <w:t>H</w:t>
      </w:r>
      <w:r w:rsidRPr="00491CE2">
        <w:rPr>
          <w:rFonts w:ascii="Calibri" w:hAnsi="Calibri" w:cs="Calibri"/>
          <w:sz w:val="24"/>
          <w:szCs w:val="24"/>
        </w:rPr>
        <w:t>olocaust</w:t>
      </w:r>
      <w:r w:rsidR="00635303" w:rsidRPr="00491CE2">
        <w:rPr>
          <w:rFonts w:ascii="Calibri" w:hAnsi="Calibri" w:cs="Calibri"/>
          <w:sz w:val="24"/>
          <w:szCs w:val="24"/>
        </w:rPr>
        <w:t>’</w:t>
      </w:r>
      <w:r w:rsidRPr="00491CE2">
        <w:rPr>
          <w:rFonts w:ascii="Calibri" w:hAnsi="Calibri" w:cs="Calibri"/>
          <w:sz w:val="24"/>
          <w:szCs w:val="24"/>
        </w:rPr>
        <w:t xml:space="preserve"> primarily refers to genocide, particularly the systematic extermination of Jews during the Second World War (Garber and Zuckerman, 1989). Raphael Lemkin</w:t>
      </w:r>
      <w:r w:rsidR="00B20EB0" w:rsidRPr="00491CE2">
        <w:rPr>
          <w:rFonts w:ascii="Calibri" w:hAnsi="Calibri" w:cs="Calibri"/>
          <w:sz w:val="24"/>
          <w:szCs w:val="24"/>
        </w:rPr>
        <w:t xml:space="preserve"> devised</w:t>
      </w:r>
      <w:r w:rsidRPr="00491CE2">
        <w:rPr>
          <w:rFonts w:ascii="Calibri" w:hAnsi="Calibri" w:cs="Calibri"/>
          <w:sz w:val="24"/>
          <w:szCs w:val="24"/>
        </w:rPr>
        <w:t xml:space="preserve"> the term </w:t>
      </w:r>
      <w:r w:rsidR="00635303" w:rsidRPr="00491CE2">
        <w:rPr>
          <w:rFonts w:ascii="Calibri" w:hAnsi="Calibri" w:cs="Calibri"/>
          <w:sz w:val="24"/>
          <w:szCs w:val="24"/>
        </w:rPr>
        <w:t>‘g</w:t>
      </w:r>
      <w:r w:rsidRPr="00491CE2">
        <w:rPr>
          <w:rFonts w:ascii="Calibri" w:hAnsi="Calibri" w:cs="Calibri"/>
          <w:sz w:val="24"/>
          <w:szCs w:val="24"/>
        </w:rPr>
        <w:t>enocide</w:t>
      </w:r>
      <w:r w:rsidR="00635303" w:rsidRPr="00491CE2">
        <w:rPr>
          <w:rFonts w:ascii="Calibri" w:hAnsi="Calibri" w:cs="Calibri"/>
          <w:sz w:val="24"/>
          <w:szCs w:val="24"/>
        </w:rPr>
        <w:t>’</w:t>
      </w:r>
      <w:r w:rsidRPr="00491CE2">
        <w:rPr>
          <w:rFonts w:ascii="Calibri" w:hAnsi="Calibri" w:cs="Calibri"/>
          <w:sz w:val="24"/>
          <w:szCs w:val="24"/>
        </w:rPr>
        <w:t xml:space="preserve"> </w:t>
      </w:r>
      <w:r w:rsidR="00B20EB0" w:rsidRPr="00491CE2">
        <w:rPr>
          <w:rFonts w:ascii="Calibri" w:hAnsi="Calibri" w:cs="Calibri"/>
          <w:sz w:val="24"/>
          <w:szCs w:val="24"/>
        </w:rPr>
        <w:t xml:space="preserve">to describe the systematic destruction of entire ethnic and racial groups during the Second World War, leading to its recognition as a crime under international law. </w:t>
      </w:r>
      <w:r w:rsidR="00D828A5" w:rsidRPr="00491CE2">
        <w:rPr>
          <w:rFonts w:ascii="Calibri" w:hAnsi="Calibri" w:cs="Calibri"/>
          <w:sz w:val="24"/>
          <w:szCs w:val="24"/>
        </w:rPr>
        <w:t>Scholars continue to debate its definition and complexities</w:t>
      </w:r>
      <w:r w:rsidRPr="00491CE2">
        <w:rPr>
          <w:rFonts w:ascii="Calibri" w:hAnsi="Calibri" w:cs="Calibri"/>
          <w:sz w:val="24"/>
          <w:szCs w:val="24"/>
        </w:rPr>
        <w:t xml:space="preserve"> (Feierstein, 2014, pp. 11-38; United Nations, 1948).</w:t>
      </w:r>
      <w:r w:rsidR="00F27E8F" w:rsidRPr="00491CE2">
        <w:rPr>
          <w:rFonts w:ascii="Calibri" w:hAnsi="Calibri" w:cs="Calibri"/>
          <w:sz w:val="24"/>
          <w:szCs w:val="24"/>
        </w:rPr>
        <w:t xml:space="preserve"> </w:t>
      </w:r>
      <w:r w:rsidR="00E821B7" w:rsidRPr="00491CE2">
        <w:rPr>
          <w:rFonts w:ascii="Calibri" w:hAnsi="Calibri" w:cs="Calibri"/>
          <w:sz w:val="24"/>
          <w:szCs w:val="24"/>
        </w:rPr>
        <w:t xml:space="preserve">The Holocaust, culminating in the extermination of six million Jews and millions of others deemed undesirable by the Nazi regime, </w:t>
      </w:r>
      <w:r w:rsidR="00F27E8F" w:rsidRPr="00491CE2">
        <w:rPr>
          <w:rFonts w:ascii="Calibri" w:hAnsi="Calibri" w:cs="Calibri"/>
          <w:sz w:val="24"/>
          <w:szCs w:val="24"/>
        </w:rPr>
        <w:t>is a dark chapter in history</w:t>
      </w:r>
      <w:r w:rsidR="00E821B7" w:rsidRPr="00491CE2">
        <w:rPr>
          <w:rFonts w:ascii="Calibri" w:hAnsi="Calibri" w:cs="Calibri"/>
          <w:sz w:val="24"/>
          <w:szCs w:val="24"/>
        </w:rPr>
        <w:t xml:space="preserve">. </w:t>
      </w:r>
      <w:r w:rsidR="00D2150B" w:rsidRPr="00491CE2">
        <w:rPr>
          <w:rFonts w:ascii="Calibri" w:hAnsi="Calibri" w:cs="Calibri"/>
          <w:sz w:val="24"/>
          <w:szCs w:val="24"/>
        </w:rPr>
        <w:t xml:space="preserve">Auschwitz, the most infamous of the Nazi concentration and extermination camps, played a crucial role in this atrocity </w:t>
      </w:r>
      <w:r w:rsidR="005C072D" w:rsidRPr="00491CE2">
        <w:rPr>
          <w:rFonts w:ascii="Calibri" w:hAnsi="Calibri" w:cs="Calibri"/>
          <w:sz w:val="24"/>
          <w:szCs w:val="24"/>
        </w:rPr>
        <w:t xml:space="preserve">(Friedlander, 1994; Browning, 1992, p. ix). </w:t>
      </w:r>
      <w:r w:rsidR="000F622C" w:rsidRPr="00491CE2">
        <w:rPr>
          <w:rFonts w:ascii="Calibri" w:hAnsi="Calibri" w:cs="Calibri"/>
          <w:sz w:val="24"/>
          <w:szCs w:val="24"/>
        </w:rPr>
        <w:t>Auschwitz represents the Holocaust and is essential to discussions about the Nazi genocide. However, using Auschwitz as a shorthand for the Holocaust can oversimplify its intricate history</w:t>
      </w:r>
      <w:r w:rsidR="00A51493" w:rsidRPr="00491CE2">
        <w:rPr>
          <w:rFonts w:ascii="Calibri" w:hAnsi="Calibri" w:cs="Calibri"/>
          <w:sz w:val="24"/>
          <w:szCs w:val="24"/>
        </w:rPr>
        <w:t xml:space="preserve"> (</w:t>
      </w:r>
      <w:r w:rsidR="00EA57E6" w:rsidRPr="00491CE2">
        <w:rPr>
          <w:rFonts w:ascii="Calibri" w:hAnsi="Calibri" w:cs="Calibri"/>
          <w:sz w:val="24"/>
          <w:szCs w:val="24"/>
        </w:rPr>
        <w:t xml:space="preserve">Kucia, 2019; </w:t>
      </w:r>
      <w:r w:rsidR="00A51493" w:rsidRPr="00491CE2">
        <w:rPr>
          <w:rFonts w:ascii="Calibri" w:hAnsi="Calibri" w:cs="Calibri"/>
          <w:sz w:val="24"/>
          <w:szCs w:val="24"/>
        </w:rPr>
        <w:t>Pettitt, 2019).</w:t>
      </w:r>
      <w:r w:rsidR="0042054C" w:rsidRPr="00491CE2">
        <w:rPr>
          <w:rFonts w:ascii="Calibri" w:hAnsi="Calibri" w:cs="Calibri"/>
          <w:sz w:val="24"/>
          <w:szCs w:val="24"/>
        </w:rPr>
        <w:t xml:space="preserve"> </w:t>
      </w:r>
    </w:p>
    <w:p w14:paraId="6AB2FC7B" w14:textId="07C00369" w:rsidR="00192F6D" w:rsidRPr="00491CE2" w:rsidRDefault="0042054C" w:rsidP="00192F6D">
      <w:pPr>
        <w:spacing w:after="100" w:afterAutospacing="1" w:line="360" w:lineRule="auto"/>
        <w:rPr>
          <w:rFonts w:ascii="Calibri" w:hAnsi="Calibri" w:cs="Calibri"/>
          <w:sz w:val="24"/>
          <w:szCs w:val="24"/>
        </w:rPr>
      </w:pPr>
      <w:r w:rsidRPr="00491CE2">
        <w:rPr>
          <w:rFonts w:ascii="Calibri" w:hAnsi="Calibri" w:cs="Calibri"/>
          <w:color w:val="000000" w:themeColor="text1"/>
          <w:sz w:val="24"/>
          <w:szCs w:val="24"/>
        </w:rPr>
        <w:t xml:space="preserve">Understanding the </w:t>
      </w:r>
      <w:r w:rsidR="00D828A5" w:rsidRPr="00491CE2">
        <w:rPr>
          <w:rFonts w:ascii="Calibri" w:hAnsi="Calibri" w:cs="Calibri"/>
          <w:color w:val="000000" w:themeColor="text1"/>
          <w:sz w:val="24"/>
          <w:szCs w:val="24"/>
        </w:rPr>
        <w:t xml:space="preserve">journey </w:t>
      </w:r>
      <w:r w:rsidRPr="00491CE2">
        <w:rPr>
          <w:rFonts w:ascii="Calibri" w:hAnsi="Calibri" w:cs="Calibri"/>
          <w:color w:val="000000" w:themeColor="text1"/>
          <w:sz w:val="24"/>
          <w:szCs w:val="24"/>
        </w:rPr>
        <w:t>to Auschwitz is pivotal in the study of Holocaust history</w:t>
      </w:r>
      <w:r w:rsidR="000A43EB" w:rsidRPr="00491CE2">
        <w:rPr>
          <w:rFonts w:ascii="Calibri" w:hAnsi="Calibri" w:cs="Calibri"/>
          <w:color w:val="000000" w:themeColor="text1"/>
          <w:sz w:val="24"/>
          <w:szCs w:val="24"/>
        </w:rPr>
        <w:t xml:space="preserve">, reflecting the conflict between intentionalist and functionalist perspectives on the Final Solution's development and responsibility. </w:t>
      </w:r>
      <w:r w:rsidR="00D43C3D" w:rsidRPr="00491CE2">
        <w:rPr>
          <w:rFonts w:ascii="Calibri" w:hAnsi="Calibri" w:cs="Calibri"/>
          <w:color w:val="000000" w:themeColor="text1"/>
          <w:sz w:val="24"/>
          <w:szCs w:val="24"/>
        </w:rPr>
        <w:t>Functionalists argued that the Holocaust evolved into a chaotic bureaucratic initiative starting after the 1941 Soviet invasion, viewing the Nazi leadership as competing interests rather than under Hitler’s absolute control. In contrast, Intentionalists believed the Holocaust was primarily driven by Hitler's</w:t>
      </w:r>
      <w:r w:rsidR="00B20EB0" w:rsidRPr="00491CE2">
        <w:rPr>
          <w:rFonts w:ascii="Calibri" w:hAnsi="Calibri" w:cs="Calibri"/>
          <w:color w:val="000000" w:themeColor="text1"/>
          <w:sz w:val="24"/>
          <w:szCs w:val="24"/>
        </w:rPr>
        <w:t xml:space="preserve"> long-standing intention and ideological commitment</w:t>
      </w:r>
      <w:r w:rsidR="00D43C3D" w:rsidRPr="00491CE2">
        <w:rPr>
          <w:rFonts w:ascii="Calibri" w:hAnsi="Calibri" w:cs="Calibri"/>
          <w:color w:val="000000" w:themeColor="text1"/>
          <w:sz w:val="24"/>
          <w:szCs w:val="24"/>
        </w:rPr>
        <w:t xml:space="preserve"> </w:t>
      </w:r>
      <w:r w:rsidR="00B20EB0" w:rsidRPr="00491CE2">
        <w:rPr>
          <w:rFonts w:ascii="Calibri" w:hAnsi="Calibri" w:cs="Calibri"/>
          <w:color w:val="000000" w:themeColor="text1"/>
          <w:sz w:val="24"/>
          <w:szCs w:val="24"/>
        </w:rPr>
        <w:t>to eliminating</w:t>
      </w:r>
      <w:r w:rsidR="00D43C3D" w:rsidRPr="00491CE2">
        <w:rPr>
          <w:rFonts w:ascii="Calibri" w:hAnsi="Calibri" w:cs="Calibri"/>
          <w:color w:val="000000" w:themeColor="text1"/>
          <w:sz w:val="24"/>
          <w:szCs w:val="24"/>
        </w:rPr>
        <w:t xml:space="preserve"> Jews</w:t>
      </w:r>
      <w:r w:rsidR="00210D78" w:rsidRPr="00491CE2">
        <w:rPr>
          <w:rFonts w:ascii="Calibri" w:hAnsi="Calibri" w:cs="Calibri"/>
          <w:color w:val="000000" w:themeColor="text1"/>
          <w:sz w:val="24"/>
          <w:szCs w:val="24"/>
        </w:rPr>
        <w:t xml:space="preserve"> (Bartrop and Jacobs, 201</w:t>
      </w:r>
      <w:r w:rsidR="00D43C3D" w:rsidRPr="00491CE2">
        <w:rPr>
          <w:rFonts w:ascii="Calibri" w:hAnsi="Calibri" w:cs="Calibri"/>
          <w:color w:val="000000" w:themeColor="text1"/>
          <w:sz w:val="24"/>
          <w:szCs w:val="24"/>
        </w:rPr>
        <w:t>1</w:t>
      </w:r>
      <w:r w:rsidR="00210D78" w:rsidRPr="00491CE2">
        <w:rPr>
          <w:rFonts w:ascii="Calibri" w:hAnsi="Calibri" w:cs="Calibri"/>
          <w:color w:val="000000" w:themeColor="text1"/>
          <w:sz w:val="24"/>
          <w:szCs w:val="24"/>
        </w:rPr>
        <w:t>, pp. 56-57).</w:t>
      </w:r>
      <w:r w:rsidR="00192F6D" w:rsidRPr="00491CE2">
        <w:rPr>
          <w:rFonts w:ascii="Calibri" w:hAnsi="Calibri" w:cs="Calibri"/>
          <w:color w:val="000000" w:themeColor="text1"/>
          <w:sz w:val="24"/>
          <w:szCs w:val="24"/>
        </w:rPr>
        <w:t xml:space="preserve"> </w:t>
      </w:r>
    </w:p>
    <w:p w14:paraId="18D04BFC" w14:textId="1DB1D4D4" w:rsidR="00B13CEA" w:rsidRPr="00491CE2" w:rsidRDefault="00150EB1" w:rsidP="00AD22FA">
      <w:pPr>
        <w:spacing w:line="360" w:lineRule="auto"/>
        <w:rPr>
          <w:rFonts w:ascii="Calibri" w:hAnsi="Calibri" w:cs="Calibri"/>
          <w:color w:val="000000" w:themeColor="text1"/>
          <w:sz w:val="24"/>
          <w:szCs w:val="24"/>
        </w:rPr>
      </w:pPr>
      <w:r w:rsidRPr="00491CE2">
        <w:rPr>
          <w:rFonts w:ascii="Calibri" w:hAnsi="Calibri" w:cs="Calibri"/>
          <w:sz w:val="24"/>
          <w:szCs w:val="24"/>
        </w:rPr>
        <w:t xml:space="preserve">This essay examines the complexities surrounding the rise of Nazi antisemitism and nationalism. It </w:t>
      </w:r>
      <w:r w:rsidR="00ED3A3A" w:rsidRPr="00491CE2">
        <w:rPr>
          <w:rFonts w:ascii="Calibri" w:hAnsi="Calibri" w:cs="Calibri"/>
          <w:sz w:val="24"/>
          <w:szCs w:val="24"/>
        </w:rPr>
        <w:t>explores</w:t>
      </w:r>
      <w:r w:rsidRPr="00491CE2">
        <w:rPr>
          <w:rFonts w:ascii="Calibri" w:hAnsi="Calibri" w:cs="Calibri"/>
          <w:sz w:val="24"/>
          <w:szCs w:val="24"/>
        </w:rPr>
        <w:t xml:space="preserve"> the ideological roots of these beliefs, the evolving policies toward Jews, the impact of the Second World War, particularly the invasion of the Soviet Union, and the roles of key individuals and organisations in implementing the Final Solution</w:t>
      </w:r>
      <w:r w:rsidRPr="00491CE2">
        <w:rPr>
          <w:rFonts w:ascii="Calibri" w:hAnsi="Calibri" w:cs="Calibri"/>
          <w:color w:val="000000" w:themeColor="text1"/>
          <w:sz w:val="24"/>
          <w:szCs w:val="24"/>
        </w:rPr>
        <w:t xml:space="preserve">. The essay </w:t>
      </w:r>
      <w:r w:rsidR="000B5DF7" w:rsidRPr="00491CE2">
        <w:rPr>
          <w:rFonts w:ascii="Calibri" w:hAnsi="Calibri" w:cs="Calibri"/>
          <w:color w:val="000000" w:themeColor="text1"/>
          <w:sz w:val="24"/>
          <w:szCs w:val="24"/>
        </w:rPr>
        <w:t>argues</w:t>
      </w:r>
      <w:r w:rsidRPr="00491CE2">
        <w:rPr>
          <w:rFonts w:ascii="Calibri" w:hAnsi="Calibri" w:cs="Calibri"/>
          <w:color w:val="000000" w:themeColor="text1"/>
          <w:sz w:val="24"/>
          <w:szCs w:val="24"/>
        </w:rPr>
        <w:t xml:space="preserve"> that a comprehensive approach, rather than competing ideological perspectives, provides a clearer understanding of Nazi Germany and its atrocities. The </w:t>
      </w:r>
      <w:r w:rsidR="00A2119A" w:rsidRPr="00491CE2">
        <w:rPr>
          <w:rFonts w:ascii="Calibri" w:hAnsi="Calibri" w:cs="Calibri"/>
          <w:color w:val="000000" w:themeColor="text1"/>
          <w:sz w:val="24"/>
          <w:szCs w:val="24"/>
        </w:rPr>
        <w:t>journey</w:t>
      </w:r>
      <w:r w:rsidRPr="00491CE2">
        <w:rPr>
          <w:rFonts w:ascii="Calibri" w:hAnsi="Calibri" w:cs="Calibri"/>
          <w:color w:val="000000" w:themeColor="text1"/>
          <w:sz w:val="24"/>
          <w:szCs w:val="24"/>
        </w:rPr>
        <w:t xml:space="preserve"> to Auschwitz was shaped by a complex interplay of ideology, institutional </w:t>
      </w:r>
      <w:r w:rsidR="00A2119A" w:rsidRPr="00491CE2">
        <w:rPr>
          <w:rFonts w:ascii="Calibri" w:hAnsi="Calibri" w:cs="Calibri"/>
          <w:color w:val="000000" w:themeColor="text1"/>
          <w:sz w:val="24"/>
          <w:szCs w:val="24"/>
        </w:rPr>
        <w:t>forces</w:t>
      </w:r>
      <w:r w:rsidRPr="00491CE2">
        <w:rPr>
          <w:rFonts w:ascii="Calibri" w:hAnsi="Calibri" w:cs="Calibri"/>
          <w:color w:val="000000" w:themeColor="text1"/>
          <w:sz w:val="24"/>
          <w:szCs w:val="24"/>
        </w:rPr>
        <w:t xml:space="preserve">, and individual </w:t>
      </w:r>
      <w:r w:rsidR="00A2119A" w:rsidRPr="00491CE2">
        <w:rPr>
          <w:rFonts w:ascii="Calibri" w:hAnsi="Calibri" w:cs="Calibri"/>
          <w:color w:val="000000" w:themeColor="text1"/>
          <w:sz w:val="24"/>
          <w:szCs w:val="24"/>
        </w:rPr>
        <w:t xml:space="preserve">decisions </w:t>
      </w:r>
      <w:r w:rsidRPr="00491CE2">
        <w:rPr>
          <w:rFonts w:ascii="Calibri" w:hAnsi="Calibri" w:cs="Calibri"/>
          <w:color w:val="000000" w:themeColor="text1"/>
          <w:sz w:val="24"/>
          <w:szCs w:val="24"/>
        </w:rPr>
        <w:t>rather than by a single, premeditated plan.</w:t>
      </w:r>
    </w:p>
    <w:p w14:paraId="0C502B09" w14:textId="7EEE98D1" w:rsidR="007E5359" w:rsidRPr="00491CE2" w:rsidRDefault="00A51C5C" w:rsidP="00AD22FA">
      <w:pPr>
        <w:spacing w:line="360" w:lineRule="auto"/>
        <w:rPr>
          <w:rFonts w:ascii="Calibri" w:hAnsi="Calibri" w:cs="Calibri"/>
          <w:sz w:val="24"/>
          <w:szCs w:val="24"/>
        </w:rPr>
      </w:pPr>
      <w:r w:rsidRPr="00491CE2">
        <w:rPr>
          <w:rFonts w:ascii="Calibri" w:hAnsi="Calibri" w:cs="Calibri"/>
          <w:color w:val="000000" w:themeColor="text1"/>
          <w:sz w:val="24"/>
          <w:szCs w:val="24"/>
        </w:rPr>
        <w:lastRenderedPageBreak/>
        <w:t xml:space="preserve">In the early 1900s, the German elite adopted beliefs in human inequality, influenced by scholars advocating heredity linked to racist </w:t>
      </w:r>
      <w:r w:rsidR="00047FE9" w:rsidRPr="00491CE2">
        <w:rPr>
          <w:rFonts w:ascii="Calibri" w:hAnsi="Calibri" w:cs="Calibri"/>
          <w:i/>
          <w:iCs/>
          <w:color w:val="000000" w:themeColor="text1"/>
          <w:sz w:val="24"/>
          <w:szCs w:val="24"/>
        </w:rPr>
        <w:t>V</w:t>
      </w:r>
      <w:r w:rsidRPr="00491CE2">
        <w:rPr>
          <w:rFonts w:ascii="Calibri" w:hAnsi="Calibri" w:cs="Calibri"/>
          <w:i/>
          <w:iCs/>
          <w:color w:val="000000" w:themeColor="text1"/>
          <w:sz w:val="24"/>
          <w:szCs w:val="24"/>
        </w:rPr>
        <w:t>olkisch</w:t>
      </w:r>
      <w:r w:rsidRPr="00491CE2">
        <w:rPr>
          <w:rFonts w:ascii="Calibri" w:hAnsi="Calibri" w:cs="Calibri"/>
          <w:color w:val="000000" w:themeColor="text1"/>
          <w:sz w:val="24"/>
          <w:szCs w:val="24"/>
        </w:rPr>
        <w:t xml:space="preserve"> ideology. This </w:t>
      </w:r>
      <w:r w:rsidR="00150EB1" w:rsidRPr="00491CE2">
        <w:rPr>
          <w:rFonts w:ascii="Calibri" w:hAnsi="Calibri" w:cs="Calibri"/>
          <w:color w:val="000000" w:themeColor="text1"/>
          <w:sz w:val="24"/>
          <w:szCs w:val="24"/>
        </w:rPr>
        <w:t>idealised</w:t>
      </w:r>
      <w:r w:rsidRPr="00491CE2">
        <w:rPr>
          <w:rFonts w:ascii="Calibri" w:hAnsi="Calibri" w:cs="Calibri"/>
          <w:color w:val="000000" w:themeColor="text1"/>
          <w:sz w:val="24"/>
          <w:szCs w:val="24"/>
        </w:rPr>
        <w:t xml:space="preserve"> the German people as racially pure and superior, promoting a political </w:t>
      </w:r>
      <w:r w:rsidR="00741DC7" w:rsidRPr="00491CE2">
        <w:rPr>
          <w:rFonts w:ascii="Calibri" w:hAnsi="Calibri" w:cs="Calibri"/>
          <w:color w:val="000000" w:themeColor="text1"/>
          <w:sz w:val="24"/>
          <w:szCs w:val="24"/>
        </w:rPr>
        <w:t>belief</w:t>
      </w:r>
      <w:r w:rsidRPr="00491CE2">
        <w:rPr>
          <w:rFonts w:ascii="Calibri" w:hAnsi="Calibri" w:cs="Calibri"/>
          <w:color w:val="000000" w:themeColor="text1"/>
          <w:sz w:val="24"/>
          <w:szCs w:val="24"/>
        </w:rPr>
        <w:t xml:space="preserve"> that viewed race as the nation's foundation</w:t>
      </w:r>
      <w:r w:rsidR="00DF733C" w:rsidRPr="00491CE2">
        <w:rPr>
          <w:rFonts w:ascii="Calibri" w:hAnsi="Calibri" w:cs="Calibri"/>
          <w:color w:val="000000" w:themeColor="text1"/>
          <w:sz w:val="24"/>
          <w:szCs w:val="24"/>
        </w:rPr>
        <w:t xml:space="preserve"> </w:t>
      </w:r>
      <w:r w:rsidR="005947D2" w:rsidRPr="00491CE2">
        <w:rPr>
          <w:rFonts w:ascii="Calibri" w:hAnsi="Calibri" w:cs="Calibri"/>
          <w:sz w:val="24"/>
          <w:szCs w:val="24"/>
        </w:rPr>
        <w:t>(Friedlander, 1994).</w:t>
      </w:r>
      <w:r w:rsidR="006666AB" w:rsidRPr="00491CE2">
        <w:rPr>
          <w:rFonts w:ascii="Calibri" w:hAnsi="Calibri" w:cs="Calibri"/>
          <w:sz w:val="24"/>
          <w:szCs w:val="24"/>
        </w:rPr>
        <w:t xml:space="preserve"> </w:t>
      </w:r>
      <w:r w:rsidRPr="00491CE2">
        <w:rPr>
          <w:rFonts w:ascii="Calibri" w:hAnsi="Calibri" w:cs="Calibri"/>
          <w:sz w:val="24"/>
          <w:szCs w:val="24"/>
        </w:rPr>
        <w:t>Anti-Semitism in the interwar period arose from economic competition and social tensions, with crises and authoritarianism deepening radical anti-Jewish sentiments</w:t>
      </w:r>
      <w:r w:rsidR="002906D4" w:rsidRPr="00491CE2">
        <w:rPr>
          <w:rFonts w:ascii="Calibri" w:hAnsi="Calibri" w:cs="Calibri"/>
          <w:sz w:val="24"/>
          <w:szCs w:val="24"/>
        </w:rPr>
        <w:t xml:space="preserve"> (Hagen, 1996).</w:t>
      </w:r>
      <w:r w:rsidR="00AC06DD" w:rsidRPr="00491CE2">
        <w:rPr>
          <w:rFonts w:ascii="Calibri" w:hAnsi="Calibri" w:cs="Calibri"/>
          <w:sz w:val="24"/>
          <w:szCs w:val="24"/>
        </w:rPr>
        <w:t xml:space="preserve"> </w:t>
      </w:r>
      <w:r w:rsidR="0006522A" w:rsidRPr="00491CE2">
        <w:rPr>
          <w:rFonts w:ascii="Calibri" w:hAnsi="Calibri" w:cs="Calibri"/>
          <w:sz w:val="24"/>
          <w:szCs w:val="24"/>
        </w:rPr>
        <w:t>National Socialism</w:t>
      </w:r>
      <w:r w:rsidR="00F27E8F" w:rsidRPr="00491CE2">
        <w:rPr>
          <w:rFonts w:ascii="Calibri" w:hAnsi="Calibri" w:cs="Calibri"/>
          <w:sz w:val="24"/>
          <w:szCs w:val="24"/>
        </w:rPr>
        <w:t xml:space="preserve"> emerged and gained momentum in the 1920s</w:t>
      </w:r>
      <w:r w:rsidR="00150EB1" w:rsidRPr="00491CE2">
        <w:rPr>
          <w:rFonts w:ascii="Calibri" w:hAnsi="Calibri" w:cs="Calibri"/>
          <w:sz w:val="24"/>
          <w:szCs w:val="24"/>
        </w:rPr>
        <w:t>,</w:t>
      </w:r>
      <w:r w:rsidR="002906D4" w:rsidRPr="00491CE2">
        <w:rPr>
          <w:rFonts w:ascii="Calibri" w:hAnsi="Calibri" w:cs="Calibri"/>
          <w:sz w:val="24"/>
          <w:szCs w:val="24"/>
        </w:rPr>
        <w:t xml:space="preserve"> </w:t>
      </w:r>
      <w:r w:rsidR="00541A4C" w:rsidRPr="00491CE2">
        <w:rPr>
          <w:rFonts w:ascii="Calibri" w:hAnsi="Calibri" w:cs="Calibri"/>
          <w:sz w:val="24"/>
          <w:szCs w:val="24"/>
        </w:rPr>
        <w:t>leading to exclusionary policies after 1933</w:t>
      </w:r>
      <w:r w:rsidR="00881675" w:rsidRPr="00491CE2">
        <w:rPr>
          <w:rFonts w:ascii="Calibri" w:hAnsi="Calibri" w:cs="Calibri"/>
          <w:sz w:val="24"/>
          <w:szCs w:val="24"/>
        </w:rPr>
        <w:t xml:space="preserve"> when Hitler became Chancellor</w:t>
      </w:r>
      <w:r w:rsidR="00541A4C" w:rsidRPr="00491CE2">
        <w:rPr>
          <w:rFonts w:ascii="Calibri" w:hAnsi="Calibri" w:cs="Calibri"/>
          <w:sz w:val="24"/>
          <w:szCs w:val="24"/>
        </w:rPr>
        <w:t xml:space="preserve">. </w:t>
      </w:r>
      <w:r w:rsidR="00944DAD" w:rsidRPr="00491CE2">
        <w:rPr>
          <w:rFonts w:ascii="Calibri" w:hAnsi="Calibri" w:cs="Calibri"/>
          <w:sz w:val="24"/>
          <w:szCs w:val="24"/>
        </w:rPr>
        <w:t xml:space="preserve">While anti-Semitism was a key aspect, the regime </w:t>
      </w:r>
      <w:r w:rsidR="00867D73" w:rsidRPr="00491CE2">
        <w:rPr>
          <w:rFonts w:ascii="Calibri" w:hAnsi="Calibri" w:cs="Calibri"/>
          <w:sz w:val="24"/>
          <w:szCs w:val="24"/>
        </w:rPr>
        <w:t xml:space="preserve">also </w:t>
      </w:r>
      <w:r w:rsidR="00944DAD" w:rsidRPr="00491CE2">
        <w:rPr>
          <w:rFonts w:ascii="Calibri" w:hAnsi="Calibri" w:cs="Calibri"/>
          <w:sz w:val="24"/>
          <w:szCs w:val="24"/>
        </w:rPr>
        <w:t xml:space="preserve">targeted </w:t>
      </w:r>
      <w:r w:rsidRPr="00491CE2">
        <w:rPr>
          <w:rFonts w:ascii="Calibri" w:hAnsi="Calibri" w:cs="Calibri"/>
          <w:sz w:val="24"/>
          <w:szCs w:val="24"/>
        </w:rPr>
        <w:t>other groups</w:t>
      </w:r>
      <w:r w:rsidR="00944DAD" w:rsidRPr="00491CE2">
        <w:rPr>
          <w:rFonts w:ascii="Calibri" w:hAnsi="Calibri" w:cs="Calibri"/>
          <w:sz w:val="24"/>
          <w:szCs w:val="24"/>
        </w:rPr>
        <w:t xml:space="preserve"> whom they deemed unworthy (Friedlander, 1994). Richard Weikart (2013) argues that </w:t>
      </w:r>
      <w:r w:rsidR="00553096" w:rsidRPr="00491CE2">
        <w:rPr>
          <w:rFonts w:ascii="Calibri" w:hAnsi="Calibri" w:cs="Calibri"/>
          <w:sz w:val="24"/>
          <w:szCs w:val="24"/>
        </w:rPr>
        <w:t>a distorted understanding of Darwinian evolution and Social Darwinism influenced Nazi racial ideology</w:t>
      </w:r>
      <w:r w:rsidR="00944DAD" w:rsidRPr="00491CE2">
        <w:rPr>
          <w:rFonts w:ascii="Calibri" w:hAnsi="Calibri" w:cs="Calibri"/>
          <w:sz w:val="24"/>
          <w:szCs w:val="24"/>
        </w:rPr>
        <w:t>. The Nazis used the idea of survival of the fittest to promote Aryan superiority and justify the extermination and enslavement of Jews, Slavs, and disabled individuals through notions of racial struggle and eugenics.</w:t>
      </w:r>
    </w:p>
    <w:p w14:paraId="1EA947E3" w14:textId="09D91B9E" w:rsidR="00257081" w:rsidRPr="00491CE2" w:rsidRDefault="00D828A5" w:rsidP="00AD22FA">
      <w:pPr>
        <w:spacing w:line="360" w:lineRule="auto"/>
        <w:rPr>
          <w:rFonts w:ascii="Calibri" w:hAnsi="Calibri" w:cs="Calibri"/>
          <w:sz w:val="24"/>
          <w:szCs w:val="24"/>
        </w:rPr>
      </w:pPr>
      <w:r w:rsidRPr="00491CE2">
        <w:rPr>
          <w:rFonts w:ascii="Calibri" w:hAnsi="Calibri" w:cs="Calibri"/>
          <w:color w:val="000000" w:themeColor="text1"/>
          <w:sz w:val="24"/>
          <w:szCs w:val="24"/>
        </w:rPr>
        <w:t>Intentionalists contend that the Holocaust was a direct result of Nazi racial ideologies and Hitler's deliberate actions, which they see as a purposeful plan for the extermination of the Jewish people.</w:t>
      </w:r>
      <w:r w:rsidRPr="00491CE2">
        <w:rPr>
          <w:rFonts w:ascii="Calibri" w:hAnsi="Calibri" w:cs="Calibri"/>
          <w:color w:val="000000" w:themeColor="text1"/>
          <w:sz w:val="24"/>
          <w:szCs w:val="24"/>
        </w:rPr>
        <w:t xml:space="preserve"> </w:t>
      </w:r>
      <w:r w:rsidR="00AC06DD" w:rsidRPr="00491CE2">
        <w:rPr>
          <w:rFonts w:ascii="Calibri" w:hAnsi="Calibri" w:cs="Calibri"/>
          <w:color w:val="000000" w:themeColor="text1"/>
          <w:sz w:val="24"/>
          <w:szCs w:val="24"/>
        </w:rPr>
        <w:t>They evidence this perspective with</w:t>
      </w:r>
      <w:r w:rsidR="00E87C91" w:rsidRPr="00491CE2">
        <w:rPr>
          <w:rFonts w:ascii="Calibri" w:hAnsi="Calibri" w:cs="Calibri"/>
          <w:color w:val="000000" w:themeColor="text1"/>
          <w:sz w:val="24"/>
          <w:szCs w:val="24"/>
        </w:rPr>
        <w:t xml:space="preserve"> Hitler's antisemitic beliefs in </w:t>
      </w:r>
      <w:r w:rsidR="00047FE9" w:rsidRPr="00491CE2">
        <w:rPr>
          <w:rFonts w:ascii="Calibri" w:hAnsi="Calibri" w:cs="Calibri"/>
          <w:color w:val="000000" w:themeColor="text1"/>
          <w:sz w:val="24"/>
          <w:szCs w:val="24"/>
        </w:rPr>
        <w:t xml:space="preserve">his book </w:t>
      </w:r>
      <w:r w:rsidR="00E87C91" w:rsidRPr="00491CE2">
        <w:rPr>
          <w:rFonts w:ascii="Calibri" w:hAnsi="Calibri" w:cs="Calibri"/>
          <w:i/>
          <w:iCs/>
          <w:color w:val="000000" w:themeColor="text1"/>
          <w:sz w:val="24"/>
          <w:szCs w:val="24"/>
        </w:rPr>
        <w:t>Mein Kampf</w:t>
      </w:r>
      <w:r w:rsidR="00E87C91" w:rsidRPr="00491CE2">
        <w:rPr>
          <w:rFonts w:ascii="Calibri" w:hAnsi="Calibri" w:cs="Calibri"/>
          <w:color w:val="000000" w:themeColor="text1"/>
          <w:sz w:val="24"/>
          <w:szCs w:val="24"/>
        </w:rPr>
        <w:t xml:space="preserve"> and key </w:t>
      </w:r>
      <w:r w:rsidR="002906D4" w:rsidRPr="00491CE2">
        <w:rPr>
          <w:rFonts w:ascii="Calibri" w:hAnsi="Calibri" w:cs="Calibri"/>
          <w:color w:val="000000" w:themeColor="text1"/>
          <w:sz w:val="24"/>
          <w:szCs w:val="24"/>
        </w:rPr>
        <w:t xml:space="preserve">verbal </w:t>
      </w:r>
      <w:r w:rsidR="00E87C91" w:rsidRPr="00491CE2">
        <w:rPr>
          <w:rFonts w:ascii="Calibri" w:hAnsi="Calibri" w:cs="Calibri"/>
          <w:color w:val="000000" w:themeColor="text1"/>
          <w:sz w:val="24"/>
          <w:szCs w:val="24"/>
        </w:rPr>
        <w:t xml:space="preserve">statements </w:t>
      </w:r>
      <w:r w:rsidR="002906D4" w:rsidRPr="00491CE2">
        <w:rPr>
          <w:rFonts w:ascii="Calibri" w:hAnsi="Calibri" w:cs="Calibri"/>
          <w:color w:val="000000" w:themeColor="text1"/>
          <w:sz w:val="24"/>
          <w:szCs w:val="24"/>
        </w:rPr>
        <w:t xml:space="preserve">he made </w:t>
      </w:r>
      <w:r w:rsidR="00E87C91" w:rsidRPr="00491CE2">
        <w:rPr>
          <w:rFonts w:ascii="Calibri" w:hAnsi="Calibri" w:cs="Calibri"/>
          <w:color w:val="000000" w:themeColor="text1"/>
          <w:sz w:val="24"/>
          <w:szCs w:val="24"/>
        </w:rPr>
        <w:t>(Draper, 1999)</w:t>
      </w:r>
      <w:r w:rsidR="00716066" w:rsidRPr="00491CE2">
        <w:rPr>
          <w:rFonts w:ascii="Calibri" w:hAnsi="Calibri" w:cs="Calibri"/>
          <w:color w:val="000000" w:themeColor="text1"/>
          <w:sz w:val="24"/>
          <w:szCs w:val="24"/>
        </w:rPr>
        <w:t>.</w:t>
      </w:r>
      <w:r w:rsidR="00A56A6B" w:rsidRPr="00491CE2">
        <w:rPr>
          <w:rFonts w:ascii="Calibri" w:hAnsi="Calibri" w:cs="Calibri"/>
          <w:color w:val="000000" w:themeColor="text1"/>
          <w:sz w:val="24"/>
          <w:szCs w:val="24"/>
        </w:rPr>
        <w:t xml:space="preserve"> </w:t>
      </w:r>
      <w:r w:rsidR="008F01B7" w:rsidRPr="00491CE2">
        <w:rPr>
          <w:rFonts w:ascii="Calibri" w:hAnsi="Calibri" w:cs="Calibri"/>
          <w:color w:val="000000" w:themeColor="text1"/>
          <w:sz w:val="24"/>
          <w:szCs w:val="24"/>
        </w:rPr>
        <w:t xml:space="preserve">The following presents early evidence of Hitler's anti-Jewish </w:t>
      </w:r>
      <w:r w:rsidR="004D5757" w:rsidRPr="00491CE2">
        <w:rPr>
          <w:rFonts w:ascii="Calibri" w:hAnsi="Calibri" w:cs="Calibri"/>
          <w:color w:val="000000" w:themeColor="text1"/>
          <w:sz w:val="24"/>
          <w:szCs w:val="24"/>
        </w:rPr>
        <w:t>opinion</w:t>
      </w:r>
      <w:r w:rsidR="008F01B7" w:rsidRPr="00491CE2">
        <w:rPr>
          <w:rFonts w:ascii="Calibri" w:hAnsi="Calibri" w:cs="Calibri"/>
          <w:color w:val="000000" w:themeColor="text1"/>
          <w:sz w:val="24"/>
          <w:szCs w:val="24"/>
        </w:rPr>
        <w:t>. In a letter from 1919, he labelled Jews as a threat to Germany (Landau, 1998). In 1921</w:t>
      </w:r>
      <w:r w:rsidR="00B20EB0" w:rsidRPr="00491CE2">
        <w:rPr>
          <w:rFonts w:ascii="Calibri" w:hAnsi="Calibri" w:cs="Calibri"/>
          <w:color w:val="000000" w:themeColor="text1"/>
          <w:sz w:val="24"/>
          <w:szCs w:val="24"/>
        </w:rPr>
        <w:t>,</w:t>
      </w:r>
      <w:r w:rsidR="008F01B7" w:rsidRPr="00491CE2">
        <w:rPr>
          <w:rFonts w:ascii="Calibri" w:hAnsi="Calibri" w:cs="Calibri"/>
          <w:color w:val="000000" w:themeColor="text1"/>
          <w:sz w:val="24"/>
          <w:szCs w:val="24"/>
        </w:rPr>
        <w:t xml:space="preserve"> as chairman of the National Socialist German Workers' Party, he promoted anti-Semitic policies that denied Jews citizenship (Hatheway, 1994). Furthermore, in a 1922 interview, he stated that Jews would be ‘hanged indiscriminately’ to cleanse Germany </w:t>
      </w:r>
      <w:r w:rsidR="0044062B" w:rsidRPr="00491CE2">
        <w:rPr>
          <w:rFonts w:ascii="Calibri" w:hAnsi="Calibri" w:cs="Calibri"/>
          <w:sz w:val="24"/>
          <w:szCs w:val="24"/>
        </w:rPr>
        <w:t xml:space="preserve">(Fleming, 1984, p. 17). </w:t>
      </w:r>
      <w:r w:rsidR="002C56A4" w:rsidRPr="00491CE2">
        <w:rPr>
          <w:rFonts w:ascii="Calibri" w:hAnsi="Calibri" w:cs="Calibri"/>
          <w:sz w:val="24"/>
          <w:szCs w:val="24"/>
        </w:rPr>
        <w:t xml:space="preserve">In Mein Kampf, Hitler asserted that German foreign policy should </w:t>
      </w:r>
      <w:r w:rsidR="00F56895" w:rsidRPr="00491CE2">
        <w:rPr>
          <w:rFonts w:ascii="Calibri" w:hAnsi="Calibri" w:cs="Calibri"/>
          <w:sz w:val="24"/>
          <w:szCs w:val="24"/>
        </w:rPr>
        <w:t>be for</w:t>
      </w:r>
      <w:r w:rsidR="002C56A4" w:rsidRPr="00491CE2">
        <w:rPr>
          <w:rFonts w:ascii="Calibri" w:hAnsi="Calibri" w:cs="Calibri"/>
          <w:sz w:val="24"/>
          <w:szCs w:val="24"/>
        </w:rPr>
        <w:t xml:space="preserve"> </w:t>
      </w:r>
      <w:r w:rsidR="00F1005D" w:rsidRPr="00491CE2">
        <w:rPr>
          <w:rFonts w:ascii="Calibri" w:hAnsi="Calibri" w:cs="Calibri"/>
          <w:sz w:val="24"/>
          <w:szCs w:val="24"/>
        </w:rPr>
        <w:t>‘</w:t>
      </w:r>
      <w:r w:rsidR="002C56A4" w:rsidRPr="00491CE2">
        <w:rPr>
          <w:rFonts w:ascii="Calibri" w:hAnsi="Calibri" w:cs="Calibri"/>
          <w:sz w:val="24"/>
          <w:szCs w:val="24"/>
        </w:rPr>
        <w:t>protecting, advancing, and maintaining our nation for the future.</w:t>
      </w:r>
      <w:r w:rsidR="00F1005D" w:rsidRPr="00491CE2">
        <w:rPr>
          <w:rFonts w:ascii="Calibri" w:hAnsi="Calibri" w:cs="Calibri"/>
          <w:sz w:val="24"/>
          <w:szCs w:val="24"/>
        </w:rPr>
        <w:t>’</w:t>
      </w:r>
      <w:r w:rsidR="002C56A4" w:rsidRPr="00491CE2">
        <w:rPr>
          <w:rFonts w:ascii="Calibri" w:hAnsi="Calibri" w:cs="Calibri"/>
          <w:sz w:val="24"/>
          <w:szCs w:val="24"/>
        </w:rPr>
        <w:t xml:space="preserve"> </w:t>
      </w:r>
      <w:r w:rsidR="00F1005D" w:rsidRPr="00491CE2">
        <w:rPr>
          <w:rFonts w:ascii="Calibri" w:hAnsi="Calibri" w:cs="Calibri"/>
          <w:sz w:val="24"/>
          <w:szCs w:val="24"/>
        </w:rPr>
        <w:t>H</w:t>
      </w:r>
      <w:r w:rsidR="00F45343" w:rsidRPr="00491CE2">
        <w:rPr>
          <w:rFonts w:ascii="Calibri" w:hAnsi="Calibri" w:cs="Calibri"/>
          <w:sz w:val="24"/>
          <w:szCs w:val="24"/>
        </w:rPr>
        <w:t>itler</w:t>
      </w:r>
      <w:r w:rsidR="00F1005D" w:rsidRPr="00491CE2">
        <w:rPr>
          <w:rFonts w:ascii="Calibri" w:hAnsi="Calibri" w:cs="Calibri"/>
          <w:sz w:val="24"/>
          <w:szCs w:val="24"/>
        </w:rPr>
        <w:t xml:space="preserve"> believed in Aryan superiority and viewed Jews as a threat to German society, arguing that their elimination was essential for the survival of the German people </w:t>
      </w:r>
      <w:r w:rsidR="00AD16D9" w:rsidRPr="00491CE2">
        <w:rPr>
          <w:rFonts w:ascii="Calibri" w:hAnsi="Calibri" w:cs="Calibri"/>
          <w:sz w:val="24"/>
          <w:szCs w:val="24"/>
        </w:rPr>
        <w:t>(Dawidowicz, 1975, pp. 122-123</w:t>
      </w:r>
      <w:r w:rsidR="00F1005D" w:rsidRPr="00491CE2">
        <w:rPr>
          <w:rFonts w:ascii="Calibri" w:hAnsi="Calibri" w:cs="Calibri"/>
          <w:sz w:val="24"/>
          <w:szCs w:val="24"/>
        </w:rPr>
        <w:t xml:space="preserve">). </w:t>
      </w:r>
      <w:r w:rsidR="00C207C2" w:rsidRPr="00491CE2">
        <w:rPr>
          <w:rFonts w:ascii="Calibri" w:hAnsi="Calibri" w:cs="Calibri"/>
          <w:sz w:val="24"/>
          <w:szCs w:val="24"/>
        </w:rPr>
        <w:t xml:space="preserve">Hitler's 1938 memorandum defined </w:t>
      </w:r>
      <w:r w:rsidR="00C207C2" w:rsidRPr="00491CE2">
        <w:rPr>
          <w:rFonts w:ascii="Calibri" w:hAnsi="Calibri" w:cs="Calibri"/>
          <w:i/>
          <w:iCs/>
          <w:sz w:val="24"/>
          <w:szCs w:val="24"/>
        </w:rPr>
        <w:t>Volksdeutsche</w:t>
      </w:r>
      <w:r w:rsidR="00C207C2" w:rsidRPr="00491CE2">
        <w:rPr>
          <w:rFonts w:ascii="Calibri" w:hAnsi="Calibri" w:cs="Calibri"/>
          <w:sz w:val="24"/>
          <w:szCs w:val="24"/>
        </w:rPr>
        <w:t xml:space="preserve"> (ethnic Germans) by blood and race, worsening anti-Semitism and persecution of Jews and others deemed impure through vague criteria based on physical traits and language</w:t>
      </w:r>
      <w:r w:rsidR="00AD16D9" w:rsidRPr="00491CE2">
        <w:rPr>
          <w:rFonts w:ascii="Calibri" w:hAnsi="Calibri" w:cs="Calibri"/>
          <w:sz w:val="24"/>
          <w:szCs w:val="24"/>
        </w:rPr>
        <w:t xml:space="preserve"> (Bergen, 1994).</w:t>
      </w:r>
      <w:r w:rsidR="00B530A2" w:rsidRPr="00491CE2">
        <w:rPr>
          <w:rFonts w:ascii="Calibri" w:hAnsi="Calibri" w:cs="Calibri"/>
          <w:sz w:val="24"/>
          <w:szCs w:val="24"/>
        </w:rPr>
        <w:t xml:space="preserve"> </w:t>
      </w:r>
      <w:r w:rsidR="00A56A6B" w:rsidRPr="00491CE2">
        <w:rPr>
          <w:rFonts w:ascii="Calibri" w:hAnsi="Calibri" w:cs="Calibri"/>
          <w:sz w:val="24"/>
          <w:szCs w:val="24"/>
        </w:rPr>
        <w:t>D</w:t>
      </w:r>
      <w:r w:rsidR="0044062B" w:rsidRPr="00491CE2">
        <w:rPr>
          <w:rFonts w:ascii="Calibri" w:hAnsi="Calibri" w:cs="Calibri"/>
          <w:sz w:val="24"/>
          <w:szCs w:val="24"/>
        </w:rPr>
        <w:t xml:space="preserve">uring a conference </w:t>
      </w:r>
      <w:r w:rsidRPr="00491CE2">
        <w:rPr>
          <w:rFonts w:ascii="Calibri" w:hAnsi="Calibri" w:cs="Calibri"/>
          <w:sz w:val="24"/>
          <w:szCs w:val="24"/>
        </w:rPr>
        <w:t xml:space="preserve">in </w:t>
      </w:r>
      <w:r w:rsidR="0044062B" w:rsidRPr="00491CE2">
        <w:rPr>
          <w:rFonts w:ascii="Calibri" w:hAnsi="Calibri" w:cs="Calibri"/>
          <w:sz w:val="24"/>
          <w:szCs w:val="24"/>
        </w:rPr>
        <w:t xml:space="preserve"> January 1939</w:t>
      </w:r>
      <w:r w:rsidR="00BA470E" w:rsidRPr="00491CE2">
        <w:rPr>
          <w:rFonts w:ascii="Calibri" w:hAnsi="Calibri" w:cs="Calibri"/>
          <w:sz w:val="24"/>
          <w:szCs w:val="24"/>
        </w:rPr>
        <w:t>,</w:t>
      </w:r>
      <w:r w:rsidR="00A56A6B" w:rsidRPr="00491CE2">
        <w:rPr>
          <w:rFonts w:ascii="Calibri" w:hAnsi="Calibri" w:cs="Calibri"/>
          <w:sz w:val="24"/>
          <w:szCs w:val="24"/>
        </w:rPr>
        <w:t xml:space="preserve"> Hitler said,</w:t>
      </w:r>
      <w:r w:rsidR="0044062B" w:rsidRPr="00491CE2">
        <w:rPr>
          <w:rFonts w:ascii="Calibri" w:hAnsi="Calibri" w:cs="Calibri"/>
          <w:sz w:val="24"/>
          <w:szCs w:val="24"/>
        </w:rPr>
        <w:t xml:space="preserve"> </w:t>
      </w:r>
      <w:r w:rsidR="004627D3" w:rsidRPr="00491CE2">
        <w:rPr>
          <w:rFonts w:ascii="Calibri" w:hAnsi="Calibri" w:cs="Calibri"/>
          <w:sz w:val="24"/>
          <w:szCs w:val="24"/>
        </w:rPr>
        <w:t>‘</w:t>
      </w:r>
      <w:r w:rsidR="0044062B" w:rsidRPr="00491CE2">
        <w:rPr>
          <w:rFonts w:ascii="Calibri" w:hAnsi="Calibri" w:cs="Calibri"/>
          <w:sz w:val="24"/>
          <w:szCs w:val="24"/>
        </w:rPr>
        <w:t>We are going to destroy the Jews</w:t>
      </w:r>
      <w:r w:rsidR="002906D4" w:rsidRPr="00491CE2">
        <w:rPr>
          <w:rFonts w:ascii="Calibri" w:hAnsi="Calibri" w:cs="Calibri"/>
          <w:sz w:val="24"/>
          <w:szCs w:val="24"/>
        </w:rPr>
        <w:t xml:space="preserve">’ </w:t>
      </w:r>
      <w:r w:rsidR="0044062B" w:rsidRPr="00491CE2">
        <w:rPr>
          <w:rFonts w:ascii="Calibri" w:hAnsi="Calibri" w:cs="Calibri"/>
          <w:sz w:val="24"/>
          <w:szCs w:val="24"/>
        </w:rPr>
        <w:t xml:space="preserve">(Krausnick </w:t>
      </w:r>
      <w:r w:rsidR="0044062B" w:rsidRPr="00491CE2">
        <w:rPr>
          <w:rFonts w:ascii="Calibri" w:hAnsi="Calibri" w:cs="Calibri"/>
          <w:i/>
          <w:iCs/>
          <w:sz w:val="24"/>
          <w:szCs w:val="24"/>
        </w:rPr>
        <w:t>et al.,</w:t>
      </w:r>
      <w:r w:rsidR="0044062B" w:rsidRPr="00491CE2">
        <w:rPr>
          <w:rFonts w:ascii="Calibri" w:hAnsi="Calibri" w:cs="Calibri"/>
          <w:sz w:val="24"/>
          <w:szCs w:val="24"/>
        </w:rPr>
        <w:t xml:space="preserve"> 1965, p. 44).</w:t>
      </w:r>
      <w:r w:rsidR="00B6302F" w:rsidRPr="00491CE2">
        <w:rPr>
          <w:rFonts w:ascii="Calibri" w:hAnsi="Calibri" w:cs="Calibri"/>
          <w:sz w:val="24"/>
          <w:szCs w:val="24"/>
        </w:rPr>
        <w:t xml:space="preserve"> </w:t>
      </w:r>
      <w:r w:rsidR="00FD2C30" w:rsidRPr="00491CE2">
        <w:rPr>
          <w:rFonts w:ascii="Calibri" w:hAnsi="Calibri" w:cs="Calibri"/>
          <w:noProof/>
          <w:sz w:val="24"/>
          <w:szCs w:val="24"/>
        </w:rPr>
        <w:lastRenderedPageBreak/>
        <w:drawing>
          <wp:anchor distT="0" distB="0" distL="114300" distR="114300" simplePos="0" relativeHeight="251638784" behindDoc="1" locked="0" layoutInCell="1" allowOverlap="1" wp14:anchorId="2BF6090A" wp14:editId="17BA52F1">
            <wp:simplePos x="0" y="0"/>
            <wp:positionH relativeFrom="margin">
              <wp:posOffset>3092522</wp:posOffset>
            </wp:positionH>
            <wp:positionV relativeFrom="margin">
              <wp:posOffset>212090</wp:posOffset>
            </wp:positionV>
            <wp:extent cx="2564765" cy="2171700"/>
            <wp:effectExtent l="19050" t="19050" r="26035" b="19050"/>
            <wp:wrapSquare wrapText="bothSides"/>
            <wp:docPr id="1607031533" name="Picture 1" descr="A group of people in a mee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031533" name="Picture 1" descr="A group of people in a meeting&#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64765" cy="2171700"/>
                    </a:xfrm>
                    <a:prstGeom prst="rect">
                      <a:avLst/>
                    </a:prstGeom>
                    <a:noFill/>
                    <a:ln w="3175">
                      <a:solidFill>
                        <a:sysClr val="windowText" lastClr="000000"/>
                      </a:solidFill>
                    </a:ln>
                  </pic:spPr>
                </pic:pic>
              </a:graphicData>
            </a:graphic>
            <wp14:sizeRelH relativeFrom="page">
              <wp14:pctWidth>0</wp14:pctWidth>
            </wp14:sizeRelH>
            <wp14:sizeRelV relativeFrom="page">
              <wp14:pctHeight>0</wp14:pctHeight>
            </wp14:sizeRelV>
          </wp:anchor>
        </w:drawing>
      </w:r>
      <w:r w:rsidR="0044062B" w:rsidRPr="00491CE2">
        <w:rPr>
          <w:rFonts w:ascii="Calibri" w:hAnsi="Calibri" w:cs="Calibri"/>
          <w:sz w:val="24"/>
          <w:szCs w:val="24"/>
        </w:rPr>
        <w:t xml:space="preserve">Hitler reiterated </w:t>
      </w:r>
      <w:r w:rsidR="006C02BA" w:rsidRPr="00491CE2">
        <w:rPr>
          <w:rFonts w:ascii="Calibri" w:hAnsi="Calibri" w:cs="Calibri"/>
          <w:sz w:val="24"/>
          <w:szCs w:val="24"/>
        </w:rPr>
        <w:t>this</w:t>
      </w:r>
      <w:r w:rsidR="0044062B" w:rsidRPr="00491CE2">
        <w:rPr>
          <w:rFonts w:ascii="Calibri" w:hAnsi="Calibri" w:cs="Calibri"/>
          <w:sz w:val="24"/>
          <w:szCs w:val="24"/>
        </w:rPr>
        <w:t xml:space="preserve"> in his address to the Reichstag</w:t>
      </w:r>
      <w:r w:rsidR="0013653F" w:rsidRPr="00491CE2">
        <w:rPr>
          <w:rFonts w:ascii="Calibri" w:hAnsi="Calibri" w:cs="Calibri"/>
          <w:sz w:val="24"/>
          <w:szCs w:val="24"/>
        </w:rPr>
        <w:t xml:space="preserve"> (See Figure 1)</w:t>
      </w:r>
      <w:r w:rsidR="00562179" w:rsidRPr="00491CE2">
        <w:rPr>
          <w:rFonts w:ascii="Calibri" w:hAnsi="Calibri" w:cs="Calibri"/>
          <w:sz w:val="24"/>
          <w:szCs w:val="24"/>
        </w:rPr>
        <w:t>. I</w:t>
      </w:r>
      <w:r w:rsidR="0044062B" w:rsidRPr="00491CE2">
        <w:rPr>
          <w:rFonts w:ascii="Calibri" w:hAnsi="Calibri" w:cs="Calibri"/>
          <w:sz w:val="24"/>
          <w:szCs w:val="24"/>
        </w:rPr>
        <w:t xml:space="preserve">ntentionalist historians have pointed to </w:t>
      </w:r>
      <w:r w:rsidR="00562179" w:rsidRPr="00491CE2">
        <w:rPr>
          <w:rFonts w:ascii="Calibri" w:hAnsi="Calibri" w:cs="Calibri"/>
          <w:sz w:val="24"/>
          <w:szCs w:val="24"/>
        </w:rPr>
        <w:t>the 1939 Reichstag</w:t>
      </w:r>
      <w:r w:rsidR="0044062B" w:rsidRPr="00491CE2">
        <w:rPr>
          <w:rFonts w:ascii="Calibri" w:hAnsi="Calibri" w:cs="Calibri"/>
          <w:sz w:val="24"/>
          <w:szCs w:val="24"/>
        </w:rPr>
        <w:t xml:space="preserve"> address as </w:t>
      </w:r>
      <w:r w:rsidR="008258DA" w:rsidRPr="00491CE2">
        <w:rPr>
          <w:rFonts w:ascii="Calibri" w:hAnsi="Calibri" w:cs="Calibri"/>
          <w:sz w:val="24"/>
          <w:szCs w:val="24"/>
        </w:rPr>
        <w:t xml:space="preserve">key </w:t>
      </w:r>
      <w:r w:rsidR="0044062B" w:rsidRPr="00491CE2">
        <w:rPr>
          <w:rFonts w:ascii="Calibri" w:hAnsi="Calibri" w:cs="Calibri"/>
          <w:sz w:val="24"/>
          <w:szCs w:val="24"/>
        </w:rPr>
        <w:t xml:space="preserve">evidence of Hitler's plan to carry out the Final Solution, occurring just months before the </w:t>
      </w:r>
      <w:r w:rsidR="00F45343" w:rsidRPr="00491CE2">
        <w:rPr>
          <w:rFonts w:ascii="Calibri" w:hAnsi="Calibri" w:cs="Calibri"/>
          <w:sz w:val="24"/>
          <w:szCs w:val="24"/>
        </w:rPr>
        <w:t>beginning</w:t>
      </w:r>
      <w:r w:rsidR="0044062B" w:rsidRPr="00491CE2">
        <w:rPr>
          <w:rFonts w:ascii="Calibri" w:hAnsi="Calibri" w:cs="Calibri"/>
          <w:sz w:val="24"/>
          <w:szCs w:val="24"/>
        </w:rPr>
        <w:t xml:space="preserve"> of the</w:t>
      </w:r>
      <w:r w:rsidR="00F45343" w:rsidRPr="00491CE2">
        <w:rPr>
          <w:rFonts w:ascii="Calibri" w:hAnsi="Calibri" w:cs="Calibri"/>
          <w:sz w:val="24"/>
          <w:szCs w:val="24"/>
        </w:rPr>
        <w:t xml:space="preserve"> Second World</w:t>
      </w:r>
      <w:r w:rsidR="0044062B" w:rsidRPr="00491CE2">
        <w:rPr>
          <w:rFonts w:ascii="Calibri" w:hAnsi="Calibri" w:cs="Calibri"/>
          <w:sz w:val="24"/>
          <w:szCs w:val="24"/>
        </w:rPr>
        <w:t xml:space="preserve"> </w:t>
      </w:r>
      <w:r w:rsidR="00F45343" w:rsidRPr="00491CE2">
        <w:rPr>
          <w:rFonts w:ascii="Calibri" w:hAnsi="Calibri" w:cs="Calibri"/>
          <w:sz w:val="24"/>
          <w:szCs w:val="24"/>
        </w:rPr>
        <w:t>W</w:t>
      </w:r>
      <w:r w:rsidR="0044062B" w:rsidRPr="00491CE2">
        <w:rPr>
          <w:rFonts w:ascii="Calibri" w:hAnsi="Calibri" w:cs="Calibri"/>
          <w:sz w:val="24"/>
          <w:szCs w:val="24"/>
        </w:rPr>
        <w:t>ar. Hitler stated,</w:t>
      </w:r>
      <w:r w:rsidR="0044062B" w:rsidRPr="00491CE2">
        <w:rPr>
          <w:rFonts w:ascii="Calibri" w:hAnsi="Calibri" w:cs="Calibri"/>
          <w:color w:val="000000" w:themeColor="text1"/>
          <w:sz w:val="24"/>
          <w:szCs w:val="24"/>
        </w:rPr>
        <w:t xml:space="preserve"> ‘If the global Jewish financiers, both within and outside Europe, should succeed in dragging the nations into another world war, then the outcome will not be the Bolshevisation of the earth, and consequently, the triumph of Jewry, but rather the extermination of the Jewish race in Europe!’ </w:t>
      </w:r>
      <w:r w:rsidR="000A51B0" w:rsidRPr="00491CE2">
        <w:rPr>
          <w:rFonts w:ascii="Calibri" w:hAnsi="Calibri" w:cs="Calibri"/>
          <w:sz w:val="24"/>
          <w:szCs w:val="24"/>
        </w:rPr>
        <w:t>Hitler often cited this prophecy</w:t>
      </w:r>
      <w:r w:rsidR="00A2119A" w:rsidRPr="00491CE2">
        <w:rPr>
          <w:rFonts w:ascii="Calibri" w:hAnsi="Calibri" w:cs="Calibri"/>
          <w:sz w:val="24"/>
          <w:szCs w:val="24"/>
        </w:rPr>
        <w:t>,</w:t>
      </w:r>
      <w:r w:rsidR="000A51B0" w:rsidRPr="00491CE2">
        <w:rPr>
          <w:rFonts w:ascii="Calibri" w:hAnsi="Calibri" w:cs="Calibri"/>
          <w:sz w:val="24"/>
          <w:szCs w:val="24"/>
        </w:rPr>
        <w:t xml:space="preserve"> and it was used by those committing genocide to justify their actions</w:t>
      </w:r>
      <w:r w:rsidR="00716066" w:rsidRPr="00491CE2">
        <w:rPr>
          <w:rFonts w:ascii="Calibri" w:hAnsi="Calibri" w:cs="Calibri"/>
          <w:sz w:val="24"/>
          <w:szCs w:val="24"/>
        </w:rPr>
        <w:t xml:space="preserve"> </w:t>
      </w:r>
      <w:r w:rsidR="0044062B" w:rsidRPr="00491CE2">
        <w:rPr>
          <w:rFonts w:ascii="Calibri" w:hAnsi="Calibri" w:cs="Calibri"/>
          <w:sz w:val="24"/>
          <w:szCs w:val="24"/>
        </w:rPr>
        <w:t>(Mommsen, 1997).</w:t>
      </w:r>
      <w:r w:rsidR="00B6302F" w:rsidRPr="00491CE2">
        <w:rPr>
          <w:rFonts w:ascii="Calibri" w:hAnsi="Calibri" w:cs="Calibri"/>
          <w:sz w:val="24"/>
          <w:szCs w:val="24"/>
        </w:rPr>
        <w:t xml:space="preserve"> Intentionalists </w:t>
      </w:r>
      <w:r w:rsidR="008258DA" w:rsidRPr="00491CE2">
        <w:rPr>
          <w:rFonts w:ascii="Calibri" w:hAnsi="Calibri" w:cs="Calibri"/>
          <w:sz w:val="24"/>
          <w:szCs w:val="24"/>
        </w:rPr>
        <w:t xml:space="preserve">also point to </w:t>
      </w:r>
      <w:r w:rsidR="00B6302F" w:rsidRPr="00491CE2">
        <w:rPr>
          <w:rFonts w:ascii="Calibri" w:hAnsi="Calibri" w:cs="Calibri"/>
          <w:sz w:val="24"/>
          <w:szCs w:val="24"/>
        </w:rPr>
        <w:t xml:space="preserve">information derived from 'British intercepts of German radio communications' indicating that Nazi forces were murdering Jews shortly after the war began, with the highest rates of killings occurring in late 1941 </w:t>
      </w:r>
      <w:r w:rsidR="000A51B0" w:rsidRPr="00491CE2">
        <w:rPr>
          <w:rFonts w:ascii="Calibri" w:hAnsi="Calibri" w:cs="Calibri"/>
          <w:sz w:val="24"/>
          <w:szCs w:val="24"/>
        </w:rPr>
        <w:t>(Draper, 1999).</w:t>
      </w:r>
      <w:r w:rsidR="00F1005D" w:rsidRPr="00491CE2">
        <w:rPr>
          <w:rFonts w:ascii="Calibri" w:hAnsi="Calibri" w:cs="Calibri"/>
          <w:sz w:val="24"/>
          <w:szCs w:val="24"/>
        </w:rPr>
        <w:t xml:space="preserve"> Lucy Dawidowicz</w:t>
      </w:r>
      <w:r w:rsidR="00EB3204" w:rsidRPr="00491CE2">
        <w:rPr>
          <w:rFonts w:ascii="Calibri" w:hAnsi="Calibri" w:cs="Calibri"/>
          <w:sz w:val="24"/>
          <w:szCs w:val="24"/>
        </w:rPr>
        <w:t xml:space="preserve"> </w:t>
      </w:r>
      <w:r w:rsidR="00F1005D" w:rsidRPr="00491CE2">
        <w:rPr>
          <w:rFonts w:ascii="Calibri" w:hAnsi="Calibri" w:cs="Calibri"/>
          <w:sz w:val="24"/>
          <w:szCs w:val="24"/>
        </w:rPr>
        <w:t>link</w:t>
      </w:r>
      <w:r w:rsidR="00397B61" w:rsidRPr="00491CE2">
        <w:rPr>
          <w:rFonts w:ascii="Calibri" w:hAnsi="Calibri" w:cs="Calibri"/>
          <w:sz w:val="24"/>
          <w:szCs w:val="24"/>
        </w:rPr>
        <w:t>s</w:t>
      </w:r>
      <w:r w:rsidR="00F1005D" w:rsidRPr="00491CE2">
        <w:rPr>
          <w:rFonts w:ascii="Calibri" w:hAnsi="Calibri" w:cs="Calibri"/>
          <w:sz w:val="24"/>
          <w:szCs w:val="24"/>
        </w:rPr>
        <w:t xml:space="preserve"> Hitler's intent for the Holocaust to Mein Kampf and possibly as early as 1918, after the Treaty of Versailles. She argued that the Holocaust was a primary objective of the Nazis, with military actions merely serving to advance this goal</w:t>
      </w:r>
      <w:r w:rsidR="0095578E" w:rsidRPr="00491CE2">
        <w:rPr>
          <w:rFonts w:ascii="Calibri" w:hAnsi="Calibri" w:cs="Calibri"/>
          <w:sz w:val="24"/>
          <w:szCs w:val="24"/>
        </w:rPr>
        <w:t xml:space="preserve"> (Feingold, 1976; </w:t>
      </w:r>
      <w:proofErr w:type="spellStart"/>
      <w:r w:rsidR="0095578E" w:rsidRPr="00491CE2">
        <w:rPr>
          <w:rFonts w:ascii="Calibri" w:hAnsi="Calibri" w:cs="Calibri"/>
          <w:sz w:val="24"/>
          <w:szCs w:val="24"/>
        </w:rPr>
        <w:t>Mamlak</w:t>
      </w:r>
      <w:proofErr w:type="spellEnd"/>
      <w:r w:rsidR="0095578E" w:rsidRPr="00491CE2">
        <w:rPr>
          <w:rFonts w:ascii="Calibri" w:hAnsi="Calibri" w:cs="Calibri"/>
          <w:sz w:val="24"/>
          <w:szCs w:val="24"/>
        </w:rPr>
        <w:t>, 1977</w:t>
      </w:r>
      <w:r w:rsidR="00C87056" w:rsidRPr="00491CE2">
        <w:rPr>
          <w:rFonts w:ascii="Calibri" w:hAnsi="Calibri" w:cs="Calibri"/>
          <w:sz w:val="24"/>
          <w:szCs w:val="24"/>
        </w:rPr>
        <w:t>; Milton, 1990</w:t>
      </w:r>
      <w:r w:rsidR="00B165E5" w:rsidRPr="00491CE2">
        <w:rPr>
          <w:rFonts w:ascii="Calibri" w:hAnsi="Calibri" w:cs="Calibri"/>
          <w:sz w:val="24"/>
          <w:szCs w:val="24"/>
        </w:rPr>
        <w:t xml:space="preserve">). </w:t>
      </w:r>
      <w:r w:rsidR="00F45343" w:rsidRPr="00491CE2">
        <w:rPr>
          <w:rFonts w:ascii="Calibri" w:hAnsi="Calibri" w:cs="Calibri"/>
          <w:sz w:val="24"/>
          <w:szCs w:val="24"/>
        </w:rPr>
        <w:t>Dawidowicz acknowledges the obscurity of Hitler's language but argues that his audience understood his policies for the removal and extermination of Jews</w:t>
      </w:r>
      <w:r w:rsidR="000A51B0" w:rsidRPr="00491CE2">
        <w:rPr>
          <w:rFonts w:ascii="Calibri" w:hAnsi="Calibri" w:cs="Calibri"/>
          <w:sz w:val="24"/>
          <w:szCs w:val="24"/>
        </w:rPr>
        <w:t xml:space="preserve"> (Davis, 1999).</w:t>
      </w:r>
      <w:r w:rsidR="00257081" w:rsidRPr="00491CE2">
        <w:rPr>
          <w:rFonts w:ascii="Calibri" w:hAnsi="Calibri" w:cs="Calibri"/>
          <w:sz w:val="24"/>
          <w:szCs w:val="24"/>
        </w:rPr>
        <w:t xml:space="preserve"> </w:t>
      </w:r>
      <w:r w:rsidR="00562179" w:rsidRPr="00491CE2">
        <w:rPr>
          <w:rFonts w:ascii="Calibri" w:hAnsi="Calibri" w:cs="Calibri"/>
          <w:sz w:val="24"/>
          <w:szCs w:val="24"/>
        </w:rPr>
        <w:t>Hitler shaped Nazi ideology with his rhetoric, but no evidence has yet been found that he directly commanded the Holocaust. He created an atmosphere of hatred and anti-Semitism that motivated committed Nazis to persecute Jews and others deemed inferior.</w:t>
      </w:r>
    </w:p>
    <w:p w14:paraId="14CE2D73" w14:textId="5EDD248A" w:rsidR="0085742A" w:rsidRPr="00491CE2" w:rsidRDefault="0029084E" w:rsidP="00904A5B">
      <w:pPr>
        <w:spacing w:line="360" w:lineRule="auto"/>
        <w:rPr>
          <w:rFonts w:ascii="Calibri" w:hAnsi="Calibri" w:cs="Calibri"/>
          <w:sz w:val="24"/>
          <w:szCs w:val="24"/>
        </w:rPr>
      </w:pPr>
      <w:r w:rsidRPr="00491CE2">
        <w:rPr>
          <w:rFonts w:ascii="Calibri" w:hAnsi="Calibri" w:cs="Calibri"/>
          <w:noProof/>
          <w:color w:val="000000" w:themeColor="text1"/>
          <w:sz w:val="24"/>
          <w:szCs w:val="24"/>
        </w:rPr>
        <w:t xml:space="preserve">Proponents of intentionalism assert that the anti-Semitic policies enacted in the 1930s represent a deliberate strategy aimed at genocide. However, this view oversimplifies the situation as it overlooks the interplay of ideology, opportunism, and historical context. </w:t>
      </w:r>
      <w:r w:rsidR="00FC63D7" w:rsidRPr="00491CE2">
        <w:rPr>
          <w:rFonts w:ascii="Calibri" w:hAnsi="Calibri" w:cs="Calibri"/>
          <w:noProof/>
          <w:color w:val="000000" w:themeColor="text1"/>
          <w:sz w:val="24"/>
          <w:szCs w:val="24"/>
        </w:rPr>
        <w:t>The Nazis employed various methods to eradicate the Jewish population in Germany, including promoting emigration, forced relocations, and evictions</w:t>
      </w:r>
      <w:r w:rsidR="000B7E3D" w:rsidRPr="00491CE2">
        <w:rPr>
          <w:rFonts w:ascii="Calibri" w:hAnsi="Calibri" w:cs="Calibri"/>
          <w:noProof/>
          <w:color w:val="000000" w:themeColor="text1"/>
          <w:sz w:val="24"/>
          <w:szCs w:val="24"/>
        </w:rPr>
        <w:t xml:space="preserve"> </w:t>
      </w:r>
      <w:r w:rsidR="00FC63D7" w:rsidRPr="00491CE2">
        <w:rPr>
          <w:rFonts w:ascii="Calibri" w:hAnsi="Calibri" w:cs="Calibri"/>
          <w:noProof/>
          <w:color w:val="000000" w:themeColor="text1"/>
          <w:sz w:val="24"/>
          <w:szCs w:val="24"/>
        </w:rPr>
        <w:t>(Schulze, 2016).</w:t>
      </w:r>
      <w:r w:rsidR="00FC63D7" w:rsidRPr="00491CE2">
        <w:rPr>
          <w:rFonts w:ascii="Calibri" w:hAnsi="Calibri" w:cs="Calibri"/>
          <w:color w:val="000000" w:themeColor="text1"/>
          <w:sz w:val="24"/>
          <w:szCs w:val="24"/>
        </w:rPr>
        <w:t xml:space="preserve"> </w:t>
      </w:r>
      <w:r w:rsidR="000B7E3D" w:rsidRPr="00491CE2">
        <w:rPr>
          <w:rFonts w:ascii="Calibri" w:hAnsi="Calibri" w:cs="Calibri"/>
          <w:color w:val="000000" w:themeColor="text1"/>
          <w:sz w:val="24"/>
          <w:szCs w:val="24"/>
        </w:rPr>
        <w:t xml:space="preserve">After Hitler became Chancellor, anti-Semitism increased, resulting in the marginalisation of Jewish people. Propaganda worsened conditions for individuals with disabilities, leading to forced sterilisations. The Law for the Prevention of Offspring with Hereditary Diseases, enacted in </w:t>
      </w:r>
      <w:r w:rsidR="000B7E3D" w:rsidRPr="00491CE2">
        <w:rPr>
          <w:rFonts w:ascii="Calibri" w:hAnsi="Calibri" w:cs="Calibri"/>
          <w:color w:val="000000" w:themeColor="text1"/>
          <w:sz w:val="24"/>
          <w:szCs w:val="24"/>
        </w:rPr>
        <w:lastRenderedPageBreak/>
        <w:t xml:space="preserve">1933, permitted the sterilisation of around 300,000 disabled individuals over the next decade </w:t>
      </w:r>
      <w:r w:rsidR="0005357A" w:rsidRPr="00491CE2">
        <w:rPr>
          <w:rFonts w:ascii="Calibri" w:hAnsi="Calibri" w:cs="Calibri"/>
          <w:sz w:val="24"/>
          <w:szCs w:val="24"/>
        </w:rPr>
        <w:t>(Friedlander, 1994).</w:t>
      </w:r>
      <w:r w:rsidR="008C3F49" w:rsidRPr="00491CE2">
        <w:rPr>
          <w:rFonts w:ascii="Calibri" w:hAnsi="Calibri" w:cs="Calibri"/>
          <w:sz w:val="24"/>
          <w:szCs w:val="24"/>
        </w:rPr>
        <w:t xml:space="preserve"> </w:t>
      </w:r>
      <w:r w:rsidR="00FC63D7" w:rsidRPr="00491CE2">
        <w:rPr>
          <w:rFonts w:ascii="Calibri" w:hAnsi="Calibri" w:cs="Calibri"/>
          <w:sz w:val="24"/>
          <w:szCs w:val="24"/>
        </w:rPr>
        <w:t>The Haavara Agreement of 1933 was the first organi</w:t>
      </w:r>
      <w:r w:rsidR="00AF12D8" w:rsidRPr="00491CE2">
        <w:rPr>
          <w:rFonts w:ascii="Calibri" w:hAnsi="Calibri" w:cs="Calibri"/>
          <w:sz w:val="24"/>
          <w:szCs w:val="24"/>
        </w:rPr>
        <w:t>s</w:t>
      </w:r>
      <w:r w:rsidR="00FC63D7" w:rsidRPr="00491CE2">
        <w:rPr>
          <w:rFonts w:ascii="Calibri" w:hAnsi="Calibri" w:cs="Calibri"/>
          <w:sz w:val="24"/>
          <w:szCs w:val="24"/>
        </w:rPr>
        <w:t xml:space="preserve">ed effort to facilitate the migration of Jews to Palestine. </w:t>
      </w:r>
      <w:r w:rsidR="00B8098B" w:rsidRPr="00491CE2">
        <w:rPr>
          <w:rFonts w:ascii="Calibri" w:hAnsi="Calibri" w:cs="Calibri"/>
          <w:sz w:val="24"/>
          <w:szCs w:val="24"/>
        </w:rPr>
        <w:t>While the Haavara initiative saved many lives, it also aligned with Nazi interests. Between 1933 and 1940, about 70,000 German Jews emigrated. However, the agreement does not imply that the Nazis supported Zionism</w:t>
      </w:r>
      <w:r w:rsidR="00AC5BDB" w:rsidRPr="00491CE2">
        <w:rPr>
          <w:rFonts w:ascii="Calibri" w:hAnsi="Calibri" w:cs="Calibri"/>
          <w:sz w:val="24"/>
          <w:szCs w:val="24"/>
        </w:rPr>
        <w:t>. Instead,</w:t>
      </w:r>
      <w:r w:rsidR="00B8098B" w:rsidRPr="00491CE2">
        <w:rPr>
          <w:rFonts w:ascii="Calibri" w:hAnsi="Calibri" w:cs="Calibri"/>
          <w:sz w:val="24"/>
          <w:szCs w:val="24"/>
        </w:rPr>
        <w:t xml:space="preserve"> it highlights the complexity and evolution of Nazi policies toward Jews, characterised by deep-seated hatred and the belief that Jews caused Germany's problems</w:t>
      </w:r>
      <w:r w:rsidR="00FC63D7" w:rsidRPr="00491CE2">
        <w:rPr>
          <w:rFonts w:ascii="Calibri" w:hAnsi="Calibri" w:cs="Calibri"/>
          <w:sz w:val="24"/>
          <w:szCs w:val="24"/>
        </w:rPr>
        <w:t xml:space="preserve"> </w:t>
      </w:r>
      <w:r w:rsidR="009251A3" w:rsidRPr="00491CE2">
        <w:rPr>
          <w:rFonts w:ascii="Calibri" w:hAnsi="Calibri" w:cs="Calibri"/>
          <w:sz w:val="24"/>
          <w:szCs w:val="24"/>
        </w:rPr>
        <w:t>(Polkehn, 1976</w:t>
      </w:r>
      <w:r w:rsidR="00FC63D7" w:rsidRPr="00491CE2">
        <w:rPr>
          <w:rFonts w:ascii="Calibri" w:hAnsi="Calibri" w:cs="Calibri"/>
          <w:sz w:val="24"/>
          <w:szCs w:val="24"/>
        </w:rPr>
        <w:t>; Schulze, 2016</w:t>
      </w:r>
      <w:r w:rsidR="009251A3" w:rsidRPr="00491CE2">
        <w:rPr>
          <w:rFonts w:ascii="Calibri" w:hAnsi="Calibri" w:cs="Calibri"/>
          <w:sz w:val="24"/>
          <w:szCs w:val="24"/>
        </w:rPr>
        <w:t>).</w:t>
      </w:r>
      <w:r w:rsidR="008C3F49" w:rsidRPr="00491CE2">
        <w:rPr>
          <w:rFonts w:ascii="Calibri" w:hAnsi="Calibri" w:cs="Calibri"/>
          <w:sz w:val="24"/>
          <w:szCs w:val="24"/>
        </w:rPr>
        <w:t xml:space="preserve"> </w:t>
      </w:r>
      <w:r w:rsidR="009F4586" w:rsidRPr="00491CE2">
        <w:rPr>
          <w:rFonts w:ascii="Calibri" w:hAnsi="Calibri" w:cs="Calibri"/>
          <w:sz w:val="24"/>
          <w:szCs w:val="24"/>
        </w:rPr>
        <w:t>The Nuremberg</w:t>
      </w:r>
      <w:r w:rsidR="009F4586" w:rsidRPr="00491CE2">
        <w:rPr>
          <w:rFonts w:ascii="Calibri" w:hAnsi="Calibri" w:cs="Calibri"/>
          <w:b/>
          <w:bCs/>
          <w:sz w:val="24"/>
          <w:szCs w:val="24"/>
        </w:rPr>
        <w:t xml:space="preserve"> </w:t>
      </w:r>
      <w:r w:rsidR="009F4586" w:rsidRPr="00491CE2">
        <w:rPr>
          <w:rFonts w:ascii="Calibri" w:hAnsi="Calibri" w:cs="Calibri"/>
          <w:sz w:val="24"/>
          <w:szCs w:val="24"/>
        </w:rPr>
        <w:t xml:space="preserve">Laws, enacted </w:t>
      </w:r>
      <w:r w:rsidR="00A51568" w:rsidRPr="00491CE2">
        <w:rPr>
          <w:rFonts w:ascii="Calibri" w:hAnsi="Calibri" w:cs="Calibri"/>
          <w:sz w:val="24"/>
          <w:szCs w:val="24"/>
        </w:rPr>
        <w:t>i</w:t>
      </w:r>
      <w:r w:rsidR="009F4586" w:rsidRPr="00491CE2">
        <w:rPr>
          <w:rFonts w:ascii="Calibri" w:hAnsi="Calibri" w:cs="Calibri"/>
          <w:sz w:val="24"/>
          <w:szCs w:val="24"/>
        </w:rPr>
        <w:t xml:space="preserve">n September 1935, legally defined Jews and other targeted groups in Germany, marking a significant step toward their </w:t>
      </w:r>
      <w:r w:rsidR="003B6397" w:rsidRPr="00491CE2">
        <w:rPr>
          <w:rFonts w:ascii="Calibri" w:hAnsi="Calibri" w:cs="Calibri"/>
          <w:sz w:val="24"/>
          <w:szCs w:val="24"/>
        </w:rPr>
        <w:t>dehumanisation</w:t>
      </w:r>
      <w:r w:rsidR="007B46AE" w:rsidRPr="00491CE2">
        <w:rPr>
          <w:rFonts w:ascii="Calibri" w:hAnsi="Calibri" w:cs="Calibri"/>
          <w:sz w:val="24"/>
          <w:szCs w:val="24"/>
        </w:rPr>
        <w:t xml:space="preserve"> (See Figure 2)</w:t>
      </w:r>
      <w:r w:rsidR="009F4586" w:rsidRPr="00491CE2">
        <w:rPr>
          <w:rFonts w:ascii="Calibri" w:hAnsi="Calibri" w:cs="Calibri"/>
          <w:sz w:val="24"/>
          <w:szCs w:val="24"/>
        </w:rPr>
        <w:t xml:space="preserve">. They prohibited interracial marriage to ‘protect the honour of the race,’ defining a Jew as anyone with three or four Jewish grandparents or linked to a Jew. </w:t>
      </w:r>
      <w:r w:rsidR="000B1BFC" w:rsidRPr="00491CE2">
        <w:rPr>
          <w:rFonts w:ascii="Calibri" w:hAnsi="Calibri" w:cs="Calibri"/>
          <w:noProof/>
          <w:color w:val="000000" w:themeColor="text1"/>
          <w:sz w:val="24"/>
          <w:szCs w:val="24"/>
        </w:rPr>
        <w:drawing>
          <wp:anchor distT="0" distB="0" distL="114300" distR="114300" simplePos="0" relativeHeight="251641856" behindDoc="0" locked="0" layoutInCell="1" allowOverlap="1" wp14:anchorId="02C269C7" wp14:editId="042C3134">
            <wp:simplePos x="0" y="0"/>
            <wp:positionH relativeFrom="margin">
              <wp:posOffset>2654300</wp:posOffset>
            </wp:positionH>
            <wp:positionV relativeFrom="margin">
              <wp:posOffset>3241040</wp:posOffset>
            </wp:positionV>
            <wp:extent cx="3007360" cy="2232025"/>
            <wp:effectExtent l="19050" t="19050" r="21590" b="15875"/>
            <wp:wrapSquare wrapText="bothSides"/>
            <wp:docPr id="180521670" name="Picture 2" descr="A poster with a diagram of the same type of black circ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21670" name="Picture 2" descr="A poster with a diagram of the same type of black circles&#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07360" cy="2232025"/>
                    </a:xfrm>
                    <a:prstGeom prst="rect">
                      <a:avLst/>
                    </a:prstGeom>
                    <a:noFill/>
                    <a:ln w="3175">
                      <a:solidFill>
                        <a:sysClr val="windowText" lastClr="000000"/>
                      </a:solidFill>
                    </a:ln>
                  </pic:spPr>
                </pic:pic>
              </a:graphicData>
            </a:graphic>
            <wp14:sizeRelH relativeFrom="margin">
              <wp14:pctWidth>0</wp14:pctWidth>
            </wp14:sizeRelH>
            <wp14:sizeRelV relativeFrom="margin">
              <wp14:pctHeight>0</wp14:pctHeight>
            </wp14:sizeRelV>
          </wp:anchor>
        </w:drawing>
      </w:r>
      <w:r w:rsidR="009F4586" w:rsidRPr="00491CE2">
        <w:rPr>
          <w:rFonts w:ascii="Calibri" w:hAnsi="Calibri" w:cs="Calibri"/>
          <w:sz w:val="24"/>
          <w:szCs w:val="24"/>
        </w:rPr>
        <w:t xml:space="preserve">Marriages between Jews and Aryans were illegal, with severe penalties for violations, and interracial intercourse was termed racial defilement. These laws replaced earlier court rulings supporting mixed marriages and were part of a broader anti-Semitic campaign for racial purity </w:t>
      </w:r>
      <w:r w:rsidR="00FD00E5" w:rsidRPr="00491CE2">
        <w:rPr>
          <w:rFonts w:ascii="Calibri" w:hAnsi="Calibri" w:cs="Calibri"/>
          <w:sz w:val="24"/>
          <w:szCs w:val="24"/>
        </w:rPr>
        <w:t xml:space="preserve">(Loewenstein, 1936; </w:t>
      </w:r>
      <w:proofErr w:type="spellStart"/>
      <w:r w:rsidR="00FD00E5" w:rsidRPr="00491CE2">
        <w:rPr>
          <w:rFonts w:ascii="Calibri" w:hAnsi="Calibri" w:cs="Calibri"/>
          <w:sz w:val="24"/>
          <w:szCs w:val="24"/>
        </w:rPr>
        <w:t>Rosenhaft</w:t>
      </w:r>
      <w:proofErr w:type="spellEnd"/>
      <w:r w:rsidR="00FD00E5" w:rsidRPr="00491CE2">
        <w:rPr>
          <w:rFonts w:ascii="Calibri" w:hAnsi="Calibri" w:cs="Calibri"/>
          <w:sz w:val="24"/>
          <w:szCs w:val="24"/>
        </w:rPr>
        <w:t>, 2011</w:t>
      </w:r>
      <w:r w:rsidR="001013F8" w:rsidRPr="00491CE2">
        <w:rPr>
          <w:rFonts w:ascii="Calibri" w:hAnsi="Calibri" w:cs="Calibri"/>
          <w:sz w:val="24"/>
          <w:szCs w:val="24"/>
        </w:rPr>
        <w:t xml:space="preserve">). </w:t>
      </w:r>
      <w:r w:rsidR="00CB3DFA" w:rsidRPr="00491CE2">
        <w:rPr>
          <w:rFonts w:ascii="Calibri" w:hAnsi="Calibri" w:cs="Calibri"/>
          <w:sz w:val="24"/>
          <w:szCs w:val="24"/>
        </w:rPr>
        <w:t xml:space="preserve">The Nazi Madagascar Plan, proposed in 1940 after France fell to Germany, aimed to forcibly relocate millions of European Jews to Madagascar, then a French colony, creating a Jewish reservation managed by Heinrich Himmler’s </w:t>
      </w:r>
      <w:r w:rsidR="00CB3DFA" w:rsidRPr="00491CE2">
        <w:rPr>
          <w:rFonts w:ascii="Calibri" w:hAnsi="Calibri" w:cs="Calibri"/>
          <w:i/>
          <w:iCs/>
          <w:sz w:val="24"/>
          <w:szCs w:val="24"/>
        </w:rPr>
        <w:t>Schutzstaffel</w:t>
      </w:r>
      <w:r w:rsidR="00C6392F" w:rsidRPr="00491CE2">
        <w:rPr>
          <w:rFonts w:ascii="Calibri" w:hAnsi="Calibri" w:cs="Calibri"/>
          <w:i/>
          <w:iCs/>
          <w:sz w:val="24"/>
          <w:szCs w:val="24"/>
        </w:rPr>
        <w:t xml:space="preserve"> </w:t>
      </w:r>
      <w:r w:rsidR="00C6392F" w:rsidRPr="00491CE2">
        <w:rPr>
          <w:rFonts w:ascii="Calibri" w:hAnsi="Calibri" w:cs="Calibri"/>
          <w:sz w:val="24"/>
          <w:szCs w:val="24"/>
        </w:rPr>
        <w:t xml:space="preserve">(SS). Intentionalists argue </w:t>
      </w:r>
      <w:r w:rsidR="00546409" w:rsidRPr="00491CE2">
        <w:rPr>
          <w:rFonts w:ascii="Calibri" w:hAnsi="Calibri" w:cs="Calibri"/>
          <w:sz w:val="24"/>
          <w:szCs w:val="24"/>
        </w:rPr>
        <w:t xml:space="preserve">that </w:t>
      </w:r>
      <w:r w:rsidR="00C6392F" w:rsidRPr="00491CE2">
        <w:rPr>
          <w:rFonts w:ascii="Calibri" w:hAnsi="Calibri" w:cs="Calibri"/>
          <w:sz w:val="24"/>
          <w:szCs w:val="24"/>
        </w:rPr>
        <w:t>this reflects the Nazis' shift towards genocide, as figures like Adolf Eichmann and Himmler sought to eliminate Jews without confrontation. The plan intended to transport up to four million Jews</w:t>
      </w:r>
      <w:r w:rsidR="0076123D" w:rsidRPr="00491CE2">
        <w:rPr>
          <w:rFonts w:ascii="Calibri" w:hAnsi="Calibri" w:cs="Calibri"/>
          <w:sz w:val="24"/>
          <w:szCs w:val="24"/>
        </w:rPr>
        <w:t>,</w:t>
      </w:r>
      <w:r w:rsidR="00C6392F" w:rsidRPr="00491CE2">
        <w:rPr>
          <w:rFonts w:ascii="Calibri" w:hAnsi="Calibri" w:cs="Calibri"/>
          <w:sz w:val="24"/>
          <w:szCs w:val="24"/>
        </w:rPr>
        <w:t xml:space="preserve"> </w:t>
      </w:r>
      <w:r w:rsidR="002732D9" w:rsidRPr="00491CE2">
        <w:rPr>
          <w:rFonts w:ascii="Calibri" w:hAnsi="Calibri" w:cs="Calibri"/>
          <w:sz w:val="24"/>
          <w:szCs w:val="24"/>
        </w:rPr>
        <w:t xml:space="preserve">but it became impractical after </w:t>
      </w:r>
      <w:r w:rsidR="0076123D" w:rsidRPr="00491CE2">
        <w:rPr>
          <w:rFonts w:ascii="Calibri" w:hAnsi="Calibri" w:cs="Calibri"/>
          <w:sz w:val="24"/>
          <w:szCs w:val="24"/>
        </w:rPr>
        <w:t>Germany failed</w:t>
      </w:r>
      <w:r w:rsidR="00CB3DFA" w:rsidRPr="00491CE2">
        <w:rPr>
          <w:rFonts w:ascii="Calibri" w:hAnsi="Calibri" w:cs="Calibri"/>
          <w:sz w:val="24"/>
          <w:szCs w:val="24"/>
        </w:rPr>
        <w:t xml:space="preserve"> to defeat Britain in the Battle of Britain (1940)</w:t>
      </w:r>
      <w:r w:rsidR="0076123D" w:rsidRPr="00491CE2">
        <w:rPr>
          <w:rFonts w:ascii="Calibri" w:hAnsi="Calibri" w:cs="Calibri"/>
          <w:sz w:val="24"/>
          <w:szCs w:val="24"/>
        </w:rPr>
        <w:t>; the</w:t>
      </w:r>
      <w:r w:rsidR="00CB3DFA" w:rsidRPr="00491CE2">
        <w:rPr>
          <w:rFonts w:ascii="Calibri" w:hAnsi="Calibri" w:cs="Calibri"/>
          <w:sz w:val="24"/>
          <w:szCs w:val="24"/>
        </w:rPr>
        <w:t xml:space="preserve"> Royal Navy retained control over key sea routes. This made it virtually impossible for Germany to transport millions of Jews across the seas to Madagascar safely</w:t>
      </w:r>
      <w:r w:rsidR="002732D9" w:rsidRPr="00491CE2">
        <w:rPr>
          <w:rFonts w:ascii="Calibri" w:hAnsi="Calibri" w:cs="Calibri"/>
          <w:sz w:val="24"/>
          <w:szCs w:val="24"/>
        </w:rPr>
        <w:t xml:space="preserve"> </w:t>
      </w:r>
      <w:r w:rsidR="009251A3" w:rsidRPr="00491CE2">
        <w:rPr>
          <w:rFonts w:ascii="Calibri" w:hAnsi="Calibri" w:cs="Calibri"/>
          <w:sz w:val="24"/>
          <w:szCs w:val="24"/>
        </w:rPr>
        <w:t xml:space="preserve">(Kurlander, 2023). </w:t>
      </w:r>
      <w:r w:rsidR="002732D9" w:rsidRPr="00491CE2">
        <w:rPr>
          <w:rFonts w:ascii="Calibri" w:hAnsi="Calibri" w:cs="Calibri"/>
          <w:sz w:val="24"/>
          <w:szCs w:val="24"/>
          <w:shd w:val="clear" w:color="auto" w:fill="FFFFFF" w:themeFill="background1"/>
        </w:rPr>
        <w:t>Jews were increasingly</w:t>
      </w:r>
      <w:r w:rsidR="002732D9" w:rsidRPr="00491CE2">
        <w:rPr>
          <w:rFonts w:ascii="Calibri" w:hAnsi="Calibri" w:cs="Calibri"/>
          <w:sz w:val="24"/>
          <w:szCs w:val="24"/>
        </w:rPr>
        <w:t xml:space="preserve"> marginalised, losing their </w:t>
      </w:r>
      <w:r w:rsidR="00B20EB0" w:rsidRPr="00491CE2">
        <w:rPr>
          <w:rFonts w:ascii="Calibri" w:hAnsi="Calibri" w:cs="Calibri"/>
          <w:sz w:val="24"/>
          <w:szCs w:val="24"/>
        </w:rPr>
        <w:t>fundamental</w:t>
      </w:r>
      <w:r w:rsidR="002732D9" w:rsidRPr="00491CE2">
        <w:rPr>
          <w:rFonts w:ascii="Calibri" w:hAnsi="Calibri" w:cs="Calibri"/>
          <w:sz w:val="24"/>
          <w:szCs w:val="24"/>
        </w:rPr>
        <w:t xml:space="preserve"> rights, being removed from jobs, and facing boycotts. </w:t>
      </w:r>
      <w:r w:rsidR="003B6397" w:rsidRPr="00491CE2">
        <w:rPr>
          <w:rFonts w:ascii="Calibri" w:hAnsi="Calibri" w:cs="Calibri"/>
          <w:sz w:val="24"/>
          <w:szCs w:val="24"/>
        </w:rPr>
        <w:t>Kristallnacht</w:t>
      </w:r>
      <w:r w:rsidR="00A51568" w:rsidRPr="00491CE2">
        <w:rPr>
          <w:rFonts w:ascii="Calibri" w:hAnsi="Calibri" w:cs="Calibri"/>
          <w:sz w:val="24"/>
          <w:szCs w:val="24"/>
        </w:rPr>
        <w:t xml:space="preserve"> (</w:t>
      </w:r>
      <w:r w:rsidR="003B6397" w:rsidRPr="00491CE2">
        <w:rPr>
          <w:rFonts w:ascii="Calibri" w:hAnsi="Calibri" w:cs="Calibri"/>
          <w:sz w:val="24"/>
          <w:szCs w:val="24"/>
        </w:rPr>
        <w:t>or the Night of Broken Glass</w:t>
      </w:r>
      <w:r w:rsidR="00A51568" w:rsidRPr="00491CE2">
        <w:rPr>
          <w:rFonts w:ascii="Calibri" w:hAnsi="Calibri" w:cs="Calibri"/>
          <w:sz w:val="24"/>
          <w:szCs w:val="24"/>
        </w:rPr>
        <w:t>)</w:t>
      </w:r>
      <w:r w:rsidR="003B6397" w:rsidRPr="00491CE2">
        <w:rPr>
          <w:rFonts w:ascii="Calibri" w:hAnsi="Calibri" w:cs="Calibri"/>
          <w:sz w:val="24"/>
          <w:szCs w:val="24"/>
        </w:rPr>
        <w:t xml:space="preserve"> occurred on</w:t>
      </w:r>
      <w:r w:rsidR="000E4968" w:rsidRPr="00491CE2">
        <w:rPr>
          <w:rFonts w:ascii="Calibri" w:hAnsi="Calibri" w:cs="Calibri"/>
          <w:sz w:val="24"/>
          <w:szCs w:val="24"/>
        </w:rPr>
        <w:t xml:space="preserve"> 9</w:t>
      </w:r>
      <w:r w:rsidR="000E4968" w:rsidRPr="00491CE2">
        <w:rPr>
          <w:rFonts w:ascii="Calibri" w:hAnsi="Calibri" w:cs="Calibri"/>
          <w:sz w:val="24"/>
          <w:szCs w:val="24"/>
          <w:vertAlign w:val="superscript"/>
        </w:rPr>
        <w:t>th</w:t>
      </w:r>
      <w:r w:rsidR="000E4968" w:rsidRPr="00491CE2">
        <w:rPr>
          <w:rFonts w:ascii="Calibri" w:hAnsi="Calibri" w:cs="Calibri"/>
          <w:sz w:val="24"/>
          <w:szCs w:val="24"/>
        </w:rPr>
        <w:t>-10</w:t>
      </w:r>
      <w:r w:rsidR="000E4968" w:rsidRPr="00491CE2">
        <w:rPr>
          <w:rFonts w:ascii="Calibri" w:hAnsi="Calibri" w:cs="Calibri"/>
          <w:sz w:val="24"/>
          <w:szCs w:val="24"/>
          <w:vertAlign w:val="superscript"/>
        </w:rPr>
        <w:t>th</w:t>
      </w:r>
      <w:r w:rsidR="003B6397" w:rsidRPr="00491CE2">
        <w:rPr>
          <w:rFonts w:ascii="Calibri" w:hAnsi="Calibri" w:cs="Calibri"/>
          <w:sz w:val="24"/>
          <w:szCs w:val="24"/>
        </w:rPr>
        <w:t xml:space="preserve"> November</w:t>
      </w:r>
      <w:r w:rsidR="000E4968" w:rsidRPr="00491CE2">
        <w:rPr>
          <w:rFonts w:ascii="Calibri" w:hAnsi="Calibri" w:cs="Calibri"/>
          <w:sz w:val="24"/>
          <w:szCs w:val="24"/>
        </w:rPr>
        <w:t xml:space="preserve"> </w:t>
      </w:r>
      <w:r w:rsidR="003B6397" w:rsidRPr="00491CE2">
        <w:rPr>
          <w:rFonts w:ascii="Calibri" w:hAnsi="Calibri" w:cs="Calibri"/>
          <w:sz w:val="24"/>
          <w:szCs w:val="24"/>
        </w:rPr>
        <w:t xml:space="preserve">1938, marking a </w:t>
      </w:r>
      <w:r w:rsidR="00654471" w:rsidRPr="00491CE2">
        <w:rPr>
          <w:rFonts w:ascii="Calibri" w:hAnsi="Calibri" w:cs="Calibri"/>
          <w:sz w:val="24"/>
          <w:szCs w:val="24"/>
        </w:rPr>
        <w:t>significant</w:t>
      </w:r>
      <w:r w:rsidR="003B6397" w:rsidRPr="00491CE2">
        <w:rPr>
          <w:rFonts w:ascii="Calibri" w:hAnsi="Calibri" w:cs="Calibri"/>
          <w:sz w:val="24"/>
          <w:szCs w:val="24"/>
        </w:rPr>
        <w:t xml:space="preserve"> escalation in Nazi anti-Semitic violence</w:t>
      </w:r>
      <w:r w:rsidR="00813CFE" w:rsidRPr="00491CE2">
        <w:rPr>
          <w:rFonts w:ascii="Calibri" w:hAnsi="Calibri" w:cs="Calibri"/>
          <w:sz w:val="24"/>
          <w:szCs w:val="24"/>
        </w:rPr>
        <w:t xml:space="preserve"> (See Figure 3)</w:t>
      </w:r>
      <w:r w:rsidR="003B6397" w:rsidRPr="00491CE2">
        <w:rPr>
          <w:rFonts w:ascii="Calibri" w:hAnsi="Calibri" w:cs="Calibri"/>
          <w:sz w:val="24"/>
          <w:szCs w:val="24"/>
        </w:rPr>
        <w:t xml:space="preserve">. Triggered </w:t>
      </w:r>
      <w:r w:rsidR="003B6397" w:rsidRPr="00491CE2">
        <w:rPr>
          <w:rFonts w:ascii="Calibri" w:hAnsi="Calibri" w:cs="Calibri"/>
          <w:sz w:val="24"/>
          <w:szCs w:val="24"/>
        </w:rPr>
        <w:lastRenderedPageBreak/>
        <w:t>by the assassination of a German diplomat by a Jewish youth, this state-coordinated pogrom targeted Jewish communities</w:t>
      </w:r>
      <w:r w:rsidR="004149CC">
        <w:rPr>
          <w:rFonts w:ascii="Calibri" w:hAnsi="Calibri" w:cs="Calibri"/>
          <w:sz w:val="24"/>
          <w:szCs w:val="24"/>
        </w:rPr>
        <w:t>,</w:t>
      </w:r>
      <w:r w:rsidR="003B6397" w:rsidRPr="00491CE2">
        <w:rPr>
          <w:rFonts w:ascii="Calibri" w:hAnsi="Calibri" w:cs="Calibri"/>
          <w:sz w:val="24"/>
          <w:szCs w:val="24"/>
        </w:rPr>
        <w:t xml:space="preserve"> leading to </w:t>
      </w:r>
      <w:r w:rsidR="00562179" w:rsidRPr="00491CE2">
        <w:rPr>
          <w:rFonts w:ascii="Calibri" w:hAnsi="Calibri" w:cs="Calibri"/>
          <w:sz w:val="24"/>
          <w:szCs w:val="24"/>
        </w:rPr>
        <w:t>approximately</w:t>
      </w:r>
      <w:r w:rsidR="003B6397" w:rsidRPr="00491CE2">
        <w:rPr>
          <w:rFonts w:ascii="Calibri" w:hAnsi="Calibri" w:cs="Calibri"/>
          <w:sz w:val="24"/>
          <w:szCs w:val="24"/>
        </w:rPr>
        <w:t xml:space="preserve"> </w:t>
      </w:r>
      <w:r w:rsidR="00562179" w:rsidRPr="00491CE2">
        <w:rPr>
          <w:rFonts w:ascii="Calibri" w:hAnsi="Calibri" w:cs="Calibri"/>
          <w:sz w:val="24"/>
          <w:szCs w:val="24"/>
        </w:rPr>
        <w:t>100</w:t>
      </w:r>
      <w:r w:rsidR="003B6397" w:rsidRPr="00491CE2">
        <w:rPr>
          <w:rFonts w:ascii="Calibri" w:hAnsi="Calibri" w:cs="Calibri"/>
          <w:sz w:val="24"/>
          <w:szCs w:val="24"/>
        </w:rPr>
        <w:t xml:space="preserve"> deaths and the detention of around 30,000 Jews in concentration camps. Jewish businesses and synagogues were </w:t>
      </w:r>
      <w:r w:rsidR="00654471" w:rsidRPr="00491CE2">
        <w:rPr>
          <w:rFonts w:ascii="Calibri" w:hAnsi="Calibri" w:cs="Calibri"/>
          <w:sz w:val="24"/>
          <w:szCs w:val="24"/>
        </w:rPr>
        <w:t>vandalised</w:t>
      </w:r>
      <w:r w:rsidR="003B6397" w:rsidRPr="00491CE2">
        <w:rPr>
          <w:rFonts w:ascii="Calibri" w:hAnsi="Calibri" w:cs="Calibri"/>
          <w:sz w:val="24"/>
          <w:szCs w:val="24"/>
        </w:rPr>
        <w:t xml:space="preserve">, and survivors </w:t>
      </w:r>
      <w:r w:rsidR="00B8098B" w:rsidRPr="00491CE2">
        <w:rPr>
          <w:rFonts w:ascii="Calibri" w:hAnsi="Calibri" w:cs="Calibri"/>
          <w:sz w:val="24"/>
          <w:szCs w:val="24"/>
        </w:rPr>
        <w:t xml:space="preserve">were </w:t>
      </w:r>
      <w:r w:rsidR="003B6397" w:rsidRPr="00491CE2">
        <w:rPr>
          <w:rFonts w:ascii="Calibri" w:hAnsi="Calibri" w:cs="Calibri"/>
          <w:sz w:val="24"/>
          <w:szCs w:val="24"/>
        </w:rPr>
        <w:t xml:space="preserve">forced to pay for the </w:t>
      </w:r>
      <w:r w:rsidR="00362ADE" w:rsidRPr="00491CE2">
        <w:rPr>
          <w:rFonts w:ascii="Calibri" w:hAnsi="Calibri" w:cs="Calibri"/>
          <w:noProof/>
          <w:sz w:val="24"/>
          <w:szCs w:val="24"/>
        </w:rPr>
        <w:drawing>
          <wp:anchor distT="0" distB="0" distL="114300" distR="114300" simplePos="0" relativeHeight="251643904" behindDoc="1" locked="0" layoutInCell="1" allowOverlap="1" wp14:anchorId="3236CC35" wp14:editId="1CC8107C">
            <wp:simplePos x="0" y="0"/>
            <wp:positionH relativeFrom="margin">
              <wp:posOffset>60325</wp:posOffset>
            </wp:positionH>
            <wp:positionV relativeFrom="margin">
              <wp:posOffset>325120</wp:posOffset>
            </wp:positionV>
            <wp:extent cx="2593340" cy="2025015"/>
            <wp:effectExtent l="19050" t="19050" r="16510" b="13335"/>
            <wp:wrapSquare wrapText="bothSides"/>
            <wp:docPr id="1744919591" name="Picture 3" descr="A ruined building with many columns and arc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919591" name="Picture 3" descr="A ruined building with many columns and arche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3340" cy="2025015"/>
                    </a:xfrm>
                    <a:prstGeom prst="rect">
                      <a:avLst/>
                    </a:prstGeom>
                    <a:noFill/>
                    <a:ln w="3175">
                      <a:solidFill>
                        <a:sysClr val="windowText" lastClr="000000"/>
                      </a:solidFill>
                    </a:ln>
                  </pic:spPr>
                </pic:pic>
              </a:graphicData>
            </a:graphic>
            <wp14:sizeRelH relativeFrom="page">
              <wp14:pctWidth>0</wp14:pctWidth>
            </wp14:sizeRelH>
            <wp14:sizeRelV relativeFrom="page">
              <wp14:pctHeight>0</wp14:pctHeight>
            </wp14:sizeRelV>
          </wp:anchor>
        </w:drawing>
      </w:r>
      <w:r w:rsidR="003B6397" w:rsidRPr="00491CE2">
        <w:rPr>
          <w:rFonts w:ascii="Calibri" w:hAnsi="Calibri" w:cs="Calibri"/>
          <w:sz w:val="24"/>
          <w:szCs w:val="24"/>
        </w:rPr>
        <w:t xml:space="preserve">damages. </w:t>
      </w:r>
      <w:r w:rsidR="002732D9" w:rsidRPr="00491CE2">
        <w:rPr>
          <w:rFonts w:ascii="Calibri" w:hAnsi="Calibri" w:cs="Calibri"/>
          <w:sz w:val="24"/>
          <w:szCs w:val="24"/>
        </w:rPr>
        <w:t>Kristallnacht marked a pivotal moment that signified a transition from discriminatory policies and anti-Semitic laws to open violence and persecution, demonstrating the Nazis' intention to annihilate Jewish communities</w:t>
      </w:r>
      <w:r w:rsidR="00B8098B" w:rsidRPr="00491CE2">
        <w:rPr>
          <w:rFonts w:ascii="Calibri" w:hAnsi="Calibri" w:cs="Calibri"/>
          <w:sz w:val="24"/>
          <w:szCs w:val="24"/>
        </w:rPr>
        <w:t xml:space="preserve"> </w:t>
      </w:r>
      <w:r w:rsidR="00FD00E5" w:rsidRPr="00491CE2">
        <w:rPr>
          <w:rFonts w:ascii="Calibri" w:hAnsi="Calibri" w:cs="Calibri"/>
          <w:sz w:val="24"/>
          <w:szCs w:val="24"/>
        </w:rPr>
        <w:t>(Rees, 2017, pp. 139-145).</w:t>
      </w:r>
      <w:r w:rsidR="0042054C" w:rsidRPr="00491CE2">
        <w:rPr>
          <w:rFonts w:ascii="Calibri" w:hAnsi="Calibri" w:cs="Calibri"/>
          <w:sz w:val="24"/>
          <w:szCs w:val="24"/>
        </w:rPr>
        <w:t xml:space="preserve"> </w:t>
      </w:r>
      <w:r w:rsidR="0005357A" w:rsidRPr="00491CE2">
        <w:rPr>
          <w:rFonts w:ascii="Calibri" w:hAnsi="Calibri" w:cs="Calibri"/>
          <w:sz w:val="24"/>
          <w:szCs w:val="24"/>
        </w:rPr>
        <w:t xml:space="preserve">In late 1938, as war loomed, the Nazi regime </w:t>
      </w:r>
      <w:r w:rsidR="000B1BFC" w:rsidRPr="00491CE2">
        <w:rPr>
          <w:rFonts w:ascii="Calibri" w:hAnsi="Calibri" w:cs="Calibri"/>
          <w:noProof/>
          <w:sz w:val="24"/>
          <w:szCs w:val="24"/>
        </w:rPr>
        <w:drawing>
          <wp:anchor distT="0" distB="0" distL="114300" distR="114300" simplePos="0" relativeHeight="251646976" behindDoc="1" locked="0" layoutInCell="1" allowOverlap="1" wp14:anchorId="46D7EA0B" wp14:editId="0EC16D0D">
            <wp:simplePos x="0" y="0"/>
            <wp:positionH relativeFrom="margin">
              <wp:posOffset>3350895</wp:posOffset>
            </wp:positionH>
            <wp:positionV relativeFrom="margin">
              <wp:posOffset>3197860</wp:posOffset>
            </wp:positionV>
            <wp:extent cx="2307590" cy="2033905"/>
            <wp:effectExtent l="19050" t="19050" r="16510" b="23495"/>
            <wp:wrapSquare wrapText="bothSides"/>
            <wp:docPr id="1951680274" name="Picture 4" descr="A group of people standing next to a tru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680274" name="Picture 4" descr="A group of people standing next to a truck&#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07590" cy="2033905"/>
                    </a:xfrm>
                    <a:prstGeom prst="rect">
                      <a:avLst/>
                    </a:prstGeom>
                    <a:noFill/>
                    <a:ln w="3175">
                      <a:solidFill>
                        <a:sysClr val="windowText" lastClr="000000"/>
                      </a:solidFill>
                    </a:ln>
                  </pic:spPr>
                </pic:pic>
              </a:graphicData>
            </a:graphic>
            <wp14:sizeRelH relativeFrom="page">
              <wp14:pctWidth>0</wp14:pctWidth>
            </wp14:sizeRelH>
            <wp14:sizeRelV relativeFrom="page">
              <wp14:pctHeight>0</wp14:pctHeight>
            </wp14:sizeRelV>
          </wp:anchor>
        </w:drawing>
      </w:r>
      <w:r w:rsidR="0005357A" w:rsidRPr="00491CE2">
        <w:rPr>
          <w:rFonts w:ascii="Calibri" w:hAnsi="Calibri" w:cs="Calibri"/>
          <w:sz w:val="24"/>
          <w:szCs w:val="24"/>
        </w:rPr>
        <w:t>escalated its policies</w:t>
      </w:r>
      <w:r w:rsidR="009D3A5C" w:rsidRPr="00491CE2">
        <w:rPr>
          <w:rFonts w:ascii="Calibri" w:hAnsi="Calibri" w:cs="Calibri"/>
          <w:sz w:val="24"/>
          <w:szCs w:val="24"/>
        </w:rPr>
        <w:t xml:space="preserve"> towards groups deemed racially inferior or biologically unworthy, </w:t>
      </w:r>
      <w:r w:rsidR="0005357A" w:rsidRPr="00491CE2">
        <w:rPr>
          <w:rFonts w:ascii="Calibri" w:hAnsi="Calibri" w:cs="Calibri"/>
          <w:sz w:val="24"/>
          <w:szCs w:val="24"/>
        </w:rPr>
        <w:t xml:space="preserve">beginning with Hitler’s approval of killing infants with disabilities. </w:t>
      </w:r>
      <w:r w:rsidR="00E178FE" w:rsidRPr="00491CE2">
        <w:rPr>
          <w:rFonts w:ascii="Calibri" w:hAnsi="Calibri" w:cs="Calibri"/>
          <w:sz w:val="24"/>
          <w:szCs w:val="24"/>
        </w:rPr>
        <w:t>By spring 1939, plans were underway to identify victims, recruit doctors, and set up lethal hospital wards. The T4 operation, initiated by Hitler in the summer of 1939, was later expanded to include disabled adults. Although the T4 killing centres closed in August 1941 due to opposition, new centres for Jews were being established.</w:t>
      </w:r>
      <w:r w:rsidR="008D3A06" w:rsidRPr="00491CE2">
        <w:rPr>
          <w:rFonts w:ascii="Calibri" w:hAnsi="Calibri" w:cs="Calibri"/>
          <w:sz w:val="24"/>
          <w:szCs w:val="24"/>
        </w:rPr>
        <w:t xml:space="preserve"> Chelmno opened in December 1941 using gas van technology for the murders</w:t>
      </w:r>
      <w:r w:rsidR="009363F5" w:rsidRPr="00491CE2">
        <w:rPr>
          <w:rFonts w:ascii="Calibri" w:hAnsi="Calibri" w:cs="Calibri"/>
          <w:sz w:val="24"/>
          <w:szCs w:val="24"/>
        </w:rPr>
        <w:t xml:space="preserve"> (See Figure 4)</w:t>
      </w:r>
      <w:r w:rsidR="008D3A06" w:rsidRPr="00491CE2">
        <w:rPr>
          <w:rFonts w:ascii="Calibri" w:hAnsi="Calibri" w:cs="Calibri"/>
          <w:sz w:val="24"/>
          <w:szCs w:val="24"/>
        </w:rPr>
        <w:t xml:space="preserve">, followed by Belzec, Sobibor, and Treblinka in 1942. </w:t>
      </w:r>
      <w:r w:rsidR="00AC1E7D" w:rsidRPr="00491CE2">
        <w:rPr>
          <w:rFonts w:ascii="Calibri" w:hAnsi="Calibri" w:cs="Calibri"/>
          <w:sz w:val="24"/>
          <w:szCs w:val="24"/>
        </w:rPr>
        <w:t xml:space="preserve">Gypsies faced persecution, deportation to ghettos, and were murdered alongside Jews and the disabled in the Holocaust. Disabled Jews were among the initial victims of the final solution, </w:t>
      </w:r>
      <w:r w:rsidR="00362ADE" w:rsidRPr="00491CE2">
        <w:rPr>
          <w:rFonts w:ascii="Calibri" w:hAnsi="Calibri" w:cs="Calibri"/>
          <w:noProof/>
          <w:sz w:val="24"/>
          <w:szCs w:val="24"/>
        </w:rPr>
        <w:drawing>
          <wp:anchor distT="0" distB="0" distL="114300" distR="114300" simplePos="0" relativeHeight="251649024" behindDoc="1" locked="0" layoutInCell="1" allowOverlap="1" wp14:anchorId="1987FCA5" wp14:editId="60CE520E">
            <wp:simplePos x="0" y="0"/>
            <wp:positionH relativeFrom="margin">
              <wp:posOffset>57893</wp:posOffset>
            </wp:positionH>
            <wp:positionV relativeFrom="margin">
              <wp:posOffset>6191885</wp:posOffset>
            </wp:positionV>
            <wp:extent cx="1757680" cy="2627630"/>
            <wp:effectExtent l="19050" t="19050" r="13970" b="20320"/>
            <wp:wrapSquare wrapText="bothSides"/>
            <wp:docPr id="916702477" name="Picture 5" descr="A person in a military uni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702477" name="Picture 5" descr="A person in a military uniform&#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57680" cy="2627630"/>
                    </a:xfrm>
                    <a:prstGeom prst="rect">
                      <a:avLst/>
                    </a:prstGeom>
                    <a:noFill/>
                    <a:ln w="3175">
                      <a:solidFill>
                        <a:sysClr val="windowText" lastClr="000000"/>
                      </a:solidFill>
                    </a:ln>
                  </pic:spPr>
                </pic:pic>
              </a:graphicData>
            </a:graphic>
            <wp14:sizeRelH relativeFrom="page">
              <wp14:pctWidth>0</wp14:pctWidth>
            </wp14:sizeRelH>
            <wp14:sizeRelV relativeFrom="page">
              <wp14:pctHeight>0</wp14:pctHeight>
            </wp14:sizeRelV>
          </wp:anchor>
        </w:drawing>
      </w:r>
      <w:r w:rsidR="00AC1E7D" w:rsidRPr="00491CE2">
        <w:rPr>
          <w:rFonts w:ascii="Calibri" w:hAnsi="Calibri" w:cs="Calibri"/>
          <w:sz w:val="24"/>
          <w:szCs w:val="24"/>
        </w:rPr>
        <w:t>with many murdered in euthanasia centres in 1940</w:t>
      </w:r>
      <w:r w:rsidR="008D3A06" w:rsidRPr="00491CE2">
        <w:rPr>
          <w:rFonts w:ascii="Calibri" w:hAnsi="Calibri" w:cs="Calibri"/>
          <w:sz w:val="24"/>
          <w:szCs w:val="24"/>
        </w:rPr>
        <w:t xml:space="preserve"> (Friedlander, 1994).</w:t>
      </w:r>
    </w:p>
    <w:p w14:paraId="5AD1B933" w14:textId="6134AAF5" w:rsidR="007E5359" w:rsidRPr="00491CE2" w:rsidRDefault="00DC7894" w:rsidP="00AD22FA">
      <w:pPr>
        <w:spacing w:line="360" w:lineRule="auto"/>
        <w:rPr>
          <w:rFonts w:ascii="Calibri" w:hAnsi="Calibri" w:cs="Calibri"/>
          <w:color w:val="000000" w:themeColor="text1"/>
          <w:sz w:val="24"/>
          <w:szCs w:val="24"/>
        </w:rPr>
      </w:pPr>
      <w:r w:rsidRPr="00491CE2">
        <w:rPr>
          <w:rFonts w:ascii="Calibri" w:hAnsi="Calibri" w:cs="Calibri"/>
          <w:color w:val="000000" w:themeColor="text1"/>
          <w:sz w:val="24"/>
          <w:szCs w:val="24"/>
        </w:rPr>
        <w:t xml:space="preserve">The invasion of Poland </w:t>
      </w:r>
      <w:r w:rsidRPr="00491CE2">
        <w:rPr>
          <w:rFonts w:ascii="Calibri" w:hAnsi="Calibri" w:cs="Calibri"/>
          <w:sz w:val="24"/>
          <w:szCs w:val="24"/>
        </w:rPr>
        <w:t>by Nazi Germany began on</w:t>
      </w:r>
      <w:r w:rsidR="00CD29C3" w:rsidRPr="00491CE2">
        <w:rPr>
          <w:rFonts w:ascii="Calibri" w:hAnsi="Calibri" w:cs="Calibri"/>
          <w:sz w:val="24"/>
          <w:szCs w:val="24"/>
        </w:rPr>
        <w:t xml:space="preserve"> 1</w:t>
      </w:r>
      <w:r w:rsidR="00CD29C3" w:rsidRPr="00491CE2">
        <w:rPr>
          <w:rFonts w:ascii="Calibri" w:hAnsi="Calibri" w:cs="Calibri"/>
          <w:sz w:val="24"/>
          <w:szCs w:val="24"/>
          <w:vertAlign w:val="superscript"/>
        </w:rPr>
        <w:t>st</w:t>
      </w:r>
      <w:r w:rsidRPr="00491CE2">
        <w:rPr>
          <w:rFonts w:ascii="Calibri" w:hAnsi="Calibri" w:cs="Calibri"/>
          <w:sz w:val="24"/>
          <w:szCs w:val="24"/>
        </w:rPr>
        <w:t xml:space="preserve"> September 1939</w:t>
      </w:r>
      <w:r w:rsidR="004A1893" w:rsidRPr="00491CE2">
        <w:rPr>
          <w:rFonts w:ascii="Calibri" w:hAnsi="Calibri" w:cs="Calibri"/>
          <w:sz w:val="24"/>
          <w:szCs w:val="24"/>
        </w:rPr>
        <w:t>,</w:t>
      </w:r>
      <w:r w:rsidR="00F04801" w:rsidRPr="00491CE2">
        <w:rPr>
          <w:rFonts w:ascii="Calibri" w:hAnsi="Calibri" w:cs="Calibri"/>
          <w:sz w:val="24"/>
          <w:szCs w:val="24"/>
        </w:rPr>
        <w:t xml:space="preserve"> </w:t>
      </w:r>
      <w:r w:rsidRPr="00491CE2">
        <w:rPr>
          <w:rFonts w:ascii="Calibri" w:hAnsi="Calibri" w:cs="Calibri"/>
          <w:sz w:val="24"/>
          <w:szCs w:val="24"/>
        </w:rPr>
        <w:t xml:space="preserve">marking the </w:t>
      </w:r>
      <w:r w:rsidR="00A055F2" w:rsidRPr="00491CE2">
        <w:rPr>
          <w:rFonts w:ascii="Calibri" w:hAnsi="Calibri" w:cs="Calibri"/>
          <w:sz w:val="24"/>
          <w:szCs w:val="24"/>
        </w:rPr>
        <w:t xml:space="preserve">start of the </w:t>
      </w:r>
      <w:r w:rsidRPr="00491CE2">
        <w:rPr>
          <w:rFonts w:ascii="Calibri" w:hAnsi="Calibri" w:cs="Calibri"/>
          <w:sz w:val="24"/>
          <w:szCs w:val="24"/>
        </w:rPr>
        <w:t>Second World War</w:t>
      </w:r>
      <w:r w:rsidR="004A1893" w:rsidRPr="00491CE2">
        <w:rPr>
          <w:rFonts w:ascii="Calibri" w:hAnsi="Calibri" w:cs="Calibri"/>
          <w:sz w:val="24"/>
          <w:szCs w:val="24"/>
        </w:rPr>
        <w:t xml:space="preserve">. </w:t>
      </w:r>
      <w:r w:rsidR="00D91E2E" w:rsidRPr="00491CE2">
        <w:rPr>
          <w:rFonts w:ascii="Calibri" w:hAnsi="Calibri" w:cs="Calibri"/>
          <w:sz w:val="24"/>
          <w:szCs w:val="24"/>
        </w:rPr>
        <w:t>Earlier that year</w:t>
      </w:r>
      <w:r w:rsidR="005B2BE6" w:rsidRPr="00491CE2">
        <w:rPr>
          <w:rFonts w:ascii="Calibri" w:hAnsi="Calibri" w:cs="Calibri"/>
          <w:sz w:val="24"/>
          <w:szCs w:val="24"/>
        </w:rPr>
        <w:t>,</w:t>
      </w:r>
      <w:r w:rsidR="009D3A5C" w:rsidRPr="00491CE2">
        <w:rPr>
          <w:rFonts w:ascii="Calibri" w:hAnsi="Calibri" w:cs="Calibri"/>
          <w:sz w:val="24"/>
          <w:szCs w:val="24"/>
        </w:rPr>
        <w:t xml:space="preserve"> </w:t>
      </w:r>
      <w:r w:rsidR="00D91E2E" w:rsidRPr="00491CE2">
        <w:rPr>
          <w:rFonts w:ascii="Calibri" w:hAnsi="Calibri" w:cs="Calibri"/>
          <w:sz w:val="24"/>
          <w:szCs w:val="24"/>
        </w:rPr>
        <w:t xml:space="preserve">Hermann Goring had instructed Reinhard Heydrich (See Figure 5) to oversee the forced resettlement of Jews to achieve a </w:t>
      </w:r>
      <w:proofErr w:type="spellStart"/>
      <w:r w:rsidR="00D91E2E" w:rsidRPr="00491CE2">
        <w:rPr>
          <w:rFonts w:ascii="Calibri" w:hAnsi="Calibri" w:cs="Calibri"/>
          <w:i/>
          <w:iCs/>
          <w:sz w:val="24"/>
          <w:szCs w:val="24"/>
        </w:rPr>
        <w:t>Judenfrei</w:t>
      </w:r>
      <w:proofErr w:type="spellEnd"/>
      <w:r w:rsidR="00D91E2E" w:rsidRPr="00491CE2">
        <w:rPr>
          <w:rFonts w:ascii="Calibri" w:hAnsi="Calibri" w:cs="Calibri"/>
          <w:i/>
          <w:iCs/>
          <w:sz w:val="24"/>
          <w:szCs w:val="24"/>
        </w:rPr>
        <w:t xml:space="preserve"> </w:t>
      </w:r>
      <w:r w:rsidR="00D91E2E" w:rsidRPr="00491CE2">
        <w:rPr>
          <w:rFonts w:ascii="Calibri" w:hAnsi="Calibri" w:cs="Calibri"/>
          <w:sz w:val="24"/>
          <w:szCs w:val="24"/>
        </w:rPr>
        <w:t xml:space="preserve">(Jew-free) Germany (Browning, </w:t>
      </w:r>
      <w:r w:rsidR="00D91E2E" w:rsidRPr="00491CE2">
        <w:rPr>
          <w:rFonts w:ascii="Calibri" w:hAnsi="Calibri" w:cs="Calibri"/>
          <w:sz w:val="24"/>
          <w:szCs w:val="24"/>
        </w:rPr>
        <w:lastRenderedPageBreak/>
        <w:t xml:space="preserve">2005, pp. 315-317). </w:t>
      </w:r>
      <w:r w:rsidR="009D3A5C" w:rsidRPr="00491CE2">
        <w:rPr>
          <w:rFonts w:ascii="Calibri" w:hAnsi="Calibri" w:cs="Calibri"/>
          <w:sz w:val="24"/>
          <w:szCs w:val="24"/>
        </w:rPr>
        <w:t xml:space="preserve">Consequently, the Nazi regime created ghettos to segregate and control Jewish communities in occupied areas, especially in Poland. The ghettos in Warsaw and Lodz were overcrowded and suffered from inadequate </w:t>
      </w:r>
      <w:r w:rsidR="00362ADE" w:rsidRPr="00491CE2">
        <w:rPr>
          <w:rFonts w:ascii="Calibri" w:hAnsi="Calibri" w:cs="Calibri"/>
          <w:noProof/>
          <w:sz w:val="24"/>
          <w:szCs w:val="24"/>
        </w:rPr>
        <w:drawing>
          <wp:anchor distT="0" distB="0" distL="114300" distR="114300" simplePos="0" relativeHeight="251651072" behindDoc="1" locked="0" layoutInCell="1" allowOverlap="1" wp14:anchorId="3D8C8EC8" wp14:editId="2F919736">
            <wp:simplePos x="0" y="0"/>
            <wp:positionH relativeFrom="margin">
              <wp:posOffset>3144628</wp:posOffset>
            </wp:positionH>
            <wp:positionV relativeFrom="margin">
              <wp:posOffset>19050</wp:posOffset>
            </wp:positionV>
            <wp:extent cx="2513965" cy="2038350"/>
            <wp:effectExtent l="19050" t="19050" r="19685" b="19050"/>
            <wp:wrapSquare wrapText="bothSides"/>
            <wp:docPr id="860972723" name="Picture 6" descr="A group of children sitting on the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972723" name="Picture 6" descr="A group of children sitting on the ground&#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13965" cy="2038350"/>
                    </a:xfrm>
                    <a:prstGeom prst="rect">
                      <a:avLst/>
                    </a:prstGeom>
                    <a:noFill/>
                    <a:ln w="3175">
                      <a:solidFill>
                        <a:sysClr val="windowText" lastClr="000000"/>
                      </a:solidFill>
                    </a:ln>
                  </pic:spPr>
                </pic:pic>
              </a:graphicData>
            </a:graphic>
            <wp14:sizeRelH relativeFrom="page">
              <wp14:pctWidth>0</wp14:pctWidth>
            </wp14:sizeRelH>
            <wp14:sizeRelV relativeFrom="page">
              <wp14:pctHeight>0</wp14:pctHeight>
            </wp14:sizeRelV>
          </wp:anchor>
        </w:drawing>
      </w:r>
      <w:r w:rsidR="009D3A5C" w:rsidRPr="00491CE2">
        <w:rPr>
          <w:rFonts w:ascii="Calibri" w:hAnsi="Calibri" w:cs="Calibri"/>
          <w:sz w:val="24"/>
          <w:szCs w:val="24"/>
        </w:rPr>
        <w:t>sanitation, resulting in high death rates</w:t>
      </w:r>
      <w:r w:rsidR="00D91E2E" w:rsidRPr="00491CE2">
        <w:rPr>
          <w:rFonts w:ascii="Calibri" w:hAnsi="Calibri" w:cs="Calibri"/>
          <w:sz w:val="24"/>
          <w:szCs w:val="24"/>
        </w:rPr>
        <w:t xml:space="preserve"> (See Figure 6). Initially viewed as temporary, the ghettos sought to relocate Jews to the Lublin district by February 1940 but struggled with issues like starvation due to economic isolation (Browning, 1986). Intentionalists see ghettos as a calculated part of the Nazi genocide strategy, while functionalists view them as responses to situational pressures. Ghettoisation was not just a central authority action for extermination</w:t>
      </w:r>
      <w:r w:rsidR="005D77B2" w:rsidRPr="00491CE2">
        <w:rPr>
          <w:rFonts w:ascii="Calibri" w:hAnsi="Calibri" w:cs="Calibri"/>
          <w:sz w:val="24"/>
          <w:szCs w:val="24"/>
        </w:rPr>
        <w:t>; it</w:t>
      </w:r>
      <w:r w:rsidR="00D91E2E" w:rsidRPr="00491CE2">
        <w:rPr>
          <w:rFonts w:ascii="Calibri" w:hAnsi="Calibri" w:cs="Calibri"/>
          <w:sz w:val="24"/>
          <w:szCs w:val="24"/>
        </w:rPr>
        <w:t xml:space="preserve"> varied in execution and was </w:t>
      </w:r>
      <w:r w:rsidR="005D77B2" w:rsidRPr="00491CE2">
        <w:rPr>
          <w:rFonts w:ascii="Calibri" w:hAnsi="Calibri" w:cs="Calibri"/>
          <w:sz w:val="24"/>
          <w:szCs w:val="24"/>
        </w:rPr>
        <w:t>primarily initiated</w:t>
      </w:r>
      <w:r w:rsidR="00D91E2E" w:rsidRPr="00491CE2">
        <w:rPr>
          <w:rFonts w:ascii="Calibri" w:hAnsi="Calibri" w:cs="Calibri"/>
          <w:sz w:val="24"/>
          <w:szCs w:val="24"/>
        </w:rPr>
        <w:t xml:space="preserve"> by local authorities (Browning, 1992, pp. 28-30).</w:t>
      </w:r>
      <w:r w:rsidR="0042054C" w:rsidRPr="00491CE2">
        <w:rPr>
          <w:rFonts w:ascii="Calibri" w:hAnsi="Calibri" w:cs="Calibri"/>
          <w:sz w:val="24"/>
          <w:szCs w:val="24"/>
        </w:rPr>
        <w:t xml:space="preserve"> </w:t>
      </w:r>
      <w:r w:rsidR="004A1893" w:rsidRPr="00491CE2">
        <w:rPr>
          <w:rFonts w:ascii="Calibri" w:hAnsi="Calibri" w:cs="Calibri"/>
          <w:sz w:val="24"/>
          <w:szCs w:val="24"/>
        </w:rPr>
        <w:t>On</w:t>
      </w:r>
      <w:r w:rsidR="00F04801" w:rsidRPr="00491CE2">
        <w:rPr>
          <w:rFonts w:ascii="Calibri" w:hAnsi="Calibri" w:cs="Calibri"/>
          <w:sz w:val="24"/>
          <w:szCs w:val="24"/>
        </w:rPr>
        <w:t xml:space="preserve"> September 21</w:t>
      </w:r>
      <w:r w:rsidR="004A1893" w:rsidRPr="00491CE2">
        <w:rPr>
          <w:rFonts w:ascii="Calibri" w:hAnsi="Calibri" w:cs="Calibri"/>
          <w:sz w:val="24"/>
          <w:szCs w:val="24"/>
        </w:rPr>
        <w:t>,</w:t>
      </w:r>
      <w:r w:rsidR="00F04801" w:rsidRPr="00491CE2">
        <w:rPr>
          <w:rFonts w:ascii="Calibri" w:hAnsi="Calibri" w:cs="Calibri"/>
          <w:sz w:val="24"/>
          <w:szCs w:val="24"/>
        </w:rPr>
        <w:t xml:space="preserve"> Heydrich gave instructions to the commanders of the Einsatzgruppen </w:t>
      </w:r>
      <w:r w:rsidR="00362ADE" w:rsidRPr="00491CE2">
        <w:rPr>
          <w:rFonts w:ascii="Calibri" w:hAnsi="Calibri" w:cs="Calibri"/>
          <w:noProof/>
          <w:color w:val="000000" w:themeColor="text1"/>
          <w:sz w:val="24"/>
          <w:szCs w:val="24"/>
        </w:rPr>
        <w:drawing>
          <wp:anchor distT="0" distB="0" distL="114300" distR="114300" simplePos="0" relativeHeight="251653120" behindDoc="1" locked="0" layoutInCell="1" allowOverlap="1" wp14:anchorId="235F8B40" wp14:editId="034F300B">
            <wp:simplePos x="0" y="0"/>
            <wp:positionH relativeFrom="margin">
              <wp:posOffset>65717</wp:posOffset>
            </wp:positionH>
            <wp:positionV relativeFrom="margin">
              <wp:posOffset>3332480</wp:posOffset>
            </wp:positionV>
            <wp:extent cx="2437130" cy="2180590"/>
            <wp:effectExtent l="19050" t="19050" r="20320" b="10160"/>
            <wp:wrapSquare wrapText="bothSides"/>
            <wp:docPr id="1483695691" name="Picture 7" descr="A group of soldiers on a pile of d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695691" name="Picture 7" descr="A group of soldiers on a pile of di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37130" cy="2180590"/>
                    </a:xfrm>
                    <a:prstGeom prst="rect">
                      <a:avLst/>
                    </a:prstGeom>
                    <a:noFill/>
                    <a:ln w="3175">
                      <a:solidFill>
                        <a:sysClr val="windowText" lastClr="000000"/>
                      </a:solidFill>
                    </a:ln>
                  </pic:spPr>
                </pic:pic>
              </a:graphicData>
            </a:graphic>
            <wp14:sizeRelH relativeFrom="page">
              <wp14:pctWidth>0</wp14:pctWidth>
            </wp14:sizeRelH>
            <wp14:sizeRelV relativeFrom="page">
              <wp14:pctHeight>0</wp14:pctHeight>
            </wp14:sizeRelV>
          </wp:anchor>
        </w:drawing>
      </w:r>
      <w:r w:rsidR="00F04801" w:rsidRPr="00491CE2">
        <w:rPr>
          <w:rFonts w:ascii="Calibri" w:hAnsi="Calibri" w:cs="Calibri"/>
          <w:sz w:val="24"/>
          <w:szCs w:val="24"/>
        </w:rPr>
        <w:t xml:space="preserve">(mobile execution units), emphasising the need to eradicate Jews, intellectuals, and political figures in the areas of Poland under occupation (Landau, 1998, pp. 68-69). </w:t>
      </w:r>
      <w:r w:rsidRPr="00491CE2">
        <w:rPr>
          <w:rFonts w:ascii="Calibri" w:hAnsi="Calibri" w:cs="Calibri"/>
          <w:sz w:val="24"/>
          <w:szCs w:val="24"/>
        </w:rPr>
        <w:t>Intentionalist historians argue that the subsequent actions of the Einsatzgruppen</w:t>
      </w:r>
      <w:r w:rsidR="00A27FCA" w:rsidRPr="00491CE2">
        <w:rPr>
          <w:rFonts w:ascii="Calibri" w:hAnsi="Calibri" w:cs="Calibri"/>
          <w:sz w:val="24"/>
          <w:szCs w:val="24"/>
        </w:rPr>
        <w:t xml:space="preserve"> (See Figure 7)</w:t>
      </w:r>
      <w:r w:rsidR="00F04801" w:rsidRPr="00491CE2">
        <w:rPr>
          <w:rFonts w:ascii="Calibri" w:hAnsi="Calibri" w:cs="Calibri"/>
          <w:sz w:val="24"/>
          <w:szCs w:val="24"/>
        </w:rPr>
        <w:t xml:space="preserve"> and other organisations</w:t>
      </w:r>
      <w:r w:rsidR="004A1893" w:rsidRPr="00491CE2">
        <w:rPr>
          <w:rFonts w:ascii="Calibri" w:hAnsi="Calibri" w:cs="Calibri"/>
          <w:sz w:val="24"/>
          <w:szCs w:val="24"/>
        </w:rPr>
        <w:t>, such as Reserve Battalion 101</w:t>
      </w:r>
      <w:r w:rsidR="00D026D3" w:rsidRPr="00491CE2">
        <w:rPr>
          <w:rFonts w:ascii="Calibri" w:hAnsi="Calibri" w:cs="Calibri"/>
          <w:sz w:val="24"/>
          <w:szCs w:val="24"/>
        </w:rPr>
        <w:t xml:space="preserve"> (See Figure 8)</w:t>
      </w:r>
      <w:r w:rsidR="004A1893" w:rsidRPr="00491CE2">
        <w:rPr>
          <w:rFonts w:ascii="Calibri" w:hAnsi="Calibri" w:cs="Calibri"/>
          <w:sz w:val="24"/>
          <w:szCs w:val="24"/>
        </w:rPr>
        <w:t>,</w:t>
      </w:r>
      <w:r w:rsidRPr="00491CE2">
        <w:rPr>
          <w:rFonts w:ascii="Calibri" w:hAnsi="Calibri" w:cs="Calibri"/>
          <w:sz w:val="24"/>
          <w:szCs w:val="24"/>
        </w:rPr>
        <w:t xml:space="preserve"> were part of a premeditated, top-down plan by Hitler and the Nazi leadership to implement the Final Solution and secure </w:t>
      </w:r>
      <w:r w:rsidRPr="00491CE2">
        <w:rPr>
          <w:rFonts w:ascii="Calibri" w:hAnsi="Calibri" w:cs="Calibri"/>
          <w:i/>
          <w:iCs/>
          <w:sz w:val="24"/>
          <w:szCs w:val="24"/>
        </w:rPr>
        <w:t>Lebensraum</w:t>
      </w:r>
      <w:r w:rsidRPr="00491CE2">
        <w:rPr>
          <w:rFonts w:ascii="Calibri" w:hAnsi="Calibri" w:cs="Calibri"/>
          <w:sz w:val="24"/>
          <w:szCs w:val="24"/>
        </w:rPr>
        <w:t xml:space="preserve"> (living space) for the German people. According to this perspective, Hitler's long-standing antisemiti</w:t>
      </w:r>
      <w:r w:rsidR="00A32E8A" w:rsidRPr="00491CE2">
        <w:rPr>
          <w:rFonts w:ascii="Calibri" w:hAnsi="Calibri" w:cs="Calibri"/>
          <w:sz w:val="24"/>
          <w:szCs w:val="24"/>
        </w:rPr>
        <w:t>sm</w:t>
      </w:r>
      <w:r w:rsidRPr="00491CE2">
        <w:rPr>
          <w:rFonts w:ascii="Calibri" w:hAnsi="Calibri" w:cs="Calibri"/>
          <w:sz w:val="24"/>
          <w:szCs w:val="24"/>
        </w:rPr>
        <w:t xml:space="preserve"> directly influenced the violent policies enacted in Poland</w:t>
      </w:r>
      <w:r w:rsidR="00A055F2" w:rsidRPr="00491CE2">
        <w:rPr>
          <w:rFonts w:ascii="Calibri" w:hAnsi="Calibri" w:cs="Calibri"/>
          <w:sz w:val="24"/>
          <w:szCs w:val="24"/>
        </w:rPr>
        <w:t xml:space="preserve"> (Rossino, 2001).</w:t>
      </w:r>
      <w:r w:rsidR="00C03C64" w:rsidRPr="00491CE2">
        <w:rPr>
          <w:rFonts w:ascii="Calibri" w:hAnsi="Calibri" w:cs="Calibri"/>
          <w:sz w:val="24"/>
          <w:szCs w:val="24"/>
        </w:rPr>
        <w:t xml:space="preserve"> </w:t>
      </w:r>
      <w:r w:rsidR="002F276A" w:rsidRPr="00491CE2">
        <w:rPr>
          <w:rFonts w:ascii="Calibri" w:hAnsi="Calibri" w:cs="Calibri"/>
          <w:sz w:val="24"/>
          <w:szCs w:val="24"/>
        </w:rPr>
        <w:t xml:space="preserve">Lebensraum was crucial for the Nazis, as it generated public support for Germany's expansion. </w:t>
      </w:r>
      <w:r w:rsidR="0032541D" w:rsidRPr="00491CE2">
        <w:rPr>
          <w:rFonts w:ascii="Calibri" w:hAnsi="Calibri" w:cs="Calibri"/>
          <w:sz w:val="24"/>
          <w:szCs w:val="24"/>
        </w:rPr>
        <w:t xml:space="preserve">The concept of Lebensraum emerged in the early twentieth century as </w:t>
      </w:r>
      <w:r w:rsidR="00362ADE" w:rsidRPr="00491CE2">
        <w:rPr>
          <w:rFonts w:ascii="Calibri" w:hAnsi="Calibri" w:cs="Calibri"/>
          <w:noProof/>
          <w:sz w:val="24"/>
          <w:szCs w:val="24"/>
        </w:rPr>
        <w:drawing>
          <wp:anchor distT="0" distB="0" distL="114300" distR="114300" simplePos="0" relativeHeight="251655168" behindDoc="1" locked="0" layoutInCell="1" allowOverlap="1" wp14:anchorId="128CC7A8" wp14:editId="12B58826">
            <wp:simplePos x="0" y="0"/>
            <wp:positionH relativeFrom="margin">
              <wp:posOffset>3208655</wp:posOffset>
            </wp:positionH>
            <wp:positionV relativeFrom="margin">
              <wp:posOffset>6797675</wp:posOffset>
            </wp:positionV>
            <wp:extent cx="2487930" cy="2015490"/>
            <wp:effectExtent l="19050" t="19050" r="26670" b="22860"/>
            <wp:wrapSquare wrapText="bothSides"/>
            <wp:docPr id="1421527582" name="Picture 8" descr="A group of men in military unifor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527582" name="Picture 8" descr="A group of men in military uniforms&#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87930" cy="2015490"/>
                    </a:xfrm>
                    <a:prstGeom prst="rect">
                      <a:avLst/>
                    </a:prstGeom>
                    <a:noFill/>
                    <a:ln w="3175">
                      <a:solidFill>
                        <a:sysClr val="windowText" lastClr="000000"/>
                      </a:solidFill>
                    </a:ln>
                  </pic:spPr>
                </pic:pic>
              </a:graphicData>
            </a:graphic>
            <wp14:sizeRelH relativeFrom="page">
              <wp14:pctWidth>0</wp14:pctWidth>
            </wp14:sizeRelH>
            <wp14:sizeRelV relativeFrom="page">
              <wp14:pctHeight>0</wp14:pctHeight>
            </wp14:sizeRelV>
          </wp:anchor>
        </w:drawing>
      </w:r>
      <w:r w:rsidR="0032541D" w:rsidRPr="00491CE2">
        <w:rPr>
          <w:rFonts w:ascii="Calibri" w:hAnsi="Calibri" w:cs="Calibri"/>
          <w:sz w:val="24"/>
          <w:szCs w:val="24"/>
        </w:rPr>
        <w:t>Germany sought imperial expansion, notably in German South-</w:t>
      </w:r>
      <w:r w:rsidR="0032541D" w:rsidRPr="00491CE2">
        <w:rPr>
          <w:rFonts w:ascii="Calibri" w:hAnsi="Calibri" w:cs="Calibri"/>
          <w:sz w:val="24"/>
          <w:szCs w:val="24"/>
        </w:rPr>
        <w:lastRenderedPageBreak/>
        <w:t>West Africa</w:t>
      </w:r>
      <w:r w:rsidR="00AC5BDB" w:rsidRPr="00491CE2">
        <w:rPr>
          <w:rFonts w:ascii="Calibri" w:hAnsi="Calibri" w:cs="Calibri"/>
          <w:sz w:val="24"/>
          <w:szCs w:val="24"/>
        </w:rPr>
        <w:t>,</w:t>
      </w:r>
      <w:r w:rsidR="0032541D" w:rsidRPr="00491CE2">
        <w:rPr>
          <w:rFonts w:ascii="Calibri" w:hAnsi="Calibri" w:cs="Calibri"/>
          <w:sz w:val="24"/>
          <w:szCs w:val="24"/>
        </w:rPr>
        <w:t xml:space="preserve"> where </w:t>
      </w:r>
      <w:r w:rsidR="00C32053" w:rsidRPr="00491CE2">
        <w:rPr>
          <w:rFonts w:ascii="Calibri" w:hAnsi="Calibri" w:cs="Calibri"/>
          <w:sz w:val="24"/>
          <w:szCs w:val="24"/>
        </w:rPr>
        <w:t>i</w:t>
      </w:r>
      <w:r w:rsidR="0032541D" w:rsidRPr="00491CE2">
        <w:rPr>
          <w:rFonts w:ascii="Calibri" w:hAnsi="Calibri" w:cs="Calibri"/>
          <w:sz w:val="24"/>
          <w:szCs w:val="24"/>
        </w:rPr>
        <w:t>ndigenous groups were displaced and killed (Madley, 2005). It was later adopted by radical conservatives in the 1920s and influenced Hitler's 1941 invasion of Russia and resettlement plans in Eastern Europe (Smith, 1980).</w:t>
      </w:r>
      <w:r w:rsidR="00823BD0" w:rsidRPr="00491CE2">
        <w:rPr>
          <w:rFonts w:ascii="Calibri" w:hAnsi="Calibri" w:cs="Calibri"/>
          <w:sz w:val="24"/>
          <w:szCs w:val="24"/>
        </w:rPr>
        <w:t xml:space="preserve"> </w:t>
      </w:r>
      <w:r w:rsidR="00AC5BDB" w:rsidRPr="00491CE2">
        <w:rPr>
          <w:rFonts w:ascii="Calibri" w:hAnsi="Calibri" w:cs="Calibri"/>
          <w:sz w:val="24"/>
          <w:szCs w:val="24"/>
        </w:rPr>
        <w:t>The</w:t>
      </w:r>
      <w:r w:rsidR="00C32053" w:rsidRPr="00491CE2">
        <w:rPr>
          <w:rFonts w:ascii="Calibri" w:hAnsi="Calibri" w:cs="Calibri"/>
          <w:sz w:val="24"/>
          <w:szCs w:val="24"/>
        </w:rPr>
        <w:t xml:space="preserve"> Einsatzgruppen </w:t>
      </w:r>
      <w:r w:rsidR="00AC5BDB" w:rsidRPr="00491CE2">
        <w:rPr>
          <w:rFonts w:ascii="Calibri" w:hAnsi="Calibri" w:cs="Calibri"/>
          <w:sz w:val="24"/>
          <w:szCs w:val="24"/>
        </w:rPr>
        <w:t>w</w:t>
      </w:r>
      <w:r w:rsidR="00C32053" w:rsidRPr="00491CE2">
        <w:rPr>
          <w:rFonts w:ascii="Calibri" w:hAnsi="Calibri" w:cs="Calibri"/>
          <w:sz w:val="24"/>
          <w:szCs w:val="24"/>
        </w:rPr>
        <w:t>ere</w:t>
      </w:r>
      <w:r w:rsidR="00AC5BDB" w:rsidRPr="00491CE2">
        <w:rPr>
          <w:rFonts w:ascii="Calibri" w:hAnsi="Calibri" w:cs="Calibri"/>
          <w:sz w:val="24"/>
          <w:szCs w:val="24"/>
        </w:rPr>
        <w:t xml:space="preserve"> vital in implementing the Nazis' racial and ideological policies, particularly in the early stages of the Holocaust. By systematically targeting Jews, the Einsatzgruppen facilitated the Nazis' broader goals of ethnic cleansing, territorial domination, and the establishment of German control in occupied Poland</w:t>
      </w:r>
      <w:r w:rsidR="00A406B8" w:rsidRPr="00491CE2">
        <w:rPr>
          <w:rFonts w:ascii="Calibri" w:hAnsi="Calibri" w:cs="Calibri"/>
          <w:sz w:val="24"/>
          <w:szCs w:val="24"/>
        </w:rPr>
        <w:t xml:space="preserve"> </w:t>
      </w:r>
      <w:r w:rsidR="00C03C64" w:rsidRPr="00491CE2">
        <w:rPr>
          <w:rFonts w:ascii="Calibri" w:hAnsi="Calibri" w:cs="Calibri"/>
          <w:sz w:val="24"/>
          <w:szCs w:val="24"/>
        </w:rPr>
        <w:t>(Breitman, 1994).</w:t>
      </w:r>
      <w:r w:rsidR="0042054C" w:rsidRPr="00491CE2">
        <w:rPr>
          <w:rFonts w:ascii="Calibri" w:hAnsi="Calibri" w:cs="Calibri"/>
          <w:sz w:val="24"/>
          <w:szCs w:val="24"/>
        </w:rPr>
        <w:t xml:space="preserve"> </w:t>
      </w:r>
      <w:r w:rsidR="00A51568" w:rsidRPr="00491CE2">
        <w:rPr>
          <w:rFonts w:ascii="Calibri" w:hAnsi="Calibri" w:cs="Calibri"/>
          <w:color w:val="000000" w:themeColor="text1"/>
          <w:sz w:val="24"/>
          <w:szCs w:val="24"/>
        </w:rPr>
        <w:t xml:space="preserve">Christopher Browning’s 1992 book </w:t>
      </w:r>
      <w:r w:rsidR="00A51568" w:rsidRPr="00491CE2">
        <w:rPr>
          <w:rFonts w:ascii="Calibri" w:hAnsi="Calibri" w:cs="Calibri"/>
          <w:i/>
          <w:iCs/>
          <w:color w:val="000000" w:themeColor="text1"/>
          <w:sz w:val="24"/>
          <w:szCs w:val="24"/>
        </w:rPr>
        <w:t>Ordinary Men</w:t>
      </w:r>
      <w:r w:rsidR="004A4A69" w:rsidRPr="00491CE2">
        <w:rPr>
          <w:rFonts w:ascii="Calibri" w:hAnsi="Calibri" w:cs="Calibri"/>
          <w:color w:val="000000" w:themeColor="text1"/>
          <w:sz w:val="24"/>
          <w:szCs w:val="24"/>
        </w:rPr>
        <w:t xml:space="preserve"> explores how German police officers, particularly those in Reserve Police Battalion 101, became perpetrators of mass murder. </w:t>
      </w:r>
      <w:r w:rsidR="00FD26F1" w:rsidRPr="00491CE2">
        <w:rPr>
          <w:rFonts w:ascii="Calibri" w:hAnsi="Calibri" w:cs="Calibri"/>
          <w:color w:val="000000" w:themeColor="text1"/>
          <w:sz w:val="24"/>
          <w:szCs w:val="24"/>
        </w:rPr>
        <w:t>The battalion, mainly composed of middle-aged working-class men from Hamburg and not predominantly Nazis, participated in the systematic killing of Jews in Poland. Over 16 months, they executed around 38,000 Jews and transported 45,000 to Treblinka through forced labour and escorting them to execution sites.</w:t>
      </w:r>
      <w:r w:rsidR="00E31618" w:rsidRPr="00491CE2">
        <w:rPr>
          <w:rFonts w:ascii="Calibri" w:hAnsi="Calibri" w:cs="Calibri"/>
          <w:color w:val="000000" w:themeColor="text1"/>
          <w:sz w:val="24"/>
          <w:szCs w:val="24"/>
        </w:rPr>
        <w:t xml:space="preserve"> </w:t>
      </w:r>
      <w:r w:rsidR="00BC3381" w:rsidRPr="00491CE2">
        <w:rPr>
          <w:rFonts w:ascii="Calibri" w:hAnsi="Calibri" w:cs="Calibri"/>
          <w:color w:val="000000" w:themeColor="text1"/>
          <w:sz w:val="24"/>
          <w:szCs w:val="24"/>
        </w:rPr>
        <w:t>Their actions can be analysed from two perspectives: intentionalism, which considers them part of a Nazi genocidal plan, and functionalism, which attributes their behaviour to social pressures and conformity</w:t>
      </w:r>
      <w:r w:rsidR="000F622C" w:rsidRPr="00491CE2">
        <w:rPr>
          <w:rFonts w:ascii="Calibri" w:hAnsi="Calibri" w:cs="Calibri"/>
          <w:color w:val="000000" w:themeColor="text1"/>
          <w:sz w:val="24"/>
          <w:szCs w:val="24"/>
        </w:rPr>
        <w:t xml:space="preserve"> </w:t>
      </w:r>
      <w:r w:rsidR="007E5359" w:rsidRPr="00491CE2">
        <w:rPr>
          <w:rFonts w:ascii="Calibri" w:hAnsi="Calibri" w:cs="Calibri"/>
          <w:color w:val="000000" w:themeColor="text1"/>
          <w:sz w:val="24"/>
          <w:szCs w:val="24"/>
        </w:rPr>
        <w:t>(</w:t>
      </w:r>
      <w:proofErr w:type="spellStart"/>
      <w:r w:rsidR="007E5359" w:rsidRPr="00491CE2">
        <w:rPr>
          <w:rFonts w:ascii="Calibri" w:hAnsi="Calibri" w:cs="Calibri"/>
          <w:color w:val="000000" w:themeColor="text1"/>
          <w:sz w:val="24"/>
          <w:szCs w:val="24"/>
        </w:rPr>
        <w:t>Pleasants</w:t>
      </w:r>
      <w:proofErr w:type="spellEnd"/>
      <w:r w:rsidR="007E5359" w:rsidRPr="00491CE2">
        <w:rPr>
          <w:rFonts w:ascii="Calibri" w:hAnsi="Calibri" w:cs="Calibri"/>
          <w:color w:val="000000" w:themeColor="text1"/>
          <w:sz w:val="24"/>
          <w:szCs w:val="24"/>
        </w:rPr>
        <w:t>, 2017).</w:t>
      </w:r>
      <w:r w:rsidR="00911838" w:rsidRPr="00491CE2">
        <w:rPr>
          <w:rFonts w:ascii="Calibri" w:hAnsi="Calibri" w:cs="Calibri"/>
          <w:color w:val="000000" w:themeColor="text1"/>
          <w:sz w:val="24"/>
          <w:szCs w:val="24"/>
        </w:rPr>
        <w:t xml:space="preserve"> </w:t>
      </w:r>
      <w:r w:rsidR="00E70AC3" w:rsidRPr="00491CE2">
        <w:rPr>
          <w:rFonts w:ascii="Calibri" w:hAnsi="Calibri" w:cs="Calibri"/>
          <w:color w:val="000000" w:themeColor="text1"/>
          <w:sz w:val="24"/>
          <w:szCs w:val="24"/>
        </w:rPr>
        <w:t>Frit</w:t>
      </w:r>
      <w:r w:rsidR="000629AF" w:rsidRPr="00491CE2">
        <w:rPr>
          <w:rFonts w:ascii="Calibri" w:hAnsi="Calibri" w:cs="Calibri"/>
          <w:color w:val="000000" w:themeColor="text1"/>
          <w:sz w:val="24"/>
          <w:szCs w:val="24"/>
        </w:rPr>
        <w:t>z</w:t>
      </w:r>
      <w:r w:rsidR="00E70AC3" w:rsidRPr="00491CE2">
        <w:rPr>
          <w:rFonts w:ascii="Calibri" w:hAnsi="Calibri" w:cs="Calibri"/>
          <w:color w:val="000000" w:themeColor="text1"/>
          <w:sz w:val="24"/>
          <w:szCs w:val="24"/>
        </w:rPr>
        <w:t xml:space="preserve">sche (2013) argues that both Nazi ideologies and social pressures played a key role, with a </w:t>
      </w:r>
      <w:r w:rsidR="005532F2" w:rsidRPr="00491CE2">
        <w:rPr>
          <w:rFonts w:ascii="Calibri" w:hAnsi="Calibri" w:cs="Calibri"/>
          <w:color w:val="000000" w:themeColor="text1"/>
          <w:sz w:val="24"/>
          <w:szCs w:val="24"/>
        </w:rPr>
        <w:t>decentralised</w:t>
      </w:r>
      <w:r w:rsidR="00E70AC3" w:rsidRPr="00491CE2">
        <w:rPr>
          <w:rFonts w:ascii="Calibri" w:hAnsi="Calibri" w:cs="Calibri"/>
          <w:color w:val="000000" w:themeColor="text1"/>
          <w:sz w:val="24"/>
          <w:szCs w:val="24"/>
        </w:rPr>
        <w:t xml:space="preserve"> bureaucratic structure turning ordinary individuals into perpetrators. Likewise, Michael Mann (2000) found that many acted out of fear rather than ideology, revealing a mix of ordinary men and devoted Nazis.</w:t>
      </w:r>
      <w:r w:rsidR="00226437" w:rsidRPr="00491CE2">
        <w:rPr>
          <w:rFonts w:ascii="Calibri" w:hAnsi="Calibri" w:cs="Calibri"/>
          <w:color w:val="000000" w:themeColor="text1"/>
          <w:sz w:val="24"/>
          <w:szCs w:val="24"/>
        </w:rPr>
        <w:t xml:space="preserve"> Understanding why ordinary people </w:t>
      </w:r>
      <w:r w:rsidR="00F80C34" w:rsidRPr="00491CE2">
        <w:rPr>
          <w:rFonts w:ascii="Calibri" w:hAnsi="Calibri" w:cs="Calibri"/>
          <w:color w:val="000000" w:themeColor="text1"/>
          <w:sz w:val="24"/>
          <w:szCs w:val="24"/>
        </w:rPr>
        <w:t>commit</w:t>
      </w:r>
      <w:r w:rsidR="00226437" w:rsidRPr="00491CE2">
        <w:rPr>
          <w:rFonts w:ascii="Calibri" w:hAnsi="Calibri" w:cs="Calibri"/>
          <w:color w:val="000000" w:themeColor="text1"/>
          <w:sz w:val="24"/>
          <w:szCs w:val="24"/>
        </w:rPr>
        <w:t xml:space="preserve"> horrific acts is crucial. It is a misconception that such participation is driven solely by deep hatred or ideology</w:t>
      </w:r>
      <w:r w:rsidR="007F43A1" w:rsidRPr="00491CE2">
        <w:rPr>
          <w:rFonts w:ascii="Calibri" w:hAnsi="Calibri" w:cs="Calibri"/>
          <w:color w:val="000000" w:themeColor="text1"/>
          <w:sz w:val="24"/>
          <w:szCs w:val="24"/>
        </w:rPr>
        <w:t xml:space="preserve">. Individual actions shaped mindsets, fostering a psychologically favourable disposition towards deeds that, under different circumstances, would have been inconceivable and likely opposed </w:t>
      </w:r>
      <w:r w:rsidR="00CC1D8C" w:rsidRPr="00491CE2">
        <w:rPr>
          <w:rFonts w:ascii="Calibri" w:hAnsi="Calibri" w:cs="Calibri"/>
          <w:color w:val="000000" w:themeColor="text1"/>
          <w:sz w:val="24"/>
          <w:szCs w:val="24"/>
        </w:rPr>
        <w:t>(Cesarani, 1994, pp. 119-120)</w:t>
      </w:r>
      <w:r w:rsidR="004848EC" w:rsidRPr="00491CE2">
        <w:rPr>
          <w:rFonts w:ascii="Calibri" w:hAnsi="Calibri" w:cs="Calibri"/>
          <w:color w:val="000000" w:themeColor="text1"/>
          <w:sz w:val="24"/>
          <w:szCs w:val="24"/>
        </w:rPr>
        <w:t>.</w:t>
      </w:r>
      <w:r w:rsidR="00226437" w:rsidRPr="00491CE2">
        <w:rPr>
          <w:rFonts w:ascii="Calibri" w:hAnsi="Calibri" w:cs="Calibri"/>
          <w:color w:val="000000" w:themeColor="text1"/>
          <w:sz w:val="24"/>
          <w:szCs w:val="24"/>
        </w:rPr>
        <w:t xml:space="preserve"> Situational pressures also play a significant role, including peer pressure, the desire to avoid social ostracism and desensitisation to violence.</w:t>
      </w:r>
    </w:p>
    <w:p w14:paraId="3F0EC703" w14:textId="7177DDE9" w:rsidR="00774E8D" w:rsidRPr="00491CE2" w:rsidRDefault="00541FB3" w:rsidP="00774E8D">
      <w:pPr>
        <w:spacing w:line="360" w:lineRule="auto"/>
        <w:rPr>
          <w:rFonts w:ascii="Calibri" w:hAnsi="Calibri" w:cs="Calibri"/>
          <w:sz w:val="24"/>
          <w:szCs w:val="24"/>
        </w:rPr>
      </w:pPr>
      <w:r w:rsidRPr="00491CE2">
        <w:rPr>
          <w:rFonts w:ascii="Calibri" w:hAnsi="Calibri" w:cs="Calibri"/>
          <w:sz w:val="24"/>
          <w:szCs w:val="24"/>
        </w:rPr>
        <w:t>The concept of ‘working towards the Fuhrer,’ introduced by historian Ian Kershaw</w:t>
      </w:r>
      <w:r w:rsidR="00C32053" w:rsidRPr="00491CE2">
        <w:rPr>
          <w:rFonts w:ascii="Calibri" w:hAnsi="Calibri" w:cs="Calibri"/>
          <w:sz w:val="24"/>
          <w:szCs w:val="24"/>
        </w:rPr>
        <w:t xml:space="preserve"> is vital to understanding the Holocaust as it sheds light on the dynamic between Hitler's overarching ideology and the actions of individuals within the Nazi regime. It </w:t>
      </w:r>
      <w:r w:rsidRPr="00491CE2">
        <w:rPr>
          <w:rFonts w:ascii="Calibri" w:hAnsi="Calibri" w:cs="Calibri"/>
          <w:sz w:val="24"/>
          <w:szCs w:val="24"/>
        </w:rPr>
        <w:t xml:space="preserve">describes how Nazi officials acted on their interpretation of Adolf Hitler's wishes without explicit orders. This approach suggests they autonomously escalated anti-Jewish measures, driven by ideological commitment and a desire for approval. It bridges two perspectives: the intentionalist view, which </w:t>
      </w:r>
      <w:r w:rsidR="005532F2" w:rsidRPr="00491CE2">
        <w:rPr>
          <w:rFonts w:ascii="Calibri" w:hAnsi="Calibri" w:cs="Calibri"/>
          <w:sz w:val="24"/>
          <w:szCs w:val="24"/>
        </w:rPr>
        <w:t>emphasises</w:t>
      </w:r>
      <w:r w:rsidRPr="00491CE2">
        <w:rPr>
          <w:rFonts w:ascii="Calibri" w:hAnsi="Calibri" w:cs="Calibri"/>
          <w:sz w:val="24"/>
          <w:szCs w:val="24"/>
        </w:rPr>
        <w:t xml:space="preserve"> Hitler’s central role, and the functionalist perspective, focusing on the </w:t>
      </w:r>
      <w:r w:rsidR="000B1BFC" w:rsidRPr="00491CE2">
        <w:rPr>
          <w:rFonts w:ascii="Calibri" w:hAnsi="Calibri" w:cs="Calibri"/>
          <w:noProof/>
          <w:sz w:val="24"/>
          <w:szCs w:val="24"/>
        </w:rPr>
        <w:lastRenderedPageBreak/>
        <w:drawing>
          <wp:anchor distT="0" distB="0" distL="114300" distR="114300" simplePos="0" relativeHeight="251658240" behindDoc="1" locked="0" layoutInCell="1" allowOverlap="1" wp14:anchorId="0E9E707D" wp14:editId="0F29CDEE">
            <wp:simplePos x="0" y="0"/>
            <wp:positionH relativeFrom="margin">
              <wp:posOffset>2654300</wp:posOffset>
            </wp:positionH>
            <wp:positionV relativeFrom="margin">
              <wp:posOffset>208280</wp:posOffset>
            </wp:positionV>
            <wp:extent cx="2992755" cy="1973580"/>
            <wp:effectExtent l="19050" t="19050" r="17145" b="26670"/>
            <wp:wrapSquare wrapText="bothSides"/>
            <wp:docPr id="700097811" name="Picture 9" descr="A group of soldiers marching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097811" name="Picture 9" descr="A group of soldiers marching in a field&#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92755" cy="1973580"/>
                    </a:xfrm>
                    <a:prstGeom prst="rect">
                      <a:avLst/>
                    </a:prstGeom>
                    <a:noFill/>
                    <a:ln w="3175">
                      <a:solidFill>
                        <a:sysClr val="windowText" lastClr="000000"/>
                      </a:solidFill>
                    </a:ln>
                  </pic:spPr>
                </pic:pic>
              </a:graphicData>
            </a:graphic>
            <wp14:sizeRelH relativeFrom="page">
              <wp14:pctWidth>0</wp14:pctWidth>
            </wp14:sizeRelH>
            <wp14:sizeRelV relativeFrom="page">
              <wp14:pctHeight>0</wp14:pctHeight>
            </wp14:sizeRelV>
          </wp:anchor>
        </w:drawing>
      </w:r>
      <w:r w:rsidRPr="00491CE2">
        <w:rPr>
          <w:rFonts w:ascii="Calibri" w:hAnsi="Calibri" w:cs="Calibri"/>
          <w:sz w:val="24"/>
          <w:szCs w:val="24"/>
        </w:rPr>
        <w:t>chaotic nature of Nazi governance. Th</w:t>
      </w:r>
      <w:r w:rsidR="0032541D" w:rsidRPr="00491CE2">
        <w:rPr>
          <w:rFonts w:ascii="Calibri" w:hAnsi="Calibri" w:cs="Calibri"/>
          <w:sz w:val="24"/>
          <w:szCs w:val="24"/>
        </w:rPr>
        <w:t>erefore</w:t>
      </w:r>
      <w:r w:rsidRPr="00491CE2">
        <w:rPr>
          <w:rFonts w:ascii="Calibri" w:hAnsi="Calibri" w:cs="Calibri"/>
          <w:sz w:val="24"/>
          <w:szCs w:val="24"/>
        </w:rPr>
        <w:t xml:space="preserve">, the progression toward genocidal policies like the Final Solution resulted from both Hitler’s vision and the initiatives of his followers. Ambition and conformity among bureaucrats also played significant roles, as competition influenced policies like the Final Solution, illustrating a complex interplay of motivations and dynamics within the regime </w:t>
      </w:r>
      <w:r w:rsidR="00774E8D" w:rsidRPr="00491CE2">
        <w:rPr>
          <w:rFonts w:ascii="Calibri" w:hAnsi="Calibri" w:cs="Calibri"/>
          <w:sz w:val="24"/>
          <w:szCs w:val="24"/>
        </w:rPr>
        <w:t>(</w:t>
      </w:r>
      <w:proofErr w:type="spellStart"/>
      <w:r w:rsidR="00774E8D" w:rsidRPr="00491CE2">
        <w:rPr>
          <w:rFonts w:ascii="Calibri" w:hAnsi="Calibri" w:cs="Calibri"/>
          <w:sz w:val="24"/>
          <w:szCs w:val="24"/>
        </w:rPr>
        <w:t>Marrus</w:t>
      </w:r>
      <w:proofErr w:type="spellEnd"/>
      <w:r w:rsidR="00774E8D" w:rsidRPr="00491CE2">
        <w:rPr>
          <w:rFonts w:ascii="Calibri" w:hAnsi="Calibri" w:cs="Calibri"/>
          <w:sz w:val="24"/>
          <w:szCs w:val="24"/>
        </w:rPr>
        <w:t>, 1994).</w:t>
      </w:r>
    </w:p>
    <w:p w14:paraId="2D8C2528" w14:textId="5BAF5C61" w:rsidR="00512C87" w:rsidRPr="00491CE2" w:rsidRDefault="00512C87" w:rsidP="00B04DB7">
      <w:pPr>
        <w:spacing w:line="360" w:lineRule="auto"/>
        <w:rPr>
          <w:rFonts w:ascii="Calibri" w:hAnsi="Calibri" w:cs="Calibri"/>
          <w:sz w:val="24"/>
          <w:szCs w:val="24"/>
        </w:rPr>
      </w:pPr>
      <w:r w:rsidRPr="00491CE2">
        <w:rPr>
          <w:rFonts w:ascii="Calibri" w:hAnsi="Calibri" w:cs="Calibri"/>
          <w:sz w:val="24"/>
          <w:szCs w:val="24"/>
        </w:rPr>
        <w:t xml:space="preserve">On </w:t>
      </w:r>
      <w:r w:rsidR="00CD29C3" w:rsidRPr="00491CE2">
        <w:rPr>
          <w:rFonts w:ascii="Calibri" w:hAnsi="Calibri" w:cs="Calibri"/>
          <w:sz w:val="24"/>
          <w:szCs w:val="24"/>
        </w:rPr>
        <w:t>22</w:t>
      </w:r>
      <w:r w:rsidR="00CD29C3" w:rsidRPr="00491CE2">
        <w:rPr>
          <w:rFonts w:ascii="Calibri" w:hAnsi="Calibri" w:cs="Calibri"/>
          <w:sz w:val="24"/>
          <w:szCs w:val="24"/>
          <w:vertAlign w:val="superscript"/>
        </w:rPr>
        <w:t>nd</w:t>
      </w:r>
      <w:r w:rsidR="00CD29C3" w:rsidRPr="00491CE2">
        <w:rPr>
          <w:rFonts w:ascii="Calibri" w:hAnsi="Calibri" w:cs="Calibri"/>
          <w:sz w:val="24"/>
          <w:szCs w:val="24"/>
        </w:rPr>
        <w:t xml:space="preserve"> </w:t>
      </w:r>
      <w:r w:rsidRPr="00491CE2">
        <w:rPr>
          <w:rFonts w:ascii="Calibri" w:hAnsi="Calibri" w:cs="Calibri"/>
          <w:sz w:val="24"/>
          <w:szCs w:val="24"/>
        </w:rPr>
        <w:t xml:space="preserve">June 1941, Germany initiated Operation Barbarossa, invading the Soviet Union and subjecting millions of Jews in Eastern Europe to Nazi control. This invasion created logistical challenges that contributed to the </w:t>
      </w:r>
      <w:r w:rsidR="003F3C35" w:rsidRPr="00491CE2">
        <w:rPr>
          <w:rFonts w:ascii="Calibri" w:hAnsi="Calibri" w:cs="Calibri"/>
          <w:sz w:val="24"/>
          <w:szCs w:val="24"/>
        </w:rPr>
        <w:t>radicalisation</w:t>
      </w:r>
      <w:r w:rsidRPr="00491CE2">
        <w:rPr>
          <w:rFonts w:ascii="Calibri" w:hAnsi="Calibri" w:cs="Calibri"/>
          <w:sz w:val="24"/>
          <w:szCs w:val="24"/>
        </w:rPr>
        <w:t xml:space="preserve"> of anti-Jewish policies</w:t>
      </w:r>
      <w:r w:rsidR="005D77B2" w:rsidRPr="00491CE2">
        <w:rPr>
          <w:rFonts w:ascii="Calibri" w:hAnsi="Calibri" w:cs="Calibri"/>
          <w:sz w:val="24"/>
          <w:szCs w:val="24"/>
        </w:rPr>
        <w:t>,</w:t>
      </w:r>
      <w:r w:rsidR="0032541D" w:rsidRPr="00491CE2">
        <w:rPr>
          <w:rFonts w:ascii="Calibri" w:hAnsi="Calibri" w:cs="Calibri"/>
          <w:sz w:val="24"/>
          <w:szCs w:val="24"/>
        </w:rPr>
        <w:t xml:space="preserve"> and </w:t>
      </w:r>
      <w:r w:rsidRPr="00491CE2">
        <w:rPr>
          <w:rFonts w:ascii="Calibri" w:hAnsi="Calibri" w:cs="Calibri"/>
          <w:sz w:val="24"/>
          <w:szCs w:val="24"/>
        </w:rPr>
        <w:t xml:space="preserve">the Nazi approach to dealing with the Jewish population shifted fundamentally from expulsion to extermination. In the occupied regions, a systematic campaign began to eliminate Jews, highlighted by mass shootings such as the one at Babi Yar from </w:t>
      </w:r>
      <w:r w:rsidR="00CD29C3" w:rsidRPr="00491CE2">
        <w:rPr>
          <w:rFonts w:ascii="Calibri" w:hAnsi="Calibri" w:cs="Calibri"/>
          <w:sz w:val="24"/>
          <w:szCs w:val="24"/>
        </w:rPr>
        <w:t>29</w:t>
      </w:r>
      <w:r w:rsidR="00CD29C3" w:rsidRPr="00491CE2">
        <w:rPr>
          <w:rFonts w:ascii="Calibri" w:hAnsi="Calibri" w:cs="Calibri"/>
          <w:sz w:val="24"/>
          <w:szCs w:val="24"/>
          <w:vertAlign w:val="superscript"/>
        </w:rPr>
        <w:t>th</w:t>
      </w:r>
      <w:r w:rsidR="00CD29C3" w:rsidRPr="00491CE2">
        <w:rPr>
          <w:rFonts w:ascii="Calibri" w:hAnsi="Calibri" w:cs="Calibri"/>
          <w:sz w:val="24"/>
          <w:szCs w:val="24"/>
        </w:rPr>
        <w:t>-30</w:t>
      </w:r>
      <w:r w:rsidR="00CD29C3" w:rsidRPr="00491CE2">
        <w:rPr>
          <w:rFonts w:ascii="Calibri" w:hAnsi="Calibri" w:cs="Calibri"/>
          <w:sz w:val="24"/>
          <w:szCs w:val="24"/>
          <w:vertAlign w:val="superscript"/>
        </w:rPr>
        <w:t>th</w:t>
      </w:r>
      <w:r w:rsidR="00CD29C3" w:rsidRPr="00491CE2">
        <w:rPr>
          <w:rFonts w:ascii="Calibri" w:hAnsi="Calibri" w:cs="Calibri"/>
          <w:sz w:val="24"/>
          <w:szCs w:val="24"/>
        </w:rPr>
        <w:t xml:space="preserve"> </w:t>
      </w:r>
      <w:r w:rsidRPr="00491CE2">
        <w:rPr>
          <w:rFonts w:ascii="Calibri" w:hAnsi="Calibri" w:cs="Calibri"/>
          <w:sz w:val="24"/>
          <w:szCs w:val="24"/>
        </w:rPr>
        <w:t>September 1941</w:t>
      </w:r>
      <w:r w:rsidR="0046702F" w:rsidRPr="00491CE2">
        <w:rPr>
          <w:rFonts w:ascii="Calibri" w:hAnsi="Calibri" w:cs="Calibri"/>
          <w:sz w:val="24"/>
          <w:szCs w:val="24"/>
        </w:rPr>
        <w:t xml:space="preserve"> (See Figure 9)</w:t>
      </w:r>
      <w:r w:rsidRPr="00491CE2">
        <w:rPr>
          <w:rFonts w:ascii="Calibri" w:hAnsi="Calibri" w:cs="Calibri"/>
          <w:sz w:val="24"/>
          <w:szCs w:val="24"/>
        </w:rPr>
        <w:t>, where 33,771 Jews were killed near Kyiv, Ukraine. The Einsatzgruppen carried out these executions with the help of local collaborators</w:t>
      </w:r>
      <w:r w:rsidR="00FD00E5" w:rsidRPr="00491CE2">
        <w:rPr>
          <w:rFonts w:ascii="Calibri" w:hAnsi="Calibri" w:cs="Calibri"/>
          <w:sz w:val="24"/>
          <w:szCs w:val="24"/>
        </w:rPr>
        <w:t xml:space="preserve"> (Gerlach, 1998; United States Holocaust Memorial Museum, 2024).</w:t>
      </w:r>
      <w:r w:rsidR="009050ED" w:rsidRPr="00491CE2">
        <w:rPr>
          <w:rFonts w:ascii="Calibri" w:hAnsi="Calibri" w:cs="Calibri"/>
          <w:sz w:val="24"/>
          <w:szCs w:val="24"/>
        </w:rPr>
        <w:t xml:space="preserve"> T</w:t>
      </w:r>
      <w:r w:rsidR="00171CEC" w:rsidRPr="00491CE2">
        <w:rPr>
          <w:rFonts w:ascii="Calibri" w:hAnsi="Calibri" w:cs="Calibri"/>
          <w:sz w:val="24"/>
          <w:szCs w:val="24"/>
        </w:rPr>
        <w:t>he Einsatzgruppen initially targeted Jewish male leadership and intelligentsia</w:t>
      </w:r>
      <w:r w:rsidR="00301862" w:rsidRPr="00491CE2">
        <w:rPr>
          <w:rFonts w:ascii="Calibri" w:hAnsi="Calibri" w:cs="Calibri"/>
          <w:sz w:val="24"/>
          <w:szCs w:val="24"/>
        </w:rPr>
        <w:t xml:space="preserve">. </w:t>
      </w:r>
      <w:r w:rsidR="00171CEC" w:rsidRPr="00491CE2">
        <w:rPr>
          <w:rFonts w:ascii="Calibri" w:hAnsi="Calibri" w:cs="Calibri"/>
          <w:sz w:val="24"/>
          <w:szCs w:val="24"/>
        </w:rPr>
        <w:t xml:space="preserve">However, by late July 1941, orders expanded to </w:t>
      </w:r>
      <w:r w:rsidR="009050ED" w:rsidRPr="00491CE2">
        <w:rPr>
          <w:rFonts w:ascii="Calibri" w:hAnsi="Calibri" w:cs="Calibri"/>
          <w:sz w:val="24"/>
          <w:szCs w:val="24"/>
        </w:rPr>
        <w:t xml:space="preserve">murder </w:t>
      </w:r>
      <w:r w:rsidR="00171CEC" w:rsidRPr="00491CE2">
        <w:rPr>
          <w:rFonts w:ascii="Calibri" w:hAnsi="Calibri" w:cs="Calibri"/>
          <w:sz w:val="24"/>
          <w:szCs w:val="24"/>
        </w:rPr>
        <w:t xml:space="preserve">all nonworking Jews, including women and children, reflecting an evolving plan for the extermination of Soviet Jewry. Early logistical challenges delayed mass </w:t>
      </w:r>
      <w:r w:rsidR="009050ED" w:rsidRPr="00491CE2">
        <w:rPr>
          <w:rFonts w:ascii="Calibri" w:hAnsi="Calibri" w:cs="Calibri"/>
          <w:sz w:val="24"/>
          <w:szCs w:val="24"/>
        </w:rPr>
        <w:t>murders</w:t>
      </w:r>
      <w:r w:rsidR="00171CEC" w:rsidRPr="00491CE2">
        <w:rPr>
          <w:rFonts w:ascii="Calibri" w:hAnsi="Calibri" w:cs="Calibri"/>
          <w:sz w:val="24"/>
          <w:szCs w:val="24"/>
        </w:rPr>
        <w:t>, but as German forces gained confidence, systematic extermination escalated (Browning, 1994).</w:t>
      </w:r>
      <w:r w:rsidR="00D75537" w:rsidRPr="00491CE2">
        <w:rPr>
          <w:rFonts w:ascii="Calibri" w:hAnsi="Calibri" w:cs="Calibri"/>
          <w:sz w:val="24"/>
          <w:szCs w:val="24"/>
        </w:rPr>
        <w:t xml:space="preserve"> </w:t>
      </w:r>
      <w:r w:rsidR="00B04DB7" w:rsidRPr="00491CE2">
        <w:rPr>
          <w:rFonts w:ascii="Calibri" w:hAnsi="Calibri" w:cs="Calibri"/>
          <w:sz w:val="24"/>
          <w:szCs w:val="24"/>
        </w:rPr>
        <w:t>The Einsatzgruppen's mass executions were soon deemed impractical, leading to gas chambers and extermination camps as more efficient solutions, aligning with the functionalist view of wartime-driven policy evolution.</w:t>
      </w:r>
      <w:r w:rsidR="0032541D" w:rsidRPr="00491CE2">
        <w:rPr>
          <w:rFonts w:ascii="Calibri" w:hAnsi="Calibri" w:cs="Calibri"/>
          <w:sz w:val="24"/>
          <w:szCs w:val="24"/>
        </w:rPr>
        <w:t xml:space="preserve"> The invasion of the Soviet Union created significant logistical challenges in managing millions of Jews, resulting in a crucial shift in how the Nazis addressed the issue. The Nazis had to find a more efficient solution on a larger scale.</w:t>
      </w:r>
    </w:p>
    <w:p w14:paraId="4508FFEB" w14:textId="0102D8D9" w:rsidR="00F3704A" w:rsidRPr="00491CE2" w:rsidRDefault="00514BC9" w:rsidP="00F3704A">
      <w:pPr>
        <w:spacing w:line="360" w:lineRule="auto"/>
        <w:rPr>
          <w:rFonts w:ascii="Calibri" w:hAnsi="Calibri" w:cs="Calibri"/>
          <w:sz w:val="24"/>
          <w:szCs w:val="24"/>
        </w:rPr>
      </w:pPr>
      <w:r w:rsidRPr="00491CE2">
        <w:rPr>
          <w:rFonts w:ascii="Calibri" w:hAnsi="Calibri" w:cs="Calibri"/>
          <w:color w:val="000000" w:themeColor="text1"/>
          <w:sz w:val="24"/>
          <w:szCs w:val="24"/>
        </w:rPr>
        <w:t>On</w:t>
      </w:r>
      <w:r w:rsidRPr="00491CE2">
        <w:rPr>
          <w:rFonts w:ascii="Calibri" w:hAnsi="Calibri" w:cs="Calibri"/>
          <w:b/>
          <w:bCs/>
          <w:color w:val="C00000"/>
          <w:sz w:val="24"/>
          <w:szCs w:val="24"/>
        </w:rPr>
        <w:t xml:space="preserve"> </w:t>
      </w:r>
      <w:r w:rsidRPr="00491CE2">
        <w:rPr>
          <w:rFonts w:ascii="Calibri" w:hAnsi="Calibri" w:cs="Calibri"/>
          <w:color w:val="000000" w:themeColor="text1"/>
          <w:sz w:val="24"/>
          <w:szCs w:val="24"/>
        </w:rPr>
        <w:t xml:space="preserve">July 31, 1941, Reinhard Heydrich </w:t>
      </w:r>
      <w:r w:rsidR="0066135F" w:rsidRPr="00491CE2">
        <w:rPr>
          <w:rFonts w:ascii="Calibri" w:hAnsi="Calibri" w:cs="Calibri"/>
          <w:color w:val="000000" w:themeColor="text1"/>
          <w:sz w:val="24"/>
          <w:szCs w:val="24"/>
        </w:rPr>
        <w:t xml:space="preserve">was tasked with </w:t>
      </w:r>
      <w:r w:rsidRPr="00491CE2">
        <w:rPr>
          <w:rFonts w:ascii="Calibri" w:hAnsi="Calibri" w:cs="Calibri"/>
          <w:color w:val="000000" w:themeColor="text1"/>
          <w:sz w:val="24"/>
          <w:szCs w:val="24"/>
        </w:rPr>
        <w:t>creat</w:t>
      </w:r>
      <w:r w:rsidR="0066135F" w:rsidRPr="00491CE2">
        <w:rPr>
          <w:rFonts w:ascii="Calibri" w:hAnsi="Calibri" w:cs="Calibri"/>
          <w:color w:val="000000" w:themeColor="text1"/>
          <w:sz w:val="24"/>
          <w:szCs w:val="24"/>
        </w:rPr>
        <w:t>ing</w:t>
      </w:r>
      <w:r w:rsidRPr="00491CE2">
        <w:rPr>
          <w:rFonts w:ascii="Calibri" w:hAnsi="Calibri" w:cs="Calibri"/>
          <w:color w:val="000000" w:themeColor="text1"/>
          <w:sz w:val="24"/>
          <w:szCs w:val="24"/>
        </w:rPr>
        <w:t xml:space="preserve"> a final solution for the </w:t>
      </w:r>
      <w:r w:rsidR="00B5426E" w:rsidRPr="00491CE2">
        <w:rPr>
          <w:rFonts w:ascii="Calibri" w:hAnsi="Calibri" w:cs="Calibri"/>
          <w:color w:val="000000" w:themeColor="text1"/>
          <w:sz w:val="24"/>
          <w:szCs w:val="24"/>
        </w:rPr>
        <w:t>‘</w:t>
      </w:r>
      <w:r w:rsidRPr="00491CE2">
        <w:rPr>
          <w:rFonts w:ascii="Calibri" w:hAnsi="Calibri" w:cs="Calibri"/>
          <w:color w:val="000000" w:themeColor="text1"/>
          <w:sz w:val="24"/>
          <w:szCs w:val="24"/>
        </w:rPr>
        <w:t>Jewish question</w:t>
      </w:r>
      <w:r w:rsidR="00A51568" w:rsidRPr="00491CE2">
        <w:rPr>
          <w:rFonts w:ascii="Calibri" w:hAnsi="Calibri" w:cs="Calibri"/>
          <w:color w:val="000000" w:themeColor="text1"/>
          <w:sz w:val="24"/>
          <w:szCs w:val="24"/>
        </w:rPr>
        <w:t>’</w:t>
      </w:r>
      <w:r w:rsidRPr="00491CE2">
        <w:rPr>
          <w:rFonts w:ascii="Calibri" w:hAnsi="Calibri" w:cs="Calibri"/>
          <w:color w:val="000000" w:themeColor="text1"/>
          <w:sz w:val="24"/>
          <w:szCs w:val="24"/>
        </w:rPr>
        <w:t xml:space="preserve">. </w:t>
      </w:r>
      <w:r w:rsidR="00AD3767" w:rsidRPr="00491CE2">
        <w:rPr>
          <w:rFonts w:ascii="Calibri" w:hAnsi="Calibri" w:cs="Calibri"/>
          <w:color w:val="000000" w:themeColor="text1"/>
          <w:sz w:val="24"/>
          <w:szCs w:val="24"/>
        </w:rPr>
        <w:t xml:space="preserve">This was </w:t>
      </w:r>
      <w:r w:rsidR="004B6B35" w:rsidRPr="00491CE2">
        <w:rPr>
          <w:rFonts w:ascii="Calibri" w:hAnsi="Calibri" w:cs="Calibri"/>
          <w:color w:val="000000" w:themeColor="text1"/>
          <w:sz w:val="24"/>
          <w:szCs w:val="24"/>
        </w:rPr>
        <w:t>reinforced o</w:t>
      </w:r>
      <w:r w:rsidR="00750F4D" w:rsidRPr="00491CE2">
        <w:rPr>
          <w:rFonts w:ascii="Calibri" w:hAnsi="Calibri" w:cs="Calibri"/>
          <w:color w:val="000000" w:themeColor="text1"/>
          <w:sz w:val="24"/>
          <w:szCs w:val="24"/>
        </w:rPr>
        <w:t>n 23</w:t>
      </w:r>
      <w:r w:rsidR="00750F4D" w:rsidRPr="00491CE2">
        <w:rPr>
          <w:rFonts w:ascii="Calibri" w:hAnsi="Calibri" w:cs="Calibri"/>
          <w:color w:val="000000" w:themeColor="text1"/>
          <w:sz w:val="24"/>
          <w:szCs w:val="24"/>
          <w:vertAlign w:val="superscript"/>
        </w:rPr>
        <w:t>rd</w:t>
      </w:r>
      <w:r w:rsidR="00750F4D" w:rsidRPr="00491CE2">
        <w:rPr>
          <w:rFonts w:ascii="Calibri" w:hAnsi="Calibri" w:cs="Calibri"/>
          <w:color w:val="000000" w:themeColor="text1"/>
          <w:sz w:val="24"/>
          <w:szCs w:val="24"/>
        </w:rPr>
        <w:t xml:space="preserve"> October 1941</w:t>
      </w:r>
      <w:r w:rsidR="004B6B35" w:rsidRPr="00491CE2">
        <w:rPr>
          <w:rFonts w:ascii="Calibri" w:hAnsi="Calibri" w:cs="Calibri"/>
          <w:color w:val="000000" w:themeColor="text1"/>
          <w:sz w:val="24"/>
          <w:szCs w:val="24"/>
        </w:rPr>
        <w:t xml:space="preserve"> with the</w:t>
      </w:r>
      <w:r w:rsidR="00750F4D" w:rsidRPr="00491CE2">
        <w:rPr>
          <w:rFonts w:ascii="Calibri" w:hAnsi="Calibri" w:cs="Calibri"/>
          <w:color w:val="000000" w:themeColor="text1"/>
          <w:sz w:val="24"/>
          <w:szCs w:val="24"/>
        </w:rPr>
        <w:t xml:space="preserve"> formal </w:t>
      </w:r>
      <w:r w:rsidR="004B6B35" w:rsidRPr="00491CE2">
        <w:rPr>
          <w:rFonts w:ascii="Calibri" w:hAnsi="Calibri" w:cs="Calibri"/>
          <w:color w:val="000000" w:themeColor="text1"/>
          <w:sz w:val="24"/>
          <w:szCs w:val="24"/>
        </w:rPr>
        <w:t xml:space="preserve">prohibition of </w:t>
      </w:r>
      <w:r w:rsidR="00750F4D" w:rsidRPr="00491CE2">
        <w:rPr>
          <w:rFonts w:ascii="Calibri" w:hAnsi="Calibri" w:cs="Calibri"/>
          <w:color w:val="000000" w:themeColor="text1"/>
          <w:sz w:val="24"/>
          <w:szCs w:val="24"/>
        </w:rPr>
        <w:t>Jewish emigration from Germany and the occupied territories</w:t>
      </w:r>
      <w:r w:rsidR="00635303" w:rsidRPr="00491CE2">
        <w:rPr>
          <w:rFonts w:ascii="Calibri" w:hAnsi="Calibri" w:cs="Calibri"/>
          <w:color w:val="000000" w:themeColor="text1"/>
          <w:sz w:val="24"/>
          <w:szCs w:val="24"/>
        </w:rPr>
        <w:t>,</w:t>
      </w:r>
      <w:r w:rsidR="00A51568" w:rsidRPr="00491CE2">
        <w:rPr>
          <w:rFonts w:ascii="Calibri" w:hAnsi="Calibri" w:cs="Calibri"/>
          <w:color w:val="000000" w:themeColor="text1"/>
          <w:sz w:val="24"/>
          <w:szCs w:val="24"/>
        </w:rPr>
        <w:t xml:space="preserve"> clearly showing the transition in Nazi policy from forced emigration to genocide</w:t>
      </w:r>
      <w:r w:rsidR="00750F4D" w:rsidRPr="00491CE2">
        <w:rPr>
          <w:rFonts w:ascii="Calibri" w:hAnsi="Calibri" w:cs="Calibri"/>
          <w:color w:val="000000" w:themeColor="text1"/>
          <w:sz w:val="24"/>
          <w:szCs w:val="24"/>
        </w:rPr>
        <w:t xml:space="preserve">. </w:t>
      </w:r>
      <w:r w:rsidRPr="00491CE2">
        <w:rPr>
          <w:rFonts w:ascii="Calibri" w:hAnsi="Calibri" w:cs="Calibri"/>
          <w:color w:val="000000" w:themeColor="text1"/>
          <w:sz w:val="24"/>
          <w:szCs w:val="24"/>
        </w:rPr>
        <w:t xml:space="preserve">This led to the Wannsee Conference </w:t>
      </w:r>
      <w:r w:rsidR="00635303" w:rsidRPr="00491CE2">
        <w:rPr>
          <w:rFonts w:ascii="Calibri" w:hAnsi="Calibri" w:cs="Calibri"/>
          <w:color w:val="000000" w:themeColor="text1"/>
          <w:sz w:val="24"/>
          <w:szCs w:val="24"/>
        </w:rPr>
        <w:t xml:space="preserve">in </w:t>
      </w:r>
      <w:r w:rsidRPr="00491CE2">
        <w:rPr>
          <w:rFonts w:ascii="Calibri" w:hAnsi="Calibri" w:cs="Calibri"/>
          <w:color w:val="000000" w:themeColor="text1"/>
          <w:sz w:val="24"/>
          <w:szCs w:val="24"/>
        </w:rPr>
        <w:t xml:space="preserve">January </w:t>
      </w:r>
      <w:r w:rsidRPr="00491CE2">
        <w:rPr>
          <w:rFonts w:ascii="Calibri" w:hAnsi="Calibri" w:cs="Calibri"/>
          <w:color w:val="000000" w:themeColor="text1"/>
          <w:sz w:val="24"/>
          <w:szCs w:val="24"/>
        </w:rPr>
        <w:lastRenderedPageBreak/>
        <w:t xml:space="preserve">1942, where officials </w:t>
      </w:r>
      <w:r w:rsidR="007C61D6" w:rsidRPr="00491CE2">
        <w:rPr>
          <w:rFonts w:ascii="Calibri" w:hAnsi="Calibri" w:cs="Calibri"/>
          <w:color w:val="000000" w:themeColor="text1"/>
          <w:sz w:val="24"/>
          <w:szCs w:val="24"/>
        </w:rPr>
        <w:t>formalised</w:t>
      </w:r>
      <w:r w:rsidRPr="00491CE2">
        <w:rPr>
          <w:rFonts w:ascii="Calibri" w:hAnsi="Calibri" w:cs="Calibri"/>
          <w:color w:val="000000" w:themeColor="text1"/>
          <w:sz w:val="24"/>
          <w:szCs w:val="24"/>
        </w:rPr>
        <w:t xml:space="preserve"> plans to eliminate eleven </w:t>
      </w:r>
      <w:r w:rsidR="0005133C" w:rsidRPr="00491CE2">
        <w:rPr>
          <w:rFonts w:ascii="Calibri" w:hAnsi="Calibri" w:cs="Calibri"/>
          <w:noProof/>
          <w:sz w:val="24"/>
          <w:szCs w:val="24"/>
        </w:rPr>
        <w:drawing>
          <wp:anchor distT="0" distB="0" distL="114300" distR="114300" simplePos="0" relativeHeight="251670528" behindDoc="1" locked="0" layoutInCell="1" allowOverlap="1" wp14:anchorId="5A213B19" wp14:editId="0ED02835">
            <wp:simplePos x="0" y="0"/>
            <wp:positionH relativeFrom="margin">
              <wp:posOffset>3705321</wp:posOffset>
            </wp:positionH>
            <wp:positionV relativeFrom="margin">
              <wp:posOffset>234315</wp:posOffset>
            </wp:positionV>
            <wp:extent cx="1964690" cy="2983230"/>
            <wp:effectExtent l="19050" t="19050" r="16510" b="26670"/>
            <wp:wrapSquare wrapText="bothSides"/>
            <wp:docPr id="1963086833" name="Picture 11" descr="A documen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086833" name="Picture 11" descr="A document with black tex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64690" cy="2983230"/>
                    </a:xfrm>
                    <a:prstGeom prst="rect">
                      <a:avLst/>
                    </a:prstGeom>
                    <a:noFill/>
                    <a:ln w="3175">
                      <a:solidFill>
                        <a:sysClr val="windowText" lastClr="000000"/>
                      </a:solidFill>
                    </a:ln>
                  </pic:spPr>
                </pic:pic>
              </a:graphicData>
            </a:graphic>
            <wp14:sizeRelH relativeFrom="page">
              <wp14:pctWidth>0</wp14:pctWidth>
            </wp14:sizeRelH>
            <wp14:sizeRelV relativeFrom="page">
              <wp14:pctHeight>0</wp14:pctHeight>
            </wp14:sizeRelV>
          </wp:anchor>
        </w:drawing>
      </w:r>
      <w:r w:rsidRPr="00491CE2">
        <w:rPr>
          <w:rFonts w:ascii="Calibri" w:hAnsi="Calibri" w:cs="Calibri"/>
          <w:color w:val="000000" w:themeColor="text1"/>
          <w:sz w:val="24"/>
          <w:szCs w:val="24"/>
        </w:rPr>
        <w:t>million Jews</w:t>
      </w:r>
      <w:r w:rsidR="00C3194F" w:rsidRPr="00491CE2">
        <w:rPr>
          <w:rFonts w:ascii="Calibri" w:hAnsi="Calibri" w:cs="Calibri"/>
          <w:color w:val="000000" w:themeColor="text1"/>
          <w:sz w:val="24"/>
          <w:szCs w:val="24"/>
        </w:rPr>
        <w:t xml:space="preserve"> (See Figure 10)</w:t>
      </w:r>
      <w:r w:rsidRPr="00491CE2">
        <w:rPr>
          <w:rFonts w:ascii="Calibri" w:hAnsi="Calibri" w:cs="Calibri"/>
          <w:color w:val="000000" w:themeColor="text1"/>
          <w:sz w:val="24"/>
          <w:szCs w:val="24"/>
        </w:rPr>
        <w:t>. The minutes, recorded by Adolf Eichmann, detail this extermination plan</w:t>
      </w:r>
      <w:r w:rsidR="00D44CCE" w:rsidRPr="00491CE2">
        <w:rPr>
          <w:rFonts w:ascii="Calibri" w:hAnsi="Calibri" w:cs="Calibri"/>
          <w:color w:val="000000" w:themeColor="text1"/>
          <w:sz w:val="24"/>
          <w:szCs w:val="24"/>
        </w:rPr>
        <w:t xml:space="preserve"> (See Figure 11)</w:t>
      </w:r>
      <w:r w:rsidRPr="00491CE2">
        <w:rPr>
          <w:rFonts w:ascii="Calibri" w:hAnsi="Calibri" w:cs="Calibri"/>
          <w:color w:val="000000" w:themeColor="text1"/>
          <w:sz w:val="24"/>
          <w:szCs w:val="24"/>
        </w:rPr>
        <w:t xml:space="preserve">, including deportation and exemptions such as </w:t>
      </w:r>
      <w:r w:rsidR="007C61D6" w:rsidRPr="00491CE2">
        <w:rPr>
          <w:rFonts w:ascii="Calibri" w:hAnsi="Calibri" w:cs="Calibri"/>
          <w:color w:val="000000" w:themeColor="text1"/>
          <w:sz w:val="24"/>
          <w:szCs w:val="24"/>
        </w:rPr>
        <w:t>sterilisation</w:t>
      </w:r>
      <w:r w:rsidRPr="00491CE2">
        <w:rPr>
          <w:rFonts w:ascii="Calibri" w:hAnsi="Calibri" w:cs="Calibri"/>
          <w:color w:val="000000" w:themeColor="text1"/>
          <w:sz w:val="24"/>
          <w:szCs w:val="24"/>
        </w:rPr>
        <w:t xml:space="preserve"> for those of mixed Jewish ancestry and the temporary retention of Jewish workers in the military</w:t>
      </w:r>
      <w:r w:rsidR="00B5426E" w:rsidRPr="00491CE2">
        <w:rPr>
          <w:rFonts w:ascii="Calibri" w:hAnsi="Calibri" w:cs="Calibri"/>
          <w:color w:val="000000" w:themeColor="text1"/>
          <w:sz w:val="24"/>
          <w:szCs w:val="24"/>
        </w:rPr>
        <w:t xml:space="preserve"> </w:t>
      </w:r>
      <w:r w:rsidR="002D4F2A" w:rsidRPr="00491CE2">
        <w:rPr>
          <w:rFonts w:ascii="Calibri" w:hAnsi="Calibri" w:cs="Calibri"/>
          <w:color w:val="000000" w:themeColor="text1"/>
          <w:sz w:val="24"/>
          <w:szCs w:val="24"/>
        </w:rPr>
        <w:t>(</w:t>
      </w:r>
      <w:r w:rsidR="002D4F2A" w:rsidRPr="00491CE2">
        <w:rPr>
          <w:rFonts w:ascii="Calibri" w:hAnsi="Calibri" w:cs="Calibri"/>
          <w:sz w:val="24"/>
          <w:szCs w:val="24"/>
        </w:rPr>
        <w:t xml:space="preserve">Friedlander, 1994; </w:t>
      </w:r>
      <w:r w:rsidR="00C30042" w:rsidRPr="00491CE2">
        <w:rPr>
          <w:rFonts w:ascii="Calibri" w:hAnsi="Calibri" w:cs="Calibri"/>
          <w:sz w:val="24"/>
          <w:szCs w:val="24"/>
        </w:rPr>
        <w:t xml:space="preserve">Yad Vashem, </w:t>
      </w:r>
      <w:r w:rsidR="00ED4B00" w:rsidRPr="00491CE2">
        <w:rPr>
          <w:rFonts w:ascii="Calibri" w:hAnsi="Calibri" w:cs="Calibri"/>
          <w:sz w:val="24"/>
          <w:szCs w:val="24"/>
        </w:rPr>
        <w:t xml:space="preserve">2025; </w:t>
      </w:r>
      <w:r w:rsidR="00BC5DAC" w:rsidRPr="00491CE2">
        <w:rPr>
          <w:rFonts w:ascii="Calibri" w:hAnsi="Calibri" w:cs="Calibri"/>
          <w:sz w:val="24"/>
          <w:szCs w:val="24"/>
        </w:rPr>
        <w:t>Gerlach, 1998).</w:t>
      </w:r>
      <w:r w:rsidR="00A4472F" w:rsidRPr="00491CE2">
        <w:rPr>
          <w:rFonts w:ascii="Calibri" w:hAnsi="Calibri" w:cs="Calibri"/>
          <w:sz w:val="24"/>
          <w:szCs w:val="24"/>
        </w:rPr>
        <w:t xml:space="preserve"> </w:t>
      </w:r>
      <w:r w:rsidR="006B414B" w:rsidRPr="00491CE2">
        <w:rPr>
          <w:rFonts w:ascii="Calibri" w:hAnsi="Calibri" w:cs="Calibri"/>
          <w:sz w:val="24"/>
          <w:szCs w:val="24"/>
        </w:rPr>
        <w:t xml:space="preserve">The conference </w:t>
      </w:r>
      <w:r w:rsidR="007C61D6" w:rsidRPr="00491CE2">
        <w:rPr>
          <w:rFonts w:ascii="Calibri" w:hAnsi="Calibri" w:cs="Calibri"/>
          <w:sz w:val="24"/>
          <w:szCs w:val="24"/>
        </w:rPr>
        <w:t>formalised</w:t>
      </w:r>
      <w:r w:rsidR="006B414B" w:rsidRPr="00491CE2">
        <w:rPr>
          <w:rFonts w:ascii="Calibri" w:hAnsi="Calibri" w:cs="Calibri"/>
          <w:sz w:val="24"/>
          <w:szCs w:val="24"/>
        </w:rPr>
        <w:t xml:space="preserve"> genocidal policies, accelerated by the war in the East. By early 1942, Nazis were building extermination camps to </w:t>
      </w:r>
      <w:r w:rsidR="007C61D6" w:rsidRPr="00491CE2">
        <w:rPr>
          <w:rFonts w:ascii="Calibri" w:hAnsi="Calibri" w:cs="Calibri"/>
          <w:sz w:val="24"/>
          <w:szCs w:val="24"/>
        </w:rPr>
        <w:t>industrialise</w:t>
      </w:r>
      <w:r w:rsidR="006B414B" w:rsidRPr="00491CE2">
        <w:rPr>
          <w:rFonts w:ascii="Calibri" w:hAnsi="Calibri" w:cs="Calibri"/>
          <w:sz w:val="24"/>
          <w:szCs w:val="24"/>
        </w:rPr>
        <w:t xml:space="preserve"> murder. The Wannsee Conference coordinated efforts across Nazi-occupied territories, as the invasion of the Soviet Union demanded a continent-wide extermination program. It played a key role in implementing Hitler’s goals</w:t>
      </w:r>
      <w:r w:rsidR="00055E24" w:rsidRPr="00491CE2">
        <w:rPr>
          <w:rFonts w:ascii="Calibri" w:hAnsi="Calibri" w:cs="Calibri"/>
          <w:sz w:val="24"/>
          <w:szCs w:val="24"/>
        </w:rPr>
        <w:t>,</w:t>
      </w:r>
      <w:r w:rsidR="00EC3D51" w:rsidRPr="00491CE2">
        <w:rPr>
          <w:rFonts w:ascii="Calibri" w:hAnsi="Calibri" w:cs="Calibri"/>
          <w:sz w:val="24"/>
          <w:szCs w:val="24"/>
        </w:rPr>
        <w:t xml:space="preserve"> </w:t>
      </w:r>
      <w:r w:rsidR="006B414B" w:rsidRPr="00491CE2">
        <w:rPr>
          <w:rFonts w:ascii="Calibri" w:hAnsi="Calibri" w:cs="Calibri"/>
          <w:sz w:val="24"/>
          <w:szCs w:val="24"/>
        </w:rPr>
        <w:t>reflecting the ideological zeal of the new elites within the F</w:t>
      </w:r>
      <w:r w:rsidR="00A51C5C" w:rsidRPr="00491CE2">
        <w:rPr>
          <w:rFonts w:ascii="Calibri" w:hAnsi="Calibri" w:cs="Calibri"/>
          <w:sz w:val="24"/>
          <w:szCs w:val="24"/>
        </w:rPr>
        <w:t>u</w:t>
      </w:r>
      <w:r w:rsidR="006B414B" w:rsidRPr="00491CE2">
        <w:rPr>
          <w:rFonts w:ascii="Calibri" w:hAnsi="Calibri" w:cs="Calibri"/>
          <w:sz w:val="24"/>
          <w:szCs w:val="24"/>
        </w:rPr>
        <w:t>hrer state.</w:t>
      </w:r>
      <w:r w:rsidR="00BD5902" w:rsidRPr="00491CE2">
        <w:rPr>
          <w:rFonts w:ascii="Calibri" w:hAnsi="Calibri" w:cs="Calibri"/>
          <w:sz w:val="24"/>
          <w:szCs w:val="24"/>
        </w:rPr>
        <w:t xml:space="preserve"> This reflects a combination of </w:t>
      </w:r>
      <w:r w:rsidR="00DF6A94" w:rsidRPr="00491CE2">
        <w:rPr>
          <w:rFonts w:ascii="Calibri" w:hAnsi="Calibri" w:cs="Calibri"/>
          <w:sz w:val="24"/>
          <w:szCs w:val="24"/>
        </w:rPr>
        <w:t>intentionalist and functionalist viewpoints, as it illustrates the importance of Hitler's vision while recognising</w:t>
      </w:r>
      <w:r w:rsidR="00BD5902" w:rsidRPr="00491CE2">
        <w:rPr>
          <w:rFonts w:ascii="Calibri" w:hAnsi="Calibri" w:cs="Calibri"/>
          <w:sz w:val="24"/>
          <w:szCs w:val="24"/>
        </w:rPr>
        <w:t xml:space="preserve"> the bureaucratic and </w:t>
      </w:r>
      <w:r w:rsidR="00DF6A94" w:rsidRPr="00491CE2">
        <w:rPr>
          <w:rFonts w:ascii="Calibri" w:hAnsi="Calibri" w:cs="Calibri"/>
          <w:sz w:val="24"/>
          <w:szCs w:val="24"/>
        </w:rPr>
        <w:t>organisational</w:t>
      </w:r>
      <w:r w:rsidR="00BD5902" w:rsidRPr="00491CE2">
        <w:rPr>
          <w:rFonts w:ascii="Calibri" w:hAnsi="Calibri" w:cs="Calibri"/>
          <w:sz w:val="24"/>
          <w:szCs w:val="24"/>
        </w:rPr>
        <w:t xml:space="preserve"> facets of the regime's actions (Kershaw, 2004).</w:t>
      </w:r>
      <w:bookmarkStart w:id="0" w:name="_Hlk186965017"/>
      <w:r w:rsidR="0042054C" w:rsidRPr="00491CE2">
        <w:rPr>
          <w:rFonts w:ascii="Calibri" w:hAnsi="Calibri" w:cs="Calibri"/>
          <w:sz w:val="24"/>
          <w:szCs w:val="24"/>
        </w:rPr>
        <w:t xml:space="preserve"> </w:t>
      </w:r>
      <w:r w:rsidR="00F3704A" w:rsidRPr="00491CE2">
        <w:rPr>
          <w:rFonts w:ascii="Calibri" w:hAnsi="Calibri" w:cs="Calibri"/>
          <w:color w:val="000000" w:themeColor="text1"/>
          <w:sz w:val="24"/>
          <w:szCs w:val="24"/>
        </w:rPr>
        <w:t>The Wannsee Conference marked the official approval of the Final Solution, with Auschwitz identified as a key site for its implementation. Auschwitz became a notorious symbol of the Holocaust due to the scale of its systematic killings.  Founded in June 1940 for Polish political prisoners, Auschwitz was divided into three sections: Auschwitz I</w:t>
      </w:r>
      <w:r w:rsidR="008A6440" w:rsidRPr="00491CE2">
        <w:rPr>
          <w:rFonts w:ascii="Calibri" w:hAnsi="Calibri" w:cs="Calibri"/>
          <w:color w:val="000000" w:themeColor="text1"/>
          <w:sz w:val="24"/>
          <w:szCs w:val="24"/>
        </w:rPr>
        <w:t xml:space="preserve"> (See Figure 12)</w:t>
      </w:r>
      <w:r w:rsidR="00F3704A" w:rsidRPr="00491CE2">
        <w:rPr>
          <w:rFonts w:ascii="Calibri" w:hAnsi="Calibri" w:cs="Calibri"/>
          <w:color w:val="000000" w:themeColor="text1"/>
          <w:sz w:val="24"/>
          <w:szCs w:val="24"/>
        </w:rPr>
        <w:t xml:space="preserve">, Auschwitz II (Birkenau), and </w:t>
      </w:r>
      <w:r w:rsidR="00362ADE" w:rsidRPr="00491CE2">
        <w:rPr>
          <w:rFonts w:ascii="Calibri" w:hAnsi="Calibri" w:cs="Calibri"/>
          <w:noProof/>
          <w:sz w:val="24"/>
          <w:szCs w:val="24"/>
        </w:rPr>
        <w:drawing>
          <wp:anchor distT="0" distB="0" distL="114300" distR="114300" simplePos="0" relativeHeight="251676672" behindDoc="1" locked="0" layoutInCell="1" allowOverlap="1" wp14:anchorId="6DE863EF" wp14:editId="61451B11">
            <wp:simplePos x="0" y="0"/>
            <wp:positionH relativeFrom="margin">
              <wp:posOffset>45720</wp:posOffset>
            </wp:positionH>
            <wp:positionV relativeFrom="margin">
              <wp:posOffset>5864225</wp:posOffset>
            </wp:positionV>
            <wp:extent cx="2052955" cy="2952750"/>
            <wp:effectExtent l="19050" t="19050" r="23495" b="19050"/>
            <wp:wrapSquare wrapText="bothSides"/>
            <wp:docPr id="1362645331" name="Picture 12" descr="A gate to a concentration cam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645331" name="Picture 12" descr="A gate to a concentration camp&#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52955" cy="2952750"/>
                    </a:xfrm>
                    <a:prstGeom prst="rect">
                      <a:avLst/>
                    </a:prstGeom>
                    <a:noFill/>
                    <a:ln w="3175">
                      <a:solidFill>
                        <a:sysClr val="windowText" lastClr="000000"/>
                      </a:solidFill>
                    </a:ln>
                  </pic:spPr>
                </pic:pic>
              </a:graphicData>
            </a:graphic>
            <wp14:sizeRelH relativeFrom="page">
              <wp14:pctWidth>0</wp14:pctWidth>
            </wp14:sizeRelH>
            <wp14:sizeRelV relativeFrom="page">
              <wp14:pctHeight>0</wp14:pctHeight>
            </wp14:sizeRelV>
          </wp:anchor>
        </w:drawing>
      </w:r>
      <w:r w:rsidR="00F3704A" w:rsidRPr="00491CE2">
        <w:rPr>
          <w:rFonts w:ascii="Calibri" w:hAnsi="Calibri" w:cs="Calibri"/>
          <w:color w:val="000000" w:themeColor="text1"/>
          <w:sz w:val="24"/>
          <w:szCs w:val="24"/>
        </w:rPr>
        <w:t>Auschwitz III. Birkenau, added in March 1942, became the main extermination centre, housing Europe’s largest gas chambers (Auschwitz Birkenau State Museum, 2024). From 1940 to its evacuation in January 1945, approximately 1.3 million people were brought to Auschwitz, with only about 200,000 surviving</w:t>
      </w:r>
      <w:r w:rsidR="005C072D" w:rsidRPr="00491CE2">
        <w:rPr>
          <w:rFonts w:ascii="Calibri" w:hAnsi="Calibri" w:cs="Calibri"/>
          <w:color w:val="000000" w:themeColor="text1"/>
          <w:sz w:val="24"/>
          <w:szCs w:val="24"/>
        </w:rPr>
        <w:t xml:space="preserve"> (Hayes, 2003). </w:t>
      </w:r>
      <w:bookmarkEnd w:id="0"/>
    </w:p>
    <w:p w14:paraId="4D388B4B" w14:textId="6BC66FB8" w:rsidR="00654471" w:rsidRPr="00491CE2" w:rsidRDefault="00A51C5C" w:rsidP="00AD22FA">
      <w:pPr>
        <w:spacing w:line="360" w:lineRule="auto"/>
        <w:rPr>
          <w:rFonts w:ascii="Calibri" w:hAnsi="Calibri" w:cs="Calibri"/>
          <w:sz w:val="24"/>
          <w:szCs w:val="24"/>
        </w:rPr>
      </w:pPr>
      <w:r w:rsidRPr="00491CE2">
        <w:rPr>
          <w:rFonts w:ascii="Calibri" w:hAnsi="Calibri" w:cs="Calibri"/>
          <w:sz w:val="24"/>
          <w:szCs w:val="24"/>
        </w:rPr>
        <w:t>Historian Hans Mommsen</w:t>
      </w:r>
      <w:r w:rsidR="00E5102D" w:rsidRPr="00491CE2">
        <w:rPr>
          <w:rFonts w:ascii="Calibri" w:hAnsi="Calibri" w:cs="Calibri"/>
          <w:sz w:val="24"/>
          <w:szCs w:val="24"/>
        </w:rPr>
        <w:t xml:space="preserve"> </w:t>
      </w:r>
      <w:r w:rsidRPr="00491CE2">
        <w:rPr>
          <w:rFonts w:ascii="Calibri" w:hAnsi="Calibri" w:cs="Calibri"/>
          <w:sz w:val="24"/>
          <w:szCs w:val="24"/>
        </w:rPr>
        <w:t>argues that while Hitler's approval was essential for the Holocaust, he did not directly order it. Instead, rival factions</w:t>
      </w:r>
      <w:r w:rsidR="005B2BE6" w:rsidRPr="00491CE2">
        <w:rPr>
          <w:rFonts w:ascii="Calibri" w:hAnsi="Calibri" w:cs="Calibri"/>
          <w:sz w:val="24"/>
          <w:szCs w:val="24"/>
        </w:rPr>
        <w:t xml:space="preserve"> and committed Nazis wishing to progress their careers and impress </w:t>
      </w:r>
      <w:r w:rsidR="005B2BE6" w:rsidRPr="00491CE2">
        <w:rPr>
          <w:rFonts w:ascii="Calibri" w:hAnsi="Calibri" w:cs="Calibri"/>
          <w:sz w:val="24"/>
          <w:szCs w:val="24"/>
        </w:rPr>
        <w:lastRenderedPageBreak/>
        <w:t>Hitler</w:t>
      </w:r>
      <w:r w:rsidRPr="00491CE2">
        <w:rPr>
          <w:rFonts w:ascii="Calibri" w:hAnsi="Calibri" w:cs="Calibri"/>
          <w:sz w:val="24"/>
          <w:szCs w:val="24"/>
        </w:rPr>
        <w:t xml:space="preserve"> developed the policies independently. In contrast, the intentionalist perspective suggests that Hitler verbally instructed Himmler and the SS to eliminate the Jews, intentionally avoiding written approval to evade direct implication. </w:t>
      </w:r>
      <w:r w:rsidRPr="00491CE2">
        <w:rPr>
          <w:rFonts w:ascii="Calibri" w:hAnsi="Calibri" w:cs="Calibri"/>
          <w:color w:val="000000" w:themeColor="text1"/>
          <w:sz w:val="24"/>
          <w:szCs w:val="24"/>
        </w:rPr>
        <w:t>In his 1943 Posen speeches, Himmler described the extermination of the Jewish people as a directive from the highest leadership, implying it originated from Hitler</w:t>
      </w:r>
      <w:r w:rsidR="00D5648C" w:rsidRPr="00491CE2">
        <w:rPr>
          <w:rFonts w:ascii="Calibri" w:hAnsi="Calibri" w:cs="Calibri"/>
          <w:color w:val="000000" w:themeColor="text1"/>
          <w:sz w:val="24"/>
          <w:szCs w:val="24"/>
        </w:rPr>
        <w:t xml:space="preserve"> (Friedlander, 1994).</w:t>
      </w:r>
      <w:r w:rsidR="005B2BE6" w:rsidRPr="00491CE2">
        <w:rPr>
          <w:rFonts w:ascii="Calibri" w:hAnsi="Calibri" w:cs="Calibri"/>
          <w:color w:val="000000" w:themeColor="text1"/>
          <w:sz w:val="24"/>
          <w:szCs w:val="24"/>
        </w:rPr>
        <w:t xml:space="preserve"> However, evidentially</w:t>
      </w:r>
      <w:r w:rsidR="005D77B2" w:rsidRPr="00491CE2">
        <w:rPr>
          <w:rFonts w:ascii="Calibri" w:hAnsi="Calibri" w:cs="Calibri"/>
          <w:color w:val="000000" w:themeColor="text1"/>
          <w:sz w:val="24"/>
          <w:szCs w:val="24"/>
        </w:rPr>
        <w:t>,</w:t>
      </w:r>
      <w:r w:rsidRPr="00491CE2">
        <w:rPr>
          <w:rFonts w:ascii="Calibri" w:hAnsi="Calibri" w:cs="Calibri"/>
          <w:color w:val="000000" w:themeColor="text1"/>
          <w:sz w:val="24"/>
          <w:szCs w:val="24"/>
        </w:rPr>
        <w:t xml:space="preserve"> </w:t>
      </w:r>
      <w:r w:rsidR="005B2BE6" w:rsidRPr="00491CE2">
        <w:rPr>
          <w:rFonts w:ascii="Calibri" w:hAnsi="Calibri" w:cs="Calibri"/>
          <w:color w:val="000000" w:themeColor="text1"/>
          <w:sz w:val="24"/>
          <w:szCs w:val="24"/>
        </w:rPr>
        <w:t xml:space="preserve">no long-term premeditated plan or signed directive from Hitler explicitly ordering the Holocaust has ever been discovered. </w:t>
      </w:r>
      <w:r w:rsidRPr="00491CE2">
        <w:rPr>
          <w:rFonts w:ascii="Calibri" w:hAnsi="Calibri" w:cs="Calibri"/>
          <w:color w:val="000000" w:themeColor="text1"/>
          <w:sz w:val="24"/>
          <w:szCs w:val="24"/>
        </w:rPr>
        <w:t>Historians generally agree that the decision-making process for the Final Solution was gradual and influenced by various entities within the Nazi regime. Functionalists believe it resulted from improvisation, while intentionalists connect it to Hitler’s ideological goals, linking it to the Soviet invasion and his pursuit of Lebensraum along with the annihilation of the Jews</w:t>
      </w:r>
      <w:r w:rsidR="00207D72" w:rsidRPr="00491CE2">
        <w:rPr>
          <w:rFonts w:ascii="Calibri" w:hAnsi="Calibri" w:cs="Calibri"/>
          <w:color w:val="000000" w:themeColor="text1"/>
          <w:sz w:val="24"/>
          <w:szCs w:val="24"/>
        </w:rPr>
        <w:t xml:space="preserve"> </w:t>
      </w:r>
      <w:r w:rsidR="001C26BD" w:rsidRPr="00491CE2">
        <w:rPr>
          <w:rFonts w:ascii="Calibri" w:hAnsi="Calibri" w:cs="Calibri"/>
          <w:sz w:val="24"/>
          <w:szCs w:val="24"/>
        </w:rPr>
        <w:t>(Browning, 1992, pp. 3-4</w:t>
      </w:r>
      <w:r w:rsidR="007B5234" w:rsidRPr="00491CE2">
        <w:rPr>
          <w:rFonts w:ascii="Calibri" w:hAnsi="Calibri" w:cs="Calibri"/>
          <w:sz w:val="24"/>
          <w:szCs w:val="24"/>
        </w:rPr>
        <w:t>; Browning, 2003</w:t>
      </w:r>
      <w:r w:rsidR="001C26BD" w:rsidRPr="00491CE2">
        <w:rPr>
          <w:rFonts w:ascii="Calibri" w:hAnsi="Calibri" w:cs="Calibri"/>
          <w:sz w:val="24"/>
          <w:szCs w:val="24"/>
        </w:rPr>
        <w:t>)</w:t>
      </w:r>
      <w:r w:rsidR="00D5648C" w:rsidRPr="00491CE2">
        <w:rPr>
          <w:rFonts w:ascii="Calibri" w:hAnsi="Calibri" w:cs="Calibri"/>
          <w:sz w:val="24"/>
          <w:szCs w:val="24"/>
        </w:rPr>
        <w:t>.</w:t>
      </w:r>
      <w:r w:rsidR="006E0CE3" w:rsidRPr="00491CE2">
        <w:rPr>
          <w:rFonts w:ascii="Calibri" w:hAnsi="Calibri" w:cs="Calibri"/>
          <w:sz w:val="24"/>
          <w:szCs w:val="24"/>
        </w:rPr>
        <w:t xml:space="preserve"> Both </w:t>
      </w:r>
      <w:r w:rsidR="00762697" w:rsidRPr="00491CE2">
        <w:rPr>
          <w:rFonts w:ascii="Calibri" w:hAnsi="Calibri" w:cs="Calibri"/>
          <w:sz w:val="24"/>
          <w:szCs w:val="24"/>
        </w:rPr>
        <w:t>perspectives are valid.</w:t>
      </w:r>
    </w:p>
    <w:p w14:paraId="515D5B69" w14:textId="7C7E5568" w:rsidR="00846DA4" w:rsidRPr="00491CE2" w:rsidRDefault="00B90171" w:rsidP="00AD22FA">
      <w:pPr>
        <w:spacing w:line="360" w:lineRule="auto"/>
        <w:rPr>
          <w:rFonts w:ascii="Calibri" w:hAnsi="Calibri" w:cs="Calibri"/>
          <w:sz w:val="24"/>
          <w:szCs w:val="24"/>
        </w:rPr>
      </w:pPr>
      <w:r w:rsidRPr="00491CE2">
        <w:rPr>
          <w:rFonts w:ascii="Calibri" w:hAnsi="Calibri" w:cs="Calibri"/>
          <w:sz w:val="24"/>
          <w:szCs w:val="24"/>
        </w:rPr>
        <w:t xml:space="preserve">In conclusion, </w:t>
      </w:r>
      <w:r w:rsidR="005D77B2" w:rsidRPr="00491CE2">
        <w:rPr>
          <w:rFonts w:ascii="Calibri" w:hAnsi="Calibri" w:cs="Calibri"/>
          <w:sz w:val="24"/>
          <w:szCs w:val="24"/>
        </w:rPr>
        <w:t xml:space="preserve">Hitler's antisemitic ideology was the foundation of </w:t>
      </w:r>
      <w:r w:rsidR="00C32053" w:rsidRPr="00491CE2">
        <w:rPr>
          <w:rFonts w:ascii="Calibri" w:hAnsi="Calibri" w:cs="Calibri"/>
          <w:sz w:val="24"/>
          <w:szCs w:val="24"/>
        </w:rPr>
        <w:t xml:space="preserve">early </w:t>
      </w:r>
      <w:r w:rsidR="005D77B2" w:rsidRPr="00491CE2">
        <w:rPr>
          <w:rFonts w:ascii="Calibri" w:hAnsi="Calibri" w:cs="Calibri"/>
          <w:sz w:val="24"/>
          <w:szCs w:val="24"/>
        </w:rPr>
        <w:t>Nazi policies</w:t>
      </w:r>
      <w:r w:rsidR="00C32053" w:rsidRPr="00491CE2">
        <w:rPr>
          <w:rFonts w:ascii="Calibri" w:hAnsi="Calibri" w:cs="Calibri"/>
          <w:sz w:val="24"/>
          <w:szCs w:val="24"/>
        </w:rPr>
        <w:t xml:space="preserve"> of discrimination and persecution</w:t>
      </w:r>
      <w:r w:rsidR="005D77B2" w:rsidRPr="00491CE2">
        <w:rPr>
          <w:rFonts w:ascii="Calibri" w:hAnsi="Calibri" w:cs="Calibri"/>
          <w:sz w:val="24"/>
          <w:szCs w:val="24"/>
        </w:rPr>
        <w:t xml:space="preserve"> toward Jews, such as the Haavara Agreement</w:t>
      </w:r>
      <w:r w:rsidR="00C32053" w:rsidRPr="00491CE2">
        <w:rPr>
          <w:rFonts w:ascii="Calibri" w:hAnsi="Calibri" w:cs="Calibri"/>
          <w:sz w:val="24"/>
          <w:szCs w:val="24"/>
        </w:rPr>
        <w:t xml:space="preserve"> </w:t>
      </w:r>
      <w:r w:rsidR="005D77B2" w:rsidRPr="00491CE2">
        <w:rPr>
          <w:rFonts w:ascii="Calibri" w:hAnsi="Calibri" w:cs="Calibri"/>
          <w:sz w:val="24"/>
          <w:szCs w:val="24"/>
        </w:rPr>
        <w:t xml:space="preserve">that forced many to flee Germany. </w:t>
      </w:r>
      <w:r w:rsidR="00C32053" w:rsidRPr="00491CE2">
        <w:rPr>
          <w:rFonts w:ascii="Calibri" w:hAnsi="Calibri" w:cs="Calibri"/>
          <w:sz w:val="24"/>
          <w:szCs w:val="24"/>
        </w:rPr>
        <w:t>The Nazis' mistreatment of Jews escalated from oppressive laws to violent actions. Significant events, such as Kristallnacht and the activities of the Einsatzgruppen in Poland, illustrate the increasing severity of these measures as the war progressed.</w:t>
      </w:r>
      <w:r w:rsidR="005D77B2" w:rsidRPr="00491CE2">
        <w:rPr>
          <w:rFonts w:ascii="Calibri" w:hAnsi="Calibri" w:cs="Calibri"/>
          <w:sz w:val="24"/>
          <w:szCs w:val="24"/>
        </w:rPr>
        <w:t xml:space="preserve"> The invasion of the Soviet Union marked a significant turning point; the logistical challenges of removing millions of Jews in pursuit of lebensraum raised the urgency of finding a solution. This culminated in the Wannsee Conference, where bureaucrats </w:t>
      </w:r>
      <w:r w:rsidR="008010F2" w:rsidRPr="00491CE2">
        <w:rPr>
          <w:rFonts w:ascii="Calibri" w:hAnsi="Calibri" w:cs="Calibri"/>
          <w:sz w:val="24"/>
          <w:szCs w:val="24"/>
        </w:rPr>
        <w:t>decided</w:t>
      </w:r>
      <w:r w:rsidR="005D77B2" w:rsidRPr="00491CE2">
        <w:rPr>
          <w:rFonts w:ascii="Calibri" w:hAnsi="Calibri" w:cs="Calibri"/>
          <w:sz w:val="24"/>
          <w:szCs w:val="24"/>
        </w:rPr>
        <w:t xml:space="preserve"> </w:t>
      </w:r>
      <w:r w:rsidR="008010F2" w:rsidRPr="00491CE2">
        <w:rPr>
          <w:rFonts w:ascii="Calibri" w:hAnsi="Calibri" w:cs="Calibri"/>
          <w:sz w:val="24"/>
          <w:szCs w:val="24"/>
        </w:rPr>
        <w:t xml:space="preserve">on </w:t>
      </w:r>
      <w:r w:rsidR="005D77B2" w:rsidRPr="00491CE2">
        <w:rPr>
          <w:rFonts w:ascii="Calibri" w:hAnsi="Calibri" w:cs="Calibri"/>
          <w:sz w:val="24"/>
          <w:szCs w:val="24"/>
        </w:rPr>
        <w:t>plans for the systematic extermination of Jews and other targeted groups.</w:t>
      </w:r>
      <w:r w:rsidR="00E5102D" w:rsidRPr="00491CE2">
        <w:rPr>
          <w:rFonts w:ascii="Calibri" w:hAnsi="Calibri" w:cs="Calibri"/>
          <w:sz w:val="24"/>
          <w:szCs w:val="24"/>
        </w:rPr>
        <w:t xml:space="preserve"> </w:t>
      </w:r>
      <w:r w:rsidR="005D77B2" w:rsidRPr="00491CE2">
        <w:rPr>
          <w:rFonts w:ascii="Calibri" w:hAnsi="Calibri" w:cs="Calibri"/>
          <w:sz w:val="24"/>
          <w:szCs w:val="24"/>
        </w:rPr>
        <w:t xml:space="preserve">The implementation of the Final Solution developed in a decentralised manner. Leaders and officials interpreted Hitler’s ideology and directives without receiving direct orders from him. The journey to Auschwitz did not follow a premeditated plan; instead, it involved changing policies and bureaucratic competition, all under a clear ideological goal: the eradication of Jews from society. This perspective highlights the coexistence of what can be described as the ‘straight road’ and the ‘twisted path’ of the Holocaust. </w:t>
      </w:r>
      <w:r w:rsidR="000E17D3" w:rsidRPr="00491CE2">
        <w:rPr>
          <w:rFonts w:ascii="Calibri" w:hAnsi="Calibri" w:cs="Calibri"/>
          <w:sz w:val="24"/>
          <w:szCs w:val="24"/>
        </w:rPr>
        <w:t>Recognising the complexity of the Holocaust is vital to avoid oversimplification and to grasp its dual nature</w:t>
      </w:r>
      <w:r w:rsidR="00635303" w:rsidRPr="00491CE2">
        <w:rPr>
          <w:rFonts w:ascii="Calibri" w:hAnsi="Calibri" w:cs="Calibri"/>
          <w:sz w:val="24"/>
          <w:szCs w:val="24"/>
        </w:rPr>
        <w:t>.</w:t>
      </w:r>
    </w:p>
    <w:p w14:paraId="360D4ABA" w14:textId="77777777" w:rsidR="00A2119A" w:rsidRDefault="00A2119A" w:rsidP="004A18ED">
      <w:pPr>
        <w:spacing w:line="360" w:lineRule="auto"/>
        <w:rPr>
          <w:rFonts w:ascii="Calibri" w:hAnsi="Calibri" w:cs="Calibri"/>
          <w:sz w:val="24"/>
          <w:szCs w:val="24"/>
        </w:rPr>
      </w:pPr>
    </w:p>
    <w:p w14:paraId="776F0241" w14:textId="77777777" w:rsidR="00491CE2" w:rsidRPr="0081218E" w:rsidRDefault="00491CE2" w:rsidP="004A18ED">
      <w:pPr>
        <w:spacing w:line="360" w:lineRule="auto"/>
        <w:rPr>
          <w:rFonts w:ascii="Calibri" w:hAnsi="Calibri" w:cs="Calibri"/>
          <w:sz w:val="24"/>
          <w:szCs w:val="24"/>
        </w:rPr>
      </w:pPr>
    </w:p>
    <w:p w14:paraId="22C6C9C1" w14:textId="6E63985E" w:rsidR="00377C6C" w:rsidRDefault="00377C6C" w:rsidP="00377C6C">
      <w:pPr>
        <w:rPr>
          <w:rFonts w:ascii="Calibri" w:hAnsi="Calibri" w:cs="Calibri"/>
          <w:sz w:val="24"/>
          <w:szCs w:val="24"/>
          <w:u w:val="single"/>
        </w:rPr>
      </w:pPr>
      <w:r w:rsidRPr="0081218E">
        <w:rPr>
          <w:rFonts w:ascii="Calibri" w:hAnsi="Calibri" w:cs="Calibri"/>
          <w:sz w:val="24"/>
          <w:szCs w:val="24"/>
          <w:u w:val="single"/>
        </w:rPr>
        <w:lastRenderedPageBreak/>
        <w:t>REFERENCES</w:t>
      </w:r>
    </w:p>
    <w:p w14:paraId="41389EDD"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 xml:space="preserve">About the Holocaust (2022) </w:t>
      </w:r>
      <w:r w:rsidRPr="00F308AB">
        <w:rPr>
          <w:rFonts w:ascii="Calibri" w:hAnsi="Calibri" w:cs="Calibri"/>
          <w:i/>
          <w:iCs/>
          <w:sz w:val="24"/>
          <w:szCs w:val="24"/>
        </w:rPr>
        <w:t>What were the Nuremberg Laws?</w:t>
      </w:r>
      <w:r w:rsidRPr="00F308AB">
        <w:rPr>
          <w:rFonts w:ascii="Calibri" w:hAnsi="Calibri" w:cs="Calibri"/>
          <w:sz w:val="24"/>
          <w:szCs w:val="24"/>
        </w:rPr>
        <w:t xml:space="preserve"> Available at: </w:t>
      </w:r>
      <w:hyperlink r:id="rId21" w:history="1">
        <w:r w:rsidRPr="00F308AB">
          <w:rPr>
            <w:rStyle w:val="Hyperlink"/>
            <w:rFonts w:ascii="Calibri" w:hAnsi="Calibri" w:cs="Calibri"/>
            <w:sz w:val="24"/>
            <w:szCs w:val="24"/>
          </w:rPr>
          <w:t>https://aboutholocaust.org/en/facts/what-were-the-nuremberg-laws</w:t>
        </w:r>
      </w:hyperlink>
      <w:r w:rsidRPr="00F308AB">
        <w:rPr>
          <w:rFonts w:ascii="Calibri" w:hAnsi="Calibri" w:cs="Calibri"/>
          <w:sz w:val="24"/>
          <w:szCs w:val="24"/>
        </w:rPr>
        <w:t xml:space="preserve"> (Accessed: 7 January 2025).</w:t>
      </w:r>
    </w:p>
    <w:p w14:paraId="34334A0B"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Auschwitz Birkenau State Museum (2024</w:t>
      </w:r>
      <w:r w:rsidRPr="00F308AB">
        <w:rPr>
          <w:rFonts w:ascii="Calibri" w:hAnsi="Calibri" w:cs="Calibri"/>
          <w:i/>
          <w:iCs/>
          <w:sz w:val="24"/>
          <w:szCs w:val="24"/>
        </w:rPr>
        <w:t>) Basic Information on Auschwitz</w:t>
      </w:r>
      <w:r w:rsidRPr="00F308AB">
        <w:rPr>
          <w:rFonts w:ascii="Calibri" w:hAnsi="Calibri" w:cs="Calibri"/>
          <w:sz w:val="24"/>
          <w:szCs w:val="24"/>
        </w:rPr>
        <w:t xml:space="preserve">. Available at: </w:t>
      </w:r>
      <w:hyperlink r:id="rId22" w:history="1">
        <w:r w:rsidRPr="00F308AB">
          <w:rPr>
            <w:rStyle w:val="Hyperlink"/>
            <w:rFonts w:ascii="Calibri" w:hAnsi="Calibri" w:cs="Calibri"/>
            <w:sz w:val="24"/>
            <w:szCs w:val="24"/>
          </w:rPr>
          <w:t>https://www.auschwitz.org/en/press/basic-information-on-auschwitz/</w:t>
        </w:r>
      </w:hyperlink>
      <w:r w:rsidRPr="00F308AB">
        <w:rPr>
          <w:rFonts w:ascii="Calibri" w:hAnsi="Calibri" w:cs="Calibri"/>
          <w:sz w:val="24"/>
          <w:szCs w:val="24"/>
        </w:rPr>
        <w:t xml:space="preserve"> (Accessed: 30 December 2024).</w:t>
      </w:r>
    </w:p>
    <w:p w14:paraId="2EAC65F5"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Bauer, Y. (1980) ‘Genocide: Was It the Nazis’ Original Plan?’, </w:t>
      </w:r>
      <w:r w:rsidRPr="00F308AB">
        <w:rPr>
          <w:rFonts w:ascii="Calibri" w:hAnsi="Calibri" w:cs="Calibri"/>
          <w:i/>
          <w:iCs/>
          <w:sz w:val="24"/>
          <w:szCs w:val="24"/>
        </w:rPr>
        <w:t>The Annals of the American Academy of Political and Social Science</w:t>
      </w:r>
      <w:r w:rsidRPr="00F308AB">
        <w:rPr>
          <w:rFonts w:ascii="Calibri" w:hAnsi="Calibri" w:cs="Calibri"/>
          <w:sz w:val="24"/>
          <w:szCs w:val="24"/>
        </w:rPr>
        <w:t xml:space="preserve">, 450, pp. 35–45. Available at: </w:t>
      </w:r>
      <w:hyperlink r:id="rId23" w:history="1">
        <w:r w:rsidRPr="00F308AB">
          <w:rPr>
            <w:rStyle w:val="Hyperlink"/>
            <w:rFonts w:ascii="Calibri" w:hAnsi="Calibri" w:cs="Calibri"/>
            <w:sz w:val="24"/>
            <w:szCs w:val="24"/>
          </w:rPr>
          <w:t>http://www.jstor.org/stable/1042557</w:t>
        </w:r>
      </w:hyperlink>
      <w:r w:rsidRPr="00F308AB">
        <w:rPr>
          <w:rFonts w:ascii="Calibri" w:hAnsi="Calibri" w:cs="Calibri"/>
          <w:sz w:val="24"/>
          <w:szCs w:val="24"/>
        </w:rPr>
        <w:t xml:space="preserve"> (Accessed: 31 December 2024).</w:t>
      </w:r>
    </w:p>
    <w:p w14:paraId="26D0394E"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 xml:space="preserve">BBC (2021) </w:t>
      </w:r>
      <w:r w:rsidRPr="00F308AB">
        <w:rPr>
          <w:rFonts w:ascii="Calibri" w:hAnsi="Calibri" w:cs="Calibri"/>
          <w:i/>
          <w:iCs/>
          <w:sz w:val="24"/>
          <w:szCs w:val="24"/>
        </w:rPr>
        <w:t>Babi Yar: Synagogue opens at Nazi massacre site in Ukraine.</w:t>
      </w:r>
      <w:r w:rsidRPr="00F308AB">
        <w:rPr>
          <w:rFonts w:ascii="Calibri" w:hAnsi="Calibri" w:cs="Calibri"/>
          <w:sz w:val="24"/>
          <w:szCs w:val="24"/>
        </w:rPr>
        <w:t xml:space="preserve"> Available at: </w:t>
      </w:r>
      <w:hyperlink r:id="rId24" w:history="1">
        <w:r w:rsidRPr="00F308AB">
          <w:rPr>
            <w:rStyle w:val="Hyperlink"/>
            <w:rFonts w:ascii="Calibri" w:hAnsi="Calibri" w:cs="Calibri"/>
            <w:sz w:val="24"/>
            <w:szCs w:val="24"/>
          </w:rPr>
          <w:t>https://www.bbc.co.uk/news/world-europe-57114197</w:t>
        </w:r>
      </w:hyperlink>
      <w:r w:rsidRPr="00F308AB">
        <w:rPr>
          <w:rFonts w:ascii="Calibri" w:hAnsi="Calibri" w:cs="Calibri"/>
          <w:sz w:val="24"/>
          <w:szCs w:val="24"/>
        </w:rPr>
        <w:t xml:space="preserve"> (Accessed: 7 January 2025).</w:t>
      </w:r>
    </w:p>
    <w:p w14:paraId="1D331BE3"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Bergen, D. L. (1994) ‘The Nazi Concept of “Volksdeutsche” and the Exacerbation of Anti-Semitism in Eastern Europe, 1939-45’, </w:t>
      </w:r>
      <w:r w:rsidRPr="00F308AB">
        <w:rPr>
          <w:rFonts w:ascii="Calibri" w:hAnsi="Calibri" w:cs="Calibri"/>
          <w:i/>
          <w:iCs/>
          <w:sz w:val="24"/>
          <w:szCs w:val="24"/>
        </w:rPr>
        <w:t>Journal of Contemporary History</w:t>
      </w:r>
      <w:r w:rsidRPr="00F308AB">
        <w:rPr>
          <w:rFonts w:ascii="Calibri" w:hAnsi="Calibri" w:cs="Calibri"/>
          <w:sz w:val="24"/>
          <w:szCs w:val="24"/>
        </w:rPr>
        <w:t>, </w:t>
      </w:r>
      <w:r w:rsidRPr="00F308AB">
        <w:rPr>
          <w:rFonts w:ascii="Calibri" w:hAnsi="Calibri" w:cs="Calibri"/>
          <w:i/>
          <w:iCs/>
          <w:sz w:val="24"/>
          <w:szCs w:val="24"/>
        </w:rPr>
        <w:t>29</w:t>
      </w:r>
      <w:r w:rsidRPr="00F308AB">
        <w:rPr>
          <w:rFonts w:ascii="Calibri" w:hAnsi="Calibri" w:cs="Calibri"/>
          <w:sz w:val="24"/>
          <w:szCs w:val="24"/>
        </w:rPr>
        <w:t xml:space="preserve">(4), pp. 569–582. Available at: </w:t>
      </w:r>
      <w:hyperlink r:id="rId25" w:history="1">
        <w:r w:rsidRPr="00F308AB">
          <w:rPr>
            <w:rStyle w:val="Hyperlink"/>
            <w:rFonts w:ascii="Calibri" w:hAnsi="Calibri" w:cs="Calibri"/>
            <w:sz w:val="24"/>
            <w:szCs w:val="24"/>
          </w:rPr>
          <w:t>http://www.jstor.org/stable/260679</w:t>
        </w:r>
      </w:hyperlink>
      <w:r w:rsidRPr="00F308AB">
        <w:rPr>
          <w:rFonts w:ascii="Calibri" w:hAnsi="Calibri" w:cs="Calibri"/>
          <w:sz w:val="24"/>
          <w:szCs w:val="24"/>
        </w:rPr>
        <w:t xml:space="preserve"> (Accessed: 1 January 2025).</w:t>
      </w:r>
    </w:p>
    <w:p w14:paraId="4CC18FEE"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Breitman, R. (1994) ‘Plans for the Final Solution in Early 1941’, </w:t>
      </w:r>
      <w:r w:rsidRPr="00F308AB">
        <w:rPr>
          <w:rFonts w:ascii="Calibri" w:hAnsi="Calibri" w:cs="Calibri"/>
          <w:i/>
          <w:iCs/>
          <w:sz w:val="24"/>
          <w:szCs w:val="24"/>
        </w:rPr>
        <w:t>German Studies Review</w:t>
      </w:r>
      <w:r w:rsidRPr="00F308AB">
        <w:rPr>
          <w:rFonts w:ascii="Calibri" w:hAnsi="Calibri" w:cs="Calibri"/>
          <w:sz w:val="24"/>
          <w:szCs w:val="24"/>
        </w:rPr>
        <w:t xml:space="preserve">, 17(3), pp. 483–493. Available at: </w:t>
      </w:r>
      <w:hyperlink r:id="rId26" w:history="1">
        <w:r w:rsidRPr="00F308AB">
          <w:rPr>
            <w:rStyle w:val="Hyperlink"/>
            <w:rFonts w:ascii="Calibri" w:hAnsi="Calibri" w:cs="Calibri"/>
            <w:sz w:val="24"/>
            <w:szCs w:val="24"/>
          </w:rPr>
          <w:t>https://doi.org/10.2307/1431895</w:t>
        </w:r>
      </w:hyperlink>
    </w:p>
    <w:p w14:paraId="38BB8DB4"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 xml:space="preserve">Britannica (2025) </w:t>
      </w:r>
      <w:r w:rsidRPr="00F308AB">
        <w:rPr>
          <w:rFonts w:ascii="Calibri" w:hAnsi="Calibri" w:cs="Calibri"/>
          <w:i/>
          <w:iCs/>
          <w:sz w:val="24"/>
          <w:szCs w:val="24"/>
        </w:rPr>
        <w:t>Chelmno concentration camp, Poland</w:t>
      </w:r>
      <w:r w:rsidRPr="00F308AB">
        <w:rPr>
          <w:rFonts w:ascii="Calibri" w:hAnsi="Calibri" w:cs="Calibri"/>
          <w:sz w:val="24"/>
          <w:szCs w:val="24"/>
        </w:rPr>
        <w:t xml:space="preserve">. Available at: </w:t>
      </w:r>
      <w:hyperlink r:id="rId27" w:history="1">
        <w:r w:rsidRPr="00F308AB">
          <w:rPr>
            <w:rStyle w:val="Hyperlink"/>
            <w:rFonts w:ascii="Calibri" w:hAnsi="Calibri" w:cs="Calibri"/>
            <w:sz w:val="24"/>
            <w:szCs w:val="24"/>
          </w:rPr>
          <w:t>https://www.britannica.com/place/Chelmno-concentration-camp-Poland</w:t>
        </w:r>
      </w:hyperlink>
      <w:r w:rsidRPr="00F308AB">
        <w:rPr>
          <w:rFonts w:ascii="Calibri" w:hAnsi="Calibri" w:cs="Calibri"/>
          <w:sz w:val="24"/>
          <w:szCs w:val="24"/>
        </w:rPr>
        <w:t xml:space="preserve"> (Accessed: 7 January 2025).</w:t>
      </w:r>
    </w:p>
    <w:p w14:paraId="0E380FFB" w14:textId="77777777" w:rsidR="00F308AB" w:rsidRPr="00F308AB" w:rsidRDefault="00F308AB" w:rsidP="00377C6C">
      <w:pPr>
        <w:spacing w:after="0" w:line="240" w:lineRule="auto"/>
        <w:rPr>
          <w:rFonts w:ascii="Calibri" w:hAnsi="Calibri" w:cs="Calibri"/>
          <w:sz w:val="24"/>
          <w:szCs w:val="24"/>
        </w:rPr>
      </w:pPr>
      <w:r w:rsidRPr="00F308AB">
        <w:rPr>
          <w:rFonts w:ascii="Calibri" w:eastAsia="Times New Roman" w:hAnsi="Calibri" w:cs="Calibri"/>
          <w:kern w:val="0"/>
          <w:sz w:val="24"/>
          <w:szCs w:val="24"/>
          <w:lang w:eastAsia="en-GB"/>
          <w14:ligatures w14:val="none"/>
        </w:rPr>
        <w:t>Browning, C. R. (1994) ‘The Nazi Decision to Commit Mass Murder: Three Interpretations: The Euphoria of Victory and the Final Solution: Summer-Fall 1941’, </w:t>
      </w:r>
      <w:r w:rsidRPr="00F308AB">
        <w:rPr>
          <w:rFonts w:ascii="Calibri" w:eastAsia="Times New Roman" w:hAnsi="Calibri" w:cs="Calibri"/>
          <w:i/>
          <w:iCs/>
          <w:kern w:val="0"/>
          <w:sz w:val="24"/>
          <w:szCs w:val="24"/>
          <w:lang w:eastAsia="en-GB"/>
          <w14:ligatures w14:val="none"/>
        </w:rPr>
        <w:t>German Studies Review</w:t>
      </w:r>
      <w:r w:rsidRPr="00F308AB">
        <w:rPr>
          <w:rFonts w:ascii="Calibri" w:eastAsia="Times New Roman" w:hAnsi="Calibri" w:cs="Calibri"/>
          <w:kern w:val="0"/>
          <w:sz w:val="24"/>
          <w:szCs w:val="24"/>
          <w:lang w:eastAsia="en-GB"/>
          <w14:ligatures w14:val="none"/>
        </w:rPr>
        <w:t xml:space="preserve">, 17(3), pp. 473–481. Available at: </w:t>
      </w:r>
      <w:hyperlink r:id="rId28" w:history="1">
        <w:r w:rsidRPr="00F308AB">
          <w:rPr>
            <w:rStyle w:val="Hyperlink"/>
            <w:rFonts w:ascii="Calibri" w:eastAsia="Times New Roman" w:hAnsi="Calibri" w:cs="Calibri"/>
            <w:kern w:val="0"/>
            <w:sz w:val="24"/>
            <w:szCs w:val="24"/>
            <w:lang w:eastAsia="en-GB"/>
            <w14:ligatures w14:val="none"/>
          </w:rPr>
          <w:t>https://doi.org/10.2307/1431894</w:t>
        </w:r>
      </w:hyperlink>
    </w:p>
    <w:p w14:paraId="451628DE" w14:textId="77777777" w:rsidR="00F308AB" w:rsidRPr="00F308AB" w:rsidRDefault="00F308AB" w:rsidP="00377C6C">
      <w:pPr>
        <w:spacing w:after="0" w:line="240" w:lineRule="auto"/>
        <w:rPr>
          <w:rStyle w:val="Hyperlink"/>
          <w:rFonts w:ascii="Calibri" w:eastAsia="Times New Roman" w:hAnsi="Calibri" w:cs="Calibri"/>
          <w:kern w:val="0"/>
          <w:sz w:val="24"/>
          <w:szCs w:val="24"/>
          <w:lang w:eastAsia="en-GB"/>
          <w14:ligatures w14:val="none"/>
        </w:rPr>
      </w:pPr>
    </w:p>
    <w:p w14:paraId="17C9BEA4"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Browning, C.R. (1986) ‘Nazi Ghettoization Policy in Poland: 1939–41’, </w:t>
      </w:r>
      <w:r w:rsidRPr="00F308AB">
        <w:rPr>
          <w:rFonts w:ascii="Calibri" w:hAnsi="Calibri" w:cs="Calibri"/>
          <w:i/>
          <w:iCs/>
          <w:sz w:val="24"/>
          <w:szCs w:val="24"/>
        </w:rPr>
        <w:t>Central European History</w:t>
      </w:r>
      <w:r w:rsidRPr="00F308AB">
        <w:rPr>
          <w:rFonts w:ascii="Calibri" w:hAnsi="Calibri" w:cs="Calibri"/>
          <w:sz w:val="24"/>
          <w:szCs w:val="24"/>
        </w:rPr>
        <w:t xml:space="preserve">, 19(4), pp. 343–368. Available at: </w:t>
      </w:r>
      <w:hyperlink r:id="rId29" w:history="1">
        <w:r w:rsidRPr="00F308AB">
          <w:rPr>
            <w:rStyle w:val="Hyperlink"/>
            <w:rFonts w:ascii="Calibri" w:hAnsi="Calibri" w:cs="Calibri"/>
            <w:sz w:val="24"/>
            <w:szCs w:val="24"/>
          </w:rPr>
          <w:t>https://doi.org/10.1017/S0008938900011158</w:t>
        </w:r>
      </w:hyperlink>
    </w:p>
    <w:p w14:paraId="31A364BB" w14:textId="2587F89D" w:rsidR="00F308AB" w:rsidRPr="00F308AB" w:rsidRDefault="00F308AB" w:rsidP="00377C6C">
      <w:pPr>
        <w:rPr>
          <w:rFonts w:ascii="Calibri" w:hAnsi="Calibri" w:cs="Calibri"/>
          <w:sz w:val="24"/>
          <w:szCs w:val="24"/>
        </w:rPr>
      </w:pPr>
      <w:r w:rsidRPr="00F308AB">
        <w:rPr>
          <w:rFonts w:ascii="Calibri" w:hAnsi="Calibri" w:cs="Calibri"/>
          <w:sz w:val="24"/>
          <w:szCs w:val="24"/>
        </w:rPr>
        <w:t>Browning, C.R. (1992) </w:t>
      </w:r>
      <w:r w:rsidRPr="00F308AB">
        <w:rPr>
          <w:rFonts w:ascii="Calibri" w:hAnsi="Calibri" w:cs="Calibri"/>
          <w:i/>
          <w:iCs/>
          <w:sz w:val="24"/>
          <w:szCs w:val="24"/>
        </w:rPr>
        <w:t>Ordinary Men : Reserve Police Battalion 101 and the Final Solution in Poland.</w:t>
      </w:r>
      <w:r w:rsidRPr="00F308AB">
        <w:rPr>
          <w:rFonts w:ascii="Calibri" w:hAnsi="Calibri" w:cs="Calibri"/>
          <w:sz w:val="24"/>
          <w:szCs w:val="24"/>
        </w:rPr>
        <w:t> 1</w:t>
      </w:r>
      <w:r w:rsidRPr="00F308AB">
        <w:rPr>
          <w:rFonts w:ascii="Calibri" w:hAnsi="Calibri" w:cs="Calibri"/>
          <w:sz w:val="24"/>
          <w:szCs w:val="24"/>
          <w:vertAlign w:val="superscript"/>
        </w:rPr>
        <w:t>st</w:t>
      </w:r>
      <w:r w:rsidRPr="00F308AB">
        <w:rPr>
          <w:rFonts w:ascii="Calibri" w:hAnsi="Calibri" w:cs="Calibri"/>
          <w:sz w:val="24"/>
          <w:szCs w:val="24"/>
        </w:rPr>
        <w:t xml:space="preserve"> edn. New York: HarperCollins Publishers</w:t>
      </w:r>
      <w:r w:rsidR="009970AE">
        <w:rPr>
          <w:rFonts w:ascii="Calibri" w:hAnsi="Calibri" w:cs="Calibri"/>
          <w:sz w:val="24"/>
          <w:szCs w:val="24"/>
        </w:rPr>
        <w:t>.</w:t>
      </w:r>
    </w:p>
    <w:p w14:paraId="645C3AE4"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Browning, C.R. (1992) </w:t>
      </w:r>
      <w:r w:rsidRPr="00F308AB">
        <w:rPr>
          <w:rFonts w:ascii="Calibri" w:hAnsi="Calibri" w:cs="Calibri"/>
          <w:i/>
          <w:iCs/>
          <w:sz w:val="24"/>
          <w:szCs w:val="24"/>
        </w:rPr>
        <w:t>The Path to Genocide : Essays on Launching the Final Solution</w:t>
      </w:r>
      <w:r w:rsidRPr="00F308AB">
        <w:rPr>
          <w:rFonts w:ascii="Calibri" w:hAnsi="Calibri" w:cs="Calibri"/>
          <w:sz w:val="24"/>
          <w:szCs w:val="24"/>
        </w:rPr>
        <w:t>. 2</w:t>
      </w:r>
      <w:r w:rsidRPr="00F308AB">
        <w:rPr>
          <w:rFonts w:ascii="Calibri" w:hAnsi="Calibri" w:cs="Calibri"/>
          <w:sz w:val="24"/>
          <w:szCs w:val="24"/>
          <w:vertAlign w:val="superscript"/>
        </w:rPr>
        <w:t>nd</w:t>
      </w:r>
      <w:r w:rsidRPr="00F308AB">
        <w:rPr>
          <w:rFonts w:ascii="Calibri" w:hAnsi="Calibri" w:cs="Calibri"/>
          <w:sz w:val="24"/>
          <w:szCs w:val="24"/>
        </w:rPr>
        <w:t xml:space="preserve"> edn. Cambridge: Cambridge University Press.</w:t>
      </w:r>
    </w:p>
    <w:p w14:paraId="414C1851"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 xml:space="preserve">Browning, C.R. (2003) </w:t>
      </w:r>
      <w:r w:rsidRPr="00F308AB">
        <w:rPr>
          <w:rFonts w:ascii="Calibri" w:hAnsi="Calibri" w:cs="Calibri"/>
          <w:i/>
          <w:iCs/>
          <w:sz w:val="24"/>
          <w:szCs w:val="24"/>
        </w:rPr>
        <w:t>Initiating the Final Solution: The fateful months of September-October 1941.</w:t>
      </w:r>
      <w:r w:rsidRPr="00F308AB">
        <w:rPr>
          <w:rFonts w:ascii="Calibri" w:hAnsi="Calibri" w:cs="Calibri"/>
          <w:sz w:val="24"/>
          <w:szCs w:val="24"/>
        </w:rPr>
        <w:t xml:space="preserve"> Available at: </w:t>
      </w:r>
      <w:hyperlink r:id="rId30" w:history="1">
        <w:r w:rsidRPr="00F308AB">
          <w:rPr>
            <w:rStyle w:val="Hyperlink"/>
            <w:rFonts w:ascii="Calibri" w:hAnsi="Calibri" w:cs="Calibri"/>
            <w:sz w:val="24"/>
            <w:szCs w:val="24"/>
          </w:rPr>
          <w:t>https://www.ushmm.org/m/pdfs/20050728-browning.pdf</w:t>
        </w:r>
      </w:hyperlink>
      <w:r w:rsidRPr="00F308AB">
        <w:rPr>
          <w:rFonts w:ascii="Calibri" w:hAnsi="Calibri" w:cs="Calibri"/>
          <w:sz w:val="24"/>
          <w:szCs w:val="24"/>
        </w:rPr>
        <w:t xml:space="preserve"> (Accessed: 31 December 2024).</w:t>
      </w:r>
    </w:p>
    <w:p w14:paraId="1F4DACF3" w14:textId="77777777" w:rsidR="00F308AB" w:rsidRDefault="00F308AB" w:rsidP="00377C6C">
      <w:pPr>
        <w:rPr>
          <w:rFonts w:ascii="Calibri" w:hAnsi="Calibri" w:cs="Calibri"/>
          <w:sz w:val="24"/>
          <w:szCs w:val="24"/>
        </w:rPr>
      </w:pPr>
      <w:r w:rsidRPr="00F308AB">
        <w:rPr>
          <w:rFonts w:ascii="Calibri" w:hAnsi="Calibri" w:cs="Calibri"/>
          <w:sz w:val="24"/>
          <w:szCs w:val="24"/>
        </w:rPr>
        <w:t xml:space="preserve">Browning, C.R. (2005) </w:t>
      </w:r>
      <w:r w:rsidRPr="00F308AB">
        <w:rPr>
          <w:rFonts w:ascii="Calibri" w:hAnsi="Calibri" w:cs="Calibri"/>
          <w:i/>
          <w:iCs/>
          <w:sz w:val="24"/>
          <w:szCs w:val="24"/>
        </w:rPr>
        <w:t>The Origins of the Final Solution: The Evolution of Nazi Jewish Policy, September 1939–March 1942</w:t>
      </w:r>
      <w:r w:rsidRPr="00F308AB">
        <w:rPr>
          <w:rFonts w:ascii="Calibri" w:hAnsi="Calibri" w:cs="Calibri"/>
          <w:sz w:val="24"/>
          <w:szCs w:val="24"/>
        </w:rPr>
        <w:t xml:space="preserve">. Lincoln: University of Nebraska Press. Available at: </w:t>
      </w:r>
      <w:hyperlink r:id="rId31" w:history="1">
        <w:r w:rsidRPr="00F308AB">
          <w:rPr>
            <w:rStyle w:val="Hyperlink"/>
            <w:rFonts w:ascii="Calibri" w:hAnsi="Calibri" w:cs="Calibri"/>
            <w:sz w:val="24"/>
            <w:szCs w:val="24"/>
          </w:rPr>
          <w:t>https://www.amazon.co.uk/Origins-Final-Solution-Evolution-1939-March/dp/0099454823/ref=sr_1_1?crid=2T5B6M7ZCRHYA&amp;dib=eyJ2IjoiMSJ9.33X4JIgcKGvZ75OZ1dJsGQ1lELUA7LspZfTftyGZuHg.-K738V8Dvvn1-</w:t>
        </w:r>
        <w:r w:rsidRPr="00F308AB">
          <w:rPr>
            <w:rStyle w:val="Hyperlink"/>
            <w:rFonts w:ascii="Calibri" w:hAnsi="Calibri" w:cs="Calibri"/>
            <w:sz w:val="24"/>
            <w:szCs w:val="24"/>
          </w:rPr>
          <w:lastRenderedPageBreak/>
          <w:t>G1osVICpPMW3FF47W5AbzHWCetxNag&amp;dib_tag=se&amp;keywords=The+Origins+of+the+Final+Solution%3A+The+Evolution+of+Nazi+Jewish+Policy%2C+September+1939%E2%80%93March+1942.&amp;nsdOptOutParam=true&amp;qid=1735843814&amp;sprefix=the+origins+of+the+final+solution+the+evolution+of+nazi+jewish+policy+september+1939+march+1942.%2Caps%2C72&amp;sr=8-1</w:t>
        </w:r>
      </w:hyperlink>
      <w:r w:rsidRPr="00F308AB">
        <w:rPr>
          <w:rFonts w:ascii="Calibri" w:hAnsi="Calibri" w:cs="Calibri"/>
          <w:sz w:val="24"/>
          <w:szCs w:val="24"/>
        </w:rPr>
        <w:t xml:space="preserve"> (Accessed: 2 January 2025).</w:t>
      </w:r>
    </w:p>
    <w:p w14:paraId="2D0E8592" w14:textId="77C62895" w:rsidR="00CC1D8C" w:rsidRPr="00CC1D8C" w:rsidRDefault="00CC1D8C" w:rsidP="00377C6C">
      <w:pPr>
        <w:rPr>
          <w:rFonts w:ascii="Calibri" w:hAnsi="Calibri" w:cs="Calibri"/>
          <w:color w:val="000000" w:themeColor="text1"/>
          <w:sz w:val="24"/>
          <w:szCs w:val="24"/>
        </w:rPr>
      </w:pPr>
      <w:r w:rsidRPr="00CC1D8C">
        <w:rPr>
          <w:rFonts w:ascii="Calibri" w:hAnsi="Calibri" w:cs="Calibri"/>
          <w:color w:val="000000" w:themeColor="text1"/>
          <w:sz w:val="24"/>
          <w:szCs w:val="24"/>
          <w:shd w:val="clear" w:color="auto" w:fill="FFFFFF"/>
        </w:rPr>
        <w:t xml:space="preserve">Cesarani, D. (1994) </w:t>
      </w:r>
      <w:r w:rsidRPr="00CC1D8C">
        <w:rPr>
          <w:rFonts w:ascii="Calibri" w:hAnsi="Calibri" w:cs="Calibri"/>
          <w:i/>
          <w:iCs/>
          <w:color w:val="000000" w:themeColor="text1"/>
          <w:sz w:val="24"/>
          <w:szCs w:val="24"/>
          <w:shd w:val="clear" w:color="auto" w:fill="FFFFFF"/>
        </w:rPr>
        <w:t>The Final solution: origins and implementation</w:t>
      </w:r>
      <w:r w:rsidRPr="00CC1D8C">
        <w:rPr>
          <w:rFonts w:ascii="Calibri" w:hAnsi="Calibri" w:cs="Calibri"/>
          <w:color w:val="000000" w:themeColor="text1"/>
          <w:sz w:val="24"/>
          <w:szCs w:val="24"/>
          <w:shd w:val="clear" w:color="auto" w:fill="FFFFFF"/>
        </w:rPr>
        <w:t>. 1</w:t>
      </w:r>
      <w:r w:rsidRPr="00CC1D8C">
        <w:rPr>
          <w:rFonts w:ascii="Calibri" w:hAnsi="Calibri" w:cs="Calibri"/>
          <w:color w:val="000000" w:themeColor="text1"/>
          <w:sz w:val="24"/>
          <w:szCs w:val="24"/>
          <w:shd w:val="clear" w:color="auto" w:fill="FFFFFF"/>
          <w:vertAlign w:val="superscript"/>
        </w:rPr>
        <w:t>st</w:t>
      </w:r>
      <w:r w:rsidRPr="00CC1D8C">
        <w:rPr>
          <w:rFonts w:ascii="Calibri" w:hAnsi="Calibri" w:cs="Calibri"/>
          <w:color w:val="000000" w:themeColor="text1"/>
          <w:sz w:val="24"/>
          <w:szCs w:val="24"/>
          <w:shd w:val="clear" w:color="auto" w:fill="FFFFFF"/>
        </w:rPr>
        <w:t xml:space="preserve"> edn. London: Routledge.</w:t>
      </w:r>
    </w:p>
    <w:p w14:paraId="01F0B1BC"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Davis, H. (1999) ‘What was the role of the Wannsee conference in the Final Solution’, </w:t>
      </w:r>
      <w:r w:rsidRPr="00F308AB">
        <w:rPr>
          <w:rFonts w:ascii="Calibri" w:hAnsi="Calibri" w:cs="Calibri"/>
          <w:i/>
          <w:iCs/>
          <w:sz w:val="24"/>
          <w:szCs w:val="24"/>
        </w:rPr>
        <w:t>European Judaism: A Journal for the New Europe</w:t>
      </w:r>
      <w:r w:rsidRPr="00F308AB">
        <w:rPr>
          <w:rFonts w:ascii="Calibri" w:hAnsi="Calibri" w:cs="Calibri"/>
          <w:sz w:val="24"/>
          <w:szCs w:val="24"/>
        </w:rPr>
        <w:t>, </w:t>
      </w:r>
      <w:r w:rsidRPr="00F308AB">
        <w:rPr>
          <w:rFonts w:ascii="Calibri" w:hAnsi="Calibri" w:cs="Calibri"/>
          <w:i/>
          <w:iCs/>
          <w:sz w:val="24"/>
          <w:szCs w:val="24"/>
        </w:rPr>
        <w:t>32</w:t>
      </w:r>
      <w:r w:rsidRPr="00F308AB">
        <w:rPr>
          <w:rFonts w:ascii="Calibri" w:hAnsi="Calibri" w:cs="Calibri"/>
          <w:sz w:val="24"/>
          <w:szCs w:val="24"/>
        </w:rPr>
        <w:t xml:space="preserve">(2), pp. 26–36. Available at: </w:t>
      </w:r>
      <w:hyperlink r:id="rId32" w:history="1">
        <w:r w:rsidRPr="00F308AB">
          <w:rPr>
            <w:rStyle w:val="Hyperlink"/>
            <w:rFonts w:ascii="Calibri" w:hAnsi="Calibri" w:cs="Calibri"/>
            <w:sz w:val="24"/>
            <w:szCs w:val="24"/>
          </w:rPr>
          <w:t>http://www.jstor.org/stable/43740629</w:t>
        </w:r>
      </w:hyperlink>
      <w:r w:rsidRPr="00F308AB">
        <w:rPr>
          <w:rFonts w:ascii="Calibri" w:hAnsi="Calibri" w:cs="Calibri"/>
          <w:sz w:val="24"/>
          <w:szCs w:val="24"/>
        </w:rPr>
        <w:t xml:space="preserve"> (Accessed: 31 December 2024).</w:t>
      </w:r>
    </w:p>
    <w:p w14:paraId="09DF2968" w14:textId="4652EECC" w:rsidR="00F308AB" w:rsidRPr="00F308AB" w:rsidRDefault="00F308AB" w:rsidP="00377C6C">
      <w:pPr>
        <w:rPr>
          <w:rFonts w:ascii="Calibri" w:hAnsi="Calibri" w:cs="Calibri"/>
          <w:sz w:val="24"/>
          <w:szCs w:val="24"/>
        </w:rPr>
      </w:pPr>
      <w:r w:rsidRPr="00F308AB">
        <w:rPr>
          <w:rFonts w:ascii="Calibri" w:hAnsi="Calibri" w:cs="Calibri"/>
          <w:sz w:val="24"/>
          <w:szCs w:val="24"/>
        </w:rPr>
        <w:t>Dawidowicz, L.S. (1975) </w:t>
      </w:r>
      <w:r w:rsidRPr="00F308AB">
        <w:rPr>
          <w:rFonts w:ascii="Calibri" w:hAnsi="Calibri" w:cs="Calibri"/>
          <w:i/>
          <w:iCs/>
          <w:sz w:val="24"/>
          <w:szCs w:val="24"/>
        </w:rPr>
        <w:t>The War against the Jews 1933-45.</w:t>
      </w:r>
      <w:r w:rsidRPr="00F308AB">
        <w:rPr>
          <w:rFonts w:ascii="Calibri" w:hAnsi="Calibri" w:cs="Calibri"/>
          <w:sz w:val="24"/>
          <w:szCs w:val="24"/>
        </w:rPr>
        <w:t> 4</w:t>
      </w:r>
      <w:r w:rsidRPr="00F308AB">
        <w:rPr>
          <w:rFonts w:ascii="Calibri" w:hAnsi="Calibri" w:cs="Calibri"/>
          <w:sz w:val="24"/>
          <w:szCs w:val="24"/>
          <w:vertAlign w:val="superscript"/>
        </w:rPr>
        <w:t>th</w:t>
      </w:r>
      <w:r w:rsidRPr="00F308AB">
        <w:rPr>
          <w:rFonts w:ascii="Calibri" w:hAnsi="Calibri" w:cs="Calibri"/>
          <w:sz w:val="24"/>
          <w:szCs w:val="24"/>
        </w:rPr>
        <w:t xml:space="preserve"> edn. Harmondsworth: Penguin Books.</w:t>
      </w:r>
    </w:p>
    <w:p w14:paraId="51441F6C"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Draper, R. (1999) ‘Decoding the Holocaust’, </w:t>
      </w:r>
      <w:r w:rsidRPr="00F308AB">
        <w:rPr>
          <w:rFonts w:ascii="Calibri" w:hAnsi="Calibri" w:cs="Calibri"/>
          <w:i/>
          <w:iCs/>
          <w:sz w:val="24"/>
          <w:szCs w:val="24"/>
        </w:rPr>
        <w:t xml:space="preserve">The New Leader, </w:t>
      </w:r>
      <w:r w:rsidRPr="00F308AB">
        <w:rPr>
          <w:rFonts w:ascii="Calibri" w:hAnsi="Calibri" w:cs="Calibri"/>
          <w:sz w:val="24"/>
          <w:szCs w:val="24"/>
        </w:rPr>
        <w:t xml:space="preserve">p. 14. Available at: </w:t>
      </w:r>
      <w:hyperlink r:id="rId33" w:history="1">
        <w:r w:rsidRPr="00F308AB">
          <w:rPr>
            <w:rStyle w:val="Hyperlink"/>
            <w:rFonts w:ascii="Calibri" w:hAnsi="Calibri" w:cs="Calibri"/>
            <w:sz w:val="24"/>
            <w:szCs w:val="24"/>
          </w:rPr>
          <w:t>https://www.proquest.com/docview/225680580?accountid=130472&amp;parentSessionId=UoK7IQ1o7ebKfXxw%2Fzqdj1GYxIS4vfu9PB3qHZA%2Fphs%3D&amp;pq-origsite=primo&amp;sourcetype=Magazines</w:t>
        </w:r>
      </w:hyperlink>
      <w:r w:rsidRPr="00F308AB">
        <w:rPr>
          <w:rFonts w:ascii="Calibri" w:hAnsi="Calibri" w:cs="Calibri"/>
          <w:sz w:val="24"/>
          <w:szCs w:val="24"/>
        </w:rPr>
        <w:t xml:space="preserve"> (Accessed: 31 December 2024).</w:t>
      </w:r>
    </w:p>
    <w:p w14:paraId="3D765C40"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Feather, D. (2024) ‘History repeating itself: the use of “third countries” to discourage immigration’, </w:t>
      </w:r>
      <w:r w:rsidRPr="00F308AB">
        <w:rPr>
          <w:rFonts w:ascii="Calibri" w:hAnsi="Calibri" w:cs="Calibri"/>
          <w:i/>
          <w:iCs/>
          <w:sz w:val="24"/>
          <w:szCs w:val="24"/>
        </w:rPr>
        <w:t>Round Table (London)</w:t>
      </w:r>
      <w:r w:rsidRPr="00F308AB">
        <w:rPr>
          <w:rFonts w:ascii="Calibri" w:hAnsi="Calibri" w:cs="Calibri"/>
          <w:sz w:val="24"/>
          <w:szCs w:val="24"/>
        </w:rPr>
        <w:t xml:space="preserve">, 113(4), pp. 385–386. Available at: </w:t>
      </w:r>
      <w:hyperlink r:id="rId34" w:history="1">
        <w:r w:rsidRPr="00F308AB">
          <w:rPr>
            <w:rStyle w:val="Hyperlink"/>
            <w:rFonts w:ascii="Calibri" w:hAnsi="Calibri" w:cs="Calibri"/>
            <w:sz w:val="24"/>
            <w:szCs w:val="24"/>
          </w:rPr>
          <w:t>https://doi.org/10.1080/00358533.2024.2382564</w:t>
        </w:r>
      </w:hyperlink>
    </w:p>
    <w:p w14:paraId="00BDCEA2"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Feierstein, D. (2014) </w:t>
      </w:r>
      <w:r w:rsidRPr="00F308AB">
        <w:rPr>
          <w:rFonts w:ascii="Calibri" w:hAnsi="Calibri" w:cs="Calibri"/>
          <w:i/>
          <w:iCs/>
          <w:sz w:val="24"/>
          <w:szCs w:val="24"/>
        </w:rPr>
        <w:t>Genocide as social practice : reorganising society under the Nazis and Argentina’s military juntas</w:t>
      </w:r>
      <w:r w:rsidRPr="00F308AB">
        <w:rPr>
          <w:rFonts w:ascii="Calibri" w:hAnsi="Calibri" w:cs="Calibri"/>
          <w:sz w:val="24"/>
          <w:szCs w:val="24"/>
        </w:rPr>
        <w:t xml:space="preserve">. 1st ed. New Brunswick: Rutgers University Press. Available at: </w:t>
      </w:r>
      <w:hyperlink r:id="rId35" w:history="1">
        <w:r w:rsidRPr="00F308AB">
          <w:rPr>
            <w:rStyle w:val="Hyperlink"/>
            <w:rFonts w:ascii="Calibri" w:hAnsi="Calibri" w:cs="Calibri"/>
            <w:sz w:val="24"/>
            <w:szCs w:val="24"/>
          </w:rPr>
          <w:t>https://doi.org/10.36019/9780813563190</w:t>
        </w:r>
      </w:hyperlink>
    </w:p>
    <w:p w14:paraId="0CACC5FE"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 xml:space="preserve">Feingold, H. L. (1976) ‘Review of The War against the Jews 1933-1945, by L. Dawidowicz’, </w:t>
      </w:r>
      <w:r w:rsidRPr="00F308AB">
        <w:rPr>
          <w:rFonts w:ascii="Calibri" w:hAnsi="Calibri" w:cs="Calibri"/>
          <w:i/>
          <w:iCs/>
          <w:sz w:val="24"/>
          <w:szCs w:val="24"/>
        </w:rPr>
        <w:t>Jewish Social Studies</w:t>
      </w:r>
      <w:r w:rsidRPr="00F308AB">
        <w:rPr>
          <w:rFonts w:ascii="Calibri" w:hAnsi="Calibri" w:cs="Calibri"/>
          <w:sz w:val="24"/>
          <w:szCs w:val="24"/>
        </w:rPr>
        <w:t>, </w:t>
      </w:r>
      <w:r w:rsidRPr="00F308AB">
        <w:rPr>
          <w:rFonts w:ascii="Calibri" w:hAnsi="Calibri" w:cs="Calibri"/>
          <w:i/>
          <w:iCs/>
          <w:sz w:val="24"/>
          <w:szCs w:val="24"/>
        </w:rPr>
        <w:t>38</w:t>
      </w:r>
      <w:r w:rsidRPr="00F308AB">
        <w:rPr>
          <w:rFonts w:ascii="Calibri" w:hAnsi="Calibri" w:cs="Calibri"/>
          <w:sz w:val="24"/>
          <w:szCs w:val="24"/>
        </w:rPr>
        <w:t xml:space="preserve">(1), pp. 82–85. Available at: </w:t>
      </w:r>
      <w:hyperlink r:id="rId36" w:history="1">
        <w:r w:rsidRPr="00F308AB">
          <w:rPr>
            <w:rStyle w:val="Hyperlink"/>
            <w:rFonts w:ascii="Calibri" w:hAnsi="Calibri" w:cs="Calibri"/>
            <w:sz w:val="24"/>
            <w:szCs w:val="24"/>
          </w:rPr>
          <w:t>http://www.jstor.org/stable/4466912</w:t>
        </w:r>
      </w:hyperlink>
      <w:r w:rsidRPr="00F308AB">
        <w:rPr>
          <w:rFonts w:ascii="Calibri" w:hAnsi="Calibri" w:cs="Calibri"/>
          <w:sz w:val="24"/>
          <w:szCs w:val="24"/>
        </w:rPr>
        <w:t xml:space="preserve"> (Accessed: 31 December 2024).</w:t>
      </w:r>
    </w:p>
    <w:p w14:paraId="5B344A09"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 xml:space="preserve">Fleming, G. (1984) </w:t>
      </w:r>
      <w:r w:rsidRPr="00F308AB">
        <w:rPr>
          <w:rFonts w:ascii="Calibri" w:hAnsi="Calibri" w:cs="Calibri"/>
          <w:i/>
          <w:iCs/>
          <w:sz w:val="24"/>
          <w:szCs w:val="24"/>
        </w:rPr>
        <w:t xml:space="preserve">Hitler and the Final Solution. </w:t>
      </w:r>
      <w:r w:rsidRPr="00F308AB">
        <w:rPr>
          <w:rFonts w:ascii="Calibri" w:hAnsi="Calibri" w:cs="Calibri"/>
          <w:sz w:val="24"/>
          <w:szCs w:val="24"/>
        </w:rPr>
        <w:t xml:space="preserve">Available at: </w:t>
      </w:r>
      <w:hyperlink r:id="rId37" w:history="1">
        <w:r w:rsidRPr="00F308AB">
          <w:rPr>
            <w:rStyle w:val="Hyperlink"/>
            <w:rFonts w:ascii="Calibri" w:hAnsi="Calibri" w:cs="Calibri"/>
            <w:sz w:val="24"/>
            <w:szCs w:val="24"/>
          </w:rPr>
          <w:t>https://archive.org/details/hitlerfinalsolut0000flem/page/16/mode/2up</w:t>
        </w:r>
      </w:hyperlink>
      <w:r w:rsidRPr="00F308AB">
        <w:rPr>
          <w:rFonts w:ascii="Calibri" w:hAnsi="Calibri" w:cs="Calibri"/>
          <w:sz w:val="24"/>
          <w:szCs w:val="24"/>
        </w:rPr>
        <w:t xml:space="preserve"> (Accessed: 31 December 2024).</w:t>
      </w:r>
    </w:p>
    <w:p w14:paraId="0009196C" w14:textId="77777777" w:rsidR="00F308AB" w:rsidRPr="00F308AB" w:rsidRDefault="00F308AB" w:rsidP="00377C6C">
      <w:pPr>
        <w:spacing w:after="0" w:line="240" w:lineRule="auto"/>
        <w:rPr>
          <w:rFonts w:ascii="Calibri" w:hAnsi="Calibri" w:cs="Calibri"/>
          <w:sz w:val="24"/>
          <w:szCs w:val="24"/>
        </w:rPr>
      </w:pPr>
      <w:r w:rsidRPr="00F308AB">
        <w:rPr>
          <w:rFonts w:ascii="Calibri" w:eastAsia="Times New Roman" w:hAnsi="Calibri" w:cs="Calibri"/>
          <w:kern w:val="0"/>
          <w:sz w:val="24"/>
          <w:szCs w:val="24"/>
          <w:lang w:eastAsia="en-GB"/>
          <w14:ligatures w14:val="none"/>
        </w:rPr>
        <w:t xml:space="preserve">Friedlander, H. (1994) ‘Step by Step: The Expansion of Murder, 1939-1941’, </w:t>
      </w:r>
      <w:r w:rsidRPr="00F308AB">
        <w:rPr>
          <w:rFonts w:ascii="Calibri" w:eastAsia="Times New Roman" w:hAnsi="Calibri" w:cs="Calibri"/>
          <w:i/>
          <w:iCs/>
          <w:kern w:val="0"/>
          <w:sz w:val="24"/>
          <w:szCs w:val="24"/>
          <w:lang w:eastAsia="en-GB"/>
          <w14:ligatures w14:val="none"/>
        </w:rPr>
        <w:t>German Studies Review</w:t>
      </w:r>
      <w:r w:rsidRPr="00F308AB">
        <w:rPr>
          <w:rFonts w:ascii="Calibri" w:eastAsia="Times New Roman" w:hAnsi="Calibri" w:cs="Calibri"/>
          <w:kern w:val="0"/>
          <w:sz w:val="24"/>
          <w:szCs w:val="24"/>
          <w:lang w:eastAsia="en-GB"/>
          <w14:ligatures w14:val="none"/>
        </w:rPr>
        <w:t>, </w:t>
      </w:r>
      <w:r w:rsidRPr="00F308AB">
        <w:rPr>
          <w:rFonts w:ascii="Calibri" w:eastAsia="Times New Roman" w:hAnsi="Calibri" w:cs="Calibri"/>
          <w:i/>
          <w:iCs/>
          <w:kern w:val="0"/>
          <w:sz w:val="24"/>
          <w:szCs w:val="24"/>
          <w:lang w:eastAsia="en-GB"/>
          <w14:ligatures w14:val="none"/>
        </w:rPr>
        <w:t>17</w:t>
      </w:r>
      <w:r w:rsidRPr="00F308AB">
        <w:rPr>
          <w:rFonts w:ascii="Calibri" w:eastAsia="Times New Roman" w:hAnsi="Calibri" w:cs="Calibri"/>
          <w:kern w:val="0"/>
          <w:sz w:val="24"/>
          <w:szCs w:val="24"/>
          <w:lang w:eastAsia="en-GB"/>
          <w14:ligatures w14:val="none"/>
        </w:rPr>
        <w:t xml:space="preserve">(3), pp. 495–507. Available at: </w:t>
      </w:r>
      <w:hyperlink r:id="rId38" w:history="1">
        <w:r w:rsidRPr="00F308AB">
          <w:rPr>
            <w:rStyle w:val="Hyperlink"/>
            <w:rFonts w:ascii="Calibri" w:eastAsia="Times New Roman" w:hAnsi="Calibri" w:cs="Calibri"/>
            <w:kern w:val="0"/>
            <w:sz w:val="24"/>
            <w:szCs w:val="24"/>
            <w:lang w:eastAsia="en-GB"/>
            <w14:ligatures w14:val="none"/>
          </w:rPr>
          <w:t>https://doi.org/10.2307/1431896</w:t>
        </w:r>
      </w:hyperlink>
    </w:p>
    <w:p w14:paraId="6D6FC72C" w14:textId="77777777" w:rsidR="00F308AB" w:rsidRPr="00F308AB" w:rsidRDefault="00F308AB" w:rsidP="00377C6C">
      <w:pPr>
        <w:spacing w:after="0" w:line="240" w:lineRule="auto"/>
        <w:rPr>
          <w:rStyle w:val="Hyperlink"/>
          <w:rFonts w:ascii="Calibri" w:eastAsia="Times New Roman" w:hAnsi="Calibri" w:cs="Calibri"/>
          <w:kern w:val="0"/>
          <w:sz w:val="24"/>
          <w:szCs w:val="24"/>
          <w:lang w:eastAsia="en-GB"/>
          <w14:ligatures w14:val="none"/>
        </w:rPr>
      </w:pPr>
    </w:p>
    <w:p w14:paraId="7820ED71" w14:textId="77777777" w:rsidR="00F308AB" w:rsidRPr="00F308AB" w:rsidRDefault="00F308AB" w:rsidP="00377C6C">
      <w:pPr>
        <w:spacing w:after="0" w:line="240" w:lineRule="auto"/>
        <w:rPr>
          <w:rFonts w:ascii="Calibri" w:hAnsi="Calibri" w:cs="Calibri"/>
          <w:sz w:val="24"/>
          <w:szCs w:val="24"/>
        </w:rPr>
      </w:pPr>
      <w:r w:rsidRPr="00F308AB">
        <w:rPr>
          <w:rFonts w:ascii="Calibri" w:eastAsia="Times New Roman" w:hAnsi="Calibri" w:cs="Calibri"/>
          <w:kern w:val="0"/>
          <w:sz w:val="24"/>
          <w:szCs w:val="24"/>
          <w:lang w:eastAsia="en-GB"/>
          <w14:ligatures w14:val="none"/>
        </w:rPr>
        <w:t>Fritzsche, P. (2013) ‘Comment: Making Perpetrators’, </w:t>
      </w:r>
      <w:r w:rsidRPr="00F308AB">
        <w:rPr>
          <w:rFonts w:ascii="Calibri" w:eastAsia="Times New Roman" w:hAnsi="Calibri" w:cs="Calibri"/>
          <w:i/>
          <w:iCs/>
          <w:kern w:val="0"/>
          <w:sz w:val="24"/>
          <w:szCs w:val="24"/>
          <w:lang w:eastAsia="en-GB"/>
          <w14:ligatures w14:val="none"/>
        </w:rPr>
        <w:t>Slavic Review</w:t>
      </w:r>
      <w:r w:rsidRPr="00F308AB">
        <w:rPr>
          <w:rFonts w:ascii="Calibri" w:eastAsia="Times New Roman" w:hAnsi="Calibri" w:cs="Calibri"/>
          <w:kern w:val="0"/>
          <w:sz w:val="24"/>
          <w:szCs w:val="24"/>
          <w:lang w:eastAsia="en-GB"/>
          <w14:ligatures w14:val="none"/>
        </w:rPr>
        <w:t xml:space="preserve">, 72(1), pp. 28–31. Available at: </w:t>
      </w:r>
      <w:hyperlink r:id="rId39" w:history="1">
        <w:r w:rsidRPr="00F308AB">
          <w:rPr>
            <w:rStyle w:val="Hyperlink"/>
            <w:rFonts w:ascii="Calibri" w:eastAsia="Times New Roman" w:hAnsi="Calibri" w:cs="Calibri"/>
            <w:kern w:val="0"/>
            <w:sz w:val="24"/>
            <w:szCs w:val="24"/>
            <w:lang w:eastAsia="en-GB"/>
            <w14:ligatures w14:val="none"/>
          </w:rPr>
          <w:t>https://doi.org/10.5612/slavicreview.72.1.0028</w:t>
        </w:r>
      </w:hyperlink>
    </w:p>
    <w:p w14:paraId="4451071E" w14:textId="77777777" w:rsidR="00F308AB" w:rsidRPr="00F308AB" w:rsidRDefault="00F308AB" w:rsidP="00377C6C">
      <w:pPr>
        <w:spacing w:after="0" w:line="240" w:lineRule="auto"/>
        <w:rPr>
          <w:rFonts w:ascii="Calibri" w:hAnsi="Calibri" w:cs="Calibri"/>
          <w:sz w:val="24"/>
          <w:szCs w:val="24"/>
        </w:rPr>
      </w:pPr>
    </w:p>
    <w:p w14:paraId="22420483" w14:textId="77777777" w:rsidR="00F308AB" w:rsidRDefault="00F308AB" w:rsidP="00102605">
      <w:pPr>
        <w:spacing w:after="0" w:line="240" w:lineRule="auto"/>
        <w:rPr>
          <w:rFonts w:ascii="Calibri" w:hAnsi="Calibri" w:cs="Calibri"/>
          <w:sz w:val="24"/>
          <w:szCs w:val="24"/>
        </w:rPr>
      </w:pPr>
      <w:r w:rsidRPr="00F308AB">
        <w:rPr>
          <w:rFonts w:ascii="Calibri" w:eastAsia="Times New Roman" w:hAnsi="Calibri" w:cs="Calibri"/>
          <w:kern w:val="0"/>
          <w:sz w:val="24"/>
          <w:szCs w:val="24"/>
          <w:lang w:eastAsia="en-GB"/>
          <w14:ligatures w14:val="none"/>
        </w:rPr>
        <w:t>Garber, Z. and Zuckerman, B. (1989) ‘Why Do We Call the Holocaust “The Holocaust?” An Inquiry into the Psychology of Labels’, </w:t>
      </w:r>
      <w:r w:rsidRPr="00F308AB">
        <w:rPr>
          <w:rFonts w:ascii="Calibri" w:eastAsia="Times New Roman" w:hAnsi="Calibri" w:cs="Calibri"/>
          <w:i/>
          <w:iCs/>
          <w:kern w:val="0"/>
          <w:sz w:val="24"/>
          <w:szCs w:val="24"/>
          <w:lang w:eastAsia="en-GB"/>
          <w14:ligatures w14:val="none"/>
        </w:rPr>
        <w:t>Modern Judaism</w:t>
      </w:r>
      <w:r w:rsidRPr="00F308AB">
        <w:rPr>
          <w:rFonts w:ascii="Calibri" w:eastAsia="Times New Roman" w:hAnsi="Calibri" w:cs="Calibri"/>
          <w:kern w:val="0"/>
          <w:sz w:val="24"/>
          <w:szCs w:val="24"/>
          <w:lang w:eastAsia="en-GB"/>
          <w14:ligatures w14:val="none"/>
        </w:rPr>
        <w:t>, </w:t>
      </w:r>
      <w:r w:rsidRPr="00F308AB">
        <w:rPr>
          <w:rFonts w:ascii="Calibri" w:eastAsia="Times New Roman" w:hAnsi="Calibri" w:cs="Calibri"/>
          <w:i/>
          <w:iCs/>
          <w:kern w:val="0"/>
          <w:sz w:val="24"/>
          <w:szCs w:val="24"/>
          <w:lang w:eastAsia="en-GB"/>
          <w14:ligatures w14:val="none"/>
        </w:rPr>
        <w:t>9</w:t>
      </w:r>
      <w:r w:rsidRPr="00F308AB">
        <w:rPr>
          <w:rFonts w:ascii="Calibri" w:eastAsia="Times New Roman" w:hAnsi="Calibri" w:cs="Calibri"/>
          <w:kern w:val="0"/>
          <w:sz w:val="24"/>
          <w:szCs w:val="24"/>
          <w:lang w:eastAsia="en-GB"/>
          <w14:ligatures w14:val="none"/>
        </w:rPr>
        <w:t xml:space="preserve">(2), pp. 197–211. Available at: </w:t>
      </w:r>
      <w:hyperlink r:id="rId40" w:history="1">
        <w:r w:rsidRPr="00F308AB">
          <w:rPr>
            <w:rStyle w:val="Hyperlink"/>
            <w:rFonts w:ascii="Calibri" w:eastAsia="Times New Roman" w:hAnsi="Calibri" w:cs="Calibri"/>
            <w:color w:val="auto"/>
            <w:kern w:val="0"/>
            <w:sz w:val="24"/>
            <w:szCs w:val="24"/>
            <w:u w:val="none"/>
            <w:lang w:eastAsia="en-GB"/>
            <w14:ligatures w14:val="none"/>
          </w:rPr>
          <w:t>https://doi.org/10.1093/mj/9.2.197</w:t>
        </w:r>
      </w:hyperlink>
    </w:p>
    <w:p w14:paraId="4115D701" w14:textId="77777777" w:rsidR="00F308AB" w:rsidRPr="00F308AB" w:rsidRDefault="00F308AB" w:rsidP="00102605">
      <w:pPr>
        <w:spacing w:after="0" w:line="240" w:lineRule="auto"/>
        <w:rPr>
          <w:rFonts w:ascii="Calibri" w:eastAsia="Times New Roman" w:hAnsi="Calibri" w:cs="Calibri"/>
          <w:kern w:val="0"/>
          <w:sz w:val="24"/>
          <w:szCs w:val="24"/>
          <w:lang w:eastAsia="en-GB"/>
          <w14:ligatures w14:val="none"/>
        </w:rPr>
      </w:pPr>
    </w:p>
    <w:p w14:paraId="61915EB5" w14:textId="5269B800" w:rsidR="00F308AB" w:rsidRPr="00F308AB" w:rsidRDefault="00F308AB" w:rsidP="00377C6C">
      <w:pPr>
        <w:rPr>
          <w:rStyle w:val="Hyperlink"/>
          <w:rFonts w:ascii="Calibri" w:hAnsi="Calibri" w:cs="Calibri"/>
          <w:sz w:val="24"/>
          <w:szCs w:val="24"/>
        </w:rPr>
      </w:pPr>
      <w:r w:rsidRPr="00F308AB">
        <w:rPr>
          <w:rFonts w:ascii="Calibri" w:hAnsi="Calibri" w:cs="Calibri"/>
          <w:sz w:val="24"/>
          <w:szCs w:val="24"/>
        </w:rPr>
        <w:lastRenderedPageBreak/>
        <w:t>Gerlach, C. (1998) ‘The Wannsee Conference, the Fate of German Jews, and Hitler’s Decision in Principle to Exterminate All European Jews’, </w:t>
      </w:r>
      <w:r w:rsidRPr="00F308AB">
        <w:rPr>
          <w:rFonts w:ascii="Calibri" w:hAnsi="Calibri" w:cs="Calibri"/>
          <w:i/>
          <w:iCs/>
          <w:sz w:val="24"/>
          <w:szCs w:val="24"/>
        </w:rPr>
        <w:t>The Journal of Modern History</w:t>
      </w:r>
      <w:r w:rsidRPr="00F308AB">
        <w:rPr>
          <w:rFonts w:ascii="Calibri" w:hAnsi="Calibri" w:cs="Calibri"/>
          <w:sz w:val="24"/>
          <w:szCs w:val="24"/>
        </w:rPr>
        <w:t xml:space="preserve">, 70(4), pp. 759–812. Available at: </w:t>
      </w:r>
      <w:hyperlink r:id="rId41" w:history="1">
        <w:r w:rsidRPr="00F308AB">
          <w:rPr>
            <w:rStyle w:val="Hyperlink"/>
            <w:rFonts w:ascii="Calibri" w:hAnsi="Calibri" w:cs="Calibri"/>
            <w:sz w:val="24"/>
            <w:szCs w:val="24"/>
          </w:rPr>
          <w:t>https://doi.org/10.1086/235167</w:t>
        </w:r>
      </w:hyperlink>
    </w:p>
    <w:p w14:paraId="20EB34BA" w14:textId="0EF775C5" w:rsidR="00F308AB" w:rsidRPr="00F308AB" w:rsidRDefault="00F308AB" w:rsidP="00377C6C">
      <w:pPr>
        <w:rPr>
          <w:rFonts w:ascii="Calibri" w:hAnsi="Calibri" w:cs="Calibri"/>
          <w:sz w:val="24"/>
          <w:szCs w:val="24"/>
        </w:rPr>
      </w:pPr>
      <w:r w:rsidRPr="00F308AB">
        <w:rPr>
          <w:rFonts w:ascii="Calibri" w:hAnsi="Calibri" w:cs="Calibri"/>
          <w:sz w:val="24"/>
          <w:szCs w:val="24"/>
        </w:rPr>
        <w:t>Getty Images</w:t>
      </w:r>
      <w:r w:rsidR="00D009B1">
        <w:rPr>
          <w:rFonts w:ascii="Calibri" w:hAnsi="Calibri" w:cs="Calibri"/>
          <w:sz w:val="24"/>
          <w:szCs w:val="24"/>
        </w:rPr>
        <w:t xml:space="preserve"> </w:t>
      </w:r>
      <w:r w:rsidRPr="00F308AB">
        <w:rPr>
          <w:rFonts w:ascii="Calibri" w:hAnsi="Calibri" w:cs="Calibri"/>
          <w:sz w:val="24"/>
          <w:szCs w:val="24"/>
        </w:rPr>
        <w:t xml:space="preserve">(2023) </w:t>
      </w:r>
      <w:r w:rsidRPr="00F308AB">
        <w:rPr>
          <w:rFonts w:ascii="Calibri" w:hAnsi="Calibri" w:cs="Calibri"/>
          <w:i/>
          <w:iCs/>
          <w:sz w:val="24"/>
          <w:szCs w:val="24"/>
        </w:rPr>
        <w:t>Kristallnacht, 85 years ago, marks the point Hitler moved from an emotional antisemitism to a systematic antisemitism of laws and government violence.</w:t>
      </w:r>
      <w:r w:rsidRPr="00F308AB">
        <w:rPr>
          <w:rFonts w:ascii="Calibri" w:hAnsi="Calibri" w:cs="Calibri"/>
          <w:sz w:val="24"/>
          <w:szCs w:val="24"/>
        </w:rPr>
        <w:t xml:space="preserve"> Available at: </w:t>
      </w:r>
      <w:hyperlink r:id="rId42" w:history="1">
        <w:r w:rsidRPr="00F308AB">
          <w:rPr>
            <w:rStyle w:val="Hyperlink"/>
            <w:rFonts w:ascii="Calibri" w:hAnsi="Calibri" w:cs="Calibri"/>
            <w:sz w:val="24"/>
            <w:szCs w:val="24"/>
          </w:rPr>
          <w:t>https://theconversation.com/kristallnacht-85-years-ago-marks-the-point-hitler-moved-from-an-emotional-antisemitism-to-a-systematic-antisemitism-of-laws-and-government-violence-213327</w:t>
        </w:r>
      </w:hyperlink>
      <w:r w:rsidRPr="00F308AB">
        <w:rPr>
          <w:rFonts w:ascii="Calibri" w:hAnsi="Calibri" w:cs="Calibri"/>
          <w:sz w:val="24"/>
          <w:szCs w:val="24"/>
        </w:rPr>
        <w:t xml:space="preserve"> (Accessed: 7 January 2025).</w:t>
      </w:r>
    </w:p>
    <w:p w14:paraId="7A52776B"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Hagen, W.W. (1996) ‘Before the “Final Solution”: Toward a Comparative Analysis of Political Anti-Semitism in Interwar Germany and Poland’, </w:t>
      </w:r>
      <w:r w:rsidRPr="00F308AB">
        <w:rPr>
          <w:rFonts w:ascii="Calibri" w:hAnsi="Calibri" w:cs="Calibri"/>
          <w:i/>
          <w:iCs/>
          <w:sz w:val="24"/>
          <w:szCs w:val="24"/>
        </w:rPr>
        <w:t>The Journal of Modern History</w:t>
      </w:r>
      <w:r w:rsidRPr="00F308AB">
        <w:rPr>
          <w:rFonts w:ascii="Calibri" w:hAnsi="Calibri" w:cs="Calibri"/>
          <w:sz w:val="24"/>
          <w:szCs w:val="24"/>
        </w:rPr>
        <w:t xml:space="preserve">, 68(2), pp. 351–381. Available at: </w:t>
      </w:r>
      <w:hyperlink r:id="rId43" w:history="1">
        <w:r w:rsidRPr="00F308AB">
          <w:rPr>
            <w:rStyle w:val="Hyperlink"/>
            <w:rFonts w:ascii="Calibri" w:hAnsi="Calibri" w:cs="Calibri"/>
            <w:sz w:val="24"/>
            <w:szCs w:val="24"/>
          </w:rPr>
          <w:t>http://www.jstor.org/stable/2124667</w:t>
        </w:r>
      </w:hyperlink>
      <w:r w:rsidRPr="00F308AB">
        <w:rPr>
          <w:rFonts w:ascii="Calibri" w:hAnsi="Calibri" w:cs="Calibri"/>
          <w:sz w:val="24"/>
          <w:szCs w:val="24"/>
        </w:rPr>
        <w:t xml:space="preserve"> (Accessed: 31 December 2024).</w:t>
      </w:r>
    </w:p>
    <w:p w14:paraId="48BC3862" w14:textId="77777777" w:rsidR="00F308AB" w:rsidRPr="00F308AB" w:rsidRDefault="00F308AB" w:rsidP="00377C6C">
      <w:pPr>
        <w:spacing w:after="0" w:line="240" w:lineRule="auto"/>
        <w:rPr>
          <w:rFonts w:ascii="Calibri" w:hAnsi="Calibri" w:cs="Calibri"/>
          <w:sz w:val="24"/>
          <w:szCs w:val="24"/>
        </w:rPr>
      </w:pPr>
      <w:r w:rsidRPr="00F308AB">
        <w:rPr>
          <w:rFonts w:ascii="Calibri" w:eastAsia="Times New Roman" w:hAnsi="Calibri" w:cs="Calibri"/>
          <w:kern w:val="0"/>
          <w:sz w:val="24"/>
          <w:szCs w:val="24"/>
          <w:lang w:eastAsia="en-GB"/>
          <w14:ligatures w14:val="none"/>
        </w:rPr>
        <w:t xml:space="preserve">Hatheway, J. (1994) ‘The Pre-1920 Origins of the National Socialist German Workers’ Party’, </w:t>
      </w:r>
      <w:r w:rsidRPr="00F308AB">
        <w:rPr>
          <w:rFonts w:ascii="Calibri" w:eastAsia="Times New Roman" w:hAnsi="Calibri" w:cs="Calibri"/>
          <w:i/>
          <w:iCs/>
          <w:kern w:val="0"/>
          <w:sz w:val="24"/>
          <w:szCs w:val="24"/>
          <w:lang w:eastAsia="en-GB"/>
          <w14:ligatures w14:val="none"/>
        </w:rPr>
        <w:t>Journal of Contemporary History</w:t>
      </w:r>
      <w:r w:rsidRPr="00F308AB">
        <w:rPr>
          <w:rFonts w:ascii="Calibri" w:eastAsia="Times New Roman" w:hAnsi="Calibri" w:cs="Calibri"/>
          <w:kern w:val="0"/>
          <w:sz w:val="24"/>
          <w:szCs w:val="24"/>
          <w:lang w:eastAsia="en-GB"/>
          <w14:ligatures w14:val="none"/>
        </w:rPr>
        <w:t xml:space="preserve">, 29(3), pp. 443–462. Available at: </w:t>
      </w:r>
      <w:hyperlink r:id="rId44" w:history="1">
        <w:r w:rsidRPr="00F308AB">
          <w:rPr>
            <w:rStyle w:val="Hyperlink"/>
            <w:rFonts w:ascii="Calibri" w:eastAsia="Times New Roman" w:hAnsi="Calibri" w:cs="Calibri"/>
            <w:kern w:val="0"/>
            <w:sz w:val="24"/>
            <w:szCs w:val="24"/>
            <w:lang w:eastAsia="en-GB"/>
            <w14:ligatures w14:val="none"/>
          </w:rPr>
          <w:t>https://doi.org/10.1177/002200949402900304</w:t>
        </w:r>
      </w:hyperlink>
    </w:p>
    <w:p w14:paraId="31D12106" w14:textId="77777777" w:rsidR="00F308AB" w:rsidRPr="00F308AB" w:rsidRDefault="00F308AB" w:rsidP="00377C6C">
      <w:pPr>
        <w:spacing w:after="0" w:line="240" w:lineRule="auto"/>
        <w:rPr>
          <w:rStyle w:val="Hyperlink"/>
          <w:rFonts w:ascii="Calibri" w:eastAsia="Times New Roman" w:hAnsi="Calibri" w:cs="Calibri"/>
          <w:kern w:val="0"/>
          <w:sz w:val="24"/>
          <w:szCs w:val="24"/>
          <w:lang w:eastAsia="en-GB"/>
          <w14:ligatures w14:val="none"/>
        </w:rPr>
      </w:pPr>
    </w:p>
    <w:p w14:paraId="77CBF2D2"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Hayes, P. (2003) ‘Auschwitz, Capital of the Holocaust’, </w:t>
      </w:r>
      <w:r w:rsidRPr="00F308AB">
        <w:rPr>
          <w:rFonts w:ascii="Calibri" w:hAnsi="Calibri" w:cs="Calibri"/>
          <w:i/>
          <w:iCs/>
          <w:sz w:val="24"/>
          <w:szCs w:val="24"/>
        </w:rPr>
        <w:t>Holocaust and Genocide Studies</w:t>
      </w:r>
      <w:r w:rsidRPr="00F308AB">
        <w:rPr>
          <w:rFonts w:ascii="Calibri" w:hAnsi="Calibri" w:cs="Calibri"/>
          <w:sz w:val="24"/>
          <w:szCs w:val="24"/>
        </w:rPr>
        <w:t xml:space="preserve">, 17(2), pp. 330–350. Available at: </w:t>
      </w:r>
      <w:hyperlink r:id="rId45" w:history="1">
        <w:r w:rsidRPr="00F308AB">
          <w:rPr>
            <w:rStyle w:val="Hyperlink"/>
            <w:rFonts w:ascii="Calibri" w:hAnsi="Calibri" w:cs="Calibri"/>
            <w:sz w:val="24"/>
            <w:szCs w:val="24"/>
          </w:rPr>
          <w:t>https://doi.org/10.1093/hgs/dcg005</w:t>
        </w:r>
      </w:hyperlink>
    </w:p>
    <w:p w14:paraId="662F5FB8" w14:textId="77777777" w:rsidR="00F308AB" w:rsidRPr="00F308AB" w:rsidRDefault="00F308AB" w:rsidP="00377C6C">
      <w:pPr>
        <w:rPr>
          <w:rStyle w:val="Hyperlink"/>
          <w:rFonts w:ascii="Calibri" w:hAnsi="Calibri" w:cs="Calibri"/>
          <w:color w:val="auto"/>
          <w:sz w:val="24"/>
          <w:szCs w:val="24"/>
          <w:u w:val="none"/>
        </w:rPr>
      </w:pPr>
      <w:r w:rsidRPr="00F308AB">
        <w:rPr>
          <w:rStyle w:val="Hyperlink"/>
          <w:rFonts w:ascii="Calibri" w:hAnsi="Calibri" w:cs="Calibri"/>
          <w:color w:val="auto"/>
          <w:sz w:val="24"/>
          <w:szCs w:val="24"/>
          <w:u w:val="none"/>
        </w:rPr>
        <w:t xml:space="preserve">Himmler, H. (1943) </w:t>
      </w:r>
      <w:r w:rsidRPr="00F308AB">
        <w:rPr>
          <w:rStyle w:val="Hyperlink"/>
          <w:rFonts w:ascii="Calibri" w:hAnsi="Calibri" w:cs="Calibri"/>
          <w:i/>
          <w:iCs/>
          <w:color w:val="auto"/>
          <w:sz w:val="24"/>
          <w:szCs w:val="24"/>
          <w:u w:val="none"/>
        </w:rPr>
        <w:t>Extracts from speeches concerning the SS and the conduct of the war.</w:t>
      </w:r>
      <w:r w:rsidRPr="00F308AB">
        <w:rPr>
          <w:rStyle w:val="Hyperlink"/>
          <w:rFonts w:ascii="Calibri" w:hAnsi="Calibri" w:cs="Calibri"/>
          <w:color w:val="auto"/>
          <w:sz w:val="24"/>
          <w:szCs w:val="24"/>
          <w:u w:val="none"/>
        </w:rPr>
        <w:t xml:space="preserve"> Available at: </w:t>
      </w:r>
      <w:hyperlink r:id="rId46" w:history="1">
        <w:r w:rsidRPr="00F308AB">
          <w:rPr>
            <w:rStyle w:val="Hyperlink"/>
            <w:rFonts w:ascii="Calibri" w:hAnsi="Calibri" w:cs="Calibri"/>
            <w:color w:val="auto"/>
            <w:sz w:val="24"/>
            <w:szCs w:val="24"/>
            <w:u w:val="none"/>
          </w:rPr>
          <w:t>https://nuremberg.law.harvard.edu/documents/2974-extracts-from-speeches-concerning?q=ps-1919</w:t>
        </w:r>
      </w:hyperlink>
      <w:r w:rsidRPr="00F308AB">
        <w:rPr>
          <w:rStyle w:val="Hyperlink"/>
          <w:rFonts w:ascii="Calibri" w:hAnsi="Calibri" w:cs="Calibri"/>
          <w:color w:val="auto"/>
          <w:sz w:val="24"/>
          <w:szCs w:val="24"/>
          <w:u w:val="none"/>
        </w:rPr>
        <w:t xml:space="preserve"> (Accessed: 4 January 2025).</w:t>
      </w:r>
    </w:p>
    <w:p w14:paraId="4277F261" w14:textId="77777777" w:rsidR="00F308AB" w:rsidRPr="00F308AB" w:rsidRDefault="00F308AB" w:rsidP="00377C6C">
      <w:pPr>
        <w:rPr>
          <w:rStyle w:val="Hyperlink"/>
          <w:rFonts w:ascii="Calibri" w:hAnsi="Calibri" w:cs="Calibri"/>
          <w:color w:val="auto"/>
          <w:sz w:val="24"/>
          <w:szCs w:val="24"/>
          <w:u w:val="none"/>
        </w:rPr>
      </w:pPr>
      <w:r w:rsidRPr="00F308AB">
        <w:rPr>
          <w:rFonts w:ascii="Calibri" w:hAnsi="Calibri" w:cs="Calibri"/>
          <w:sz w:val="24"/>
          <w:szCs w:val="24"/>
        </w:rPr>
        <w:t xml:space="preserve">IWM (2025) </w:t>
      </w:r>
      <w:r w:rsidRPr="00F308AB">
        <w:rPr>
          <w:rFonts w:ascii="Calibri" w:hAnsi="Calibri" w:cs="Calibri"/>
          <w:i/>
          <w:iCs/>
          <w:sz w:val="24"/>
          <w:szCs w:val="24"/>
        </w:rPr>
        <w:t>The Einsatzgruppen on the Eastern Front, 1941-1944.</w:t>
      </w:r>
      <w:r w:rsidRPr="00F308AB">
        <w:rPr>
          <w:rFonts w:ascii="Calibri" w:hAnsi="Calibri" w:cs="Calibri"/>
          <w:sz w:val="24"/>
          <w:szCs w:val="24"/>
        </w:rPr>
        <w:t xml:space="preserve"> Available at: </w:t>
      </w:r>
      <w:hyperlink r:id="rId47" w:history="1">
        <w:r w:rsidRPr="00F308AB">
          <w:rPr>
            <w:rStyle w:val="Hyperlink"/>
            <w:rFonts w:ascii="Calibri" w:hAnsi="Calibri" w:cs="Calibri"/>
            <w:sz w:val="24"/>
            <w:szCs w:val="24"/>
          </w:rPr>
          <w:t>https://www.iwm.org.uk/collections/item/object/205081019</w:t>
        </w:r>
      </w:hyperlink>
      <w:r w:rsidRPr="00F308AB">
        <w:rPr>
          <w:rFonts w:ascii="Calibri" w:hAnsi="Calibri" w:cs="Calibri"/>
          <w:sz w:val="24"/>
          <w:szCs w:val="24"/>
        </w:rPr>
        <w:t xml:space="preserve"> (Accessed: 7 January 2025).</w:t>
      </w:r>
    </w:p>
    <w:p w14:paraId="0E9A5998"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Kershaw, I. (1993) ‘“Working Towards the Führer.” Reflections on the Nature of the Hitler Dictatorship’, </w:t>
      </w:r>
      <w:r w:rsidRPr="00F308AB">
        <w:rPr>
          <w:rFonts w:ascii="Calibri" w:hAnsi="Calibri" w:cs="Calibri"/>
          <w:i/>
          <w:iCs/>
          <w:sz w:val="24"/>
          <w:szCs w:val="24"/>
        </w:rPr>
        <w:t>Contemporary European History</w:t>
      </w:r>
      <w:r w:rsidRPr="00F308AB">
        <w:rPr>
          <w:rFonts w:ascii="Calibri" w:hAnsi="Calibri" w:cs="Calibri"/>
          <w:sz w:val="24"/>
          <w:szCs w:val="24"/>
        </w:rPr>
        <w:t xml:space="preserve">, 2(2), pp. 103–118. Available at: </w:t>
      </w:r>
      <w:hyperlink r:id="rId48" w:history="1">
        <w:r w:rsidRPr="00F308AB">
          <w:rPr>
            <w:rStyle w:val="Hyperlink"/>
            <w:rFonts w:ascii="Calibri" w:hAnsi="Calibri" w:cs="Calibri"/>
            <w:sz w:val="24"/>
            <w:szCs w:val="24"/>
          </w:rPr>
          <w:t>https://doi.org/10.1017/S0960777300000382</w:t>
        </w:r>
      </w:hyperlink>
    </w:p>
    <w:p w14:paraId="526BD457"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 xml:space="preserve">Kershaw, I. (2004) ‘Hitler and the Uniqueness of Nazism’, </w:t>
      </w:r>
      <w:r w:rsidRPr="00F308AB">
        <w:rPr>
          <w:rFonts w:ascii="Calibri" w:hAnsi="Calibri" w:cs="Calibri"/>
          <w:i/>
          <w:iCs/>
          <w:sz w:val="24"/>
          <w:szCs w:val="24"/>
        </w:rPr>
        <w:t>Journal of Contemporary History</w:t>
      </w:r>
      <w:r w:rsidRPr="00F308AB">
        <w:rPr>
          <w:rFonts w:ascii="Calibri" w:hAnsi="Calibri" w:cs="Calibri"/>
          <w:sz w:val="24"/>
          <w:szCs w:val="24"/>
        </w:rPr>
        <w:t xml:space="preserve">, 39(2), pp. 239–254. Available at: </w:t>
      </w:r>
      <w:hyperlink r:id="rId49" w:history="1">
        <w:r w:rsidRPr="00F308AB">
          <w:rPr>
            <w:rStyle w:val="Hyperlink"/>
            <w:rFonts w:ascii="Calibri" w:hAnsi="Calibri" w:cs="Calibri"/>
            <w:sz w:val="24"/>
            <w:szCs w:val="24"/>
          </w:rPr>
          <w:t>http://www.jstor.org/stable/3180723</w:t>
        </w:r>
      </w:hyperlink>
      <w:r w:rsidRPr="00F308AB">
        <w:rPr>
          <w:rFonts w:ascii="Calibri" w:hAnsi="Calibri" w:cs="Calibri"/>
          <w:sz w:val="24"/>
          <w:szCs w:val="24"/>
        </w:rPr>
        <w:t xml:space="preserve"> (Accessed: 5 January 2025).</w:t>
      </w:r>
    </w:p>
    <w:p w14:paraId="0DBDE952"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 xml:space="preserve">Krausnick, H. </w:t>
      </w:r>
      <w:r w:rsidRPr="00F308AB">
        <w:rPr>
          <w:rFonts w:ascii="Calibri" w:hAnsi="Calibri" w:cs="Calibri"/>
          <w:i/>
          <w:iCs/>
          <w:sz w:val="24"/>
          <w:szCs w:val="24"/>
        </w:rPr>
        <w:t>et al.</w:t>
      </w:r>
      <w:r w:rsidRPr="00F308AB">
        <w:rPr>
          <w:rFonts w:ascii="Calibri" w:hAnsi="Calibri" w:cs="Calibri"/>
          <w:sz w:val="24"/>
          <w:szCs w:val="24"/>
        </w:rPr>
        <w:t xml:space="preserve"> (1965) </w:t>
      </w:r>
      <w:r w:rsidRPr="00F308AB">
        <w:rPr>
          <w:rFonts w:ascii="Calibri" w:hAnsi="Calibri" w:cs="Calibri"/>
          <w:i/>
          <w:iCs/>
          <w:sz w:val="24"/>
          <w:szCs w:val="24"/>
        </w:rPr>
        <w:t>Anatomy of the SS State.</w:t>
      </w:r>
      <w:r w:rsidRPr="00F308AB">
        <w:rPr>
          <w:rFonts w:ascii="Calibri" w:hAnsi="Calibri" w:cs="Calibri"/>
          <w:sz w:val="24"/>
          <w:szCs w:val="24"/>
        </w:rPr>
        <w:t xml:space="preserve"> Available at: </w:t>
      </w:r>
      <w:hyperlink r:id="rId50" w:history="1">
        <w:r w:rsidRPr="00F308AB">
          <w:rPr>
            <w:rStyle w:val="Hyperlink"/>
            <w:rFonts w:ascii="Calibri" w:hAnsi="Calibri" w:cs="Calibri"/>
            <w:sz w:val="24"/>
            <w:szCs w:val="24"/>
          </w:rPr>
          <w:t>https://archive.org/details/anatomyofssstate0000helm/page/n7/mode/2up</w:t>
        </w:r>
      </w:hyperlink>
      <w:r w:rsidRPr="00F308AB">
        <w:rPr>
          <w:rFonts w:ascii="Calibri" w:hAnsi="Calibri" w:cs="Calibri"/>
          <w:sz w:val="24"/>
          <w:szCs w:val="24"/>
        </w:rPr>
        <w:t xml:space="preserve"> (Accessed: 31 December 2024).</w:t>
      </w:r>
    </w:p>
    <w:p w14:paraId="49ACAEDA"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Kucia, M. (2019) ‘The meanings of Auschwitz in Poland, 1945 to the present’, </w:t>
      </w:r>
      <w:r w:rsidRPr="00F308AB">
        <w:rPr>
          <w:rFonts w:ascii="Calibri" w:hAnsi="Calibri" w:cs="Calibri"/>
          <w:i/>
          <w:iCs/>
          <w:sz w:val="24"/>
          <w:szCs w:val="24"/>
        </w:rPr>
        <w:t>Holocaust Studies</w:t>
      </w:r>
      <w:r w:rsidRPr="00F308AB">
        <w:rPr>
          <w:rFonts w:ascii="Calibri" w:hAnsi="Calibri" w:cs="Calibri"/>
          <w:sz w:val="24"/>
          <w:szCs w:val="24"/>
        </w:rPr>
        <w:t xml:space="preserve">, 25(3), pp. 220–247. Available at: </w:t>
      </w:r>
      <w:hyperlink r:id="rId51" w:history="1">
        <w:r w:rsidRPr="00F308AB">
          <w:rPr>
            <w:rStyle w:val="Hyperlink"/>
            <w:rFonts w:ascii="Calibri" w:hAnsi="Calibri" w:cs="Calibri"/>
            <w:sz w:val="24"/>
            <w:szCs w:val="24"/>
          </w:rPr>
          <w:t>https://doi.org/10.1080/17504902.2019.1567658</w:t>
        </w:r>
      </w:hyperlink>
    </w:p>
    <w:p w14:paraId="00BCC6A7"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 xml:space="preserve">Kurlander, E. (2023) ‘Prelude to Genocide or Late-Stage “Territorialism”? The Nazi “Madagascar Plan” in Comparative and Colonial Context, 1936–1940’, </w:t>
      </w:r>
      <w:r w:rsidRPr="00F308AB">
        <w:rPr>
          <w:rFonts w:ascii="Calibri" w:hAnsi="Calibri" w:cs="Calibri"/>
          <w:i/>
          <w:iCs/>
          <w:sz w:val="24"/>
          <w:szCs w:val="24"/>
        </w:rPr>
        <w:t>Journal of Genocide Research,</w:t>
      </w:r>
      <w:r w:rsidRPr="00F308AB">
        <w:rPr>
          <w:rFonts w:ascii="Calibri" w:hAnsi="Calibri" w:cs="Calibri"/>
          <w:sz w:val="24"/>
          <w:szCs w:val="24"/>
        </w:rPr>
        <w:t xml:space="preserve"> pp. 1-26. Available at: </w:t>
      </w:r>
      <w:hyperlink r:id="rId52" w:history="1">
        <w:r w:rsidRPr="00F308AB">
          <w:rPr>
            <w:rStyle w:val="Hyperlink"/>
            <w:rFonts w:ascii="Calibri" w:hAnsi="Calibri" w:cs="Calibri"/>
            <w:sz w:val="24"/>
            <w:szCs w:val="24"/>
          </w:rPr>
          <w:t>https://doi.org/10.1080/14623528.2023.2283947</w:t>
        </w:r>
      </w:hyperlink>
    </w:p>
    <w:p w14:paraId="651DA5E5"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Landau, R.S. (1998) </w:t>
      </w:r>
      <w:r w:rsidRPr="00F308AB">
        <w:rPr>
          <w:rFonts w:ascii="Calibri" w:hAnsi="Calibri" w:cs="Calibri"/>
          <w:i/>
          <w:iCs/>
          <w:sz w:val="24"/>
          <w:szCs w:val="24"/>
        </w:rPr>
        <w:t>Studying the Holocaust : issues, readings and documents.</w:t>
      </w:r>
      <w:r w:rsidRPr="00F308AB">
        <w:rPr>
          <w:rFonts w:ascii="Calibri" w:hAnsi="Calibri" w:cs="Calibri"/>
          <w:sz w:val="24"/>
          <w:szCs w:val="24"/>
        </w:rPr>
        <w:t> 1</w:t>
      </w:r>
      <w:r w:rsidRPr="00F308AB">
        <w:rPr>
          <w:rFonts w:ascii="Calibri" w:hAnsi="Calibri" w:cs="Calibri"/>
          <w:sz w:val="24"/>
          <w:szCs w:val="24"/>
          <w:vertAlign w:val="superscript"/>
        </w:rPr>
        <w:t>st</w:t>
      </w:r>
      <w:r w:rsidRPr="00F308AB">
        <w:rPr>
          <w:rFonts w:ascii="Calibri" w:hAnsi="Calibri" w:cs="Calibri"/>
          <w:sz w:val="24"/>
          <w:szCs w:val="24"/>
        </w:rPr>
        <w:t xml:space="preserve"> edn. London: Routledge.</w:t>
      </w:r>
    </w:p>
    <w:p w14:paraId="3D7228FF"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lastRenderedPageBreak/>
        <w:t>Loewenstein, K. (1936) ‘Law in the Third Reich’, </w:t>
      </w:r>
      <w:r w:rsidRPr="00F308AB">
        <w:rPr>
          <w:rFonts w:ascii="Calibri" w:hAnsi="Calibri" w:cs="Calibri"/>
          <w:i/>
          <w:iCs/>
          <w:sz w:val="24"/>
          <w:szCs w:val="24"/>
        </w:rPr>
        <w:t>The Yale Law Journal</w:t>
      </w:r>
      <w:r w:rsidRPr="00F308AB">
        <w:rPr>
          <w:rFonts w:ascii="Calibri" w:hAnsi="Calibri" w:cs="Calibri"/>
          <w:sz w:val="24"/>
          <w:szCs w:val="24"/>
        </w:rPr>
        <w:t xml:space="preserve">, 45(5), pp. 779–815. Available at: </w:t>
      </w:r>
      <w:hyperlink r:id="rId53" w:history="1">
        <w:r w:rsidRPr="00F308AB">
          <w:rPr>
            <w:rStyle w:val="Hyperlink"/>
            <w:rFonts w:ascii="Calibri" w:hAnsi="Calibri" w:cs="Calibri"/>
            <w:sz w:val="24"/>
            <w:szCs w:val="24"/>
          </w:rPr>
          <w:t>https://doi.org/10.2307/792109</w:t>
        </w:r>
      </w:hyperlink>
    </w:p>
    <w:p w14:paraId="5F9B85AB"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 xml:space="preserve">Madley, B. (2005) ‘From Africa to Auschwitz: How German </w:t>
      </w:r>
      <w:proofErr w:type="gramStart"/>
      <w:r w:rsidRPr="00F308AB">
        <w:rPr>
          <w:rFonts w:ascii="Calibri" w:hAnsi="Calibri" w:cs="Calibri"/>
          <w:sz w:val="24"/>
          <w:szCs w:val="24"/>
        </w:rPr>
        <w:t>South West</w:t>
      </w:r>
      <w:proofErr w:type="gramEnd"/>
      <w:r w:rsidRPr="00F308AB">
        <w:rPr>
          <w:rFonts w:ascii="Calibri" w:hAnsi="Calibri" w:cs="Calibri"/>
          <w:sz w:val="24"/>
          <w:szCs w:val="24"/>
        </w:rPr>
        <w:t xml:space="preserve"> Africa Incubated Ideas and Methods Adopted and Developed by the Nazis in Eastern Europe’, </w:t>
      </w:r>
      <w:r w:rsidRPr="00F308AB">
        <w:rPr>
          <w:rFonts w:ascii="Calibri" w:hAnsi="Calibri" w:cs="Calibri"/>
          <w:i/>
          <w:iCs/>
          <w:sz w:val="24"/>
          <w:szCs w:val="24"/>
        </w:rPr>
        <w:t>European History Quarterly</w:t>
      </w:r>
      <w:r w:rsidRPr="00F308AB">
        <w:rPr>
          <w:rFonts w:ascii="Calibri" w:hAnsi="Calibri" w:cs="Calibri"/>
          <w:sz w:val="24"/>
          <w:szCs w:val="24"/>
        </w:rPr>
        <w:t xml:space="preserve">, 35(3), pp. 429–464. Available at: </w:t>
      </w:r>
      <w:hyperlink r:id="rId54" w:history="1">
        <w:r w:rsidRPr="00F308AB">
          <w:rPr>
            <w:rStyle w:val="Hyperlink"/>
            <w:rFonts w:ascii="Calibri" w:hAnsi="Calibri" w:cs="Calibri"/>
            <w:sz w:val="24"/>
            <w:szCs w:val="24"/>
          </w:rPr>
          <w:t>https://doi.org/10.1177/0265691405054218</w:t>
        </w:r>
      </w:hyperlink>
    </w:p>
    <w:p w14:paraId="6C63D273" w14:textId="77777777" w:rsidR="00F308AB" w:rsidRPr="00F308AB" w:rsidRDefault="00F308AB" w:rsidP="00377C6C">
      <w:pPr>
        <w:rPr>
          <w:rFonts w:ascii="Calibri" w:hAnsi="Calibri" w:cs="Calibri"/>
          <w:sz w:val="24"/>
          <w:szCs w:val="24"/>
        </w:rPr>
      </w:pPr>
      <w:proofErr w:type="spellStart"/>
      <w:r w:rsidRPr="00F308AB">
        <w:rPr>
          <w:rFonts w:ascii="Calibri" w:hAnsi="Calibri" w:cs="Calibri"/>
          <w:sz w:val="24"/>
          <w:szCs w:val="24"/>
        </w:rPr>
        <w:t>Mamlak</w:t>
      </w:r>
      <w:proofErr w:type="spellEnd"/>
      <w:r w:rsidRPr="00F308AB">
        <w:rPr>
          <w:rFonts w:ascii="Calibri" w:hAnsi="Calibri" w:cs="Calibri"/>
          <w:sz w:val="24"/>
          <w:szCs w:val="24"/>
        </w:rPr>
        <w:t>, G. (1977) ‘The War against the Jews 1933-1945’, </w:t>
      </w:r>
      <w:r w:rsidRPr="00F308AB">
        <w:rPr>
          <w:rFonts w:ascii="Calibri" w:hAnsi="Calibri" w:cs="Calibri"/>
          <w:i/>
          <w:iCs/>
          <w:sz w:val="24"/>
          <w:szCs w:val="24"/>
        </w:rPr>
        <w:t>Tradition: A Journal of Orthodox Jewish Thought</w:t>
      </w:r>
      <w:r w:rsidRPr="00F308AB">
        <w:rPr>
          <w:rFonts w:ascii="Calibri" w:hAnsi="Calibri" w:cs="Calibri"/>
          <w:sz w:val="24"/>
          <w:szCs w:val="24"/>
        </w:rPr>
        <w:t xml:space="preserve">, 17(1), pp. 42–54. Available at: </w:t>
      </w:r>
      <w:hyperlink r:id="rId55" w:history="1">
        <w:r w:rsidRPr="00F308AB">
          <w:rPr>
            <w:rStyle w:val="Hyperlink"/>
            <w:rFonts w:ascii="Calibri" w:hAnsi="Calibri" w:cs="Calibri"/>
            <w:sz w:val="24"/>
            <w:szCs w:val="24"/>
          </w:rPr>
          <w:t>http://www.jstor.org/stable/23258750</w:t>
        </w:r>
      </w:hyperlink>
      <w:r w:rsidRPr="00F308AB">
        <w:rPr>
          <w:rFonts w:ascii="Calibri" w:hAnsi="Calibri" w:cs="Calibri"/>
          <w:sz w:val="24"/>
          <w:szCs w:val="24"/>
        </w:rPr>
        <w:t xml:space="preserve"> (Accessed: 31 December 2024).</w:t>
      </w:r>
    </w:p>
    <w:p w14:paraId="4C8D841B" w14:textId="77777777" w:rsidR="00F308AB" w:rsidRPr="00F308AB" w:rsidRDefault="00F308AB" w:rsidP="00377C6C">
      <w:pPr>
        <w:spacing w:after="0" w:line="240" w:lineRule="auto"/>
        <w:rPr>
          <w:rFonts w:ascii="Calibri" w:hAnsi="Calibri" w:cs="Calibri"/>
          <w:sz w:val="24"/>
          <w:szCs w:val="24"/>
        </w:rPr>
      </w:pPr>
      <w:r w:rsidRPr="00F308AB">
        <w:rPr>
          <w:rFonts w:ascii="Calibri" w:eastAsia="Times New Roman" w:hAnsi="Calibri" w:cs="Calibri"/>
          <w:kern w:val="0"/>
          <w:sz w:val="24"/>
          <w:szCs w:val="24"/>
          <w:lang w:eastAsia="en-GB"/>
          <w14:ligatures w14:val="none"/>
        </w:rPr>
        <w:t>Mann, M. (2000) ‘Were the Perpetrators of Genocide “Ordinary Men” or “Real Nazis”? Results from Fifteen Hundred Biographies’, </w:t>
      </w:r>
      <w:r w:rsidRPr="00F308AB">
        <w:rPr>
          <w:rFonts w:ascii="Calibri" w:eastAsia="Times New Roman" w:hAnsi="Calibri" w:cs="Calibri"/>
          <w:i/>
          <w:iCs/>
          <w:kern w:val="0"/>
          <w:sz w:val="24"/>
          <w:szCs w:val="24"/>
          <w:lang w:eastAsia="en-GB"/>
          <w14:ligatures w14:val="none"/>
        </w:rPr>
        <w:t>Holocaust and Genocide Studies</w:t>
      </w:r>
      <w:r w:rsidRPr="00F308AB">
        <w:rPr>
          <w:rFonts w:ascii="Calibri" w:eastAsia="Times New Roman" w:hAnsi="Calibri" w:cs="Calibri"/>
          <w:kern w:val="0"/>
          <w:sz w:val="24"/>
          <w:szCs w:val="24"/>
          <w:lang w:eastAsia="en-GB"/>
          <w14:ligatures w14:val="none"/>
        </w:rPr>
        <w:t xml:space="preserve">, 14(3), pp. 331–366. Available at: </w:t>
      </w:r>
      <w:hyperlink r:id="rId56" w:history="1">
        <w:r w:rsidRPr="00F308AB">
          <w:rPr>
            <w:rStyle w:val="Hyperlink"/>
            <w:rFonts w:ascii="Calibri" w:eastAsia="Times New Roman" w:hAnsi="Calibri" w:cs="Calibri"/>
            <w:kern w:val="0"/>
            <w:sz w:val="24"/>
            <w:szCs w:val="24"/>
            <w:lang w:eastAsia="en-GB"/>
            <w14:ligatures w14:val="none"/>
          </w:rPr>
          <w:t>https://doi.org/10.1093/hgs/14.3.331</w:t>
        </w:r>
      </w:hyperlink>
    </w:p>
    <w:p w14:paraId="197E4D1D" w14:textId="77777777" w:rsidR="00F308AB" w:rsidRPr="00F308AB" w:rsidRDefault="00F308AB" w:rsidP="00377C6C">
      <w:pPr>
        <w:spacing w:after="0" w:line="240" w:lineRule="auto"/>
        <w:rPr>
          <w:rFonts w:ascii="Calibri" w:eastAsia="Times New Roman" w:hAnsi="Calibri" w:cs="Calibri"/>
          <w:kern w:val="0"/>
          <w:sz w:val="24"/>
          <w:szCs w:val="24"/>
          <w:lang w:eastAsia="en-GB"/>
          <w14:ligatures w14:val="none"/>
        </w:rPr>
      </w:pPr>
    </w:p>
    <w:p w14:paraId="6C11E33C" w14:textId="77777777" w:rsidR="00F308AB" w:rsidRPr="00F308AB" w:rsidRDefault="00F308AB" w:rsidP="00377C6C">
      <w:pPr>
        <w:rPr>
          <w:rFonts w:ascii="Calibri" w:hAnsi="Calibri" w:cs="Calibri"/>
          <w:sz w:val="24"/>
          <w:szCs w:val="24"/>
        </w:rPr>
      </w:pPr>
      <w:proofErr w:type="spellStart"/>
      <w:r w:rsidRPr="00F308AB">
        <w:rPr>
          <w:rFonts w:ascii="Calibri" w:hAnsi="Calibri" w:cs="Calibri"/>
          <w:sz w:val="24"/>
          <w:szCs w:val="24"/>
        </w:rPr>
        <w:t>Marrus</w:t>
      </w:r>
      <w:proofErr w:type="spellEnd"/>
      <w:r w:rsidRPr="00F308AB">
        <w:rPr>
          <w:rFonts w:ascii="Calibri" w:hAnsi="Calibri" w:cs="Calibri"/>
          <w:sz w:val="24"/>
          <w:szCs w:val="24"/>
        </w:rPr>
        <w:t xml:space="preserve">, M. R. (1994) ‘Reflections on the Historiography of the Holocaust’, </w:t>
      </w:r>
      <w:r w:rsidRPr="00F308AB">
        <w:rPr>
          <w:rFonts w:ascii="Calibri" w:hAnsi="Calibri" w:cs="Calibri"/>
          <w:i/>
          <w:iCs/>
          <w:sz w:val="24"/>
          <w:szCs w:val="24"/>
        </w:rPr>
        <w:t>The Journal of Modern History</w:t>
      </w:r>
      <w:r w:rsidRPr="00F308AB">
        <w:rPr>
          <w:rFonts w:ascii="Calibri" w:hAnsi="Calibri" w:cs="Calibri"/>
          <w:sz w:val="24"/>
          <w:szCs w:val="24"/>
        </w:rPr>
        <w:t xml:space="preserve">, 66(1), pp. 92–116. Available at: </w:t>
      </w:r>
      <w:hyperlink r:id="rId57" w:history="1">
        <w:r w:rsidRPr="00F308AB">
          <w:rPr>
            <w:rStyle w:val="Hyperlink"/>
            <w:rFonts w:ascii="Calibri" w:hAnsi="Calibri" w:cs="Calibri"/>
            <w:sz w:val="24"/>
            <w:szCs w:val="24"/>
          </w:rPr>
          <w:t>http://www.jstor.org/stable/2124393</w:t>
        </w:r>
      </w:hyperlink>
      <w:r w:rsidRPr="00F308AB">
        <w:rPr>
          <w:rFonts w:ascii="Calibri" w:hAnsi="Calibri" w:cs="Calibri"/>
          <w:sz w:val="24"/>
          <w:szCs w:val="24"/>
        </w:rPr>
        <w:t xml:space="preserve"> (Accessed: 5 January 2025).</w:t>
      </w:r>
    </w:p>
    <w:p w14:paraId="0547766D"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Milton, S. (1990) ‘The Context of the Holocaust’, </w:t>
      </w:r>
      <w:r w:rsidRPr="00F308AB">
        <w:rPr>
          <w:rFonts w:ascii="Calibri" w:hAnsi="Calibri" w:cs="Calibri"/>
          <w:i/>
          <w:iCs/>
          <w:sz w:val="24"/>
          <w:szCs w:val="24"/>
        </w:rPr>
        <w:t>German Studies Review</w:t>
      </w:r>
      <w:r w:rsidRPr="00F308AB">
        <w:rPr>
          <w:rFonts w:ascii="Calibri" w:hAnsi="Calibri" w:cs="Calibri"/>
          <w:sz w:val="24"/>
          <w:szCs w:val="24"/>
        </w:rPr>
        <w:t xml:space="preserve">, 13(2), pp. 269–283. Available at: </w:t>
      </w:r>
      <w:hyperlink r:id="rId58" w:history="1">
        <w:r w:rsidRPr="00F308AB">
          <w:rPr>
            <w:rStyle w:val="Hyperlink"/>
            <w:rFonts w:ascii="Calibri" w:hAnsi="Calibri" w:cs="Calibri"/>
            <w:sz w:val="24"/>
            <w:szCs w:val="24"/>
          </w:rPr>
          <w:t>https://doi.org/10.2307/1430708</w:t>
        </w:r>
      </w:hyperlink>
    </w:p>
    <w:p w14:paraId="2196F05E"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 xml:space="preserve">Mommsen, H. (1997) ‘Hitler’s Reichstag Speech of 30 January 1939’, </w:t>
      </w:r>
      <w:r w:rsidRPr="00F308AB">
        <w:rPr>
          <w:rFonts w:ascii="Calibri" w:hAnsi="Calibri" w:cs="Calibri"/>
          <w:i/>
          <w:iCs/>
          <w:sz w:val="24"/>
          <w:szCs w:val="24"/>
        </w:rPr>
        <w:t>History and Memory</w:t>
      </w:r>
      <w:r w:rsidRPr="00F308AB">
        <w:rPr>
          <w:rFonts w:ascii="Calibri" w:hAnsi="Calibri" w:cs="Calibri"/>
          <w:sz w:val="24"/>
          <w:szCs w:val="24"/>
        </w:rPr>
        <w:t xml:space="preserve">, 9(1/2), pp. 147–161. Available at: </w:t>
      </w:r>
      <w:hyperlink r:id="rId59" w:history="1">
        <w:r w:rsidRPr="00F308AB">
          <w:rPr>
            <w:rStyle w:val="Hyperlink"/>
            <w:rFonts w:ascii="Calibri" w:hAnsi="Calibri" w:cs="Calibri"/>
            <w:sz w:val="24"/>
            <w:szCs w:val="24"/>
          </w:rPr>
          <w:t>https://www.jstor.org/stable/25681003</w:t>
        </w:r>
      </w:hyperlink>
      <w:r w:rsidRPr="00F308AB">
        <w:rPr>
          <w:rFonts w:ascii="Calibri" w:hAnsi="Calibri" w:cs="Calibri"/>
          <w:sz w:val="24"/>
          <w:szCs w:val="24"/>
        </w:rPr>
        <w:t xml:space="preserve"> (Accessed: 31 December 2024).</w:t>
      </w:r>
    </w:p>
    <w:p w14:paraId="3690058A"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Morrison, W. (2004) ‘Reflections with Memories: Everyday Photography Capturing Genocide’, </w:t>
      </w:r>
      <w:r w:rsidRPr="00F308AB">
        <w:rPr>
          <w:rFonts w:ascii="Calibri" w:hAnsi="Calibri" w:cs="Calibri"/>
          <w:i/>
          <w:iCs/>
          <w:sz w:val="24"/>
          <w:szCs w:val="24"/>
        </w:rPr>
        <w:t>Theoretical Criminology</w:t>
      </w:r>
      <w:r w:rsidRPr="00F308AB">
        <w:rPr>
          <w:rFonts w:ascii="Calibri" w:hAnsi="Calibri" w:cs="Calibri"/>
          <w:sz w:val="24"/>
          <w:szCs w:val="24"/>
        </w:rPr>
        <w:t xml:space="preserve">, 8(3), pp. 341–358. Available at: </w:t>
      </w:r>
      <w:hyperlink r:id="rId60" w:history="1">
        <w:r w:rsidRPr="00F308AB">
          <w:rPr>
            <w:rStyle w:val="Hyperlink"/>
            <w:rFonts w:ascii="Calibri" w:hAnsi="Calibri" w:cs="Calibri"/>
            <w:sz w:val="24"/>
            <w:szCs w:val="24"/>
          </w:rPr>
          <w:t>https://doi.org/10.1177/1362480604044613</w:t>
        </w:r>
      </w:hyperlink>
    </w:p>
    <w:p w14:paraId="4E314C3C" w14:textId="77777777" w:rsidR="00F308AB" w:rsidRPr="00F308AB" w:rsidRDefault="00F308AB" w:rsidP="00786A10">
      <w:pPr>
        <w:rPr>
          <w:rFonts w:ascii="Calibri" w:hAnsi="Calibri" w:cs="Calibri"/>
          <w:sz w:val="24"/>
          <w:szCs w:val="24"/>
        </w:rPr>
      </w:pPr>
      <w:r w:rsidRPr="00F308AB">
        <w:rPr>
          <w:rFonts w:ascii="Calibri" w:hAnsi="Calibri" w:cs="Calibri"/>
          <w:sz w:val="24"/>
          <w:szCs w:val="24"/>
        </w:rPr>
        <w:t>Museum and Educational Site-House of the Wannsee Conference</w:t>
      </w:r>
      <w:r w:rsidRPr="00F308AB">
        <w:rPr>
          <w:rFonts w:ascii="Calibri" w:hAnsi="Calibri" w:cs="Calibri"/>
          <w:i/>
          <w:iCs/>
          <w:sz w:val="24"/>
          <w:szCs w:val="24"/>
        </w:rPr>
        <w:t xml:space="preserve"> </w:t>
      </w:r>
      <w:r w:rsidRPr="00F308AB">
        <w:rPr>
          <w:rFonts w:ascii="Calibri" w:hAnsi="Calibri" w:cs="Calibri"/>
          <w:sz w:val="24"/>
          <w:szCs w:val="24"/>
        </w:rPr>
        <w:t xml:space="preserve">(2021) </w:t>
      </w:r>
      <w:r w:rsidRPr="00F308AB">
        <w:rPr>
          <w:rFonts w:ascii="Calibri" w:hAnsi="Calibri" w:cs="Calibri"/>
          <w:i/>
          <w:iCs/>
          <w:sz w:val="24"/>
          <w:szCs w:val="24"/>
        </w:rPr>
        <w:t>Coordinating the Destruction of an Entire People: The Wannsee Conference.</w:t>
      </w:r>
      <w:r w:rsidRPr="00F308AB">
        <w:rPr>
          <w:rFonts w:ascii="Calibri" w:hAnsi="Calibri" w:cs="Calibri"/>
          <w:sz w:val="24"/>
          <w:szCs w:val="24"/>
        </w:rPr>
        <w:t xml:space="preserve"> Available at: </w:t>
      </w:r>
      <w:hyperlink r:id="rId61" w:history="1">
        <w:r w:rsidRPr="00F308AB">
          <w:rPr>
            <w:rStyle w:val="Hyperlink"/>
            <w:rFonts w:ascii="Calibri" w:hAnsi="Calibri" w:cs="Calibri"/>
            <w:sz w:val="24"/>
            <w:szCs w:val="24"/>
          </w:rPr>
          <w:t>https://www.nationalww2museum.org/war/articles/wannsee-conference-1942</w:t>
        </w:r>
      </w:hyperlink>
    </w:p>
    <w:p w14:paraId="5446701D"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 xml:space="preserve">Parris, S. and Parris, I. (2021) </w:t>
      </w:r>
      <w:r w:rsidRPr="00F308AB">
        <w:rPr>
          <w:rFonts w:ascii="Calibri" w:hAnsi="Calibri" w:cs="Calibri"/>
          <w:i/>
          <w:iCs/>
          <w:sz w:val="24"/>
          <w:szCs w:val="24"/>
        </w:rPr>
        <w:t>Coordinating the Destruction of an Entire People: The Wannsee Conference.</w:t>
      </w:r>
      <w:r w:rsidRPr="00F308AB">
        <w:rPr>
          <w:rFonts w:ascii="Calibri" w:hAnsi="Calibri" w:cs="Calibri"/>
          <w:sz w:val="24"/>
          <w:szCs w:val="24"/>
        </w:rPr>
        <w:t xml:space="preserve"> Available at: </w:t>
      </w:r>
      <w:hyperlink r:id="rId62" w:history="1">
        <w:r w:rsidRPr="00F308AB">
          <w:rPr>
            <w:rStyle w:val="Hyperlink"/>
            <w:rFonts w:ascii="Calibri" w:hAnsi="Calibri" w:cs="Calibri"/>
            <w:sz w:val="24"/>
            <w:szCs w:val="24"/>
          </w:rPr>
          <w:t>https://www.nationalww2museum.org/war/articles/wannsee-conference-1942</w:t>
        </w:r>
      </w:hyperlink>
    </w:p>
    <w:p w14:paraId="2D47EBF7"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Paul R. and Jacobs, S.L. (2011) </w:t>
      </w:r>
      <w:r w:rsidRPr="00F308AB">
        <w:rPr>
          <w:rFonts w:ascii="Calibri" w:hAnsi="Calibri" w:cs="Calibri"/>
          <w:i/>
          <w:iCs/>
          <w:sz w:val="24"/>
          <w:szCs w:val="24"/>
        </w:rPr>
        <w:t>Fifty key thinkers on the Holocaust and Genocide</w:t>
      </w:r>
      <w:r w:rsidRPr="00F308AB">
        <w:rPr>
          <w:rFonts w:ascii="Calibri" w:hAnsi="Calibri" w:cs="Calibri"/>
          <w:sz w:val="24"/>
          <w:szCs w:val="24"/>
        </w:rPr>
        <w:t>. 1</w:t>
      </w:r>
      <w:r w:rsidRPr="00F308AB">
        <w:rPr>
          <w:rFonts w:ascii="Calibri" w:hAnsi="Calibri" w:cs="Calibri"/>
          <w:sz w:val="24"/>
          <w:szCs w:val="24"/>
          <w:vertAlign w:val="superscript"/>
        </w:rPr>
        <w:t>st</w:t>
      </w:r>
      <w:r w:rsidRPr="00F308AB">
        <w:rPr>
          <w:rFonts w:ascii="Calibri" w:hAnsi="Calibri" w:cs="Calibri"/>
          <w:sz w:val="24"/>
          <w:szCs w:val="24"/>
        </w:rPr>
        <w:t xml:space="preserve"> edn. London: Routledge.</w:t>
      </w:r>
    </w:p>
    <w:p w14:paraId="3B343DFE"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Pettitt, J. (2021) ‘Introduction: new perspectives on Auschwitz’, </w:t>
      </w:r>
      <w:r w:rsidRPr="00F308AB">
        <w:rPr>
          <w:rFonts w:ascii="Calibri" w:hAnsi="Calibri" w:cs="Calibri"/>
          <w:i/>
          <w:iCs/>
          <w:sz w:val="24"/>
          <w:szCs w:val="24"/>
        </w:rPr>
        <w:t>Holocaust Studies</w:t>
      </w:r>
      <w:r w:rsidRPr="00F308AB">
        <w:rPr>
          <w:rFonts w:ascii="Calibri" w:hAnsi="Calibri" w:cs="Calibri"/>
          <w:sz w:val="24"/>
          <w:szCs w:val="24"/>
        </w:rPr>
        <w:t xml:space="preserve">, 27(1), pp. 1–11. Available at: </w:t>
      </w:r>
      <w:hyperlink r:id="rId63" w:history="1">
        <w:r w:rsidRPr="00F308AB">
          <w:rPr>
            <w:rStyle w:val="Hyperlink"/>
            <w:rFonts w:ascii="Calibri" w:hAnsi="Calibri" w:cs="Calibri"/>
            <w:sz w:val="24"/>
            <w:szCs w:val="24"/>
          </w:rPr>
          <w:t>https://doi.org/10.1080/17504902.2019.1625110</w:t>
        </w:r>
      </w:hyperlink>
    </w:p>
    <w:p w14:paraId="5E3B1C41" w14:textId="77777777" w:rsidR="00F308AB" w:rsidRPr="00F308AB" w:rsidRDefault="00F308AB" w:rsidP="00377C6C">
      <w:pPr>
        <w:spacing w:after="0" w:line="240" w:lineRule="auto"/>
        <w:rPr>
          <w:rFonts w:ascii="Calibri" w:hAnsi="Calibri" w:cs="Calibri"/>
          <w:sz w:val="24"/>
          <w:szCs w:val="24"/>
        </w:rPr>
      </w:pPr>
      <w:proofErr w:type="spellStart"/>
      <w:r w:rsidRPr="00F308AB">
        <w:rPr>
          <w:rFonts w:ascii="Calibri" w:eastAsia="Times New Roman" w:hAnsi="Calibri" w:cs="Calibri"/>
          <w:kern w:val="0"/>
          <w:sz w:val="24"/>
          <w:szCs w:val="24"/>
          <w:lang w:eastAsia="en-GB"/>
          <w14:ligatures w14:val="none"/>
        </w:rPr>
        <w:t>Pleasants</w:t>
      </w:r>
      <w:proofErr w:type="spellEnd"/>
      <w:r w:rsidRPr="00F308AB">
        <w:rPr>
          <w:rFonts w:ascii="Calibri" w:eastAsia="Times New Roman" w:hAnsi="Calibri" w:cs="Calibri"/>
          <w:kern w:val="0"/>
          <w:sz w:val="24"/>
          <w:szCs w:val="24"/>
          <w:lang w:eastAsia="en-GB"/>
          <w14:ligatures w14:val="none"/>
        </w:rPr>
        <w:t>, N. (2017) ‘Ordinary Men: Genocide, Determinism, Agency, and Moral Culpability’, </w:t>
      </w:r>
      <w:r w:rsidRPr="00F308AB">
        <w:rPr>
          <w:rFonts w:ascii="Calibri" w:eastAsia="Times New Roman" w:hAnsi="Calibri" w:cs="Calibri"/>
          <w:i/>
          <w:iCs/>
          <w:kern w:val="0"/>
          <w:sz w:val="24"/>
          <w:szCs w:val="24"/>
          <w:lang w:eastAsia="en-GB"/>
          <w14:ligatures w14:val="none"/>
        </w:rPr>
        <w:t>Philosophy of the Social Sciences</w:t>
      </w:r>
      <w:r w:rsidRPr="00F308AB">
        <w:rPr>
          <w:rFonts w:ascii="Calibri" w:eastAsia="Times New Roman" w:hAnsi="Calibri" w:cs="Calibri"/>
          <w:kern w:val="0"/>
          <w:sz w:val="24"/>
          <w:szCs w:val="24"/>
          <w:lang w:eastAsia="en-GB"/>
          <w14:ligatures w14:val="none"/>
        </w:rPr>
        <w:t xml:space="preserve">, 48(1), pp. 3–32. Available at: </w:t>
      </w:r>
      <w:hyperlink r:id="rId64" w:history="1">
        <w:r w:rsidRPr="00F308AB">
          <w:rPr>
            <w:rStyle w:val="Hyperlink"/>
            <w:rFonts w:ascii="Calibri" w:eastAsia="Times New Roman" w:hAnsi="Calibri" w:cs="Calibri"/>
            <w:kern w:val="0"/>
            <w:sz w:val="24"/>
            <w:szCs w:val="24"/>
            <w:lang w:eastAsia="en-GB"/>
            <w14:ligatures w14:val="none"/>
          </w:rPr>
          <w:t>https://doi.org/10.1177/0048393117739974</w:t>
        </w:r>
      </w:hyperlink>
    </w:p>
    <w:p w14:paraId="678E4FCD" w14:textId="77777777" w:rsidR="00F308AB" w:rsidRPr="00F308AB" w:rsidRDefault="00F308AB" w:rsidP="00377C6C">
      <w:pPr>
        <w:spacing w:after="0" w:line="240" w:lineRule="auto"/>
        <w:rPr>
          <w:rStyle w:val="Hyperlink"/>
          <w:rFonts w:ascii="Calibri" w:eastAsia="Times New Roman" w:hAnsi="Calibri" w:cs="Calibri"/>
          <w:kern w:val="0"/>
          <w:sz w:val="24"/>
          <w:szCs w:val="24"/>
          <w:lang w:eastAsia="en-GB"/>
          <w14:ligatures w14:val="none"/>
        </w:rPr>
      </w:pPr>
    </w:p>
    <w:p w14:paraId="1CB7C16F"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Polkehn, K. (1976) ‘The Secret Contacts: Zionism and Nazi Germany, 1933-1941’, </w:t>
      </w:r>
      <w:r w:rsidRPr="00F308AB">
        <w:rPr>
          <w:rFonts w:ascii="Calibri" w:hAnsi="Calibri" w:cs="Calibri"/>
          <w:i/>
          <w:iCs/>
          <w:sz w:val="24"/>
          <w:szCs w:val="24"/>
        </w:rPr>
        <w:t>Journal of Palestine Studies</w:t>
      </w:r>
      <w:r w:rsidRPr="00F308AB">
        <w:rPr>
          <w:rFonts w:ascii="Calibri" w:hAnsi="Calibri" w:cs="Calibri"/>
          <w:sz w:val="24"/>
          <w:szCs w:val="24"/>
        </w:rPr>
        <w:t xml:space="preserve">, 5(3/4), pp. 54–82. Available at: </w:t>
      </w:r>
      <w:hyperlink r:id="rId65" w:history="1">
        <w:r w:rsidRPr="00F308AB">
          <w:rPr>
            <w:rStyle w:val="Hyperlink"/>
            <w:rFonts w:ascii="Calibri" w:hAnsi="Calibri" w:cs="Calibri"/>
            <w:sz w:val="24"/>
            <w:szCs w:val="24"/>
          </w:rPr>
          <w:t>https://doi.org/10.2307/2536016</w:t>
        </w:r>
      </w:hyperlink>
    </w:p>
    <w:p w14:paraId="50846E4E" w14:textId="77777777" w:rsidR="00F308AB" w:rsidRPr="00F308AB" w:rsidRDefault="00F308AB" w:rsidP="00377C6C">
      <w:pPr>
        <w:spacing w:after="0" w:line="240" w:lineRule="auto"/>
        <w:rPr>
          <w:rFonts w:ascii="Calibri" w:eastAsia="Times New Roman" w:hAnsi="Calibri" w:cs="Calibri"/>
          <w:kern w:val="0"/>
          <w:sz w:val="24"/>
          <w:szCs w:val="24"/>
          <w:lang w:eastAsia="en-GB"/>
          <w14:ligatures w14:val="none"/>
        </w:rPr>
      </w:pPr>
      <w:r w:rsidRPr="00F308AB">
        <w:rPr>
          <w:rFonts w:ascii="Calibri" w:eastAsia="Times New Roman" w:hAnsi="Calibri" w:cs="Calibri"/>
          <w:kern w:val="0"/>
          <w:sz w:val="24"/>
          <w:szCs w:val="24"/>
          <w:lang w:eastAsia="en-GB"/>
          <w14:ligatures w14:val="none"/>
        </w:rPr>
        <w:lastRenderedPageBreak/>
        <w:t xml:space="preserve">Rees, L. (2017) </w:t>
      </w:r>
      <w:r w:rsidRPr="00F308AB">
        <w:rPr>
          <w:rFonts w:ascii="Calibri" w:eastAsia="Times New Roman" w:hAnsi="Calibri" w:cs="Calibri"/>
          <w:i/>
          <w:iCs/>
          <w:kern w:val="0"/>
          <w:sz w:val="24"/>
          <w:szCs w:val="24"/>
          <w:lang w:eastAsia="en-GB"/>
          <w14:ligatures w14:val="none"/>
        </w:rPr>
        <w:t>The Holocaust: A new history.</w:t>
      </w:r>
      <w:r w:rsidRPr="00F308AB">
        <w:rPr>
          <w:rFonts w:ascii="Calibri" w:eastAsia="Times New Roman" w:hAnsi="Calibri" w:cs="Calibri"/>
          <w:kern w:val="0"/>
          <w:sz w:val="24"/>
          <w:szCs w:val="24"/>
          <w:lang w:eastAsia="en-GB"/>
          <w14:ligatures w14:val="none"/>
        </w:rPr>
        <w:t xml:space="preserve"> 1</w:t>
      </w:r>
      <w:r w:rsidRPr="00F308AB">
        <w:rPr>
          <w:rFonts w:ascii="Calibri" w:eastAsia="Times New Roman" w:hAnsi="Calibri" w:cs="Calibri"/>
          <w:kern w:val="0"/>
          <w:sz w:val="24"/>
          <w:szCs w:val="24"/>
          <w:vertAlign w:val="superscript"/>
          <w:lang w:eastAsia="en-GB"/>
          <w14:ligatures w14:val="none"/>
        </w:rPr>
        <w:t>st</w:t>
      </w:r>
      <w:r w:rsidRPr="00F308AB">
        <w:rPr>
          <w:rFonts w:ascii="Calibri" w:eastAsia="Times New Roman" w:hAnsi="Calibri" w:cs="Calibri"/>
          <w:kern w:val="0"/>
          <w:sz w:val="24"/>
          <w:szCs w:val="24"/>
          <w:lang w:eastAsia="en-GB"/>
          <w14:ligatures w14:val="none"/>
        </w:rPr>
        <w:t xml:space="preserve"> edn. Bungay: Penguin.</w:t>
      </w:r>
    </w:p>
    <w:p w14:paraId="440F040F" w14:textId="77777777" w:rsidR="00F308AB" w:rsidRPr="00F308AB" w:rsidRDefault="00F308AB" w:rsidP="00377C6C">
      <w:pPr>
        <w:spacing w:after="0" w:line="240" w:lineRule="auto"/>
        <w:rPr>
          <w:rFonts w:ascii="Calibri" w:eastAsia="Times New Roman" w:hAnsi="Calibri" w:cs="Calibri"/>
          <w:kern w:val="0"/>
          <w:sz w:val="24"/>
          <w:szCs w:val="24"/>
          <w:lang w:eastAsia="en-GB"/>
          <w14:ligatures w14:val="none"/>
        </w:rPr>
      </w:pPr>
    </w:p>
    <w:p w14:paraId="03887BE8" w14:textId="77777777" w:rsidR="00F308AB" w:rsidRPr="00F308AB" w:rsidRDefault="00F308AB" w:rsidP="00377C6C">
      <w:pPr>
        <w:rPr>
          <w:rFonts w:ascii="Calibri" w:hAnsi="Calibri" w:cs="Calibri"/>
          <w:sz w:val="24"/>
          <w:szCs w:val="24"/>
        </w:rPr>
      </w:pPr>
      <w:proofErr w:type="spellStart"/>
      <w:r w:rsidRPr="00F308AB">
        <w:rPr>
          <w:rFonts w:ascii="Calibri" w:hAnsi="Calibri" w:cs="Calibri"/>
          <w:sz w:val="24"/>
          <w:szCs w:val="24"/>
        </w:rPr>
        <w:t>Rosenhaft</w:t>
      </w:r>
      <w:proofErr w:type="spellEnd"/>
      <w:r w:rsidRPr="00F308AB">
        <w:rPr>
          <w:rFonts w:ascii="Calibri" w:hAnsi="Calibri" w:cs="Calibri"/>
          <w:sz w:val="24"/>
          <w:szCs w:val="24"/>
        </w:rPr>
        <w:t>, E. (2011) ‘Blacks and Gypsies in Nazi Germany: the Limits of the “Racial State”’, </w:t>
      </w:r>
      <w:r w:rsidRPr="00F308AB">
        <w:rPr>
          <w:rFonts w:ascii="Calibri" w:hAnsi="Calibri" w:cs="Calibri"/>
          <w:i/>
          <w:iCs/>
          <w:sz w:val="24"/>
          <w:szCs w:val="24"/>
        </w:rPr>
        <w:t>History Workshop Journal</w:t>
      </w:r>
      <w:r w:rsidRPr="00F308AB">
        <w:rPr>
          <w:rFonts w:ascii="Calibri" w:hAnsi="Calibri" w:cs="Calibri"/>
          <w:sz w:val="24"/>
          <w:szCs w:val="24"/>
        </w:rPr>
        <w:t xml:space="preserve">, 72, pp. 161–170. Available at: </w:t>
      </w:r>
      <w:hyperlink r:id="rId66" w:history="1">
        <w:r w:rsidRPr="00F308AB">
          <w:rPr>
            <w:rStyle w:val="Hyperlink"/>
            <w:rFonts w:ascii="Calibri" w:hAnsi="Calibri" w:cs="Calibri"/>
            <w:sz w:val="24"/>
            <w:szCs w:val="24"/>
          </w:rPr>
          <w:t>http://www.jstor.org/stable/41306842</w:t>
        </w:r>
      </w:hyperlink>
      <w:r w:rsidRPr="00F308AB">
        <w:rPr>
          <w:rFonts w:ascii="Calibri" w:hAnsi="Calibri" w:cs="Calibri"/>
          <w:sz w:val="24"/>
          <w:szCs w:val="24"/>
        </w:rPr>
        <w:t xml:space="preserve"> (Accessed: 31 December 2024).</w:t>
      </w:r>
    </w:p>
    <w:p w14:paraId="26063765"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 xml:space="preserve">Rossino, A. B. (2001) ‘Nazi Anti-Jewish Policy during the Polish Campaign: The Case of the Einsatzgruppe von </w:t>
      </w:r>
      <w:proofErr w:type="spellStart"/>
      <w:r w:rsidRPr="00F308AB">
        <w:rPr>
          <w:rFonts w:ascii="Calibri" w:hAnsi="Calibri" w:cs="Calibri"/>
          <w:sz w:val="24"/>
          <w:szCs w:val="24"/>
        </w:rPr>
        <w:t>Woyrsch</w:t>
      </w:r>
      <w:proofErr w:type="spellEnd"/>
      <w:r w:rsidRPr="00F308AB">
        <w:rPr>
          <w:rFonts w:ascii="Calibri" w:hAnsi="Calibri" w:cs="Calibri"/>
          <w:sz w:val="24"/>
          <w:szCs w:val="24"/>
        </w:rPr>
        <w:t>’, </w:t>
      </w:r>
      <w:r w:rsidRPr="00F308AB">
        <w:rPr>
          <w:rFonts w:ascii="Calibri" w:hAnsi="Calibri" w:cs="Calibri"/>
          <w:i/>
          <w:iCs/>
          <w:sz w:val="24"/>
          <w:szCs w:val="24"/>
        </w:rPr>
        <w:t>German Studies Review</w:t>
      </w:r>
      <w:r w:rsidRPr="00F308AB">
        <w:rPr>
          <w:rFonts w:ascii="Calibri" w:hAnsi="Calibri" w:cs="Calibri"/>
          <w:sz w:val="24"/>
          <w:szCs w:val="24"/>
        </w:rPr>
        <w:t xml:space="preserve">, 24(1), pp. 35–53. Available at: </w:t>
      </w:r>
      <w:hyperlink r:id="rId67" w:history="1">
        <w:r w:rsidRPr="00F308AB">
          <w:rPr>
            <w:rStyle w:val="Hyperlink"/>
            <w:rFonts w:ascii="Calibri" w:hAnsi="Calibri" w:cs="Calibri"/>
            <w:sz w:val="24"/>
            <w:szCs w:val="24"/>
          </w:rPr>
          <w:t>https://doi.org/10.2307/1433155</w:t>
        </w:r>
      </w:hyperlink>
    </w:p>
    <w:p w14:paraId="5787D570"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 xml:space="preserve">Schulze, R. (2016) </w:t>
      </w:r>
      <w:r w:rsidRPr="00F308AB">
        <w:rPr>
          <w:rFonts w:ascii="Calibri" w:hAnsi="Calibri" w:cs="Calibri"/>
          <w:i/>
          <w:iCs/>
          <w:sz w:val="24"/>
          <w:szCs w:val="24"/>
        </w:rPr>
        <w:t>Labour antisemitism row: there was nothing Zionist about Hitler’s plans for the Jews</w:t>
      </w:r>
      <w:r w:rsidRPr="00F308AB">
        <w:rPr>
          <w:rFonts w:ascii="Calibri" w:hAnsi="Calibri" w:cs="Calibri"/>
          <w:sz w:val="24"/>
          <w:szCs w:val="24"/>
        </w:rPr>
        <w:t xml:space="preserve">. Available at: </w:t>
      </w:r>
      <w:hyperlink r:id="rId68" w:history="1">
        <w:r w:rsidRPr="00F308AB">
          <w:rPr>
            <w:rStyle w:val="Hyperlink"/>
            <w:rFonts w:ascii="Calibri" w:hAnsi="Calibri" w:cs="Calibri"/>
            <w:sz w:val="24"/>
            <w:szCs w:val="24"/>
          </w:rPr>
          <w:t>https://theconversation.com/labour-antisemitism-row-there-was-nothing-zionist-about-hitlers-plans-for-the-jews-58656</w:t>
        </w:r>
      </w:hyperlink>
      <w:r w:rsidRPr="00F308AB">
        <w:rPr>
          <w:rFonts w:ascii="Calibri" w:hAnsi="Calibri" w:cs="Calibri"/>
          <w:sz w:val="24"/>
          <w:szCs w:val="24"/>
        </w:rPr>
        <w:t xml:space="preserve"> (Accessed: 17 January 2025).</w:t>
      </w:r>
    </w:p>
    <w:p w14:paraId="111408ED" w14:textId="77777777" w:rsidR="00F308AB" w:rsidRPr="00F308AB" w:rsidRDefault="00F308AB" w:rsidP="00377C6C">
      <w:pPr>
        <w:rPr>
          <w:rFonts w:ascii="Calibri" w:hAnsi="Calibri" w:cs="Calibri"/>
          <w:sz w:val="24"/>
          <w:szCs w:val="24"/>
        </w:rPr>
      </w:pPr>
      <w:r w:rsidRPr="00F308AB">
        <w:rPr>
          <w:rFonts w:ascii="Calibri" w:hAnsi="Calibri" w:cs="Calibri"/>
          <w:sz w:val="24"/>
          <w:szCs w:val="24"/>
        </w:rPr>
        <w:t>Smith, W. D. (1980) ‘Friedrich Ratzel and the Origins of Lebensraum’, </w:t>
      </w:r>
      <w:r w:rsidRPr="00F308AB">
        <w:rPr>
          <w:rFonts w:ascii="Calibri" w:hAnsi="Calibri" w:cs="Calibri"/>
          <w:i/>
          <w:iCs/>
          <w:sz w:val="24"/>
          <w:szCs w:val="24"/>
        </w:rPr>
        <w:t>German Studies Review</w:t>
      </w:r>
      <w:r w:rsidRPr="00F308AB">
        <w:rPr>
          <w:rFonts w:ascii="Calibri" w:hAnsi="Calibri" w:cs="Calibri"/>
          <w:sz w:val="24"/>
          <w:szCs w:val="24"/>
        </w:rPr>
        <w:t xml:space="preserve">, 3(1), pp. 51–68. Available at: </w:t>
      </w:r>
      <w:hyperlink r:id="rId69" w:history="1">
        <w:r w:rsidRPr="00F308AB">
          <w:rPr>
            <w:rStyle w:val="Hyperlink"/>
            <w:rFonts w:ascii="Calibri" w:hAnsi="Calibri" w:cs="Calibri"/>
            <w:sz w:val="24"/>
            <w:szCs w:val="24"/>
          </w:rPr>
          <w:t>https://doi.org/10.2307/1429483</w:t>
        </w:r>
      </w:hyperlink>
    </w:p>
    <w:p w14:paraId="1658A0A9" w14:textId="26FDCFC9" w:rsidR="00F308AB" w:rsidRDefault="00F308AB" w:rsidP="00F308AB">
      <w:pPr>
        <w:spacing w:after="0"/>
        <w:rPr>
          <w:rFonts w:ascii="Calibri" w:hAnsi="Calibri" w:cs="Calibri"/>
          <w:sz w:val="24"/>
          <w:szCs w:val="24"/>
        </w:rPr>
      </w:pPr>
      <w:r w:rsidRPr="00F308AB">
        <w:rPr>
          <w:rFonts w:ascii="Calibri" w:hAnsi="Calibri" w:cs="Calibri"/>
          <w:sz w:val="24"/>
          <w:szCs w:val="24"/>
        </w:rPr>
        <w:t xml:space="preserve">United Nations (1948) </w:t>
      </w:r>
      <w:r w:rsidRPr="00F308AB">
        <w:rPr>
          <w:rFonts w:ascii="Calibri" w:hAnsi="Calibri" w:cs="Calibri"/>
          <w:i/>
          <w:iCs/>
          <w:sz w:val="24"/>
          <w:szCs w:val="24"/>
        </w:rPr>
        <w:t>Convention on the Prevention and Punishment of the Crime of</w:t>
      </w:r>
      <w:r>
        <w:rPr>
          <w:rFonts w:ascii="Calibri" w:hAnsi="Calibri" w:cs="Calibri"/>
          <w:i/>
          <w:iCs/>
          <w:sz w:val="24"/>
          <w:szCs w:val="24"/>
        </w:rPr>
        <w:t xml:space="preserve"> Genocide. </w:t>
      </w:r>
      <w:r>
        <w:rPr>
          <w:rFonts w:ascii="Calibri" w:hAnsi="Calibri" w:cs="Calibri"/>
          <w:sz w:val="24"/>
          <w:szCs w:val="24"/>
        </w:rPr>
        <w:t xml:space="preserve">Available at: </w:t>
      </w:r>
      <w:hyperlink r:id="rId70" w:history="1">
        <w:r w:rsidRPr="004738DA">
          <w:rPr>
            <w:rStyle w:val="Hyperlink"/>
            <w:rFonts w:ascii="Calibri" w:hAnsi="Calibri" w:cs="Calibri"/>
            <w:sz w:val="24"/>
            <w:szCs w:val="24"/>
          </w:rPr>
          <w:t>https://www.un.org/en/genocideprevention/documents/publications-and-resources/Genocide_Convention_75thAnniversary_2023.pdf</w:t>
        </w:r>
      </w:hyperlink>
      <w:r>
        <w:rPr>
          <w:rFonts w:ascii="Calibri" w:hAnsi="Calibri" w:cs="Calibri"/>
          <w:sz w:val="24"/>
          <w:szCs w:val="24"/>
        </w:rPr>
        <w:t xml:space="preserve"> (Accessed: 17 January 2025).</w:t>
      </w:r>
    </w:p>
    <w:p w14:paraId="1F351D70" w14:textId="77777777" w:rsidR="00F308AB" w:rsidRPr="00F308AB" w:rsidRDefault="00F308AB" w:rsidP="00F308AB">
      <w:pPr>
        <w:spacing w:after="0"/>
        <w:rPr>
          <w:rFonts w:ascii="Calibri" w:hAnsi="Calibri" w:cs="Calibri"/>
          <w:i/>
          <w:iCs/>
          <w:sz w:val="24"/>
          <w:szCs w:val="24"/>
        </w:rPr>
      </w:pPr>
    </w:p>
    <w:p w14:paraId="4DACC4FF" w14:textId="5E127072" w:rsidR="00F308AB" w:rsidRPr="00F308AB" w:rsidRDefault="00F308AB" w:rsidP="00377C6C">
      <w:pPr>
        <w:rPr>
          <w:rFonts w:ascii="Calibri" w:hAnsi="Calibri" w:cs="Calibri"/>
          <w:sz w:val="24"/>
          <w:szCs w:val="24"/>
        </w:rPr>
      </w:pPr>
      <w:r w:rsidRPr="00F308AB">
        <w:rPr>
          <w:rFonts w:ascii="Calibri" w:hAnsi="Calibri" w:cs="Calibri"/>
          <w:sz w:val="24"/>
          <w:szCs w:val="24"/>
        </w:rPr>
        <w:t>United States Holocaust Memorial Museum (2024</w:t>
      </w:r>
      <w:r w:rsidRPr="00F308AB">
        <w:rPr>
          <w:rFonts w:ascii="Calibri" w:hAnsi="Calibri" w:cs="Calibri"/>
          <w:i/>
          <w:iCs/>
          <w:sz w:val="24"/>
          <w:szCs w:val="24"/>
        </w:rPr>
        <w:t xml:space="preserve">) Mass shootings at </w:t>
      </w:r>
      <w:proofErr w:type="spellStart"/>
      <w:r w:rsidRPr="00F308AB">
        <w:rPr>
          <w:rFonts w:ascii="Calibri" w:hAnsi="Calibri" w:cs="Calibri"/>
          <w:i/>
          <w:iCs/>
          <w:sz w:val="24"/>
          <w:szCs w:val="24"/>
        </w:rPr>
        <w:t>Babyn</w:t>
      </w:r>
      <w:proofErr w:type="spellEnd"/>
      <w:r w:rsidRPr="00F308AB">
        <w:rPr>
          <w:rFonts w:ascii="Calibri" w:hAnsi="Calibri" w:cs="Calibri"/>
          <w:i/>
          <w:iCs/>
          <w:sz w:val="24"/>
          <w:szCs w:val="24"/>
        </w:rPr>
        <w:t xml:space="preserve"> Yar (Babi Yar).</w:t>
      </w:r>
      <w:r w:rsidRPr="00F308AB">
        <w:rPr>
          <w:rFonts w:ascii="Calibri" w:hAnsi="Calibri" w:cs="Calibri"/>
          <w:sz w:val="24"/>
          <w:szCs w:val="24"/>
        </w:rPr>
        <w:t xml:space="preserve"> Available at: </w:t>
      </w:r>
      <w:hyperlink r:id="rId71" w:history="1">
        <w:r w:rsidRPr="00F308AB">
          <w:rPr>
            <w:rStyle w:val="Hyperlink"/>
            <w:rFonts w:ascii="Calibri" w:hAnsi="Calibri" w:cs="Calibri"/>
            <w:sz w:val="24"/>
            <w:szCs w:val="24"/>
          </w:rPr>
          <w:t>https://encyclopedia.ushmm.org/content/en/article/kiev-and-babi-yar</w:t>
        </w:r>
      </w:hyperlink>
      <w:r w:rsidRPr="00F308AB">
        <w:rPr>
          <w:rFonts w:ascii="Calibri" w:hAnsi="Calibri" w:cs="Calibri"/>
          <w:sz w:val="24"/>
          <w:szCs w:val="24"/>
        </w:rPr>
        <w:t xml:space="preserve"> (Accessed: 31 December 2024).</w:t>
      </w:r>
    </w:p>
    <w:p w14:paraId="780E53D5" w14:textId="77777777" w:rsidR="00F308AB" w:rsidRPr="00F308AB" w:rsidRDefault="00F308AB" w:rsidP="00964FFF">
      <w:pPr>
        <w:rPr>
          <w:rFonts w:ascii="Calibri" w:hAnsi="Calibri" w:cs="Calibri"/>
          <w:sz w:val="24"/>
          <w:szCs w:val="24"/>
        </w:rPr>
      </w:pPr>
      <w:r w:rsidRPr="00F308AB">
        <w:rPr>
          <w:rFonts w:ascii="Calibri" w:hAnsi="Calibri" w:cs="Calibri"/>
          <w:sz w:val="24"/>
          <w:szCs w:val="24"/>
        </w:rPr>
        <w:t xml:space="preserve">Valanchon, N. (2025)  </w:t>
      </w:r>
      <w:r w:rsidRPr="00F308AB">
        <w:rPr>
          <w:rFonts w:ascii="Calibri" w:hAnsi="Calibri" w:cs="Calibri"/>
          <w:i/>
          <w:iCs/>
          <w:sz w:val="24"/>
          <w:szCs w:val="24"/>
        </w:rPr>
        <w:t>Entrance of Auschwitz.</w:t>
      </w:r>
      <w:r w:rsidRPr="00F308AB">
        <w:rPr>
          <w:rFonts w:ascii="Calibri" w:hAnsi="Calibri" w:cs="Calibri"/>
          <w:sz w:val="24"/>
          <w:szCs w:val="24"/>
        </w:rPr>
        <w:t xml:space="preserve"> Available at: </w:t>
      </w:r>
      <w:hyperlink r:id="rId72" w:history="1">
        <w:r w:rsidRPr="00F308AB">
          <w:rPr>
            <w:rStyle w:val="Hyperlink"/>
            <w:rFonts w:ascii="Calibri" w:hAnsi="Calibri" w:cs="Calibri"/>
            <w:sz w:val="24"/>
            <w:szCs w:val="24"/>
          </w:rPr>
          <w:t>https://whc.unesco.org/en/documents/107824</w:t>
        </w:r>
      </w:hyperlink>
      <w:r w:rsidRPr="00F308AB">
        <w:rPr>
          <w:rFonts w:ascii="Calibri" w:hAnsi="Calibri" w:cs="Calibri"/>
          <w:sz w:val="24"/>
          <w:szCs w:val="24"/>
        </w:rPr>
        <w:t xml:space="preserve"> (Accessed: 7 January 2025).</w:t>
      </w:r>
    </w:p>
    <w:p w14:paraId="58B3137B" w14:textId="77777777" w:rsidR="00F308AB" w:rsidRPr="00F308AB" w:rsidRDefault="00F308AB" w:rsidP="00377C6C">
      <w:pPr>
        <w:rPr>
          <w:rStyle w:val="Hyperlink"/>
          <w:rFonts w:ascii="Calibri" w:hAnsi="Calibri" w:cs="Calibri"/>
          <w:sz w:val="24"/>
          <w:szCs w:val="24"/>
        </w:rPr>
      </w:pPr>
      <w:r w:rsidRPr="00F308AB">
        <w:rPr>
          <w:rFonts w:ascii="Calibri" w:hAnsi="Calibri" w:cs="Calibri"/>
          <w:sz w:val="24"/>
          <w:szCs w:val="24"/>
        </w:rPr>
        <w:t>Weikart, R. (2013) ‘The Role of Darwinism in Nazi Racial Thought’, </w:t>
      </w:r>
      <w:r w:rsidRPr="00F308AB">
        <w:rPr>
          <w:rFonts w:ascii="Calibri" w:hAnsi="Calibri" w:cs="Calibri"/>
          <w:i/>
          <w:iCs/>
          <w:sz w:val="24"/>
          <w:szCs w:val="24"/>
        </w:rPr>
        <w:t>German Studies Review</w:t>
      </w:r>
      <w:r w:rsidRPr="00F308AB">
        <w:rPr>
          <w:rFonts w:ascii="Calibri" w:hAnsi="Calibri" w:cs="Calibri"/>
          <w:sz w:val="24"/>
          <w:szCs w:val="24"/>
        </w:rPr>
        <w:t xml:space="preserve">, 36(3), pp. 537–556. Available at: </w:t>
      </w:r>
      <w:hyperlink r:id="rId73" w:history="1">
        <w:r w:rsidRPr="00F308AB">
          <w:rPr>
            <w:rStyle w:val="Hyperlink"/>
            <w:rFonts w:ascii="Calibri" w:hAnsi="Calibri" w:cs="Calibri"/>
            <w:sz w:val="24"/>
            <w:szCs w:val="24"/>
          </w:rPr>
          <w:t>https://doi.org/10.1353/gsr.2013.0106</w:t>
        </w:r>
      </w:hyperlink>
    </w:p>
    <w:p w14:paraId="68FF2E52" w14:textId="77777777" w:rsidR="00F308AB" w:rsidRPr="00F308AB" w:rsidRDefault="00F308AB" w:rsidP="00712986">
      <w:pPr>
        <w:rPr>
          <w:rFonts w:ascii="Calibri" w:hAnsi="Calibri" w:cs="Calibri"/>
          <w:sz w:val="24"/>
          <w:szCs w:val="24"/>
        </w:rPr>
      </w:pPr>
      <w:r w:rsidRPr="00F308AB">
        <w:rPr>
          <w:rFonts w:ascii="Calibri" w:hAnsi="Calibri" w:cs="Calibri"/>
          <w:sz w:val="24"/>
          <w:szCs w:val="24"/>
        </w:rPr>
        <w:t xml:space="preserve">Wikipedia (2024) </w:t>
      </w:r>
      <w:r w:rsidRPr="00F308AB">
        <w:rPr>
          <w:rFonts w:ascii="Calibri" w:hAnsi="Calibri" w:cs="Calibri"/>
          <w:i/>
          <w:iCs/>
          <w:sz w:val="24"/>
          <w:szCs w:val="24"/>
        </w:rPr>
        <w:t xml:space="preserve">Hitler at the Reichstag 30 January 1939. </w:t>
      </w:r>
      <w:r w:rsidRPr="00F308AB">
        <w:rPr>
          <w:rFonts w:ascii="Calibri" w:hAnsi="Calibri" w:cs="Calibri"/>
          <w:sz w:val="24"/>
          <w:szCs w:val="24"/>
        </w:rPr>
        <w:t xml:space="preserve">Available at: </w:t>
      </w:r>
      <w:hyperlink r:id="rId74" w:history="1">
        <w:r w:rsidRPr="00F308AB">
          <w:rPr>
            <w:rStyle w:val="Hyperlink"/>
            <w:rFonts w:ascii="Calibri" w:hAnsi="Calibri" w:cs="Calibri"/>
            <w:sz w:val="24"/>
            <w:szCs w:val="24"/>
          </w:rPr>
          <w:t>https://en.wikipedia.org/wiki/30_January_1939_Reichstag_speech</w:t>
        </w:r>
      </w:hyperlink>
      <w:r w:rsidRPr="00F308AB">
        <w:rPr>
          <w:rFonts w:ascii="Calibri" w:hAnsi="Calibri" w:cs="Calibri"/>
          <w:sz w:val="24"/>
          <w:szCs w:val="24"/>
        </w:rPr>
        <w:t xml:space="preserve"> (Accessed: 7 January 2025).</w:t>
      </w:r>
    </w:p>
    <w:p w14:paraId="20A0FB6C" w14:textId="77777777" w:rsidR="00F308AB" w:rsidRDefault="00F308AB" w:rsidP="00416E01">
      <w:pPr>
        <w:rPr>
          <w:rFonts w:ascii="Calibri" w:hAnsi="Calibri" w:cs="Calibri"/>
          <w:sz w:val="24"/>
          <w:szCs w:val="24"/>
        </w:rPr>
      </w:pPr>
      <w:r w:rsidRPr="00F308AB">
        <w:rPr>
          <w:rFonts w:ascii="Calibri" w:hAnsi="Calibri" w:cs="Calibri"/>
          <w:sz w:val="24"/>
          <w:szCs w:val="24"/>
        </w:rPr>
        <w:t xml:space="preserve">Yad Vashem (2024) </w:t>
      </w:r>
      <w:r w:rsidRPr="00F308AB">
        <w:rPr>
          <w:rFonts w:ascii="Calibri" w:hAnsi="Calibri" w:cs="Calibri"/>
          <w:i/>
          <w:iCs/>
          <w:sz w:val="24"/>
          <w:szCs w:val="24"/>
        </w:rPr>
        <w:t>Warsaw Ghetto</w:t>
      </w:r>
      <w:r w:rsidRPr="00F308AB">
        <w:rPr>
          <w:rFonts w:ascii="Calibri" w:hAnsi="Calibri" w:cs="Calibri"/>
          <w:sz w:val="24"/>
          <w:szCs w:val="24"/>
        </w:rPr>
        <w:t xml:space="preserve">. Available at: </w:t>
      </w:r>
      <w:hyperlink r:id="rId75" w:history="1">
        <w:r w:rsidRPr="00F308AB">
          <w:rPr>
            <w:rStyle w:val="Hyperlink"/>
            <w:rFonts w:ascii="Calibri" w:hAnsi="Calibri" w:cs="Calibri"/>
            <w:sz w:val="24"/>
            <w:szCs w:val="24"/>
          </w:rPr>
          <w:t>https://www.yadvashem.org/holocaust/about/ghettos/warsaw.html</w:t>
        </w:r>
      </w:hyperlink>
      <w:r w:rsidRPr="00F308AB">
        <w:rPr>
          <w:rFonts w:ascii="Calibri" w:hAnsi="Calibri" w:cs="Calibri"/>
          <w:sz w:val="24"/>
          <w:szCs w:val="24"/>
        </w:rPr>
        <w:t xml:space="preserve"> (Accessed: 7 January 2025).</w:t>
      </w:r>
    </w:p>
    <w:p w14:paraId="0226071A" w14:textId="44A63F18" w:rsidR="00ED4B00" w:rsidRPr="00ED4B00" w:rsidRDefault="00ED4B00" w:rsidP="00416E01">
      <w:pPr>
        <w:rPr>
          <w:rFonts w:ascii="Calibri" w:hAnsi="Calibri" w:cs="Calibri"/>
          <w:sz w:val="24"/>
          <w:szCs w:val="24"/>
        </w:rPr>
      </w:pPr>
      <w:r>
        <w:rPr>
          <w:rFonts w:ascii="Calibri" w:hAnsi="Calibri" w:cs="Calibri"/>
          <w:sz w:val="24"/>
          <w:szCs w:val="24"/>
        </w:rPr>
        <w:t xml:space="preserve">Yad Vashem (2025) </w:t>
      </w:r>
      <w:r w:rsidRPr="00ED4B00">
        <w:rPr>
          <w:rFonts w:ascii="Calibri" w:hAnsi="Calibri" w:cs="Calibri"/>
          <w:i/>
          <w:iCs/>
          <w:sz w:val="24"/>
          <w:szCs w:val="24"/>
        </w:rPr>
        <w:t>Order banning the emigration of Jews from the Reich, October 1941</w:t>
      </w:r>
      <w:r>
        <w:rPr>
          <w:rFonts w:ascii="Calibri" w:hAnsi="Calibri" w:cs="Calibri"/>
          <w:i/>
          <w:iCs/>
          <w:sz w:val="24"/>
          <w:szCs w:val="24"/>
        </w:rPr>
        <w:t xml:space="preserve">. </w:t>
      </w:r>
      <w:r>
        <w:rPr>
          <w:rFonts w:ascii="Calibri" w:hAnsi="Calibri" w:cs="Calibri"/>
          <w:sz w:val="24"/>
          <w:szCs w:val="24"/>
        </w:rPr>
        <w:t xml:space="preserve">Available at: </w:t>
      </w:r>
      <w:hyperlink r:id="rId76" w:history="1">
        <w:r w:rsidR="00F30C00" w:rsidRPr="004738DA">
          <w:rPr>
            <w:rStyle w:val="Hyperlink"/>
            <w:rFonts w:ascii="Calibri" w:hAnsi="Calibri" w:cs="Calibri"/>
            <w:sz w:val="24"/>
            <w:szCs w:val="24"/>
          </w:rPr>
          <w:t>https://www.yadvashem.org/odot_pdf/Microsoft%20Word%20-%203264.pdf</w:t>
        </w:r>
      </w:hyperlink>
      <w:r w:rsidR="00F30C00">
        <w:rPr>
          <w:rFonts w:ascii="Calibri" w:hAnsi="Calibri" w:cs="Calibri"/>
          <w:sz w:val="24"/>
          <w:szCs w:val="24"/>
        </w:rPr>
        <w:t xml:space="preserve"> (Accessed: 18 January 2025).</w:t>
      </w:r>
    </w:p>
    <w:sectPr w:rsidR="00ED4B00" w:rsidRPr="00ED4B00" w:rsidSect="00CE1396">
      <w:headerReference w:type="default" r:id="rId77"/>
      <w:footerReference w:type="default" r:id="rId78"/>
      <w:headerReference w:type="first" r:id="rId79"/>
      <w:footerReference w:type="first" r:id="rId80"/>
      <w:pgSz w:w="11909" w:h="16834"/>
      <w:pgMar w:top="1418" w:right="1418" w:bottom="1418" w:left="1418" w:header="720" w:footer="720"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2D108" w14:textId="77777777" w:rsidR="00E71C16" w:rsidRDefault="00E71C16" w:rsidP="00C2115D">
      <w:pPr>
        <w:spacing w:after="0" w:line="240" w:lineRule="auto"/>
      </w:pPr>
      <w:r>
        <w:separator/>
      </w:r>
    </w:p>
  </w:endnote>
  <w:endnote w:type="continuationSeparator" w:id="0">
    <w:p w14:paraId="33278BD3" w14:textId="77777777" w:rsidR="00E71C16" w:rsidRDefault="00E71C16" w:rsidP="00C211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0780437"/>
      <w:docPartObj>
        <w:docPartGallery w:val="Page Numbers (Bottom of Page)"/>
        <w:docPartUnique/>
      </w:docPartObj>
    </w:sdtPr>
    <w:sdtEndPr>
      <w:rPr>
        <w:noProof/>
      </w:rPr>
    </w:sdtEndPr>
    <w:sdtContent>
      <w:p w14:paraId="0853C0F1" w14:textId="5C2BAA5D" w:rsidR="00C2115D" w:rsidRDefault="00C211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E964C2" w14:textId="77777777" w:rsidR="00C2115D" w:rsidRDefault="00C211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3393480"/>
      <w:docPartObj>
        <w:docPartGallery w:val="Page Numbers (Bottom of Page)"/>
        <w:docPartUnique/>
      </w:docPartObj>
    </w:sdtPr>
    <w:sdtEndPr>
      <w:rPr>
        <w:noProof/>
      </w:rPr>
    </w:sdtEndPr>
    <w:sdtContent>
      <w:p w14:paraId="5DEE74B5" w14:textId="41310E3C" w:rsidR="00C2115D" w:rsidRDefault="00C211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279E3D" w14:textId="77777777" w:rsidR="00C2115D" w:rsidRDefault="00C211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FE260" w14:textId="77777777" w:rsidR="00E71C16" w:rsidRDefault="00E71C16" w:rsidP="00C2115D">
      <w:pPr>
        <w:spacing w:after="0" w:line="240" w:lineRule="auto"/>
      </w:pPr>
      <w:r>
        <w:separator/>
      </w:r>
    </w:p>
  </w:footnote>
  <w:footnote w:type="continuationSeparator" w:id="0">
    <w:p w14:paraId="74A4F34C" w14:textId="77777777" w:rsidR="00E71C16" w:rsidRDefault="00E71C16" w:rsidP="00C211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BF7AF" w14:textId="68B652B9" w:rsidR="00721E4C" w:rsidRPr="00D8438E" w:rsidRDefault="00721E4C" w:rsidP="00721E4C">
    <w:pPr>
      <w:pStyle w:val="Header"/>
      <w:rPr>
        <w:rFonts w:ascii="Calibri" w:hAnsi="Calibri" w:cs="Calibri"/>
        <w:sz w:val="20"/>
        <w:szCs w:val="20"/>
      </w:rPr>
    </w:pPr>
    <w:r w:rsidRPr="00D8438E">
      <w:rPr>
        <w:rFonts w:ascii="Calibri" w:hAnsi="Calibri" w:cs="Calibri"/>
        <w:sz w:val="20"/>
        <w:szCs w:val="20"/>
      </w:rPr>
      <w:t xml:space="preserve">R. Bakewell (2204367) </w:t>
    </w:r>
    <w:r>
      <w:rPr>
        <w:rFonts w:ascii="Calibri" w:hAnsi="Calibri" w:cs="Calibri"/>
        <w:sz w:val="20"/>
        <w:szCs w:val="20"/>
      </w:rPr>
      <w:t xml:space="preserve">                                                                                                                         </w:t>
    </w:r>
    <w:r w:rsidRPr="00D8438E">
      <w:rPr>
        <w:rFonts w:ascii="Calibri" w:hAnsi="Calibri" w:cs="Calibri"/>
        <w:sz w:val="20"/>
        <w:szCs w:val="20"/>
      </w:rPr>
      <w:t>Module: HPHI5029</w:t>
    </w:r>
  </w:p>
  <w:p w14:paraId="54D7304B" w14:textId="2BC6123C" w:rsidR="00721E4C" w:rsidRDefault="00721E4C">
    <w:pPr>
      <w:pStyle w:val="Header"/>
    </w:pPr>
  </w:p>
  <w:p w14:paraId="0A511943" w14:textId="77777777" w:rsidR="00721E4C" w:rsidRDefault="00721E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2AB52" w14:textId="5424BC12" w:rsidR="005C1885" w:rsidRPr="00D8438E" w:rsidRDefault="00D8438E">
    <w:pPr>
      <w:pStyle w:val="Header"/>
      <w:rPr>
        <w:rFonts w:ascii="Calibri" w:hAnsi="Calibri" w:cs="Calibri"/>
        <w:sz w:val="20"/>
        <w:szCs w:val="20"/>
      </w:rPr>
    </w:pPr>
    <w:r w:rsidRPr="00D8438E">
      <w:rPr>
        <w:rFonts w:ascii="Calibri" w:hAnsi="Calibri" w:cs="Calibri"/>
        <w:sz w:val="20"/>
        <w:szCs w:val="20"/>
      </w:rPr>
      <w:t xml:space="preserve">R. Bakewell (2204367) </w:t>
    </w:r>
    <w:r w:rsidR="00721E4C">
      <w:rPr>
        <w:rFonts w:ascii="Calibri" w:hAnsi="Calibri" w:cs="Calibri"/>
        <w:sz w:val="20"/>
        <w:szCs w:val="20"/>
      </w:rPr>
      <w:t xml:space="preserve">                                                                                                                         </w:t>
    </w:r>
    <w:r w:rsidRPr="00D8438E">
      <w:rPr>
        <w:rFonts w:ascii="Calibri" w:hAnsi="Calibri" w:cs="Calibri"/>
        <w:sz w:val="20"/>
        <w:szCs w:val="20"/>
      </w:rPr>
      <w:t>Module: HPHI5029</w:t>
    </w:r>
  </w:p>
  <w:p w14:paraId="0605232A" w14:textId="77777777" w:rsidR="005C1885" w:rsidRDefault="005C1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135AE8"/>
    <w:multiLevelType w:val="multilevel"/>
    <w:tmpl w:val="9CBEC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887AD0"/>
    <w:multiLevelType w:val="multilevel"/>
    <w:tmpl w:val="A800A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4960197">
    <w:abstractNumId w:val="1"/>
  </w:num>
  <w:num w:numId="2" w16cid:durableId="411899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396"/>
    <w:rsid w:val="00000C29"/>
    <w:rsid w:val="00003276"/>
    <w:rsid w:val="000243BA"/>
    <w:rsid w:val="00024DBF"/>
    <w:rsid w:val="00030165"/>
    <w:rsid w:val="00032AC9"/>
    <w:rsid w:val="00033190"/>
    <w:rsid w:val="000424D0"/>
    <w:rsid w:val="0004594E"/>
    <w:rsid w:val="000471B6"/>
    <w:rsid w:val="00047FE9"/>
    <w:rsid w:val="0005133C"/>
    <w:rsid w:val="00051742"/>
    <w:rsid w:val="0005357A"/>
    <w:rsid w:val="00055072"/>
    <w:rsid w:val="00055147"/>
    <w:rsid w:val="00055E24"/>
    <w:rsid w:val="00056AFA"/>
    <w:rsid w:val="0006000F"/>
    <w:rsid w:val="000623F8"/>
    <w:rsid w:val="0006256B"/>
    <w:rsid w:val="000629AF"/>
    <w:rsid w:val="0006522A"/>
    <w:rsid w:val="000671E0"/>
    <w:rsid w:val="00072417"/>
    <w:rsid w:val="0007515C"/>
    <w:rsid w:val="000758BE"/>
    <w:rsid w:val="00080F7D"/>
    <w:rsid w:val="00080F96"/>
    <w:rsid w:val="000821DD"/>
    <w:rsid w:val="00083504"/>
    <w:rsid w:val="0008580B"/>
    <w:rsid w:val="000928FF"/>
    <w:rsid w:val="000A0C9A"/>
    <w:rsid w:val="000A43EB"/>
    <w:rsid w:val="000A51B0"/>
    <w:rsid w:val="000B1BFC"/>
    <w:rsid w:val="000B5DF7"/>
    <w:rsid w:val="000B7E3D"/>
    <w:rsid w:val="000C611F"/>
    <w:rsid w:val="000C7739"/>
    <w:rsid w:val="000D17DD"/>
    <w:rsid w:val="000D2E27"/>
    <w:rsid w:val="000D3A18"/>
    <w:rsid w:val="000D4974"/>
    <w:rsid w:val="000D6934"/>
    <w:rsid w:val="000E17D3"/>
    <w:rsid w:val="000E4968"/>
    <w:rsid w:val="000F622C"/>
    <w:rsid w:val="00100102"/>
    <w:rsid w:val="001013F8"/>
    <w:rsid w:val="001020CD"/>
    <w:rsid w:val="00102476"/>
    <w:rsid w:val="00102605"/>
    <w:rsid w:val="00111F36"/>
    <w:rsid w:val="001124EF"/>
    <w:rsid w:val="0012551F"/>
    <w:rsid w:val="00126AC8"/>
    <w:rsid w:val="00126AEE"/>
    <w:rsid w:val="00132CD4"/>
    <w:rsid w:val="00134468"/>
    <w:rsid w:val="0013653F"/>
    <w:rsid w:val="00146961"/>
    <w:rsid w:val="00150EB1"/>
    <w:rsid w:val="00165B11"/>
    <w:rsid w:val="00167885"/>
    <w:rsid w:val="00170BED"/>
    <w:rsid w:val="00171CEC"/>
    <w:rsid w:val="0017672D"/>
    <w:rsid w:val="00177014"/>
    <w:rsid w:val="00177CF7"/>
    <w:rsid w:val="00177CFE"/>
    <w:rsid w:val="00180E8B"/>
    <w:rsid w:val="001828E9"/>
    <w:rsid w:val="00183053"/>
    <w:rsid w:val="001875C3"/>
    <w:rsid w:val="00192F6D"/>
    <w:rsid w:val="0019488C"/>
    <w:rsid w:val="00195A4B"/>
    <w:rsid w:val="00195EAC"/>
    <w:rsid w:val="001A1CAA"/>
    <w:rsid w:val="001A3651"/>
    <w:rsid w:val="001A427C"/>
    <w:rsid w:val="001A4415"/>
    <w:rsid w:val="001B2F7B"/>
    <w:rsid w:val="001B415C"/>
    <w:rsid w:val="001C26BD"/>
    <w:rsid w:val="001C388A"/>
    <w:rsid w:val="001C4BE4"/>
    <w:rsid w:val="001D2A89"/>
    <w:rsid w:val="001D7FF2"/>
    <w:rsid w:val="001F0643"/>
    <w:rsid w:val="001F280F"/>
    <w:rsid w:val="001F2F29"/>
    <w:rsid w:val="00205C08"/>
    <w:rsid w:val="00207D72"/>
    <w:rsid w:val="00210D78"/>
    <w:rsid w:val="0021700B"/>
    <w:rsid w:val="002246FB"/>
    <w:rsid w:val="00224E1F"/>
    <w:rsid w:val="00225EE0"/>
    <w:rsid w:val="00226437"/>
    <w:rsid w:val="00226463"/>
    <w:rsid w:val="00234487"/>
    <w:rsid w:val="00252BE9"/>
    <w:rsid w:val="00253680"/>
    <w:rsid w:val="0025418B"/>
    <w:rsid w:val="00255850"/>
    <w:rsid w:val="00256CE3"/>
    <w:rsid w:val="00257081"/>
    <w:rsid w:val="0026396A"/>
    <w:rsid w:val="002732D9"/>
    <w:rsid w:val="002906D4"/>
    <w:rsid w:val="0029084E"/>
    <w:rsid w:val="00291379"/>
    <w:rsid w:val="002A0DFC"/>
    <w:rsid w:val="002A30F9"/>
    <w:rsid w:val="002B2EA3"/>
    <w:rsid w:val="002B66BD"/>
    <w:rsid w:val="002C0A80"/>
    <w:rsid w:val="002C10C8"/>
    <w:rsid w:val="002C3CB3"/>
    <w:rsid w:val="002C56A4"/>
    <w:rsid w:val="002D4F2A"/>
    <w:rsid w:val="002E0C80"/>
    <w:rsid w:val="002F276A"/>
    <w:rsid w:val="002F46B4"/>
    <w:rsid w:val="003017B5"/>
    <w:rsid w:val="00301862"/>
    <w:rsid w:val="00301FFD"/>
    <w:rsid w:val="00311818"/>
    <w:rsid w:val="00311BB6"/>
    <w:rsid w:val="00325187"/>
    <w:rsid w:val="0032541D"/>
    <w:rsid w:val="00326FD7"/>
    <w:rsid w:val="003313DD"/>
    <w:rsid w:val="00332CC9"/>
    <w:rsid w:val="00340310"/>
    <w:rsid w:val="003443C4"/>
    <w:rsid w:val="00362ADE"/>
    <w:rsid w:val="00377C6C"/>
    <w:rsid w:val="00382ECB"/>
    <w:rsid w:val="0038680D"/>
    <w:rsid w:val="00387167"/>
    <w:rsid w:val="00387348"/>
    <w:rsid w:val="00397B61"/>
    <w:rsid w:val="003B097D"/>
    <w:rsid w:val="003B098D"/>
    <w:rsid w:val="003B3AA0"/>
    <w:rsid w:val="003B3B77"/>
    <w:rsid w:val="003B5574"/>
    <w:rsid w:val="003B6397"/>
    <w:rsid w:val="003B686D"/>
    <w:rsid w:val="003C621C"/>
    <w:rsid w:val="003D64F5"/>
    <w:rsid w:val="003E08AA"/>
    <w:rsid w:val="003E4185"/>
    <w:rsid w:val="003F3C35"/>
    <w:rsid w:val="003F4816"/>
    <w:rsid w:val="003F6D82"/>
    <w:rsid w:val="00401A68"/>
    <w:rsid w:val="004149CC"/>
    <w:rsid w:val="0041543A"/>
    <w:rsid w:val="00416E01"/>
    <w:rsid w:val="0042054C"/>
    <w:rsid w:val="004205D3"/>
    <w:rsid w:val="00421160"/>
    <w:rsid w:val="00423CC4"/>
    <w:rsid w:val="0042635E"/>
    <w:rsid w:val="00432AB8"/>
    <w:rsid w:val="0044062B"/>
    <w:rsid w:val="00447E49"/>
    <w:rsid w:val="004571FC"/>
    <w:rsid w:val="00457914"/>
    <w:rsid w:val="004627D3"/>
    <w:rsid w:val="0046702F"/>
    <w:rsid w:val="00473828"/>
    <w:rsid w:val="00476146"/>
    <w:rsid w:val="0047731E"/>
    <w:rsid w:val="00477924"/>
    <w:rsid w:val="00480C2E"/>
    <w:rsid w:val="004822B3"/>
    <w:rsid w:val="0048435D"/>
    <w:rsid w:val="004848EC"/>
    <w:rsid w:val="00491CE2"/>
    <w:rsid w:val="00496595"/>
    <w:rsid w:val="004A1893"/>
    <w:rsid w:val="004A18ED"/>
    <w:rsid w:val="004A1F34"/>
    <w:rsid w:val="004A2F57"/>
    <w:rsid w:val="004A4A69"/>
    <w:rsid w:val="004B4992"/>
    <w:rsid w:val="004B6B35"/>
    <w:rsid w:val="004C212B"/>
    <w:rsid w:val="004D314F"/>
    <w:rsid w:val="004D5757"/>
    <w:rsid w:val="004D7484"/>
    <w:rsid w:val="004E0501"/>
    <w:rsid w:val="004E1873"/>
    <w:rsid w:val="004F0325"/>
    <w:rsid w:val="005037EF"/>
    <w:rsid w:val="00512C87"/>
    <w:rsid w:val="00514BC9"/>
    <w:rsid w:val="00515E3B"/>
    <w:rsid w:val="00517061"/>
    <w:rsid w:val="005265BC"/>
    <w:rsid w:val="00541A4C"/>
    <w:rsid w:val="00541FB3"/>
    <w:rsid w:val="00542CDE"/>
    <w:rsid w:val="005449C7"/>
    <w:rsid w:val="00546409"/>
    <w:rsid w:val="00552011"/>
    <w:rsid w:val="00553096"/>
    <w:rsid w:val="005532F2"/>
    <w:rsid w:val="00554CD6"/>
    <w:rsid w:val="00555C83"/>
    <w:rsid w:val="00557673"/>
    <w:rsid w:val="00562179"/>
    <w:rsid w:val="0057118E"/>
    <w:rsid w:val="00573DB4"/>
    <w:rsid w:val="0057531E"/>
    <w:rsid w:val="00585488"/>
    <w:rsid w:val="00586645"/>
    <w:rsid w:val="00590A26"/>
    <w:rsid w:val="00592D85"/>
    <w:rsid w:val="005947D2"/>
    <w:rsid w:val="005A3C71"/>
    <w:rsid w:val="005B14F0"/>
    <w:rsid w:val="005B2BE6"/>
    <w:rsid w:val="005C072D"/>
    <w:rsid w:val="005C1885"/>
    <w:rsid w:val="005C2F55"/>
    <w:rsid w:val="005C4FB2"/>
    <w:rsid w:val="005D77B2"/>
    <w:rsid w:val="00605038"/>
    <w:rsid w:val="00605936"/>
    <w:rsid w:val="00605AC6"/>
    <w:rsid w:val="00610611"/>
    <w:rsid w:val="00610DA1"/>
    <w:rsid w:val="00611B87"/>
    <w:rsid w:val="00612C99"/>
    <w:rsid w:val="00614668"/>
    <w:rsid w:val="00615F66"/>
    <w:rsid w:val="00622A9A"/>
    <w:rsid w:val="00623C0A"/>
    <w:rsid w:val="00627EF1"/>
    <w:rsid w:val="00627F5E"/>
    <w:rsid w:val="006331D4"/>
    <w:rsid w:val="00633315"/>
    <w:rsid w:val="00635303"/>
    <w:rsid w:val="006426F9"/>
    <w:rsid w:val="0065053A"/>
    <w:rsid w:val="00654471"/>
    <w:rsid w:val="00654C55"/>
    <w:rsid w:val="0066135F"/>
    <w:rsid w:val="00664F60"/>
    <w:rsid w:val="006666AB"/>
    <w:rsid w:val="00667C2C"/>
    <w:rsid w:val="00674D34"/>
    <w:rsid w:val="00677FB6"/>
    <w:rsid w:val="00682D24"/>
    <w:rsid w:val="00693B4F"/>
    <w:rsid w:val="00694729"/>
    <w:rsid w:val="00694AC9"/>
    <w:rsid w:val="006B414B"/>
    <w:rsid w:val="006C02BA"/>
    <w:rsid w:val="006C2689"/>
    <w:rsid w:val="006D756A"/>
    <w:rsid w:val="006E0581"/>
    <w:rsid w:val="006E0CE3"/>
    <w:rsid w:val="006E1258"/>
    <w:rsid w:val="006F2EBC"/>
    <w:rsid w:val="006F6FCE"/>
    <w:rsid w:val="00712986"/>
    <w:rsid w:val="00714428"/>
    <w:rsid w:val="00716066"/>
    <w:rsid w:val="0072177F"/>
    <w:rsid w:val="007219F7"/>
    <w:rsid w:val="00721E4C"/>
    <w:rsid w:val="00741DC7"/>
    <w:rsid w:val="00750F4D"/>
    <w:rsid w:val="0076123D"/>
    <w:rsid w:val="00762697"/>
    <w:rsid w:val="0076327C"/>
    <w:rsid w:val="00764CA7"/>
    <w:rsid w:val="00767139"/>
    <w:rsid w:val="00774E8D"/>
    <w:rsid w:val="007769C2"/>
    <w:rsid w:val="00776A50"/>
    <w:rsid w:val="00786A10"/>
    <w:rsid w:val="007A4BB6"/>
    <w:rsid w:val="007A62EB"/>
    <w:rsid w:val="007A7C0C"/>
    <w:rsid w:val="007B46AE"/>
    <w:rsid w:val="007B5234"/>
    <w:rsid w:val="007B593C"/>
    <w:rsid w:val="007B5C46"/>
    <w:rsid w:val="007C57AE"/>
    <w:rsid w:val="007C61D6"/>
    <w:rsid w:val="007C639D"/>
    <w:rsid w:val="007D026B"/>
    <w:rsid w:val="007D5B3C"/>
    <w:rsid w:val="007E16D1"/>
    <w:rsid w:val="007E5359"/>
    <w:rsid w:val="007E683F"/>
    <w:rsid w:val="007F43A1"/>
    <w:rsid w:val="008010F2"/>
    <w:rsid w:val="008053A8"/>
    <w:rsid w:val="00806B19"/>
    <w:rsid w:val="00807F6A"/>
    <w:rsid w:val="0081218E"/>
    <w:rsid w:val="00813CFE"/>
    <w:rsid w:val="008165D1"/>
    <w:rsid w:val="0081749B"/>
    <w:rsid w:val="00817B33"/>
    <w:rsid w:val="008217B8"/>
    <w:rsid w:val="00823BD0"/>
    <w:rsid w:val="00824403"/>
    <w:rsid w:val="008258DA"/>
    <w:rsid w:val="00831790"/>
    <w:rsid w:val="00835831"/>
    <w:rsid w:val="00835D31"/>
    <w:rsid w:val="00841701"/>
    <w:rsid w:val="00846DA4"/>
    <w:rsid w:val="00850947"/>
    <w:rsid w:val="00853E45"/>
    <w:rsid w:val="0085742A"/>
    <w:rsid w:val="00866B45"/>
    <w:rsid w:val="00867D73"/>
    <w:rsid w:val="008723EE"/>
    <w:rsid w:val="00872E5E"/>
    <w:rsid w:val="00875964"/>
    <w:rsid w:val="00881675"/>
    <w:rsid w:val="00881E80"/>
    <w:rsid w:val="00886077"/>
    <w:rsid w:val="008A33A8"/>
    <w:rsid w:val="008A6440"/>
    <w:rsid w:val="008B188B"/>
    <w:rsid w:val="008B37C5"/>
    <w:rsid w:val="008B482E"/>
    <w:rsid w:val="008B6F3F"/>
    <w:rsid w:val="008C11F1"/>
    <w:rsid w:val="008C3F49"/>
    <w:rsid w:val="008C43B2"/>
    <w:rsid w:val="008C7535"/>
    <w:rsid w:val="008D3A06"/>
    <w:rsid w:val="008D45A7"/>
    <w:rsid w:val="008D7F29"/>
    <w:rsid w:val="008E029C"/>
    <w:rsid w:val="008E2D24"/>
    <w:rsid w:val="008F01B7"/>
    <w:rsid w:val="008F5EDF"/>
    <w:rsid w:val="00901005"/>
    <w:rsid w:val="009013A1"/>
    <w:rsid w:val="009039D1"/>
    <w:rsid w:val="00904A5B"/>
    <w:rsid w:val="009050ED"/>
    <w:rsid w:val="00907876"/>
    <w:rsid w:val="00911838"/>
    <w:rsid w:val="009240AC"/>
    <w:rsid w:val="009251A3"/>
    <w:rsid w:val="00933472"/>
    <w:rsid w:val="009363F5"/>
    <w:rsid w:val="00936841"/>
    <w:rsid w:val="00944DAD"/>
    <w:rsid w:val="00945608"/>
    <w:rsid w:val="00945AF4"/>
    <w:rsid w:val="0095578E"/>
    <w:rsid w:val="009559FD"/>
    <w:rsid w:val="009576E9"/>
    <w:rsid w:val="00964FFF"/>
    <w:rsid w:val="00974D01"/>
    <w:rsid w:val="00975866"/>
    <w:rsid w:val="00977EC4"/>
    <w:rsid w:val="00980872"/>
    <w:rsid w:val="00980C27"/>
    <w:rsid w:val="009839FC"/>
    <w:rsid w:val="00985F8A"/>
    <w:rsid w:val="00992EE5"/>
    <w:rsid w:val="009970AE"/>
    <w:rsid w:val="009A6F1D"/>
    <w:rsid w:val="009B0E20"/>
    <w:rsid w:val="009B54BC"/>
    <w:rsid w:val="009C023A"/>
    <w:rsid w:val="009C1A97"/>
    <w:rsid w:val="009C2060"/>
    <w:rsid w:val="009C5DA8"/>
    <w:rsid w:val="009D3A5C"/>
    <w:rsid w:val="009D7503"/>
    <w:rsid w:val="009E0B69"/>
    <w:rsid w:val="009E2B6D"/>
    <w:rsid w:val="009E4658"/>
    <w:rsid w:val="009E4CB1"/>
    <w:rsid w:val="009E5F59"/>
    <w:rsid w:val="009E6A1C"/>
    <w:rsid w:val="009E6FD8"/>
    <w:rsid w:val="009F0262"/>
    <w:rsid w:val="009F28F0"/>
    <w:rsid w:val="009F3F6A"/>
    <w:rsid w:val="009F4586"/>
    <w:rsid w:val="00A00731"/>
    <w:rsid w:val="00A00A9C"/>
    <w:rsid w:val="00A055F2"/>
    <w:rsid w:val="00A2119A"/>
    <w:rsid w:val="00A23B8D"/>
    <w:rsid w:val="00A25820"/>
    <w:rsid w:val="00A27FCA"/>
    <w:rsid w:val="00A32E8A"/>
    <w:rsid w:val="00A406B8"/>
    <w:rsid w:val="00A40AA4"/>
    <w:rsid w:val="00A4472F"/>
    <w:rsid w:val="00A475E4"/>
    <w:rsid w:val="00A51493"/>
    <w:rsid w:val="00A51568"/>
    <w:rsid w:val="00A51C5C"/>
    <w:rsid w:val="00A525FD"/>
    <w:rsid w:val="00A56A6B"/>
    <w:rsid w:val="00A64CFD"/>
    <w:rsid w:val="00A85C79"/>
    <w:rsid w:val="00A87509"/>
    <w:rsid w:val="00AA0EE8"/>
    <w:rsid w:val="00AB1865"/>
    <w:rsid w:val="00AB1D1E"/>
    <w:rsid w:val="00AB20C1"/>
    <w:rsid w:val="00AB607D"/>
    <w:rsid w:val="00AB6AA4"/>
    <w:rsid w:val="00AC06DD"/>
    <w:rsid w:val="00AC15AF"/>
    <w:rsid w:val="00AC1D23"/>
    <w:rsid w:val="00AC1E7D"/>
    <w:rsid w:val="00AC5BDB"/>
    <w:rsid w:val="00AD16D9"/>
    <w:rsid w:val="00AD22FA"/>
    <w:rsid w:val="00AD3767"/>
    <w:rsid w:val="00AE28F3"/>
    <w:rsid w:val="00AE3DC6"/>
    <w:rsid w:val="00AE6090"/>
    <w:rsid w:val="00AF05EA"/>
    <w:rsid w:val="00AF12D8"/>
    <w:rsid w:val="00AF3B65"/>
    <w:rsid w:val="00B013CE"/>
    <w:rsid w:val="00B0355D"/>
    <w:rsid w:val="00B04DB7"/>
    <w:rsid w:val="00B13CEA"/>
    <w:rsid w:val="00B165E5"/>
    <w:rsid w:val="00B20EB0"/>
    <w:rsid w:val="00B22EC4"/>
    <w:rsid w:val="00B23348"/>
    <w:rsid w:val="00B32B29"/>
    <w:rsid w:val="00B414A1"/>
    <w:rsid w:val="00B43A94"/>
    <w:rsid w:val="00B442A5"/>
    <w:rsid w:val="00B46A1F"/>
    <w:rsid w:val="00B50EE4"/>
    <w:rsid w:val="00B530A2"/>
    <w:rsid w:val="00B5426E"/>
    <w:rsid w:val="00B54BE7"/>
    <w:rsid w:val="00B6038B"/>
    <w:rsid w:val="00B6302F"/>
    <w:rsid w:val="00B659EA"/>
    <w:rsid w:val="00B65B6E"/>
    <w:rsid w:val="00B70325"/>
    <w:rsid w:val="00B8098B"/>
    <w:rsid w:val="00B8170F"/>
    <w:rsid w:val="00B86C13"/>
    <w:rsid w:val="00B90171"/>
    <w:rsid w:val="00B951DF"/>
    <w:rsid w:val="00B96BA1"/>
    <w:rsid w:val="00BA470E"/>
    <w:rsid w:val="00BC3381"/>
    <w:rsid w:val="00BC5DAC"/>
    <w:rsid w:val="00BD167A"/>
    <w:rsid w:val="00BD26DC"/>
    <w:rsid w:val="00BD5902"/>
    <w:rsid w:val="00BD591F"/>
    <w:rsid w:val="00BE66BC"/>
    <w:rsid w:val="00C03C64"/>
    <w:rsid w:val="00C05461"/>
    <w:rsid w:val="00C054DE"/>
    <w:rsid w:val="00C17A6A"/>
    <w:rsid w:val="00C207C2"/>
    <w:rsid w:val="00C20FAF"/>
    <w:rsid w:val="00C2115D"/>
    <w:rsid w:val="00C30042"/>
    <w:rsid w:val="00C3194F"/>
    <w:rsid w:val="00C32053"/>
    <w:rsid w:val="00C37B8E"/>
    <w:rsid w:val="00C42DB3"/>
    <w:rsid w:val="00C446FF"/>
    <w:rsid w:val="00C504D2"/>
    <w:rsid w:val="00C621E4"/>
    <w:rsid w:val="00C6392F"/>
    <w:rsid w:val="00C63C4B"/>
    <w:rsid w:val="00C6739E"/>
    <w:rsid w:val="00C74943"/>
    <w:rsid w:val="00C77B54"/>
    <w:rsid w:val="00C805F9"/>
    <w:rsid w:val="00C816B1"/>
    <w:rsid w:val="00C85F7D"/>
    <w:rsid w:val="00C87056"/>
    <w:rsid w:val="00C87AEF"/>
    <w:rsid w:val="00CA4CA8"/>
    <w:rsid w:val="00CB25BC"/>
    <w:rsid w:val="00CB3DFA"/>
    <w:rsid w:val="00CB71A0"/>
    <w:rsid w:val="00CC1D8C"/>
    <w:rsid w:val="00CC5D3D"/>
    <w:rsid w:val="00CD0DF4"/>
    <w:rsid w:val="00CD29C3"/>
    <w:rsid w:val="00CE10BD"/>
    <w:rsid w:val="00CE1396"/>
    <w:rsid w:val="00CE5191"/>
    <w:rsid w:val="00CE7497"/>
    <w:rsid w:val="00CF4ABB"/>
    <w:rsid w:val="00CF6C98"/>
    <w:rsid w:val="00D009B1"/>
    <w:rsid w:val="00D026D3"/>
    <w:rsid w:val="00D130FD"/>
    <w:rsid w:val="00D16E18"/>
    <w:rsid w:val="00D2150B"/>
    <w:rsid w:val="00D220DC"/>
    <w:rsid w:val="00D25F7A"/>
    <w:rsid w:val="00D32908"/>
    <w:rsid w:val="00D42047"/>
    <w:rsid w:val="00D43C3D"/>
    <w:rsid w:val="00D44CCE"/>
    <w:rsid w:val="00D53318"/>
    <w:rsid w:val="00D5648C"/>
    <w:rsid w:val="00D57950"/>
    <w:rsid w:val="00D57F47"/>
    <w:rsid w:val="00D6140A"/>
    <w:rsid w:val="00D61C68"/>
    <w:rsid w:val="00D73D70"/>
    <w:rsid w:val="00D75537"/>
    <w:rsid w:val="00D828A5"/>
    <w:rsid w:val="00D8438E"/>
    <w:rsid w:val="00D906E9"/>
    <w:rsid w:val="00D91E2E"/>
    <w:rsid w:val="00D94214"/>
    <w:rsid w:val="00DA66BA"/>
    <w:rsid w:val="00DA6BD9"/>
    <w:rsid w:val="00DA70CE"/>
    <w:rsid w:val="00DB5C29"/>
    <w:rsid w:val="00DC7894"/>
    <w:rsid w:val="00DE0250"/>
    <w:rsid w:val="00DF516A"/>
    <w:rsid w:val="00DF6A94"/>
    <w:rsid w:val="00DF733C"/>
    <w:rsid w:val="00E02C05"/>
    <w:rsid w:val="00E032DE"/>
    <w:rsid w:val="00E044D3"/>
    <w:rsid w:val="00E05B97"/>
    <w:rsid w:val="00E1322A"/>
    <w:rsid w:val="00E178FE"/>
    <w:rsid w:val="00E24F39"/>
    <w:rsid w:val="00E31618"/>
    <w:rsid w:val="00E3632E"/>
    <w:rsid w:val="00E42107"/>
    <w:rsid w:val="00E5102D"/>
    <w:rsid w:val="00E51739"/>
    <w:rsid w:val="00E62277"/>
    <w:rsid w:val="00E63531"/>
    <w:rsid w:val="00E64236"/>
    <w:rsid w:val="00E64584"/>
    <w:rsid w:val="00E65217"/>
    <w:rsid w:val="00E7037F"/>
    <w:rsid w:val="00E70AC3"/>
    <w:rsid w:val="00E7175C"/>
    <w:rsid w:val="00E71C16"/>
    <w:rsid w:val="00E73120"/>
    <w:rsid w:val="00E735E5"/>
    <w:rsid w:val="00E821B7"/>
    <w:rsid w:val="00E84987"/>
    <w:rsid w:val="00E85BA3"/>
    <w:rsid w:val="00E86489"/>
    <w:rsid w:val="00E87C91"/>
    <w:rsid w:val="00E91C35"/>
    <w:rsid w:val="00E92803"/>
    <w:rsid w:val="00E94CDB"/>
    <w:rsid w:val="00EA0E82"/>
    <w:rsid w:val="00EA26CE"/>
    <w:rsid w:val="00EA57E6"/>
    <w:rsid w:val="00EA5D62"/>
    <w:rsid w:val="00EA7193"/>
    <w:rsid w:val="00EB3204"/>
    <w:rsid w:val="00EC2B84"/>
    <w:rsid w:val="00EC3D51"/>
    <w:rsid w:val="00EC5D2B"/>
    <w:rsid w:val="00ED2A79"/>
    <w:rsid w:val="00ED3A3A"/>
    <w:rsid w:val="00ED4B00"/>
    <w:rsid w:val="00ED599C"/>
    <w:rsid w:val="00EE1C6C"/>
    <w:rsid w:val="00EE739D"/>
    <w:rsid w:val="00F017E9"/>
    <w:rsid w:val="00F02A63"/>
    <w:rsid w:val="00F04801"/>
    <w:rsid w:val="00F1005D"/>
    <w:rsid w:val="00F107ED"/>
    <w:rsid w:val="00F21DA2"/>
    <w:rsid w:val="00F27740"/>
    <w:rsid w:val="00F27E8F"/>
    <w:rsid w:val="00F308AB"/>
    <w:rsid w:val="00F30C00"/>
    <w:rsid w:val="00F34AAB"/>
    <w:rsid w:val="00F3704A"/>
    <w:rsid w:val="00F45343"/>
    <w:rsid w:val="00F45D63"/>
    <w:rsid w:val="00F46718"/>
    <w:rsid w:val="00F52E16"/>
    <w:rsid w:val="00F5621E"/>
    <w:rsid w:val="00F563FA"/>
    <w:rsid w:val="00F56895"/>
    <w:rsid w:val="00F628E1"/>
    <w:rsid w:val="00F649E4"/>
    <w:rsid w:val="00F67805"/>
    <w:rsid w:val="00F704BA"/>
    <w:rsid w:val="00F718C6"/>
    <w:rsid w:val="00F7280D"/>
    <w:rsid w:val="00F72FF7"/>
    <w:rsid w:val="00F73248"/>
    <w:rsid w:val="00F7512C"/>
    <w:rsid w:val="00F77270"/>
    <w:rsid w:val="00F80C34"/>
    <w:rsid w:val="00F82ACD"/>
    <w:rsid w:val="00FA7923"/>
    <w:rsid w:val="00FB3360"/>
    <w:rsid w:val="00FC5BA6"/>
    <w:rsid w:val="00FC63D7"/>
    <w:rsid w:val="00FC7438"/>
    <w:rsid w:val="00FD00E5"/>
    <w:rsid w:val="00FD26C4"/>
    <w:rsid w:val="00FD26F1"/>
    <w:rsid w:val="00FD2C30"/>
    <w:rsid w:val="00FD4BBA"/>
    <w:rsid w:val="00FD7C11"/>
    <w:rsid w:val="00FE399B"/>
    <w:rsid w:val="00FE3E05"/>
    <w:rsid w:val="00FE4EB2"/>
    <w:rsid w:val="00FE52EB"/>
    <w:rsid w:val="00FE56DB"/>
    <w:rsid w:val="00FF1957"/>
    <w:rsid w:val="00FF2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1ECE3D"/>
  <w15:chartTrackingRefBased/>
  <w15:docId w15:val="{A5078B2D-0DF5-447A-AB8B-1EF878B77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1396"/>
  </w:style>
  <w:style w:type="paragraph" w:styleId="Heading1">
    <w:name w:val="heading 1"/>
    <w:basedOn w:val="Normal"/>
    <w:next w:val="Normal"/>
    <w:link w:val="Heading1Char"/>
    <w:uiPriority w:val="9"/>
    <w:qFormat/>
    <w:rsid w:val="00CE13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13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13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13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13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13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13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13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13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3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13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13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13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13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13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13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13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1396"/>
    <w:rPr>
      <w:rFonts w:eastAsiaTheme="majorEastAsia" w:cstheme="majorBidi"/>
      <w:color w:val="272727" w:themeColor="text1" w:themeTint="D8"/>
    </w:rPr>
  </w:style>
  <w:style w:type="paragraph" w:styleId="Title">
    <w:name w:val="Title"/>
    <w:basedOn w:val="Normal"/>
    <w:next w:val="Normal"/>
    <w:link w:val="TitleChar"/>
    <w:uiPriority w:val="10"/>
    <w:qFormat/>
    <w:rsid w:val="00CE13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13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13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13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1396"/>
    <w:pPr>
      <w:spacing w:before="160"/>
      <w:jc w:val="center"/>
    </w:pPr>
    <w:rPr>
      <w:i/>
      <w:iCs/>
      <w:color w:val="404040" w:themeColor="text1" w:themeTint="BF"/>
    </w:rPr>
  </w:style>
  <w:style w:type="character" w:customStyle="1" w:styleId="QuoteChar">
    <w:name w:val="Quote Char"/>
    <w:basedOn w:val="DefaultParagraphFont"/>
    <w:link w:val="Quote"/>
    <w:uiPriority w:val="29"/>
    <w:rsid w:val="00CE1396"/>
    <w:rPr>
      <w:i/>
      <w:iCs/>
      <w:color w:val="404040" w:themeColor="text1" w:themeTint="BF"/>
    </w:rPr>
  </w:style>
  <w:style w:type="paragraph" w:styleId="ListParagraph">
    <w:name w:val="List Paragraph"/>
    <w:basedOn w:val="Normal"/>
    <w:uiPriority w:val="34"/>
    <w:qFormat/>
    <w:rsid w:val="00CE1396"/>
    <w:pPr>
      <w:ind w:left="720"/>
      <w:contextualSpacing/>
    </w:pPr>
  </w:style>
  <w:style w:type="character" w:styleId="IntenseEmphasis">
    <w:name w:val="Intense Emphasis"/>
    <w:basedOn w:val="DefaultParagraphFont"/>
    <w:uiPriority w:val="21"/>
    <w:qFormat/>
    <w:rsid w:val="00CE1396"/>
    <w:rPr>
      <w:i/>
      <w:iCs/>
      <w:color w:val="0F4761" w:themeColor="accent1" w:themeShade="BF"/>
    </w:rPr>
  </w:style>
  <w:style w:type="paragraph" w:styleId="IntenseQuote">
    <w:name w:val="Intense Quote"/>
    <w:basedOn w:val="Normal"/>
    <w:next w:val="Normal"/>
    <w:link w:val="IntenseQuoteChar"/>
    <w:uiPriority w:val="30"/>
    <w:qFormat/>
    <w:rsid w:val="00CE13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1396"/>
    <w:rPr>
      <w:i/>
      <w:iCs/>
      <w:color w:val="0F4761" w:themeColor="accent1" w:themeShade="BF"/>
    </w:rPr>
  </w:style>
  <w:style w:type="character" w:styleId="IntenseReference">
    <w:name w:val="Intense Reference"/>
    <w:basedOn w:val="DefaultParagraphFont"/>
    <w:uiPriority w:val="32"/>
    <w:qFormat/>
    <w:rsid w:val="00CE1396"/>
    <w:rPr>
      <w:b/>
      <w:bCs/>
      <w:smallCaps/>
      <w:color w:val="0F4761" w:themeColor="accent1" w:themeShade="BF"/>
      <w:spacing w:val="5"/>
    </w:rPr>
  </w:style>
  <w:style w:type="character" w:customStyle="1" w:styleId="normaltextrun">
    <w:name w:val="normaltextrun"/>
    <w:basedOn w:val="DefaultParagraphFont"/>
    <w:rsid w:val="00CE1396"/>
  </w:style>
  <w:style w:type="character" w:customStyle="1" w:styleId="eop">
    <w:name w:val="eop"/>
    <w:basedOn w:val="DefaultParagraphFont"/>
    <w:rsid w:val="00CE1396"/>
  </w:style>
  <w:style w:type="paragraph" w:styleId="NormalWeb">
    <w:name w:val="Normal (Web)"/>
    <w:basedOn w:val="Normal"/>
    <w:uiPriority w:val="99"/>
    <w:semiHidden/>
    <w:unhideWhenUsed/>
    <w:rsid w:val="00171CEC"/>
    <w:rPr>
      <w:rFonts w:ascii="Times New Roman" w:hAnsi="Times New Roman" w:cs="Times New Roman"/>
      <w:sz w:val="24"/>
      <w:szCs w:val="24"/>
    </w:rPr>
  </w:style>
  <w:style w:type="character" w:styleId="Hyperlink">
    <w:name w:val="Hyperlink"/>
    <w:basedOn w:val="DefaultParagraphFont"/>
    <w:uiPriority w:val="99"/>
    <w:unhideWhenUsed/>
    <w:rsid w:val="00377C6C"/>
    <w:rPr>
      <w:color w:val="467886" w:themeColor="hyperlink"/>
      <w:u w:val="single"/>
    </w:rPr>
  </w:style>
  <w:style w:type="character" w:styleId="FollowedHyperlink">
    <w:name w:val="FollowedHyperlink"/>
    <w:basedOn w:val="DefaultParagraphFont"/>
    <w:uiPriority w:val="99"/>
    <w:semiHidden/>
    <w:unhideWhenUsed/>
    <w:rsid w:val="00B530A2"/>
    <w:rPr>
      <w:color w:val="96607D" w:themeColor="followedHyperlink"/>
      <w:u w:val="single"/>
    </w:rPr>
  </w:style>
  <w:style w:type="character" w:styleId="UnresolvedMention">
    <w:name w:val="Unresolved Mention"/>
    <w:basedOn w:val="DefaultParagraphFont"/>
    <w:uiPriority w:val="99"/>
    <w:semiHidden/>
    <w:unhideWhenUsed/>
    <w:rsid w:val="004571FC"/>
    <w:rPr>
      <w:color w:val="605E5C"/>
      <w:shd w:val="clear" w:color="auto" w:fill="E1DFDD"/>
    </w:rPr>
  </w:style>
  <w:style w:type="paragraph" w:styleId="Header">
    <w:name w:val="header"/>
    <w:basedOn w:val="Normal"/>
    <w:link w:val="HeaderChar"/>
    <w:uiPriority w:val="99"/>
    <w:unhideWhenUsed/>
    <w:rsid w:val="00C211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115D"/>
  </w:style>
  <w:style w:type="paragraph" w:styleId="Footer">
    <w:name w:val="footer"/>
    <w:basedOn w:val="Normal"/>
    <w:link w:val="FooterChar"/>
    <w:uiPriority w:val="99"/>
    <w:unhideWhenUsed/>
    <w:rsid w:val="00C211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1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570824">
      <w:bodyDiv w:val="1"/>
      <w:marLeft w:val="0"/>
      <w:marRight w:val="0"/>
      <w:marTop w:val="0"/>
      <w:marBottom w:val="0"/>
      <w:divBdr>
        <w:top w:val="none" w:sz="0" w:space="0" w:color="auto"/>
        <w:left w:val="none" w:sz="0" w:space="0" w:color="auto"/>
        <w:bottom w:val="none" w:sz="0" w:space="0" w:color="auto"/>
        <w:right w:val="none" w:sz="0" w:space="0" w:color="auto"/>
      </w:divBdr>
      <w:divsChild>
        <w:div w:id="738557037">
          <w:marLeft w:val="0"/>
          <w:marRight w:val="0"/>
          <w:marTop w:val="0"/>
          <w:marBottom w:val="0"/>
          <w:divBdr>
            <w:top w:val="none" w:sz="0" w:space="0" w:color="auto"/>
            <w:left w:val="none" w:sz="0" w:space="0" w:color="auto"/>
            <w:bottom w:val="none" w:sz="0" w:space="0" w:color="auto"/>
            <w:right w:val="none" w:sz="0" w:space="0" w:color="auto"/>
          </w:divBdr>
          <w:divsChild>
            <w:div w:id="828522001">
              <w:marLeft w:val="0"/>
              <w:marRight w:val="0"/>
              <w:marTop w:val="0"/>
              <w:marBottom w:val="0"/>
              <w:divBdr>
                <w:top w:val="none" w:sz="0" w:space="0" w:color="auto"/>
                <w:left w:val="none" w:sz="0" w:space="0" w:color="auto"/>
                <w:bottom w:val="none" w:sz="0" w:space="0" w:color="auto"/>
                <w:right w:val="none" w:sz="0" w:space="0" w:color="auto"/>
              </w:divBdr>
              <w:divsChild>
                <w:div w:id="850342383">
                  <w:marLeft w:val="0"/>
                  <w:marRight w:val="0"/>
                  <w:marTop w:val="0"/>
                  <w:marBottom w:val="0"/>
                  <w:divBdr>
                    <w:top w:val="none" w:sz="0" w:space="0" w:color="auto"/>
                    <w:left w:val="none" w:sz="0" w:space="0" w:color="auto"/>
                    <w:bottom w:val="none" w:sz="0" w:space="0" w:color="auto"/>
                    <w:right w:val="none" w:sz="0" w:space="0" w:color="auto"/>
                  </w:divBdr>
                  <w:divsChild>
                    <w:div w:id="760830059">
                      <w:marLeft w:val="0"/>
                      <w:marRight w:val="0"/>
                      <w:marTop w:val="0"/>
                      <w:marBottom w:val="0"/>
                      <w:divBdr>
                        <w:top w:val="none" w:sz="0" w:space="0" w:color="auto"/>
                        <w:left w:val="none" w:sz="0" w:space="0" w:color="auto"/>
                        <w:bottom w:val="none" w:sz="0" w:space="0" w:color="auto"/>
                        <w:right w:val="none" w:sz="0" w:space="0" w:color="auto"/>
                      </w:divBdr>
                      <w:divsChild>
                        <w:div w:id="488793857">
                          <w:marLeft w:val="0"/>
                          <w:marRight w:val="0"/>
                          <w:marTop w:val="0"/>
                          <w:marBottom w:val="0"/>
                          <w:divBdr>
                            <w:top w:val="none" w:sz="0" w:space="0" w:color="auto"/>
                            <w:left w:val="none" w:sz="0" w:space="0" w:color="auto"/>
                            <w:bottom w:val="none" w:sz="0" w:space="0" w:color="auto"/>
                            <w:right w:val="none" w:sz="0" w:space="0" w:color="auto"/>
                          </w:divBdr>
                          <w:divsChild>
                            <w:div w:id="118640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0687389">
      <w:bodyDiv w:val="1"/>
      <w:marLeft w:val="0"/>
      <w:marRight w:val="0"/>
      <w:marTop w:val="0"/>
      <w:marBottom w:val="0"/>
      <w:divBdr>
        <w:top w:val="none" w:sz="0" w:space="0" w:color="auto"/>
        <w:left w:val="none" w:sz="0" w:space="0" w:color="auto"/>
        <w:bottom w:val="none" w:sz="0" w:space="0" w:color="auto"/>
        <w:right w:val="none" w:sz="0" w:space="0" w:color="auto"/>
      </w:divBdr>
    </w:div>
    <w:div w:id="572620529">
      <w:bodyDiv w:val="1"/>
      <w:marLeft w:val="0"/>
      <w:marRight w:val="0"/>
      <w:marTop w:val="0"/>
      <w:marBottom w:val="0"/>
      <w:divBdr>
        <w:top w:val="none" w:sz="0" w:space="0" w:color="auto"/>
        <w:left w:val="none" w:sz="0" w:space="0" w:color="auto"/>
        <w:bottom w:val="none" w:sz="0" w:space="0" w:color="auto"/>
        <w:right w:val="none" w:sz="0" w:space="0" w:color="auto"/>
      </w:divBdr>
    </w:div>
    <w:div w:id="604457177">
      <w:bodyDiv w:val="1"/>
      <w:marLeft w:val="0"/>
      <w:marRight w:val="0"/>
      <w:marTop w:val="0"/>
      <w:marBottom w:val="0"/>
      <w:divBdr>
        <w:top w:val="none" w:sz="0" w:space="0" w:color="auto"/>
        <w:left w:val="none" w:sz="0" w:space="0" w:color="auto"/>
        <w:bottom w:val="none" w:sz="0" w:space="0" w:color="auto"/>
        <w:right w:val="none" w:sz="0" w:space="0" w:color="auto"/>
      </w:divBdr>
    </w:div>
    <w:div w:id="750810509">
      <w:bodyDiv w:val="1"/>
      <w:marLeft w:val="0"/>
      <w:marRight w:val="0"/>
      <w:marTop w:val="0"/>
      <w:marBottom w:val="0"/>
      <w:divBdr>
        <w:top w:val="none" w:sz="0" w:space="0" w:color="auto"/>
        <w:left w:val="none" w:sz="0" w:space="0" w:color="auto"/>
        <w:bottom w:val="none" w:sz="0" w:space="0" w:color="auto"/>
        <w:right w:val="none" w:sz="0" w:space="0" w:color="auto"/>
      </w:divBdr>
    </w:div>
    <w:div w:id="750853448">
      <w:bodyDiv w:val="1"/>
      <w:marLeft w:val="0"/>
      <w:marRight w:val="0"/>
      <w:marTop w:val="0"/>
      <w:marBottom w:val="0"/>
      <w:divBdr>
        <w:top w:val="none" w:sz="0" w:space="0" w:color="auto"/>
        <w:left w:val="none" w:sz="0" w:space="0" w:color="auto"/>
        <w:bottom w:val="none" w:sz="0" w:space="0" w:color="auto"/>
        <w:right w:val="none" w:sz="0" w:space="0" w:color="auto"/>
      </w:divBdr>
    </w:div>
    <w:div w:id="806321280">
      <w:bodyDiv w:val="1"/>
      <w:marLeft w:val="0"/>
      <w:marRight w:val="0"/>
      <w:marTop w:val="0"/>
      <w:marBottom w:val="0"/>
      <w:divBdr>
        <w:top w:val="none" w:sz="0" w:space="0" w:color="auto"/>
        <w:left w:val="none" w:sz="0" w:space="0" w:color="auto"/>
        <w:bottom w:val="none" w:sz="0" w:space="0" w:color="auto"/>
        <w:right w:val="none" w:sz="0" w:space="0" w:color="auto"/>
      </w:divBdr>
    </w:div>
    <w:div w:id="886181399">
      <w:bodyDiv w:val="1"/>
      <w:marLeft w:val="0"/>
      <w:marRight w:val="0"/>
      <w:marTop w:val="0"/>
      <w:marBottom w:val="0"/>
      <w:divBdr>
        <w:top w:val="none" w:sz="0" w:space="0" w:color="auto"/>
        <w:left w:val="none" w:sz="0" w:space="0" w:color="auto"/>
        <w:bottom w:val="none" w:sz="0" w:space="0" w:color="auto"/>
        <w:right w:val="none" w:sz="0" w:space="0" w:color="auto"/>
      </w:divBdr>
    </w:div>
    <w:div w:id="938946594">
      <w:bodyDiv w:val="1"/>
      <w:marLeft w:val="0"/>
      <w:marRight w:val="0"/>
      <w:marTop w:val="0"/>
      <w:marBottom w:val="0"/>
      <w:divBdr>
        <w:top w:val="none" w:sz="0" w:space="0" w:color="auto"/>
        <w:left w:val="none" w:sz="0" w:space="0" w:color="auto"/>
        <w:bottom w:val="none" w:sz="0" w:space="0" w:color="auto"/>
        <w:right w:val="none" w:sz="0" w:space="0" w:color="auto"/>
      </w:divBdr>
    </w:div>
    <w:div w:id="1011877792">
      <w:bodyDiv w:val="1"/>
      <w:marLeft w:val="0"/>
      <w:marRight w:val="0"/>
      <w:marTop w:val="0"/>
      <w:marBottom w:val="0"/>
      <w:divBdr>
        <w:top w:val="none" w:sz="0" w:space="0" w:color="auto"/>
        <w:left w:val="none" w:sz="0" w:space="0" w:color="auto"/>
        <w:bottom w:val="none" w:sz="0" w:space="0" w:color="auto"/>
        <w:right w:val="none" w:sz="0" w:space="0" w:color="auto"/>
      </w:divBdr>
    </w:div>
    <w:div w:id="1039666703">
      <w:bodyDiv w:val="1"/>
      <w:marLeft w:val="0"/>
      <w:marRight w:val="0"/>
      <w:marTop w:val="0"/>
      <w:marBottom w:val="0"/>
      <w:divBdr>
        <w:top w:val="none" w:sz="0" w:space="0" w:color="auto"/>
        <w:left w:val="none" w:sz="0" w:space="0" w:color="auto"/>
        <w:bottom w:val="none" w:sz="0" w:space="0" w:color="auto"/>
        <w:right w:val="none" w:sz="0" w:space="0" w:color="auto"/>
      </w:divBdr>
    </w:div>
    <w:div w:id="1107427673">
      <w:bodyDiv w:val="1"/>
      <w:marLeft w:val="0"/>
      <w:marRight w:val="0"/>
      <w:marTop w:val="0"/>
      <w:marBottom w:val="0"/>
      <w:divBdr>
        <w:top w:val="none" w:sz="0" w:space="0" w:color="auto"/>
        <w:left w:val="none" w:sz="0" w:space="0" w:color="auto"/>
        <w:bottom w:val="none" w:sz="0" w:space="0" w:color="auto"/>
        <w:right w:val="none" w:sz="0" w:space="0" w:color="auto"/>
      </w:divBdr>
    </w:div>
    <w:div w:id="1121345446">
      <w:bodyDiv w:val="1"/>
      <w:marLeft w:val="0"/>
      <w:marRight w:val="0"/>
      <w:marTop w:val="0"/>
      <w:marBottom w:val="0"/>
      <w:divBdr>
        <w:top w:val="none" w:sz="0" w:space="0" w:color="auto"/>
        <w:left w:val="none" w:sz="0" w:space="0" w:color="auto"/>
        <w:bottom w:val="none" w:sz="0" w:space="0" w:color="auto"/>
        <w:right w:val="none" w:sz="0" w:space="0" w:color="auto"/>
      </w:divBdr>
    </w:div>
    <w:div w:id="1141730617">
      <w:bodyDiv w:val="1"/>
      <w:marLeft w:val="0"/>
      <w:marRight w:val="0"/>
      <w:marTop w:val="0"/>
      <w:marBottom w:val="0"/>
      <w:divBdr>
        <w:top w:val="none" w:sz="0" w:space="0" w:color="auto"/>
        <w:left w:val="none" w:sz="0" w:space="0" w:color="auto"/>
        <w:bottom w:val="none" w:sz="0" w:space="0" w:color="auto"/>
        <w:right w:val="none" w:sz="0" w:space="0" w:color="auto"/>
      </w:divBdr>
    </w:div>
    <w:div w:id="1182472404">
      <w:bodyDiv w:val="1"/>
      <w:marLeft w:val="0"/>
      <w:marRight w:val="0"/>
      <w:marTop w:val="0"/>
      <w:marBottom w:val="0"/>
      <w:divBdr>
        <w:top w:val="none" w:sz="0" w:space="0" w:color="auto"/>
        <w:left w:val="none" w:sz="0" w:space="0" w:color="auto"/>
        <w:bottom w:val="none" w:sz="0" w:space="0" w:color="auto"/>
        <w:right w:val="none" w:sz="0" w:space="0" w:color="auto"/>
      </w:divBdr>
    </w:div>
    <w:div w:id="1182625624">
      <w:bodyDiv w:val="1"/>
      <w:marLeft w:val="0"/>
      <w:marRight w:val="0"/>
      <w:marTop w:val="0"/>
      <w:marBottom w:val="0"/>
      <w:divBdr>
        <w:top w:val="none" w:sz="0" w:space="0" w:color="auto"/>
        <w:left w:val="none" w:sz="0" w:space="0" w:color="auto"/>
        <w:bottom w:val="none" w:sz="0" w:space="0" w:color="auto"/>
        <w:right w:val="none" w:sz="0" w:space="0" w:color="auto"/>
      </w:divBdr>
    </w:div>
    <w:div w:id="1315795641">
      <w:bodyDiv w:val="1"/>
      <w:marLeft w:val="0"/>
      <w:marRight w:val="0"/>
      <w:marTop w:val="0"/>
      <w:marBottom w:val="0"/>
      <w:divBdr>
        <w:top w:val="none" w:sz="0" w:space="0" w:color="auto"/>
        <w:left w:val="none" w:sz="0" w:space="0" w:color="auto"/>
        <w:bottom w:val="none" w:sz="0" w:space="0" w:color="auto"/>
        <w:right w:val="none" w:sz="0" w:space="0" w:color="auto"/>
      </w:divBdr>
    </w:div>
    <w:div w:id="1372799983">
      <w:bodyDiv w:val="1"/>
      <w:marLeft w:val="0"/>
      <w:marRight w:val="0"/>
      <w:marTop w:val="0"/>
      <w:marBottom w:val="0"/>
      <w:divBdr>
        <w:top w:val="none" w:sz="0" w:space="0" w:color="auto"/>
        <w:left w:val="none" w:sz="0" w:space="0" w:color="auto"/>
        <w:bottom w:val="none" w:sz="0" w:space="0" w:color="auto"/>
        <w:right w:val="none" w:sz="0" w:space="0" w:color="auto"/>
      </w:divBdr>
    </w:div>
    <w:div w:id="1420830341">
      <w:bodyDiv w:val="1"/>
      <w:marLeft w:val="0"/>
      <w:marRight w:val="0"/>
      <w:marTop w:val="0"/>
      <w:marBottom w:val="0"/>
      <w:divBdr>
        <w:top w:val="none" w:sz="0" w:space="0" w:color="auto"/>
        <w:left w:val="none" w:sz="0" w:space="0" w:color="auto"/>
        <w:bottom w:val="none" w:sz="0" w:space="0" w:color="auto"/>
        <w:right w:val="none" w:sz="0" w:space="0" w:color="auto"/>
      </w:divBdr>
    </w:div>
    <w:div w:id="1537155345">
      <w:bodyDiv w:val="1"/>
      <w:marLeft w:val="0"/>
      <w:marRight w:val="0"/>
      <w:marTop w:val="0"/>
      <w:marBottom w:val="0"/>
      <w:divBdr>
        <w:top w:val="none" w:sz="0" w:space="0" w:color="auto"/>
        <w:left w:val="none" w:sz="0" w:space="0" w:color="auto"/>
        <w:bottom w:val="none" w:sz="0" w:space="0" w:color="auto"/>
        <w:right w:val="none" w:sz="0" w:space="0" w:color="auto"/>
      </w:divBdr>
    </w:div>
    <w:div w:id="1650134440">
      <w:bodyDiv w:val="1"/>
      <w:marLeft w:val="0"/>
      <w:marRight w:val="0"/>
      <w:marTop w:val="0"/>
      <w:marBottom w:val="0"/>
      <w:divBdr>
        <w:top w:val="none" w:sz="0" w:space="0" w:color="auto"/>
        <w:left w:val="none" w:sz="0" w:space="0" w:color="auto"/>
        <w:bottom w:val="none" w:sz="0" w:space="0" w:color="auto"/>
        <w:right w:val="none" w:sz="0" w:space="0" w:color="auto"/>
      </w:divBdr>
    </w:div>
    <w:div w:id="1665933671">
      <w:bodyDiv w:val="1"/>
      <w:marLeft w:val="0"/>
      <w:marRight w:val="0"/>
      <w:marTop w:val="0"/>
      <w:marBottom w:val="0"/>
      <w:divBdr>
        <w:top w:val="none" w:sz="0" w:space="0" w:color="auto"/>
        <w:left w:val="none" w:sz="0" w:space="0" w:color="auto"/>
        <w:bottom w:val="none" w:sz="0" w:space="0" w:color="auto"/>
        <w:right w:val="none" w:sz="0" w:space="0" w:color="auto"/>
      </w:divBdr>
      <w:divsChild>
        <w:div w:id="1107654827">
          <w:marLeft w:val="0"/>
          <w:marRight w:val="0"/>
          <w:marTop w:val="0"/>
          <w:marBottom w:val="0"/>
          <w:divBdr>
            <w:top w:val="none" w:sz="0" w:space="0" w:color="auto"/>
            <w:left w:val="none" w:sz="0" w:space="0" w:color="auto"/>
            <w:bottom w:val="none" w:sz="0" w:space="0" w:color="auto"/>
            <w:right w:val="none" w:sz="0" w:space="0" w:color="auto"/>
          </w:divBdr>
          <w:divsChild>
            <w:div w:id="1627538105">
              <w:marLeft w:val="0"/>
              <w:marRight w:val="0"/>
              <w:marTop w:val="0"/>
              <w:marBottom w:val="0"/>
              <w:divBdr>
                <w:top w:val="none" w:sz="0" w:space="0" w:color="auto"/>
                <w:left w:val="none" w:sz="0" w:space="0" w:color="auto"/>
                <w:bottom w:val="none" w:sz="0" w:space="0" w:color="auto"/>
                <w:right w:val="none" w:sz="0" w:space="0" w:color="auto"/>
              </w:divBdr>
              <w:divsChild>
                <w:div w:id="796679667">
                  <w:marLeft w:val="0"/>
                  <w:marRight w:val="0"/>
                  <w:marTop w:val="0"/>
                  <w:marBottom w:val="0"/>
                  <w:divBdr>
                    <w:top w:val="none" w:sz="0" w:space="0" w:color="auto"/>
                    <w:left w:val="none" w:sz="0" w:space="0" w:color="auto"/>
                    <w:bottom w:val="none" w:sz="0" w:space="0" w:color="auto"/>
                    <w:right w:val="none" w:sz="0" w:space="0" w:color="auto"/>
                  </w:divBdr>
                  <w:divsChild>
                    <w:div w:id="73860454">
                      <w:marLeft w:val="0"/>
                      <w:marRight w:val="0"/>
                      <w:marTop w:val="0"/>
                      <w:marBottom w:val="0"/>
                      <w:divBdr>
                        <w:top w:val="none" w:sz="0" w:space="0" w:color="auto"/>
                        <w:left w:val="none" w:sz="0" w:space="0" w:color="auto"/>
                        <w:bottom w:val="none" w:sz="0" w:space="0" w:color="auto"/>
                        <w:right w:val="none" w:sz="0" w:space="0" w:color="auto"/>
                      </w:divBdr>
                      <w:divsChild>
                        <w:div w:id="447357190">
                          <w:marLeft w:val="0"/>
                          <w:marRight w:val="0"/>
                          <w:marTop w:val="0"/>
                          <w:marBottom w:val="0"/>
                          <w:divBdr>
                            <w:top w:val="none" w:sz="0" w:space="0" w:color="auto"/>
                            <w:left w:val="none" w:sz="0" w:space="0" w:color="auto"/>
                            <w:bottom w:val="none" w:sz="0" w:space="0" w:color="auto"/>
                            <w:right w:val="none" w:sz="0" w:space="0" w:color="auto"/>
                          </w:divBdr>
                          <w:divsChild>
                            <w:div w:id="19866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8745382">
      <w:bodyDiv w:val="1"/>
      <w:marLeft w:val="0"/>
      <w:marRight w:val="0"/>
      <w:marTop w:val="0"/>
      <w:marBottom w:val="0"/>
      <w:divBdr>
        <w:top w:val="none" w:sz="0" w:space="0" w:color="auto"/>
        <w:left w:val="none" w:sz="0" w:space="0" w:color="auto"/>
        <w:bottom w:val="none" w:sz="0" w:space="0" w:color="auto"/>
        <w:right w:val="none" w:sz="0" w:space="0" w:color="auto"/>
      </w:divBdr>
    </w:div>
    <w:div w:id="1737700354">
      <w:bodyDiv w:val="1"/>
      <w:marLeft w:val="0"/>
      <w:marRight w:val="0"/>
      <w:marTop w:val="0"/>
      <w:marBottom w:val="0"/>
      <w:divBdr>
        <w:top w:val="none" w:sz="0" w:space="0" w:color="auto"/>
        <w:left w:val="none" w:sz="0" w:space="0" w:color="auto"/>
        <w:bottom w:val="none" w:sz="0" w:space="0" w:color="auto"/>
        <w:right w:val="none" w:sz="0" w:space="0" w:color="auto"/>
      </w:divBdr>
    </w:div>
    <w:div w:id="1738673015">
      <w:bodyDiv w:val="1"/>
      <w:marLeft w:val="0"/>
      <w:marRight w:val="0"/>
      <w:marTop w:val="0"/>
      <w:marBottom w:val="0"/>
      <w:divBdr>
        <w:top w:val="none" w:sz="0" w:space="0" w:color="auto"/>
        <w:left w:val="none" w:sz="0" w:space="0" w:color="auto"/>
        <w:bottom w:val="none" w:sz="0" w:space="0" w:color="auto"/>
        <w:right w:val="none" w:sz="0" w:space="0" w:color="auto"/>
      </w:divBdr>
    </w:div>
    <w:div w:id="1848978183">
      <w:bodyDiv w:val="1"/>
      <w:marLeft w:val="0"/>
      <w:marRight w:val="0"/>
      <w:marTop w:val="0"/>
      <w:marBottom w:val="0"/>
      <w:divBdr>
        <w:top w:val="none" w:sz="0" w:space="0" w:color="auto"/>
        <w:left w:val="none" w:sz="0" w:space="0" w:color="auto"/>
        <w:bottom w:val="none" w:sz="0" w:space="0" w:color="auto"/>
        <w:right w:val="none" w:sz="0" w:space="0" w:color="auto"/>
      </w:divBdr>
    </w:div>
    <w:div w:id="1962807798">
      <w:bodyDiv w:val="1"/>
      <w:marLeft w:val="0"/>
      <w:marRight w:val="0"/>
      <w:marTop w:val="0"/>
      <w:marBottom w:val="0"/>
      <w:divBdr>
        <w:top w:val="none" w:sz="0" w:space="0" w:color="auto"/>
        <w:left w:val="none" w:sz="0" w:space="0" w:color="auto"/>
        <w:bottom w:val="none" w:sz="0" w:space="0" w:color="auto"/>
        <w:right w:val="none" w:sz="0" w:space="0" w:color="auto"/>
      </w:divBdr>
    </w:div>
    <w:div w:id="2009819581">
      <w:bodyDiv w:val="1"/>
      <w:marLeft w:val="0"/>
      <w:marRight w:val="0"/>
      <w:marTop w:val="0"/>
      <w:marBottom w:val="0"/>
      <w:divBdr>
        <w:top w:val="none" w:sz="0" w:space="0" w:color="auto"/>
        <w:left w:val="none" w:sz="0" w:space="0" w:color="auto"/>
        <w:bottom w:val="none" w:sz="0" w:space="0" w:color="auto"/>
        <w:right w:val="none" w:sz="0" w:space="0" w:color="auto"/>
      </w:divBdr>
    </w:div>
    <w:div w:id="2012755681">
      <w:bodyDiv w:val="1"/>
      <w:marLeft w:val="0"/>
      <w:marRight w:val="0"/>
      <w:marTop w:val="0"/>
      <w:marBottom w:val="0"/>
      <w:divBdr>
        <w:top w:val="none" w:sz="0" w:space="0" w:color="auto"/>
        <w:left w:val="none" w:sz="0" w:space="0" w:color="auto"/>
        <w:bottom w:val="none" w:sz="0" w:space="0" w:color="auto"/>
        <w:right w:val="none" w:sz="0" w:space="0" w:color="auto"/>
      </w:divBdr>
    </w:div>
    <w:div w:id="2071230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doi.org/10.2307/1431895" TargetMode="External"/><Relationship Id="rId39" Type="http://schemas.openxmlformats.org/officeDocument/2006/relationships/hyperlink" Target="https://doi.org/10.5612/slavicreview.72.1.0028" TargetMode="External"/><Relationship Id="rId21" Type="http://schemas.openxmlformats.org/officeDocument/2006/relationships/hyperlink" Target="https://aboutholocaust.org/en/facts/what-were-the-nuremberg-laws" TargetMode="External"/><Relationship Id="rId34" Type="http://schemas.openxmlformats.org/officeDocument/2006/relationships/hyperlink" Target="https://doi.org/10.1080/00358533.2024.2382564" TargetMode="External"/><Relationship Id="rId42" Type="http://schemas.openxmlformats.org/officeDocument/2006/relationships/hyperlink" Target="https://theconversation.com/kristallnacht-85-years-ago-marks-the-point-hitler-moved-from-an-emotional-antisemitism-to-a-systematic-antisemitism-of-laws-and-government-violence-213327" TargetMode="External"/><Relationship Id="rId47" Type="http://schemas.openxmlformats.org/officeDocument/2006/relationships/hyperlink" Target="https://www.iwm.org.uk/collections/item/object/205081019" TargetMode="External"/><Relationship Id="rId50" Type="http://schemas.openxmlformats.org/officeDocument/2006/relationships/hyperlink" Target="https://archive.org/details/anatomyofssstate0000helm/page/n7/mode/2up" TargetMode="External"/><Relationship Id="rId55" Type="http://schemas.openxmlformats.org/officeDocument/2006/relationships/hyperlink" Target="http://www.jstor.org/stable/23258750" TargetMode="External"/><Relationship Id="rId63" Type="http://schemas.openxmlformats.org/officeDocument/2006/relationships/hyperlink" Target="https://doi.org/10.1080/17504902.2019.1625110" TargetMode="External"/><Relationship Id="rId68" Type="http://schemas.openxmlformats.org/officeDocument/2006/relationships/hyperlink" Target="https://theconversation.com/labour-antisemitism-row-there-was-nothing-zionist-about-hitlers-plans-for-the-jews-58656" TargetMode="External"/><Relationship Id="rId76" Type="http://schemas.openxmlformats.org/officeDocument/2006/relationships/hyperlink" Target="https://www.yadvashem.org/odot_pdf/Microsoft%20Word%20-%203264.pdf" TargetMode="External"/><Relationship Id="rId7" Type="http://schemas.openxmlformats.org/officeDocument/2006/relationships/webSettings" Target="webSettings.xml"/><Relationship Id="rId71" Type="http://schemas.openxmlformats.org/officeDocument/2006/relationships/hyperlink" Target="https://encyclopedia.ushmm.org/content/en/article/kiev-and-babi-yar" TargetMode="Externa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hyperlink" Target="https://doi.org/10.1017/S0008938900011158" TargetMode="External"/><Relationship Id="rId11" Type="http://schemas.openxmlformats.org/officeDocument/2006/relationships/image" Target="media/image2.png"/><Relationship Id="rId24" Type="http://schemas.openxmlformats.org/officeDocument/2006/relationships/hyperlink" Target="https://www.bbc.co.uk/news/world-europe-57114197" TargetMode="External"/><Relationship Id="rId32" Type="http://schemas.openxmlformats.org/officeDocument/2006/relationships/hyperlink" Target="http://www.jstor.org/stable/43740629" TargetMode="External"/><Relationship Id="rId37" Type="http://schemas.openxmlformats.org/officeDocument/2006/relationships/hyperlink" Target="https://archive.org/details/hitlerfinalsolut0000flem/page/16/mode/2up" TargetMode="External"/><Relationship Id="rId40" Type="http://schemas.openxmlformats.org/officeDocument/2006/relationships/hyperlink" Target="https://doi.org/10.1093/mj/9.2.197" TargetMode="External"/><Relationship Id="rId45" Type="http://schemas.openxmlformats.org/officeDocument/2006/relationships/hyperlink" Target="https://doi.org/10.1093/hgs/dcg005" TargetMode="External"/><Relationship Id="rId53" Type="http://schemas.openxmlformats.org/officeDocument/2006/relationships/hyperlink" Target="https://doi.org/10.2307/792109" TargetMode="External"/><Relationship Id="rId58" Type="http://schemas.openxmlformats.org/officeDocument/2006/relationships/hyperlink" Target="https://doi.org/10.2307/1430708" TargetMode="External"/><Relationship Id="rId66" Type="http://schemas.openxmlformats.org/officeDocument/2006/relationships/hyperlink" Target="http://www.jstor.org/stable/41306842" TargetMode="External"/><Relationship Id="rId74" Type="http://schemas.openxmlformats.org/officeDocument/2006/relationships/hyperlink" Target="https://en.wikipedia.org/wiki/30_January_1939_Reichstag_speech" TargetMode="External"/><Relationship Id="rId79" Type="http://schemas.openxmlformats.org/officeDocument/2006/relationships/header" Target="header2.xml"/><Relationship Id="rId5" Type="http://schemas.openxmlformats.org/officeDocument/2006/relationships/styles" Target="styles.xml"/><Relationship Id="rId61" Type="http://schemas.openxmlformats.org/officeDocument/2006/relationships/hyperlink" Target="https://www.nationalww2museum.org/war/articles/wannsee-conference-1942" TargetMode="External"/><Relationship Id="rId82"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hyperlink" Target="https://www.amazon.co.uk/Origins-Final-Solution-Evolution-1939-March/dp/0099454823/ref=sr_1_1?crid=2T5B6M7ZCRHYA&amp;dib=eyJ2IjoiMSJ9.33X4JIgcKGvZ75OZ1dJsGQ1lELUA7LspZfTftyGZuHg.-K738V8Dvvn1-G1osVICpPMW3FF47W5AbzHWCetxNag&amp;dib_tag=se&amp;keywords=The+Origins+of+the+Final+Solution%3A+The+Evolution+of+Nazi+Jewish+Policy%2C+September+1939%E2%80%93March+1942.&amp;nsdOptOutParam=true&amp;qid=1735843814&amp;sprefix=the+origins+of+the+final+solution+the+evolution+of+nazi+jewish+policy+september+1939+march+1942.%2Caps%2C72&amp;sr=8-1" TargetMode="External"/><Relationship Id="rId44" Type="http://schemas.openxmlformats.org/officeDocument/2006/relationships/hyperlink" Target="https://doi.org/10.1177/002200949402900304" TargetMode="External"/><Relationship Id="rId52" Type="http://schemas.openxmlformats.org/officeDocument/2006/relationships/hyperlink" Target="https://doi.org/10.1080/14623528.2023.2283947" TargetMode="External"/><Relationship Id="rId60" Type="http://schemas.openxmlformats.org/officeDocument/2006/relationships/hyperlink" Target="https://doi.org/10.1177/1362480604044613" TargetMode="External"/><Relationship Id="rId65" Type="http://schemas.openxmlformats.org/officeDocument/2006/relationships/hyperlink" Target="https://doi.org/10.2307/2536016" TargetMode="External"/><Relationship Id="rId73" Type="http://schemas.openxmlformats.org/officeDocument/2006/relationships/hyperlink" Target="https://doi.org/10.1353/gsr.2013.0106" TargetMode="External"/><Relationship Id="rId78" Type="http://schemas.openxmlformats.org/officeDocument/2006/relationships/footer" Target="footer1.xml"/><Relationship Id="rId8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www.auschwitz.org/en/press/basic-information-on-auschwitz/" TargetMode="External"/><Relationship Id="rId27" Type="http://schemas.openxmlformats.org/officeDocument/2006/relationships/hyperlink" Target="https://www.britannica.com/place/Chelmno-concentration-camp-Poland" TargetMode="External"/><Relationship Id="rId30" Type="http://schemas.openxmlformats.org/officeDocument/2006/relationships/hyperlink" Target="https://www.ushmm.org/m/pdfs/20050728-browning.pdf" TargetMode="External"/><Relationship Id="rId35" Type="http://schemas.openxmlformats.org/officeDocument/2006/relationships/hyperlink" Target="https://doi.org/10.36019/9780813563190" TargetMode="External"/><Relationship Id="rId43" Type="http://schemas.openxmlformats.org/officeDocument/2006/relationships/hyperlink" Target="http://www.jstor.org/stable/2124667" TargetMode="External"/><Relationship Id="rId48" Type="http://schemas.openxmlformats.org/officeDocument/2006/relationships/hyperlink" Target="https://doi.org/10.1017/S0960777300000382" TargetMode="External"/><Relationship Id="rId56" Type="http://schemas.openxmlformats.org/officeDocument/2006/relationships/hyperlink" Target="https://doi.org/10.1093/hgs/14.3.331" TargetMode="External"/><Relationship Id="rId64" Type="http://schemas.openxmlformats.org/officeDocument/2006/relationships/hyperlink" Target="https://doi.org/10.1177/0048393117739974" TargetMode="External"/><Relationship Id="rId69" Type="http://schemas.openxmlformats.org/officeDocument/2006/relationships/hyperlink" Target="https://doi.org/10.2307/1429483" TargetMode="External"/><Relationship Id="rId77" Type="http://schemas.openxmlformats.org/officeDocument/2006/relationships/header" Target="header1.xml"/><Relationship Id="rId8" Type="http://schemas.openxmlformats.org/officeDocument/2006/relationships/footnotes" Target="footnotes.xml"/><Relationship Id="rId51" Type="http://schemas.openxmlformats.org/officeDocument/2006/relationships/hyperlink" Target="https://doi.org/10.1080/17504902.2019.1567658" TargetMode="External"/><Relationship Id="rId72" Type="http://schemas.openxmlformats.org/officeDocument/2006/relationships/hyperlink" Target="https://whc.unesco.org/en/documents/107824" TargetMode="External"/><Relationship Id="rId80"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www.jstor.org/stable/260679" TargetMode="External"/><Relationship Id="rId33" Type="http://schemas.openxmlformats.org/officeDocument/2006/relationships/hyperlink" Target="https://www.proquest.com/docview/225680580?accountid=130472&amp;parentSessionId=UoK7IQ1o7ebKfXxw%2Fzqdj1GYxIS4vfu9PB3qHZA%2Fphs%3D&amp;pq-origsite=primo&amp;sourcetype=Magazines" TargetMode="External"/><Relationship Id="rId38" Type="http://schemas.openxmlformats.org/officeDocument/2006/relationships/hyperlink" Target="https://doi.org/10.2307/1431896" TargetMode="External"/><Relationship Id="rId46" Type="http://schemas.openxmlformats.org/officeDocument/2006/relationships/hyperlink" Target="https://nuremberg.law.harvard.edu/documents/2974-extracts-from-speeches-concerning?q=ps-1919" TargetMode="External"/><Relationship Id="rId59" Type="http://schemas.openxmlformats.org/officeDocument/2006/relationships/hyperlink" Target="https://www.jstor.org/stable/25681003" TargetMode="External"/><Relationship Id="rId67" Type="http://schemas.openxmlformats.org/officeDocument/2006/relationships/hyperlink" Target="https://doi.org/10.2307/1433155" TargetMode="External"/><Relationship Id="rId20" Type="http://schemas.openxmlformats.org/officeDocument/2006/relationships/image" Target="media/image11.png"/><Relationship Id="rId41" Type="http://schemas.openxmlformats.org/officeDocument/2006/relationships/hyperlink" Target="https://doi.org/10.1086/235167" TargetMode="External"/><Relationship Id="rId54" Type="http://schemas.openxmlformats.org/officeDocument/2006/relationships/hyperlink" Target="https://doi.org/10.1177/0265691405054218" TargetMode="External"/><Relationship Id="rId62" Type="http://schemas.openxmlformats.org/officeDocument/2006/relationships/hyperlink" Target="https://www.nationalww2museum.org/war/articles/wannsee-conference-1942" TargetMode="External"/><Relationship Id="rId70" Type="http://schemas.openxmlformats.org/officeDocument/2006/relationships/hyperlink" Target="https://www.un.org/en/genocideprevention/documents/publications-and-resources/Genocide_Convention_75thAnniversary_2023.pdf" TargetMode="External"/><Relationship Id="rId75" Type="http://schemas.openxmlformats.org/officeDocument/2006/relationships/hyperlink" Target="https://www.yadvashem.org/holocaust/about/ghettos/warsaw.html"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www.jstor.org/stable/1042557" TargetMode="External"/><Relationship Id="rId28" Type="http://schemas.openxmlformats.org/officeDocument/2006/relationships/hyperlink" Target="https://doi.org/10.2307/1431894" TargetMode="External"/><Relationship Id="rId36" Type="http://schemas.openxmlformats.org/officeDocument/2006/relationships/hyperlink" Target="http://www.jstor.org/stable/4466912" TargetMode="External"/><Relationship Id="rId49" Type="http://schemas.openxmlformats.org/officeDocument/2006/relationships/hyperlink" Target="http://www.jstor.org/stable/3180723" TargetMode="External"/><Relationship Id="rId57" Type="http://schemas.openxmlformats.org/officeDocument/2006/relationships/hyperlink" Target="http://www.jstor.org/stable/21243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6" ma:contentTypeDescription="Create a new document." ma:contentTypeScope="" ma:versionID="85543c514904458d5d237500db3402f4">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89cc37408bd668fc30d72cd767919bfb"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C4FEA5-024E-4B06-A4EA-736EFDD59B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91BBD7-C53A-49A6-9AC0-71E748F7AC44}">
  <ds:schemaRefs>
    <ds:schemaRef ds:uri="http://purl.org/dc/terms/"/>
    <ds:schemaRef ds:uri="4055ddc6-ee7b-4b5b-b8fb-52871646f80e"/>
    <ds:schemaRef ds:uri="http://schemas.microsoft.com/office/2006/documentManagement/types"/>
    <ds:schemaRef ds:uri="http://schemas.microsoft.com/office/infopath/2007/PartnerControls"/>
    <ds:schemaRef ds:uri="0338428b-3fc8-4989-9d03-78e16c931d9f"/>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B1863CB3-2CA5-4D45-AF19-C1A26A1783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5283</Words>
  <Characters>34345</Characters>
  <Application>Microsoft Office Word</Application>
  <DocSecurity>0</DocSecurity>
  <Lines>505</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Bakewell (2204367)</dc:creator>
  <cp:keywords/>
  <dc:description/>
  <cp:lastModifiedBy>Richard Bakewell (2204367)</cp:lastModifiedBy>
  <cp:revision>2</cp:revision>
  <cp:lastPrinted>2025-01-18T19:25:00Z</cp:lastPrinted>
  <dcterms:created xsi:type="dcterms:W3CDTF">2025-02-05T09:24:00Z</dcterms:created>
  <dcterms:modified xsi:type="dcterms:W3CDTF">2025-02-05T09:24:00Z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09f1db49-0376-45e8-8510-c7e9d6f07d51</vt:lpwstr>
  </property>
  <property fmtid="{D5CDD505-2E9C-101B-9397-08002B2CF9AE}" pid="3" name="ContentTypeId">
    <vt:lpwstr>0x010100BD024FF986E86248B25DDBA3DBF998D1</vt:lpwstr>
  </property>
</Properties>
</file>