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8EC20" w14:textId="77777777" w:rsidR="00804E8D" w:rsidRDefault="00804E8D" w:rsidP="00804E8D">
      <w:pPr>
        <w:jc w:val="center"/>
      </w:pPr>
    </w:p>
    <w:p w14:paraId="360754A7" w14:textId="77777777" w:rsidR="00804E8D" w:rsidRPr="00804E8D" w:rsidRDefault="00804E8D" w:rsidP="002477A8">
      <w:pPr>
        <w:rPr>
          <w:rFonts w:ascii="Times New Roman" w:hAnsi="Times New Roman" w:cs="Times New Roman"/>
          <w:sz w:val="24"/>
          <w:szCs w:val="24"/>
        </w:rPr>
      </w:pPr>
    </w:p>
    <w:p w14:paraId="52475A04" w14:textId="77777777" w:rsidR="002477A8" w:rsidRDefault="002477A8" w:rsidP="00804E8D">
      <w:pPr>
        <w:jc w:val="center"/>
        <w:rPr>
          <w:rFonts w:ascii="Times New Roman" w:hAnsi="Times New Roman" w:cs="Times New Roman"/>
          <w:b/>
          <w:sz w:val="24"/>
          <w:szCs w:val="24"/>
        </w:rPr>
      </w:pPr>
    </w:p>
    <w:p w14:paraId="16553302" w14:textId="77777777" w:rsidR="002477A8" w:rsidRDefault="002477A8" w:rsidP="00804E8D">
      <w:pPr>
        <w:jc w:val="center"/>
        <w:rPr>
          <w:rFonts w:ascii="Times New Roman" w:hAnsi="Times New Roman" w:cs="Times New Roman"/>
          <w:b/>
          <w:sz w:val="24"/>
          <w:szCs w:val="24"/>
        </w:rPr>
      </w:pPr>
    </w:p>
    <w:p w14:paraId="5D928840" w14:textId="77777777" w:rsidR="002477A8" w:rsidRDefault="002477A8" w:rsidP="00804E8D">
      <w:pPr>
        <w:jc w:val="center"/>
        <w:rPr>
          <w:rFonts w:ascii="Times New Roman" w:hAnsi="Times New Roman" w:cs="Times New Roman"/>
          <w:b/>
          <w:sz w:val="24"/>
          <w:szCs w:val="24"/>
        </w:rPr>
      </w:pPr>
    </w:p>
    <w:p w14:paraId="5981E5C0" w14:textId="77777777" w:rsidR="002477A8" w:rsidRDefault="002477A8" w:rsidP="00804E8D">
      <w:pPr>
        <w:jc w:val="center"/>
        <w:rPr>
          <w:rFonts w:ascii="Times New Roman" w:hAnsi="Times New Roman" w:cs="Times New Roman"/>
          <w:b/>
          <w:sz w:val="24"/>
          <w:szCs w:val="24"/>
        </w:rPr>
      </w:pPr>
    </w:p>
    <w:p w14:paraId="6757E32B" w14:textId="77777777" w:rsidR="00804E8D" w:rsidRPr="002477A8" w:rsidRDefault="00804E8D" w:rsidP="00804E8D">
      <w:pPr>
        <w:jc w:val="center"/>
        <w:rPr>
          <w:rFonts w:ascii="Times New Roman" w:hAnsi="Times New Roman" w:cs="Times New Roman"/>
          <w:b/>
          <w:sz w:val="24"/>
          <w:szCs w:val="24"/>
        </w:rPr>
      </w:pPr>
      <w:r w:rsidRPr="002477A8">
        <w:rPr>
          <w:rFonts w:ascii="Times New Roman" w:hAnsi="Times New Roman" w:cs="Times New Roman"/>
          <w:b/>
          <w:sz w:val="24"/>
          <w:szCs w:val="24"/>
        </w:rPr>
        <w:t>Sporting Event in Manchester</w:t>
      </w:r>
    </w:p>
    <w:p w14:paraId="31B2E275" w14:textId="77777777" w:rsidR="002477A8" w:rsidRDefault="002477A8" w:rsidP="002477A8">
      <w:pPr>
        <w:jc w:val="center"/>
        <w:rPr>
          <w:rFonts w:ascii="Times New Roman" w:hAnsi="Times New Roman" w:cs="Times New Roman"/>
          <w:sz w:val="24"/>
          <w:szCs w:val="24"/>
        </w:rPr>
      </w:pPr>
    </w:p>
    <w:p w14:paraId="36A66351" w14:textId="77777777" w:rsidR="002477A8" w:rsidRPr="00323C79" w:rsidRDefault="002477A8" w:rsidP="002477A8">
      <w:pPr>
        <w:jc w:val="center"/>
        <w:rPr>
          <w:rFonts w:ascii="Times New Roman" w:hAnsi="Times New Roman" w:cs="Times New Roman"/>
          <w:sz w:val="24"/>
          <w:szCs w:val="24"/>
        </w:rPr>
      </w:pPr>
      <w:r w:rsidRPr="00323C79">
        <w:rPr>
          <w:rFonts w:ascii="Times New Roman" w:hAnsi="Times New Roman" w:cs="Times New Roman"/>
          <w:sz w:val="24"/>
          <w:szCs w:val="24"/>
        </w:rPr>
        <w:t>Petronela Gardea</w:t>
      </w:r>
    </w:p>
    <w:p w14:paraId="283CF8D6" w14:textId="77777777" w:rsidR="002477A8" w:rsidRPr="00323C79" w:rsidRDefault="002477A8" w:rsidP="002477A8">
      <w:pPr>
        <w:jc w:val="center"/>
        <w:rPr>
          <w:rFonts w:ascii="Times New Roman" w:hAnsi="Times New Roman" w:cs="Times New Roman"/>
          <w:sz w:val="24"/>
          <w:szCs w:val="24"/>
        </w:rPr>
      </w:pPr>
      <w:r w:rsidRPr="00323C79">
        <w:rPr>
          <w:rFonts w:ascii="Times New Roman" w:hAnsi="Times New Roman" w:cs="Times New Roman"/>
          <w:sz w:val="24"/>
          <w:szCs w:val="24"/>
        </w:rPr>
        <w:t>Student’s Number: 2122794</w:t>
      </w:r>
    </w:p>
    <w:p w14:paraId="4622FE7C" w14:textId="77777777" w:rsidR="002477A8" w:rsidRPr="00323C79" w:rsidRDefault="002477A8" w:rsidP="002477A8">
      <w:pPr>
        <w:jc w:val="center"/>
        <w:rPr>
          <w:rFonts w:ascii="Times New Roman" w:hAnsi="Times New Roman" w:cs="Times New Roman"/>
          <w:sz w:val="24"/>
          <w:szCs w:val="24"/>
        </w:rPr>
      </w:pPr>
      <w:r w:rsidRPr="00323C79">
        <w:rPr>
          <w:rFonts w:ascii="Times New Roman" w:hAnsi="Times New Roman" w:cs="Times New Roman"/>
          <w:sz w:val="24"/>
          <w:szCs w:val="24"/>
        </w:rPr>
        <w:t>Professor’s Name: Kathryn Flynn</w:t>
      </w:r>
    </w:p>
    <w:p w14:paraId="4789C598" w14:textId="77777777" w:rsidR="002477A8" w:rsidRDefault="002477A8" w:rsidP="002477A8">
      <w:pPr>
        <w:jc w:val="center"/>
        <w:rPr>
          <w:rFonts w:ascii="Times New Roman" w:hAnsi="Times New Roman" w:cs="Times New Roman"/>
          <w:sz w:val="24"/>
          <w:szCs w:val="24"/>
        </w:rPr>
      </w:pPr>
      <w:r w:rsidRPr="00323C79">
        <w:rPr>
          <w:rFonts w:ascii="Times New Roman" w:hAnsi="Times New Roman" w:cs="Times New Roman"/>
          <w:sz w:val="24"/>
          <w:szCs w:val="24"/>
        </w:rPr>
        <w:t>Course Code: BMIH6007</w:t>
      </w:r>
    </w:p>
    <w:p w14:paraId="0B6E3D4D" w14:textId="77777777" w:rsidR="002477A8" w:rsidRPr="00323C79" w:rsidRDefault="002477A8" w:rsidP="002477A8">
      <w:pPr>
        <w:jc w:val="center"/>
        <w:rPr>
          <w:rFonts w:ascii="Times New Roman" w:hAnsi="Times New Roman" w:cs="Times New Roman"/>
          <w:sz w:val="24"/>
          <w:szCs w:val="24"/>
        </w:rPr>
      </w:pPr>
      <w:r>
        <w:rPr>
          <w:rFonts w:ascii="Times New Roman" w:hAnsi="Times New Roman" w:cs="Times New Roman"/>
          <w:sz w:val="24"/>
          <w:szCs w:val="24"/>
        </w:rPr>
        <w:t>05/07/2024</w:t>
      </w:r>
    </w:p>
    <w:p w14:paraId="1F3267B9" w14:textId="77777777" w:rsidR="00804E8D" w:rsidRPr="00804E8D" w:rsidRDefault="00804E8D" w:rsidP="00804E8D">
      <w:pPr>
        <w:jc w:val="center"/>
        <w:rPr>
          <w:rFonts w:ascii="Times New Roman" w:hAnsi="Times New Roman" w:cs="Times New Roman"/>
          <w:sz w:val="24"/>
          <w:szCs w:val="24"/>
        </w:rPr>
      </w:pPr>
    </w:p>
    <w:p w14:paraId="6BC1F940" w14:textId="77777777" w:rsidR="00804E8D" w:rsidRDefault="00804E8D" w:rsidP="00804E8D">
      <w:pPr>
        <w:jc w:val="center"/>
      </w:pPr>
    </w:p>
    <w:p w14:paraId="0B83EC50" w14:textId="77777777" w:rsidR="00804E8D" w:rsidRDefault="00804E8D" w:rsidP="00804E8D">
      <w:pPr>
        <w:jc w:val="center"/>
      </w:pPr>
    </w:p>
    <w:p w14:paraId="5F0D6771" w14:textId="77777777" w:rsidR="00804E8D" w:rsidRDefault="00804E8D" w:rsidP="00804E8D">
      <w:pPr>
        <w:jc w:val="center"/>
      </w:pPr>
    </w:p>
    <w:p w14:paraId="2046449A" w14:textId="77777777" w:rsidR="00804E8D" w:rsidRDefault="00804E8D" w:rsidP="00804E8D">
      <w:pPr>
        <w:jc w:val="center"/>
      </w:pPr>
    </w:p>
    <w:p w14:paraId="42C286A9" w14:textId="77777777" w:rsidR="00804E8D" w:rsidRDefault="00804E8D" w:rsidP="00804E8D">
      <w:pPr>
        <w:jc w:val="center"/>
      </w:pPr>
    </w:p>
    <w:p w14:paraId="3BB4DC82" w14:textId="77777777" w:rsidR="00804E8D" w:rsidRDefault="00804E8D" w:rsidP="00804E8D">
      <w:pPr>
        <w:jc w:val="center"/>
      </w:pPr>
    </w:p>
    <w:p w14:paraId="247C3C46" w14:textId="77777777" w:rsidR="00804E8D" w:rsidRDefault="00804E8D" w:rsidP="00804E8D">
      <w:pPr>
        <w:jc w:val="center"/>
      </w:pPr>
    </w:p>
    <w:p w14:paraId="4D210320" w14:textId="77777777" w:rsidR="00804E8D" w:rsidRDefault="00804E8D" w:rsidP="00804E8D">
      <w:pPr>
        <w:jc w:val="center"/>
      </w:pPr>
    </w:p>
    <w:p w14:paraId="0681B739" w14:textId="77777777" w:rsidR="00804E8D" w:rsidRDefault="00804E8D" w:rsidP="00804E8D">
      <w:pPr>
        <w:jc w:val="center"/>
      </w:pPr>
    </w:p>
    <w:p w14:paraId="395EBBF5" w14:textId="77777777" w:rsidR="00804E8D" w:rsidRDefault="00804E8D" w:rsidP="00804E8D">
      <w:pPr>
        <w:jc w:val="center"/>
      </w:pPr>
    </w:p>
    <w:p w14:paraId="025D6CF7" w14:textId="77777777" w:rsidR="00804E8D" w:rsidRDefault="00804E8D" w:rsidP="00804E8D">
      <w:pPr>
        <w:jc w:val="center"/>
      </w:pPr>
    </w:p>
    <w:p w14:paraId="5529F3BB" w14:textId="77777777" w:rsidR="00804E8D" w:rsidRDefault="00804E8D" w:rsidP="00804E8D">
      <w:pPr>
        <w:jc w:val="center"/>
      </w:pPr>
    </w:p>
    <w:p w14:paraId="45782906" w14:textId="77777777" w:rsidR="00804E8D" w:rsidRDefault="00804E8D" w:rsidP="00804E8D">
      <w:pPr>
        <w:jc w:val="center"/>
      </w:pPr>
    </w:p>
    <w:p w14:paraId="2DCA9EBA" w14:textId="77777777" w:rsidR="00804E8D" w:rsidRDefault="00804E8D" w:rsidP="00804E8D">
      <w:pPr>
        <w:jc w:val="center"/>
      </w:pPr>
    </w:p>
    <w:p w14:paraId="51380D5A" w14:textId="77777777" w:rsidR="00804E8D" w:rsidRDefault="00804E8D" w:rsidP="00804E8D">
      <w:pPr>
        <w:jc w:val="center"/>
      </w:pPr>
    </w:p>
    <w:p w14:paraId="6E650FFB" w14:textId="77777777" w:rsidR="005D15CF" w:rsidRDefault="005D15CF" w:rsidP="005D15CF">
      <w:r w:rsidRPr="005D15CF">
        <w:rPr>
          <w:noProof/>
        </w:rPr>
        <w:drawing>
          <wp:inline distT="0" distB="0" distL="0" distR="0" wp14:anchorId="37980D04" wp14:editId="5F382266">
            <wp:extent cx="2678430" cy="1352540"/>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19211" cy="1373134"/>
                    </a:xfrm>
                    <a:prstGeom prst="rect">
                      <a:avLst/>
                    </a:prstGeom>
                  </pic:spPr>
                </pic:pic>
              </a:graphicData>
            </a:graphic>
          </wp:inline>
        </w:drawing>
      </w:r>
    </w:p>
    <w:p w14:paraId="36230BAB" w14:textId="77777777" w:rsidR="005D15CF" w:rsidRDefault="005D15CF" w:rsidP="005D15CF">
      <w:r w:rsidRPr="005D15CF">
        <w:t>In this presentation, my business is called Topnotch Organizers. This is an event planning business that helps corporate entities plan sporting hospitality events for their employees or clients within the UK. The present event concept is a horserace hospitality event, a famous sporting activity in the UK. Topnotch Organizers will plan for the event on behalf of the corporation that would want to entertain its employees or clients. The aim of the event is to deliver exceptional hospitality and entertainment to clients by showcasing business commitment to client satisfaction. The event will be located in the Borough of Sefton and the venue will be at the Aintree Racecourse.</w:t>
      </w:r>
    </w:p>
    <w:p w14:paraId="79835FC8" w14:textId="77777777" w:rsidR="005D15CF" w:rsidRPr="005D15CF" w:rsidRDefault="005D15CF" w:rsidP="005D15CF">
      <w:r w:rsidRPr="005D15CF">
        <w:rPr>
          <w:noProof/>
        </w:rPr>
        <w:drawing>
          <wp:inline distT="0" distB="0" distL="0" distR="0" wp14:anchorId="078C9BFE" wp14:editId="38491932">
            <wp:extent cx="2638425" cy="1314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38815" cy="1314644"/>
                    </a:xfrm>
                    <a:prstGeom prst="rect">
                      <a:avLst/>
                    </a:prstGeom>
                  </pic:spPr>
                </pic:pic>
              </a:graphicData>
            </a:graphic>
          </wp:inline>
        </w:drawing>
      </w:r>
    </w:p>
    <w:p w14:paraId="3FFE727E" w14:textId="77777777" w:rsidR="005D15CF" w:rsidRDefault="005D15CF" w:rsidP="005D15CF">
      <w:r w:rsidRPr="005D15CF">
        <w:t>The target market for events planning businesses is diverse and consists of individuals, businesses, and organisations willing to participate in a horserace event (Huggins, 2003). According to the data released by the House of Lords (2022), approximately 5.62 million people take part in horseraces across the UK every year. The same report approximates that an average of 1500 individuals attend race meetings every year. Lastly, it is approximated that an average of 4.1 billion is spent in relation to horseracing in the UK (House of Lords, 2022). Therefore, based on the market size and structure, it can be concluded that the horseracing industry provides a ready market for event planning businesses like Topnotch organizers.</w:t>
      </w:r>
    </w:p>
    <w:p w14:paraId="1F7B28E9" w14:textId="77777777" w:rsidR="005D15CF" w:rsidRPr="005D15CF" w:rsidRDefault="005D15CF" w:rsidP="005D15CF">
      <w:r w:rsidRPr="005D15CF">
        <w:rPr>
          <w:noProof/>
        </w:rPr>
        <w:drawing>
          <wp:inline distT="0" distB="0" distL="0" distR="0" wp14:anchorId="6758564C" wp14:editId="42F39839">
            <wp:extent cx="2647950" cy="1504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48336" cy="1505169"/>
                    </a:xfrm>
                    <a:prstGeom prst="rect">
                      <a:avLst/>
                    </a:prstGeom>
                  </pic:spPr>
                </pic:pic>
              </a:graphicData>
            </a:graphic>
          </wp:inline>
        </w:drawing>
      </w:r>
    </w:p>
    <w:p w14:paraId="52DD4404" w14:textId="77777777" w:rsidR="005D15CF" w:rsidRDefault="005D15CF" w:rsidP="005D15CF">
      <w:r w:rsidRPr="005D15CF">
        <w:t xml:space="preserve">The horseracing industry gives event planning businesses a ready market through their service demand. For instance, approximately 10,000 races are held annually in the UK as reported by Statista Research </w:t>
      </w:r>
      <w:r w:rsidRPr="005D15CF">
        <w:lastRenderedPageBreak/>
        <w:t>Department (2023). Additionally, approximately, 12,500 horses are registered under the British Horseracing Authority (Statista Research Department 2023). Thirdly, 5.62 million people take part in horseracing across the UK. Therefore, based on the number of people, number of races and number of registered horses, it is justified to conclude that horseracing events offer high demand for event planning services within the UK. In other words, high attendance equals to high demand for event planning at horse racing (Buraimo, Coster, and Forrest, 2021).</w:t>
      </w:r>
    </w:p>
    <w:p w14:paraId="0D873156" w14:textId="77777777" w:rsidR="005D15CF" w:rsidRPr="005D15CF" w:rsidRDefault="005D15CF" w:rsidP="005D15CF">
      <w:r w:rsidRPr="005D15CF">
        <w:rPr>
          <w:noProof/>
        </w:rPr>
        <w:drawing>
          <wp:inline distT="0" distB="0" distL="0" distR="0" wp14:anchorId="16238ACA" wp14:editId="6C90372E">
            <wp:extent cx="2686050" cy="15900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27921" cy="1614826"/>
                    </a:xfrm>
                    <a:prstGeom prst="rect">
                      <a:avLst/>
                    </a:prstGeom>
                  </pic:spPr>
                </pic:pic>
              </a:graphicData>
            </a:graphic>
          </wp:inline>
        </w:drawing>
      </w:r>
    </w:p>
    <w:p w14:paraId="167C6897" w14:textId="77777777" w:rsidR="005D15CF" w:rsidRDefault="005D15CF" w:rsidP="005D15CF">
      <w:r w:rsidRPr="005D15CF">
        <w:t>The supply side of the horseracing market also reveals an interesting insight in relation to event planning. For instance, a report by IBSWords reveals that there were 5,509 event planner businesses within the UK in 2023 (IBISWorld 2023). Additionally, the average growth rate of event planning businesses is 13.5% between 2018 to 2023 (IBISWorld 2023). Hence, the demand for corporate event planning services remains high against the supply of event planning services in the UK (Markwide Research 2024). Furthermore, there is stiff competition among event planning businesses, given the growth rate of the existing businesses (Allied Market Research 2023).</w:t>
      </w:r>
    </w:p>
    <w:p w14:paraId="3DC5331C" w14:textId="77777777" w:rsidR="005D15CF" w:rsidRPr="005D15CF" w:rsidRDefault="005D15CF" w:rsidP="005D15CF">
      <w:r w:rsidRPr="005D15CF">
        <w:rPr>
          <w:noProof/>
        </w:rPr>
        <w:drawing>
          <wp:inline distT="0" distB="0" distL="0" distR="0" wp14:anchorId="73A1CAB5" wp14:editId="20EA6A48">
            <wp:extent cx="2676525" cy="1524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76912" cy="1524220"/>
                    </a:xfrm>
                    <a:prstGeom prst="rect">
                      <a:avLst/>
                    </a:prstGeom>
                  </pic:spPr>
                </pic:pic>
              </a:graphicData>
            </a:graphic>
          </wp:inline>
        </w:drawing>
      </w:r>
    </w:p>
    <w:p w14:paraId="5146933C" w14:textId="77777777" w:rsidR="005D15CF" w:rsidRDefault="005D15CF" w:rsidP="005D15CF">
      <w:r w:rsidRPr="005D15CF">
        <w:t>When it comes to operational factors, the event date is planned to be on July 20</w:t>
      </w:r>
      <w:r w:rsidRPr="005D15CF">
        <w:rPr>
          <w:vertAlign w:val="superscript"/>
        </w:rPr>
        <w:t>th</w:t>
      </w:r>
      <w:r w:rsidRPr="005D15CF">
        <w:t xml:space="preserve"> 2022 at Aintree Racecourse. An online survey shows that the venue will be available on this date for the proposed horseracing event. Aintree Racecourse remains suitable for the event due to its location outside the busy city of Liverpool. Furthermore, Aintree Racecourse has well-maintained racetrack feature fences as illustrated by Williams et al. (2013).</w:t>
      </w:r>
    </w:p>
    <w:p w14:paraId="1B8B4B60" w14:textId="77777777" w:rsidR="005D15CF" w:rsidRPr="005D15CF" w:rsidRDefault="005D15CF" w:rsidP="005D15CF">
      <w:r w:rsidRPr="005D15CF">
        <w:rPr>
          <w:noProof/>
        </w:rPr>
        <w:lastRenderedPageBreak/>
        <w:drawing>
          <wp:inline distT="0" distB="0" distL="0" distR="0" wp14:anchorId="5BFC0E9E" wp14:editId="6FC9A1A8">
            <wp:extent cx="2762250" cy="1571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6377" cy="1591042"/>
                    </a:xfrm>
                    <a:prstGeom prst="rect">
                      <a:avLst/>
                    </a:prstGeom>
                  </pic:spPr>
                </pic:pic>
              </a:graphicData>
            </a:graphic>
          </wp:inline>
        </w:drawing>
      </w:r>
    </w:p>
    <w:p w14:paraId="49D76EE7" w14:textId="77777777" w:rsidR="005D15CF" w:rsidRDefault="005D15CF" w:rsidP="005D15CF">
      <w:r w:rsidRPr="005D15CF">
        <w:t>Event planning requires event staff to portray diverse skills to meet customer expectations and needs. Some of the skills that event staff will be required to embrace include customer service skills which will them to show courtesy to the guests (Butcher, Sparks, and McColl-Kennedy 2009). Communication skills will also be vital in conveying instructions to colleagues, supervisors and attendees (Clark 2019). Thirdly, teamwork and collaboration among the event staff will be necessary in promoting event coordination (Giudici, and Filimonau 2019). Additionally, organisational skills will be needed to manage event timelines (Anufrieva et al. 2021). Lastly, technical skills will be required among event staff, especially among staff members using handheld ticketing devices (Tolvanen 2023).</w:t>
      </w:r>
    </w:p>
    <w:p w14:paraId="68C66344" w14:textId="77777777" w:rsidR="005D15CF" w:rsidRPr="005D15CF" w:rsidRDefault="005D15CF" w:rsidP="005D15CF">
      <w:r w:rsidRPr="005D15CF">
        <w:rPr>
          <w:noProof/>
        </w:rPr>
        <w:drawing>
          <wp:inline distT="0" distB="0" distL="0" distR="0" wp14:anchorId="254B9734" wp14:editId="5FF47264">
            <wp:extent cx="3143250" cy="1924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43693" cy="1924321"/>
                    </a:xfrm>
                    <a:prstGeom prst="rect">
                      <a:avLst/>
                    </a:prstGeom>
                  </pic:spPr>
                </pic:pic>
              </a:graphicData>
            </a:graphic>
          </wp:inline>
        </w:drawing>
      </w:r>
    </w:p>
    <w:p w14:paraId="1DDB0F42" w14:textId="77777777" w:rsidR="005D15CF" w:rsidRDefault="005D15CF" w:rsidP="005D15CF">
      <w:r w:rsidRPr="005D15CF">
        <w:t>The horseracing event will also require various resources to make the event successful. These resources include Catering materials which will be essential in offering catering services to the guests attending the horserace event. The business also assumes that the majority of the clients will drive to the venue, hence, the need for adequate parking space to accommodate their vehicles. Inside the racecourse, there will be the need for guests to sit and enjoy the event, hence, the need for seats. Ticketing/registration systems and devices are also needed to help in the online management and verification of guest lists. Topnotch Organizers will also require branding materials to aid in promoting and marketing their service to the clients. These will include banners and logo printers. More importantly, there will be a need for safety and security measures, especially in crowd control and emergency response during the event. Lastly, guest amenities such as gift bags and branded merchandise will be required since they offer guests a personalised experience (Camilleri 2021).</w:t>
      </w:r>
    </w:p>
    <w:p w14:paraId="77E50B80" w14:textId="77777777" w:rsidR="005D15CF" w:rsidRPr="005D15CF" w:rsidRDefault="005D15CF" w:rsidP="005D15CF">
      <w:r w:rsidRPr="005D15CF">
        <w:rPr>
          <w:noProof/>
        </w:rPr>
        <w:lastRenderedPageBreak/>
        <w:drawing>
          <wp:inline distT="0" distB="0" distL="0" distR="0" wp14:anchorId="3FD551A0" wp14:editId="75A94528">
            <wp:extent cx="3105150" cy="1981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05590" cy="1981481"/>
                    </a:xfrm>
                    <a:prstGeom prst="rect">
                      <a:avLst/>
                    </a:prstGeom>
                  </pic:spPr>
                </pic:pic>
              </a:graphicData>
            </a:graphic>
          </wp:inline>
        </w:drawing>
      </w:r>
    </w:p>
    <w:p w14:paraId="28F71401" w14:textId="77777777" w:rsidR="005D15CF" w:rsidRDefault="005D15CF" w:rsidP="005D15CF">
      <w:r w:rsidRPr="005D15CF">
        <w:t xml:space="preserve">The following cost approximation is based on the average industry costs of services. The overall cost of service is approximated to be </w:t>
      </w:r>
      <w:r w:rsidRPr="005D15CF">
        <w:rPr>
          <w:b/>
          <w:bCs/>
        </w:rPr>
        <w:t>£ 22,700</w:t>
      </w:r>
      <w:r w:rsidRPr="005D15CF">
        <w:t xml:space="preserve">. The largest cost drivers include racecourse rental, catering services and staffing costs. On the other hand, the lowest cost drivers are miscellaneous, permit costs and parking facility costs. </w:t>
      </w:r>
    </w:p>
    <w:p w14:paraId="29C7306C" w14:textId="77777777" w:rsidR="005D15CF" w:rsidRPr="005D15CF" w:rsidRDefault="005D15CF" w:rsidP="005D15CF">
      <w:r w:rsidRPr="005D15CF">
        <w:rPr>
          <w:noProof/>
        </w:rPr>
        <w:drawing>
          <wp:inline distT="0" distB="0" distL="0" distR="0" wp14:anchorId="79CF0E28" wp14:editId="175F13D6">
            <wp:extent cx="3228975" cy="1952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58009" cy="1970182"/>
                    </a:xfrm>
                    <a:prstGeom prst="rect">
                      <a:avLst/>
                    </a:prstGeom>
                  </pic:spPr>
                </pic:pic>
              </a:graphicData>
            </a:graphic>
          </wp:inline>
        </w:drawing>
      </w:r>
    </w:p>
    <w:p w14:paraId="599972B4" w14:textId="77777777" w:rsidR="001552D6" w:rsidRPr="001552D6" w:rsidRDefault="001552D6" w:rsidP="001552D6">
      <w:r w:rsidRPr="001552D6">
        <w:t xml:space="preserve">The projected revenue of the event is approximated to be </w:t>
      </w:r>
      <w:r w:rsidRPr="001552D6">
        <w:rPr>
          <w:b/>
          <w:bCs/>
        </w:rPr>
        <w:t xml:space="preserve">£ 35,000. </w:t>
      </w:r>
      <w:r w:rsidRPr="001552D6">
        <w:t>This amount is expected to come from ticket sales, sponsorship contributions, merchandise sales and revenue from catering services.</w:t>
      </w:r>
    </w:p>
    <w:p w14:paraId="6ED24A90" w14:textId="77777777" w:rsidR="005D15CF" w:rsidRPr="005D15CF" w:rsidRDefault="001552D6" w:rsidP="005D15CF">
      <w:r w:rsidRPr="005D15CF">
        <w:rPr>
          <w:noProof/>
        </w:rPr>
        <w:drawing>
          <wp:inline distT="0" distB="0" distL="0" distR="0" wp14:anchorId="3588C399" wp14:editId="5AC489AA">
            <wp:extent cx="3228975" cy="16478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29434" cy="1648059"/>
                    </a:xfrm>
                    <a:prstGeom prst="rect">
                      <a:avLst/>
                    </a:prstGeom>
                  </pic:spPr>
                </pic:pic>
              </a:graphicData>
            </a:graphic>
          </wp:inline>
        </w:drawing>
      </w:r>
    </w:p>
    <w:p w14:paraId="14837B17" w14:textId="77777777" w:rsidR="005D15CF" w:rsidRDefault="005D15CF" w:rsidP="005D15CF">
      <w:r w:rsidRPr="005D15CF">
        <w:t xml:space="preserve">Topnotch Organizers will depend on various funding sources to make the horseracing event a success. According to Zakizadeh and Nazarian (2022), ticket sales are a significant source of funding for a public event, hence, will be a priority in revenue generation in the horseracing event. The business will also use merchandise sales as its own funding mechanism. Topnotch organizers will also seek event support grants especially, the Paul Mellon Centre. Horseracing is also known for betting services (Jane, and </w:t>
      </w:r>
      <w:r w:rsidRPr="005D15CF">
        <w:lastRenderedPageBreak/>
        <w:t>Gibson, 2018). Therefore, Topnotch Organizers will consider Corporate sponsorship from known betting companies such as Betway. Lastly, the business will apply for a government grant to fund its activities. According to Baldock, (2016), the UK government has numerous grants and funds that can help boost the financial status of start-up businesses. For instance, the Seed Enterprise Investment Scheme (SEIS).</w:t>
      </w:r>
    </w:p>
    <w:p w14:paraId="1315CFBD" w14:textId="77777777" w:rsidR="002477A8" w:rsidRDefault="002477A8" w:rsidP="005D15CF"/>
    <w:p w14:paraId="46CF49D8" w14:textId="77777777" w:rsidR="007E158F" w:rsidRDefault="007E158F" w:rsidP="005D15CF"/>
    <w:p w14:paraId="1950C88D" w14:textId="77777777" w:rsidR="007E158F" w:rsidRDefault="007E158F" w:rsidP="005D15CF"/>
    <w:p w14:paraId="4B2A7DF9" w14:textId="77777777" w:rsidR="007E158F" w:rsidRDefault="007E158F" w:rsidP="005D15CF"/>
    <w:p w14:paraId="382F8E80" w14:textId="77777777" w:rsidR="007E158F" w:rsidRDefault="007E158F" w:rsidP="005D15CF"/>
    <w:p w14:paraId="137AA490" w14:textId="77777777" w:rsidR="007E158F" w:rsidRDefault="007E158F" w:rsidP="005D15CF"/>
    <w:p w14:paraId="6307D68B" w14:textId="77777777" w:rsidR="007E158F" w:rsidRDefault="007E158F" w:rsidP="005D15CF"/>
    <w:p w14:paraId="3EBE6F1C" w14:textId="77777777" w:rsidR="007E158F" w:rsidRDefault="007E158F" w:rsidP="005D15CF"/>
    <w:p w14:paraId="2AB94C21" w14:textId="77777777" w:rsidR="007E158F" w:rsidRDefault="007E158F" w:rsidP="005D15CF"/>
    <w:p w14:paraId="21AA685B" w14:textId="77777777" w:rsidR="007E158F" w:rsidRDefault="007E158F" w:rsidP="005D15CF"/>
    <w:p w14:paraId="217220C9" w14:textId="77777777" w:rsidR="007E158F" w:rsidRDefault="007E158F" w:rsidP="005D15CF"/>
    <w:p w14:paraId="32607B90" w14:textId="77777777" w:rsidR="007E158F" w:rsidRDefault="007E158F" w:rsidP="005D15CF"/>
    <w:p w14:paraId="3A711429" w14:textId="77777777" w:rsidR="007E158F" w:rsidRDefault="007E158F" w:rsidP="005D15CF"/>
    <w:p w14:paraId="1F1F425C" w14:textId="77777777" w:rsidR="007E158F" w:rsidRDefault="007E158F" w:rsidP="005D15CF"/>
    <w:p w14:paraId="0D41989E" w14:textId="77777777" w:rsidR="007E158F" w:rsidRDefault="007E158F" w:rsidP="005D15CF"/>
    <w:p w14:paraId="2888AD08" w14:textId="77777777" w:rsidR="007E158F" w:rsidRDefault="007E158F" w:rsidP="005D15CF"/>
    <w:p w14:paraId="1E62D843" w14:textId="77777777" w:rsidR="007E158F" w:rsidRDefault="007E158F" w:rsidP="005D15CF"/>
    <w:p w14:paraId="510F3956" w14:textId="77777777" w:rsidR="007E158F" w:rsidRDefault="007E158F" w:rsidP="005D15CF"/>
    <w:p w14:paraId="50177E85" w14:textId="77777777" w:rsidR="007E158F" w:rsidRDefault="007E158F" w:rsidP="005D15CF"/>
    <w:p w14:paraId="305D8BD5" w14:textId="77777777" w:rsidR="007E158F" w:rsidRDefault="007E158F" w:rsidP="005D15CF"/>
    <w:p w14:paraId="0FCA4A37" w14:textId="77777777" w:rsidR="007E158F" w:rsidRDefault="007E158F" w:rsidP="005D15CF"/>
    <w:p w14:paraId="5E8DDFAB" w14:textId="77777777" w:rsidR="007E158F" w:rsidRDefault="007E158F" w:rsidP="005D15CF"/>
    <w:p w14:paraId="03CA8C1A" w14:textId="77777777" w:rsidR="007E158F" w:rsidRDefault="007E158F" w:rsidP="005D15CF"/>
    <w:p w14:paraId="0C6D60EB" w14:textId="77777777" w:rsidR="007E158F" w:rsidRDefault="007E158F" w:rsidP="005D15CF"/>
    <w:p w14:paraId="5B2BD5EF" w14:textId="77777777" w:rsidR="007E158F" w:rsidRDefault="007E158F" w:rsidP="005D15CF"/>
    <w:p w14:paraId="3BBB255D" w14:textId="77777777" w:rsidR="007E158F" w:rsidRDefault="007E158F" w:rsidP="005D15CF"/>
    <w:p w14:paraId="15953E13" w14:textId="77777777" w:rsidR="002477A8" w:rsidRDefault="002477A8" w:rsidP="002477A8">
      <w:pPr>
        <w:jc w:val="center"/>
        <w:rPr>
          <w:b/>
        </w:rPr>
      </w:pPr>
      <w:r>
        <w:rPr>
          <w:b/>
        </w:rPr>
        <w:lastRenderedPageBreak/>
        <w:t>References</w:t>
      </w:r>
    </w:p>
    <w:p w14:paraId="197B17DA" w14:textId="77777777" w:rsidR="007E2A5E" w:rsidRPr="002477A8" w:rsidRDefault="000A46A1" w:rsidP="002477A8">
      <w:pPr>
        <w:numPr>
          <w:ilvl w:val="0"/>
          <w:numId w:val="1"/>
        </w:numPr>
        <w:tabs>
          <w:tab w:val="clear" w:pos="360"/>
          <w:tab w:val="num" w:pos="720"/>
        </w:tabs>
      </w:pPr>
      <w:r w:rsidRPr="002477A8">
        <w:t>Allied Market Research 2023 UK Event Industry by Type (corporate events, Music Concerts, Festivals, Conferences, Exhibitions and Seminars. [online] Available at: https://www.alliedmarketresearch.com/uk-events-industry-market-A169718 [Accessed 2 May 2024].</w:t>
      </w:r>
    </w:p>
    <w:p w14:paraId="224EBB79" w14:textId="77777777" w:rsidR="007E2A5E" w:rsidRPr="002477A8" w:rsidRDefault="000A46A1" w:rsidP="002477A8">
      <w:pPr>
        <w:numPr>
          <w:ilvl w:val="0"/>
          <w:numId w:val="1"/>
        </w:numPr>
        <w:tabs>
          <w:tab w:val="clear" w:pos="360"/>
          <w:tab w:val="num" w:pos="720"/>
        </w:tabs>
      </w:pPr>
      <w:r w:rsidRPr="002477A8">
        <w:t>Anufrieva, N.I., Tsarev, D.V., Gribkova, G.I., Medved, E.I. and Kiseleva, O.I., 2021. Increasing university students' organizational skills during practical application of event management technologies in organizing events. Revista Tempos e Espaços em Educação, 14(33), pp.1-12.</w:t>
      </w:r>
    </w:p>
    <w:p w14:paraId="417ACA0D" w14:textId="77777777" w:rsidR="007E2A5E" w:rsidRPr="002477A8" w:rsidRDefault="000A46A1" w:rsidP="002477A8">
      <w:pPr>
        <w:numPr>
          <w:ilvl w:val="0"/>
          <w:numId w:val="1"/>
        </w:numPr>
        <w:tabs>
          <w:tab w:val="clear" w:pos="360"/>
          <w:tab w:val="num" w:pos="720"/>
        </w:tabs>
      </w:pPr>
      <w:r w:rsidRPr="002477A8">
        <w:t>Baldock, R., 2016. An assessment of the business impacts of the UK’s Enterprise Capital Funds. Environment and Planning C: Government and Policy, 34(8), pp.1556-1581.</w:t>
      </w:r>
    </w:p>
    <w:p w14:paraId="1EA63E4D" w14:textId="77777777" w:rsidR="007E2A5E" w:rsidRPr="002477A8" w:rsidRDefault="000A46A1" w:rsidP="002477A8">
      <w:pPr>
        <w:numPr>
          <w:ilvl w:val="0"/>
          <w:numId w:val="1"/>
        </w:numPr>
        <w:tabs>
          <w:tab w:val="clear" w:pos="360"/>
          <w:tab w:val="num" w:pos="720"/>
        </w:tabs>
      </w:pPr>
      <w:r w:rsidRPr="002477A8">
        <w:t xml:space="preserve">Buraimo, B., Coster, N. and Forrest, D., 2021. Spectator demand for the sport of kings. Applied Economics, 53(51), pp.5883-5897. https://www.tandfonline.com/doi/pdf/10.1080/00036846.2021.1931010. </w:t>
      </w:r>
    </w:p>
    <w:p w14:paraId="6AB0C0D3" w14:textId="77777777" w:rsidR="007E2A5E" w:rsidRPr="002477A8" w:rsidRDefault="000A46A1" w:rsidP="002477A8">
      <w:pPr>
        <w:numPr>
          <w:ilvl w:val="0"/>
          <w:numId w:val="1"/>
        </w:numPr>
        <w:tabs>
          <w:tab w:val="clear" w:pos="360"/>
          <w:tab w:val="num" w:pos="720"/>
        </w:tabs>
      </w:pPr>
      <w:r w:rsidRPr="002477A8">
        <w:t>Butcher, K., Sparks, B. and McColl-Kennedy, J., 2009. Predictors of customer service training in hospitality firms. International Journal of Hospitality Management, 28(3), pp.389-396.</w:t>
      </w:r>
    </w:p>
    <w:p w14:paraId="19E248FA" w14:textId="77777777" w:rsidR="007E2A5E" w:rsidRPr="002477A8" w:rsidRDefault="000A46A1" w:rsidP="002477A8">
      <w:pPr>
        <w:numPr>
          <w:ilvl w:val="0"/>
          <w:numId w:val="1"/>
        </w:numPr>
        <w:tabs>
          <w:tab w:val="clear" w:pos="360"/>
          <w:tab w:val="num" w:pos="720"/>
        </w:tabs>
      </w:pPr>
      <w:r w:rsidRPr="002477A8">
        <w:t>Camilleri, M.A., 2021. Tourism, Hospitality &amp;_ Event Management.</w:t>
      </w:r>
    </w:p>
    <w:p w14:paraId="19166EFF" w14:textId="77777777" w:rsidR="007E2A5E" w:rsidRPr="002477A8" w:rsidRDefault="000A46A1" w:rsidP="002477A8">
      <w:pPr>
        <w:numPr>
          <w:ilvl w:val="0"/>
          <w:numId w:val="1"/>
        </w:numPr>
        <w:tabs>
          <w:tab w:val="clear" w:pos="360"/>
          <w:tab w:val="num" w:pos="720"/>
        </w:tabs>
      </w:pPr>
      <w:r w:rsidRPr="002477A8">
        <w:t>Clark, K.E., 2019. Event Planning as a Means of Applying Transferable Skills: The Planning of the 2019 Communication Studies Banquet.</w:t>
      </w:r>
    </w:p>
    <w:p w14:paraId="0CACEDC1" w14:textId="77777777" w:rsidR="007E2A5E" w:rsidRPr="002477A8" w:rsidRDefault="000A46A1" w:rsidP="002477A8">
      <w:pPr>
        <w:numPr>
          <w:ilvl w:val="0"/>
          <w:numId w:val="1"/>
        </w:numPr>
        <w:tabs>
          <w:tab w:val="clear" w:pos="360"/>
          <w:tab w:val="num" w:pos="720"/>
        </w:tabs>
      </w:pPr>
      <w:r w:rsidRPr="002477A8">
        <w:t>Giudici, M. and Filimonau, V., 2019. Exploring the linkages between managerial leadership, communication and teamwork in successful event delivery. Tourism Management Perspectives, 32, p.100558.</w:t>
      </w:r>
    </w:p>
    <w:p w14:paraId="6129B2AB" w14:textId="77777777" w:rsidR="007E2A5E" w:rsidRDefault="000A46A1" w:rsidP="002477A8">
      <w:pPr>
        <w:numPr>
          <w:ilvl w:val="0"/>
          <w:numId w:val="1"/>
        </w:numPr>
      </w:pPr>
      <w:r w:rsidRPr="002477A8">
        <w:t>House of Lords (2022). Horseracing Industry. [online] Available at: https://lordslibrary.parliament.uk/horseracing-industry-government-support-and-recent-developments/#:~:text=In%202020%20the%20BHA%20stated,race%20meetings%E2%80%9D%20across%20the%20UK. [Accessed 2 May 2024].</w:t>
      </w:r>
    </w:p>
    <w:p w14:paraId="17B834BF" w14:textId="77777777" w:rsidR="007E2A5E" w:rsidRPr="002477A8" w:rsidRDefault="000A46A1" w:rsidP="002477A8">
      <w:pPr>
        <w:numPr>
          <w:ilvl w:val="0"/>
          <w:numId w:val="1"/>
        </w:numPr>
        <w:ind w:left="720"/>
      </w:pPr>
      <w:r w:rsidRPr="002477A8">
        <w:t xml:space="preserve">Huggins, M., 2003. Horseracing and the British 1919-39. Manchester University Press. https://library.oapen.org/bitstream/handle/20.500.12657/35047/1/341342.pdf. </w:t>
      </w:r>
    </w:p>
    <w:p w14:paraId="10CC4913" w14:textId="77777777" w:rsidR="007E2A5E" w:rsidRPr="002477A8" w:rsidRDefault="000A46A1" w:rsidP="002477A8">
      <w:pPr>
        <w:numPr>
          <w:ilvl w:val="0"/>
          <w:numId w:val="1"/>
        </w:numPr>
        <w:ind w:left="720"/>
      </w:pPr>
      <w:r w:rsidRPr="002477A8">
        <w:t xml:space="preserve">IBISWorld 2023, Industry Market Research, Reports, and Statistics. [online] Available at: https://www.ibisworld.com/united-kingdom/number-of-businesses/party-event-planners/14571/. </w:t>
      </w:r>
    </w:p>
    <w:p w14:paraId="081C0E89" w14:textId="77777777" w:rsidR="007E2A5E" w:rsidRPr="002477A8" w:rsidRDefault="000A46A1" w:rsidP="002477A8">
      <w:pPr>
        <w:numPr>
          <w:ilvl w:val="0"/>
          <w:numId w:val="1"/>
        </w:numPr>
        <w:ind w:left="720"/>
      </w:pPr>
      <w:r w:rsidRPr="002477A8">
        <w:t>Jane, B. and Gibson, K., 2018. Corporate sponsorship of physical activity promotion programmes: part of the solution or part of the problem?. Journal of Public Health, 40(2), pp.279-288.</w:t>
      </w:r>
    </w:p>
    <w:p w14:paraId="37664CD3" w14:textId="77777777" w:rsidR="007E2A5E" w:rsidRPr="002477A8" w:rsidRDefault="000A46A1" w:rsidP="002477A8">
      <w:pPr>
        <w:numPr>
          <w:ilvl w:val="0"/>
          <w:numId w:val="1"/>
        </w:numPr>
        <w:ind w:left="720"/>
      </w:pPr>
      <w:r w:rsidRPr="002477A8">
        <w:t>Markwide Research 2024. United Kingdom Event Services Market Analysis. https://markwideresearch.com/united-kingdom-event-services-market/. [Accessed 2 May 2024].</w:t>
      </w:r>
    </w:p>
    <w:p w14:paraId="6A9E1730" w14:textId="77777777" w:rsidR="007E2A5E" w:rsidRPr="002477A8" w:rsidRDefault="000A46A1" w:rsidP="002477A8">
      <w:pPr>
        <w:numPr>
          <w:ilvl w:val="0"/>
          <w:numId w:val="1"/>
        </w:numPr>
        <w:ind w:left="720"/>
      </w:pPr>
      <w:r w:rsidRPr="002477A8">
        <w:t>Shaikh, A., Singh, A., Walawalkar, G. and Kapasi, F., 2019. CATERING MANAGEMENT.</w:t>
      </w:r>
    </w:p>
    <w:p w14:paraId="4DEC72CA" w14:textId="77777777" w:rsidR="007E2A5E" w:rsidRPr="002477A8" w:rsidRDefault="000A46A1" w:rsidP="002477A8">
      <w:pPr>
        <w:numPr>
          <w:ilvl w:val="0"/>
          <w:numId w:val="1"/>
        </w:numPr>
        <w:ind w:left="720"/>
      </w:pPr>
      <w:r w:rsidRPr="002477A8">
        <w:lastRenderedPageBreak/>
        <w:t xml:space="preserve">Statista Research Department 2023, Equestrian sports in the United Kingdom (UK). [online] Statista. Available at: https://www.statista.com/topics/3879/equestrian-sports-in-the-united-kingdom-uk/#topicOverview. </w:t>
      </w:r>
    </w:p>
    <w:p w14:paraId="02FC8DDF" w14:textId="77777777" w:rsidR="007E2A5E" w:rsidRPr="002477A8" w:rsidRDefault="000A46A1" w:rsidP="002477A8">
      <w:pPr>
        <w:numPr>
          <w:ilvl w:val="0"/>
          <w:numId w:val="1"/>
        </w:numPr>
        <w:ind w:left="720"/>
      </w:pPr>
      <w:r w:rsidRPr="002477A8">
        <w:t>Taylor, T. and Toohey, K., 2005. Impacts of terrorism-related safety and security measures at a major sport event. Event management, 9(4), pp.199-209.</w:t>
      </w:r>
    </w:p>
    <w:p w14:paraId="2DDB595D" w14:textId="77777777" w:rsidR="007E2A5E" w:rsidRPr="002477A8" w:rsidRDefault="000A46A1" w:rsidP="002477A8">
      <w:pPr>
        <w:numPr>
          <w:ilvl w:val="0"/>
          <w:numId w:val="1"/>
        </w:numPr>
        <w:ind w:left="720"/>
      </w:pPr>
      <w:r w:rsidRPr="002477A8">
        <w:t>Tolvanen, S., 2023. Improving the Ticketing Process of the Case Company.</w:t>
      </w:r>
    </w:p>
    <w:p w14:paraId="530004DA" w14:textId="77777777" w:rsidR="007E2A5E" w:rsidRPr="002477A8" w:rsidRDefault="000A46A1" w:rsidP="002477A8">
      <w:pPr>
        <w:numPr>
          <w:ilvl w:val="0"/>
          <w:numId w:val="1"/>
        </w:numPr>
        <w:ind w:left="720"/>
      </w:pPr>
      <w:r w:rsidRPr="002477A8">
        <w:t>VILLA, M., 2017. The organization of sports events in the endurance world: the case of ENDU.</w:t>
      </w:r>
    </w:p>
    <w:p w14:paraId="42C6F54A" w14:textId="77777777" w:rsidR="007E2A5E" w:rsidRPr="002477A8" w:rsidRDefault="000A46A1" w:rsidP="002477A8">
      <w:pPr>
        <w:numPr>
          <w:ilvl w:val="0"/>
          <w:numId w:val="1"/>
        </w:numPr>
        <w:ind w:left="720"/>
      </w:pPr>
      <w:r w:rsidRPr="002477A8">
        <w:t>Williams, J.M., Marlin, D.M., Langley, N., Parkin, T.D. and Randle, H., 2013. The Grand National: a review of factors associated with non-completion and horse-falls, 1990 to 2012. Comparative Exercise Physiology, 9(3-4), pp.131-146.</w:t>
      </w:r>
    </w:p>
    <w:p w14:paraId="65BCE668" w14:textId="77777777" w:rsidR="002477A8" w:rsidRPr="002477A8" w:rsidRDefault="002477A8" w:rsidP="002477A8">
      <w:pPr>
        <w:numPr>
          <w:ilvl w:val="0"/>
          <w:numId w:val="1"/>
        </w:numPr>
        <w:tabs>
          <w:tab w:val="clear" w:pos="360"/>
        </w:tabs>
      </w:pPr>
      <w:r w:rsidRPr="002477A8">
        <w:t>Zakizadeh, L. and Nazarian, A., 2022. Recognizing and Prioritizing Economic Criteria Affecting Ticket Sales Management in World Sport Mega Events. Research in Sport Management and Marketing, 3(1), pp.17-29.</w:t>
      </w:r>
    </w:p>
    <w:p w14:paraId="1AE00B69" w14:textId="77777777" w:rsidR="002477A8" w:rsidRPr="002477A8" w:rsidRDefault="002477A8" w:rsidP="002477A8"/>
    <w:p w14:paraId="202276A4" w14:textId="77777777" w:rsidR="005D15CF" w:rsidRPr="005D15CF" w:rsidRDefault="005D15CF" w:rsidP="005D15CF">
      <w:r w:rsidRPr="005D15CF">
        <w:t> </w:t>
      </w:r>
    </w:p>
    <w:p w14:paraId="652E2D98" w14:textId="77777777" w:rsidR="009420D0" w:rsidRDefault="009420D0"/>
    <w:sectPr w:rsidR="009420D0">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C5D7E" w14:textId="77777777" w:rsidR="00B13397" w:rsidRDefault="00B13397" w:rsidP="00832751">
      <w:pPr>
        <w:spacing w:after="0" w:line="240" w:lineRule="auto"/>
      </w:pPr>
      <w:r>
        <w:separator/>
      </w:r>
    </w:p>
  </w:endnote>
  <w:endnote w:type="continuationSeparator" w:id="0">
    <w:p w14:paraId="2B9F4672" w14:textId="77777777" w:rsidR="00B13397" w:rsidRDefault="00B13397" w:rsidP="00832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907B3" w14:textId="77777777" w:rsidR="00B13397" w:rsidRDefault="00B13397" w:rsidP="00832751">
      <w:pPr>
        <w:spacing w:after="0" w:line="240" w:lineRule="auto"/>
      </w:pPr>
      <w:r>
        <w:separator/>
      </w:r>
    </w:p>
  </w:footnote>
  <w:footnote w:type="continuationSeparator" w:id="0">
    <w:p w14:paraId="31B2F25C" w14:textId="77777777" w:rsidR="00B13397" w:rsidRDefault="00B13397" w:rsidP="00832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5608123"/>
      <w:docPartObj>
        <w:docPartGallery w:val="Page Numbers (Top of Page)"/>
        <w:docPartUnique/>
      </w:docPartObj>
    </w:sdtPr>
    <w:sdtEndPr>
      <w:rPr>
        <w:rFonts w:ascii="Times New Roman" w:hAnsi="Times New Roman" w:cs="Times New Roman"/>
        <w:noProof/>
      </w:rPr>
    </w:sdtEndPr>
    <w:sdtContent>
      <w:p w14:paraId="017FE454" w14:textId="77777777" w:rsidR="00832751" w:rsidRPr="00832751" w:rsidRDefault="00832751">
        <w:pPr>
          <w:pStyle w:val="Header"/>
          <w:jc w:val="right"/>
          <w:rPr>
            <w:rFonts w:ascii="Times New Roman" w:hAnsi="Times New Roman" w:cs="Times New Roman"/>
          </w:rPr>
        </w:pPr>
        <w:r w:rsidRPr="00832751">
          <w:rPr>
            <w:rFonts w:ascii="Times New Roman" w:hAnsi="Times New Roman" w:cs="Times New Roman"/>
          </w:rPr>
          <w:fldChar w:fldCharType="begin"/>
        </w:r>
        <w:r w:rsidRPr="00832751">
          <w:rPr>
            <w:rFonts w:ascii="Times New Roman" w:hAnsi="Times New Roman" w:cs="Times New Roman"/>
          </w:rPr>
          <w:instrText xml:space="preserve"> PAGE   \* MERGEFORMAT </w:instrText>
        </w:r>
        <w:r w:rsidRPr="00832751">
          <w:rPr>
            <w:rFonts w:ascii="Times New Roman" w:hAnsi="Times New Roman" w:cs="Times New Roman"/>
          </w:rPr>
          <w:fldChar w:fldCharType="separate"/>
        </w:r>
        <w:r w:rsidR="000A46A1">
          <w:rPr>
            <w:rFonts w:ascii="Times New Roman" w:hAnsi="Times New Roman" w:cs="Times New Roman"/>
            <w:noProof/>
          </w:rPr>
          <w:t>1</w:t>
        </w:r>
        <w:r w:rsidRPr="00832751">
          <w:rPr>
            <w:rFonts w:ascii="Times New Roman" w:hAnsi="Times New Roman" w:cs="Times New Roman"/>
            <w:noProof/>
          </w:rPr>
          <w:fldChar w:fldCharType="end"/>
        </w:r>
      </w:p>
    </w:sdtContent>
  </w:sdt>
  <w:p w14:paraId="22671048" w14:textId="77777777" w:rsidR="00832751" w:rsidRPr="00832751" w:rsidRDefault="00832751">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77A5F"/>
    <w:multiLevelType w:val="hybridMultilevel"/>
    <w:tmpl w:val="E7D0DEC8"/>
    <w:lvl w:ilvl="0" w:tplc="233AC8F0">
      <w:start w:val="1"/>
      <w:numFmt w:val="bullet"/>
      <w:lvlText w:val="•"/>
      <w:lvlJc w:val="left"/>
      <w:pPr>
        <w:tabs>
          <w:tab w:val="num" w:pos="720"/>
        </w:tabs>
        <w:ind w:left="720" w:hanging="360"/>
      </w:pPr>
      <w:rPr>
        <w:rFonts w:ascii="Arial" w:hAnsi="Arial" w:hint="default"/>
      </w:rPr>
    </w:lvl>
    <w:lvl w:ilvl="1" w:tplc="3580C076" w:tentative="1">
      <w:start w:val="1"/>
      <w:numFmt w:val="bullet"/>
      <w:lvlText w:val="•"/>
      <w:lvlJc w:val="left"/>
      <w:pPr>
        <w:tabs>
          <w:tab w:val="num" w:pos="1440"/>
        </w:tabs>
        <w:ind w:left="1440" w:hanging="360"/>
      </w:pPr>
      <w:rPr>
        <w:rFonts w:ascii="Arial" w:hAnsi="Arial" w:hint="default"/>
      </w:rPr>
    </w:lvl>
    <w:lvl w:ilvl="2" w:tplc="F1C6EE9C" w:tentative="1">
      <w:start w:val="1"/>
      <w:numFmt w:val="bullet"/>
      <w:lvlText w:val="•"/>
      <w:lvlJc w:val="left"/>
      <w:pPr>
        <w:tabs>
          <w:tab w:val="num" w:pos="2160"/>
        </w:tabs>
        <w:ind w:left="2160" w:hanging="360"/>
      </w:pPr>
      <w:rPr>
        <w:rFonts w:ascii="Arial" w:hAnsi="Arial" w:hint="default"/>
      </w:rPr>
    </w:lvl>
    <w:lvl w:ilvl="3" w:tplc="9B4C5460" w:tentative="1">
      <w:start w:val="1"/>
      <w:numFmt w:val="bullet"/>
      <w:lvlText w:val="•"/>
      <w:lvlJc w:val="left"/>
      <w:pPr>
        <w:tabs>
          <w:tab w:val="num" w:pos="2880"/>
        </w:tabs>
        <w:ind w:left="2880" w:hanging="360"/>
      </w:pPr>
      <w:rPr>
        <w:rFonts w:ascii="Arial" w:hAnsi="Arial" w:hint="default"/>
      </w:rPr>
    </w:lvl>
    <w:lvl w:ilvl="4" w:tplc="5ED8EF78" w:tentative="1">
      <w:start w:val="1"/>
      <w:numFmt w:val="bullet"/>
      <w:lvlText w:val="•"/>
      <w:lvlJc w:val="left"/>
      <w:pPr>
        <w:tabs>
          <w:tab w:val="num" w:pos="3600"/>
        </w:tabs>
        <w:ind w:left="3600" w:hanging="360"/>
      </w:pPr>
      <w:rPr>
        <w:rFonts w:ascii="Arial" w:hAnsi="Arial" w:hint="default"/>
      </w:rPr>
    </w:lvl>
    <w:lvl w:ilvl="5" w:tplc="85ACAD42" w:tentative="1">
      <w:start w:val="1"/>
      <w:numFmt w:val="bullet"/>
      <w:lvlText w:val="•"/>
      <w:lvlJc w:val="left"/>
      <w:pPr>
        <w:tabs>
          <w:tab w:val="num" w:pos="4320"/>
        </w:tabs>
        <w:ind w:left="4320" w:hanging="360"/>
      </w:pPr>
      <w:rPr>
        <w:rFonts w:ascii="Arial" w:hAnsi="Arial" w:hint="default"/>
      </w:rPr>
    </w:lvl>
    <w:lvl w:ilvl="6" w:tplc="36827A14" w:tentative="1">
      <w:start w:val="1"/>
      <w:numFmt w:val="bullet"/>
      <w:lvlText w:val="•"/>
      <w:lvlJc w:val="left"/>
      <w:pPr>
        <w:tabs>
          <w:tab w:val="num" w:pos="5040"/>
        </w:tabs>
        <w:ind w:left="5040" w:hanging="360"/>
      </w:pPr>
      <w:rPr>
        <w:rFonts w:ascii="Arial" w:hAnsi="Arial" w:hint="default"/>
      </w:rPr>
    </w:lvl>
    <w:lvl w:ilvl="7" w:tplc="E43A3806" w:tentative="1">
      <w:start w:val="1"/>
      <w:numFmt w:val="bullet"/>
      <w:lvlText w:val="•"/>
      <w:lvlJc w:val="left"/>
      <w:pPr>
        <w:tabs>
          <w:tab w:val="num" w:pos="5760"/>
        </w:tabs>
        <w:ind w:left="5760" w:hanging="360"/>
      </w:pPr>
      <w:rPr>
        <w:rFonts w:ascii="Arial" w:hAnsi="Arial" w:hint="default"/>
      </w:rPr>
    </w:lvl>
    <w:lvl w:ilvl="8" w:tplc="C0E81A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060EF7"/>
    <w:multiLevelType w:val="hybridMultilevel"/>
    <w:tmpl w:val="757697CC"/>
    <w:lvl w:ilvl="0" w:tplc="109C8D6A">
      <w:start w:val="1"/>
      <w:numFmt w:val="bullet"/>
      <w:lvlText w:val="•"/>
      <w:lvlJc w:val="left"/>
      <w:pPr>
        <w:tabs>
          <w:tab w:val="num" w:pos="360"/>
        </w:tabs>
        <w:ind w:left="360" w:hanging="360"/>
      </w:pPr>
      <w:rPr>
        <w:rFonts w:ascii="Arial" w:hAnsi="Arial" w:hint="default"/>
      </w:rPr>
    </w:lvl>
    <w:lvl w:ilvl="1" w:tplc="9ECA5C84" w:tentative="1">
      <w:start w:val="1"/>
      <w:numFmt w:val="bullet"/>
      <w:lvlText w:val="•"/>
      <w:lvlJc w:val="left"/>
      <w:pPr>
        <w:tabs>
          <w:tab w:val="num" w:pos="1080"/>
        </w:tabs>
        <w:ind w:left="1080" w:hanging="360"/>
      </w:pPr>
      <w:rPr>
        <w:rFonts w:ascii="Arial" w:hAnsi="Arial" w:hint="default"/>
      </w:rPr>
    </w:lvl>
    <w:lvl w:ilvl="2" w:tplc="AC363526" w:tentative="1">
      <w:start w:val="1"/>
      <w:numFmt w:val="bullet"/>
      <w:lvlText w:val="•"/>
      <w:lvlJc w:val="left"/>
      <w:pPr>
        <w:tabs>
          <w:tab w:val="num" w:pos="1800"/>
        </w:tabs>
        <w:ind w:left="1800" w:hanging="360"/>
      </w:pPr>
      <w:rPr>
        <w:rFonts w:ascii="Arial" w:hAnsi="Arial" w:hint="default"/>
      </w:rPr>
    </w:lvl>
    <w:lvl w:ilvl="3" w:tplc="433499F0" w:tentative="1">
      <w:start w:val="1"/>
      <w:numFmt w:val="bullet"/>
      <w:lvlText w:val="•"/>
      <w:lvlJc w:val="left"/>
      <w:pPr>
        <w:tabs>
          <w:tab w:val="num" w:pos="2520"/>
        </w:tabs>
        <w:ind w:left="2520" w:hanging="360"/>
      </w:pPr>
      <w:rPr>
        <w:rFonts w:ascii="Arial" w:hAnsi="Arial" w:hint="default"/>
      </w:rPr>
    </w:lvl>
    <w:lvl w:ilvl="4" w:tplc="13283BA4" w:tentative="1">
      <w:start w:val="1"/>
      <w:numFmt w:val="bullet"/>
      <w:lvlText w:val="•"/>
      <w:lvlJc w:val="left"/>
      <w:pPr>
        <w:tabs>
          <w:tab w:val="num" w:pos="3240"/>
        </w:tabs>
        <w:ind w:left="3240" w:hanging="360"/>
      </w:pPr>
      <w:rPr>
        <w:rFonts w:ascii="Arial" w:hAnsi="Arial" w:hint="default"/>
      </w:rPr>
    </w:lvl>
    <w:lvl w:ilvl="5" w:tplc="5E4AB542" w:tentative="1">
      <w:start w:val="1"/>
      <w:numFmt w:val="bullet"/>
      <w:lvlText w:val="•"/>
      <w:lvlJc w:val="left"/>
      <w:pPr>
        <w:tabs>
          <w:tab w:val="num" w:pos="3960"/>
        </w:tabs>
        <w:ind w:left="3960" w:hanging="360"/>
      </w:pPr>
      <w:rPr>
        <w:rFonts w:ascii="Arial" w:hAnsi="Arial" w:hint="default"/>
      </w:rPr>
    </w:lvl>
    <w:lvl w:ilvl="6" w:tplc="3F3A1640" w:tentative="1">
      <w:start w:val="1"/>
      <w:numFmt w:val="bullet"/>
      <w:lvlText w:val="•"/>
      <w:lvlJc w:val="left"/>
      <w:pPr>
        <w:tabs>
          <w:tab w:val="num" w:pos="4680"/>
        </w:tabs>
        <w:ind w:left="4680" w:hanging="360"/>
      </w:pPr>
      <w:rPr>
        <w:rFonts w:ascii="Arial" w:hAnsi="Arial" w:hint="default"/>
      </w:rPr>
    </w:lvl>
    <w:lvl w:ilvl="7" w:tplc="DDF2326A" w:tentative="1">
      <w:start w:val="1"/>
      <w:numFmt w:val="bullet"/>
      <w:lvlText w:val="•"/>
      <w:lvlJc w:val="left"/>
      <w:pPr>
        <w:tabs>
          <w:tab w:val="num" w:pos="5400"/>
        </w:tabs>
        <w:ind w:left="5400" w:hanging="360"/>
      </w:pPr>
      <w:rPr>
        <w:rFonts w:ascii="Arial" w:hAnsi="Arial" w:hint="default"/>
      </w:rPr>
    </w:lvl>
    <w:lvl w:ilvl="8" w:tplc="84D09B36" w:tentative="1">
      <w:start w:val="1"/>
      <w:numFmt w:val="bullet"/>
      <w:lvlText w:val="•"/>
      <w:lvlJc w:val="left"/>
      <w:pPr>
        <w:tabs>
          <w:tab w:val="num" w:pos="6120"/>
        </w:tabs>
        <w:ind w:left="6120" w:hanging="360"/>
      </w:pPr>
      <w:rPr>
        <w:rFonts w:ascii="Arial" w:hAnsi="Arial" w:hint="default"/>
      </w:rPr>
    </w:lvl>
  </w:abstractNum>
  <w:num w:numId="1" w16cid:durableId="177698299">
    <w:abstractNumId w:val="1"/>
  </w:num>
  <w:num w:numId="2" w16cid:durableId="350764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910"/>
    <w:rsid w:val="000213E7"/>
    <w:rsid w:val="000A46A1"/>
    <w:rsid w:val="001552D6"/>
    <w:rsid w:val="00177D64"/>
    <w:rsid w:val="002477A8"/>
    <w:rsid w:val="005D15CF"/>
    <w:rsid w:val="00632910"/>
    <w:rsid w:val="007E158F"/>
    <w:rsid w:val="007E2A5E"/>
    <w:rsid w:val="00804E8D"/>
    <w:rsid w:val="00832751"/>
    <w:rsid w:val="009420D0"/>
    <w:rsid w:val="00982BA3"/>
    <w:rsid w:val="00B13397"/>
    <w:rsid w:val="00DE2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216D2"/>
  <w15:chartTrackingRefBased/>
  <w15:docId w15:val="{49E9E473-206A-47B7-B1DA-499DF2A3C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2751"/>
  </w:style>
  <w:style w:type="paragraph" w:styleId="Footer">
    <w:name w:val="footer"/>
    <w:basedOn w:val="Normal"/>
    <w:link w:val="FooterChar"/>
    <w:uiPriority w:val="99"/>
    <w:unhideWhenUsed/>
    <w:rsid w:val="00832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32166">
      <w:bodyDiv w:val="1"/>
      <w:marLeft w:val="0"/>
      <w:marRight w:val="0"/>
      <w:marTop w:val="0"/>
      <w:marBottom w:val="0"/>
      <w:divBdr>
        <w:top w:val="none" w:sz="0" w:space="0" w:color="auto"/>
        <w:left w:val="none" w:sz="0" w:space="0" w:color="auto"/>
        <w:bottom w:val="none" w:sz="0" w:space="0" w:color="auto"/>
        <w:right w:val="none" w:sz="0" w:space="0" w:color="auto"/>
      </w:divBdr>
    </w:div>
    <w:div w:id="61802449">
      <w:bodyDiv w:val="1"/>
      <w:marLeft w:val="0"/>
      <w:marRight w:val="0"/>
      <w:marTop w:val="0"/>
      <w:marBottom w:val="0"/>
      <w:divBdr>
        <w:top w:val="none" w:sz="0" w:space="0" w:color="auto"/>
        <w:left w:val="none" w:sz="0" w:space="0" w:color="auto"/>
        <w:bottom w:val="none" w:sz="0" w:space="0" w:color="auto"/>
        <w:right w:val="none" w:sz="0" w:space="0" w:color="auto"/>
      </w:divBdr>
    </w:div>
    <w:div w:id="191383990">
      <w:bodyDiv w:val="1"/>
      <w:marLeft w:val="0"/>
      <w:marRight w:val="0"/>
      <w:marTop w:val="0"/>
      <w:marBottom w:val="0"/>
      <w:divBdr>
        <w:top w:val="none" w:sz="0" w:space="0" w:color="auto"/>
        <w:left w:val="none" w:sz="0" w:space="0" w:color="auto"/>
        <w:bottom w:val="none" w:sz="0" w:space="0" w:color="auto"/>
        <w:right w:val="none" w:sz="0" w:space="0" w:color="auto"/>
      </w:divBdr>
      <w:divsChild>
        <w:div w:id="43405967">
          <w:marLeft w:val="360"/>
          <w:marRight w:val="0"/>
          <w:marTop w:val="200"/>
          <w:marBottom w:val="0"/>
          <w:divBdr>
            <w:top w:val="none" w:sz="0" w:space="0" w:color="auto"/>
            <w:left w:val="none" w:sz="0" w:space="0" w:color="auto"/>
            <w:bottom w:val="none" w:sz="0" w:space="0" w:color="auto"/>
            <w:right w:val="none" w:sz="0" w:space="0" w:color="auto"/>
          </w:divBdr>
        </w:div>
        <w:div w:id="975644093">
          <w:marLeft w:val="360"/>
          <w:marRight w:val="0"/>
          <w:marTop w:val="200"/>
          <w:marBottom w:val="0"/>
          <w:divBdr>
            <w:top w:val="none" w:sz="0" w:space="0" w:color="auto"/>
            <w:left w:val="none" w:sz="0" w:space="0" w:color="auto"/>
            <w:bottom w:val="none" w:sz="0" w:space="0" w:color="auto"/>
            <w:right w:val="none" w:sz="0" w:space="0" w:color="auto"/>
          </w:divBdr>
        </w:div>
        <w:div w:id="245923760">
          <w:marLeft w:val="360"/>
          <w:marRight w:val="0"/>
          <w:marTop w:val="200"/>
          <w:marBottom w:val="0"/>
          <w:divBdr>
            <w:top w:val="none" w:sz="0" w:space="0" w:color="auto"/>
            <w:left w:val="none" w:sz="0" w:space="0" w:color="auto"/>
            <w:bottom w:val="none" w:sz="0" w:space="0" w:color="auto"/>
            <w:right w:val="none" w:sz="0" w:space="0" w:color="auto"/>
          </w:divBdr>
        </w:div>
        <w:div w:id="939027201">
          <w:marLeft w:val="360"/>
          <w:marRight w:val="0"/>
          <w:marTop w:val="200"/>
          <w:marBottom w:val="0"/>
          <w:divBdr>
            <w:top w:val="none" w:sz="0" w:space="0" w:color="auto"/>
            <w:left w:val="none" w:sz="0" w:space="0" w:color="auto"/>
            <w:bottom w:val="none" w:sz="0" w:space="0" w:color="auto"/>
            <w:right w:val="none" w:sz="0" w:space="0" w:color="auto"/>
          </w:divBdr>
        </w:div>
        <w:div w:id="856503391">
          <w:marLeft w:val="360"/>
          <w:marRight w:val="0"/>
          <w:marTop w:val="200"/>
          <w:marBottom w:val="0"/>
          <w:divBdr>
            <w:top w:val="none" w:sz="0" w:space="0" w:color="auto"/>
            <w:left w:val="none" w:sz="0" w:space="0" w:color="auto"/>
            <w:bottom w:val="none" w:sz="0" w:space="0" w:color="auto"/>
            <w:right w:val="none" w:sz="0" w:space="0" w:color="auto"/>
          </w:divBdr>
        </w:div>
        <w:div w:id="227612335">
          <w:marLeft w:val="360"/>
          <w:marRight w:val="0"/>
          <w:marTop w:val="200"/>
          <w:marBottom w:val="0"/>
          <w:divBdr>
            <w:top w:val="none" w:sz="0" w:space="0" w:color="auto"/>
            <w:left w:val="none" w:sz="0" w:space="0" w:color="auto"/>
            <w:bottom w:val="none" w:sz="0" w:space="0" w:color="auto"/>
            <w:right w:val="none" w:sz="0" w:space="0" w:color="auto"/>
          </w:divBdr>
        </w:div>
        <w:div w:id="1122722200">
          <w:marLeft w:val="360"/>
          <w:marRight w:val="0"/>
          <w:marTop w:val="200"/>
          <w:marBottom w:val="0"/>
          <w:divBdr>
            <w:top w:val="none" w:sz="0" w:space="0" w:color="auto"/>
            <w:left w:val="none" w:sz="0" w:space="0" w:color="auto"/>
            <w:bottom w:val="none" w:sz="0" w:space="0" w:color="auto"/>
            <w:right w:val="none" w:sz="0" w:space="0" w:color="auto"/>
          </w:divBdr>
        </w:div>
        <w:div w:id="240988018">
          <w:marLeft w:val="360"/>
          <w:marRight w:val="0"/>
          <w:marTop w:val="200"/>
          <w:marBottom w:val="0"/>
          <w:divBdr>
            <w:top w:val="none" w:sz="0" w:space="0" w:color="auto"/>
            <w:left w:val="none" w:sz="0" w:space="0" w:color="auto"/>
            <w:bottom w:val="none" w:sz="0" w:space="0" w:color="auto"/>
            <w:right w:val="none" w:sz="0" w:space="0" w:color="auto"/>
          </w:divBdr>
        </w:div>
        <w:div w:id="82730524">
          <w:marLeft w:val="360"/>
          <w:marRight w:val="0"/>
          <w:marTop w:val="200"/>
          <w:marBottom w:val="0"/>
          <w:divBdr>
            <w:top w:val="none" w:sz="0" w:space="0" w:color="auto"/>
            <w:left w:val="none" w:sz="0" w:space="0" w:color="auto"/>
            <w:bottom w:val="none" w:sz="0" w:space="0" w:color="auto"/>
            <w:right w:val="none" w:sz="0" w:space="0" w:color="auto"/>
          </w:divBdr>
        </w:div>
      </w:divsChild>
    </w:div>
    <w:div w:id="305015936">
      <w:bodyDiv w:val="1"/>
      <w:marLeft w:val="0"/>
      <w:marRight w:val="0"/>
      <w:marTop w:val="0"/>
      <w:marBottom w:val="0"/>
      <w:divBdr>
        <w:top w:val="none" w:sz="0" w:space="0" w:color="auto"/>
        <w:left w:val="none" w:sz="0" w:space="0" w:color="auto"/>
        <w:bottom w:val="none" w:sz="0" w:space="0" w:color="auto"/>
        <w:right w:val="none" w:sz="0" w:space="0" w:color="auto"/>
      </w:divBdr>
    </w:div>
    <w:div w:id="510029211">
      <w:bodyDiv w:val="1"/>
      <w:marLeft w:val="0"/>
      <w:marRight w:val="0"/>
      <w:marTop w:val="0"/>
      <w:marBottom w:val="0"/>
      <w:divBdr>
        <w:top w:val="none" w:sz="0" w:space="0" w:color="auto"/>
        <w:left w:val="none" w:sz="0" w:space="0" w:color="auto"/>
        <w:bottom w:val="none" w:sz="0" w:space="0" w:color="auto"/>
        <w:right w:val="none" w:sz="0" w:space="0" w:color="auto"/>
      </w:divBdr>
    </w:div>
    <w:div w:id="1218324397">
      <w:bodyDiv w:val="1"/>
      <w:marLeft w:val="0"/>
      <w:marRight w:val="0"/>
      <w:marTop w:val="0"/>
      <w:marBottom w:val="0"/>
      <w:divBdr>
        <w:top w:val="none" w:sz="0" w:space="0" w:color="auto"/>
        <w:left w:val="none" w:sz="0" w:space="0" w:color="auto"/>
        <w:bottom w:val="none" w:sz="0" w:space="0" w:color="auto"/>
        <w:right w:val="none" w:sz="0" w:space="0" w:color="auto"/>
      </w:divBdr>
    </w:div>
    <w:div w:id="1245919283">
      <w:bodyDiv w:val="1"/>
      <w:marLeft w:val="0"/>
      <w:marRight w:val="0"/>
      <w:marTop w:val="0"/>
      <w:marBottom w:val="0"/>
      <w:divBdr>
        <w:top w:val="none" w:sz="0" w:space="0" w:color="auto"/>
        <w:left w:val="none" w:sz="0" w:space="0" w:color="auto"/>
        <w:bottom w:val="none" w:sz="0" w:space="0" w:color="auto"/>
        <w:right w:val="none" w:sz="0" w:space="0" w:color="auto"/>
      </w:divBdr>
    </w:div>
    <w:div w:id="1317302688">
      <w:bodyDiv w:val="1"/>
      <w:marLeft w:val="0"/>
      <w:marRight w:val="0"/>
      <w:marTop w:val="0"/>
      <w:marBottom w:val="0"/>
      <w:divBdr>
        <w:top w:val="none" w:sz="0" w:space="0" w:color="auto"/>
        <w:left w:val="none" w:sz="0" w:space="0" w:color="auto"/>
        <w:bottom w:val="none" w:sz="0" w:space="0" w:color="auto"/>
        <w:right w:val="none" w:sz="0" w:space="0" w:color="auto"/>
      </w:divBdr>
    </w:div>
    <w:div w:id="1322545396">
      <w:bodyDiv w:val="1"/>
      <w:marLeft w:val="0"/>
      <w:marRight w:val="0"/>
      <w:marTop w:val="0"/>
      <w:marBottom w:val="0"/>
      <w:divBdr>
        <w:top w:val="none" w:sz="0" w:space="0" w:color="auto"/>
        <w:left w:val="none" w:sz="0" w:space="0" w:color="auto"/>
        <w:bottom w:val="none" w:sz="0" w:space="0" w:color="auto"/>
        <w:right w:val="none" w:sz="0" w:space="0" w:color="auto"/>
      </w:divBdr>
    </w:div>
    <w:div w:id="1831481703">
      <w:bodyDiv w:val="1"/>
      <w:marLeft w:val="0"/>
      <w:marRight w:val="0"/>
      <w:marTop w:val="0"/>
      <w:marBottom w:val="0"/>
      <w:divBdr>
        <w:top w:val="none" w:sz="0" w:space="0" w:color="auto"/>
        <w:left w:val="none" w:sz="0" w:space="0" w:color="auto"/>
        <w:bottom w:val="none" w:sz="0" w:space="0" w:color="auto"/>
        <w:right w:val="none" w:sz="0" w:space="0" w:color="auto"/>
      </w:divBdr>
    </w:div>
    <w:div w:id="1917471143">
      <w:bodyDiv w:val="1"/>
      <w:marLeft w:val="0"/>
      <w:marRight w:val="0"/>
      <w:marTop w:val="0"/>
      <w:marBottom w:val="0"/>
      <w:divBdr>
        <w:top w:val="none" w:sz="0" w:space="0" w:color="auto"/>
        <w:left w:val="none" w:sz="0" w:space="0" w:color="auto"/>
        <w:bottom w:val="none" w:sz="0" w:space="0" w:color="auto"/>
        <w:right w:val="none" w:sz="0" w:space="0" w:color="auto"/>
      </w:divBdr>
    </w:div>
    <w:div w:id="2000108828">
      <w:bodyDiv w:val="1"/>
      <w:marLeft w:val="0"/>
      <w:marRight w:val="0"/>
      <w:marTop w:val="0"/>
      <w:marBottom w:val="0"/>
      <w:divBdr>
        <w:top w:val="none" w:sz="0" w:space="0" w:color="auto"/>
        <w:left w:val="none" w:sz="0" w:space="0" w:color="auto"/>
        <w:bottom w:val="none" w:sz="0" w:space="0" w:color="auto"/>
        <w:right w:val="none" w:sz="0" w:space="0" w:color="auto"/>
      </w:divBdr>
    </w:div>
    <w:div w:id="2049378089">
      <w:bodyDiv w:val="1"/>
      <w:marLeft w:val="0"/>
      <w:marRight w:val="0"/>
      <w:marTop w:val="0"/>
      <w:marBottom w:val="0"/>
      <w:divBdr>
        <w:top w:val="none" w:sz="0" w:space="0" w:color="auto"/>
        <w:left w:val="none" w:sz="0" w:space="0" w:color="auto"/>
        <w:bottom w:val="none" w:sz="0" w:space="0" w:color="auto"/>
        <w:right w:val="none" w:sz="0" w:space="0" w:color="auto"/>
      </w:divBdr>
      <w:divsChild>
        <w:div w:id="1845516184">
          <w:marLeft w:val="360"/>
          <w:marRight w:val="0"/>
          <w:marTop w:val="200"/>
          <w:marBottom w:val="0"/>
          <w:divBdr>
            <w:top w:val="none" w:sz="0" w:space="0" w:color="auto"/>
            <w:left w:val="none" w:sz="0" w:space="0" w:color="auto"/>
            <w:bottom w:val="none" w:sz="0" w:space="0" w:color="auto"/>
            <w:right w:val="none" w:sz="0" w:space="0" w:color="auto"/>
          </w:divBdr>
        </w:div>
        <w:div w:id="1002706387">
          <w:marLeft w:val="360"/>
          <w:marRight w:val="0"/>
          <w:marTop w:val="200"/>
          <w:marBottom w:val="0"/>
          <w:divBdr>
            <w:top w:val="none" w:sz="0" w:space="0" w:color="auto"/>
            <w:left w:val="none" w:sz="0" w:space="0" w:color="auto"/>
            <w:bottom w:val="none" w:sz="0" w:space="0" w:color="auto"/>
            <w:right w:val="none" w:sz="0" w:space="0" w:color="auto"/>
          </w:divBdr>
        </w:div>
        <w:div w:id="2024698356">
          <w:marLeft w:val="360"/>
          <w:marRight w:val="0"/>
          <w:marTop w:val="200"/>
          <w:marBottom w:val="0"/>
          <w:divBdr>
            <w:top w:val="none" w:sz="0" w:space="0" w:color="auto"/>
            <w:left w:val="none" w:sz="0" w:space="0" w:color="auto"/>
            <w:bottom w:val="none" w:sz="0" w:space="0" w:color="auto"/>
            <w:right w:val="none" w:sz="0" w:space="0" w:color="auto"/>
          </w:divBdr>
        </w:div>
        <w:div w:id="1689140942">
          <w:marLeft w:val="360"/>
          <w:marRight w:val="0"/>
          <w:marTop w:val="200"/>
          <w:marBottom w:val="0"/>
          <w:divBdr>
            <w:top w:val="none" w:sz="0" w:space="0" w:color="auto"/>
            <w:left w:val="none" w:sz="0" w:space="0" w:color="auto"/>
            <w:bottom w:val="none" w:sz="0" w:space="0" w:color="auto"/>
            <w:right w:val="none" w:sz="0" w:space="0" w:color="auto"/>
          </w:divBdr>
        </w:div>
        <w:div w:id="1124731421">
          <w:marLeft w:val="360"/>
          <w:marRight w:val="0"/>
          <w:marTop w:val="200"/>
          <w:marBottom w:val="0"/>
          <w:divBdr>
            <w:top w:val="none" w:sz="0" w:space="0" w:color="auto"/>
            <w:left w:val="none" w:sz="0" w:space="0" w:color="auto"/>
            <w:bottom w:val="none" w:sz="0" w:space="0" w:color="auto"/>
            <w:right w:val="none" w:sz="0" w:space="0" w:color="auto"/>
          </w:divBdr>
        </w:div>
        <w:div w:id="702826981">
          <w:marLeft w:val="360"/>
          <w:marRight w:val="0"/>
          <w:marTop w:val="200"/>
          <w:marBottom w:val="0"/>
          <w:divBdr>
            <w:top w:val="none" w:sz="0" w:space="0" w:color="auto"/>
            <w:left w:val="none" w:sz="0" w:space="0" w:color="auto"/>
            <w:bottom w:val="none" w:sz="0" w:space="0" w:color="auto"/>
            <w:right w:val="none" w:sz="0" w:space="0" w:color="auto"/>
          </w:divBdr>
        </w:div>
        <w:div w:id="678893619">
          <w:marLeft w:val="360"/>
          <w:marRight w:val="0"/>
          <w:marTop w:val="200"/>
          <w:marBottom w:val="0"/>
          <w:divBdr>
            <w:top w:val="none" w:sz="0" w:space="0" w:color="auto"/>
            <w:left w:val="none" w:sz="0" w:space="0" w:color="auto"/>
            <w:bottom w:val="none" w:sz="0" w:space="0" w:color="auto"/>
            <w:right w:val="none" w:sz="0" w:space="0" w:color="auto"/>
          </w:divBdr>
        </w:div>
        <w:div w:id="429157615">
          <w:marLeft w:val="360"/>
          <w:marRight w:val="0"/>
          <w:marTop w:val="200"/>
          <w:marBottom w:val="0"/>
          <w:divBdr>
            <w:top w:val="none" w:sz="0" w:space="0" w:color="auto"/>
            <w:left w:val="none" w:sz="0" w:space="0" w:color="auto"/>
            <w:bottom w:val="none" w:sz="0" w:space="0" w:color="auto"/>
            <w:right w:val="none" w:sz="0" w:space="0" w:color="auto"/>
          </w:divBdr>
        </w:div>
        <w:div w:id="1391266610">
          <w:marLeft w:val="360"/>
          <w:marRight w:val="0"/>
          <w:marTop w:val="200"/>
          <w:marBottom w:val="0"/>
          <w:divBdr>
            <w:top w:val="none" w:sz="0" w:space="0" w:color="auto"/>
            <w:left w:val="none" w:sz="0" w:space="0" w:color="auto"/>
            <w:bottom w:val="none" w:sz="0" w:space="0" w:color="auto"/>
            <w:right w:val="none" w:sz="0" w:space="0" w:color="auto"/>
          </w:divBdr>
        </w:div>
        <w:div w:id="15775206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1540</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patronela gardea</cp:lastModifiedBy>
  <cp:revision>2</cp:revision>
  <dcterms:created xsi:type="dcterms:W3CDTF">2024-05-06T21:51:00Z</dcterms:created>
  <dcterms:modified xsi:type="dcterms:W3CDTF">2024-05-06T21:51:00Z</dcterms:modified>
</cp:coreProperties>
</file>