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eastAsia" w:ascii="Times New Roman" w:hAnsi="Times New Roman" w:cs="Times New Roman" w:eastAsiaTheme="minorEastAsia"/>
          <w:b/>
          <w:bCs/>
          <w:sz w:val="28"/>
          <w:szCs w:val="28"/>
          <w:lang w:eastAsia="zh-CN"/>
        </w:rPr>
      </w:pPr>
      <w:bookmarkStart w:id="0" w:name="_Toc31258"/>
      <w:bookmarkStart w:id="1" w:name="_Toc31585"/>
      <w:bookmarkStart w:id="2" w:name="_Toc9747"/>
      <w:bookmarkStart w:id="3" w:name="_Toc10371"/>
      <w:bookmarkStart w:id="4" w:name="_Toc31714"/>
      <w:r>
        <w:rPr>
          <w:rFonts w:hint="eastAsia" w:ascii="Times New Roman" w:hAnsi="Times New Roman" w:cs="Times New Roman"/>
          <w:b/>
          <w:bCs/>
          <w:sz w:val="28"/>
          <w:szCs w:val="28"/>
          <w:lang w:val="en-US" w:eastAsia="zh-CN"/>
        </w:rPr>
        <w:t xml:space="preserve">     </w:t>
      </w:r>
      <w:r>
        <w:rPr>
          <w:rFonts w:hint="eastAsia" w:ascii="Times New Roman" w:hAnsi="Times New Roman" w:cs="Times New Roman" w:eastAsiaTheme="minorEastAsia"/>
          <w:b/>
          <w:bCs/>
          <w:sz w:val="28"/>
          <w:szCs w:val="28"/>
          <w:lang w:eastAsia="zh-CN"/>
        </w:rPr>
        <w:drawing>
          <wp:inline distT="0" distB="0" distL="114300" distR="114300">
            <wp:extent cx="4417695" cy="4908550"/>
            <wp:effectExtent l="0" t="0" r="1905" b="6350"/>
            <wp:docPr id="4" name="图片 4" descr="afc6095bc06aabd6d114665d9a900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afc6095bc06aabd6d114665d9a9003c"/>
                    <pic:cNvPicPr>
                      <a:picLocks noChangeAspect="1"/>
                    </pic:cNvPicPr>
                  </pic:nvPicPr>
                  <pic:blipFill>
                    <a:blip r:embed="rId7"/>
                    <a:stretch>
                      <a:fillRect/>
                    </a:stretch>
                  </pic:blipFill>
                  <pic:spPr>
                    <a:xfrm>
                      <a:off x="0" y="0"/>
                      <a:ext cx="4417695" cy="4908550"/>
                    </a:xfrm>
                    <a:prstGeom prst="rect">
                      <a:avLst/>
                    </a:prstGeom>
                  </pic:spPr>
                </pic:pic>
              </a:graphicData>
            </a:graphic>
          </wp:inline>
        </w:drawing>
      </w:r>
    </w:p>
    <w:p>
      <w:pPr>
        <w:rPr>
          <w:rFonts w:hint="default" w:cs="Times New Roman" w:asciiTheme="minorAscii" w:hAnsiTheme="minorAscii" w:eastAsiaTheme="minorEastAsia"/>
          <w:b/>
          <w:bCs/>
          <w:color w:val="C55A11" w:themeColor="accent2" w:themeShade="BF"/>
          <w:sz w:val="28"/>
          <w:szCs w:val="28"/>
          <w:lang w:eastAsia="zh-CN"/>
        </w:rPr>
      </w:pPr>
    </w:p>
    <w:p>
      <w:pPr>
        <w:rPr>
          <w:rFonts w:hint="eastAsia" w:ascii="Calibri" w:hAnsi="Calibri" w:cs="Calibri"/>
          <w:b/>
          <w:bCs/>
          <w:color w:val="C55A11" w:themeColor="accent2" w:themeShade="BF"/>
          <w:sz w:val="28"/>
          <w:szCs w:val="28"/>
          <w:lang w:val="en-US" w:eastAsia="zh-CN"/>
        </w:rPr>
      </w:pPr>
      <w:r>
        <w:rPr>
          <w:rFonts w:hint="eastAsia" w:ascii="Calibri" w:hAnsi="Calibri" w:cs="Calibri"/>
          <w:b/>
          <w:bCs/>
          <w:color w:val="C55A11" w:themeColor="accent2" w:themeShade="BF"/>
          <w:sz w:val="28"/>
          <w:szCs w:val="28"/>
          <w:lang w:val="en-US" w:eastAsia="zh-CN"/>
        </w:rPr>
        <w:t>Tesla environment analysis and development strategy</w:t>
      </w:r>
    </w:p>
    <w:p>
      <w:pPr>
        <w:rPr>
          <w:rFonts w:hint="default" w:cs="Times New Roman" w:asciiTheme="minorAscii" w:hAnsiTheme="minorAscii" w:eastAsiaTheme="minorEastAsia"/>
          <w:b/>
          <w:bCs/>
          <w:color w:val="C55A11" w:themeColor="accent2" w:themeShade="BF"/>
          <w:sz w:val="28"/>
          <w:szCs w:val="28"/>
          <w:lang w:val="en-US" w:eastAsia="zh-CN"/>
        </w:rPr>
      </w:pPr>
      <w:r>
        <w:rPr>
          <w:rFonts w:hint="default" w:cs="Times New Roman" w:asciiTheme="minorAscii" w:hAnsiTheme="minorAscii" w:eastAsiaTheme="minorEastAsia"/>
          <w:b/>
          <w:bCs/>
          <w:color w:val="C55A11" w:themeColor="accent2" w:themeShade="BF"/>
          <w:sz w:val="28"/>
          <w:szCs w:val="28"/>
          <w:lang w:eastAsia="zh-CN"/>
        </w:rPr>
        <w:t xml:space="preserve">NAME: </w:t>
      </w:r>
      <w:r>
        <w:rPr>
          <w:rFonts w:hint="eastAsia" w:cs="Times New Roman" w:asciiTheme="minorAscii" w:hAnsiTheme="minorAscii"/>
          <w:b/>
          <w:bCs/>
          <w:color w:val="C55A11" w:themeColor="accent2" w:themeShade="BF"/>
          <w:sz w:val="28"/>
          <w:szCs w:val="28"/>
          <w:lang w:val="en-US" w:eastAsia="zh-CN"/>
        </w:rPr>
        <w:t>Yiren Zhou</w:t>
      </w:r>
    </w:p>
    <w:p>
      <w:pPr>
        <w:rPr>
          <w:rFonts w:hint="eastAsia" w:cs="Times New Roman" w:asciiTheme="minorAscii" w:hAnsiTheme="minorAscii"/>
          <w:b/>
          <w:bCs/>
          <w:color w:val="C55A11" w:themeColor="accent2" w:themeShade="BF"/>
          <w:sz w:val="28"/>
          <w:szCs w:val="28"/>
          <w:lang w:val="en-US" w:eastAsia="zh-CN"/>
        </w:rPr>
      </w:pPr>
      <w:r>
        <w:rPr>
          <w:rFonts w:hint="default" w:cs="Times New Roman" w:asciiTheme="minorAscii" w:hAnsiTheme="minorAscii" w:eastAsiaTheme="minorEastAsia"/>
          <w:b/>
          <w:bCs/>
          <w:color w:val="C55A11" w:themeColor="accent2" w:themeShade="BF"/>
          <w:sz w:val="28"/>
          <w:szCs w:val="28"/>
          <w:lang w:eastAsia="zh-CN"/>
        </w:rPr>
        <w:t>STUDENTNUMBER:22</w:t>
      </w:r>
      <w:r>
        <w:rPr>
          <w:rFonts w:hint="eastAsia" w:cs="Times New Roman" w:asciiTheme="minorAscii" w:hAnsiTheme="minorAscii"/>
          <w:b/>
          <w:bCs/>
          <w:color w:val="C55A11" w:themeColor="accent2" w:themeShade="BF"/>
          <w:sz w:val="28"/>
          <w:szCs w:val="28"/>
          <w:lang w:val="en-US" w:eastAsia="zh-CN"/>
        </w:rPr>
        <w:t>06235</w:t>
      </w:r>
    </w:p>
    <w:p>
      <w:pPr>
        <w:rPr>
          <w:rFonts w:hint="eastAsia" w:ascii="Times New Roman" w:hAnsi="Times New Roman" w:cs="Times New Roman"/>
          <w:b/>
          <w:bCs/>
          <w:sz w:val="28"/>
          <w:szCs w:val="28"/>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rPr>
          <w:rFonts w:hint="eastAsia" w:ascii="Times New Roman" w:hAnsi="Times New Roman" w:cs="Times New Roman"/>
          <w:b/>
          <w:bCs/>
          <w:sz w:val="28"/>
          <w:szCs w:val="28"/>
          <w:lang w:val="en-US" w:eastAsia="zh-CN"/>
        </w:rPr>
      </w:pPr>
    </w:p>
    <w:p>
      <w:pPr>
        <w:ind w:firstLine="2100" w:firstLineChars="1000"/>
        <w:rPr>
          <w:rFonts w:hint="default" w:ascii="Times New Roman" w:hAnsi="Times New Roman" w:cs="Times New Roman"/>
          <w:b/>
          <w:bCs/>
          <w:sz w:val="28"/>
          <w:szCs w:val="28"/>
        </w:rPr>
      </w:pPr>
      <w:r>
        <w:rPr>
          <w:rFonts w:hint="eastAsia" w:ascii="宋体" w:hAnsi="宋体" w:eastAsia="宋体" w:cstheme="minorBidi"/>
          <w:kern w:val="2"/>
          <w:sz w:val="21"/>
          <w:szCs w:val="24"/>
          <w:lang w:val="en-US" w:eastAsia="zh-CN" w:bidi="ar-SA"/>
        </w:rPr>
        <w:t xml:space="preserve">      </w:t>
      </w:r>
      <w:r>
        <w:rPr>
          <w:rFonts w:hint="default" w:ascii="Times New Roman" w:hAnsi="Times New Roman" w:cs="Times New Roman"/>
          <w:b/>
          <w:bCs/>
          <w:sz w:val="28"/>
          <w:szCs w:val="28"/>
        </w:rPr>
        <w:t>Table of Contents</w:t>
      </w:r>
    </w:p>
    <w:p>
      <w:pPr>
        <w:spacing w:before="0" w:beforeLines="0" w:after="0" w:afterLines="0" w:line="240" w:lineRule="auto"/>
        <w:ind w:left="0" w:leftChars="0" w:right="0" w:rightChars="0" w:firstLine="0" w:firstLineChars="0"/>
        <w:jc w:val="center"/>
      </w:pP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_Toc31585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_Toc31585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1.</w:t>
      </w:r>
      <w:r>
        <w:rPr>
          <w:rFonts w:hint="default" w:ascii="Times New Roman" w:hAnsi="Times New Roman" w:cs="Times New Roman"/>
          <w:bCs/>
          <w:sz w:val="24"/>
          <w:szCs w:val="24"/>
        </w:rPr>
        <w:t>Introduction</w:t>
      </w:r>
      <w:r>
        <w:rPr>
          <w:rFonts w:hint="default" w:ascii="Times New Roman" w:hAnsi="Times New Roman" w:cs="Times New Roman"/>
          <w:sz w:val="24"/>
          <w:szCs w:val="24"/>
        </w:rPr>
        <w:tab/>
      </w:r>
      <w:r>
        <w:rPr>
          <w:rFonts w:hint="eastAsia" w:cs="Times New Roman"/>
          <w:sz w:val="24"/>
          <w:szCs w:val="24"/>
          <w:lang w:val="en-US" w:eastAsia="zh-CN"/>
        </w:rPr>
        <w:t>2</w:t>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_Toc23723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w:t>
      </w:r>
      <w:r>
        <w:rPr>
          <w:rFonts w:hint="default" w:ascii="Times New Roman" w:hAnsi="Times New Roman" w:cs="Times New Roman"/>
          <w:bCs/>
          <w:sz w:val="24"/>
          <w:szCs w:val="24"/>
        </w:rPr>
        <w:t>PEST</w:t>
      </w:r>
      <w:r>
        <w:rPr>
          <w:rFonts w:hint="default" w:ascii="Times New Roman" w:hAnsi="Times New Roman" w:cs="Times New Roman"/>
          <w:sz w:val="24"/>
          <w:szCs w:val="24"/>
        </w:rPr>
        <w:tab/>
      </w:r>
      <w:r>
        <w:rPr>
          <w:rFonts w:hint="eastAsia" w:cs="Times New Roman"/>
          <w:sz w:val="24"/>
          <w:szCs w:val="24"/>
          <w:lang w:val="en-US" w:eastAsia="zh-CN"/>
        </w:rPr>
        <w:t>3</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_Toc26253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2.1 </w:t>
      </w:r>
      <w:r>
        <w:rPr>
          <w:rFonts w:hint="default" w:ascii="Times New Roman" w:hAnsi="Times New Roman" w:cs="Times New Roman"/>
          <w:bCs/>
          <w:sz w:val="24"/>
          <w:szCs w:val="24"/>
        </w:rPr>
        <w:t>Political</w:t>
      </w:r>
      <w:r>
        <w:rPr>
          <w:rFonts w:hint="default" w:ascii="Times New Roman" w:hAnsi="Times New Roman" w:cs="Times New Roman"/>
          <w:sz w:val="24"/>
          <w:szCs w:val="24"/>
        </w:rPr>
        <w:tab/>
      </w:r>
      <w:r>
        <w:rPr>
          <w:rFonts w:hint="eastAsia" w:cs="Times New Roman"/>
          <w:sz w:val="24"/>
          <w:szCs w:val="24"/>
          <w:lang w:val="en-US" w:eastAsia="zh-CN"/>
        </w:rPr>
        <w:t>3</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_Toc16925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 Economic</w:t>
      </w:r>
      <w:r>
        <w:rPr>
          <w:rFonts w:hint="default" w:ascii="Times New Roman" w:hAnsi="Times New Roman" w:cs="Times New Roman"/>
          <w:sz w:val="24"/>
          <w:szCs w:val="24"/>
        </w:rPr>
        <w:tab/>
      </w:r>
      <w:r>
        <w:rPr>
          <w:rFonts w:hint="eastAsia" w:cs="Times New Roman"/>
          <w:sz w:val="24"/>
          <w:szCs w:val="24"/>
          <w:lang w:val="en-US" w:eastAsia="zh-CN"/>
        </w:rPr>
        <w:t>3</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_Toc31865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2.3 Social </w:t>
      </w:r>
      <w:r>
        <w:rPr>
          <w:rFonts w:hint="default" w:ascii="Times New Roman" w:hAnsi="Times New Roman" w:cs="Times New Roman"/>
          <w:sz w:val="24"/>
          <w:szCs w:val="24"/>
        </w:rPr>
        <w:tab/>
      </w:r>
      <w:r>
        <w:rPr>
          <w:rFonts w:hint="eastAsia" w:cs="Times New Roman"/>
          <w:sz w:val="24"/>
          <w:szCs w:val="24"/>
          <w:lang w:val="en-US" w:eastAsia="zh-CN"/>
        </w:rPr>
        <w:t>3</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_Toc31789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Technology</w:t>
      </w:r>
      <w:r>
        <w:rPr>
          <w:rFonts w:hint="default" w:ascii="Times New Roman" w:hAnsi="Times New Roman" w:cs="Times New Roman"/>
          <w:sz w:val="24"/>
          <w:szCs w:val="24"/>
        </w:rPr>
        <w:tab/>
      </w:r>
      <w:r>
        <w:rPr>
          <w:rFonts w:hint="eastAsia" w:cs="Times New Roman"/>
          <w:sz w:val="24"/>
          <w:szCs w:val="24"/>
          <w:lang w:val="en-US" w:eastAsia="zh-CN"/>
        </w:rPr>
        <w:t>4</w:t>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_Toc31240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3</w:t>
      </w:r>
      <w:r>
        <w:rPr>
          <w:rFonts w:hint="default" w:ascii="Times New Roman" w:hAnsi="Times New Roman" w:cs="Times New Roman"/>
          <w:bCs/>
          <w:sz w:val="24"/>
          <w:szCs w:val="24"/>
          <w:lang w:val="en-US" w:eastAsia="zh-CN"/>
        </w:rPr>
        <w:t>.SWOT</w:t>
      </w:r>
      <w:r>
        <w:rPr>
          <w:rFonts w:hint="default" w:ascii="Times New Roman" w:hAnsi="Times New Roman" w:cs="Times New Roman"/>
          <w:sz w:val="24"/>
          <w:szCs w:val="24"/>
        </w:rPr>
        <w:tab/>
      </w:r>
      <w:r>
        <w:rPr>
          <w:rFonts w:hint="eastAsia" w:cs="Times New Roman"/>
          <w:sz w:val="24"/>
          <w:szCs w:val="24"/>
          <w:lang w:val="en-US" w:eastAsia="zh-CN"/>
        </w:rPr>
        <w:t>4</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_Toc1845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3</w:t>
      </w:r>
      <w:r>
        <w:rPr>
          <w:rFonts w:hint="default" w:ascii="Times New Roman" w:hAnsi="Times New Roman" w:cs="Times New Roman"/>
          <w:bCs/>
          <w:sz w:val="24"/>
          <w:szCs w:val="24"/>
          <w:lang w:val="en-US" w:eastAsia="zh-CN"/>
        </w:rPr>
        <w:t>.1</w:t>
      </w:r>
      <w:r>
        <w:rPr>
          <w:rFonts w:hint="default" w:ascii="Times New Roman" w:hAnsi="Times New Roman" w:cs="Times New Roman"/>
          <w:sz w:val="24"/>
          <w:szCs w:val="24"/>
          <w:lang w:val="en-US" w:eastAsia="zh-CN"/>
        </w:rPr>
        <w:t xml:space="preserve"> </w:t>
      </w:r>
      <w:r>
        <w:rPr>
          <w:rFonts w:hint="default" w:ascii="Times New Roman" w:hAnsi="Times New Roman" w:cs="Times New Roman"/>
          <w:bCs/>
          <w:sz w:val="24"/>
          <w:szCs w:val="24"/>
          <w:lang w:val="en-US" w:eastAsia="zh-CN"/>
        </w:rPr>
        <w:t>Strengths</w:t>
      </w:r>
      <w:r>
        <w:rPr>
          <w:rFonts w:hint="default" w:ascii="Times New Roman" w:hAnsi="Times New Roman" w:cs="Times New Roman"/>
          <w:sz w:val="24"/>
          <w:szCs w:val="24"/>
        </w:rPr>
        <w:tab/>
      </w:r>
      <w:r>
        <w:rPr>
          <w:rFonts w:hint="eastAsia" w:cs="Times New Roman"/>
          <w:sz w:val="24"/>
          <w:szCs w:val="24"/>
          <w:lang w:val="en-US" w:eastAsia="zh-CN"/>
        </w:rPr>
        <w:t>4</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_Toc24835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3</w:t>
      </w:r>
      <w:r>
        <w:rPr>
          <w:rFonts w:hint="default" w:ascii="Times New Roman" w:hAnsi="Times New Roman" w:cs="Times New Roman"/>
          <w:bCs/>
          <w:sz w:val="24"/>
          <w:szCs w:val="24"/>
          <w:lang w:val="en-US" w:eastAsia="zh-CN"/>
        </w:rPr>
        <w:t>.2 Weaknesses</w:t>
      </w:r>
      <w:r>
        <w:rPr>
          <w:rFonts w:hint="default" w:ascii="Times New Roman" w:hAnsi="Times New Roman" w:cs="Times New Roman"/>
          <w:sz w:val="24"/>
          <w:szCs w:val="24"/>
        </w:rPr>
        <w:tab/>
      </w:r>
      <w:r>
        <w:rPr>
          <w:rFonts w:hint="eastAsia" w:cs="Times New Roman"/>
          <w:sz w:val="24"/>
          <w:szCs w:val="24"/>
          <w:lang w:val="en-US" w:eastAsia="zh-CN"/>
        </w:rPr>
        <w:t>4</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_Toc23495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3</w:t>
      </w:r>
      <w:r>
        <w:rPr>
          <w:rFonts w:hint="default" w:ascii="Times New Roman" w:hAnsi="Times New Roman" w:cs="Times New Roman"/>
          <w:bCs/>
          <w:sz w:val="24"/>
          <w:szCs w:val="24"/>
          <w:lang w:val="en-US" w:eastAsia="zh-CN"/>
        </w:rPr>
        <w:t>.3 Opportunities</w:t>
      </w:r>
      <w:r>
        <w:rPr>
          <w:rFonts w:hint="default" w:ascii="Times New Roman" w:hAnsi="Times New Roman" w:cs="Times New Roman"/>
          <w:sz w:val="24"/>
          <w:szCs w:val="24"/>
        </w:rPr>
        <w:tab/>
      </w:r>
      <w:r>
        <w:rPr>
          <w:rFonts w:hint="eastAsia" w:cs="Times New Roman"/>
          <w:sz w:val="24"/>
          <w:szCs w:val="24"/>
          <w:lang w:val="en-US" w:eastAsia="zh-CN"/>
        </w:rPr>
        <w:t>5</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_Toc28251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3</w:t>
      </w:r>
      <w:r>
        <w:rPr>
          <w:rFonts w:hint="default" w:ascii="Times New Roman" w:hAnsi="Times New Roman" w:cs="Times New Roman"/>
          <w:bCs/>
          <w:sz w:val="24"/>
          <w:szCs w:val="24"/>
          <w:lang w:val="en-US" w:eastAsia="zh-CN"/>
        </w:rPr>
        <w:t>.4 T</w:t>
      </w:r>
      <w:r>
        <w:rPr>
          <w:rFonts w:hint="default" w:ascii="Times New Roman" w:hAnsi="Times New Roman" w:cs="Times New Roman"/>
          <w:bCs/>
          <w:sz w:val="24"/>
          <w:szCs w:val="24"/>
        </w:rPr>
        <w:t>hreat</w:t>
      </w:r>
      <w:r>
        <w:rPr>
          <w:rFonts w:hint="default" w:ascii="Times New Roman" w:hAnsi="Times New Roman" w:cs="Times New Roman"/>
          <w:sz w:val="24"/>
          <w:szCs w:val="24"/>
        </w:rPr>
        <w:tab/>
      </w:r>
      <w:r>
        <w:rPr>
          <w:rFonts w:hint="eastAsia" w:cs="Times New Roman"/>
          <w:sz w:val="24"/>
          <w:szCs w:val="24"/>
          <w:lang w:val="en-US" w:eastAsia="zh-CN"/>
        </w:rPr>
        <w:t>5</w:t>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_Toc7089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4</w:t>
      </w:r>
      <w:r>
        <w:rPr>
          <w:rFonts w:hint="default" w:ascii="Times New Roman" w:hAnsi="Times New Roman" w:cs="Times New Roman"/>
          <w:bCs/>
          <w:sz w:val="24"/>
          <w:szCs w:val="24"/>
          <w:lang w:val="en-US" w:eastAsia="zh-CN"/>
        </w:rPr>
        <w:t>.</w:t>
      </w:r>
      <w:r>
        <w:rPr>
          <w:rFonts w:hint="eastAsia" w:cs="Times New Roman"/>
          <w:bCs/>
          <w:sz w:val="24"/>
          <w:szCs w:val="24"/>
          <w:lang w:val="en-US" w:eastAsia="zh-CN"/>
        </w:rPr>
        <w:t>M</w:t>
      </w:r>
      <w:r>
        <w:rPr>
          <w:rFonts w:hint="default" w:ascii="Times New Roman" w:hAnsi="Times New Roman" w:cs="Times New Roman"/>
          <w:bCs/>
          <w:sz w:val="24"/>
          <w:szCs w:val="24"/>
          <w:lang w:val="en-US" w:eastAsia="zh-CN"/>
        </w:rPr>
        <w:t>arketing strategy</w:t>
      </w:r>
      <w:r>
        <w:rPr>
          <w:rFonts w:hint="default" w:ascii="Times New Roman" w:hAnsi="Times New Roman" w:cs="Times New Roman"/>
          <w:sz w:val="24"/>
          <w:szCs w:val="24"/>
        </w:rPr>
        <w:tab/>
      </w:r>
      <w:r>
        <w:rPr>
          <w:rFonts w:hint="eastAsia" w:cs="Times New Roman"/>
          <w:sz w:val="24"/>
          <w:szCs w:val="24"/>
          <w:lang w:val="en-US" w:eastAsia="zh-CN"/>
        </w:rPr>
        <w:t>6</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_Toc23405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4</w:t>
      </w:r>
      <w:r>
        <w:rPr>
          <w:rFonts w:hint="default" w:ascii="Times New Roman" w:hAnsi="Times New Roman" w:cs="Times New Roman"/>
          <w:bCs/>
          <w:sz w:val="24"/>
          <w:szCs w:val="24"/>
          <w:lang w:val="en-US" w:eastAsia="zh-CN"/>
        </w:rPr>
        <w:t>.1 Market segmentation</w:t>
      </w:r>
      <w:r>
        <w:rPr>
          <w:rFonts w:hint="default" w:ascii="Times New Roman" w:hAnsi="Times New Roman" w:cs="Times New Roman"/>
          <w:sz w:val="24"/>
          <w:szCs w:val="24"/>
        </w:rPr>
        <w:tab/>
      </w:r>
      <w:r>
        <w:rPr>
          <w:rFonts w:hint="eastAsia" w:cs="Times New Roman"/>
          <w:sz w:val="24"/>
          <w:szCs w:val="24"/>
          <w:lang w:val="en-US" w:eastAsia="zh-CN"/>
        </w:rPr>
        <w:t>6</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_Toc8243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4</w:t>
      </w:r>
      <w:r>
        <w:rPr>
          <w:rFonts w:hint="default" w:ascii="Times New Roman" w:hAnsi="Times New Roman" w:cs="Times New Roman"/>
          <w:bCs/>
          <w:sz w:val="24"/>
          <w:szCs w:val="24"/>
          <w:lang w:val="en-US" w:eastAsia="zh-CN"/>
        </w:rPr>
        <w:t>.2 Brand image and positioning</w:t>
      </w:r>
      <w:r>
        <w:rPr>
          <w:rFonts w:hint="default" w:ascii="Times New Roman" w:hAnsi="Times New Roman" w:cs="Times New Roman"/>
          <w:sz w:val="24"/>
          <w:szCs w:val="24"/>
        </w:rPr>
        <w:tab/>
      </w:r>
      <w:r>
        <w:rPr>
          <w:rFonts w:hint="eastAsia" w:cs="Times New Roman"/>
          <w:sz w:val="24"/>
          <w:szCs w:val="24"/>
          <w:lang w:val="en-US" w:eastAsia="zh-CN"/>
        </w:rPr>
        <w:t>6</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_Toc29798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4</w:t>
      </w:r>
      <w:r>
        <w:rPr>
          <w:rFonts w:hint="default" w:ascii="Times New Roman" w:hAnsi="Times New Roman" w:cs="Times New Roman"/>
          <w:bCs/>
          <w:sz w:val="24"/>
          <w:szCs w:val="24"/>
          <w:lang w:val="en-US" w:eastAsia="zh-CN"/>
        </w:rPr>
        <w:t>.3 Channel strategy</w:t>
      </w:r>
      <w:r>
        <w:rPr>
          <w:rFonts w:hint="default" w:ascii="Times New Roman" w:hAnsi="Times New Roman" w:cs="Times New Roman"/>
          <w:sz w:val="24"/>
          <w:szCs w:val="24"/>
        </w:rPr>
        <w:tab/>
      </w:r>
      <w:r>
        <w:rPr>
          <w:rFonts w:hint="eastAsia" w:cs="Times New Roman"/>
          <w:sz w:val="24"/>
          <w:szCs w:val="24"/>
          <w:lang w:val="en-US" w:eastAsia="zh-CN"/>
        </w:rPr>
        <w:t>6</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_Toc29798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4</w:t>
      </w:r>
      <w:r>
        <w:rPr>
          <w:rFonts w:hint="default" w:ascii="Times New Roman" w:hAnsi="Times New Roman" w:cs="Times New Roman"/>
          <w:bCs/>
          <w:sz w:val="24"/>
          <w:szCs w:val="24"/>
          <w:lang w:val="en-US" w:eastAsia="zh-CN"/>
        </w:rPr>
        <w:t>.</w:t>
      </w:r>
      <w:r>
        <w:rPr>
          <w:rFonts w:hint="eastAsia" w:cs="Times New Roman"/>
          <w:bCs/>
          <w:sz w:val="24"/>
          <w:szCs w:val="24"/>
          <w:lang w:val="en-US" w:eastAsia="zh-CN"/>
        </w:rPr>
        <w:t>4</w:t>
      </w:r>
      <w:r>
        <w:rPr>
          <w:rFonts w:hint="default" w:ascii="Times New Roman" w:hAnsi="Times New Roman" w:cs="Times New Roman"/>
          <w:bCs/>
          <w:sz w:val="24"/>
          <w:szCs w:val="24"/>
          <w:lang w:val="en-US" w:eastAsia="zh-CN"/>
        </w:rPr>
        <w:t xml:space="preserve"> </w:t>
      </w:r>
      <w:r>
        <w:rPr>
          <w:rFonts w:hint="eastAsia" w:cs="Times New Roman"/>
          <w:bCs/>
          <w:sz w:val="24"/>
          <w:szCs w:val="24"/>
          <w:lang w:val="en-US" w:eastAsia="zh-CN"/>
        </w:rPr>
        <w:t>Price</w:t>
      </w:r>
      <w:r>
        <w:rPr>
          <w:rFonts w:hint="default" w:ascii="Times New Roman" w:hAnsi="Times New Roman" w:cs="Times New Roman"/>
          <w:bCs/>
          <w:sz w:val="24"/>
          <w:szCs w:val="24"/>
          <w:lang w:val="en-US" w:eastAsia="zh-CN"/>
        </w:rPr>
        <w:t xml:space="preserve"> strategy</w:t>
      </w:r>
      <w:r>
        <w:rPr>
          <w:rFonts w:hint="default" w:ascii="Times New Roman" w:hAnsi="Times New Roman" w:cs="Times New Roman"/>
          <w:sz w:val="24"/>
          <w:szCs w:val="24"/>
        </w:rPr>
        <w:tab/>
      </w:r>
      <w:r>
        <w:rPr>
          <w:rFonts w:hint="eastAsia" w:cs="Times New Roman"/>
          <w:sz w:val="24"/>
          <w:szCs w:val="24"/>
          <w:lang w:val="en-US" w:eastAsia="zh-CN"/>
        </w:rPr>
        <w:t>6</w:t>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_Toc17645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5</w:t>
      </w:r>
      <w:r>
        <w:rPr>
          <w:rFonts w:hint="default" w:ascii="Times New Roman" w:hAnsi="Times New Roman" w:cs="Times New Roman"/>
          <w:bCs/>
          <w:sz w:val="24"/>
          <w:szCs w:val="24"/>
          <w:lang w:val="en-US" w:eastAsia="zh-CN"/>
        </w:rPr>
        <w:t>.</w:t>
      </w:r>
      <w:r>
        <w:rPr>
          <w:rFonts w:hint="default" w:ascii="Times New Roman" w:hAnsi="Times New Roman" w:cs="Times New Roman"/>
          <w:bCs/>
          <w:sz w:val="24"/>
          <w:szCs w:val="24"/>
        </w:rPr>
        <w:t>Conclusion</w:t>
      </w:r>
      <w:r>
        <w:rPr>
          <w:rFonts w:hint="default" w:ascii="Times New Roman" w:hAnsi="Times New Roman" w:cs="Times New Roman"/>
          <w:sz w:val="24"/>
          <w:szCs w:val="24"/>
        </w:rPr>
        <w:tab/>
      </w:r>
      <w:r>
        <w:rPr>
          <w:rFonts w:hint="eastAsia" w:cs="Times New Roman"/>
          <w:sz w:val="24"/>
          <w:szCs w:val="24"/>
          <w:lang w:val="en-US" w:eastAsia="zh-CN"/>
        </w:rPr>
        <w:t>7</w:t>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_Toc3561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6</w:t>
      </w:r>
      <w:r>
        <w:rPr>
          <w:rFonts w:hint="default" w:ascii="Times New Roman" w:hAnsi="Times New Roman" w:cs="Times New Roman"/>
          <w:bCs/>
          <w:sz w:val="24"/>
          <w:szCs w:val="24"/>
          <w:lang w:val="en-US" w:eastAsia="zh-CN"/>
        </w:rPr>
        <w:t>.</w:t>
      </w:r>
      <w:r>
        <w:rPr>
          <w:rFonts w:hint="default" w:ascii="Times New Roman" w:hAnsi="Times New Roman" w:cs="Times New Roman"/>
          <w:bCs/>
          <w:sz w:val="24"/>
          <w:szCs w:val="24"/>
        </w:rPr>
        <w:t>Recommendations</w:t>
      </w:r>
      <w:r>
        <w:rPr>
          <w:rFonts w:hint="default" w:ascii="Times New Roman" w:hAnsi="Times New Roman" w:cs="Times New Roman"/>
          <w:sz w:val="24"/>
          <w:szCs w:val="24"/>
        </w:rPr>
        <w:tab/>
      </w:r>
      <w:r>
        <w:rPr>
          <w:rFonts w:hint="eastAsia" w:cs="Times New Roman"/>
          <w:sz w:val="24"/>
          <w:szCs w:val="24"/>
          <w:lang w:val="en-US" w:eastAsia="zh-CN"/>
        </w:rPr>
        <w:t>8</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_Toc23922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6</w:t>
      </w:r>
      <w:r>
        <w:rPr>
          <w:rFonts w:hint="default" w:ascii="Times New Roman" w:hAnsi="Times New Roman" w:cs="Times New Roman"/>
          <w:bCs/>
          <w:sz w:val="24"/>
          <w:szCs w:val="24"/>
          <w:lang w:val="en-US" w:eastAsia="zh-CN"/>
        </w:rPr>
        <w:t>.</w:t>
      </w:r>
      <w:r>
        <w:rPr>
          <w:rFonts w:hint="eastAsia" w:ascii="Times New Roman" w:hAnsi="Times New Roman" w:cs="Times New Roman"/>
          <w:bCs/>
          <w:sz w:val="24"/>
          <w:szCs w:val="24"/>
          <w:lang w:val="en-US" w:eastAsia="zh-CN"/>
        </w:rPr>
        <w:t>1</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_Toc23922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Improve product quality</w:t>
      </w:r>
      <w:r>
        <w:rPr>
          <w:rFonts w:hint="default" w:ascii="Times New Roman" w:hAnsi="Times New Roman" w:cs="Times New Roman"/>
          <w:sz w:val="24"/>
          <w:szCs w:val="24"/>
        </w:rPr>
        <w:tab/>
      </w:r>
      <w:r>
        <w:rPr>
          <w:rFonts w:hint="eastAsia" w:cs="Times New Roman"/>
          <w:sz w:val="24"/>
          <w:szCs w:val="24"/>
          <w:lang w:val="en-US" w:eastAsia="zh-CN"/>
        </w:rPr>
        <w:t>8</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_Toc8396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6</w:t>
      </w:r>
      <w:r>
        <w:rPr>
          <w:rFonts w:hint="default" w:ascii="Times New Roman" w:hAnsi="Times New Roman" w:cs="Times New Roman"/>
          <w:bCs/>
          <w:sz w:val="24"/>
          <w:szCs w:val="24"/>
          <w:lang w:val="en-US" w:eastAsia="zh-CN"/>
        </w:rPr>
        <w:t>.</w:t>
      </w:r>
      <w:r>
        <w:rPr>
          <w:rFonts w:hint="eastAsia" w:ascii="Times New Roman" w:hAnsi="Times New Roman" w:cs="Times New Roman"/>
          <w:bCs/>
          <w:sz w:val="24"/>
          <w:szCs w:val="24"/>
          <w:lang w:val="en-US" w:eastAsia="zh-CN"/>
        </w:rPr>
        <w:t xml:space="preserve">2 </w:t>
      </w:r>
      <w:r>
        <w:rPr>
          <w:rFonts w:hint="default" w:ascii="Times New Roman" w:hAnsi="Times New Roman" w:cs="Times New Roman"/>
          <w:bCs/>
          <w:sz w:val="24"/>
          <w:szCs w:val="24"/>
          <w:lang w:val="en-US" w:eastAsia="zh-CN"/>
        </w:rPr>
        <w:t>Improve the level of after-sales service</w:t>
      </w:r>
      <w:r>
        <w:rPr>
          <w:rFonts w:hint="default" w:ascii="Times New Roman" w:hAnsi="Times New Roman" w:cs="Times New Roman"/>
          <w:sz w:val="24"/>
          <w:szCs w:val="24"/>
        </w:rPr>
        <w:tab/>
      </w:r>
      <w:r>
        <w:rPr>
          <w:rFonts w:hint="eastAsia" w:cs="Times New Roman"/>
          <w:sz w:val="24"/>
          <w:szCs w:val="24"/>
          <w:lang w:val="en-US" w:eastAsia="zh-CN"/>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_Toc23922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6</w:t>
      </w:r>
      <w:r>
        <w:rPr>
          <w:rFonts w:hint="default" w:ascii="Times New Roman" w:hAnsi="Times New Roman" w:cs="Times New Roman"/>
          <w:bCs/>
          <w:sz w:val="24"/>
          <w:szCs w:val="24"/>
          <w:lang w:val="en-US" w:eastAsia="zh-CN"/>
        </w:rPr>
        <w:t>.3 Control cost</w:t>
      </w:r>
      <w:r>
        <w:rPr>
          <w:rFonts w:hint="default" w:ascii="Times New Roman" w:hAnsi="Times New Roman" w:cs="Times New Roman"/>
          <w:sz w:val="24"/>
          <w:szCs w:val="24"/>
        </w:rPr>
        <w:tab/>
      </w:r>
      <w:r>
        <w:rPr>
          <w:rFonts w:hint="eastAsia" w:cs="Times New Roman"/>
          <w:sz w:val="24"/>
          <w:szCs w:val="24"/>
          <w:lang w:val="en-US" w:eastAsia="zh-CN"/>
        </w:rPr>
        <w:t>8</w:t>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_Toc8396 </w:instrText>
      </w:r>
      <w:r>
        <w:rPr>
          <w:rFonts w:hint="default" w:ascii="Times New Roman" w:hAnsi="Times New Roman" w:cs="Times New Roman"/>
          <w:sz w:val="24"/>
          <w:szCs w:val="24"/>
        </w:rPr>
        <w:fldChar w:fldCharType="separate"/>
      </w:r>
      <w:r>
        <w:rPr>
          <w:rFonts w:hint="eastAsia" w:cs="Times New Roman"/>
          <w:bCs/>
          <w:sz w:val="24"/>
          <w:szCs w:val="24"/>
          <w:lang w:val="en-US" w:eastAsia="zh-CN"/>
        </w:rPr>
        <w:t>6</w:t>
      </w:r>
      <w:r>
        <w:rPr>
          <w:rFonts w:hint="default" w:ascii="Times New Roman" w:hAnsi="Times New Roman" w:cs="Times New Roman"/>
          <w:bCs/>
          <w:sz w:val="24"/>
          <w:szCs w:val="24"/>
          <w:lang w:val="en-US" w:eastAsia="zh-CN"/>
        </w:rPr>
        <w:t>.4 Communication and cooperation</w:t>
      </w:r>
      <w:r>
        <w:rPr>
          <w:rFonts w:hint="default" w:ascii="Times New Roman" w:hAnsi="Times New Roman" w:cs="Times New Roman"/>
          <w:sz w:val="24"/>
          <w:szCs w:val="24"/>
        </w:rPr>
        <w:tab/>
      </w:r>
      <w:r>
        <w:rPr>
          <w:rFonts w:hint="eastAsia" w:cs="Times New Roman"/>
          <w:sz w:val="24"/>
          <w:szCs w:val="24"/>
          <w:lang w:val="en-US" w:eastAsia="zh-CN"/>
        </w:rPr>
        <w:t>8</w:t>
      </w:r>
      <w:r>
        <w:rPr>
          <w:rFonts w:hint="default" w:ascii="Times New Roman" w:hAnsi="Times New Roman" w:cs="Times New Roman"/>
          <w:sz w:val="24"/>
          <w:szCs w:val="24"/>
        </w:rPr>
        <w:fldChar w:fldCharType="end"/>
      </w:r>
    </w:p>
    <w:p>
      <w:pPr>
        <w:pStyle w:val="8"/>
        <w:tabs>
          <w:tab w:val="right" w:leader="dot" w:pos="8306"/>
        </w:tabs>
        <w:ind w:left="0" w:leftChars="0" w:firstLine="0" w:firstLineChars="0"/>
        <w:rPr>
          <w:rFonts w:hint="default" w:ascii="Times New Roman" w:hAnsi="Times New Roman" w:eastAsia="宋体" w:cs="Times New Roman"/>
          <w:sz w:val="24"/>
          <w:szCs w:val="24"/>
          <w:lang w:val="en-US" w:eastAsia="zh-CN"/>
        </w:rPr>
      </w:pPr>
      <w:r>
        <w:rPr>
          <w:rFonts w:hint="eastAsia" w:cs="Times New Roman"/>
          <w:sz w:val="24"/>
          <w:szCs w:val="24"/>
          <w:lang w:val="en-US" w:eastAsia="zh-CN"/>
        </w:rPr>
        <w:t>References</w:t>
      </w:r>
      <w:r>
        <w:rPr>
          <w:rFonts w:hint="default" w:ascii="Times New Roman" w:hAnsi="Times New Roman" w:cs="Times New Roman"/>
          <w:sz w:val="24"/>
          <w:szCs w:val="24"/>
        </w:rPr>
        <w:tab/>
      </w:r>
      <w:r>
        <w:rPr>
          <w:rFonts w:hint="eastAsia" w:cs="Times New Roman"/>
          <w:sz w:val="24"/>
          <w:szCs w:val="24"/>
          <w:lang w:val="en-US" w:eastAsia="zh-CN"/>
        </w:rPr>
        <w:t>9</w:t>
      </w:r>
    </w:p>
    <w:p>
      <w:pPr>
        <w:rPr>
          <w:rFonts w:hint="default" w:ascii="Times New Roman" w:hAnsi="Times New Roman" w:cs="Times New Roman"/>
          <w:b/>
          <w:bCs/>
          <w:sz w:val="28"/>
          <w:szCs w:val="28"/>
        </w:rPr>
        <w:sectPr>
          <w:footerReference r:id="rId4"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sz w:val="24"/>
          <w:szCs w:val="24"/>
        </w:rPr>
        <w:fldChar w:fldCharType="end"/>
      </w:r>
    </w:p>
    <w:p>
      <w:pPr>
        <w:jc w:val="center"/>
        <w:rPr>
          <w:rFonts w:hint="default" w:ascii="Times New Roman" w:hAnsi="Times New Roman" w:cs="Times New Roman"/>
          <w:b/>
          <w:bCs/>
          <w:sz w:val="28"/>
          <w:szCs w:val="28"/>
        </w:rPr>
      </w:pPr>
      <w:r>
        <w:rPr>
          <w:rFonts w:hint="default" w:ascii="Times New Roman" w:hAnsi="Times New Roman" w:cs="Times New Roman"/>
          <w:b/>
          <w:bCs/>
          <w:sz w:val="28"/>
          <w:szCs w:val="28"/>
        </w:rPr>
        <w:t>Summary</w:t>
      </w:r>
    </w:p>
    <w:p>
      <w:pPr>
        <w:jc w:val="center"/>
        <w:rPr>
          <w:rFonts w:hint="eastAsia" w:ascii="Times New Roman" w:hAnsi="Times New Roman" w:cs="Times New Roman"/>
          <w:b/>
          <w:bCs/>
          <w:sz w:val="28"/>
          <w:szCs w:val="28"/>
        </w:rPr>
      </w:pPr>
    </w:p>
    <w:p>
      <w:pPr>
        <w:numPr>
          <w:ilvl w:val="0"/>
          <w:numId w:val="0"/>
        </w:numPr>
        <w:jc w:val="both"/>
        <w:outlineLvl w:val="0"/>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In 2020, Tesla sold more than 500,000 electric vehicles worldwide, leading the new energy vehicle market for two years in a row. Since its inception, Tesla has been in the public eye, and the company's history has taken numerous unexpected twists. A business that is less than 20 years old may accomplish what it has today and excel on a worldwide scale, and both of these things are intrinsically tied to the growth of corporate strategic planning. In order to determine the key drivers of Tesla's success and the difficulties it encounters in promoting enterprise internationalization, this paper conducts a thorough analysis of Tesla's internationalization strategy. It then focuses on the strategies Tesla used in China, such as location choice, market strategy, brand strategy, etc. Based on this, the paper makes logical recommendations for its future strategic decision-making, summarizes its global strategy, and discusses its experience. This paper has some illuminating implications for the growth of China's energy vehicle industry and enterprises' global strategic decision-making.</w:t>
      </w: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ascii="Times New Roman" w:hAnsi="Times New Roman" w:cs="Times New Roman"/>
          <w:b w:val="0"/>
          <w:bCs w:val="0"/>
          <w:sz w:val="24"/>
          <w:szCs w:val="24"/>
        </w:rPr>
      </w:pPr>
    </w:p>
    <w:p>
      <w:pPr>
        <w:numPr>
          <w:ilvl w:val="0"/>
          <w:numId w:val="0"/>
        </w:numPr>
        <w:jc w:val="both"/>
        <w:outlineLvl w:val="0"/>
        <w:rPr>
          <w:rFonts w:hint="eastAsia"/>
        </w:rPr>
      </w:pPr>
      <w:r>
        <w:rPr>
          <w:rFonts w:hint="eastAsia" w:ascii="Times New Roman" w:hAnsi="Times New Roman" w:cs="Times New Roman"/>
          <w:b/>
          <w:bCs/>
          <w:sz w:val="28"/>
          <w:szCs w:val="28"/>
          <w:lang w:val="en-US" w:eastAsia="zh-CN"/>
        </w:rPr>
        <w:t>1.</w:t>
      </w:r>
      <w:r>
        <w:rPr>
          <w:rFonts w:hint="default" w:ascii="Times New Roman" w:hAnsi="Times New Roman" w:cs="Times New Roman"/>
          <w:b/>
          <w:bCs/>
          <w:sz w:val="28"/>
          <w:szCs w:val="28"/>
        </w:rPr>
        <w:t>Introduction</w:t>
      </w:r>
      <w:bookmarkEnd w:id="0"/>
      <w:bookmarkEnd w:id="1"/>
      <w:bookmarkEnd w:id="2"/>
      <w:bookmarkEnd w:id="3"/>
      <w:bookmarkEnd w:id="4"/>
      <w:bookmarkStart w:id="21" w:name="_GoBack"/>
      <w:bookmarkEnd w:id="21"/>
    </w:p>
    <w:p>
      <w:pPr>
        <w:rPr>
          <w:rFonts w:hint="eastAsia"/>
        </w:rPr>
      </w:pPr>
    </w:p>
    <w:p>
      <w:pPr>
        <w:rPr>
          <w:rFonts w:hint="default" w:ascii="Times New Roman" w:hAnsi="Times New Roman" w:cs="Times New Roman"/>
          <w:sz w:val="24"/>
          <w:szCs w:val="24"/>
        </w:rPr>
      </w:pPr>
      <w:r>
        <w:rPr>
          <w:rFonts w:hint="default" w:ascii="Times New Roman" w:hAnsi="Times New Roman" w:cs="Times New Roman"/>
          <w:sz w:val="24"/>
          <w:szCs w:val="24"/>
        </w:rPr>
        <w:t>In 200</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rPr>
        <w:t>, the father of alternating current, Nikola Tesla, launched a car firm that totally altered the public's perception of electric automobiles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Grover, &amp; Sahai,2010, June)</w:t>
      </w:r>
      <w:r>
        <w:rPr>
          <w:rFonts w:hint="default" w:ascii="Times New Roman" w:hAnsi="Times New Roman" w:cs="Times New Roman"/>
          <w:sz w:val="24"/>
          <w:szCs w:val="24"/>
        </w:rPr>
        <w:t>. After several twists and turns, Tesla likewise steadily got stronger and expanded internationally. In 2020, Tesla had the highest global sales volume and was approximately twice as popular as the second-place car, demonstrating its considerable competitive advantage and widespread appeal in the new energy vehicle industry.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Tesla is more likely than traditional automakers to identify new energy electric vehicles as intelligent IT products rather than just simple transportation tools, and this definition has significant growth potential</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Huang, 2019, February)</w:t>
      </w:r>
      <w:r>
        <w:rPr>
          <w:rFonts w:hint="default" w:ascii="Times New Roman" w:hAnsi="Times New Roman" w:cs="Times New Roman"/>
          <w:sz w:val="24"/>
          <w:szCs w:val="24"/>
        </w:rPr>
        <w:t>. Additionally, China actively campaigns for green environmental preservation, energy conservation, and emission reduction, and it has political stability and superior economic growth. China is where Tesla sells the most units outside of the US and has been quite supportive of the company's move to Shanghai</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Lim, &amp; Tan,2022)</w:t>
      </w:r>
      <w:r>
        <w:rPr>
          <w:rFonts w:hint="default" w:ascii="Times New Roman" w:hAnsi="Times New Roman" w:cs="Times New Roman"/>
          <w:sz w:val="24"/>
          <w:szCs w:val="24"/>
        </w:rPr>
        <w:t>. The stabilization and expansion of the Chinese market as well as ensuring the efficient production of the Gigafactory in China are crucial components of Tesla's internationalization plan. The quality of Tesla's products has, however, also come under fire from certain customers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Perkins, &amp; Murmann, 2018)</w:t>
      </w:r>
      <w:r>
        <w:rPr>
          <w:rFonts w:hint="default" w:ascii="Times New Roman" w:hAnsi="Times New Roman" w:cs="Times New Roman"/>
          <w:sz w:val="24"/>
          <w:szCs w:val="24"/>
        </w:rPr>
        <w:t>. The frequent incidence of braking issues and the preservation of consumer rights have once again thrust Tesla into the spotlight, which has an effect on the company's brand image and will probably be detrimental to its future growth. Tesla needs to take proactive steps to protect its brand and ensure the quality of its car products. Prevent quality problems from impeding the company's globalization efforts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Barmore, 2013)</w:t>
      </w:r>
      <w:r>
        <w:rPr>
          <w:rFonts w:hint="default" w:ascii="Times New Roman" w:hAnsi="Times New Roman" w:cs="Times New Roman"/>
          <w:sz w:val="24"/>
          <w:szCs w:val="24"/>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numPr>
          <w:ilvl w:val="0"/>
          <w:numId w:val="0"/>
        </w:numPr>
        <w:outlineLvl w:val="0"/>
        <w:rPr>
          <w:rFonts w:hint="default" w:ascii="Times New Roman" w:hAnsi="Times New Roman" w:cs="Times New Roman"/>
          <w:b/>
          <w:bCs/>
          <w:sz w:val="28"/>
          <w:szCs w:val="28"/>
        </w:rPr>
      </w:pPr>
      <w:bookmarkStart w:id="5" w:name="_Toc23723"/>
      <w:r>
        <w:rPr>
          <w:rFonts w:hint="default" w:ascii="Times New Roman" w:hAnsi="Times New Roman" w:cs="Times New Roman"/>
          <w:b/>
          <w:bCs/>
          <w:sz w:val="28"/>
          <w:szCs w:val="28"/>
          <w:lang w:val="en-US" w:eastAsia="zh-CN"/>
        </w:rPr>
        <w:t>2.</w:t>
      </w:r>
      <w:r>
        <w:rPr>
          <w:rFonts w:hint="default" w:ascii="Times New Roman" w:hAnsi="Times New Roman" w:cs="Times New Roman"/>
          <w:b/>
          <w:bCs/>
          <w:sz w:val="28"/>
          <w:szCs w:val="28"/>
        </w:rPr>
        <w:t xml:space="preserve">PEST </w:t>
      </w:r>
      <w:bookmarkEnd w:id="5"/>
    </w:p>
    <w:p>
      <w:pPr>
        <w:numPr>
          <w:ilvl w:val="0"/>
          <w:numId w:val="0"/>
        </w:numPr>
        <w:outlineLvl w:val="1"/>
        <w:rPr>
          <w:rFonts w:hint="eastAsia" w:ascii="Times New Roman" w:hAnsi="Times New Roman" w:cs="Times New Roman"/>
          <w:sz w:val="24"/>
          <w:szCs w:val="24"/>
          <w:lang w:val="en-US" w:eastAsia="zh-CN"/>
        </w:rPr>
      </w:pPr>
      <w:bookmarkStart w:id="6" w:name="_Toc26253"/>
      <w:r>
        <w:rPr>
          <w:rFonts w:hint="eastAsia" w:ascii="Times New Roman" w:hAnsi="Times New Roman" w:cs="Times New Roman"/>
          <w:b/>
          <w:bCs/>
          <w:sz w:val="28"/>
          <w:szCs w:val="28"/>
          <w:lang w:val="en-US" w:eastAsia="zh-CN"/>
        </w:rPr>
        <w:t xml:space="preserve">2.1 </w:t>
      </w:r>
      <w:r>
        <w:rPr>
          <w:rFonts w:hint="default" w:ascii="Times New Roman" w:hAnsi="Times New Roman" w:cs="Times New Roman"/>
          <w:b/>
          <w:bCs/>
          <w:sz w:val="28"/>
          <w:szCs w:val="28"/>
        </w:rPr>
        <w:t>Political</w:t>
      </w:r>
      <w:bookmarkEnd w:id="6"/>
    </w:p>
    <w:p>
      <w:pPr>
        <w:numPr>
          <w:ilvl w:val="0"/>
          <w:numId w:val="0"/>
        </w:numPr>
        <w:outlineLvl w:val="1"/>
        <w:rPr>
          <w:rFonts w:hint="default" w:ascii="Times New Roman" w:hAnsi="Times New Roman" w:cs="Times New Roman"/>
          <w:sz w:val="24"/>
          <w:szCs w:val="24"/>
          <w:lang w:val="en-US" w:eastAsia="zh-CN"/>
        </w:rPr>
      </w:pPr>
      <w:bookmarkStart w:id="7" w:name="_Toc16925"/>
      <w:r>
        <w:rPr>
          <w:rFonts w:hint="default" w:ascii="Times New Roman" w:hAnsi="Times New Roman" w:cs="Times New Roman"/>
          <w:sz w:val="24"/>
          <w:szCs w:val="24"/>
          <w:lang w:val="en-US" w:eastAsia="zh-CN"/>
        </w:rPr>
        <w:t>Energy conservation and emission reduction initiatives have been underway in nations all over the world since the 1990s, and they will continue into the twenty-first century</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Mangram, 2012)</w:t>
      </w:r>
      <w:r>
        <w:rPr>
          <w:rFonts w:hint="default" w:ascii="Times New Roman" w:hAnsi="Times New Roman" w:cs="Times New Roman"/>
          <w:sz w:val="24"/>
          <w:szCs w:val="24"/>
          <w:lang w:val="en-US" w:eastAsia="zh-CN"/>
        </w:rPr>
        <w:t>. This is quite congruent with the expansion of the Tesla automobile company. The open policy of China and initiatives to further globalization are significant positive elements for the expansion of the Tesla motor brand</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Bilbeisi, &amp; Kesse, 2017)</w:t>
      </w:r>
      <w:r>
        <w:rPr>
          <w:rFonts w:hint="default" w:ascii="Times New Roman" w:hAnsi="Times New Roman" w:cs="Times New Roman"/>
          <w:sz w:val="24"/>
          <w:szCs w:val="24"/>
          <w:lang w:val="en-US" w:eastAsia="zh-CN"/>
        </w:rPr>
        <w:t>. Foreign ownership prohibitions on special vehicles and new energy vehicles will be removed in 2018. Commercial vehicle ownership restrictions will be removed in 2020</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Cheng, &amp; Griffin, 2022)</w:t>
      </w:r>
      <w:r>
        <w:rPr>
          <w:rFonts w:hint="default" w:ascii="Times New Roman" w:hAnsi="Times New Roman" w:cs="Times New Roman"/>
          <w:sz w:val="24"/>
          <w:szCs w:val="24"/>
          <w:lang w:val="en-US" w:eastAsia="zh-CN"/>
        </w:rPr>
        <w:t>. Along with the level of national policy, the Shanghai government's openness to the outside world is a key contributor to Tesla's rapid expansion in China. The Shanghai Municipal Government and Tesla entered into a deal in July 2018. The first vehicles were delivered on December 30, 2019, and the facility has been constructed at one of the quickest rates in the world</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Liu,2021, March)</w:t>
      </w:r>
      <w:r>
        <w:rPr>
          <w:rFonts w:hint="default" w:ascii="Times New Roman" w:hAnsi="Times New Roman" w:cs="Times New Roman"/>
          <w:sz w:val="24"/>
          <w:szCs w:val="24"/>
          <w:lang w:val="en-US" w:eastAsia="zh-CN"/>
        </w:rPr>
        <w:t>.</w:t>
      </w:r>
    </w:p>
    <w:p>
      <w:pPr>
        <w:numPr>
          <w:ilvl w:val="0"/>
          <w:numId w:val="0"/>
        </w:numPr>
        <w:outlineLvl w:val="1"/>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2.2 Economic</w:t>
      </w:r>
      <w:bookmarkEnd w:id="7"/>
    </w:p>
    <w:p>
      <w:pPr>
        <w:numPr>
          <w:ilvl w:val="0"/>
          <w:numId w:val="0"/>
        </w:numPr>
        <w:outlineLvl w:val="1"/>
        <w:rPr>
          <w:rFonts w:hint="default" w:ascii="Times New Roman" w:hAnsi="Times New Roman" w:cs="Times New Roman"/>
          <w:sz w:val="24"/>
          <w:szCs w:val="24"/>
          <w:lang w:val="en-US" w:eastAsia="zh-CN"/>
        </w:rPr>
      </w:pPr>
      <w:bookmarkStart w:id="8" w:name="_Toc31865"/>
      <w:r>
        <w:rPr>
          <w:rFonts w:hint="default" w:ascii="Times New Roman" w:hAnsi="Times New Roman" w:cs="Times New Roman"/>
          <w:sz w:val="24"/>
          <w:szCs w:val="24"/>
          <w:lang w:val="en-US" w:eastAsia="zh-CN"/>
        </w:rPr>
        <w:t>The U.S. Department of Energy granted the firm a $465 million low-interest loan in late 2008 to support the mass manufacturing of Tesla ModelS as a result of the U.S. government's support of the company's concept. It got a $10 million grant from the California Energy Commission in 2012 for the manufacture of Model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X</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Liu, &amp; Kokko,2013)</w:t>
      </w:r>
      <w:r>
        <w:rPr>
          <w:rFonts w:hint="default" w:ascii="Times New Roman" w:hAnsi="Times New Roman" w:cs="Times New Roman"/>
          <w:sz w:val="24"/>
          <w:szCs w:val="24"/>
          <w:lang w:val="en-US" w:eastAsia="zh-CN"/>
        </w:rPr>
        <w:t>. The business has benefited from ZEV-Credits, the US zero-emissions trading program, in addition to financial help. California mandates that automakers offer a specific quantity of carbon-free automobiles. Automakers that don't fit the bill can purchase credits from other automakers. Tesla has sold regulatory credits worth more than $1.3 billion since 2008. Tesla shipped 103,181 automobiles throughout the world in 2017, but made $360.3 million from the sale of carbon credits, or nearly $3,500 per vehicle. The ZEV brought in $420 million in income in 2018</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Baur, &amp; Todorova,2018)</w:t>
      </w:r>
      <w:r>
        <w:rPr>
          <w:rFonts w:hint="default" w:ascii="Times New Roman" w:hAnsi="Times New Roman" w:cs="Times New Roman"/>
          <w:sz w:val="24"/>
          <w:szCs w:val="24"/>
          <w:lang w:val="en-US" w:eastAsia="zh-CN"/>
        </w:rPr>
        <w:t>.</w:t>
      </w:r>
    </w:p>
    <w:p>
      <w:pPr>
        <w:numPr>
          <w:ilvl w:val="0"/>
          <w:numId w:val="0"/>
        </w:numPr>
        <w:outlineLvl w:val="1"/>
        <w:rPr>
          <w:rFonts w:hint="default" w:ascii="Times New Roman" w:hAnsi="Times New Roman" w:cs="Times New Roman"/>
          <w:sz w:val="24"/>
          <w:szCs w:val="24"/>
          <w:lang w:val="en-US" w:eastAsia="zh-CN"/>
        </w:rPr>
      </w:pPr>
      <w:r>
        <w:rPr>
          <w:rFonts w:hint="default" w:ascii="Times New Roman" w:hAnsi="Times New Roman" w:cs="Times New Roman"/>
          <w:b/>
          <w:bCs/>
          <w:sz w:val="28"/>
          <w:szCs w:val="28"/>
          <w:lang w:val="en-US" w:eastAsia="zh-CN"/>
        </w:rPr>
        <w:t>2.3 Social</w:t>
      </w:r>
      <w:bookmarkEnd w:id="8"/>
      <w:bookmarkStart w:id="9" w:name="_Toc31789"/>
      <w:r>
        <w:rPr>
          <w:rFonts w:hint="default" w:ascii="Times New Roman" w:hAnsi="Times New Roman" w:cs="Times New Roman"/>
          <w:sz w:val="24"/>
          <w:szCs w:val="24"/>
          <w:lang w:val="en-US" w:eastAsia="zh-CN"/>
        </w:rPr>
        <w:t>while addressing the issues with the global ecological environment, develop the social climate to promote the growth of the Tesla motor brand. By 2010, all industrialized countries were required by the Kyoto Protocol to cut their emissions of six greenhouse gases, including carbon dioxide, by 5.2 percent from 1990 levels. In order to halt global warming, the Kyoto Protocol was agreed in December 1997 in Kyoto, Japan. It places restrictions on industrialized nations' emissions of greenhouse gases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Strauss, &amp; Smith, 2019)</w:t>
      </w:r>
      <w:r>
        <w:rPr>
          <w:rFonts w:hint="default" w:ascii="Times New Roman" w:hAnsi="Times New Roman" w:cs="Times New Roman"/>
          <w:sz w:val="24"/>
          <w:szCs w:val="24"/>
          <w:lang w:val="en-US" w:eastAsia="zh-CN"/>
        </w:rPr>
        <w:t>.</w:t>
      </w:r>
    </w:p>
    <w:p>
      <w:pPr>
        <w:numPr>
          <w:ilvl w:val="0"/>
          <w:numId w:val="0"/>
        </w:numPr>
        <w:outlineLvl w:val="1"/>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Paris Agreement, which was adopted by 178 countries and regions in 2016, efforts must be taken to keep the average global temperature rise under 2°C and under 15°C. It also establishes distinct, regional standards for the reduction of emissions in industrialized, developing, and least developed nations and areas.</w:t>
      </w: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2.4 Technology</w:t>
      </w:r>
      <w:bookmarkEnd w:id="9"/>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automobile, the Roadster, was created utilizing American ACpropulsion electric vehicle transmission technology in addition to the company's own research and development. The chassis and body structure of the British Elise sports car were used to build the automobile body, while the battery used a Japanese Panasonic 18650 lithium battery. The engine was created in collaboration with Taiwanese Tomita</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Crane, 2015)</w:t>
      </w:r>
      <w:r>
        <w:rPr>
          <w:rFonts w:hint="default" w:ascii="Times New Roman" w:hAnsi="Times New Roman" w:cs="Times New Roman"/>
          <w:sz w:val="24"/>
          <w:szCs w:val="24"/>
          <w:lang w:val="en-US" w:eastAsia="zh-CN"/>
        </w:rPr>
        <w:t>.</w:t>
      </w:r>
    </w:p>
    <w:p>
      <w:pPr>
        <w:rPr>
          <w:rFonts w:hint="eastAsia" w:ascii="Times New Roman" w:hAnsi="Times New Roman" w:cs="Times New Roman"/>
          <w:b/>
          <w:bCs/>
          <w:sz w:val="28"/>
          <w:szCs w:val="28"/>
          <w:lang w:val="en-US" w:eastAsia="zh-CN"/>
        </w:rPr>
      </w:pPr>
      <w:bookmarkStart w:id="10" w:name="_Toc31240"/>
    </w:p>
    <w:p>
      <w:p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SWOT analysis</w:t>
      </w:r>
      <w:bookmarkEnd w:id="10"/>
    </w:p>
    <w:p>
      <w:pPr>
        <w:numPr>
          <w:ilvl w:val="0"/>
          <w:numId w:val="0"/>
        </w:numPr>
        <w:outlineLvl w:val="1"/>
        <w:rPr>
          <w:rFonts w:hint="default" w:ascii="Times New Roman" w:hAnsi="Times New Roman" w:cs="Times New Roman"/>
          <w:sz w:val="24"/>
          <w:szCs w:val="24"/>
          <w:lang w:val="en-US" w:eastAsia="zh-CN"/>
        </w:rPr>
      </w:pPr>
      <w:bookmarkStart w:id="11" w:name="_Toc1845"/>
      <w:r>
        <w:rPr>
          <w:rFonts w:hint="eastAsia" w:ascii="Times New Roman" w:hAnsi="Times New Roman" w:cs="Times New Roman"/>
          <w:b/>
          <w:bCs/>
          <w:sz w:val="28"/>
          <w:szCs w:val="28"/>
          <w:lang w:val="en-US" w:eastAsia="zh-CN"/>
        </w:rPr>
        <w:t>3.1</w:t>
      </w:r>
      <w:r>
        <w:rPr>
          <w:rFonts w:hint="default" w:ascii="Times New Roman" w:hAnsi="Times New Roman" w:cs="Times New Roman"/>
          <w:sz w:val="24"/>
          <w:szCs w:val="24"/>
          <w:lang w:val="en-US" w:eastAsia="zh-CN"/>
        </w:rPr>
        <w:t xml:space="preserve"> </w:t>
      </w:r>
      <w:r>
        <w:rPr>
          <w:rFonts w:hint="default" w:ascii="Times New Roman" w:hAnsi="Times New Roman" w:cs="Times New Roman"/>
          <w:b/>
          <w:bCs/>
          <w:sz w:val="28"/>
          <w:szCs w:val="28"/>
          <w:lang w:val="en-US" w:eastAsia="zh-CN"/>
        </w:rPr>
        <w:t>Strengths</w:t>
      </w:r>
      <w:bookmarkEnd w:id="11"/>
    </w:p>
    <w:p>
      <w:pPr>
        <w:numPr>
          <w:ilvl w:val="0"/>
          <w:numId w:val="0"/>
        </w:numPr>
        <w:outlineLvl w:val="1"/>
        <w:rPr>
          <w:rFonts w:hint="default" w:ascii="Times New Roman" w:hAnsi="Times New Roman" w:cs="Times New Roman"/>
          <w:sz w:val="24"/>
          <w:szCs w:val="24"/>
          <w:lang w:val="en-US" w:eastAsia="zh-CN"/>
        </w:rPr>
      </w:pPr>
      <w:bookmarkStart w:id="12" w:name="_Toc24835"/>
      <w:r>
        <w:rPr>
          <w:rFonts w:hint="default" w:ascii="Times New Roman" w:hAnsi="Times New Roman" w:cs="Times New Roman"/>
          <w:sz w:val="24"/>
          <w:szCs w:val="24"/>
          <w:lang w:val="en-US" w:eastAsia="zh-CN"/>
        </w:rPr>
        <w:t>The secret to Tesla's competitiveness in the market is its technological edge. The most cutting-edge electric car technology in the world is used by Tesla, together with the most effective battery management system. Currently, Panasonic 18650 lithium-cobalt batteries are mostly used in Tesla automobiles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Thomas, &amp; Maine,2019)</w:t>
      </w:r>
      <w:r>
        <w:rPr>
          <w:rFonts w:hint="default" w:ascii="Times New Roman" w:hAnsi="Times New Roman" w:cs="Times New Roman"/>
          <w:sz w:val="24"/>
          <w:szCs w:val="24"/>
          <w:lang w:val="en-US" w:eastAsia="zh-CN"/>
        </w:rPr>
        <w:t>. Thousands of separate batteries make up the whole battery, which has a high energy density, high safety factor, and numerous charging cycles to effectively maintain the vehicle's operational stability. Tesla has rather extensive charging infrastructure. To satisfy the demands of Tesla consumers, Tesla has 300 charging stations in China as of December 2019, encompassing more than 140 cities with more than 2,200 charging stations and a robust charging network</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Ren, 2018)</w:t>
      </w:r>
      <w:r>
        <w:rPr>
          <w:rFonts w:hint="default" w:ascii="Times New Roman" w:hAnsi="Times New Roman" w:cs="Times New Roman"/>
          <w:sz w:val="24"/>
          <w:szCs w:val="24"/>
          <w:lang w:val="en-US" w:eastAsia="zh-CN"/>
        </w:rPr>
        <w:t>.</w:t>
      </w:r>
    </w:p>
    <w:p>
      <w:pPr>
        <w:numPr>
          <w:ilvl w:val="0"/>
          <w:numId w:val="0"/>
        </w:numPr>
        <w:outlineLvl w:val="1"/>
        <w:rPr>
          <w:rFonts w:hint="default"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 xml:space="preserve">3.2 </w:t>
      </w:r>
      <w:r>
        <w:rPr>
          <w:rFonts w:hint="default" w:ascii="Times New Roman" w:hAnsi="Times New Roman" w:cs="Times New Roman"/>
          <w:b/>
          <w:bCs/>
          <w:sz w:val="28"/>
          <w:szCs w:val="28"/>
          <w:lang w:val="en-US" w:eastAsia="zh-CN"/>
        </w:rPr>
        <w:t>Weaknesses</w:t>
      </w:r>
      <w:bookmarkEnd w:id="12"/>
    </w:p>
    <w:p>
      <w:pPr>
        <w:numPr>
          <w:ilvl w:val="0"/>
          <w:numId w:val="0"/>
        </w:numPr>
        <w:outlineLvl w:val="1"/>
        <w:rPr>
          <w:rFonts w:hint="default" w:ascii="Times New Roman" w:hAnsi="Times New Roman" w:cs="Times New Roman"/>
          <w:sz w:val="24"/>
          <w:szCs w:val="24"/>
          <w:lang w:val="en-US" w:eastAsia="zh-CN"/>
        </w:rPr>
      </w:pPr>
      <w:bookmarkStart w:id="13" w:name="_Toc23495"/>
      <w:r>
        <w:rPr>
          <w:rFonts w:hint="default" w:ascii="Times New Roman" w:hAnsi="Times New Roman" w:cs="Times New Roman"/>
          <w:sz w:val="24"/>
          <w:szCs w:val="24"/>
          <w:lang w:val="en-US" w:eastAsia="zh-CN"/>
        </w:rPr>
        <w:t>Tesla's capacity is becoming limited. Globally and in China, Tesla's sales increased overall, growing its market share and number of vehicles sold. Tesla, on the other hand, is having significant capacity issues and cannot produce at a profit. The Tesla motor's battery propulsion technology still falls within the high-tech category, which explains why.Because novel materials were utilized to enhance the car's safety and cosmetics, the production of Tesla motors could not be automated, making it impossible to satisfy market demand. Despite being "ad-free," Tesla has still had to pay a sizable amount for manufacturing and other expenses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Subramanian, 2023)</w:t>
      </w:r>
      <w:r>
        <w:rPr>
          <w:rFonts w:hint="default" w:ascii="Times New Roman" w:hAnsi="Times New Roman" w:cs="Times New Roman"/>
          <w:sz w:val="24"/>
          <w:szCs w:val="24"/>
          <w:lang w:val="en-US" w:eastAsia="zh-CN"/>
        </w:rPr>
        <w:t>. One the one hand, Tesla Motors is unable to automate manufacturing due to its cutting-edge battery technology, which ultimately results in expensive labor and raw material costs. The growth of its battery and charging infrastructure in China, on the other hand, is putting financial strain on Tesla</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Välikangas, 2018)</w:t>
      </w:r>
      <w:r>
        <w:rPr>
          <w:rFonts w:hint="default" w:ascii="Times New Roman" w:hAnsi="Times New Roman" w:cs="Times New Roman"/>
          <w:sz w:val="24"/>
          <w:szCs w:val="24"/>
          <w:lang w:val="en-US" w:eastAsia="zh-CN"/>
        </w:rPr>
        <w:t>.</w:t>
      </w: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b/>
          <w:bCs/>
          <w:sz w:val="28"/>
          <w:szCs w:val="28"/>
          <w:u w:val="none"/>
          <w:lang w:val="en-US" w:eastAsia="zh-CN"/>
        </w:rPr>
      </w:pPr>
      <w:r>
        <w:rPr>
          <w:rFonts w:hint="eastAsia" w:ascii="Times New Roman" w:hAnsi="Times New Roman" w:cs="Times New Roman"/>
          <w:b/>
          <w:bCs/>
          <w:sz w:val="28"/>
          <w:szCs w:val="28"/>
          <w:u w:val="none"/>
          <w:lang w:val="en-US" w:eastAsia="zh-CN"/>
        </w:rPr>
        <w:t xml:space="preserve">3.3 </w:t>
      </w:r>
      <w:r>
        <w:rPr>
          <w:rFonts w:hint="default" w:ascii="Times New Roman" w:hAnsi="Times New Roman" w:cs="Times New Roman"/>
          <w:b/>
          <w:bCs/>
          <w:sz w:val="28"/>
          <w:szCs w:val="28"/>
          <w:u w:val="none"/>
          <w:lang w:val="en-US" w:eastAsia="zh-CN"/>
        </w:rPr>
        <w:t>Opportunities</w:t>
      </w:r>
      <w:bookmarkEnd w:id="13"/>
    </w:p>
    <w:p>
      <w:pPr>
        <w:numPr>
          <w:ilvl w:val="0"/>
          <w:numId w:val="0"/>
        </w:numPr>
        <w:outlineLvl w:val="1"/>
        <w:rPr>
          <w:rFonts w:hint="default" w:ascii="Times New Roman" w:hAnsi="Times New Roman" w:cs="Times New Roman"/>
          <w:sz w:val="24"/>
          <w:szCs w:val="24"/>
          <w:lang w:val="en-US" w:eastAsia="zh-CN"/>
        </w:rPr>
      </w:pPr>
      <w:bookmarkStart w:id="14" w:name="_Toc28251"/>
    </w:p>
    <w:p>
      <w:pPr>
        <w:numPr>
          <w:ilvl w:val="0"/>
          <w:numId w:val="0"/>
        </w:numPr>
        <w:outlineLvl w:val="1"/>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Due to the COVID-19 pandemic's effects and customers' wait-and-see attitude concerning the government's new energy vehicle subsidy program, sales decreased to 1.367 million units in 2020. However, sales rose quickly to 3.521 million units in 2021, mostly due to a 20% reduction in the new energy vehicle subsidy requirement from the previous year. New energy cars will also get greater attention as Chinese customers grow more environmentally conscious. In order to address the demands of the development of new energy cars, Tesla creates a network of charging stations and places charging heaps in open urban spaces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Stobbe Jr, 2019)</w:t>
      </w:r>
      <w:r>
        <w:rPr>
          <w:rFonts w:hint="default" w:ascii="Times New Roman" w:hAnsi="Times New Roman" w:cs="Times New Roman"/>
          <w:sz w:val="24"/>
          <w:szCs w:val="24"/>
          <w:lang w:val="en-US" w:eastAsia="zh-CN"/>
        </w:rPr>
        <w:t>. The construction of charging infrastructure for big public parking lots, such as those at airports, train stations, malls, hospitals, and residential areas, as well as the renovation and expansion of charging stations at existing gas stations, are given priority.</w:t>
      </w:r>
    </w:p>
    <w:p>
      <w:pPr>
        <w:numPr>
          <w:ilvl w:val="0"/>
          <w:numId w:val="0"/>
        </w:numPr>
        <w:outlineLvl w:val="1"/>
        <w:rPr>
          <w:rFonts w:hint="default" w:ascii="Times New Roman" w:hAnsi="Times New Roman" w:cs="Times New Roman"/>
          <w:b/>
          <w:bCs/>
          <w:sz w:val="28"/>
          <w:szCs w:val="28"/>
        </w:rPr>
      </w:pPr>
      <w:r>
        <w:rPr>
          <w:rFonts w:hint="eastAsia" w:ascii="Times New Roman" w:hAnsi="Times New Roman" w:cs="Times New Roman"/>
          <w:b/>
          <w:bCs/>
          <w:sz w:val="28"/>
          <w:szCs w:val="28"/>
          <w:lang w:val="en-US" w:eastAsia="zh-CN"/>
        </w:rPr>
        <w:t xml:space="preserve">3.4 </w:t>
      </w:r>
      <w:r>
        <w:rPr>
          <w:rFonts w:hint="default" w:ascii="Times New Roman" w:hAnsi="Times New Roman" w:cs="Times New Roman"/>
          <w:b/>
          <w:bCs/>
          <w:sz w:val="28"/>
          <w:szCs w:val="28"/>
          <w:lang w:val="en-US" w:eastAsia="zh-CN"/>
        </w:rPr>
        <w:t>T</w:t>
      </w:r>
      <w:r>
        <w:rPr>
          <w:rFonts w:hint="default" w:ascii="Times New Roman" w:hAnsi="Times New Roman" w:cs="Times New Roman"/>
          <w:b/>
          <w:bCs/>
          <w:sz w:val="28"/>
          <w:szCs w:val="28"/>
        </w:rPr>
        <w:t>hreat</w:t>
      </w:r>
      <w:bookmarkEnd w:id="14"/>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New energy vehicle markets are extremely competitive. Byd became the second-largest firm in the world in 2021 after selling 593,700 new energy cars, an increase of 231.6 percent from the previous year, although it still lagged behind industry titan Tesla</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Zhang, &amp; Cai, 2020)</w:t>
      </w:r>
      <w:r>
        <w:rPr>
          <w:rFonts w:hint="default" w:ascii="Times New Roman" w:hAnsi="Times New Roman" w:cs="Times New Roman"/>
          <w:sz w:val="24"/>
          <w:szCs w:val="24"/>
          <w:lang w:val="en-US" w:eastAsia="zh-CN"/>
        </w:rPr>
        <w:t>. Tesla outsold second-placed BYD by 1.6 times, selling 935,700 vehicles, an increase of 87% over the same period last year. Byd controls 20.3% of the market for pure electric vehicles and 14.4% of the market for new-energy passenger cars worldwide.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Additionally, brand loyalty is declining as customer choice expands along with the number of product categories in the market for new energy vehicles. The advancement of digital technology makes it possible for customers to access a wealth of information and strengthen their negotiating position. The development of the sharing economy and the maturity of autonomous driving technologies will also have an impact on customer interest in purchasing automobiles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Cornell, 2020)</w:t>
      </w:r>
      <w:r>
        <w:rPr>
          <w:rFonts w:hint="default" w:ascii="Times New Roman" w:hAnsi="Times New Roman" w:cs="Times New Roman"/>
          <w:sz w:val="24"/>
          <w:szCs w:val="24"/>
          <w:lang w:val="en-US" w:eastAsia="zh-CN"/>
        </w:rPr>
        <w:t>.</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br w:type="page"/>
      </w:r>
    </w:p>
    <w:p>
      <w:pPr>
        <w:numPr>
          <w:ilvl w:val="0"/>
          <w:numId w:val="0"/>
        </w:numPr>
        <w:outlineLvl w:val="0"/>
        <w:rPr>
          <w:rFonts w:hint="default" w:ascii="Times New Roman" w:hAnsi="Times New Roman" w:cs="Times New Roman"/>
          <w:b/>
          <w:bCs/>
          <w:sz w:val="28"/>
          <w:szCs w:val="28"/>
          <w:lang w:val="en-US" w:eastAsia="zh-CN"/>
        </w:rPr>
      </w:pPr>
      <w:bookmarkStart w:id="15" w:name="_Toc7089"/>
      <w:r>
        <w:rPr>
          <w:rFonts w:hint="eastAsia" w:ascii="Times New Roman" w:hAnsi="Times New Roman" w:cs="Times New Roman"/>
          <w:b/>
          <w:bCs/>
          <w:sz w:val="28"/>
          <w:szCs w:val="28"/>
          <w:lang w:val="en-US" w:eastAsia="zh-CN"/>
        </w:rPr>
        <w:t>4.Tesla</w:t>
      </w:r>
      <w:r>
        <w:rPr>
          <w:rFonts w:hint="default" w:ascii="Times New Roman" w:hAnsi="Times New Roman" w:cs="Times New Roman"/>
          <w:b/>
          <w:bCs/>
          <w:sz w:val="28"/>
          <w:szCs w:val="28"/>
          <w:lang w:val="en-US" w:eastAsia="zh-CN"/>
        </w:rPr>
        <w:t>'s marketing strategy</w:t>
      </w:r>
      <w:bookmarkEnd w:id="15"/>
    </w:p>
    <w:p>
      <w:pPr>
        <w:numPr>
          <w:ilvl w:val="0"/>
          <w:numId w:val="0"/>
        </w:numPr>
        <w:outlineLvl w:val="1"/>
        <w:rPr>
          <w:rFonts w:hint="default" w:ascii="Times New Roman" w:hAnsi="Times New Roman" w:cs="Times New Roman"/>
          <w:sz w:val="24"/>
          <w:szCs w:val="24"/>
          <w:lang w:val="en-US" w:eastAsia="zh-CN"/>
        </w:rPr>
      </w:pPr>
      <w:bookmarkStart w:id="16" w:name="_Toc23405"/>
      <w:r>
        <w:rPr>
          <w:rFonts w:hint="eastAsia" w:ascii="Times New Roman" w:hAnsi="Times New Roman" w:cs="Times New Roman"/>
          <w:b/>
          <w:bCs/>
          <w:sz w:val="28"/>
          <w:szCs w:val="28"/>
          <w:lang w:val="en-US" w:eastAsia="zh-CN"/>
        </w:rPr>
        <w:t xml:space="preserve">4.1 </w:t>
      </w:r>
      <w:bookmarkEnd w:id="16"/>
      <w:bookmarkStart w:id="17" w:name="_Toc8243"/>
      <w:r>
        <w:rPr>
          <w:rFonts w:hint="default" w:ascii="Times New Roman" w:hAnsi="Times New Roman" w:cs="Times New Roman"/>
          <w:b/>
          <w:bCs/>
          <w:sz w:val="28"/>
          <w:szCs w:val="28"/>
          <w:lang w:val="en-US" w:eastAsia="zh-CN"/>
        </w:rPr>
        <w:t>Market segmentation</w:t>
      </w:r>
    </w:p>
    <w:p>
      <w:pPr>
        <w:numPr>
          <w:ilvl w:val="0"/>
          <w:numId w:val="0"/>
        </w:numPr>
        <w:outlineLvl w:val="1"/>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Market segmentation is the foundation upon which businesses build their target market selection, market positioning, and market strategy. Due to the size and diversity of China, flat, wide landscape must be preferable for electric cars compared to steep, uneven terrain. China has a sizable demographic base and a sizable total market demand since it is a growing nation with consistent economic expansion. Tesla goods are more suited for younger consumer demographics. From the standpoint of the selling price, Tesla's products are more appropriate for middle- and high-income groups to purchase than low- or middle-income groups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Aybaly,Manière, Madacova, &amp; van Holt, 2017)</w:t>
      </w:r>
      <w:r>
        <w:rPr>
          <w:rFonts w:hint="default" w:ascii="Times New Roman" w:hAnsi="Times New Roman" w:cs="Times New Roman"/>
          <w:sz w:val="24"/>
          <w:szCs w:val="24"/>
          <w:lang w:val="en-US" w:eastAsia="zh-CN"/>
        </w:rPr>
        <w:t>. Higher socioeconomic class individuals and those with greater environmental consciousness are more likely to purchase Tesla vehicles.</w:t>
      </w:r>
    </w:p>
    <w:p>
      <w:pPr>
        <w:numPr>
          <w:ilvl w:val="0"/>
          <w:numId w:val="0"/>
        </w:numPr>
        <w:outlineLvl w:val="1"/>
        <w:rPr>
          <w:rFonts w:hint="default"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 xml:space="preserve">4.2 </w:t>
      </w:r>
      <w:bookmarkEnd w:id="17"/>
      <w:bookmarkStart w:id="18" w:name="_Toc29798"/>
      <w:r>
        <w:rPr>
          <w:rFonts w:hint="default" w:ascii="Times New Roman" w:hAnsi="Times New Roman" w:cs="Times New Roman"/>
          <w:b/>
          <w:bCs/>
          <w:sz w:val="28"/>
          <w:szCs w:val="28"/>
          <w:lang w:val="en-US" w:eastAsia="zh-CN"/>
        </w:rPr>
        <w:t>Brand image and positioning</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Market positioning includes brand positioning, which is crucial. Tesla has been exporting its products to China before constructing a facility there to develop new energy cars, namely the Model S and Model X series</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Dana, 2018)</w:t>
      </w:r>
      <w:r>
        <w:rPr>
          <w:rFonts w:hint="default" w:ascii="Times New Roman" w:hAnsi="Times New Roman" w:cs="Times New Roman"/>
          <w:sz w:val="24"/>
          <w:szCs w:val="24"/>
          <w:lang w:val="en-US" w:eastAsia="zh-CN"/>
        </w:rPr>
        <w:t>. These two versions are available for more than 800,000 yuan each. Both the domestic ModelY series and the domestic Model3 series have launch prices of about 300,000 RMB. The modifications in product price completely match Tesla's revisions to brand positioning.</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4.3</w:t>
      </w:r>
      <w:r>
        <w:rPr>
          <w:rFonts w:hint="eastAsia" w:ascii="Times New Roman" w:hAnsi="Times New Roman" w:cs="Times New Roman"/>
          <w:b w:val="0"/>
          <w:bCs w:val="0"/>
          <w:sz w:val="28"/>
          <w:szCs w:val="28"/>
          <w:lang w:val="en-US" w:eastAsia="zh-CN"/>
        </w:rPr>
        <w:t xml:space="preserve"> </w:t>
      </w:r>
      <w:bookmarkEnd w:id="18"/>
      <w:r>
        <w:rPr>
          <w:rFonts w:hint="default" w:ascii="Times New Roman" w:hAnsi="Times New Roman" w:cs="Times New Roman"/>
          <w:b/>
          <w:bCs/>
          <w:sz w:val="28"/>
          <w:szCs w:val="28"/>
          <w:lang w:val="en-US" w:eastAsia="zh-CN"/>
        </w:rPr>
        <w:t>Channel strategy</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Comparing its channel approach to that of conventional automakers, Tesla is unique. The business implements the direct selling method of "offline experience + online pre-order + online service" after studying Apple's sales model. The company's cash flow, inventory control, and circulation cost management all benefit from this technique</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Liu, &amp; Meng,2017)</w:t>
      </w:r>
      <w:r>
        <w:rPr>
          <w:rFonts w:hint="default" w:ascii="Times New Roman" w:hAnsi="Times New Roman" w:cs="Times New Roman"/>
          <w:sz w:val="24"/>
          <w:szCs w:val="24"/>
          <w:lang w:val="en-US" w:eastAsia="zh-CN"/>
        </w:rPr>
        <w:t>. Online reservations can reduce market supply and demand in a range of structural conflicts by lowering inventory pressure and bringing production and market demand needs more into line. The open and clear nature of direct sales prices save customers the expense and effort of price haggling while also increasing the effectiveness of marketing.</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4.4 </w:t>
      </w:r>
      <w:r>
        <w:rPr>
          <w:rFonts w:hint="default" w:ascii="Times New Roman" w:hAnsi="Times New Roman" w:cs="Times New Roman"/>
          <w:b/>
          <w:bCs/>
          <w:sz w:val="28"/>
          <w:szCs w:val="28"/>
          <w:lang w:val="en-US" w:eastAsia="zh-CN"/>
        </w:rPr>
        <w:t>Price strategy</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Market expansion strategies for Tesla automobiles have included product portfolio pricing, penetration pricing, and tier pricing</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iCs w:val="0"/>
          <w:caps w:val="0"/>
          <w:color w:val="222222"/>
          <w:spacing w:val="0"/>
          <w:sz w:val="24"/>
          <w:szCs w:val="24"/>
          <w:shd w:val="clear" w:fill="FFFFFF"/>
        </w:rPr>
        <w:t>Alghalith, 2018)</w:t>
      </w:r>
      <w:r>
        <w:rPr>
          <w:rFonts w:hint="default" w:ascii="Times New Roman" w:hAnsi="Times New Roman" w:cs="Times New Roman"/>
          <w:sz w:val="24"/>
          <w:szCs w:val="24"/>
          <w:lang w:val="en-US" w:eastAsia="zh-CN"/>
        </w:rPr>
        <w:t>. The first is the method of tiered pricing. The company has released three generations of products at different levels, each with a price strategy to match. The first-generation Roadster and the second-generation Model S and Model X are examples of high-end products. Model 3 and Model Y, low-end items from the third generation, employ the pricing approach of gradual penetration. 2020 saw Tesla lower the price of the domestic Model 3 twice, bringing it to within 100,000 yuan of the 250,000 yuan mark. The market may be expanded and demand can be better stimulated by gradually decreasing the price.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sz w:val="24"/>
          <w:szCs w:val="24"/>
          <w:lang w:val="en-US" w:eastAsia="zh-CN"/>
        </w:rPr>
      </w:pPr>
      <w:bookmarkStart w:id="19" w:name="_Toc17645"/>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rPr>
        <w:t>Conclusion</w:t>
      </w:r>
      <w:bookmarkEnd w:id="19"/>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Globalization's quick development has created a favorable environment for Tesla's fast expansion. The globalization of the economy benefits the Tesla company in many ways, including the globalization of its industrial chain, the globalization of its development capital, and the globalization of its manufacturing technology for new energy vehicles. Tesla is now dealing with some difficulties, though.</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challenge to the corporation is the size of Tesla's industrial supply network. Tesla has been closely following the topic of "Ten Smart New Energy Sources", concentrating on the core industry of New Energy Intelligent Vehicles, and seeking to embrace the architecture of the whole industrial chain. The present business focus includes the chain of supply development for battery raw materials, solar power and energy storage, electrical construction, battery management systems, mechanical engineering, robot automation, and battery raw materials. Although a lengthy and thorough industrial chain can yield numerous fundamental technologies, businesses also run the risk of certain important technologies stagnating or being replaced, which will make management and coordination more difficult.</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 concerns about quality and safety. China's new energy cars will have spontaneous combustion incidents every 44.7 billion kilometers, whereas Tesla will experience fire accidents on average per 280 million kilometers, according to data from the new energy vehicle monitoring platform. According to experts, spontaneous combustion in electric vehicles can be brought on by deteriorating batteries, poor design, malfunctioning BMS systems, and collisions. More than 10 uncontrollable traffic collisions using Tesla Motors have occurred since 2020. The cars reverted to normal after the incidents, and no issues were discovered. The accidents are caused by abrupt acceleration, braking failure, and steering failure. For Tesla, these issues present brand-new difficulties.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b/>
          <w:bCs/>
          <w:sz w:val="28"/>
          <w:szCs w:val="28"/>
          <w:lang w:val="en-US" w:eastAsia="zh-CN"/>
        </w:rPr>
      </w:pPr>
      <w:bookmarkStart w:id="20" w:name="_Toc3561"/>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rPr>
        <w:t>Recommendations</w:t>
      </w:r>
      <w:bookmarkEnd w:id="20"/>
    </w:p>
    <w:p>
      <w:pPr>
        <w:numPr>
          <w:ilvl w:val="0"/>
          <w:numId w:val="0"/>
        </w:numPr>
        <w:outlineLvl w:val="0"/>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6.1 </w:t>
      </w:r>
      <w:r>
        <w:rPr>
          <w:rFonts w:hint="default" w:ascii="Times New Roman" w:hAnsi="Times New Roman" w:cs="Times New Roman"/>
          <w:b/>
          <w:bCs/>
          <w:sz w:val="28"/>
          <w:szCs w:val="28"/>
          <w:lang w:val="en-US" w:eastAsia="zh-CN"/>
        </w:rPr>
        <w:t>Improve product quality</w:t>
      </w:r>
    </w:p>
    <w:p>
      <w:pPr>
        <w:numPr>
          <w:ilvl w:val="0"/>
          <w:numId w:val="0"/>
        </w:numPr>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primary competitive and commercial advantages of Tesla's invention and technology need to be further capitalized on in the future. To secure the stability and safety of automobiles, however, the company should also exercise the fundamental skills of product manufacture in order to speed up the innovation process. Product innovation shouldn't be centered on speed, but it also shouldn't pursue innovation recklessly while neglecting the most fundamental criteria for product creation. On the other hand, excellent design, premium materials, and meticulous attention to detail might raise consumers' desire to purchase.</w:t>
      </w: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default" w:ascii="Times New Roman" w:hAnsi="Times New Roman" w:cs="Times New Roman"/>
          <w:b w:val="0"/>
          <w:bCs w:val="0"/>
          <w:sz w:val="24"/>
          <w:szCs w:val="24"/>
          <w:lang w:val="en-US" w:eastAsia="zh-CN"/>
        </w:rPr>
      </w:pPr>
      <w:r>
        <w:rPr>
          <w:rFonts w:hint="eastAsia" w:ascii="Times New Roman" w:hAnsi="Times New Roman" w:cs="Times New Roman"/>
          <w:b/>
          <w:bCs/>
          <w:sz w:val="28"/>
          <w:szCs w:val="28"/>
          <w:lang w:val="en-US" w:eastAsia="zh-CN"/>
        </w:rPr>
        <w:t xml:space="preserve">6.2 </w:t>
      </w:r>
      <w:r>
        <w:rPr>
          <w:rFonts w:hint="default" w:ascii="Times New Roman" w:hAnsi="Times New Roman" w:cs="Times New Roman"/>
          <w:b/>
          <w:bCs/>
          <w:sz w:val="28"/>
          <w:szCs w:val="28"/>
          <w:lang w:val="en-US" w:eastAsia="zh-CN"/>
        </w:rPr>
        <w:t>Improve the level of after-sales service</w:t>
      </w:r>
    </w:p>
    <w:p>
      <w:pPr>
        <w:numPr>
          <w:ilvl w:val="0"/>
          <w:numId w:val="0"/>
        </w:numPr>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Consumer rights protection is a common topic in the mainstream media. Undoubtedly, consumers who chose this form of overt protection of their rights do not receive acceptable after-sale care. For Tesla to preserve its reputation as a premium brand of new energy cars, buyers must first be able to identify the goods and services the business offers. Therefore, a strong public relations work and proactive problem-solving do not "degrade oneself," but rather show care for customers and a company's reputation.</w:t>
      </w: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default" w:ascii="Times New Roman" w:hAnsi="Times New Roman" w:cs="Times New Roman"/>
          <w:b w:val="0"/>
          <w:bCs w:val="0"/>
          <w:sz w:val="24"/>
          <w:szCs w:val="24"/>
          <w:lang w:val="en-US" w:eastAsia="zh-CN"/>
        </w:rPr>
      </w:pPr>
      <w:r>
        <w:rPr>
          <w:rFonts w:hint="eastAsia" w:ascii="Times New Roman" w:hAnsi="Times New Roman" w:cs="Times New Roman"/>
          <w:b/>
          <w:bCs/>
          <w:sz w:val="28"/>
          <w:szCs w:val="28"/>
          <w:lang w:val="en-US" w:eastAsia="zh-CN"/>
        </w:rPr>
        <w:t xml:space="preserve">6.3 </w:t>
      </w:r>
      <w:r>
        <w:rPr>
          <w:rFonts w:hint="default" w:ascii="Times New Roman" w:hAnsi="Times New Roman" w:cs="Times New Roman"/>
          <w:b/>
          <w:bCs/>
          <w:sz w:val="28"/>
          <w:szCs w:val="28"/>
          <w:lang w:val="en-US" w:eastAsia="zh-CN"/>
        </w:rPr>
        <w:t>Control cost</w:t>
      </w:r>
    </w:p>
    <w:p>
      <w:pPr>
        <w:numPr>
          <w:ilvl w:val="0"/>
          <w:numId w:val="0"/>
        </w:numPr>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Although the general design of the industrial chain may hasten the process of a company's internationalization via the efficient use of resources and result in larger profits for the firm, an industrial chain that is too lengthy will reduce operational effectiveness and raise management expenses. Therefore, Tesla should improve the autonomy of all parts of the automotive production process and concentrate on the invention of key technologies through proper "administrative streamlining and decentralization" going forward.</w:t>
      </w: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6.4 </w:t>
      </w:r>
      <w:r>
        <w:rPr>
          <w:rFonts w:hint="default" w:ascii="Times New Roman" w:hAnsi="Times New Roman" w:cs="Times New Roman"/>
          <w:b/>
          <w:bCs/>
          <w:sz w:val="28"/>
          <w:szCs w:val="28"/>
          <w:lang w:val="en-US" w:eastAsia="zh-CN"/>
        </w:rPr>
        <w:t>Communication and cooperation</w:t>
      </w:r>
    </w:p>
    <w:p>
      <w:pPr>
        <w:numPr>
          <w:ilvl w:val="0"/>
          <w:numId w:val="0"/>
        </w:numPr>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No one company can, by themselves, affect the direction of the whole sector. An organization's industry must first be acknowledged on a worldwide scale if it hopes to optimize the growth of the global market. In order to promote the growth of the total new energy vehicle market, Tesla should strengthen its collaborations with companies in the same industry, combine efforts, share critical technologies, and pool resources.</w:t>
      </w: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default" w:ascii="Times New Roman" w:hAnsi="Times New Roman" w:cs="Times New Roman"/>
          <w:b w:val="0"/>
          <w:bCs w:val="0"/>
          <w:sz w:val="24"/>
          <w:szCs w:val="24"/>
          <w:lang w:val="en-US" w:eastAsia="zh-CN"/>
        </w:rPr>
      </w:pPr>
    </w:p>
    <w:p>
      <w:pPr>
        <w:numPr>
          <w:ilvl w:val="0"/>
          <w:numId w:val="0"/>
        </w:numPr>
        <w:outlineLvl w:val="0"/>
        <w:rPr>
          <w:rFonts w:hint="eastAsia"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Reference</w:t>
      </w:r>
      <w:r>
        <w:rPr>
          <w:rFonts w:hint="eastAsia" w:ascii="Times New Roman" w:hAnsi="Times New Roman" w:cs="Times New Roman"/>
          <w:b/>
          <w:bCs/>
          <w:sz w:val="28"/>
          <w:szCs w:val="28"/>
          <w:lang w:val="en-US" w:eastAsia="zh-CN"/>
        </w:rPr>
        <w:t>s</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Alghalith, N. (2018). Tesla: innovation with information technology. </w:t>
      </w:r>
      <w:r>
        <w:rPr>
          <w:rFonts w:hint="default" w:ascii="Times New Roman" w:hAnsi="Times New Roman" w:eastAsia="宋体" w:cs="Times New Roman"/>
          <w:i/>
          <w:iCs/>
          <w:caps w:val="0"/>
          <w:color w:val="222222"/>
          <w:spacing w:val="0"/>
          <w:sz w:val="24"/>
          <w:szCs w:val="24"/>
          <w:shd w:val="clear" w:fill="FFFFFF"/>
        </w:rPr>
        <w:t>International journal of business research and information technology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w:t>
      </w:r>
      <w:r>
        <w:rPr>
          <w:rFonts w:hint="default" w:ascii="Times New Roman" w:hAnsi="Times New Roman" w:eastAsia="宋体" w:cs="Times New Roman"/>
          <w:i w:val="0"/>
          <w:iCs w:val="0"/>
          <w:caps w:val="0"/>
          <w:color w:val="222222"/>
          <w:spacing w:val="0"/>
          <w:sz w:val="24"/>
          <w:szCs w:val="24"/>
          <w:shd w:val="clear" w:fill="FFFFFF"/>
        </w:rPr>
        <w:t>(1), 37-51.</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Aybaly, R., Guerquin-Kern, L., Manière, I. C., Madacova, D., &amp; van Holt, J. (2017). Sustainability practices in the luxury industry: How can one be sustainable in an over-consumptive environment?: Sustainability in the automotive world: The case of Tesla. </w:t>
      </w:r>
      <w:r>
        <w:rPr>
          <w:rFonts w:hint="default" w:ascii="Times New Roman" w:hAnsi="Times New Roman" w:eastAsia="宋体" w:cs="Times New Roman"/>
          <w:i/>
          <w:iCs/>
          <w:caps w:val="0"/>
          <w:color w:val="222222"/>
          <w:spacing w:val="0"/>
          <w:sz w:val="24"/>
          <w:szCs w:val="24"/>
          <w:shd w:val="clear" w:fill="FFFFFF"/>
        </w:rPr>
        <w:t>Procedia computer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122</w:t>
      </w:r>
      <w:r>
        <w:rPr>
          <w:rFonts w:hint="default" w:ascii="Times New Roman" w:hAnsi="Times New Roman" w:eastAsia="宋体" w:cs="Times New Roman"/>
          <w:i w:val="0"/>
          <w:iCs w:val="0"/>
          <w:caps w:val="0"/>
          <w:color w:val="222222"/>
          <w:spacing w:val="0"/>
          <w:sz w:val="24"/>
          <w:szCs w:val="24"/>
          <w:shd w:val="clear" w:fill="FFFFFF"/>
        </w:rPr>
        <w:t>, 541-547.</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Bilbeisi, K. M., &amp; Kesse, M. (2017). Tesla: A successful entrepreneurship strategy. </w:t>
      </w:r>
      <w:r>
        <w:rPr>
          <w:rFonts w:hint="default" w:ascii="Times New Roman" w:hAnsi="Times New Roman" w:eastAsia="宋体" w:cs="Times New Roman"/>
          <w:i/>
          <w:iCs/>
          <w:caps w:val="0"/>
          <w:color w:val="222222"/>
          <w:spacing w:val="0"/>
          <w:sz w:val="24"/>
          <w:szCs w:val="24"/>
          <w:shd w:val="clear" w:fill="FFFFFF"/>
        </w:rPr>
        <w:t>Morrow, GA: Clayton State University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(1), 1-18.</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Barmore, C. (2013). Tesla Unplugged: Automobile Franchise Laws and the Threat to the Electric Vehicle Market. </w:t>
      </w:r>
      <w:r>
        <w:rPr>
          <w:rFonts w:hint="default" w:ascii="Times New Roman" w:hAnsi="Times New Roman" w:eastAsia="宋体" w:cs="Times New Roman"/>
          <w:i/>
          <w:iCs/>
          <w:caps w:val="0"/>
          <w:color w:val="222222"/>
          <w:spacing w:val="0"/>
          <w:sz w:val="24"/>
          <w:szCs w:val="24"/>
          <w:shd w:val="clear" w:fill="FFFFFF"/>
        </w:rPr>
        <w:t>Va. JL &amp; Tech.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18</w:t>
      </w:r>
      <w:r>
        <w:rPr>
          <w:rFonts w:hint="default" w:ascii="Times New Roman" w:hAnsi="Times New Roman" w:eastAsia="宋体" w:cs="Times New Roman"/>
          <w:i w:val="0"/>
          <w:iCs w:val="0"/>
          <w:caps w:val="0"/>
          <w:color w:val="222222"/>
          <w:spacing w:val="0"/>
          <w:sz w:val="24"/>
          <w:szCs w:val="24"/>
          <w:shd w:val="clear" w:fill="FFFFFF"/>
        </w:rPr>
        <w:t>, 185.Chen, Y., &amp; Perez, Y. (2018). Business model design: lessons learned from Tesla Motors. </w:t>
      </w:r>
      <w:r>
        <w:rPr>
          <w:rFonts w:hint="default" w:ascii="Times New Roman" w:hAnsi="Times New Roman" w:eastAsia="宋体" w:cs="Times New Roman"/>
          <w:i/>
          <w:iCs/>
          <w:caps w:val="0"/>
          <w:color w:val="222222"/>
          <w:spacing w:val="0"/>
          <w:sz w:val="24"/>
          <w:szCs w:val="24"/>
          <w:shd w:val="clear" w:fill="FFFFFF"/>
        </w:rPr>
        <w:t>Towards a Sustainable Economy: Paradoxes and Trends in Energy and Transportation</w:t>
      </w:r>
      <w:r>
        <w:rPr>
          <w:rFonts w:hint="default" w:ascii="Times New Roman" w:hAnsi="Times New Roman" w:eastAsia="宋体" w:cs="Times New Roman"/>
          <w:i w:val="0"/>
          <w:iCs w:val="0"/>
          <w:caps w:val="0"/>
          <w:color w:val="222222"/>
          <w:spacing w:val="0"/>
          <w:sz w:val="24"/>
          <w:szCs w:val="24"/>
          <w:shd w:val="clear" w:fill="FFFFFF"/>
        </w:rPr>
        <w:t>, 53-69.</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Baur, D. G., &amp; Todorova, N. (2018). Automobile manufacturers, electric vehicles and the price of oil. </w:t>
      </w:r>
      <w:r>
        <w:rPr>
          <w:rFonts w:hint="default" w:ascii="Times New Roman" w:hAnsi="Times New Roman" w:eastAsia="宋体" w:cs="Times New Roman"/>
          <w:i/>
          <w:iCs/>
          <w:caps w:val="0"/>
          <w:color w:val="222222"/>
          <w:spacing w:val="0"/>
          <w:sz w:val="24"/>
          <w:szCs w:val="24"/>
          <w:shd w:val="clear" w:fill="FFFFFF"/>
        </w:rPr>
        <w:t>Energy Economics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74</w:t>
      </w:r>
      <w:r>
        <w:rPr>
          <w:rFonts w:hint="default" w:ascii="Times New Roman" w:hAnsi="Times New Roman" w:eastAsia="宋体" w:cs="Times New Roman"/>
          <w:i w:val="0"/>
          <w:iCs w:val="0"/>
          <w:caps w:val="0"/>
          <w:color w:val="222222"/>
          <w:spacing w:val="0"/>
          <w:sz w:val="24"/>
          <w:szCs w:val="24"/>
          <w:shd w:val="clear" w:fill="FFFFFF"/>
        </w:rPr>
        <w:t>, 252-262.</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Cornell, B. (2020). The Tesla stock split experiment. </w:t>
      </w:r>
      <w:r>
        <w:rPr>
          <w:rFonts w:hint="default" w:ascii="Times New Roman" w:hAnsi="Times New Roman" w:eastAsia="宋体" w:cs="Times New Roman"/>
          <w:i/>
          <w:iCs/>
          <w:caps w:val="0"/>
          <w:color w:val="222222"/>
          <w:spacing w:val="0"/>
          <w:sz w:val="24"/>
          <w:szCs w:val="24"/>
          <w:shd w:val="clear" w:fill="FFFFFF"/>
        </w:rPr>
        <w:t>Journal of Asset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21</w:t>
      </w:r>
      <w:r>
        <w:rPr>
          <w:rFonts w:hint="default" w:ascii="Times New Roman" w:hAnsi="Times New Roman" w:eastAsia="宋体" w:cs="Times New Roman"/>
          <w:i w:val="0"/>
          <w:iCs w:val="0"/>
          <w:caps w:val="0"/>
          <w:color w:val="222222"/>
          <w:spacing w:val="0"/>
          <w:sz w:val="24"/>
          <w:szCs w:val="24"/>
          <w:shd w:val="clear" w:fill="FFFFFF"/>
        </w:rPr>
        <w:t>, 647-651.</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Cheng, Y., &amp; Griffin, C. H. (2022). Tesla vs. its Stock Price:“Herd Theory” at work?. </w:t>
      </w:r>
      <w:r>
        <w:rPr>
          <w:rFonts w:hint="default" w:ascii="Times New Roman" w:hAnsi="Times New Roman" w:eastAsia="宋体" w:cs="Times New Roman"/>
          <w:i/>
          <w:iCs/>
          <w:caps w:val="0"/>
          <w:color w:val="222222"/>
          <w:spacing w:val="0"/>
          <w:sz w:val="24"/>
          <w:szCs w:val="24"/>
          <w:shd w:val="clear" w:fill="FFFFFF"/>
        </w:rPr>
        <w:t>Unpublished paper]. Southern University and A&amp;M College. https://www. subr. edu/assets/subr/COBJournal/Tesla--Cheng-and-Griffin--E-Journal. pdf</w:t>
      </w:r>
      <w:r>
        <w:rPr>
          <w:rFonts w:hint="default" w:ascii="Times New Roman" w:hAnsi="Times New Roman" w:eastAsia="宋体" w:cs="Times New Roman"/>
          <w:i w:val="0"/>
          <w:iCs w:val="0"/>
          <w:caps w:val="0"/>
          <w:color w:val="222222"/>
          <w:spacing w:val="0"/>
          <w:sz w:val="24"/>
          <w:szCs w:val="24"/>
          <w:shd w:val="clear" w:fill="FFFFFF"/>
        </w:rPr>
        <w:t>.</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Crane, D. A. (2015). Tesla, dealer franchise laws, and the politics of crony capitalism. </w:t>
      </w:r>
      <w:r>
        <w:rPr>
          <w:rFonts w:hint="default" w:ascii="Times New Roman" w:hAnsi="Times New Roman" w:eastAsia="宋体" w:cs="Times New Roman"/>
          <w:i/>
          <w:iCs/>
          <w:caps w:val="0"/>
          <w:color w:val="222222"/>
          <w:spacing w:val="0"/>
          <w:sz w:val="24"/>
          <w:szCs w:val="24"/>
          <w:shd w:val="clear" w:fill="FFFFFF"/>
        </w:rPr>
        <w:t>Iowa L. Rev.</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101</w:t>
      </w:r>
      <w:r>
        <w:rPr>
          <w:rFonts w:hint="default" w:ascii="Times New Roman" w:hAnsi="Times New Roman" w:eastAsia="宋体" w:cs="Times New Roman"/>
          <w:i w:val="0"/>
          <w:iCs w:val="0"/>
          <w:caps w:val="0"/>
          <w:color w:val="222222"/>
          <w:spacing w:val="0"/>
          <w:sz w:val="24"/>
          <w:szCs w:val="24"/>
          <w:shd w:val="clear" w:fill="FFFFFF"/>
        </w:rPr>
        <w:t>, 573.</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Dana, C. (2018). A Strategic Audit of Tesla, Inc.: Electrifying our Future or About to Run out of Energy?.</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Grover, P., &amp; Sahai, A. (2010, June). Shannon meets Tesla: Wireless information and power transfer. In </w:t>
      </w:r>
      <w:r>
        <w:rPr>
          <w:rFonts w:hint="default" w:ascii="Times New Roman" w:hAnsi="Times New Roman" w:eastAsia="宋体" w:cs="Times New Roman"/>
          <w:i/>
          <w:iCs/>
          <w:caps w:val="0"/>
          <w:color w:val="222222"/>
          <w:spacing w:val="0"/>
          <w:sz w:val="24"/>
          <w:szCs w:val="24"/>
          <w:shd w:val="clear" w:fill="FFFFFF"/>
        </w:rPr>
        <w:t>2010 IEEE international symposium on information theory</w:t>
      </w:r>
      <w:r>
        <w:rPr>
          <w:rFonts w:hint="default" w:ascii="Times New Roman" w:hAnsi="Times New Roman" w:eastAsia="宋体" w:cs="Times New Roman"/>
          <w:i w:val="0"/>
          <w:iCs w:val="0"/>
          <w:caps w:val="0"/>
          <w:color w:val="222222"/>
          <w:spacing w:val="0"/>
          <w:sz w:val="24"/>
          <w:szCs w:val="24"/>
          <w:shd w:val="clear" w:fill="FFFFFF"/>
        </w:rPr>
        <w:t> (pp. 2363-2367). IEEE.</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Hassan, A. K., Maniero, A. L., Van Tol, H., Saylor, C., &amp; Brunel, L. C. (1999). High-field emr: Recent cw developments at 25 tesla, and next-millennium challenges. </w:t>
      </w:r>
      <w:r>
        <w:rPr>
          <w:rFonts w:hint="default" w:ascii="Times New Roman" w:hAnsi="Times New Roman" w:eastAsia="宋体" w:cs="Times New Roman"/>
          <w:i/>
          <w:iCs/>
          <w:caps w:val="0"/>
          <w:color w:val="222222"/>
          <w:spacing w:val="0"/>
          <w:sz w:val="24"/>
          <w:szCs w:val="24"/>
          <w:shd w:val="clear" w:fill="FFFFFF"/>
        </w:rPr>
        <w:t>Applied Magnetic Resonance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w:t>
      </w:r>
      <w:r>
        <w:rPr>
          <w:rFonts w:hint="default" w:ascii="Times New Roman" w:hAnsi="Times New Roman" w:eastAsia="宋体" w:cs="Times New Roman"/>
          <w:i w:val="0"/>
          <w:iCs w:val="0"/>
          <w:caps w:val="0"/>
          <w:color w:val="222222"/>
          <w:spacing w:val="0"/>
          <w:sz w:val="24"/>
          <w:szCs w:val="24"/>
          <w:shd w:val="clear" w:fill="FFFFFF"/>
        </w:rPr>
        <w:t>, 299-308.</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Huang, Y. (2019, February). A Potential Company or Not: the Analysis of Tesla. In </w:t>
      </w:r>
      <w:r>
        <w:rPr>
          <w:rFonts w:hint="default" w:ascii="Times New Roman" w:hAnsi="Times New Roman" w:eastAsia="宋体" w:cs="Times New Roman"/>
          <w:i/>
          <w:iCs/>
          <w:caps w:val="0"/>
          <w:color w:val="222222"/>
          <w:spacing w:val="0"/>
          <w:sz w:val="24"/>
          <w:szCs w:val="24"/>
          <w:shd w:val="clear" w:fill="FFFFFF"/>
        </w:rPr>
        <w:t>2019 4th International Conference on Financial Innovation and Economic Development (ICFIED 2019)</w:t>
      </w:r>
      <w:r>
        <w:rPr>
          <w:rFonts w:hint="default" w:ascii="Times New Roman" w:hAnsi="Times New Roman" w:eastAsia="宋体" w:cs="Times New Roman"/>
          <w:i w:val="0"/>
          <w:iCs w:val="0"/>
          <w:caps w:val="0"/>
          <w:color w:val="222222"/>
          <w:spacing w:val="0"/>
          <w:sz w:val="24"/>
          <w:szCs w:val="24"/>
          <w:shd w:val="clear" w:fill="FFFFFF"/>
        </w:rPr>
        <w:t> (pp. 401-407). Atlantis Press.</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Liu, S. (2021, March). Competition and valuation: a case study of Tesla Motors. In </w:t>
      </w:r>
      <w:r>
        <w:rPr>
          <w:rFonts w:hint="default" w:ascii="Times New Roman" w:hAnsi="Times New Roman" w:eastAsia="宋体" w:cs="Times New Roman"/>
          <w:i/>
          <w:iCs/>
          <w:caps w:val="0"/>
          <w:color w:val="222222"/>
          <w:spacing w:val="0"/>
          <w:sz w:val="24"/>
          <w:szCs w:val="24"/>
          <w:shd w:val="clear" w:fill="FFFFFF"/>
        </w:rPr>
        <w:t>IOP Conference Series: Earth and Environmental Science</w:t>
      </w:r>
      <w:r>
        <w:rPr>
          <w:rFonts w:hint="default" w:ascii="Times New Roman" w:hAnsi="Times New Roman" w:eastAsia="宋体" w:cs="Times New Roman"/>
          <w:i w:val="0"/>
          <w:iCs w:val="0"/>
          <w:caps w:val="0"/>
          <w:color w:val="222222"/>
          <w:spacing w:val="0"/>
          <w:sz w:val="24"/>
          <w:szCs w:val="24"/>
          <w:shd w:val="clear" w:fill="FFFFFF"/>
        </w:rPr>
        <w:t> (Vol. 692, No. 2, p. 022103). IOP Publishing.</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Liu, J. H., &amp; Meng, Z. (2017). Innovation model analysis of new energy vehicles: taking Toyota, Tesla and BYD as an example. </w:t>
      </w:r>
      <w:r>
        <w:rPr>
          <w:rFonts w:hint="default" w:ascii="Times New Roman" w:hAnsi="Times New Roman" w:eastAsia="宋体" w:cs="Times New Roman"/>
          <w:i/>
          <w:iCs/>
          <w:caps w:val="0"/>
          <w:color w:val="222222"/>
          <w:spacing w:val="0"/>
          <w:sz w:val="24"/>
          <w:szCs w:val="24"/>
          <w:shd w:val="clear" w:fill="FFFFFF"/>
        </w:rPr>
        <w:t>Procedia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174</w:t>
      </w:r>
      <w:r>
        <w:rPr>
          <w:rFonts w:hint="default" w:ascii="Times New Roman" w:hAnsi="Times New Roman" w:eastAsia="宋体" w:cs="Times New Roman"/>
          <w:i w:val="0"/>
          <w:iCs w:val="0"/>
          <w:caps w:val="0"/>
          <w:color w:val="222222"/>
          <w:spacing w:val="0"/>
          <w:sz w:val="24"/>
          <w:szCs w:val="24"/>
          <w:shd w:val="clear" w:fill="FFFFFF"/>
        </w:rPr>
        <w:t>, 965-972.</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Liu, Y., &amp; Kokko, A. (2013). Who does what in China’s new energy vehicle industry?. </w:t>
      </w:r>
      <w:r>
        <w:rPr>
          <w:rFonts w:hint="default" w:ascii="Times New Roman" w:hAnsi="Times New Roman" w:eastAsia="宋体" w:cs="Times New Roman"/>
          <w:i/>
          <w:iCs/>
          <w:caps w:val="0"/>
          <w:color w:val="222222"/>
          <w:spacing w:val="0"/>
          <w:sz w:val="24"/>
          <w:szCs w:val="24"/>
          <w:shd w:val="clear" w:fill="FFFFFF"/>
        </w:rPr>
        <w:t>Energy policy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57</w:t>
      </w:r>
      <w:r>
        <w:rPr>
          <w:rFonts w:hint="default" w:ascii="Times New Roman" w:hAnsi="Times New Roman" w:eastAsia="宋体" w:cs="Times New Roman"/>
          <w:i w:val="0"/>
          <w:iCs w:val="0"/>
          <w:caps w:val="0"/>
          <w:color w:val="222222"/>
          <w:spacing w:val="0"/>
          <w:sz w:val="24"/>
          <w:szCs w:val="24"/>
          <w:shd w:val="clear" w:fill="FFFFFF"/>
        </w:rPr>
        <w:t>, 21-29.</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Lim, Y. X., &amp; Tan, C. (2022). Do negative events really have deteriorating effects on stock performance? A comparative study on Tesla (US) and Nio (China). </w:t>
      </w:r>
      <w:r>
        <w:rPr>
          <w:rFonts w:hint="default" w:ascii="Times New Roman" w:hAnsi="Times New Roman" w:eastAsia="宋体" w:cs="Times New Roman"/>
          <w:i/>
          <w:iCs/>
          <w:caps w:val="0"/>
          <w:color w:val="222222"/>
          <w:spacing w:val="0"/>
          <w:sz w:val="24"/>
          <w:szCs w:val="24"/>
          <w:shd w:val="clear" w:fill="FFFFFF"/>
        </w:rPr>
        <w:t>Journal of Asian Business and Economic Studies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29</w:t>
      </w:r>
      <w:r>
        <w:rPr>
          <w:rFonts w:hint="default" w:ascii="Times New Roman" w:hAnsi="Times New Roman" w:eastAsia="宋体" w:cs="Times New Roman"/>
          <w:i w:val="0"/>
          <w:iCs w:val="0"/>
          <w:caps w:val="0"/>
          <w:color w:val="222222"/>
          <w:spacing w:val="0"/>
          <w:sz w:val="24"/>
          <w:szCs w:val="24"/>
          <w:shd w:val="clear" w:fill="FFFFFF"/>
        </w:rPr>
        <w:t>(2), 105-119.</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Matthews, T., Hirve, M., Pan, Y., Dang, D., Rawar, E., &amp; Daim, T. U. (2020). Tesla Energy. </w:t>
      </w:r>
      <w:r>
        <w:rPr>
          <w:rFonts w:hint="default" w:ascii="Times New Roman" w:hAnsi="Times New Roman" w:eastAsia="宋体" w:cs="Times New Roman"/>
          <w:i/>
          <w:iCs/>
          <w:caps w:val="0"/>
          <w:color w:val="222222"/>
          <w:spacing w:val="0"/>
          <w:sz w:val="24"/>
          <w:szCs w:val="24"/>
          <w:shd w:val="clear" w:fill="FFFFFF"/>
        </w:rPr>
        <w:t>Innovation Management in the Intelligent World: Cases and Tools</w:t>
      </w:r>
      <w:r>
        <w:rPr>
          <w:rFonts w:hint="default" w:ascii="Times New Roman" w:hAnsi="Times New Roman" w:eastAsia="宋体" w:cs="Times New Roman"/>
          <w:i w:val="0"/>
          <w:iCs w:val="0"/>
          <w:caps w:val="0"/>
          <w:color w:val="222222"/>
          <w:spacing w:val="0"/>
          <w:sz w:val="24"/>
          <w:szCs w:val="24"/>
          <w:shd w:val="clear" w:fill="FFFFFF"/>
        </w:rPr>
        <w:t>, 233-249.</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Mangram, M. E. (2012). The globalization of Tesla Motors: a strategic marketing plan analysis. </w:t>
      </w:r>
      <w:r>
        <w:rPr>
          <w:rFonts w:hint="default" w:ascii="Times New Roman" w:hAnsi="Times New Roman" w:eastAsia="宋体" w:cs="Times New Roman"/>
          <w:i/>
          <w:iCs/>
          <w:caps w:val="0"/>
          <w:color w:val="222222"/>
          <w:spacing w:val="0"/>
          <w:sz w:val="24"/>
          <w:szCs w:val="24"/>
          <w:shd w:val="clear" w:fill="FFFFFF"/>
        </w:rPr>
        <w:t>Journal of Strategic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20</w:t>
      </w:r>
      <w:r>
        <w:rPr>
          <w:rFonts w:hint="default" w:ascii="Times New Roman" w:hAnsi="Times New Roman" w:eastAsia="宋体" w:cs="Times New Roman"/>
          <w:i w:val="0"/>
          <w:iCs w:val="0"/>
          <w:caps w:val="0"/>
          <w:color w:val="222222"/>
          <w:spacing w:val="0"/>
          <w:sz w:val="24"/>
          <w:szCs w:val="24"/>
          <w:shd w:val="clear" w:fill="FFFFFF"/>
        </w:rPr>
        <w:t>(4), 289-312.</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Perkins, G., &amp; Murmann, J. P. (2018). What does the success of Tesla mean for the future dynamics in the global automobile sector?. </w:t>
      </w:r>
      <w:r>
        <w:rPr>
          <w:rFonts w:hint="default" w:ascii="Times New Roman" w:hAnsi="Times New Roman" w:eastAsia="宋体" w:cs="Times New Roman"/>
          <w:i/>
          <w:iCs/>
          <w:caps w:val="0"/>
          <w:color w:val="222222"/>
          <w:spacing w:val="0"/>
          <w:sz w:val="24"/>
          <w:szCs w:val="24"/>
          <w:shd w:val="clear" w:fill="FFFFFF"/>
        </w:rPr>
        <w:t>Management and Organization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14</w:t>
      </w:r>
      <w:r>
        <w:rPr>
          <w:rFonts w:hint="default" w:ascii="Times New Roman" w:hAnsi="Times New Roman" w:eastAsia="宋体" w:cs="Times New Roman"/>
          <w:i w:val="0"/>
          <w:iCs w:val="0"/>
          <w:caps w:val="0"/>
          <w:color w:val="222222"/>
          <w:spacing w:val="0"/>
          <w:sz w:val="24"/>
          <w:szCs w:val="24"/>
          <w:shd w:val="clear" w:fill="FFFFFF"/>
        </w:rPr>
        <w:t>(3), 471-480.</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Ren, J. (2018). New energy vehicle in China for sustainable development: Analysis of success factors and strategic implications. </w:t>
      </w:r>
      <w:r>
        <w:rPr>
          <w:rFonts w:hint="default" w:ascii="Times New Roman" w:hAnsi="Times New Roman" w:eastAsia="宋体" w:cs="Times New Roman"/>
          <w:i/>
          <w:iCs/>
          <w:caps w:val="0"/>
          <w:color w:val="222222"/>
          <w:spacing w:val="0"/>
          <w:sz w:val="24"/>
          <w:szCs w:val="24"/>
          <w:shd w:val="clear" w:fill="FFFFFF"/>
        </w:rPr>
        <w:t>Transportation Research Part D: Transport and Environment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59</w:t>
      </w:r>
      <w:r>
        <w:rPr>
          <w:rFonts w:hint="default" w:ascii="Times New Roman" w:hAnsi="Times New Roman" w:eastAsia="宋体" w:cs="Times New Roman"/>
          <w:i w:val="0"/>
          <w:iCs w:val="0"/>
          <w:caps w:val="0"/>
          <w:color w:val="222222"/>
          <w:spacing w:val="0"/>
          <w:sz w:val="24"/>
          <w:szCs w:val="24"/>
          <w:shd w:val="clear" w:fill="FFFFFF"/>
        </w:rPr>
        <w:t>, 268-288.</w:t>
      </w:r>
    </w:p>
    <w:p>
      <w:pPr>
        <w:numPr>
          <w:ilvl w:val="0"/>
          <w:numId w:val="0"/>
        </w:numPr>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Stobbe Jr, J. J. (2019). A Strategic Audit of Tesla.</w:t>
      </w:r>
    </w:p>
    <w:p>
      <w:pPr>
        <w:numPr>
          <w:ilvl w:val="0"/>
          <w:numId w:val="0"/>
        </w:numPr>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Subramanian, R. (2023). Tesla, Inc.: addressing ESG challenges. </w:t>
      </w:r>
      <w:r>
        <w:rPr>
          <w:rFonts w:hint="default" w:ascii="Times New Roman" w:hAnsi="Times New Roman" w:eastAsia="宋体" w:cs="Times New Roman"/>
          <w:i/>
          <w:iCs/>
          <w:caps w:val="0"/>
          <w:color w:val="222222"/>
          <w:spacing w:val="0"/>
          <w:sz w:val="24"/>
          <w:szCs w:val="24"/>
          <w:shd w:val="clear" w:fill="FFFFFF"/>
        </w:rPr>
        <w:t>The CASE Journal</w:t>
      </w:r>
      <w:r>
        <w:rPr>
          <w:rFonts w:hint="default" w:ascii="Times New Roman" w:hAnsi="Times New Roman" w:eastAsia="宋体" w:cs="Times New Roman"/>
          <w:i w:val="0"/>
          <w:iCs w:val="0"/>
          <w:caps w:val="0"/>
          <w:color w:val="222222"/>
          <w:spacing w:val="0"/>
          <w:sz w:val="24"/>
          <w:szCs w:val="24"/>
          <w:shd w:val="clear" w:fill="FFFFFF"/>
        </w:rPr>
        <w:t>.</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Strauss, N., &amp; Smith, C. H. (2019). Buying on rumors: how financial news flows affect the share price of Tesla. </w:t>
      </w:r>
      <w:r>
        <w:rPr>
          <w:rFonts w:hint="default" w:ascii="Times New Roman" w:hAnsi="Times New Roman" w:eastAsia="宋体" w:cs="Times New Roman"/>
          <w:i/>
          <w:iCs/>
          <w:caps w:val="0"/>
          <w:color w:val="222222"/>
          <w:spacing w:val="0"/>
          <w:sz w:val="24"/>
          <w:szCs w:val="24"/>
          <w:shd w:val="clear" w:fill="FFFFFF"/>
        </w:rPr>
        <w:t>Corporate Communications: An International Journal</w:t>
      </w:r>
      <w:r>
        <w:rPr>
          <w:rFonts w:hint="default" w:ascii="Times New Roman" w:hAnsi="Times New Roman" w:eastAsia="宋体" w:cs="Times New Roman"/>
          <w:i w:val="0"/>
          <w:iCs w:val="0"/>
          <w:caps w:val="0"/>
          <w:color w:val="222222"/>
          <w:spacing w:val="0"/>
          <w:sz w:val="24"/>
          <w:szCs w:val="24"/>
          <w:shd w:val="clear" w:fill="FFFFFF"/>
        </w:rPr>
        <w:t>.</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Thomas, V. J., &amp; Maine, E. (2019). Market entry strategies for electric vehicle start-ups in the automotive industry–Lessons from Tesla Motors. </w:t>
      </w:r>
      <w:r>
        <w:rPr>
          <w:rFonts w:hint="default" w:ascii="Times New Roman" w:hAnsi="Times New Roman" w:eastAsia="宋体" w:cs="Times New Roman"/>
          <w:i/>
          <w:iCs/>
          <w:caps w:val="0"/>
          <w:color w:val="222222"/>
          <w:spacing w:val="0"/>
          <w:sz w:val="24"/>
          <w:szCs w:val="24"/>
          <w:shd w:val="clear" w:fill="FFFFFF"/>
        </w:rPr>
        <w:t>Journal of Cleaner Production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235</w:t>
      </w:r>
      <w:r>
        <w:rPr>
          <w:rFonts w:hint="default" w:ascii="Times New Roman" w:hAnsi="Times New Roman" w:eastAsia="宋体" w:cs="Times New Roman"/>
          <w:i w:val="0"/>
          <w:iCs w:val="0"/>
          <w:caps w:val="0"/>
          <w:color w:val="222222"/>
          <w:spacing w:val="0"/>
          <w:sz w:val="24"/>
          <w:szCs w:val="24"/>
          <w:shd w:val="clear" w:fill="FFFFFF"/>
        </w:rPr>
        <w:t>, 653-663.</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Välikangas, L. (2018). Forum on Tesla and the global automotive industry. </w:t>
      </w:r>
      <w:r>
        <w:rPr>
          <w:rFonts w:hint="default" w:ascii="Times New Roman" w:hAnsi="Times New Roman" w:eastAsia="宋体" w:cs="Times New Roman"/>
          <w:i/>
          <w:iCs/>
          <w:caps w:val="0"/>
          <w:color w:val="222222"/>
          <w:spacing w:val="0"/>
          <w:sz w:val="24"/>
          <w:szCs w:val="24"/>
          <w:shd w:val="clear" w:fill="FFFFFF"/>
        </w:rPr>
        <w:t>Management and Organization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14</w:t>
      </w:r>
      <w:r>
        <w:rPr>
          <w:rFonts w:hint="default" w:ascii="Times New Roman" w:hAnsi="Times New Roman" w:eastAsia="宋体" w:cs="Times New Roman"/>
          <w:i w:val="0"/>
          <w:iCs w:val="0"/>
          <w:caps w:val="0"/>
          <w:color w:val="222222"/>
          <w:spacing w:val="0"/>
          <w:sz w:val="24"/>
          <w:szCs w:val="24"/>
          <w:shd w:val="clear" w:fill="FFFFFF"/>
        </w:rPr>
        <w:t>(3), 467-470.</w:t>
      </w:r>
    </w:p>
    <w:p>
      <w:pPr>
        <w:numPr>
          <w:ilvl w:val="0"/>
          <w:numId w:val="0"/>
        </w:numPr>
        <w:ind w:left="960" w:hanging="960" w:hangingChars="400"/>
        <w:outlineLvl w:val="0"/>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Zhang, H., &amp; Cai, G. (2020). Subsidy strategy on new-energy vehicle based on incomplete information: A Case in China. </w:t>
      </w:r>
      <w:r>
        <w:rPr>
          <w:rFonts w:hint="default" w:ascii="Times New Roman" w:hAnsi="Times New Roman" w:eastAsia="宋体" w:cs="Times New Roman"/>
          <w:i/>
          <w:iCs/>
          <w:caps w:val="0"/>
          <w:color w:val="222222"/>
          <w:spacing w:val="0"/>
          <w:sz w:val="24"/>
          <w:szCs w:val="24"/>
          <w:shd w:val="clear" w:fill="FFFFFF"/>
        </w:rPr>
        <w:t>Physica A: Statistical Mechanics and its Applications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541</w:t>
      </w:r>
      <w:r>
        <w:rPr>
          <w:rFonts w:hint="default" w:ascii="Times New Roman" w:hAnsi="Times New Roman" w:eastAsia="宋体" w:cs="Times New Roman"/>
          <w:i w:val="0"/>
          <w:iCs w:val="0"/>
          <w:caps w:val="0"/>
          <w:color w:val="222222"/>
          <w:spacing w:val="0"/>
          <w:sz w:val="24"/>
          <w:szCs w:val="24"/>
          <w:shd w:val="clear" w:fill="FFFFFF"/>
        </w:rPr>
        <w:t>, 123370.</w:t>
      </w: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rFonts w:hint="eastAsia"/>
        <w:lang w:eastAsia="zh-CN"/>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2</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VkNmEzMjgzODY5OGZjYTkxMjIyY2Y2MDdjNjk3OTMifQ=="/>
  </w:docVars>
  <w:rsids>
    <w:rsidRoot w:val="61A73652"/>
    <w:rsid w:val="04F54777"/>
    <w:rsid w:val="06141A11"/>
    <w:rsid w:val="0AB57BC6"/>
    <w:rsid w:val="3BCA7E1C"/>
    <w:rsid w:val="48C84DD2"/>
    <w:rsid w:val="57BD3D02"/>
    <w:rsid w:val="61A73652"/>
    <w:rsid w:val="77650644"/>
    <w:rsid w:val="78A63D70"/>
    <w:rsid w:val="7B981D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customStyle="1" w:styleId="7">
    <w:name w:val="WPSOffice手动目录 1"/>
    <w:qFormat/>
    <w:uiPriority w:val="0"/>
    <w:pPr>
      <w:ind w:leftChars="0"/>
    </w:pPr>
    <w:rPr>
      <w:rFonts w:ascii="Times New Roman" w:hAnsi="Times New Roman" w:eastAsia="宋体" w:cs="Times New Roman"/>
      <w:sz w:val="20"/>
      <w:szCs w:val="20"/>
    </w:rPr>
  </w:style>
  <w:style w:type="paragraph" w:customStyle="1" w:styleId="8">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3269</Words>
  <Characters>18793</Characters>
  <Lines>0</Lines>
  <Paragraphs>0</Paragraphs>
  <TotalTime>4</TotalTime>
  <ScaleCrop>false</ScaleCrop>
  <LinksUpToDate>false</LinksUpToDate>
  <CharactersWithSpaces>21972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2022-12-16T06:03:00Z</dcterms:created>
  <dc:creator>文档存本地丢失不负责</dc:creator>
  <cp:lastModifiedBy>13776</cp:lastModifiedBy>
  <dcterms:modified xsi:type="dcterms:W3CDTF">2023-04-24T20:16:23Z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C76B384D24904F9F83921A2F909BE1E6_13</vt:lpwstr>
  </property>
</Properties>
</file>