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4DF107" w14:textId="241F8355" w:rsidR="00507B5B" w:rsidRDefault="004B5B3A">
      <w:pPr>
        <w:spacing w:line="480" w:lineRule="auto"/>
        <w:jc w:val="both"/>
      </w:pPr>
      <w:r>
        <w:rPr>
          <w:sz w:val="24"/>
          <w:szCs w:val="24"/>
          <w:u w:val="single"/>
        </w:rPr>
        <w:t>Assessment Component 2</w:t>
      </w:r>
    </w:p>
    <w:p w14:paraId="307B71D4" w14:textId="40D7169D" w:rsidR="00B40EE0" w:rsidRDefault="00B40EE0" w:rsidP="004B5B3A">
      <w:pPr>
        <w:spacing w:line="480" w:lineRule="auto"/>
        <w:jc w:val="both"/>
        <w:rPr>
          <w:sz w:val="24"/>
          <w:szCs w:val="24"/>
        </w:rPr>
      </w:pPr>
      <w:r>
        <w:rPr>
          <w:sz w:val="24"/>
          <w:szCs w:val="24"/>
        </w:rPr>
        <w:t>Y</w:t>
      </w:r>
      <w:r w:rsidR="00814F25">
        <w:rPr>
          <w:sz w:val="24"/>
          <w:szCs w:val="24"/>
        </w:rPr>
        <w:t>outh workers need to acquire certain essential skills, knowledge and understanding to be</w:t>
      </w:r>
      <w:r w:rsidR="00013CFF">
        <w:rPr>
          <w:sz w:val="24"/>
          <w:szCs w:val="24"/>
        </w:rPr>
        <w:t>come</w:t>
      </w:r>
      <w:r w:rsidR="00814F25">
        <w:rPr>
          <w:sz w:val="24"/>
          <w:szCs w:val="24"/>
        </w:rPr>
        <w:t xml:space="preserve"> effective</w:t>
      </w:r>
      <w:r w:rsidR="001A1B37">
        <w:rPr>
          <w:sz w:val="24"/>
          <w:szCs w:val="24"/>
        </w:rPr>
        <w:t xml:space="preserve"> (UWTSD, 2018)</w:t>
      </w:r>
      <w:r w:rsidR="00814F25">
        <w:rPr>
          <w:sz w:val="24"/>
          <w:szCs w:val="24"/>
        </w:rPr>
        <w:t>.   Apart from understanding and applying the principles, purposes and values of youth work in their own job role, they must be able to do this within the framework of the law and youth work policy at all levels.  Further, they must be able to reflect upon their own practice</w:t>
      </w:r>
      <w:r>
        <w:rPr>
          <w:sz w:val="24"/>
          <w:szCs w:val="24"/>
        </w:rPr>
        <w:t>,</w:t>
      </w:r>
      <w:r w:rsidR="00814F25">
        <w:rPr>
          <w:sz w:val="24"/>
          <w:szCs w:val="24"/>
        </w:rPr>
        <w:t xml:space="preserve"> </w:t>
      </w:r>
      <w:r>
        <w:rPr>
          <w:sz w:val="24"/>
          <w:szCs w:val="24"/>
        </w:rPr>
        <w:t xml:space="preserve">adhere to guidelines regarding </w:t>
      </w:r>
      <w:r w:rsidR="00814F25">
        <w:rPr>
          <w:sz w:val="24"/>
          <w:szCs w:val="24"/>
        </w:rPr>
        <w:t>ethical</w:t>
      </w:r>
      <w:r>
        <w:rPr>
          <w:sz w:val="24"/>
          <w:szCs w:val="24"/>
        </w:rPr>
        <w:t xml:space="preserve"> practice</w:t>
      </w:r>
      <w:r w:rsidR="00814F25">
        <w:rPr>
          <w:sz w:val="24"/>
          <w:szCs w:val="24"/>
        </w:rPr>
        <w:t xml:space="preserve"> and </w:t>
      </w:r>
      <w:r>
        <w:rPr>
          <w:sz w:val="24"/>
          <w:szCs w:val="24"/>
        </w:rPr>
        <w:t>understand the different perspectives of various stakeholders regarding their work.</w:t>
      </w:r>
      <w:r w:rsidR="00D05894">
        <w:rPr>
          <w:sz w:val="24"/>
          <w:szCs w:val="24"/>
        </w:rPr>
        <w:t xml:space="preserve">  Two of the most important areas of skill and knowledge </w:t>
      </w:r>
      <w:r w:rsidR="00013CFF">
        <w:rPr>
          <w:sz w:val="24"/>
          <w:szCs w:val="24"/>
        </w:rPr>
        <w:t>needed by</w:t>
      </w:r>
      <w:r w:rsidR="00D05894">
        <w:rPr>
          <w:sz w:val="24"/>
          <w:szCs w:val="24"/>
        </w:rPr>
        <w:t xml:space="preserve"> youth workers are described here: first, the ability to manage boundaries and second, </w:t>
      </w:r>
      <w:r w:rsidR="00013CFF">
        <w:rPr>
          <w:sz w:val="24"/>
          <w:szCs w:val="24"/>
        </w:rPr>
        <w:t>promoting all elements of safeguarding in their work</w:t>
      </w:r>
      <w:r w:rsidR="00D05894">
        <w:rPr>
          <w:sz w:val="24"/>
          <w:szCs w:val="24"/>
        </w:rPr>
        <w:t xml:space="preserve">. </w:t>
      </w:r>
    </w:p>
    <w:p w14:paraId="168B5835" w14:textId="7B3E3EA4" w:rsidR="00013CFF" w:rsidRPr="00013CFF" w:rsidRDefault="00013CFF" w:rsidP="004B5B3A">
      <w:pPr>
        <w:spacing w:line="480" w:lineRule="auto"/>
        <w:jc w:val="both"/>
        <w:rPr>
          <w:sz w:val="24"/>
          <w:szCs w:val="24"/>
          <w:u w:val="single"/>
        </w:rPr>
      </w:pPr>
      <w:r w:rsidRPr="00013CFF">
        <w:rPr>
          <w:sz w:val="24"/>
          <w:szCs w:val="24"/>
          <w:u w:val="single"/>
        </w:rPr>
        <w:t>Managing Boundaries</w:t>
      </w:r>
    </w:p>
    <w:p w14:paraId="69C7D2AE" w14:textId="77777777" w:rsidR="00AD1345" w:rsidRDefault="00DC1F50" w:rsidP="004B5B3A">
      <w:pPr>
        <w:spacing w:line="480" w:lineRule="auto"/>
        <w:jc w:val="both"/>
        <w:rPr>
          <w:sz w:val="24"/>
          <w:szCs w:val="24"/>
        </w:rPr>
      </w:pPr>
      <w:r>
        <w:rPr>
          <w:sz w:val="24"/>
          <w:szCs w:val="24"/>
        </w:rPr>
        <w:t>According to the Oxford Compact English Dictionary (1996), a boundary is ‘a line marking the limits of an area, territory etc.’.  Here</w:t>
      </w:r>
      <w:r w:rsidR="00AD1345">
        <w:rPr>
          <w:sz w:val="24"/>
          <w:szCs w:val="24"/>
        </w:rPr>
        <w:t>,</w:t>
      </w:r>
      <w:r>
        <w:rPr>
          <w:sz w:val="24"/>
          <w:szCs w:val="24"/>
        </w:rPr>
        <w:t xml:space="preserve"> we are talking about metaphorical boundaries that </w:t>
      </w:r>
      <w:r w:rsidR="00AD1345">
        <w:rPr>
          <w:sz w:val="24"/>
          <w:szCs w:val="24"/>
        </w:rPr>
        <w:t>define the limits of what is and is not acceptable behaviour in a youth work setting, when working with y</w:t>
      </w:r>
      <w:r w:rsidR="003D1E87">
        <w:rPr>
          <w:sz w:val="24"/>
          <w:szCs w:val="24"/>
        </w:rPr>
        <w:t xml:space="preserve">oung people </w:t>
      </w:r>
      <w:r w:rsidR="001A1B37">
        <w:rPr>
          <w:sz w:val="24"/>
          <w:szCs w:val="24"/>
        </w:rPr>
        <w:t>a</w:t>
      </w:r>
      <w:r w:rsidR="003D1E87">
        <w:rPr>
          <w:sz w:val="24"/>
          <w:szCs w:val="24"/>
        </w:rPr>
        <w:t xml:space="preserve">nd others.  </w:t>
      </w:r>
    </w:p>
    <w:p w14:paraId="05BE90B5" w14:textId="049BABCA" w:rsidR="00171E0A" w:rsidRDefault="003D1E87" w:rsidP="004B5B3A">
      <w:pPr>
        <w:spacing w:line="480" w:lineRule="auto"/>
        <w:jc w:val="both"/>
        <w:rPr>
          <w:sz w:val="24"/>
          <w:szCs w:val="24"/>
        </w:rPr>
      </w:pPr>
      <w:r>
        <w:rPr>
          <w:sz w:val="24"/>
          <w:szCs w:val="24"/>
        </w:rPr>
        <w:t xml:space="preserve">It is important to </w:t>
      </w:r>
      <w:r w:rsidR="00AD1345">
        <w:rPr>
          <w:sz w:val="24"/>
          <w:szCs w:val="24"/>
        </w:rPr>
        <w:t xml:space="preserve">say </w:t>
      </w:r>
      <w:r>
        <w:rPr>
          <w:sz w:val="24"/>
          <w:szCs w:val="24"/>
        </w:rPr>
        <w:t xml:space="preserve">that professional boundaries </w:t>
      </w:r>
      <w:r w:rsidR="00AD1345">
        <w:rPr>
          <w:sz w:val="24"/>
          <w:szCs w:val="24"/>
        </w:rPr>
        <w:t xml:space="preserve">can </w:t>
      </w:r>
      <w:r>
        <w:rPr>
          <w:sz w:val="24"/>
          <w:szCs w:val="24"/>
        </w:rPr>
        <w:t>vary according to context; youth workers will deal with a variety of people as part of their role: young people, colleagues, volunteers, parents, managers, trustees and external stakeholders.</w:t>
      </w:r>
      <w:r w:rsidR="00637ACC">
        <w:rPr>
          <w:sz w:val="24"/>
          <w:szCs w:val="24"/>
        </w:rPr>
        <w:t xml:space="preserve">  The values which underpin youth work (LSIS, 2012) include recognising, respecting and being actively responsive</w:t>
      </w:r>
      <w:r w:rsidR="00374D8D">
        <w:rPr>
          <w:sz w:val="24"/>
          <w:szCs w:val="24"/>
        </w:rPr>
        <w:t xml:space="preserve"> </w:t>
      </w:r>
      <w:r w:rsidR="00637ACC">
        <w:rPr>
          <w:sz w:val="24"/>
          <w:szCs w:val="24"/>
        </w:rPr>
        <w:t>to ‘the wider networks of peers, communities, families and cultures which are important to young people’</w:t>
      </w:r>
      <w:r w:rsidR="00AD1345">
        <w:rPr>
          <w:sz w:val="24"/>
          <w:szCs w:val="24"/>
        </w:rPr>
        <w:t xml:space="preserve"> as well as to young people themselves</w:t>
      </w:r>
      <w:r w:rsidR="00637ACC">
        <w:rPr>
          <w:sz w:val="24"/>
          <w:szCs w:val="24"/>
        </w:rPr>
        <w:t xml:space="preserve">.  </w:t>
      </w:r>
      <w:r w:rsidR="00374D8D">
        <w:rPr>
          <w:sz w:val="24"/>
          <w:szCs w:val="24"/>
        </w:rPr>
        <w:t>Good interpersonal skills and p</w:t>
      </w:r>
      <w:r w:rsidR="00637ACC">
        <w:rPr>
          <w:sz w:val="24"/>
          <w:szCs w:val="24"/>
        </w:rPr>
        <w:t>rofessionalism</w:t>
      </w:r>
      <w:r w:rsidR="00374D8D">
        <w:rPr>
          <w:sz w:val="24"/>
          <w:szCs w:val="24"/>
        </w:rPr>
        <w:t xml:space="preserve"> are essential characteristics of an effective youth and community worker, and</w:t>
      </w:r>
      <w:r w:rsidR="00C06C8D">
        <w:rPr>
          <w:sz w:val="24"/>
          <w:szCs w:val="24"/>
        </w:rPr>
        <w:t xml:space="preserve"> vital when it comes to managing boundaries.  These necessary skills</w:t>
      </w:r>
      <w:r w:rsidR="00374D8D">
        <w:rPr>
          <w:sz w:val="24"/>
          <w:szCs w:val="24"/>
        </w:rPr>
        <w:t xml:space="preserve"> are </w:t>
      </w:r>
      <w:r w:rsidR="00171E0A">
        <w:rPr>
          <w:sz w:val="24"/>
          <w:szCs w:val="24"/>
        </w:rPr>
        <w:t xml:space="preserve">reinforced </w:t>
      </w:r>
      <w:r w:rsidR="00374D8D">
        <w:rPr>
          <w:sz w:val="24"/>
          <w:szCs w:val="24"/>
        </w:rPr>
        <w:t xml:space="preserve">in the </w:t>
      </w:r>
      <w:r w:rsidR="00374D8D">
        <w:rPr>
          <w:sz w:val="24"/>
          <w:szCs w:val="24"/>
        </w:rPr>
        <w:lastRenderedPageBreak/>
        <w:t>workplace by policies such as ‘Code of Conduct’</w:t>
      </w:r>
      <w:r w:rsidR="00171E0A">
        <w:rPr>
          <w:sz w:val="24"/>
          <w:szCs w:val="24"/>
        </w:rPr>
        <w:t xml:space="preserve">, </w:t>
      </w:r>
      <w:r w:rsidR="00374D8D">
        <w:rPr>
          <w:sz w:val="24"/>
          <w:szCs w:val="24"/>
        </w:rPr>
        <w:t>and practices such as staff induction</w:t>
      </w:r>
      <w:r w:rsidR="00171E0A">
        <w:rPr>
          <w:sz w:val="24"/>
          <w:szCs w:val="24"/>
        </w:rPr>
        <w:t>,</w:t>
      </w:r>
      <w:r w:rsidR="00374D8D">
        <w:rPr>
          <w:sz w:val="24"/>
          <w:szCs w:val="24"/>
        </w:rPr>
        <w:t xml:space="preserve"> training</w:t>
      </w:r>
      <w:r w:rsidR="00171E0A">
        <w:rPr>
          <w:sz w:val="24"/>
          <w:szCs w:val="24"/>
        </w:rPr>
        <w:t xml:space="preserve"> and performance management</w:t>
      </w:r>
      <w:r w:rsidR="00374D8D">
        <w:rPr>
          <w:sz w:val="24"/>
          <w:szCs w:val="24"/>
        </w:rPr>
        <w:t>.</w:t>
      </w:r>
    </w:p>
    <w:p w14:paraId="79E0AA68" w14:textId="766AD8C3" w:rsidR="00A029C9" w:rsidRDefault="00171E0A" w:rsidP="004B5B3A">
      <w:pPr>
        <w:spacing w:line="480" w:lineRule="auto"/>
        <w:jc w:val="both"/>
        <w:rPr>
          <w:sz w:val="24"/>
          <w:szCs w:val="24"/>
        </w:rPr>
      </w:pPr>
      <w:r>
        <w:rPr>
          <w:sz w:val="24"/>
          <w:szCs w:val="24"/>
        </w:rPr>
        <w:t xml:space="preserve">When working with young people it is important to be able to balance approachability with professionalism (Sapin, 2013).  Youth workers need to be able to </w:t>
      </w:r>
      <w:r w:rsidR="00412B40">
        <w:rPr>
          <w:sz w:val="24"/>
          <w:szCs w:val="24"/>
        </w:rPr>
        <w:t>communicate without ambiguity, describing what does and does not constitute acceptable behaviour.  This also needs to be consistent, so that boundaries are clear and young people can trust youth workers not to ‘move the goalposts’.  Sapin (2013) also describes how it is alright to disagree with young people, for youth workers’ opinions to be expressed, and how indeed this might spark valuable debate in which controversial issues may be explored with young people.  She describes this as ‘democratic dialogue’ where everyone’s views are given air time.</w:t>
      </w:r>
      <w:r w:rsidR="00A029C9">
        <w:rPr>
          <w:sz w:val="24"/>
          <w:szCs w:val="24"/>
        </w:rPr>
        <w:t xml:space="preserve">  Sapin (2013) emphasises that while it is important to be supportive and attentive to young people, </w:t>
      </w:r>
      <w:r w:rsidR="00C06C8D">
        <w:rPr>
          <w:sz w:val="24"/>
          <w:szCs w:val="24"/>
        </w:rPr>
        <w:t>becoming</w:t>
      </w:r>
      <w:r w:rsidR="00A029C9">
        <w:rPr>
          <w:sz w:val="24"/>
          <w:szCs w:val="24"/>
        </w:rPr>
        <w:t xml:space="preserve"> overly close</w:t>
      </w:r>
      <w:r w:rsidR="00C06C8D">
        <w:rPr>
          <w:sz w:val="24"/>
          <w:szCs w:val="24"/>
        </w:rPr>
        <w:t>ly</w:t>
      </w:r>
      <w:r w:rsidR="00A029C9">
        <w:rPr>
          <w:sz w:val="24"/>
          <w:szCs w:val="24"/>
        </w:rPr>
        <w:t xml:space="preserve"> involve</w:t>
      </w:r>
      <w:r w:rsidR="00C06C8D">
        <w:rPr>
          <w:sz w:val="24"/>
          <w:szCs w:val="24"/>
        </w:rPr>
        <w:t>d</w:t>
      </w:r>
      <w:r w:rsidR="00A029C9">
        <w:rPr>
          <w:sz w:val="24"/>
          <w:szCs w:val="24"/>
        </w:rPr>
        <w:t xml:space="preserve"> in their personal lives</w:t>
      </w:r>
      <w:r w:rsidR="00C06C8D">
        <w:rPr>
          <w:sz w:val="24"/>
          <w:szCs w:val="24"/>
        </w:rPr>
        <w:t xml:space="preserve"> is a boundary that must not be crossed</w:t>
      </w:r>
      <w:r w:rsidR="00A029C9">
        <w:rPr>
          <w:sz w:val="24"/>
          <w:szCs w:val="24"/>
        </w:rPr>
        <w:t>.</w:t>
      </w:r>
    </w:p>
    <w:p w14:paraId="31C79D04" w14:textId="0390515E" w:rsidR="00EC549A" w:rsidRDefault="002E05F9" w:rsidP="004B5B3A">
      <w:pPr>
        <w:spacing w:line="480" w:lineRule="auto"/>
        <w:jc w:val="both"/>
        <w:rPr>
          <w:sz w:val="24"/>
          <w:szCs w:val="24"/>
        </w:rPr>
      </w:pPr>
      <w:r>
        <w:rPr>
          <w:sz w:val="24"/>
          <w:szCs w:val="24"/>
        </w:rPr>
        <w:t xml:space="preserve">Geldard, D. (2009) says </w:t>
      </w:r>
      <w:r w:rsidR="00A029C9">
        <w:rPr>
          <w:sz w:val="24"/>
          <w:szCs w:val="24"/>
        </w:rPr>
        <w:t>‘Some young people</w:t>
      </w:r>
      <w:r w:rsidR="00223160">
        <w:rPr>
          <w:sz w:val="24"/>
          <w:szCs w:val="24"/>
        </w:rPr>
        <w:t xml:space="preserve"> have difficulty in maintaining appropriate personal boundaries</w:t>
      </w:r>
      <w:r>
        <w:rPr>
          <w:sz w:val="24"/>
          <w:szCs w:val="24"/>
        </w:rPr>
        <w:t>’, and talks about Walker-Hirsch and Champagne’s (1991) ‘circle concept’ which is a psycho-educational strategy that can help young people to manage their personal space</w:t>
      </w:r>
      <w:r w:rsidR="00EC549A">
        <w:rPr>
          <w:sz w:val="24"/>
          <w:szCs w:val="24"/>
        </w:rPr>
        <w:t xml:space="preserve"> and interaction with others</w:t>
      </w:r>
      <w:r>
        <w:rPr>
          <w:sz w:val="24"/>
          <w:szCs w:val="24"/>
        </w:rPr>
        <w:t>.</w:t>
      </w:r>
      <w:r w:rsidR="00EC549A">
        <w:rPr>
          <w:sz w:val="24"/>
          <w:szCs w:val="24"/>
        </w:rPr>
        <w:t xml:space="preserve">  Designed for young people with additional learning needs, this model is a very good example of how boundaries can be expressed </w:t>
      </w:r>
      <w:r w:rsidR="000F6282">
        <w:rPr>
          <w:sz w:val="24"/>
          <w:szCs w:val="24"/>
        </w:rPr>
        <w:t xml:space="preserve">and explained </w:t>
      </w:r>
      <w:r w:rsidR="00EC549A">
        <w:rPr>
          <w:sz w:val="24"/>
          <w:szCs w:val="24"/>
        </w:rPr>
        <w:t>clearly.</w:t>
      </w:r>
    </w:p>
    <w:p w14:paraId="44E92473" w14:textId="0E6063EA" w:rsidR="00103BD7" w:rsidRDefault="00EC549A" w:rsidP="004B5B3A">
      <w:pPr>
        <w:spacing w:line="480" w:lineRule="auto"/>
        <w:jc w:val="both"/>
        <w:rPr>
          <w:sz w:val="24"/>
          <w:szCs w:val="24"/>
        </w:rPr>
      </w:pPr>
      <w:r>
        <w:rPr>
          <w:sz w:val="24"/>
          <w:szCs w:val="24"/>
        </w:rPr>
        <w:t>In reflecting on my own experiences of dealing with young people’s challenging behaviour</w:t>
      </w:r>
      <w:r w:rsidR="001443EA">
        <w:rPr>
          <w:sz w:val="24"/>
          <w:szCs w:val="24"/>
        </w:rPr>
        <w:t xml:space="preserve"> and managing boundaries</w:t>
      </w:r>
      <w:r>
        <w:rPr>
          <w:sz w:val="24"/>
          <w:szCs w:val="24"/>
        </w:rPr>
        <w:t>, I have realised that I still have a lot to learn and new skills to acquire.</w:t>
      </w:r>
      <w:r w:rsidR="001443EA">
        <w:rPr>
          <w:sz w:val="24"/>
          <w:szCs w:val="24"/>
        </w:rPr>
        <w:t xml:space="preserve">  </w:t>
      </w:r>
      <w:r w:rsidR="00CA5659">
        <w:rPr>
          <w:sz w:val="24"/>
          <w:szCs w:val="24"/>
        </w:rPr>
        <w:t>To ‘overlook’ swearing, or to ‘ignore’ inappropriate invasion of your personal space, is not good enough.  S</w:t>
      </w:r>
      <w:r w:rsidR="001443EA">
        <w:rPr>
          <w:sz w:val="24"/>
          <w:szCs w:val="24"/>
        </w:rPr>
        <w:t xml:space="preserve">apin (2013) indicates that unacceptable behaviour by young people should not be tolerated or ignored, as this might lead young people to believe that you agree </w:t>
      </w:r>
      <w:r w:rsidR="001443EA">
        <w:rPr>
          <w:sz w:val="24"/>
          <w:szCs w:val="24"/>
        </w:rPr>
        <w:lastRenderedPageBreak/>
        <w:t>with it, or worse, are colluding with them.  Thus, when faced with young people</w:t>
      </w:r>
      <w:r w:rsidR="000F6282">
        <w:rPr>
          <w:sz w:val="24"/>
          <w:szCs w:val="24"/>
        </w:rPr>
        <w:t xml:space="preserve">, for example, </w:t>
      </w:r>
      <w:r w:rsidR="001443EA">
        <w:rPr>
          <w:sz w:val="24"/>
          <w:szCs w:val="24"/>
        </w:rPr>
        <w:t xml:space="preserve">swearing at a youth worker, or touching them inappropriately, the issue needs to be tackled immediately and head on.  We need to use </w:t>
      </w:r>
      <w:r w:rsidR="000F6282">
        <w:rPr>
          <w:sz w:val="24"/>
          <w:szCs w:val="24"/>
        </w:rPr>
        <w:t xml:space="preserve">our interpersonal skills and </w:t>
      </w:r>
      <w:r w:rsidR="001443EA">
        <w:rPr>
          <w:sz w:val="24"/>
          <w:szCs w:val="24"/>
        </w:rPr>
        <w:t>the tool we have developed for this purpose, our Behaviour Management System, which enables us to respond in a clear, fair and consistent way, in a united way</w:t>
      </w:r>
      <w:r w:rsidR="00CA5659">
        <w:rPr>
          <w:sz w:val="24"/>
          <w:szCs w:val="24"/>
        </w:rPr>
        <w:t xml:space="preserve"> as a team</w:t>
      </w:r>
      <w:r w:rsidR="001443EA">
        <w:rPr>
          <w:sz w:val="24"/>
          <w:szCs w:val="24"/>
        </w:rPr>
        <w:t>, and in a way that young people learn to accept</w:t>
      </w:r>
      <w:r w:rsidR="00CA5659">
        <w:rPr>
          <w:sz w:val="24"/>
          <w:szCs w:val="24"/>
        </w:rPr>
        <w:t xml:space="preserve"> and expect.</w:t>
      </w:r>
    </w:p>
    <w:p w14:paraId="17F4AB15" w14:textId="77777777" w:rsidR="00FC4159" w:rsidRDefault="00103BD7" w:rsidP="004B5B3A">
      <w:pPr>
        <w:spacing w:line="480" w:lineRule="auto"/>
        <w:jc w:val="both"/>
        <w:rPr>
          <w:sz w:val="24"/>
          <w:szCs w:val="24"/>
        </w:rPr>
      </w:pPr>
      <w:r>
        <w:rPr>
          <w:sz w:val="24"/>
          <w:szCs w:val="24"/>
        </w:rPr>
        <w:t>Knowing your own limitations is key, and knowing what you don’t know how to deal with is an important flag in planning for personal development</w:t>
      </w:r>
      <w:r w:rsidR="00FC4159">
        <w:rPr>
          <w:sz w:val="24"/>
          <w:szCs w:val="24"/>
        </w:rPr>
        <w:t>:</w:t>
      </w:r>
    </w:p>
    <w:p w14:paraId="6A149E56" w14:textId="36CFC2FC" w:rsidR="00D02C8E" w:rsidRDefault="00D02C8E" w:rsidP="00D02C8E">
      <w:pPr>
        <w:spacing w:line="240" w:lineRule="auto"/>
        <w:ind w:left="851" w:right="851"/>
        <w:jc w:val="both"/>
        <w:rPr>
          <w:sz w:val="24"/>
          <w:szCs w:val="24"/>
        </w:rPr>
      </w:pPr>
      <w:r>
        <w:rPr>
          <w:sz w:val="24"/>
          <w:szCs w:val="24"/>
        </w:rPr>
        <w:t>At varying stages in our journey as youth workers we have a particular level of ability – and it is essential that we know what that is – and where our limitations are.</w:t>
      </w:r>
    </w:p>
    <w:p w14:paraId="1CFC65EA" w14:textId="4D72977E" w:rsidR="00D02C8E" w:rsidRDefault="00D02C8E" w:rsidP="00D02C8E">
      <w:pPr>
        <w:spacing w:line="240" w:lineRule="auto"/>
        <w:ind w:left="851" w:right="851"/>
        <w:jc w:val="both"/>
        <w:rPr>
          <w:sz w:val="24"/>
          <w:szCs w:val="24"/>
        </w:rPr>
      </w:pPr>
      <w:r>
        <w:rPr>
          <w:sz w:val="24"/>
          <w:szCs w:val="24"/>
        </w:rPr>
        <w:t>(McDonald, 2010, p72)</w:t>
      </w:r>
    </w:p>
    <w:p w14:paraId="402AACA4" w14:textId="7283F2E7" w:rsidR="00D02C8E" w:rsidRDefault="00D02C8E" w:rsidP="004B5B3A">
      <w:pPr>
        <w:spacing w:line="480" w:lineRule="auto"/>
        <w:jc w:val="both"/>
        <w:rPr>
          <w:sz w:val="24"/>
          <w:szCs w:val="24"/>
        </w:rPr>
      </w:pPr>
      <w:r>
        <w:rPr>
          <w:sz w:val="24"/>
          <w:szCs w:val="24"/>
        </w:rPr>
        <w:t>McDonald (2010) goes on to talk about Howell’s (1982) ‘conscious competence ladder’, the four states that we pass through as we learn, and it is useful to reflect on this</w:t>
      </w:r>
      <w:r w:rsidR="000F6282">
        <w:rPr>
          <w:sz w:val="24"/>
          <w:szCs w:val="24"/>
        </w:rPr>
        <w:t xml:space="preserve"> in consideration of how we are able to manage boundaries</w:t>
      </w:r>
      <w:r>
        <w:rPr>
          <w:sz w:val="24"/>
          <w:szCs w:val="24"/>
        </w:rPr>
        <w:t>.</w:t>
      </w:r>
    </w:p>
    <w:p w14:paraId="4B0A6E45" w14:textId="6BD718A2" w:rsidR="00AD1345" w:rsidRPr="00AD1345" w:rsidRDefault="00AD1345" w:rsidP="004B5B3A">
      <w:pPr>
        <w:spacing w:line="480" w:lineRule="auto"/>
        <w:jc w:val="both"/>
        <w:rPr>
          <w:sz w:val="24"/>
          <w:szCs w:val="24"/>
          <w:u w:val="single"/>
        </w:rPr>
      </w:pPr>
      <w:r w:rsidRPr="00AD1345">
        <w:rPr>
          <w:sz w:val="24"/>
          <w:szCs w:val="24"/>
          <w:u w:val="single"/>
        </w:rPr>
        <w:t>Safeguarding</w:t>
      </w:r>
    </w:p>
    <w:p w14:paraId="35D900B4" w14:textId="38EAE8C2" w:rsidR="00AD1345" w:rsidRDefault="00AD1345" w:rsidP="004B5B3A">
      <w:pPr>
        <w:spacing w:line="480" w:lineRule="auto"/>
        <w:jc w:val="both"/>
        <w:rPr>
          <w:sz w:val="24"/>
          <w:szCs w:val="24"/>
        </w:rPr>
      </w:pPr>
      <w:r>
        <w:rPr>
          <w:sz w:val="24"/>
          <w:szCs w:val="24"/>
        </w:rPr>
        <w:t>Safeguarding is:</w:t>
      </w:r>
    </w:p>
    <w:p w14:paraId="26F01C6A" w14:textId="5F7B171E" w:rsidR="00AD1345" w:rsidRDefault="00AD1345" w:rsidP="00593C31">
      <w:pPr>
        <w:spacing w:line="240" w:lineRule="auto"/>
        <w:ind w:left="851" w:right="851"/>
        <w:jc w:val="both"/>
        <w:rPr>
          <w:sz w:val="24"/>
          <w:szCs w:val="24"/>
        </w:rPr>
      </w:pPr>
      <w:r>
        <w:rPr>
          <w:sz w:val="24"/>
          <w:szCs w:val="24"/>
        </w:rPr>
        <w:t>The ‘duty of care’ responsibilities of individuals and organisations working with children and young people to promote their welfare, minimise risks and act on any concerns about their suffering or risk of suffering significant harm.</w:t>
      </w:r>
    </w:p>
    <w:p w14:paraId="1032BA69" w14:textId="7A4B203E" w:rsidR="00AD1345" w:rsidRDefault="00AD1345" w:rsidP="00593C31">
      <w:pPr>
        <w:spacing w:line="240" w:lineRule="auto"/>
        <w:ind w:left="851" w:right="851"/>
        <w:jc w:val="both"/>
        <w:rPr>
          <w:sz w:val="24"/>
          <w:szCs w:val="24"/>
        </w:rPr>
      </w:pPr>
      <w:r>
        <w:rPr>
          <w:sz w:val="24"/>
          <w:szCs w:val="24"/>
        </w:rPr>
        <w:t>(Sapin, 2013)</w:t>
      </w:r>
    </w:p>
    <w:p w14:paraId="45786D4C" w14:textId="77777777" w:rsidR="002A239F" w:rsidRDefault="00593C31" w:rsidP="004B5B3A">
      <w:pPr>
        <w:spacing w:line="480" w:lineRule="auto"/>
        <w:jc w:val="both"/>
        <w:rPr>
          <w:sz w:val="24"/>
          <w:szCs w:val="24"/>
        </w:rPr>
      </w:pPr>
      <w:r>
        <w:rPr>
          <w:sz w:val="24"/>
          <w:szCs w:val="24"/>
        </w:rPr>
        <w:t>In our role as youth workers we have ‘duty of care’ responsibilities for children, young people, ourselves and each other.</w:t>
      </w:r>
      <w:r w:rsidR="00D3216F">
        <w:rPr>
          <w:sz w:val="24"/>
          <w:szCs w:val="24"/>
        </w:rPr>
        <w:t xml:space="preserve">  </w:t>
      </w:r>
    </w:p>
    <w:p w14:paraId="46305593" w14:textId="77777777" w:rsidR="00FF2EA7" w:rsidRDefault="002A239F" w:rsidP="004B5B3A">
      <w:pPr>
        <w:spacing w:line="480" w:lineRule="auto"/>
        <w:jc w:val="both"/>
        <w:rPr>
          <w:sz w:val="24"/>
          <w:szCs w:val="24"/>
        </w:rPr>
      </w:pPr>
      <w:r>
        <w:rPr>
          <w:sz w:val="24"/>
          <w:szCs w:val="24"/>
        </w:rPr>
        <w:t>Although child protection first started to be formalised in law in the late nineteenth century (NSPCC, 2018), it was only following a series of critical incidents early in this century that the</w:t>
      </w:r>
      <w:r w:rsidR="00001F93">
        <w:rPr>
          <w:sz w:val="24"/>
          <w:szCs w:val="24"/>
        </w:rPr>
        <w:t xml:space="preserve">re </w:t>
      </w:r>
      <w:r w:rsidR="00001F93">
        <w:rPr>
          <w:sz w:val="24"/>
          <w:szCs w:val="24"/>
        </w:rPr>
        <w:lastRenderedPageBreak/>
        <w:t>was exponential</w:t>
      </w:r>
      <w:r>
        <w:rPr>
          <w:sz w:val="24"/>
          <w:szCs w:val="24"/>
        </w:rPr>
        <w:t xml:space="preserve"> development of far-reaching and detailed legislation and guidance on </w:t>
      </w:r>
      <w:r w:rsidR="00001F93">
        <w:rPr>
          <w:sz w:val="24"/>
          <w:szCs w:val="24"/>
        </w:rPr>
        <w:t>s</w:t>
      </w:r>
      <w:r>
        <w:rPr>
          <w:sz w:val="24"/>
          <w:szCs w:val="24"/>
        </w:rPr>
        <w:t xml:space="preserve">afeguarding.   </w:t>
      </w:r>
      <w:r w:rsidR="00D3216F">
        <w:rPr>
          <w:sz w:val="24"/>
          <w:szCs w:val="24"/>
        </w:rPr>
        <w:t xml:space="preserve"> </w:t>
      </w:r>
      <w:r w:rsidR="00593C31">
        <w:rPr>
          <w:sz w:val="24"/>
          <w:szCs w:val="24"/>
        </w:rPr>
        <w:t xml:space="preserve"> </w:t>
      </w:r>
      <w:r>
        <w:rPr>
          <w:sz w:val="24"/>
          <w:szCs w:val="24"/>
        </w:rPr>
        <w:t>It is now an explicit Functional Area of the Youth Work National Occupational Standards (NOS Ref C2) and runs as a critical thread through everything that we do.</w:t>
      </w:r>
    </w:p>
    <w:p w14:paraId="23515F73" w14:textId="77777777" w:rsidR="00DF00C7" w:rsidRDefault="00FF2EA7" w:rsidP="004B5B3A">
      <w:pPr>
        <w:spacing w:line="480" w:lineRule="auto"/>
        <w:jc w:val="both"/>
        <w:rPr>
          <w:sz w:val="24"/>
          <w:szCs w:val="24"/>
        </w:rPr>
      </w:pPr>
      <w:r>
        <w:rPr>
          <w:sz w:val="24"/>
          <w:szCs w:val="24"/>
        </w:rPr>
        <w:t>Youth workers and their learning are now influenced by child protection and safeguarding at every level: from the UN Convention on the Rights of the Child (199</w:t>
      </w:r>
      <w:r w:rsidR="00613C7F">
        <w:rPr>
          <w:sz w:val="24"/>
          <w:szCs w:val="24"/>
        </w:rPr>
        <w:t>1</w:t>
      </w:r>
      <w:r>
        <w:rPr>
          <w:sz w:val="24"/>
          <w:szCs w:val="24"/>
        </w:rPr>
        <w:t>), through UK and Welsh Assembly Government legislation and policies, local authority policies and procedures and in their workplace and on their desk by organisational policies, procedures</w:t>
      </w:r>
      <w:r w:rsidR="00613C7F">
        <w:rPr>
          <w:sz w:val="24"/>
          <w:szCs w:val="24"/>
        </w:rPr>
        <w:t xml:space="preserve"> </w:t>
      </w:r>
      <w:r w:rsidR="00E82DAE">
        <w:rPr>
          <w:sz w:val="24"/>
          <w:szCs w:val="24"/>
        </w:rPr>
        <w:t>and records.</w:t>
      </w:r>
    </w:p>
    <w:p w14:paraId="66E7E058" w14:textId="2388BB46" w:rsidR="00DF00C7" w:rsidRDefault="00DF00C7" w:rsidP="004B5B3A">
      <w:pPr>
        <w:spacing w:line="480" w:lineRule="auto"/>
        <w:jc w:val="both"/>
        <w:rPr>
          <w:sz w:val="24"/>
          <w:szCs w:val="24"/>
        </w:rPr>
      </w:pPr>
      <w:r>
        <w:rPr>
          <w:sz w:val="24"/>
          <w:szCs w:val="24"/>
        </w:rPr>
        <w:t xml:space="preserve">At organisational level, our safeguarding policy is supported and strengthened by other policies such as Code of Conduct for staff, </w:t>
      </w:r>
      <w:r w:rsidR="00035493">
        <w:rPr>
          <w:sz w:val="24"/>
          <w:szCs w:val="24"/>
        </w:rPr>
        <w:t xml:space="preserve">Health and Safety, </w:t>
      </w:r>
      <w:r>
        <w:rPr>
          <w:sz w:val="24"/>
          <w:szCs w:val="24"/>
        </w:rPr>
        <w:t xml:space="preserve">Safe Recruitment, Whistleblowing, Lone Working and others, and all members of staff and volunteers are encouraged to read these.  The terms and conditions of staff members’ employment contracts dictate that the Health and Safety policy, the Child Protection and Safeguarding Policy &amp; Procedure and the Code of Conduct </w:t>
      </w:r>
      <w:r w:rsidRPr="00DF00C7">
        <w:rPr>
          <w:i/>
          <w:sz w:val="24"/>
          <w:szCs w:val="24"/>
        </w:rPr>
        <w:t>must</w:t>
      </w:r>
      <w:r>
        <w:rPr>
          <w:sz w:val="24"/>
          <w:szCs w:val="24"/>
        </w:rPr>
        <w:t xml:space="preserve"> be read and that each employee must sign to say they have read them.  All policies have a review cycle and are updated regularly.</w:t>
      </w:r>
    </w:p>
    <w:p w14:paraId="050CD7C2" w14:textId="630A7EC3" w:rsidR="00B172A8" w:rsidRDefault="00DF00C7" w:rsidP="004B5B3A">
      <w:pPr>
        <w:spacing w:line="480" w:lineRule="auto"/>
        <w:jc w:val="both"/>
        <w:rPr>
          <w:sz w:val="24"/>
          <w:szCs w:val="24"/>
        </w:rPr>
      </w:pPr>
      <w:r>
        <w:rPr>
          <w:sz w:val="24"/>
          <w:szCs w:val="24"/>
        </w:rPr>
        <w:t>Our safeguarding policy is supplemented with additional information for employees and volunteers</w:t>
      </w:r>
      <w:r w:rsidR="00820C89">
        <w:rPr>
          <w:sz w:val="24"/>
          <w:szCs w:val="24"/>
        </w:rPr>
        <w:t xml:space="preserve"> describing</w:t>
      </w:r>
      <w:r>
        <w:rPr>
          <w:sz w:val="24"/>
          <w:szCs w:val="24"/>
        </w:rPr>
        <w:t xml:space="preserve"> </w:t>
      </w:r>
      <w:r w:rsidR="005D12C1">
        <w:rPr>
          <w:sz w:val="24"/>
          <w:szCs w:val="24"/>
        </w:rPr>
        <w:t>different categories of abuse and how to recognise signs that it might be occurring.  There is a good level of detail (although not exhaustive) about the following types of abuse that might occur:  emotional abuse, neglect, physical abuse, sexual abuse and other forms of abuse.  The policy also, very importantly, includes the procedure to follow for anyone who may have concerns about a child or young person’s welfare, and it includes guidance on how to respond to a disclosure by a young person.  When safeguarding procedures are exercised, comprehensive records are created and stored confidentially.</w:t>
      </w:r>
    </w:p>
    <w:p w14:paraId="7647B962" w14:textId="600F32F1" w:rsidR="00B172A8" w:rsidRDefault="00B172A8" w:rsidP="004B5B3A">
      <w:pPr>
        <w:spacing w:line="480" w:lineRule="auto"/>
        <w:jc w:val="both"/>
        <w:rPr>
          <w:sz w:val="24"/>
          <w:szCs w:val="24"/>
        </w:rPr>
      </w:pPr>
      <w:r>
        <w:rPr>
          <w:sz w:val="24"/>
          <w:szCs w:val="24"/>
        </w:rPr>
        <w:lastRenderedPageBreak/>
        <w:t xml:space="preserve">Documented procedures provide </w:t>
      </w:r>
      <w:r w:rsidR="00EE69E3">
        <w:rPr>
          <w:sz w:val="24"/>
          <w:szCs w:val="24"/>
        </w:rPr>
        <w:t xml:space="preserve">an </w:t>
      </w:r>
      <w:r>
        <w:rPr>
          <w:sz w:val="24"/>
          <w:szCs w:val="24"/>
        </w:rPr>
        <w:t xml:space="preserve">essential </w:t>
      </w:r>
      <w:r w:rsidR="00EE69E3">
        <w:rPr>
          <w:sz w:val="24"/>
          <w:szCs w:val="24"/>
        </w:rPr>
        <w:t xml:space="preserve">extra level of </w:t>
      </w:r>
      <w:r>
        <w:rPr>
          <w:sz w:val="24"/>
          <w:szCs w:val="24"/>
        </w:rPr>
        <w:t>guidance for staff members to protect themselves and others from safeguarding issues.  For instance, there is a comprehensive Trips Policy and Procedure that informs and instructs staff on the mandatory preparations for a trip, such as risk assessments, parental consent, emergency contact information, staff ratios and emergency procedure.  Likewise, our Lone Working policy holds detailed instruction regarding how to handle one to one working with young people (where it cannot be avoided), and what to do if a young person comes to the centre in distress and you are the only person there.</w:t>
      </w:r>
      <w:r w:rsidR="00EE69E3">
        <w:rPr>
          <w:sz w:val="24"/>
          <w:szCs w:val="24"/>
        </w:rPr>
        <w:t xml:space="preserve">  Where relevant, we include telephone numbers to call in certain circumstances and the contact information of the designated safeguarding officers.</w:t>
      </w:r>
    </w:p>
    <w:p w14:paraId="1201BEF1" w14:textId="6DD1219A" w:rsidR="00E37757" w:rsidRDefault="00803901" w:rsidP="004B5B3A">
      <w:pPr>
        <w:spacing w:line="480" w:lineRule="auto"/>
        <w:jc w:val="both"/>
        <w:rPr>
          <w:sz w:val="24"/>
          <w:szCs w:val="24"/>
        </w:rPr>
      </w:pPr>
      <w:r>
        <w:rPr>
          <w:sz w:val="24"/>
          <w:szCs w:val="24"/>
        </w:rPr>
        <w:t>Safeguarding is at the forefront of everything that we do with our children and young people.  As a result of developing trusting relationships with them, we can have open discussions, share opinions and debate issues.  We aim to ‘future-proof’ them by providing information and advice, running workshops on health and well-being topics, effectively exercising a prevention strategy and aiming to promote self-care in young people.  Where we</w:t>
      </w:r>
      <w:r w:rsidR="00E37757">
        <w:rPr>
          <w:sz w:val="24"/>
          <w:szCs w:val="24"/>
        </w:rPr>
        <w:t xml:space="preserve"> actually </w:t>
      </w:r>
      <w:r>
        <w:rPr>
          <w:sz w:val="24"/>
          <w:szCs w:val="24"/>
        </w:rPr>
        <w:t xml:space="preserve">intervene to advise or assist a young person, we record this, and we watch for patterns and trends that might indicate that further action needs to be taken.  </w:t>
      </w:r>
      <w:r w:rsidR="00E37757">
        <w:rPr>
          <w:sz w:val="24"/>
          <w:szCs w:val="24"/>
        </w:rPr>
        <w:t>Where it is necessary to address a young person’s needs immediately, we are able to refer to other agencies for specialist help, action or advice.</w:t>
      </w:r>
    </w:p>
    <w:p w14:paraId="615BD3C8" w14:textId="77777777" w:rsidR="00736F16" w:rsidRDefault="00E37757" w:rsidP="004B5B3A">
      <w:pPr>
        <w:spacing w:line="480" w:lineRule="auto"/>
        <w:jc w:val="both"/>
        <w:rPr>
          <w:sz w:val="24"/>
          <w:szCs w:val="24"/>
        </w:rPr>
      </w:pPr>
      <w:r>
        <w:rPr>
          <w:sz w:val="24"/>
          <w:szCs w:val="24"/>
        </w:rPr>
        <w:t xml:space="preserve">The best way to safeguard our children and young people is to develop strong and positive relationships with them so that they trust us and will hopefully turn to us if they need </w:t>
      </w:r>
      <w:r w:rsidR="00736F16">
        <w:rPr>
          <w:sz w:val="24"/>
          <w:szCs w:val="24"/>
        </w:rPr>
        <w:t>to</w:t>
      </w:r>
      <w:r>
        <w:rPr>
          <w:sz w:val="24"/>
          <w:szCs w:val="24"/>
        </w:rPr>
        <w:t>.</w:t>
      </w:r>
      <w:r w:rsidR="00736F16">
        <w:rPr>
          <w:sz w:val="24"/>
          <w:szCs w:val="24"/>
        </w:rPr>
        <w:t xml:space="preserve">  Geldard (2009) concludes: </w:t>
      </w:r>
    </w:p>
    <w:p w14:paraId="0B658138" w14:textId="77777777" w:rsidR="00736F16" w:rsidRDefault="00736F16" w:rsidP="00736F16">
      <w:pPr>
        <w:spacing w:line="240" w:lineRule="auto"/>
        <w:ind w:left="851" w:right="851"/>
        <w:jc w:val="both"/>
        <w:rPr>
          <w:sz w:val="24"/>
          <w:szCs w:val="24"/>
        </w:rPr>
      </w:pPr>
      <w:r>
        <w:rPr>
          <w:sz w:val="24"/>
          <w:szCs w:val="24"/>
        </w:rPr>
        <w:t>… in providing practical interventions… it is essential that we join with them collaboratively, using interventions that suit them…  we must seek to establish relationships with the young people who engage with us that are respectful of both the young people themselves and the stories they tell us.</w:t>
      </w:r>
      <w:r w:rsidR="00E37757">
        <w:rPr>
          <w:sz w:val="24"/>
          <w:szCs w:val="24"/>
        </w:rPr>
        <w:t xml:space="preserve">    </w:t>
      </w:r>
      <w:r w:rsidR="00803901">
        <w:rPr>
          <w:sz w:val="24"/>
          <w:szCs w:val="24"/>
        </w:rPr>
        <w:t xml:space="preserve">  </w:t>
      </w:r>
    </w:p>
    <w:p w14:paraId="0698F9B2" w14:textId="0E380F64" w:rsidR="002C651A" w:rsidRDefault="002C651A" w:rsidP="00736F16">
      <w:pPr>
        <w:spacing w:line="480" w:lineRule="auto"/>
        <w:jc w:val="both"/>
        <w:rPr>
          <w:sz w:val="24"/>
          <w:szCs w:val="24"/>
        </w:rPr>
      </w:pPr>
      <w:r>
        <w:rPr>
          <w:sz w:val="24"/>
          <w:szCs w:val="24"/>
        </w:rPr>
        <w:lastRenderedPageBreak/>
        <w:t>Line management and supervision both have a part to play in ensuring that we promote and apply all aspects of safeguarding in everything that we do.   Line management duties include ensuring that safe recruitment and induction procedures are followed</w:t>
      </w:r>
      <w:r w:rsidR="00B6262E">
        <w:rPr>
          <w:sz w:val="24"/>
          <w:szCs w:val="24"/>
        </w:rPr>
        <w:t>.</w:t>
      </w:r>
      <w:r>
        <w:rPr>
          <w:sz w:val="24"/>
          <w:szCs w:val="24"/>
        </w:rPr>
        <w:t xml:space="preserve"> </w:t>
      </w:r>
      <w:r w:rsidR="00B6262E">
        <w:rPr>
          <w:sz w:val="24"/>
          <w:szCs w:val="24"/>
        </w:rPr>
        <w:t xml:space="preserve">Recruitment procedures include applying for enhanced DBS disclosures for all staff and volunteers and obtaining at least two references for each.  Induction procedures include presentation of safeguarding policy and enrolment on suitable training if this has not already been undertaken.  Line management also ensures that performance management and one to one discussions focus on and follow up on any aspects of safeguarding that might be improved upon.  </w:t>
      </w:r>
      <w:r w:rsidR="00A37C0F">
        <w:rPr>
          <w:sz w:val="24"/>
          <w:szCs w:val="24"/>
        </w:rPr>
        <w:t>Further, in more general team meetings, we have been discussing where improvements can be made in the areas of e-Safety and the logistics of provision for LGBT members as guidance starts to change</w:t>
      </w:r>
      <w:bookmarkStart w:id="0" w:name="_GoBack"/>
      <w:bookmarkEnd w:id="0"/>
      <w:r w:rsidR="00A37C0F">
        <w:rPr>
          <w:sz w:val="24"/>
          <w:szCs w:val="24"/>
        </w:rPr>
        <w:t>.  W</w:t>
      </w:r>
      <w:r>
        <w:rPr>
          <w:sz w:val="24"/>
          <w:szCs w:val="24"/>
        </w:rPr>
        <w:t>here necessary, line management will invoke disciplinary procedures if safeguarding is in any way compromised by members of staff or volunteers.  Supervision plays more of a preventative role, by providing staff members with a sounding-board and reflection time, questions, queries, problems or dilemmas regarding safeguarding topics can be shared and better addressed, joint decisions can be made.  This also provides an opportunity for youth workers to learn from the skills and knowledge of more experienced members of staff.</w:t>
      </w:r>
    </w:p>
    <w:p w14:paraId="1EEB3E40" w14:textId="30EB3D3A" w:rsidR="00B6262E" w:rsidRDefault="002C651A" w:rsidP="00736F16">
      <w:pPr>
        <w:spacing w:line="480" w:lineRule="auto"/>
        <w:jc w:val="both"/>
        <w:rPr>
          <w:sz w:val="24"/>
          <w:szCs w:val="24"/>
        </w:rPr>
      </w:pPr>
      <w:r>
        <w:rPr>
          <w:sz w:val="24"/>
          <w:szCs w:val="24"/>
        </w:rPr>
        <w:t>Training is a mandatory aspect of ensuring that we safeguard our young people, others, ourselves and each other.  Members of staff and volunteers must undertake Tier 1 training in safeguarding as soon as they join</w:t>
      </w:r>
      <w:r w:rsidR="00B6262E">
        <w:rPr>
          <w:sz w:val="24"/>
          <w:szCs w:val="24"/>
        </w:rPr>
        <w:t xml:space="preserve">.  Team Days and team meetings are used to tackle safeguarding topics and to provide further training, to refresh training and to role play safeguarding scenarios in a safe environment.  Staff training is augmented with skills such as First Aid, Mental Health First Aid, drugs awareness, conducting fire drills and so on, </w:t>
      </w:r>
      <w:r w:rsidR="00820C89">
        <w:rPr>
          <w:sz w:val="24"/>
          <w:szCs w:val="24"/>
        </w:rPr>
        <w:t xml:space="preserve">so that each member of the team has a good </w:t>
      </w:r>
      <w:r w:rsidR="00B6262E">
        <w:rPr>
          <w:sz w:val="24"/>
          <w:szCs w:val="24"/>
        </w:rPr>
        <w:t>safeguarding ‘toolkit’.</w:t>
      </w:r>
    </w:p>
    <w:p w14:paraId="0E73DD85" w14:textId="77777777" w:rsidR="00CE5480" w:rsidRDefault="00B6262E" w:rsidP="00736F16">
      <w:pPr>
        <w:spacing w:line="480" w:lineRule="auto"/>
        <w:jc w:val="both"/>
        <w:rPr>
          <w:sz w:val="24"/>
          <w:szCs w:val="24"/>
        </w:rPr>
      </w:pPr>
      <w:r>
        <w:rPr>
          <w:sz w:val="24"/>
          <w:szCs w:val="24"/>
        </w:rPr>
        <w:lastRenderedPageBreak/>
        <w:t>The importance of safeguarding ourselves and each other as a team of youth workers is emphasised strongly, and we take steps to ensure that we can a</w:t>
      </w:r>
      <w:r w:rsidR="001106DC">
        <w:rPr>
          <w:sz w:val="24"/>
          <w:szCs w:val="24"/>
        </w:rPr>
        <w:t xml:space="preserve">void, but also </w:t>
      </w:r>
      <w:r>
        <w:rPr>
          <w:sz w:val="24"/>
          <w:szCs w:val="24"/>
        </w:rPr>
        <w:t>manage</w:t>
      </w:r>
      <w:r w:rsidR="001106DC">
        <w:rPr>
          <w:sz w:val="24"/>
          <w:szCs w:val="24"/>
        </w:rPr>
        <w:t xml:space="preserve">, </w:t>
      </w:r>
      <w:r>
        <w:rPr>
          <w:sz w:val="24"/>
          <w:szCs w:val="24"/>
        </w:rPr>
        <w:t xml:space="preserve">allegations against </w:t>
      </w:r>
      <w:r w:rsidR="00CE5480">
        <w:rPr>
          <w:sz w:val="24"/>
          <w:szCs w:val="24"/>
        </w:rPr>
        <w:t>us</w:t>
      </w:r>
      <w:r w:rsidR="001106DC">
        <w:rPr>
          <w:sz w:val="24"/>
          <w:szCs w:val="24"/>
        </w:rPr>
        <w:t xml:space="preserve"> should they arise.</w:t>
      </w:r>
      <w:r w:rsidR="00CE5480">
        <w:rPr>
          <w:sz w:val="24"/>
          <w:szCs w:val="24"/>
        </w:rPr>
        <w:t xml:space="preserve">  Sapin (2013) says:</w:t>
      </w:r>
    </w:p>
    <w:p w14:paraId="5E31BA00" w14:textId="77777777" w:rsidR="00CE5480" w:rsidRDefault="00CE5480" w:rsidP="00820C89">
      <w:pPr>
        <w:spacing w:line="240" w:lineRule="auto"/>
        <w:ind w:left="851" w:right="851"/>
        <w:jc w:val="both"/>
        <w:rPr>
          <w:sz w:val="24"/>
          <w:szCs w:val="24"/>
        </w:rPr>
      </w:pPr>
      <w:r>
        <w:rPr>
          <w:sz w:val="24"/>
          <w:szCs w:val="24"/>
        </w:rPr>
        <w:t>Youth workers also need to be aware of situations that may give rise to accusations about their misconduct or blame to be accorded by an organisation, whether or not these claims are justified.</w:t>
      </w:r>
    </w:p>
    <w:p w14:paraId="298F2BC9" w14:textId="77777777" w:rsidR="00820C89" w:rsidRDefault="00820C89" w:rsidP="00736F16">
      <w:pPr>
        <w:spacing w:line="480" w:lineRule="auto"/>
        <w:jc w:val="both"/>
        <w:rPr>
          <w:sz w:val="24"/>
          <w:szCs w:val="24"/>
          <w:u w:val="single"/>
        </w:rPr>
      </w:pPr>
    </w:p>
    <w:p w14:paraId="7AB170AA" w14:textId="5DFC0D18" w:rsidR="00CE5480" w:rsidRPr="00D451B6" w:rsidRDefault="00CE5480" w:rsidP="00736F16">
      <w:pPr>
        <w:spacing w:line="480" w:lineRule="auto"/>
        <w:jc w:val="both"/>
        <w:rPr>
          <w:sz w:val="24"/>
          <w:szCs w:val="24"/>
          <w:u w:val="single"/>
        </w:rPr>
      </w:pPr>
      <w:r w:rsidRPr="00D451B6">
        <w:rPr>
          <w:sz w:val="24"/>
          <w:szCs w:val="24"/>
          <w:u w:val="single"/>
        </w:rPr>
        <w:t>Summary</w:t>
      </w:r>
    </w:p>
    <w:p w14:paraId="42221E8B" w14:textId="4799C831" w:rsidR="00803901" w:rsidRDefault="00D451B6" w:rsidP="00736F16">
      <w:pPr>
        <w:spacing w:line="480" w:lineRule="auto"/>
        <w:jc w:val="both"/>
        <w:rPr>
          <w:sz w:val="24"/>
          <w:szCs w:val="24"/>
        </w:rPr>
      </w:pPr>
      <w:r>
        <w:rPr>
          <w:sz w:val="24"/>
          <w:szCs w:val="24"/>
        </w:rPr>
        <w:t xml:space="preserve">Being able to manage boundaries and prioritise safeguarding are two of the most important areas of skill and understanding that youth workers need to have.  Training is essential.  Organisational policies and procedures must continually be re-assessed and implemented to assure best practice.  Everyone in our organisation, including the trustees, shares the responsibility for safeguarding young people, </w:t>
      </w:r>
      <w:r w:rsidR="00820C89">
        <w:rPr>
          <w:sz w:val="24"/>
          <w:szCs w:val="24"/>
        </w:rPr>
        <w:t>ourselv</w:t>
      </w:r>
      <w:r>
        <w:rPr>
          <w:sz w:val="24"/>
          <w:szCs w:val="24"/>
        </w:rPr>
        <w:t xml:space="preserve">es and others.  Team work, supervision and line management all work together to ensure the best possible outcomes for our young people and </w:t>
      </w:r>
      <w:r w:rsidR="00820C89">
        <w:rPr>
          <w:sz w:val="24"/>
          <w:szCs w:val="24"/>
        </w:rPr>
        <w:t xml:space="preserve">thus </w:t>
      </w:r>
      <w:r>
        <w:rPr>
          <w:sz w:val="24"/>
          <w:szCs w:val="24"/>
        </w:rPr>
        <w:t xml:space="preserve">sustain the viability of the organisation and its charitable aims.    </w:t>
      </w:r>
      <w:r w:rsidR="002C651A">
        <w:rPr>
          <w:sz w:val="24"/>
          <w:szCs w:val="24"/>
        </w:rPr>
        <w:t xml:space="preserve">         </w:t>
      </w:r>
    </w:p>
    <w:p w14:paraId="2F20EE53" w14:textId="0C0206F4" w:rsidR="00AD1345" w:rsidRDefault="00B172A8" w:rsidP="004B5B3A">
      <w:pPr>
        <w:spacing w:line="480" w:lineRule="auto"/>
        <w:jc w:val="both"/>
        <w:rPr>
          <w:sz w:val="24"/>
          <w:szCs w:val="24"/>
        </w:rPr>
      </w:pPr>
      <w:r>
        <w:rPr>
          <w:sz w:val="24"/>
          <w:szCs w:val="24"/>
        </w:rPr>
        <w:t xml:space="preserve"> </w:t>
      </w:r>
      <w:r w:rsidR="005D12C1">
        <w:rPr>
          <w:sz w:val="24"/>
          <w:szCs w:val="24"/>
        </w:rPr>
        <w:t xml:space="preserve">   </w:t>
      </w:r>
      <w:r w:rsidR="00DF00C7">
        <w:rPr>
          <w:sz w:val="24"/>
          <w:szCs w:val="24"/>
        </w:rPr>
        <w:t xml:space="preserve"> </w:t>
      </w:r>
      <w:r w:rsidR="00FF2EA7">
        <w:rPr>
          <w:sz w:val="24"/>
          <w:szCs w:val="24"/>
        </w:rPr>
        <w:t xml:space="preserve">  </w:t>
      </w:r>
      <w:r w:rsidR="002A239F">
        <w:rPr>
          <w:sz w:val="24"/>
          <w:szCs w:val="24"/>
        </w:rPr>
        <w:t xml:space="preserve">  </w:t>
      </w:r>
    </w:p>
    <w:p w14:paraId="2E7142D2" w14:textId="77777777" w:rsidR="00507B5B" w:rsidRDefault="00104F9E">
      <w:pPr>
        <w:rPr>
          <w:u w:val="single"/>
        </w:rPr>
      </w:pPr>
      <w:r>
        <w:rPr>
          <w:u w:val="single"/>
        </w:rPr>
        <w:t>Reference List</w:t>
      </w:r>
    </w:p>
    <w:p w14:paraId="2714902A" w14:textId="77777777" w:rsidR="00352CE3" w:rsidRDefault="00352CE3"/>
    <w:p w14:paraId="26733184" w14:textId="32014A21" w:rsidR="002E05F9" w:rsidRDefault="002E05F9">
      <w:r>
        <w:t xml:space="preserve">Geldard, D. (2009) ‘Promoting Self-Care Behaviours’, in K. Geldard (ed.) </w:t>
      </w:r>
      <w:r>
        <w:rPr>
          <w:i/>
        </w:rPr>
        <w:t xml:space="preserve">Practical Interventions for Young People at Risk. </w:t>
      </w:r>
      <w:r>
        <w:t>London: Sa</w:t>
      </w:r>
      <w:r w:rsidR="00A37C0F">
        <w:t>g</w:t>
      </w:r>
      <w:r>
        <w:t>e, p</w:t>
      </w:r>
      <w:r w:rsidR="00E37757">
        <w:t>.</w:t>
      </w:r>
      <w:r>
        <w:t>15.</w:t>
      </w:r>
    </w:p>
    <w:p w14:paraId="59E43CBC" w14:textId="778EA6F7" w:rsidR="00E37757" w:rsidRPr="002E05F9" w:rsidRDefault="00E37757">
      <w:r>
        <w:t xml:space="preserve">Geldard, K. (2009) </w:t>
      </w:r>
      <w:r>
        <w:rPr>
          <w:i/>
        </w:rPr>
        <w:t xml:space="preserve">Practical Interventions for Young People at Risk: Summary and Concluding Remarks. </w:t>
      </w:r>
      <w:r>
        <w:t>London: Sa</w:t>
      </w:r>
      <w:r w:rsidR="00A37C0F">
        <w:t>g</w:t>
      </w:r>
      <w:r>
        <w:t>e, p.205.</w:t>
      </w:r>
    </w:p>
    <w:p w14:paraId="1F6E6A65" w14:textId="5A7A8A13" w:rsidR="00507B5B" w:rsidRDefault="00104F9E">
      <w:r>
        <w:t xml:space="preserve">Learning and Skills Improvement Service, (2012) </w:t>
      </w:r>
      <w:r>
        <w:rPr>
          <w:i/>
        </w:rPr>
        <w:t xml:space="preserve">National Occupational Standards for Youth Work.  </w:t>
      </w:r>
      <w:r>
        <w:t>Coventry: LSIS.</w:t>
      </w:r>
    </w:p>
    <w:p w14:paraId="258D2D65" w14:textId="2965C269" w:rsidR="00C06C8D" w:rsidRPr="00C06C8D" w:rsidRDefault="00C06C8D" w:rsidP="00091AB0">
      <w:pPr>
        <w:rPr>
          <w:rFonts w:cstheme="minorHAnsi"/>
          <w:color w:val="000000"/>
          <w:lang w:val="en-US"/>
        </w:rPr>
      </w:pPr>
      <w:r>
        <w:rPr>
          <w:rFonts w:cstheme="minorHAnsi"/>
          <w:color w:val="000000"/>
          <w:lang w:val="en-US"/>
        </w:rPr>
        <w:t xml:space="preserve">McDonald, G. (2010) ‘Strength through struggle’, in A. Rogers and M. Smith (eds.) </w:t>
      </w:r>
      <w:r>
        <w:rPr>
          <w:rFonts w:cstheme="minorHAnsi"/>
          <w:i/>
          <w:color w:val="000000"/>
          <w:lang w:val="en-US"/>
        </w:rPr>
        <w:t xml:space="preserve">Journeying Together: Growing youth work and youth workers in local communities.  </w:t>
      </w:r>
      <w:r>
        <w:rPr>
          <w:rFonts w:cstheme="minorHAnsi"/>
          <w:color w:val="000000"/>
          <w:lang w:val="en-US"/>
        </w:rPr>
        <w:t>Lyme Regis: Russell House Publishing, pp, 72-73</w:t>
      </w:r>
    </w:p>
    <w:p w14:paraId="4304D205" w14:textId="0EB266C6" w:rsidR="001348CD" w:rsidRPr="001348CD" w:rsidRDefault="001348CD" w:rsidP="00091AB0">
      <w:pPr>
        <w:rPr>
          <w:rFonts w:cstheme="minorHAnsi"/>
          <w:color w:val="000000"/>
          <w:lang w:val="en-US"/>
        </w:rPr>
      </w:pPr>
      <w:r>
        <w:rPr>
          <w:rFonts w:cstheme="minorHAnsi"/>
          <w:color w:val="000000"/>
          <w:lang w:val="en-US"/>
        </w:rPr>
        <w:lastRenderedPageBreak/>
        <w:t xml:space="preserve">NSPCC (2018) </w:t>
      </w:r>
      <w:r>
        <w:rPr>
          <w:rFonts w:cstheme="minorHAnsi"/>
          <w:i/>
          <w:color w:val="000000"/>
          <w:lang w:val="en-US"/>
        </w:rPr>
        <w:t xml:space="preserve">Child Protection in the UK: The history of the UK child protection system.  </w:t>
      </w:r>
      <w:r>
        <w:rPr>
          <w:rFonts w:cstheme="minorHAnsi"/>
        </w:rPr>
        <w:t>[Online].  Available at:</w:t>
      </w:r>
      <w:r w:rsidR="002A239F">
        <w:rPr>
          <w:rFonts w:cstheme="minorHAnsi"/>
        </w:rPr>
        <w:t xml:space="preserve"> </w:t>
      </w:r>
      <w:hyperlink r:id="rId8" w:history="1">
        <w:r w:rsidR="002A239F" w:rsidRPr="00023417">
          <w:rPr>
            <w:rStyle w:val="Hyperlink"/>
            <w:rFonts w:cstheme="minorHAnsi"/>
          </w:rPr>
          <w:t>https://www.nspcc.org.uk/preventing-abuse/child-protection-system/</w:t>
        </w:r>
      </w:hyperlink>
      <w:r w:rsidR="002A239F">
        <w:rPr>
          <w:rFonts w:cstheme="minorHAnsi"/>
        </w:rPr>
        <w:t xml:space="preserve"> </w:t>
      </w:r>
    </w:p>
    <w:p w14:paraId="145DEBD7" w14:textId="122C164C" w:rsidR="00507B5B" w:rsidRDefault="00104F9E" w:rsidP="00091AB0">
      <w:pPr>
        <w:rPr>
          <w:rFonts w:cstheme="minorHAnsi"/>
          <w:color w:val="000000"/>
          <w:lang w:val="en-US"/>
        </w:rPr>
      </w:pPr>
      <w:r>
        <w:rPr>
          <w:rFonts w:cstheme="minorHAnsi"/>
          <w:color w:val="000000"/>
          <w:lang w:val="en-US"/>
        </w:rPr>
        <w:t>Sapin, K. (</w:t>
      </w:r>
      <w:r w:rsidR="00704AF9">
        <w:rPr>
          <w:rFonts w:cstheme="minorHAnsi"/>
          <w:color w:val="000000"/>
          <w:lang w:val="en-US"/>
        </w:rPr>
        <w:t>2013</w:t>
      </w:r>
      <w:r>
        <w:rPr>
          <w:rFonts w:cstheme="minorHAnsi"/>
          <w:color w:val="000000"/>
          <w:lang w:val="en-US"/>
        </w:rPr>
        <w:t xml:space="preserve">) </w:t>
      </w:r>
      <w:r>
        <w:rPr>
          <w:rFonts w:cstheme="minorHAnsi"/>
          <w:i/>
          <w:color w:val="000000"/>
          <w:lang w:val="en-US"/>
        </w:rPr>
        <w:t xml:space="preserve">Essential Skills for Youth Work Practice: </w:t>
      </w:r>
      <w:r w:rsidR="00AA7A3B">
        <w:rPr>
          <w:rFonts w:cstheme="minorHAnsi"/>
          <w:i/>
          <w:color w:val="000000"/>
          <w:lang w:val="en-US"/>
        </w:rPr>
        <w:t>Locating Youth Work in Different Settings</w:t>
      </w:r>
      <w:r>
        <w:rPr>
          <w:rFonts w:cstheme="minorHAnsi"/>
          <w:i/>
          <w:color w:val="000000"/>
          <w:lang w:val="en-US"/>
        </w:rPr>
        <w:t xml:space="preserve">.  </w:t>
      </w:r>
      <w:r>
        <w:rPr>
          <w:rFonts w:cstheme="minorHAnsi"/>
          <w:color w:val="000000"/>
          <w:lang w:val="en-US"/>
        </w:rPr>
        <w:t>2</w:t>
      </w:r>
      <w:r>
        <w:rPr>
          <w:rFonts w:cstheme="minorHAnsi"/>
          <w:color w:val="000000"/>
          <w:vertAlign w:val="superscript"/>
          <w:lang w:val="en-US"/>
        </w:rPr>
        <w:t>nd</w:t>
      </w:r>
      <w:r>
        <w:rPr>
          <w:rFonts w:cstheme="minorHAnsi"/>
          <w:color w:val="000000"/>
          <w:lang w:val="en-US"/>
        </w:rPr>
        <w:t xml:space="preserve"> Edition, S</w:t>
      </w:r>
      <w:r w:rsidR="00A37C0F">
        <w:rPr>
          <w:rFonts w:cstheme="minorHAnsi"/>
          <w:color w:val="000000"/>
          <w:lang w:val="en-US"/>
        </w:rPr>
        <w:t>age</w:t>
      </w:r>
      <w:r>
        <w:rPr>
          <w:rFonts w:cstheme="minorHAnsi"/>
          <w:color w:val="000000"/>
          <w:lang w:val="en-US"/>
        </w:rPr>
        <w:t>, p</w:t>
      </w:r>
      <w:r w:rsidR="00B65498">
        <w:rPr>
          <w:rFonts w:cstheme="minorHAnsi"/>
          <w:color w:val="000000"/>
          <w:lang w:val="en-US"/>
        </w:rPr>
        <w:t>p</w:t>
      </w:r>
      <w:r w:rsidR="002E05F9">
        <w:rPr>
          <w:rFonts w:cstheme="minorHAnsi"/>
          <w:color w:val="000000"/>
          <w:lang w:val="en-US"/>
        </w:rPr>
        <w:t xml:space="preserve">. </w:t>
      </w:r>
      <w:r w:rsidR="00CE5480">
        <w:rPr>
          <w:rFonts w:cstheme="minorHAnsi"/>
          <w:color w:val="000000"/>
          <w:lang w:val="en-US"/>
        </w:rPr>
        <w:t xml:space="preserve">32, </w:t>
      </w:r>
      <w:r w:rsidR="00171E0A">
        <w:rPr>
          <w:rFonts w:cstheme="minorHAnsi"/>
          <w:color w:val="000000"/>
          <w:lang w:val="en-US"/>
        </w:rPr>
        <w:t>57</w:t>
      </w:r>
      <w:bookmarkStart w:id="1" w:name="_Hlk5045543631"/>
      <w:bookmarkEnd w:id="1"/>
      <w:r w:rsidR="00B65498">
        <w:rPr>
          <w:rFonts w:cstheme="minorHAnsi"/>
          <w:color w:val="000000"/>
          <w:lang w:val="en-US"/>
        </w:rPr>
        <w:t>, 63, 70</w:t>
      </w:r>
      <w:r w:rsidR="00EC549A">
        <w:rPr>
          <w:rFonts w:cstheme="minorHAnsi"/>
          <w:color w:val="000000"/>
          <w:lang w:val="en-US"/>
        </w:rPr>
        <w:t>, 121-2</w:t>
      </w:r>
      <w:r w:rsidR="00AA7DCC">
        <w:rPr>
          <w:rFonts w:cstheme="minorHAnsi"/>
          <w:color w:val="000000"/>
          <w:lang w:val="en-US"/>
        </w:rPr>
        <w:t>, 247</w:t>
      </w:r>
      <w:r w:rsidR="002E05F9">
        <w:rPr>
          <w:rFonts w:cstheme="minorHAnsi"/>
          <w:color w:val="000000"/>
          <w:lang w:val="en-US"/>
        </w:rPr>
        <w:t>.</w:t>
      </w:r>
    </w:p>
    <w:p w14:paraId="3C8621E2" w14:textId="2E28C483" w:rsidR="00013CFF" w:rsidRDefault="00DC1F50" w:rsidP="00DA4080">
      <w:pPr>
        <w:rPr>
          <w:rFonts w:cstheme="minorHAnsi"/>
          <w:color w:val="000000"/>
          <w:lang w:val="en-US"/>
        </w:rPr>
      </w:pPr>
      <w:r>
        <w:rPr>
          <w:rFonts w:cstheme="minorHAnsi"/>
          <w:color w:val="000000"/>
          <w:lang w:val="en-US"/>
        </w:rPr>
        <w:t xml:space="preserve">Thompson, D. (ed.) (1996) </w:t>
      </w:r>
      <w:r>
        <w:rPr>
          <w:rFonts w:cstheme="minorHAnsi"/>
          <w:i/>
          <w:color w:val="000000"/>
          <w:lang w:val="en-US"/>
        </w:rPr>
        <w:t>The Oxford Compact English Dictionary</w:t>
      </w:r>
      <w:r>
        <w:rPr>
          <w:rFonts w:cstheme="minorHAnsi"/>
          <w:color w:val="000000"/>
          <w:lang w:val="en-US"/>
        </w:rPr>
        <w:t xml:space="preserve">.  Oxford: Oxford University Press. </w:t>
      </w:r>
    </w:p>
    <w:p w14:paraId="1B18AB5A" w14:textId="14FA0371" w:rsidR="00B65498" w:rsidRDefault="00B65498" w:rsidP="00602A8E">
      <w:r>
        <w:t>Walker-Hirsch, L. and Champagne, M. (1991</w:t>
      </w:r>
      <w:r w:rsidRPr="00B65498">
        <w:rPr>
          <w:i/>
        </w:rPr>
        <w:t>) The Circles Concept: Social Competence in Special Education.</w:t>
      </w:r>
      <w:r>
        <w:t xml:space="preserve">  Association for Supervision and Curriculum Development.  </w:t>
      </w:r>
      <w:r>
        <w:rPr>
          <w:rFonts w:cstheme="minorHAnsi"/>
        </w:rPr>
        <w:t xml:space="preserve">[Online].  Available at: </w:t>
      </w:r>
      <w:hyperlink r:id="rId9" w:history="1">
        <w:r w:rsidRPr="00023417">
          <w:rPr>
            <w:rStyle w:val="Hyperlink"/>
            <w:rFonts w:cstheme="minorHAnsi"/>
          </w:rPr>
          <w:t>http://www.ascd.org/ASCD/pdf/journals/ed_lead/el_199109_walker-hirsch.pdf</w:t>
        </w:r>
      </w:hyperlink>
      <w:r>
        <w:rPr>
          <w:rFonts w:cstheme="minorHAnsi"/>
        </w:rPr>
        <w:t xml:space="preserve"> </w:t>
      </w:r>
    </w:p>
    <w:p w14:paraId="2BEF232F" w14:textId="0CB3D429" w:rsidR="00421DEC" w:rsidRDefault="00001F93" w:rsidP="00602A8E">
      <w:r>
        <w:t>Unicef (199</w:t>
      </w:r>
      <w:r w:rsidR="00613C7F">
        <w:t>1</w:t>
      </w:r>
      <w:r>
        <w:t xml:space="preserve">) </w:t>
      </w:r>
      <w:r w:rsidRPr="00001F93">
        <w:rPr>
          <w:i/>
        </w:rPr>
        <w:t>UN Convention on the Rights of the Child</w:t>
      </w:r>
      <w:r>
        <w:rPr>
          <w:i/>
        </w:rPr>
        <w:t>.</w:t>
      </w:r>
      <w:r>
        <w:t xml:space="preserve"> </w:t>
      </w:r>
      <w:r>
        <w:rPr>
          <w:rFonts w:cstheme="minorHAnsi"/>
        </w:rPr>
        <w:t xml:space="preserve">[Online].  Available at: </w:t>
      </w:r>
      <w:hyperlink r:id="rId10" w:history="1">
        <w:r w:rsidRPr="00023417">
          <w:rPr>
            <w:rStyle w:val="Hyperlink"/>
            <w:rFonts w:cstheme="minorHAnsi"/>
          </w:rPr>
          <w:t>https://www.unicef.org.uk/what-we-do/un-convention-child-rights/</w:t>
        </w:r>
      </w:hyperlink>
      <w:r>
        <w:rPr>
          <w:rFonts w:cstheme="minorHAnsi"/>
        </w:rPr>
        <w:t xml:space="preserve"> </w:t>
      </w:r>
    </w:p>
    <w:p w14:paraId="4A4ECBC1" w14:textId="292C84CB" w:rsidR="001A1B37" w:rsidRPr="001A1B37" w:rsidRDefault="001A1B37" w:rsidP="00602A8E">
      <w:pPr>
        <w:rPr>
          <w:i/>
        </w:rPr>
      </w:pPr>
      <w:r>
        <w:t>University of Wales, Trinity St David (2018) ‘Passport to Youth and Community Work</w:t>
      </w:r>
      <w:r w:rsidR="00B64E8B">
        <w:t xml:space="preserve"> </w:t>
      </w:r>
      <w:r w:rsidR="00637ACC">
        <w:t>(SJYW4013)</w:t>
      </w:r>
      <w:r>
        <w:t xml:space="preserve">: Introduction and Overview’, </w:t>
      </w:r>
      <w:r w:rsidRPr="001A1B37">
        <w:rPr>
          <w:i/>
        </w:rPr>
        <w:t>Lecture and Presentation</w:t>
      </w:r>
      <w:r>
        <w:rPr>
          <w:i/>
        </w:rPr>
        <w:t xml:space="preserve"> with Handout.  </w:t>
      </w:r>
      <w:r>
        <w:t>Monkton, 8</w:t>
      </w:r>
      <w:r w:rsidRPr="001A1B37">
        <w:rPr>
          <w:vertAlign w:val="superscript"/>
        </w:rPr>
        <w:t>th</w:t>
      </w:r>
      <w:r>
        <w:t xml:space="preserve"> March 2018.  UWTSD, p</w:t>
      </w:r>
      <w:r w:rsidR="002E05F9">
        <w:t xml:space="preserve">p. </w:t>
      </w:r>
      <w:r>
        <w:t>1-2.</w:t>
      </w:r>
      <w:r>
        <w:rPr>
          <w:i/>
        </w:rPr>
        <w:t xml:space="preserve">    </w:t>
      </w:r>
    </w:p>
    <w:p w14:paraId="0095097E" w14:textId="04EE0776" w:rsidR="00602A8E" w:rsidRPr="00936A84" w:rsidRDefault="00936A84" w:rsidP="00091AB0">
      <w:r>
        <w:t xml:space="preserve">Welsh Assembly Government (2015) </w:t>
      </w:r>
      <w:r>
        <w:rPr>
          <w:i/>
        </w:rPr>
        <w:t xml:space="preserve">Well-being of Future Generations (Wales) Act 2015. </w:t>
      </w:r>
      <w:hyperlink r:id="rId11" w:history="1">
        <w:r w:rsidRPr="00023417">
          <w:rPr>
            <w:rStyle w:val="Hyperlink"/>
            <w:i/>
          </w:rPr>
          <w:t>http://gov.wales/topics/people-and-communities/people/future-generations-act/?lang=en</w:t>
        </w:r>
      </w:hyperlink>
      <w:r>
        <w:rPr>
          <w:i/>
        </w:rPr>
        <w:t xml:space="preserve"> </w:t>
      </w:r>
      <w:r>
        <w:t>(Accessed: 2</w:t>
      </w:r>
      <w:r w:rsidRPr="00936A84">
        <w:rPr>
          <w:vertAlign w:val="superscript"/>
        </w:rPr>
        <w:t>nd</w:t>
      </w:r>
      <w:r>
        <w:t xml:space="preserve"> April 2018).</w:t>
      </w:r>
    </w:p>
    <w:sectPr w:rsidR="00602A8E" w:rsidRPr="00936A84">
      <w:headerReference w:type="default" r:id="rId12"/>
      <w:footerReference w:type="default" r:id="rId13"/>
      <w:pgSz w:w="11906" w:h="16838"/>
      <w:pgMar w:top="1440" w:right="1440" w:bottom="1440" w:left="1440" w:header="0" w:footer="0" w:gutter="0"/>
      <w:cols w:space="720"/>
      <w:formProt w:val="0"/>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F0627D" w14:textId="77777777" w:rsidR="00CE5480" w:rsidRDefault="00CE5480">
      <w:pPr>
        <w:spacing w:after="0" w:line="240" w:lineRule="auto"/>
      </w:pPr>
      <w:r>
        <w:separator/>
      </w:r>
    </w:p>
  </w:endnote>
  <w:endnote w:type="continuationSeparator" w:id="0">
    <w:p w14:paraId="26972C08" w14:textId="77777777" w:rsidR="00CE5480" w:rsidRDefault="00CE54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8CF3C50" w:usb2="00000016" w:usb3="00000000" w:csb0="0004001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37801263"/>
      <w:docPartObj>
        <w:docPartGallery w:val="Page Numbers (Bottom of Page)"/>
        <w:docPartUnique/>
      </w:docPartObj>
    </w:sdtPr>
    <w:sdtEndPr/>
    <w:sdtContent>
      <w:p w14:paraId="51CD1A77" w14:textId="392BF495" w:rsidR="00CE5480" w:rsidRDefault="00CE5480">
        <w:pPr>
          <w:pStyle w:val="Footer"/>
          <w:jc w:val="center"/>
        </w:pPr>
        <w:r>
          <w:fldChar w:fldCharType="begin"/>
        </w:r>
        <w:r>
          <w:instrText>PAGE</w:instrText>
        </w:r>
        <w:r>
          <w:fldChar w:fldCharType="separate"/>
        </w:r>
        <w:r w:rsidR="00A37C0F">
          <w:rPr>
            <w:noProof/>
          </w:rPr>
          <w:t>6</w:t>
        </w:r>
        <w:r>
          <w:fldChar w:fldCharType="end"/>
        </w:r>
      </w:p>
    </w:sdtContent>
  </w:sdt>
  <w:p w14:paraId="447D1AC7" w14:textId="77777777" w:rsidR="00CE5480" w:rsidRDefault="00CE54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A1FD83" w14:textId="77777777" w:rsidR="00CE5480" w:rsidRDefault="00CE5480">
      <w:pPr>
        <w:spacing w:after="0" w:line="240" w:lineRule="auto"/>
      </w:pPr>
      <w:r>
        <w:separator/>
      </w:r>
    </w:p>
  </w:footnote>
  <w:footnote w:type="continuationSeparator" w:id="0">
    <w:p w14:paraId="2BA3C9FC" w14:textId="77777777" w:rsidR="00CE5480" w:rsidRDefault="00CE54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B7093B" w14:textId="77777777" w:rsidR="00CE5480" w:rsidRDefault="00CE5480">
    <w:pPr>
      <w:pStyle w:val="Header"/>
    </w:pPr>
    <w:r>
      <w:tab/>
    </w:r>
  </w:p>
  <w:p w14:paraId="40F45C2A" w14:textId="0775CE7A" w:rsidR="00CE5480" w:rsidRDefault="00CE5480" w:rsidP="00CD2A04">
    <w:pPr>
      <w:pStyle w:val="Header"/>
      <w:jc w:val="center"/>
    </w:pPr>
    <w:r>
      <w:t>1706862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051758"/>
    <w:multiLevelType w:val="multilevel"/>
    <w:tmpl w:val="5E4CE2E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35DF5D02"/>
    <w:multiLevelType w:val="hybridMultilevel"/>
    <w:tmpl w:val="BFA84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125FFA"/>
    <w:multiLevelType w:val="multilevel"/>
    <w:tmpl w:val="915CF91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7B5B"/>
    <w:rsid w:val="00001F93"/>
    <w:rsid w:val="00013CFF"/>
    <w:rsid w:val="00035493"/>
    <w:rsid w:val="00036505"/>
    <w:rsid w:val="0007747D"/>
    <w:rsid w:val="00091AB0"/>
    <w:rsid w:val="000B742A"/>
    <w:rsid w:val="000C2B8D"/>
    <w:rsid w:val="000E2CE8"/>
    <w:rsid w:val="000F6282"/>
    <w:rsid w:val="00103BD7"/>
    <w:rsid w:val="00104F9E"/>
    <w:rsid w:val="001106DC"/>
    <w:rsid w:val="001348CD"/>
    <w:rsid w:val="00141668"/>
    <w:rsid w:val="001443EA"/>
    <w:rsid w:val="00171E0A"/>
    <w:rsid w:val="001A1B37"/>
    <w:rsid w:val="001E1199"/>
    <w:rsid w:val="00223160"/>
    <w:rsid w:val="002A239F"/>
    <w:rsid w:val="002A4C07"/>
    <w:rsid w:val="002C651A"/>
    <w:rsid w:val="002E05F9"/>
    <w:rsid w:val="00330E6F"/>
    <w:rsid w:val="003428E8"/>
    <w:rsid w:val="00352CE3"/>
    <w:rsid w:val="00374D8D"/>
    <w:rsid w:val="003D1E87"/>
    <w:rsid w:val="003F6466"/>
    <w:rsid w:val="00412B40"/>
    <w:rsid w:val="00421DEC"/>
    <w:rsid w:val="00444891"/>
    <w:rsid w:val="004550CD"/>
    <w:rsid w:val="0046216E"/>
    <w:rsid w:val="004A4D7F"/>
    <w:rsid w:val="004B5B3A"/>
    <w:rsid w:val="004F1284"/>
    <w:rsid w:val="00507B5B"/>
    <w:rsid w:val="00593C31"/>
    <w:rsid w:val="005C50A8"/>
    <w:rsid w:val="005D12C1"/>
    <w:rsid w:val="00602A8E"/>
    <w:rsid w:val="00613C7F"/>
    <w:rsid w:val="00637ACC"/>
    <w:rsid w:val="00664C87"/>
    <w:rsid w:val="006C1284"/>
    <w:rsid w:val="006F6C2D"/>
    <w:rsid w:val="00704AF9"/>
    <w:rsid w:val="00736F16"/>
    <w:rsid w:val="007512E6"/>
    <w:rsid w:val="00763A30"/>
    <w:rsid w:val="007B09F1"/>
    <w:rsid w:val="007D39B0"/>
    <w:rsid w:val="007F167F"/>
    <w:rsid w:val="00800A53"/>
    <w:rsid w:val="00803901"/>
    <w:rsid w:val="00814F25"/>
    <w:rsid w:val="00820C89"/>
    <w:rsid w:val="00855D30"/>
    <w:rsid w:val="00920993"/>
    <w:rsid w:val="00936A84"/>
    <w:rsid w:val="00950EA4"/>
    <w:rsid w:val="00962E77"/>
    <w:rsid w:val="009A2BD9"/>
    <w:rsid w:val="00A029C9"/>
    <w:rsid w:val="00A37C0F"/>
    <w:rsid w:val="00AA7A3B"/>
    <w:rsid w:val="00AA7DCC"/>
    <w:rsid w:val="00AD1345"/>
    <w:rsid w:val="00B06A3C"/>
    <w:rsid w:val="00B172A8"/>
    <w:rsid w:val="00B40EE0"/>
    <w:rsid w:val="00B6262E"/>
    <w:rsid w:val="00B64E8B"/>
    <w:rsid w:val="00B65498"/>
    <w:rsid w:val="00B91FF2"/>
    <w:rsid w:val="00BB3DF8"/>
    <w:rsid w:val="00BB5A44"/>
    <w:rsid w:val="00BB7B18"/>
    <w:rsid w:val="00BC5701"/>
    <w:rsid w:val="00C06C8D"/>
    <w:rsid w:val="00C337B1"/>
    <w:rsid w:val="00C94861"/>
    <w:rsid w:val="00CA5659"/>
    <w:rsid w:val="00CD2A04"/>
    <w:rsid w:val="00CE5480"/>
    <w:rsid w:val="00CF495D"/>
    <w:rsid w:val="00D02C8E"/>
    <w:rsid w:val="00D05894"/>
    <w:rsid w:val="00D3216F"/>
    <w:rsid w:val="00D451B6"/>
    <w:rsid w:val="00D76E37"/>
    <w:rsid w:val="00D86A60"/>
    <w:rsid w:val="00DA4080"/>
    <w:rsid w:val="00DA4B79"/>
    <w:rsid w:val="00DC1F50"/>
    <w:rsid w:val="00DF00C7"/>
    <w:rsid w:val="00E02559"/>
    <w:rsid w:val="00E15547"/>
    <w:rsid w:val="00E23BB4"/>
    <w:rsid w:val="00E37757"/>
    <w:rsid w:val="00E82DAE"/>
    <w:rsid w:val="00E91421"/>
    <w:rsid w:val="00EC549A"/>
    <w:rsid w:val="00EE69E3"/>
    <w:rsid w:val="00F24B1E"/>
    <w:rsid w:val="00F63146"/>
    <w:rsid w:val="00FA09AF"/>
    <w:rsid w:val="00FC4159"/>
    <w:rsid w:val="00FD6FA6"/>
    <w:rsid w:val="00FF2EA7"/>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3E167"/>
  <w15:docId w15:val="{B5FAD97D-CB16-4AB0-A6C5-FCA8508C3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Cs w:val="22"/>
        <w:lang w:val="en-GB" w:eastAsia="en-US" w:bidi="ar-SA"/>
      </w:rPr>
    </w:rPrDefault>
    <w:pPrDefault>
      <w:pPr>
        <w:spacing w:line="252"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160"/>
    </w:pPr>
    <w:rPr>
      <w:color w:val="00000A"/>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rsid w:val="0097087F"/>
  </w:style>
  <w:style w:type="character" w:customStyle="1" w:styleId="FooterChar">
    <w:name w:val="Footer Char"/>
    <w:basedOn w:val="DefaultParagraphFont"/>
    <w:link w:val="Footer"/>
    <w:uiPriority w:val="99"/>
    <w:rsid w:val="0097087F"/>
  </w:style>
  <w:style w:type="character" w:customStyle="1" w:styleId="BalloonTextChar">
    <w:name w:val="Balloon Text Char"/>
    <w:basedOn w:val="DefaultParagraphFont"/>
    <w:link w:val="BalloonText"/>
    <w:uiPriority w:val="99"/>
    <w:semiHidden/>
    <w:rsid w:val="00A530AA"/>
    <w:rPr>
      <w:rFonts w:ascii="Segoe UI" w:hAnsi="Segoe UI" w:cs="Segoe UI"/>
      <w:sz w:val="18"/>
      <w:szCs w:val="18"/>
    </w:rPr>
  </w:style>
  <w:style w:type="character" w:customStyle="1" w:styleId="InternetLink">
    <w:name w:val="Internet Link"/>
    <w:basedOn w:val="DefaultParagraphFont"/>
    <w:uiPriority w:val="99"/>
    <w:unhideWhenUsed/>
    <w:rsid w:val="003A7D53"/>
    <w:rPr>
      <w:color w:val="0563C1" w:themeColor="hyperlink"/>
      <w:u w:val="single"/>
    </w:rPr>
  </w:style>
  <w:style w:type="character" w:styleId="Emphasis">
    <w:name w:val="Emphasis"/>
    <w:basedOn w:val="DefaultParagraphFont"/>
    <w:uiPriority w:val="20"/>
    <w:qFormat/>
    <w:rsid w:val="003A7D53"/>
    <w:rPr>
      <w:i/>
      <w:iCs/>
    </w:rPr>
  </w:style>
  <w:style w:type="character" w:styleId="FollowedHyperlink">
    <w:name w:val="FollowedHyperlink"/>
    <w:basedOn w:val="DefaultParagraphFont"/>
    <w:uiPriority w:val="99"/>
    <w:semiHidden/>
    <w:unhideWhenUsed/>
    <w:rsid w:val="009C53D4"/>
    <w:rPr>
      <w:color w:val="954F72" w:themeColor="followedHyperlink"/>
      <w:u w:val="single"/>
    </w:rPr>
  </w:style>
  <w:style w:type="character" w:styleId="UnresolvedMention">
    <w:name w:val="Unresolved Mention"/>
    <w:basedOn w:val="DefaultParagraphFont"/>
    <w:uiPriority w:val="99"/>
    <w:semiHidden/>
    <w:unhideWhenUsed/>
    <w:rsid w:val="009C53D4"/>
    <w:rPr>
      <w:color w:val="808080"/>
      <w:shd w:val="clear" w:color="auto" w:fill="E6E6E6"/>
    </w:rPr>
  </w:style>
  <w:style w:type="character" w:customStyle="1" w:styleId="ListLabel1">
    <w:name w:val="ListLabel 1"/>
    <w:rPr>
      <w:rFonts w:cs="Courier New"/>
    </w:rPr>
  </w:style>
  <w:style w:type="character" w:customStyle="1" w:styleId="ListLabel2">
    <w:name w:val="ListLabel 2"/>
    <w:rPr>
      <w:rFonts w:cs="Symbol"/>
    </w:rPr>
  </w:style>
  <w:style w:type="character" w:customStyle="1" w:styleId="ListLabel3">
    <w:name w:val="ListLabel 3"/>
    <w:rPr>
      <w:rFonts w:cs="Courier New"/>
    </w:rPr>
  </w:style>
  <w:style w:type="character" w:customStyle="1" w:styleId="ListLabel4">
    <w:name w:val="ListLabel 4"/>
    <w:rPr>
      <w:rFonts w:cs="Wingdings"/>
    </w:rPr>
  </w:style>
  <w:style w:type="paragraph" w:customStyle="1" w:styleId="Heading">
    <w:name w:val="Heading"/>
    <w:basedOn w:val="Normal"/>
    <w:next w:val="TextBody"/>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pPr>
      <w:suppressLineNumbers/>
      <w:spacing w:before="120" w:after="120"/>
    </w:pPr>
    <w:rPr>
      <w:rFonts w:cs="Arial"/>
      <w:i/>
      <w:iCs/>
      <w:sz w:val="24"/>
      <w:szCs w:val="24"/>
    </w:rPr>
  </w:style>
  <w:style w:type="paragraph" w:customStyle="1" w:styleId="Index">
    <w:name w:val="Index"/>
    <w:basedOn w:val="Normal"/>
    <w:pPr>
      <w:suppressLineNumbers/>
    </w:pPr>
    <w:rPr>
      <w:rFonts w:cs="Arial"/>
    </w:rPr>
  </w:style>
  <w:style w:type="paragraph" w:styleId="Header">
    <w:name w:val="header"/>
    <w:basedOn w:val="Normal"/>
    <w:link w:val="HeaderChar"/>
    <w:uiPriority w:val="99"/>
    <w:unhideWhenUsed/>
    <w:rsid w:val="0097087F"/>
    <w:pPr>
      <w:tabs>
        <w:tab w:val="center" w:pos="4513"/>
        <w:tab w:val="right" w:pos="9026"/>
      </w:tabs>
      <w:spacing w:after="0" w:line="240" w:lineRule="auto"/>
    </w:pPr>
  </w:style>
  <w:style w:type="paragraph" w:styleId="Footer">
    <w:name w:val="footer"/>
    <w:basedOn w:val="Normal"/>
    <w:link w:val="FooterChar"/>
    <w:uiPriority w:val="99"/>
    <w:unhideWhenUsed/>
    <w:rsid w:val="0097087F"/>
    <w:pPr>
      <w:tabs>
        <w:tab w:val="center" w:pos="4513"/>
        <w:tab w:val="right" w:pos="9026"/>
      </w:tabs>
      <w:spacing w:after="0" w:line="240" w:lineRule="auto"/>
    </w:pPr>
  </w:style>
  <w:style w:type="paragraph" w:styleId="BalloonText">
    <w:name w:val="Balloon Text"/>
    <w:basedOn w:val="Normal"/>
    <w:link w:val="BalloonTextChar"/>
    <w:uiPriority w:val="99"/>
    <w:semiHidden/>
    <w:unhideWhenUsed/>
    <w:rsid w:val="00A530AA"/>
    <w:pPr>
      <w:spacing w:after="0" w:line="240" w:lineRule="auto"/>
    </w:pPr>
    <w:rPr>
      <w:rFonts w:ascii="Segoe UI" w:hAnsi="Segoe UI" w:cs="Segoe UI"/>
      <w:sz w:val="18"/>
      <w:szCs w:val="18"/>
    </w:rPr>
  </w:style>
  <w:style w:type="paragraph" w:styleId="ListParagraph">
    <w:name w:val="List Paragraph"/>
    <w:basedOn w:val="Normal"/>
    <w:uiPriority w:val="34"/>
    <w:qFormat/>
    <w:rsid w:val="00CC2960"/>
    <w:pPr>
      <w:ind w:left="720"/>
      <w:contextualSpacing/>
    </w:pPr>
  </w:style>
  <w:style w:type="character" w:styleId="Hyperlink">
    <w:name w:val="Hyperlink"/>
    <w:basedOn w:val="DefaultParagraphFont"/>
    <w:uiPriority w:val="99"/>
    <w:unhideWhenUsed/>
    <w:rsid w:val="00352CE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nspcc.org.uk/preventing-abuse/child-protection-syste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gov.wales/topics/people-and-communities/people/future-generations-act/?lang=e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unicef.org.uk/what-we-do/un-convention-child-rights/" TargetMode="External"/><Relationship Id="rId4" Type="http://schemas.openxmlformats.org/officeDocument/2006/relationships/settings" Target="settings.xml"/><Relationship Id="rId9" Type="http://schemas.openxmlformats.org/officeDocument/2006/relationships/hyperlink" Target="http://www.ascd.org/ASCD/pdf/journals/ed_lead/el_199109_walker-hirsch.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9672CF-44EA-4576-BB00-C7A668CA39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538</TotalTime>
  <Pages>8</Pages>
  <Words>2204</Words>
  <Characters>12564</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E Lines</dc:creator>
  <cp:lastModifiedBy>Sue E Lines</cp:lastModifiedBy>
  <cp:revision>23</cp:revision>
  <cp:lastPrinted>2018-03-24T11:50:00Z</cp:lastPrinted>
  <dcterms:created xsi:type="dcterms:W3CDTF">2018-04-02T04:44:00Z</dcterms:created>
  <dcterms:modified xsi:type="dcterms:W3CDTF">2018-04-17T18:13:00Z</dcterms:modified>
  <dc:language>en-US</dc:language>
</cp:coreProperties>
</file>