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7ED59" w14:textId="77777777" w:rsidR="00F24FC4" w:rsidRDefault="00F24FC4">
      <w:pPr>
        <w:pStyle w:val="s2"/>
        <w:spacing w:before="0" w:beforeAutospacing="0" w:after="0" w:afterAutospacing="0"/>
        <w:jc w:val="center"/>
        <w:divId w:val="116424810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4C59291A" w14:textId="77777777" w:rsidR="00F24FC4" w:rsidRDefault="00F24FC4">
      <w:pPr>
        <w:pStyle w:val="s2"/>
        <w:spacing w:before="0" w:beforeAutospacing="0" w:after="0" w:afterAutospacing="0"/>
        <w:jc w:val="center"/>
        <w:divId w:val="1164248100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 </w:t>
      </w:r>
    </w:p>
    <w:p w14:paraId="138AA603" w14:textId="4289BA7A" w:rsidR="00F24FC4" w:rsidRDefault="00F24FC4">
      <w:pPr>
        <w:pStyle w:val="s2"/>
        <w:spacing w:before="0" w:beforeAutospacing="0" w:after="0" w:afterAutospacing="0"/>
        <w:jc w:val="center"/>
        <w:divId w:val="1164248100"/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</w:pPr>
      <w:r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>STUDENT NAME:</w:t>
      </w:r>
      <w:r w:rsidR="007771B9"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 xml:space="preserve"> </w:t>
      </w:r>
      <w:r w:rsidR="00365E36"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>Popy Akter</w:t>
      </w:r>
    </w:p>
    <w:p w14:paraId="4F96D4EE" w14:textId="77777777" w:rsidR="0070733A" w:rsidRDefault="0070733A">
      <w:pPr>
        <w:pStyle w:val="s2"/>
        <w:spacing w:before="0" w:beforeAutospacing="0" w:after="0" w:afterAutospacing="0"/>
        <w:jc w:val="center"/>
        <w:divId w:val="1164248100"/>
        <w:rPr>
          <w:rFonts w:ascii="-webkit-standard" w:hAnsi="-webkit-standard"/>
          <w:color w:val="000000"/>
          <w:sz w:val="27"/>
          <w:szCs w:val="27"/>
        </w:rPr>
      </w:pPr>
    </w:p>
    <w:p w14:paraId="490F7337" w14:textId="6F9DD2FC" w:rsidR="00F24FC4" w:rsidRDefault="00F24FC4">
      <w:pPr>
        <w:pStyle w:val="s2"/>
        <w:spacing w:before="0" w:beforeAutospacing="0" w:after="0" w:afterAutospacing="0"/>
        <w:jc w:val="center"/>
        <w:divId w:val="1164248100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>STUDENT NUMBER:</w:t>
      </w:r>
      <w:r w:rsidR="00A92526"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>2408414</w:t>
      </w:r>
    </w:p>
    <w:p w14:paraId="70C3F2AC" w14:textId="77777777" w:rsidR="00F24FC4" w:rsidRDefault="00F24FC4">
      <w:pPr>
        <w:pStyle w:val="s2"/>
        <w:spacing w:before="0" w:beforeAutospacing="0" w:after="0" w:afterAutospacing="0"/>
        <w:jc w:val="center"/>
        <w:divId w:val="1164248100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>MODULE CODE AND TITLE: BMHP5021 PROTECTING AND SUPPORTING FAMILIES IN HEALTH AND CARE</w:t>
      </w:r>
    </w:p>
    <w:p w14:paraId="2841ADB1" w14:textId="77777777" w:rsidR="00F24FC4" w:rsidRDefault="00F24FC4">
      <w:pPr>
        <w:pStyle w:val="s2"/>
        <w:spacing w:before="0" w:beforeAutospacing="0" w:after="0" w:afterAutospacing="0"/>
        <w:jc w:val="center"/>
        <w:divId w:val="1164248100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b/>
          <w:bCs/>
          <w:color w:val="000000"/>
          <w:sz w:val="36"/>
          <w:szCs w:val="36"/>
        </w:rPr>
        <w:t>ASSIGNMENT TITLE: COMPONENT 1: PRESENTATION (ROUND-THE-TABLE GROUP DISCUSSION)</w:t>
      </w:r>
    </w:p>
    <w:p w14:paraId="11FC1D5A" w14:textId="77777777" w:rsidR="00C369D8" w:rsidRDefault="00C369D8">
      <w:pPr>
        <w:pStyle w:val="s8"/>
        <w:spacing w:before="300" w:beforeAutospacing="0" w:after="9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15"/>
          <w:rFonts w:ascii="-webkit-standard" w:hAnsi="-webkit-standard"/>
          <w:b/>
          <w:bCs/>
          <w:color w:val="000000"/>
          <w:sz w:val="32"/>
          <w:szCs w:val="32"/>
        </w:rPr>
        <w:t>References</w:t>
      </w:r>
    </w:p>
    <w:p w14:paraId="0FFEC3BD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Ball, E.J., McElwee, J.D. and McManus, M.A., (2024) ‘Multi-agency safeguarding: From everyone’s responsibility to a collective responsibility’,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Journal of Community Safety and Well-Being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9(2), pp.104-108. Available at: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hyperlink r:id="rId5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https://doi.org/10.35502/jcswb.371</w:t>
        </w:r>
      </w:hyperlink>
    </w:p>
    <w:p w14:paraId="3BA7EC6C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Bendowska, A. and Baum, E., (2023) ‘The significance of cooperation in interdisciplinary health care teams as perceived by polish medical students’,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International journal of environmental research and public health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20(2), p.954. Available at: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hyperlink r:id="rId6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https://doi.org/10.3390/ijerph20020954</w:t>
        </w:r>
      </w:hyperlink>
    </w:p>
    <w:p w14:paraId="3425BF01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Cooper, J., (2023) ‘In need of what? Section 17 Provision under the Children Act 1989’,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Children &amp; Society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37(3), pp.674-688. Available at: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hyperlink r:id="rId7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https://doi.org/10.1111/chso.12519</w:t>
        </w:r>
      </w:hyperlink>
    </w:p>
    <w:p w14:paraId="271D660D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Gallagher, S. and Sutton-Tsang, S., (2025) Safeguarding: understanding your responsibilities. In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Studying for Your Early Years Degree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 (pp. 159-171). Routledge.</w:t>
      </w:r>
    </w:p>
    <w:p w14:paraId="2DE0CEA6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He, Q., Kaur, H., Ujum, D.A. and Ching, F.T.H., (2024) ‘Representing Perpetrator Trauma in Ian McEwan's The Children Act’,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Theory and Practice in Language Studies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14(8), pp.2465-2473. Available at: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>
        <w:rPr>
          <w:rFonts w:ascii="-webkit-standard" w:hAnsi="-webkit-standard"/>
          <w:color w:val="000000"/>
          <w:sz w:val="27"/>
          <w:szCs w:val="27"/>
        </w:rPr>
        <w:t>DOI: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hyperlink r:id="rId8" w:history="1">
        <w:r>
          <w:rPr>
            <w:rStyle w:val="s6"/>
            <w:rFonts w:ascii="-webkit-standard" w:hAnsi="-webkit-standard"/>
            <w:color w:val="0000FF"/>
            <w:sz w:val="27"/>
            <w:szCs w:val="27"/>
            <w:u w:val="single"/>
          </w:rPr>
          <w:t>https://doi.org/10.17507/tpls.1408.19</w:t>
        </w:r>
      </w:hyperlink>
    </w:p>
    <w:p w14:paraId="24648C8D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Johns, R. and Harry, J., (2022) Using the law in social work.</w:t>
      </w:r>
    </w:p>
    <w:p w14:paraId="4070B352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Kirkbride, J.B., Anglin, D.M., Colman, I., Dykxhoorn, J., Jones, P.B., Patalay, P., Pitman, A., Soneson, E., Steare, T., Wright, T. and Griffiths, S.L., (2024) ‘The social determinants of mental health and disorder: evidence, prevention and recommendations’,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World psychiatry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23(1), pp.58-90. . Available at: https://doi.org/10.1002/wps.21160</w:t>
      </w:r>
    </w:p>
    <w:p w14:paraId="3E9C302C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Lippard, E.T. and Nemeroff, C.B., (2023) ‘The devastating clinical consequences of child abuse and neglect: increased disease vulnerability and poor treatment response in mood disorders’,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American journal of psychiatry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180(8), pp.548-564. Available at: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hyperlink r:id="rId9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https://psychiatryonline.org/doi/abs/10.1176/appi.ajp.19010020</w:t>
        </w:r>
      </w:hyperlink>
    </w:p>
    <w:p w14:paraId="08F0EA98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Liu, X.Q. and Wang, X., (2024) ‘Adolescent suicide risk factors and the integration of social-emotional skills in school-based prevention programs’,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World journal of psychiatry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14(4), p.494. Available at: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hyperlink r:id="rId10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https://pmc.ncbi.nlm.nih.gov/articles/PMC11036461/</w:t>
        </w:r>
      </w:hyperlink>
    </w:p>
    <w:p w14:paraId="1D647E32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Main, P., (2023) ‘Bowlby's Attachment Theory’,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Preuzeto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7, p.2024. Available at: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hyperlink r:id="rId11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https://www.structural-learning.com/post/bowlbys-attachment-theory</w:t>
        </w:r>
      </w:hyperlink>
    </w:p>
    <w:p w14:paraId="334A07C0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Majebi, N.L., Drakeford, O.M., Adelodun, M.O. and Chinyere, E., (2023) ‘Leveraging digital health tools to improve early detection and management of developmental disorders in children’,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World Journal of Advanced Science and Technology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, 4(1), pp.025-032. Available at:</w:t>
      </w:r>
      <w:r>
        <w:rPr>
          <w:rStyle w:val="apple-converted-space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  <w:hyperlink r:id="rId12" w:history="1">
        <w:r>
          <w:rPr>
            <w:rStyle w:val="s13"/>
            <w:rFonts w:ascii="-webkit-standard" w:hAnsi="-webkit-standard"/>
            <w:color w:val="0000FF"/>
            <w:sz w:val="27"/>
            <w:szCs w:val="27"/>
            <w:u w:val="single"/>
            <w:shd w:val="clear" w:color="auto" w:fill="FFFFFF"/>
          </w:rPr>
          <w:t>https://doi.org/10.53346/wjast.2023.4.1.0072</w:t>
        </w:r>
      </w:hyperlink>
    </w:p>
    <w:p w14:paraId="3A182472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Oates, F., (2026)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Trauma Informed Support and Supervision for Those Working with Children at Risk: Implementing the TISS Model in Practice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. Taylor &amp; Francis.</w:t>
      </w:r>
    </w:p>
    <w:p w14:paraId="4B3AFF22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O'Halloran, K., (2022)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The principle of the welfare of the child: a history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. Routledge.</w:t>
      </w:r>
    </w:p>
    <w:p w14:paraId="315A8D66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Peters, T.L., (2024)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Children’s Services: One Big Happy Family?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 </w:t>
      </w:r>
    </w:p>
    <w:p w14:paraId="79EF57EB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color w:val="000000"/>
          <w:sz w:val="27"/>
          <w:szCs w:val="27"/>
        </w:rPr>
        <w:t>Public Health England (2018)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>
        <w:rPr>
          <w:rStyle w:val="s10"/>
          <w:rFonts w:ascii="-webkit-standard" w:hAnsi="-webkit-standard"/>
          <w:i/>
          <w:iCs/>
          <w:color w:val="000000"/>
          <w:sz w:val="27"/>
          <w:szCs w:val="27"/>
        </w:rPr>
        <w:t>Adverse childhood experiences (ACEs): applying all our health</w:t>
      </w:r>
      <w:r>
        <w:rPr>
          <w:rFonts w:ascii="-webkit-standard" w:hAnsi="-webkit-standard"/>
          <w:color w:val="000000"/>
          <w:sz w:val="27"/>
          <w:szCs w:val="27"/>
        </w:rPr>
        <w:t>. London: PHE.</w:t>
      </w:r>
    </w:p>
    <w:p w14:paraId="6E0CD8B7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Scaife, J., (2024)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Deciding children's futures: An expert guide to assessments for safeguarding and promoting children's welfare in the family court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. Routledge.</w:t>
      </w:r>
    </w:p>
    <w:p w14:paraId="7DE2D88A" w14:textId="77777777" w:rsidR="00C369D8" w:rsidRDefault="00C369D8">
      <w:pPr>
        <w:pStyle w:val="s14"/>
        <w:spacing w:before="0" w:beforeAutospacing="0" w:after="180" w:afterAutospacing="0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Wilson, S., Cowan, T., Flynn, J. and Heaslip, V., (2025) Child Protection and Safeguarding. In </w:t>
      </w:r>
      <w:r>
        <w:rPr>
          <w:rStyle w:val="s12"/>
          <w:rFonts w:ascii="-webkit-standard" w:hAnsi="-webkit-standard"/>
          <w:i/>
          <w:iCs/>
          <w:color w:val="222222"/>
          <w:sz w:val="27"/>
          <w:szCs w:val="27"/>
          <w:shd w:val="clear" w:color="auto" w:fill="FFFFFF"/>
        </w:rPr>
        <w:t>Needs of Children and Young People Living with Complex Mental Health Difficulties: Why it’s Everyone’s Business</w:t>
      </w:r>
      <w:r>
        <w:rPr>
          <w:rStyle w:val="s11"/>
          <w:rFonts w:ascii="-webkit-standard" w:hAnsi="-webkit-standard"/>
          <w:color w:val="222222"/>
          <w:sz w:val="27"/>
          <w:szCs w:val="27"/>
          <w:shd w:val="clear" w:color="auto" w:fill="FFFFFF"/>
        </w:rPr>
        <w:t> (pp. 139-156). Cham: Springer Nature Switzerland.</w:t>
      </w:r>
    </w:p>
    <w:p w14:paraId="029A3447" w14:textId="77777777" w:rsidR="00C369D8" w:rsidRDefault="00C369D8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  <w:r>
        <w:rPr>
          <w:rStyle w:val="bumpedfont20"/>
          <w:rFonts w:ascii="-webkit-standard" w:hAnsi="-webkit-standard"/>
          <w:color w:val="000000"/>
          <w:sz w:val="30"/>
          <w:szCs w:val="30"/>
        </w:rPr>
        <w:t>1</w:t>
      </w:r>
    </w:p>
    <w:p w14:paraId="2C078BB2" w14:textId="77777777" w:rsidR="00C369D8" w:rsidRDefault="00C369D8"/>
    <w:sectPr w:rsidR="00C36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9D8"/>
    <w:rsid w:val="002D7C77"/>
    <w:rsid w:val="00365E36"/>
    <w:rsid w:val="003702D8"/>
    <w:rsid w:val="006305CB"/>
    <w:rsid w:val="0070733A"/>
    <w:rsid w:val="007335C1"/>
    <w:rsid w:val="007771B9"/>
    <w:rsid w:val="009C2D38"/>
    <w:rsid w:val="00A17EBB"/>
    <w:rsid w:val="00A92526"/>
    <w:rsid w:val="00BB07B5"/>
    <w:rsid w:val="00C369D8"/>
    <w:rsid w:val="00EB1D0A"/>
    <w:rsid w:val="00EC1C8E"/>
    <w:rsid w:val="00F2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798863"/>
  <w15:chartTrackingRefBased/>
  <w15:docId w15:val="{A2E279FD-F5C3-BE4A-8757-74C5343E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8">
    <w:name w:val="s8"/>
    <w:basedOn w:val="Normal"/>
    <w:rsid w:val="00C369D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bumpedfont15">
    <w:name w:val="bumpedfont15"/>
    <w:basedOn w:val="DefaultParagraphFont"/>
    <w:rsid w:val="00C369D8"/>
  </w:style>
  <w:style w:type="paragraph" w:customStyle="1" w:styleId="s14">
    <w:name w:val="s14"/>
    <w:basedOn w:val="Normal"/>
    <w:rsid w:val="00C369D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s11">
    <w:name w:val="s11"/>
    <w:basedOn w:val="DefaultParagraphFont"/>
    <w:rsid w:val="00C369D8"/>
  </w:style>
  <w:style w:type="character" w:customStyle="1" w:styleId="apple-converted-space">
    <w:name w:val="apple-converted-space"/>
    <w:basedOn w:val="DefaultParagraphFont"/>
    <w:rsid w:val="00C369D8"/>
  </w:style>
  <w:style w:type="character" w:customStyle="1" w:styleId="s12">
    <w:name w:val="s12"/>
    <w:basedOn w:val="DefaultParagraphFont"/>
    <w:rsid w:val="00C369D8"/>
  </w:style>
  <w:style w:type="character" w:customStyle="1" w:styleId="s13">
    <w:name w:val="s13"/>
    <w:basedOn w:val="DefaultParagraphFont"/>
    <w:rsid w:val="00C369D8"/>
  </w:style>
  <w:style w:type="character" w:customStyle="1" w:styleId="s6">
    <w:name w:val="s6"/>
    <w:basedOn w:val="DefaultParagraphFont"/>
    <w:rsid w:val="00C369D8"/>
  </w:style>
  <w:style w:type="character" w:customStyle="1" w:styleId="s10">
    <w:name w:val="s10"/>
    <w:basedOn w:val="DefaultParagraphFont"/>
    <w:rsid w:val="00C369D8"/>
  </w:style>
  <w:style w:type="paragraph" w:styleId="NormalWeb">
    <w:name w:val="Normal (Web)"/>
    <w:basedOn w:val="Normal"/>
    <w:uiPriority w:val="99"/>
    <w:semiHidden/>
    <w:unhideWhenUsed/>
    <w:rsid w:val="00C369D8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bumpedfont20">
    <w:name w:val="bumpedfont20"/>
    <w:basedOn w:val="DefaultParagraphFont"/>
    <w:rsid w:val="00C369D8"/>
  </w:style>
  <w:style w:type="paragraph" w:customStyle="1" w:styleId="s2">
    <w:name w:val="s2"/>
    <w:basedOn w:val="Normal"/>
    <w:rsid w:val="00F24FC4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24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7507/tpls.1408.19" TargetMode="Externa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doi.org/10.1111/chso.12519" TargetMode="External" /><Relationship Id="rId12" Type="http://schemas.openxmlformats.org/officeDocument/2006/relationships/hyperlink" Target="https://doi.org/10.53346/wjast.2023.4.1.0072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doi.org/10.3390/ijerph20020954" TargetMode="External" /><Relationship Id="rId11" Type="http://schemas.openxmlformats.org/officeDocument/2006/relationships/hyperlink" Target="https://www.structural-learning.com/post/bowlbys-attachment-theory" TargetMode="External" /><Relationship Id="rId5" Type="http://schemas.openxmlformats.org/officeDocument/2006/relationships/hyperlink" Target="https://doi.org/10.35502/jcswb.371" TargetMode="External" /><Relationship Id="rId10" Type="http://schemas.openxmlformats.org/officeDocument/2006/relationships/hyperlink" Target="https://pmc.ncbi.nlm.nih.gov/articles/PMC11036461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psychiatryonline.org/doi/abs/10.1176/appi.ajp.19010020" TargetMode="Externa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614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Popy Aktar (2408414)</dc:creator>
  <cp:keywords/>
  <dc:description/>
  <cp:lastModifiedBy>Popy Aktar (2408414)</cp:lastModifiedBy>
  <cp:revision>6</cp:revision>
  <dcterms:created xsi:type="dcterms:W3CDTF">2026-02-23T12:43:00Z</dcterms:created>
  <dcterms:modified xsi:type="dcterms:W3CDTF">2026-02-23T13:27:00Z</dcterms:modified>
</cp:coreProperties>
</file>