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BA574F" w14:textId="77777777" w:rsidR="003D52AF" w:rsidRDefault="003D52AF">
      <w:pPr>
        <w:jc w:val="center"/>
        <w:rPr>
          <w:b/>
          <w:sz w:val="32"/>
          <w:szCs w:val="32"/>
        </w:rPr>
      </w:pPr>
    </w:p>
    <w:p w14:paraId="5CB4665C" w14:textId="77777777" w:rsidR="003D52AF" w:rsidRDefault="003D52AF">
      <w:pPr>
        <w:jc w:val="center"/>
        <w:rPr>
          <w:b/>
          <w:sz w:val="32"/>
          <w:szCs w:val="32"/>
        </w:rPr>
      </w:pPr>
    </w:p>
    <w:p w14:paraId="0FC7D082" w14:textId="77777777" w:rsidR="003D52AF" w:rsidRDefault="003D52AF">
      <w:pPr>
        <w:jc w:val="center"/>
        <w:rPr>
          <w:b/>
          <w:sz w:val="32"/>
          <w:szCs w:val="32"/>
        </w:rPr>
      </w:pPr>
    </w:p>
    <w:p w14:paraId="7F96D314" w14:textId="77777777" w:rsidR="003D52AF" w:rsidRDefault="003D52AF">
      <w:pPr>
        <w:jc w:val="center"/>
        <w:rPr>
          <w:b/>
          <w:sz w:val="32"/>
          <w:szCs w:val="32"/>
        </w:rPr>
      </w:pPr>
    </w:p>
    <w:p w14:paraId="582CADE2" w14:textId="77777777" w:rsidR="00327FC3" w:rsidRDefault="00327FC3">
      <w:pPr>
        <w:spacing w:line="360" w:lineRule="auto"/>
        <w:jc w:val="center"/>
        <w:rPr>
          <w:b/>
          <w:sz w:val="32"/>
          <w:szCs w:val="32"/>
        </w:rPr>
      </w:pPr>
    </w:p>
    <w:p w14:paraId="4517AE76" w14:textId="77777777" w:rsidR="00327FC3" w:rsidRDefault="00327FC3">
      <w:pPr>
        <w:spacing w:line="360" w:lineRule="auto"/>
        <w:jc w:val="center"/>
        <w:rPr>
          <w:b/>
          <w:sz w:val="32"/>
          <w:szCs w:val="32"/>
        </w:rPr>
      </w:pPr>
    </w:p>
    <w:p w14:paraId="388CCC45" w14:textId="77777777" w:rsidR="00327FC3" w:rsidRDefault="00327FC3">
      <w:pPr>
        <w:spacing w:line="360" w:lineRule="auto"/>
        <w:jc w:val="center"/>
        <w:rPr>
          <w:b/>
          <w:sz w:val="32"/>
          <w:szCs w:val="32"/>
        </w:rPr>
      </w:pPr>
    </w:p>
    <w:p w14:paraId="0C854005" w14:textId="77777777" w:rsidR="00327FC3" w:rsidRDefault="00327FC3">
      <w:pPr>
        <w:spacing w:line="360" w:lineRule="auto"/>
        <w:jc w:val="center"/>
        <w:rPr>
          <w:b/>
          <w:sz w:val="32"/>
          <w:szCs w:val="32"/>
        </w:rPr>
      </w:pPr>
    </w:p>
    <w:p w14:paraId="6EF5C832" w14:textId="77777777" w:rsidR="00327FC3" w:rsidRDefault="00327FC3">
      <w:pPr>
        <w:spacing w:line="360" w:lineRule="auto"/>
        <w:jc w:val="center"/>
        <w:rPr>
          <w:b/>
          <w:sz w:val="32"/>
          <w:szCs w:val="32"/>
        </w:rPr>
      </w:pPr>
    </w:p>
    <w:p w14:paraId="660E11D6" w14:textId="77777777" w:rsidR="00912328" w:rsidRPr="00912328" w:rsidRDefault="00912328" w:rsidP="00912328">
      <w:pPr>
        <w:spacing w:line="360" w:lineRule="auto"/>
        <w:jc w:val="center"/>
        <w:rPr>
          <w:b/>
          <w:sz w:val="32"/>
          <w:szCs w:val="32"/>
        </w:rPr>
      </w:pPr>
      <w:r>
        <w:rPr>
          <w:b/>
          <w:sz w:val="32"/>
          <w:szCs w:val="32"/>
        </w:rPr>
        <w:t>Component 1</w:t>
      </w:r>
    </w:p>
    <w:p w14:paraId="44CF1955" w14:textId="0F51BF72" w:rsidR="00912328" w:rsidRDefault="00912328" w:rsidP="00912328">
      <w:pPr>
        <w:spacing w:line="360" w:lineRule="auto"/>
        <w:jc w:val="center"/>
        <w:rPr>
          <w:b/>
          <w:sz w:val="32"/>
          <w:szCs w:val="32"/>
        </w:rPr>
      </w:pPr>
      <w:r w:rsidRPr="00912328">
        <w:rPr>
          <w:b/>
          <w:sz w:val="32"/>
          <w:szCs w:val="32"/>
        </w:rPr>
        <w:t>Coursework: Written Repor</w:t>
      </w:r>
      <w:r w:rsidR="00AD4BF1">
        <w:rPr>
          <w:b/>
          <w:sz w:val="32"/>
          <w:szCs w:val="32"/>
        </w:rPr>
        <w:t>t</w:t>
      </w:r>
    </w:p>
    <w:p w14:paraId="433317E1" w14:textId="3DCE2713" w:rsidR="00AD4BF1" w:rsidRDefault="00AD4BF1" w:rsidP="00912328">
      <w:pPr>
        <w:spacing w:line="360" w:lineRule="auto"/>
        <w:jc w:val="center"/>
        <w:rPr>
          <w:b/>
          <w:sz w:val="32"/>
          <w:szCs w:val="32"/>
        </w:rPr>
      </w:pPr>
      <w:r>
        <w:rPr>
          <w:b/>
          <w:sz w:val="32"/>
          <w:szCs w:val="32"/>
        </w:rPr>
        <w:t xml:space="preserve">International Financial Management </w:t>
      </w:r>
      <w:r w:rsidR="008B5505">
        <w:rPr>
          <w:b/>
          <w:sz w:val="32"/>
          <w:szCs w:val="32"/>
        </w:rPr>
        <w:t>(LCBB6002)</w:t>
      </w:r>
    </w:p>
    <w:p w14:paraId="14755047" w14:textId="1A95492F" w:rsidR="008B5505" w:rsidRDefault="008B5505" w:rsidP="00912328">
      <w:pPr>
        <w:spacing w:line="360" w:lineRule="auto"/>
        <w:jc w:val="center"/>
        <w:rPr>
          <w:b/>
          <w:sz w:val="32"/>
          <w:szCs w:val="32"/>
        </w:rPr>
      </w:pPr>
      <w:proofErr w:type="gramStart"/>
      <w:r>
        <w:rPr>
          <w:b/>
          <w:sz w:val="32"/>
          <w:szCs w:val="32"/>
        </w:rPr>
        <w:t>Lecture :</w:t>
      </w:r>
      <w:proofErr w:type="gramEnd"/>
      <w:r>
        <w:rPr>
          <w:b/>
          <w:sz w:val="32"/>
          <w:szCs w:val="32"/>
        </w:rPr>
        <w:t xml:space="preserve"> </w:t>
      </w:r>
      <w:proofErr w:type="spellStart"/>
      <w:r>
        <w:rPr>
          <w:b/>
          <w:sz w:val="32"/>
          <w:szCs w:val="32"/>
        </w:rPr>
        <w:t>Dr.Andry</w:t>
      </w:r>
      <w:proofErr w:type="spellEnd"/>
      <w:r>
        <w:rPr>
          <w:b/>
          <w:sz w:val="32"/>
          <w:szCs w:val="32"/>
        </w:rPr>
        <w:t xml:space="preserve"> </w:t>
      </w:r>
      <w:proofErr w:type="spellStart"/>
      <w:r>
        <w:rPr>
          <w:b/>
          <w:sz w:val="32"/>
          <w:szCs w:val="32"/>
        </w:rPr>
        <w:t>Rakotovololona</w:t>
      </w:r>
      <w:proofErr w:type="spellEnd"/>
    </w:p>
    <w:p w14:paraId="580B9C82" w14:textId="3A098738" w:rsidR="003D52AF" w:rsidRDefault="005977F7" w:rsidP="00912328">
      <w:pPr>
        <w:spacing w:line="360" w:lineRule="auto"/>
        <w:jc w:val="center"/>
      </w:pPr>
      <w:r>
        <w:t xml:space="preserve">Student </w:t>
      </w:r>
      <w:proofErr w:type="gramStart"/>
      <w:r>
        <w:t>Name</w:t>
      </w:r>
      <w:r w:rsidR="008B5505">
        <w:t xml:space="preserve"> </w:t>
      </w:r>
      <w:r>
        <w:t>:</w:t>
      </w:r>
      <w:r w:rsidR="00C2416F">
        <w:t>Elena</w:t>
      </w:r>
      <w:proofErr w:type="gramEnd"/>
      <w:r w:rsidR="00C2416F">
        <w:t xml:space="preserve"> -Mihaela </w:t>
      </w:r>
      <w:r w:rsidR="002E680F">
        <w:t>Bucur</w:t>
      </w:r>
    </w:p>
    <w:p w14:paraId="507FFDC5" w14:textId="570EA090" w:rsidR="003D52AF" w:rsidRDefault="005977F7">
      <w:pPr>
        <w:spacing w:line="360" w:lineRule="auto"/>
        <w:jc w:val="center"/>
        <w:rPr>
          <w:b/>
        </w:rPr>
      </w:pPr>
      <w:r>
        <w:t>Student ID:</w:t>
      </w:r>
      <w:r w:rsidR="002E680F">
        <w:t>2</w:t>
      </w:r>
      <w:r w:rsidR="00FF75AA">
        <w:t>133670</w:t>
      </w:r>
      <w:r>
        <w:br w:type="page"/>
      </w:r>
    </w:p>
    <w:p w14:paraId="59374089" w14:textId="77777777" w:rsidR="003D52AF" w:rsidRDefault="005977F7">
      <w:pPr>
        <w:spacing w:line="360" w:lineRule="auto"/>
        <w:jc w:val="center"/>
        <w:rPr>
          <w:b/>
        </w:rPr>
      </w:pPr>
      <w:r>
        <w:rPr>
          <w:b/>
        </w:rPr>
        <w:lastRenderedPageBreak/>
        <w:t>Table of Contents</w:t>
      </w:r>
    </w:p>
    <w:p w14:paraId="37B3BD08" w14:textId="77777777" w:rsidR="003D52AF" w:rsidRDefault="003D52AF">
      <w:pPr>
        <w:spacing w:line="360" w:lineRule="auto"/>
        <w:jc w:val="center"/>
        <w:rPr>
          <w:b/>
        </w:rPr>
      </w:pPr>
    </w:p>
    <w:sdt>
      <w:sdtPr>
        <w:id w:val="1692270784"/>
        <w:docPartObj>
          <w:docPartGallery w:val="Table of Contents"/>
          <w:docPartUnique/>
        </w:docPartObj>
      </w:sdtPr>
      <w:sdtContent>
        <w:p w14:paraId="0567C004" w14:textId="77777777" w:rsidR="00EC177A" w:rsidRDefault="005977F7">
          <w:pPr>
            <w:pStyle w:val="TOC1"/>
            <w:tabs>
              <w:tab w:val="right" w:pos="9350"/>
            </w:tabs>
            <w:rPr>
              <w:noProof/>
            </w:rPr>
          </w:pPr>
          <w:r>
            <w:fldChar w:fldCharType="begin"/>
          </w:r>
          <w:r>
            <w:instrText xml:space="preserve"> TOC \h \u \z \t "Heading 1,1,Heading 2,2,Heading 3,3,Heading 4,4,Heading 5,5,Heading 6,6,"</w:instrText>
          </w:r>
          <w:r>
            <w:fldChar w:fldCharType="separate"/>
          </w:r>
          <w:hyperlink w:anchor="_Toc172652935" w:history="1">
            <w:r w:rsidR="00EC177A" w:rsidRPr="00C8230F">
              <w:rPr>
                <w:rStyle w:val="Hyperlink"/>
                <w:noProof/>
              </w:rPr>
              <w:t>1. Introduction</w:t>
            </w:r>
            <w:r w:rsidR="00EC177A">
              <w:rPr>
                <w:noProof/>
                <w:webHidden/>
              </w:rPr>
              <w:tab/>
            </w:r>
            <w:r w:rsidR="00EC177A">
              <w:rPr>
                <w:noProof/>
                <w:webHidden/>
              </w:rPr>
              <w:fldChar w:fldCharType="begin"/>
            </w:r>
            <w:r w:rsidR="00EC177A">
              <w:rPr>
                <w:noProof/>
                <w:webHidden/>
              </w:rPr>
              <w:instrText xml:space="preserve"> PAGEREF _Toc172652935 \h </w:instrText>
            </w:r>
            <w:r w:rsidR="00EC177A">
              <w:rPr>
                <w:noProof/>
                <w:webHidden/>
              </w:rPr>
            </w:r>
            <w:r w:rsidR="00EC177A">
              <w:rPr>
                <w:noProof/>
                <w:webHidden/>
              </w:rPr>
              <w:fldChar w:fldCharType="separate"/>
            </w:r>
            <w:r w:rsidR="00EC177A">
              <w:rPr>
                <w:noProof/>
                <w:webHidden/>
              </w:rPr>
              <w:t>3</w:t>
            </w:r>
            <w:r w:rsidR="00EC177A">
              <w:rPr>
                <w:noProof/>
                <w:webHidden/>
              </w:rPr>
              <w:fldChar w:fldCharType="end"/>
            </w:r>
          </w:hyperlink>
        </w:p>
        <w:p w14:paraId="783E0056" w14:textId="77777777" w:rsidR="00EC177A" w:rsidRDefault="00000000">
          <w:pPr>
            <w:pStyle w:val="TOC1"/>
            <w:tabs>
              <w:tab w:val="right" w:pos="9350"/>
            </w:tabs>
            <w:rPr>
              <w:noProof/>
            </w:rPr>
          </w:pPr>
          <w:hyperlink w:anchor="_Toc172652936" w:history="1">
            <w:r w:rsidR="00EC177A" w:rsidRPr="00C8230F">
              <w:rPr>
                <w:rStyle w:val="Hyperlink"/>
                <w:noProof/>
              </w:rPr>
              <w:t>2. Relevant Theories and Models of International Financial Management</w:t>
            </w:r>
            <w:r w:rsidR="00EC177A">
              <w:rPr>
                <w:noProof/>
                <w:webHidden/>
              </w:rPr>
              <w:tab/>
            </w:r>
            <w:r w:rsidR="00EC177A">
              <w:rPr>
                <w:noProof/>
                <w:webHidden/>
              </w:rPr>
              <w:fldChar w:fldCharType="begin"/>
            </w:r>
            <w:r w:rsidR="00EC177A">
              <w:rPr>
                <w:noProof/>
                <w:webHidden/>
              </w:rPr>
              <w:instrText xml:space="preserve"> PAGEREF _Toc172652936 \h </w:instrText>
            </w:r>
            <w:r w:rsidR="00EC177A">
              <w:rPr>
                <w:noProof/>
                <w:webHidden/>
              </w:rPr>
            </w:r>
            <w:r w:rsidR="00EC177A">
              <w:rPr>
                <w:noProof/>
                <w:webHidden/>
              </w:rPr>
              <w:fldChar w:fldCharType="separate"/>
            </w:r>
            <w:r w:rsidR="00EC177A">
              <w:rPr>
                <w:noProof/>
                <w:webHidden/>
              </w:rPr>
              <w:t>3</w:t>
            </w:r>
            <w:r w:rsidR="00EC177A">
              <w:rPr>
                <w:noProof/>
                <w:webHidden/>
              </w:rPr>
              <w:fldChar w:fldCharType="end"/>
            </w:r>
          </w:hyperlink>
        </w:p>
        <w:p w14:paraId="7D9FEDDB" w14:textId="77777777" w:rsidR="00EC177A" w:rsidRDefault="00000000">
          <w:pPr>
            <w:pStyle w:val="TOC1"/>
            <w:tabs>
              <w:tab w:val="right" w:pos="9350"/>
            </w:tabs>
            <w:rPr>
              <w:noProof/>
            </w:rPr>
          </w:pPr>
          <w:hyperlink w:anchor="_Toc172652937" w:history="1">
            <w:r w:rsidR="00EC177A" w:rsidRPr="00C8230F">
              <w:rPr>
                <w:rStyle w:val="Hyperlink"/>
                <w:noProof/>
              </w:rPr>
              <w:t>3. Various Methods and Techniques to the Financing of an international business</w:t>
            </w:r>
            <w:r w:rsidR="00EC177A">
              <w:rPr>
                <w:noProof/>
                <w:webHidden/>
              </w:rPr>
              <w:tab/>
            </w:r>
            <w:r w:rsidR="00EC177A">
              <w:rPr>
                <w:noProof/>
                <w:webHidden/>
              </w:rPr>
              <w:fldChar w:fldCharType="begin"/>
            </w:r>
            <w:r w:rsidR="00EC177A">
              <w:rPr>
                <w:noProof/>
                <w:webHidden/>
              </w:rPr>
              <w:instrText xml:space="preserve"> PAGEREF _Toc172652937 \h </w:instrText>
            </w:r>
            <w:r w:rsidR="00EC177A">
              <w:rPr>
                <w:noProof/>
                <w:webHidden/>
              </w:rPr>
            </w:r>
            <w:r w:rsidR="00EC177A">
              <w:rPr>
                <w:noProof/>
                <w:webHidden/>
              </w:rPr>
              <w:fldChar w:fldCharType="separate"/>
            </w:r>
            <w:r w:rsidR="00EC177A">
              <w:rPr>
                <w:noProof/>
                <w:webHidden/>
              </w:rPr>
              <w:t>5</w:t>
            </w:r>
            <w:r w:rsidR="00EC177A">
              <w:rPr>
                <w:noProof/>
                <w:webHidden/>
              </w:rPr>
              <w:fldChar w:fldCharType="end"/>
            </w:r>
          </w:hyperlink>
        </w:p>
        <w:p w14:paraId="7B74EC1B" w14:textId="77777777" w:rsidR="00EC177A" w:rsidRDefault="00000000">
          <w:pPr>
            <w:pStyle w:val="TOC1"/>
            <w:tabs>
              <w:tab w:val="right" w:pos="9350"/>
            </w:tabs>
            <w:rPr>
              <w:noProof/>
            </w:rPr>
          </w:pPr>
          <w:hyperlink w:anchor="_Toc172652938" w:history="1">
            <w:r w:rsidR="00EC177A" w:rsidRPr="00C8230F">
              <w:rPr>
                <w:rStyle w:val="Hyperlink"/>
                <w:noProof/>
              </w:rPr>
              <w:t>4. Various Theoretical Models of Corporate Value, International Cost of Capital and Financial Structure</w:t>
            </w:r>
            <w:r w:rsidR="00EC177A">
              <w:rPr>
                <w:noProof/>
                <w:webHidden/>
              </w:rPr>
              <w:tab/>
            </w:r>
            <w:r w:rsidR="00EC177A">
              <w:rPr>
                <w:noProof/>
                <w:webHidden/>
              </w:rPr>
              <w:fldChar w:fldCharType="begin"/>
            </w:r>
            <w:r w:rsidR="00EC177A">
              <w:rPr>
                <w:noProof/>
                <w:webHidden/>
              </w:rPr>
              <w:instrText xml:space="preserve"> PAGEREF _Toc172652938 \h </w:instrText>
            </w:r>
            <w:r w:rsidR="00EC177A">
              <w:rPr>
                <w:noProof/>
                <w:webHidden/>
              </w:rPr>
            </w:r>
            <w:r w:rsidR="00EC177A">
              <w:rPr>
                <w:noProof/>
                <w:webHidden/>
              </w:rPr>
              <w:fldChar w:fldCharType="separate"/>
            </w:r>
            <w:r w:rsidR="00EC177A">
              <w:rPr>
                <w:noProof/>
                <w:webHidden/>
              </w:rPr>
              <w:t>6</w:t>
            </w:r>
            <w:r w:rsidR="00EC177A">
              <w:rPr>
                <w:noProof/>
                <w:webHidden/>
              </w:rPr>
              <w:fldChar w:fldCharType="end"/>
            </w:r>
          </w:hyperlink>
        </w:p>
        <w:p w14:paraId="4F92CA42" w14:textId="77777777" w:rsidR="00EC177A" w:rsidRDefault="00000000">
          <w:pPr>
            <w:pStyle w:val="TOC2"/>
            <w:tabs>
              <w:tab w:val="right" w:pos="9350"/>
            </w:tabs>
            <w:rPr>
              <w:noProof/>
            </w:rPr>
          </w:pPr>
          <w:hyperlink w:anchor="_Toc172652939" w:history="1">
            <w:r w:rsidR="00EC177A" w:rsidRPr="00C8230F">
              <w:rPr>
                <w:rStyle w:val="Hyperlink"/>
                <w:noProof/>
              </w:rPr>
              <w:t>4.1 Theoretical Models of Corporate Value</w:t>
            </w:r>
            <w:r w:rsidR="00EC177A">
              <w:rPr>
                <w:noProof/>
                <w:webHidden/>
              </w:rPr>
              <w:tab/>
            </w:r>
            <w:r w:rsidR="00EC177A">
              <w:rPr>
                <w:noProof/>
                <w:webHidden/>
              </w:rPr>
              <w:fldChar w:fldCharType="begin"/>
            </w:r>
            <w:r w:rsidR="00EC177A">
              <w:rPr>
                <w:noProof/>
                <w:webHidden/>
              </w:rPr>
              <w:instrText xml:space="preserve"> PAGEREF _Toc172652939 \h </w:instrText>
            </w:r>
            <w:r w:rsidR="00EC177A">
              <w:rPr>
                <w:noProof/>
                <w:webHidden/>
              </w:rPr>
            </w:r>
            <w:r w:rsidR="00EC177A">
              <w:rPr>
                <w:noProof/>
                <w:webHidden/>
              </w:rPr>
              <w:fldChar w:fldCharType="separate"/>
            </w:r>
            <w:r w:rsidR="00EC177A">
              <w:rPr>
                <w:noProof/>
                <w:webHidden/>
              </w:rPr>
              <w:t>6</w:t>
            </w:r>
            <w:r w:rsidR="00EC177A">
              <w:rPr>
                <w:noProof/>
                <w:webHidden/>
              </w:rPr>
              <w:fldChar w:fldCharType="end"/>
            </w:r>
          </w:hyperlink>
        </w:p>
        <w:p w14:paraId="4D6628F5" w14:textId="77777777" w:rsidR="00EC177A" w:rsidRDefault="00000000">
          <w:pPr>
            <w:pStyle w:val="TOC2"/>
            <w:tabs>
              <w:tab w:val="right" w:pos="9350"/>
            </w:tabs>
            <w:rPr>
              <w:noProof/>
            </w:rPr>
          </w:pPr>
          <w:hyperlink w:anchor="_Toc172652940" w:history="1">
            <w:r w:rsidR="00EC177A" w:rsidRPr="00C8230F">
              <w:rPr>
                <w:rStyle w:val="Hyperlink"/>
                <w:noProof/>
              </w:rPr>
              <w:t>4.2 Theoretical Models of International Cost of Capital</w:t>
            </w:r>
            <w:r w:rsidR="00EC177A">
              <w:rPr>
                <w:noProof/>
                <w:webHidden/>
              </w:rPr>
              <w:tab/>
            </w:r>
            <w:r w:rsidR="00EC177A">
              <w:rPr>
                <w:noProof/>
                <w:webHidden/>
              </w:rPr>
              <w:fldChar w:fldCharType="begin"/>
            </w:r>
            <w:r w:rsidR="00EC177A">
              <w:rPr>
                <w:noProof/>
                <w:webHidden/>
              </w:rPr>
              <w:instrText xml:space="preserve"> PAGEREF _Toc172652940 \h </w:instrText>
            </w:r>
            <w:r w:rsidR="00EC177A">
              <w:rPr>
                <w:noProof/>
                <w:webHidden/>
              </w:rPr>
            </w:r>
            <w:r w:rsidR="00EC177A">
              <w:rPr>
                <w:noProof/>
                <w:webHidden/>
              </w:rPr>
              <w:fldChar w:fldCharType="separate"/>
            </w:r>
            <w:r w:rsidR="00EC177A">
              <w:rPr>
                <w:noProof/>
                <w:webHidden/>
              </w:rPr>
              <w:t>8</w:t>
            </w:r>
            <w:r w:rsidR="00EC177A">
              <w:rPr>
                <w:noProof/>
                <w:webHidden/>
              </w:rPr>
              <w:fldChar w:fldCharType="end"/>
            </w:r>
          </w:hyperlink>
        </w:p>
        <w:p w14:paraId="633E16D1" w14:textId="77777777" w:rsidR="00EC177A" w:rsidRDefault="00000000">
          <w:pPr>
            <w:pStyle w:val="TOC2"/>
            <w:tabs>
              <w:tab w:val="right" w:pos="9350"/>
            </w:tabs>
            <w:rPr>
              <w:noProof/>
            </w:rPr>
          </w:pPr>
          <w:hyperlink w:anchor="_Toc172652941" w:history="1">
            <w:r w:rsidR="00EC177A" w:rsidRPr="00C8230F">
              <w:rPr>
                <w:rStyle w:val="Hyperlink"/>
                <w:noProof/>
              </w:rPr>
              <w:t>4.3 Theoretical Models of Financial Structure</w:t>
            </w:r>
            <w:r w:rsidR="00EC177A">
              <w:rPr>
                <w:noProof/>
                <w:webHidden/>
              </w:rPr>
              <w:tab/>
            </w:r>
            <w:r w:rsidR="00EC177A">
              <w:rPr>
                <w:noProof/>
                <w:webHidden/>
              </w:rPr>
              <w:fldChar w:fldCharType="begin"/>
            </w:r>
            <w:r w:rsidR="00EC177A">
              <w:rPr>
                <w:noProof/>
                <w:webHidden/>
              </w:rPr>
              <w:instrText xml:space="preserve"> PAGEREF _Toc172652941 \h </w:instrText>
            </w:r>
            <w:r w:rsidR="00EC177A">
              <w:rPr>
                <w:noProof/>
                <w:webHidden/>
              </w:rPr>
            </w:r>
            <w:r w:rsidR="00EC177A">
              <w:rPr>
                <w:noProof/>
                <w:webHidden/>
              </w:rPr>
              <w:fldChar w:fldCharType="separate"/>
            </w:r>
            <w:r w:rsidR="00EC177A">
              <w:rPr>
                <w:noProof/>
                <w:webHidden/>
              </w:rPr>
              <w:t>10</w:t>
            </w:r>
            <w:r w:rsidR="00EC177A">
              <w:rPr>
                <w:noProof/>
                <w:webHidden/>
              </w:rPr>
              <w:fldChar w:fldCharType="end"/>
            </w:r>
          </w:hyperlink>
        </w:p>
        <w:p w14:paraId="5FFE4BA1" w14:textId="77777777" w:rsidR="00EC177A" w:rsidRDefault="00000000">
          <w:pPr>
            <w:pStyle w:val="TOC1"/>
            <w:tabs>
              <w:tab w:val="right" w:pos="9350"/>
            </w:tabs>
            <w:rPr>
              <w:noProof/>
            </w:rPr>
          </w:pPr>
          <w:hyperlink w:anchor="_Toc172652942" w:history="1">
            <w:r w:rsidR="00EC177A" w:rsidRPr="00C8230F">
              <w:rPr>
                <w:rStyle w:val="Hyperlink"/>
                <w:noProof/>
              </w:rPr>
              <w:t>5. Conclusion</w:t>
            </w:r>
            <w:r w:rsidR="00EC177A">
              <w:rPr>
                <w:noProof/>
                <w:webHidden/>
              </w:rPr>
              <w:tab/>
            </w:r>
            <w:r w:rsidR="00EC177A">
              <w:rPr>
                <w:noProof/>
                <w:webHidden/>
              </w:rPr>
              <w:fldChar w:fldCharType="begin"/>
            </w:r>
            <w:r w:rsidR="00EC177A">
              <w:rPr>
                <w:noProof/>
                <w:webHidden/>
              </w:rPr>
              <w:instrText xml:space="preserve"> PAGEREF _Toc172652942 \h </w:instrText>
            </w:r>
            <w:r w:rsidR="00EC177A">
              <w:rPr>
                <w:noProof/>
                <w:webHidden/>
              </w:rPr>
            </w:r>
            <w:r w:rsidR="00EC177A">
              <w:rPr>
                <w:noProof/>
                <w:webHidden/>
              </w:rPr>
              <w:fldChar w:fldCharType="separate"/>
            </w:r>
            <w:r w:rsidR="00EC177A">
              <w:rPr>
                <w:noProof/>
                <w:webHidden/>
              </w:rPr>
              <w:t>11</w:t>
            </w:r>
            <w:r w:rsidR="00EC177A">
              <w:rPr>
                <w:noProof/>
                <w:webHidden/>
              </w:rPr>
              <w:fldChar w:fldCharType="end"/>
            </w:r>
          </w:hyperlink>
        </w:p>
        <w:p w14:paraId="39A85B6C" w14:textId="77777777" w:rsidR="00EC177A" w:rsidRDefault="00000000">
          <w:pPr>
            <w:pStyle w:val="TOC1"/>
            <w:tabs>
              <w:tab w:val="right" w:pos="9350"/>
            </w:tabs>
            <w:rPr>
              <w:noProof/>
            </w:rPr>
          </w:pPr>
          <w:hyperlink w:anchor="_Toc172652943" w:history="1">
            <w:r w:rsidR="00EC177A" w:rsidRPr="00C8230F">
              <w:rPr>
                <w:rStyle w:val="Hyperlink"/>
                <w:noProof/>
              </w:rPr>
              <w:t>References</w:t>
            </w:r>
            <w:r w:rsidR="00EC177A">
              <w:rPr>
                <w:noProof/>
                <w:webHidden/>
              </w:rPr>
              <w:tab/>
            </w:r>
            <w:r w:rsidR="00EC177A">
              <w:rPr>
                <w:noProof/>
                <w:webHidden/>
              </w:rPr>
              <w:fldChar w:fldCharType="begin"/>
            </w:r>
            <w:r w:rsidR="00EC177A">
              <w:rPr>
                <w:noProof/>
                <w:webHidden/>
              </w:rPr>
              <w:instrText xml:space="preserve"> PAGEREF _Toc172652943 \h </w:instrText>
            </w:r>
            <w:r w:rsidR="00EC177A">
              <w:rPr>
                <w:noProof/>
                <w:webHidden/>
              </w:rPr>
            </w:r>
            <w:r w:rsidR="00EC177A">
              <w:rPr>
                <w:noProof/>
                <w:webHidden/>
              </w:rPr>
              <w:fldChar w:fldCharType="separate"/>
            </w:r>
            <w:r w:rsidR="00EC177A">
              <w:rPr>
                <w:noProof/>
                <w:webHidden/>
              </w:rPr>
              <w:t>12</w:t>
            </w:r>
            <w:r w:rsidR="00EC177A">
              <w:rPr>
                <w:noProof/>
                <w:webHidden/>
              </w:rPr>
              <w:fldChar w:fldCharType="end"/>
            </w:r>
          </w:hyperlink>
        </w:p>
        <w:p w14:paraId="0AC80259" w14:textId="77777777" w:rsidR="003D52AF" w:rsidRDefault="005977F7">
          <w:pPr>
            <w:widowControl w:val="0"/>
            <w:tabs>
              <w:tab w:val="right" w:pos="9360"/>
            </w:tabs>
            <w:spacing w:before="60" w:line="240" w:lineRule="auto"/>
            <w:rPr>
              <w:color w:val="000000"/>
            </w:rPr>
          </w:pPr>
          <w:r>
            <w:fldChar w:fldCharType="end"/>
          </w:r>
        </w:p>
      </w:sdtContent>
    </w:sdt>
    <w:p w14:paraId="360EC814" w14:textId="77777777" w:rsidR="003D52AF" w:rsidRDefault="003D52AF">
      <w:pPr>
        <w:spacing w:line="360" w:lineRule="auto"/>
        <w:jc w:val="center"/>
        <w:rPr>
          <w:b/>
        </w:rPr>
      </w:pPr>
    </w:p>
    <w:p w14:paraId="701E867F" w14:textId="77777777" w:rsidR="003D52AF" w:rsidRDefault="003D52AF"/>
    <w:p w14:paraId="5E1AB12B" w14:textId="77777777" w:rsidR="003D52AF" w:rsidRDefault="005977F7">
      <w:pPr>
        <w:pStyle w:val="Heading1"/>
        <w:spacing w:line="360" w:lineRule="auto"/>
      </w:pPr>
      <w:bookmarkStart w:id="0" w:name="_cnli9lfvy48o" w:colFirst="0" w:colLast="0"/>
      <w:bookmarkEnd w:id="0"/>
      <w:r>
        <w:br w:type="page"/>
      </w:r>
    </w:p>
    <w:p w14:paraId="410BA233" w14:textId="77777777" w:rsidR="003D52AF" w:rsidRDefault="005977F7" w:rsidP="00327FC3">
      <w:pPr>
        <w:pStyle w:val="Heading1"/>
        <w:spacing w:line="360" w:lineRule="auto"/>
      </w:pPr>
      <w:bookmarkStart w:id="1" w:name="_Toc172652935"/>
      <w:r>
        <w:lastRenderedPageBreak/>
        <w:t>1. Introduction</w:t>
      </w:r>
      <w:bookmarkEnd w:id="1"/>
      <w:r>
        <w:t xml:space="preserve"> </w:t>
      </w:r>
    </w:p>
    <w:p w14:paraId="765A67B9" w14:textId="77777777" w:rsidR="003D52AF" w:rsidRDefault="005977F7" w:rsidP="00327FC3">
      <w:pPr>
        <w:spacing w:line="360" w:lineRule="auto"/>
        <w:jc w:val="both"/>
      </w:pPr>
      <w:r>
        <w:t xml:space="preserve">Financial management is a method of controlling the flow of money in and out of an </w:t>
      </w:r>
      <w:proofErr w:type="spellStart"/>
      <w:r>
        <w:t>organsation</w:t>
      </w:r>
      <w:proofErr w:type="spellEnd"/>
      <w:r>
        <w:t>. International Financial management encompasses the needs of every international business to sell services or products, balance the books, pay expenses and file taxes along with more complex processes such as, buying supplies, paying employees and submitting financial reports to Government agencies, by showing the obedience of the international organisations to the applicable regulations and laws. The aim of the report is to evaluate various theoretical frameworks and strategies that the multinational corporations use based on different International Financial Management (IFM) theories, in managing their exposure to foreign exchange risks.</w:t>
      </w:r>
    </w:p>
    <w:p w14:paraId="054A2550" w14:textId="77777777" w:rsidR="003D52AF" w:rsidRDefault="005977F7" w:rsidP="00327FC3">
      <w:pPr>
        <w:pStyle w:val="Heading1"/>
        <w:spacing w:line="360" w:lineRule="auto"/>
        <w:jc w:val="both"/>
      </w:pPr>
      <w:bookmarkStart w:id="2" w:name="_Toc172652936"/>
      <w:r>
        <w:t>2. Relevant Theories and Models of International Financial Management</w:t>
      </w:r>
      <w:bookmarkEnd w:id="2"/>
    </w:p>
    <w:p w14:paraId="08862058" w14:textId="77777777" w:rsidR="003D52AF" w:rsidRDefault="005977F7" w:rsidP="00327FC3">
      <w:pPr>
        <w:spacing w:line="360" w:lineRule="auto"/>
        <w:rPr>
          <w:b/>
          <w:i/>
        </w:rPr>
      </w:pPr>
      <w:r>
        <w:rPr>
          <w:b/>
          <w:i/>
        </w:rPr>
        <w:t xml:space="preserve">International Fisher Effect  </w:t>
      </w:r>
    </w:p>
    <w:p w14:paraId="1C937EE0" w14:textId="77777777" w:rsidR="003D52AF" w:rsidRDefault="005977F7" w:rsidP="00327FC3">
      <w:pPr>
        <w:spacing w:line="360" w:lineRule="auto"/>
        <w:jc w:val="both"/>
      </w:pPr>
      <w:r>
        <w:t>The “International Fisher Effect (IFE)” is an economic theory to state the difference between the formal interest rates between two countries, due to the direct proportional to the changes in exchange rates of different currencies of the two countries, at any given time (</w:t>
      </w:r>
      <w:proofErr w:type="spellStart"/>
      <w:r>
        <w:rPr>
          <w:color w:val="222222"/>
          <w:highlight w:val="white"/>
        </w:rPr>
        <w:t>Gürkaynak</w:t>
      </w:r>
      <w:proofErr w:type="spellEnd"/>
      <w:r>
        <w:rPr>
          <w:color w:val="222222"/>
          <w:highlight w:val="white"/>
        </w:rPr>
        <w:t xml:space="preserve"> </w:t>
      </w:r>
      <w:r>
        <w:rPr>
          <w:i/>
          <w:color w:val="222222"/>
          <w:highlight w:val="white"/>
        </w:rPr>
        <w:t>et al</w:t>
      </w:r>
      <w:r>
        <w:rPr>
          <w:color w:val="222222"/>
          <w:highlight w:val="white"/>
        </w:rPr>
        <w:t>. 2021)</w:t>
      </w:r>
      <w:r>
        <w:t xml:space="preserve">. </w:t>
      </w:r>
      <w:proofErr w:type="gramStart"/>
      <w:r>
        <w:t>On the basis of</w:t>
      </w:r>
      <w:proofErr w:type="gramEnd"/>
      <w:r>
        <w:t xml:space="preserve"> the independent nature of interest rates on other monetary variables, that provides a strong indication of the way the currency of a specific country is performing, the International Fisher Effect theory was recognised. </w:t>
      </w:r>
    </w:p>
    <w:p w14:paraId="617725F9" w14:textId="77777777" w:rsidR="003D52AF" w:rsidRDefault="005977F7" w:rsidP="00327FC3">
      <w:pPr>
        <w:spacing w:line="360" w:lineRule="auto"/>
        <w:jc w:val="both"/>
      </w:pPr>
      <w:r>
        <w:t>The formula of International Fisher Effect is a financial and economic equation, relating to the nominal interest rates, expected inflation rates and real interest rates (</w:t>
      </w:r>
      <w:proofErr w:type="spellStart"/>
      <w:r>
        <w:rPr>
          <w:color w:val="222222"/>
          <w:highlight w:val="white"/>
        </w:rPr>
        <w:t>Shobande</w:t>
      </w:r>
      <w:proofErr w:type="spellEnd"/>
      <w:r>
        <w:rPr>
          <w:color w:val="222222"/>
          <w:highlight w:val="white"/>
        </w:rPr>
        <w:t xml:space="preserve"> and </w:t>
      </w:r>
      <w:proofErr w:type="spellStart"/>
      <w:r>
        <w:rPr>
          <w:color w:val="222222"/>
          <w:highlight w:val="white"/>
        </w:rPr>
        <w:t>Shodipe</w:t>
      </w:r>
      <w:proofErr w:type="spellEnd"/>
      <w:r>
        <w:rPr>
          <w:color w:val="222222"/>
          <w:highlight w:val="white"/>
        </w:rPr>
        <w:t>, 2021)</w:t>
      </w:r>
      <w:r>
        <w:t>. For example, if in the United States, the nominal interest rate is greater than that of the United Kingdom, the currency value of the former country should fall by th</w:t>
      </w:r>
      <w:r w:rsidR="00284666">
        <w:t>e differentiated interest rates</w:t>
      </w:r>
      <w:r>
        <w:t xml:space="preserve"> (</w:t>
      </w:r>
      <w:proofErr w:type="spellStart"/>
      <w:r>
        <w:rPr>
          <w:color w:val="222222"/>
          <w:highlight w:val="white"/>
        </w:rPr>
        <w:t>Gürkaynak</w:t>
      </w:r>
      <w:proofErr w:type="spellEnd"/>
      <w:r>
        <w:rPr>
          <w:color w:val="222222"/>
          <w:highlight w:val="white"/>
        </w:rPr>
        <w:t xml:space="preserve"> </w:t>
      </w:r>
      <w:r>
        <w:rPr>
          <w:i/>
          <w:color w:val="222222"/>
          <w:highlight w:val="white"/>
        </w:rPr>
        <w:t>et al</w:t>
      </w:r>
      <w:r>
        <w:rPr>
          <w:color w:val="222222"/>
          <w:highlight w:val="white"/>
        </w:rPr>
        <w:t>. 2021)</w:t>
      </w:r>
      <w:r w:rsidR="00327FC3">
        <w:t xml:space="preserve">. The formula </w:t>
      </w:r>
      <w:r>
        <w:t>for calculating the strategy of international fisher effect is</w:t>
      </w:r>
    </w:p>
    <w:p w14:paraId="32F8B00D" w14:textId="77777777" w:rsidR="003D52AF" w:rsidRDefault="005977F7" w:rsidP="00327FC3">
      <w:pPr>
        <w:spacing w:line="360" w:lineRule="auto"/>
        <w:jc w:val="center"/>
        <w:rPr>
          <w:b/>
        </w:rPr>
      </w:pPr>
      <w:r>
        <w:rPr>
          <w:b/>
          <w:noProof/>
        </w:rPr>
        <w:lastRenderedPageBreak/>
        <w:drawing>
          <wp:inline distT="114300" distB="114300" distL="114300" distR="114300" wp14:anchorId="33FAD12F" wp14:editId="3837C314">
            <wp:extent cx="3919538" cy="2466975"/>
            <wp:effectExtent l="25400" t="25400" r="25400" b="2540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6"/>
                    <a:srcRect/>
                    <a:stretch>
                      <a:fillRect/>
                    </a:stretch>
                  </pic:blipFill>
                  <pic:spPr>
                    <a:xfrm>
                      <a:off x="0" y="0"/>
                      <a:ext cx="3919538" cy="2466975"/>
                    </a:xfrm>
                    <a:prstGeom prst="rect">
                      <a:avLst/>
                    </a:prstGeom>
                    <a:ln w="25400">
                      <a:solidFill>
                        <a:srgbClr val="000000"/>
                      </a:solidFill>
                      <a:prstDash val="solid"/>
                    </a:ln>
                  </pic:spPr>
                </pic:pic>
              </a:graphicData>
            </a:graphic>
          </wp:inline>
        </w:drawing>
      </w:r>
    </w:p>
    <w:p w14:paraId="0986C076" w14:textId="77777777" w:rsidR="003D52AF" w:rsidRDefault="005977F7" w:rsidP="00327FC3">
      <w:pPr>
        <w:spacing w:line="360" w:lineRule="auto"/>
        <w:jc w:val="center"/>
        <w:rPr>
          <w:b/>
        </w:rPr>
      </w:pPr>
      <w:r>
        <w:rPr>
          <w:b/>
        </w:rPr>
        <w:t xml:space="preserve">Figure 1: International Fisher Effect (IFE) </w:t>
      </w:r>
    </w:p>
    <w:p w14:paraId="11922B43" w14:textId="77777777" w:rsidR="003D52AF" w:rsidRDefault="005977F7" w:rsidP="00327FC3">
      <w:pPr>
        <w:spacing w:line="360" w:lineRule="auto"/>
        <w:jc w:val="center"/>
      </w:pPr>
      <w:r>
        <w:t xml:space="preserve">(Source: </w:t>
      </w:r>
      <w:proofErr w:type="spellStart"/>
      <w:r>
        <w:rPr>
          <w:color w:val="222222"/>
          <w:highlight w:val="white"/>
        </w:rPr>
        <w:t>Shobande</w:t>
      </w:r>
      <w:proofErr w:type="spellEnd"/>
      <w:r>
        <w:rPr>
          <w:color w:val="222222"/>
          <w:highlight w:val="white"/>
        </w:rPr>
        <w:t xml:space="preserve"> and </w:t>
      </w:r>
      <w:proofErr w:type="spellStart"/>
      <w:r>
        <w:rPr>
          <w:color w:val="222222"/>
          <w:highlight w:val="white"/>
        </w:rPr>
        <w:t>Shodipe</w:t>
      </w:r>
      <w:proofErr w:type="spellEnd"/>
      <w:r>
        <w:rPr>
          <w:color w:val="222222"/>
          <w:highlight w:val="white"/>
        </w:rPr>
        <w:t>, 2021</w:t>
      </w:r>
      <w:r>
        <w:t>)</w:t>
      </w:r>
    </w:p>
    <w:p w14:paraId="2F926C41" w14:textId="77777777" w:rsidR="003D52AF" w:rsidRDefault="005977F7" w:rsidP="00327FC3">
      <w:pPr>
        <w:spacing w:line="360" w:lineRule="auto"/>
        <w:jc w:val="both"/>
        <w:rPr>
          <w:b/>
        </w:rPr>
      </w:pPr>
      <w:r>
        <w:rPr>
          <w:b/>
        </w:rPr>
        <w:t>“Real Interest Rate (Fisher Effect) = Nominal Interest Rate - Expected Inflation Rate”</w:t>
      </w:r>
    </w:p>
    <w:p w14:paraId="1F4FB4F5" w14:textId="77777777" w:rsidR="003D52AF" w:rsidRDefault="005977F7" w:rsidP="00327FC3">
      <w:pPr>
        <w:spacing w:line="360" w:lineRule="auto"/>
        <w:jc w:val="both"/>
      </w:pPr>
      <w:r>
        <w:t>International companies like Nike use the International Fisher Effect theory in relation to the hedging strategies to overcome foreign exchange risks in the cases such as a stronger dollar makes overseas production cheaper but the value of earned revenue is reduced in foreign currencies, due to the fluctuation in currency rates (</w:t>
      </w:r>
      <w:r>
        <w:rPr>
          <w:color w:val="222222"/>
          <w:highlight w:val="white"/>
        </w:rPr>
        <w:t>Sec.Gov, 2024)</w:t>
      </w:r>
      <w:r>
        <w:t xml:space="preserve">. </w:t>
      </w:r>
    </w:p>
    <w:p w14:paraId="4FDDEF73" w14:textId="77777777" w:rsidR="003D52AF" w:rsidRDefault="005977F7" w:rsidP="00327FC3">
      <w:pPr>
        <w:spacing w:line="360" w:lineRule="auto"/>
        <w:jc w:val="both"/>
        <w:rPr>
          <w:b/>
          <w:i/>
        </w:rPr>
      </w:pPr>
      <w:r>
        <w:rPr>
          <w:b/>
          <w:i/>
        </w:rPr>
        <w:t>Purchasing Power Parity</w:t>
      </w:r>
    </w:p>
    <w:p w14:paraId="1037DD75" w14:textId="77777777" w:rsidR="003D52AF" w:rsidRDefault="005977F7" w:rsidP="00327FC3">
      <w:pPr>
        <w:spacing w:line="360" w:lineRule="auto"/>
        <w:jc w:val="both"/>
      </w:pPr>
      <w:r>
        <w:t>“Purchasing Power Parity is a macroeconomic analysis metrics” to analyse and compare the economic standard and productivity of living between countries (</w:t>
      </w:r>
      <w:r>
        <w:rPr>
          <w:color w:val="222222"/>
          <w:highlight w:val="white"/>
        </w:rPr>
        <w:t>Egilsson, 2020)</w:t>
      </w:r>
      <w:r>
        <w:t>. Through a “basket of goods” approach, a comparison to the currencies of different countries with the involvement of purchasing power parity strategy, where PPP stands as the exchange rate, in which the currency of one nation is converted into another for purchasing the same or the same amounts of a larger group of products (</w:t>
      </w:r>
      <w:r>
        <w:rPr>
          <w:color w:val="222222"/>
          <w:highlight w:val="white"/>
        </w:rPr>
        <w:t xml:space="preserve">Vo </w:t>
      </w:r>
      <w:r>
        <w:rPr>
          <w:i/>
          <w:color w:val="222222"/>
          <w:highlight w:val="white"/>
        </w:rPr>
        <w:t>et al.</w:t>
      </w:r>
      <w:r>
        <w:rPr>
          <w:color w:val="222222"/>
          <w:highlight w:val="white"/>
        </w:rPr>
        <w:t xml:space="preserve"> 2023)</w:t>
      </w:r>
      <w:r>
        <w:t xml:space="preserve">. The calculation of “Purchasing Power Parity” is </w:t>
      </w:r>
    </w:p>
    <w:p w14:paraId="4A377A57" w14:textId="77777777" w:rsidR="003D52AF" w:rsidRDefault="005977F7" w:rsidP="00327FC3">
      <w:pPr>
        <w:spacing w:line="360" w:lineRule="auto"/>
        <w:jc w:val="center"/>
        <w:rPr>
          <w:b/>
        </w:rPr>
      </w:pPr>
      <w:r>
        <w:rPr>
          <w:b/>
        </w:rPr>
        <w:t>“S = P1/ P2”</w:t>
      </w:r>
    </w:p>
    <w:p w14:paraId="4D5D3538" w14:textId="77777777" w:rsidR="003D52AF" w:rsidRDefault="00327FC3" w:rsidP="00327FC3">
      <w:pPr>
        <w:spacing w:line="360" w:lineRule="auto"/>
        <w:jc w:val="both"/>
      </w:pPr>
      <w:r>
        <w:t xml:space="preserve">“Where, </w:t>
      </w:r>
      <w:r w:rsidR="005977F7">
        <w:t>S = the exchange rate of currency 1 to that of currency 2</w:t>
      </w:r>
    </w:p>
    <w:p w14:paraId="0BCF887A" w14:textId="77777777" w:rsidR="003D52AF" w:rsidRDefault="005977F7" w:rsidP="00327FC3">
      <w:pPr>
        <w:spacing w:line="360" w:lineRule="auto"/>
        <w:jc w:val="both"/>
      </w:pPr>
      <w:r>
        <w:tab/>
        <w:t xml:space="preserve">P1 = the cost of good X in currency 1 </w:t>
      </w:r>
    </w:p>
    <w:p w14:paraId="33B36FB6" w14:textId="77777777" w:rsidR="003D52AF" w:rsidRDefault="005977F7" w:rsidP="00327FC3">
      <w:pPr>
        <w:spacing w:line="360" w:lineRule="auto"/>
        <w:jc w:val="both"/>
      </w:pPr>
      <w:r>
        <w:tab/>
        <w:t>P2 = the cost of good X in currency 2”</w:t>
      </w:r>
    </w:p>
    <w:p w14:paraId="05D16639" w14:textId="77777777" w:rsidR="003D52AF" w:rsidRDefault="005977F7" w:rsidP="00327FC3">
      <w:pPr>
        <w:spacing w:line="360" w:lineRule="auto"/>
        <w:jc w:val="center"/>
      </w:pPr>
      <w:r>
        <w:rPr>
          <w:noProof/>
        </w:rPr>
        <w:lastRenderedPageBreak/>
        <w:drawing>
          <wp:inline distT="114300" distB="114300" distL="114300" distR="114300" wp14:anchorId="4E43A949" wp14:editId="14C23941">
            <wp:extent cx="3386138" cy="2238375"/>
            <wp:effectExtent l="25400" t="25400" r="25400" b="2540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3386138" cy="2238375"/>
                    </a:xfrm>
                    <a:prstGeom prst="rect">
                      <a:avLst/>
                    </a:prstGeom>
                    <a:ln w="25400">
                      <a:solidFill>
                        <a:srgbClr val="000000"/>
                      </a:solidFill>
                      <a:prstDash val="solid"/>
                    </a:ln>
                  </pic:spPr>
                </pic:pic>
              </a:graphicData>
            </a:graphic>
          </wp:inline>
        </w:drawing>
      </w:r>
    </w:p>
    <w:p w14:paraId="4D4B48A9" w14:textId="77777777" w:rsidR="003D52AF" w:rsidRDefault="005977F7" w:rsidP="00327FC3">
      <w:pPr>
        <w:spacing w:line="360" w:lineRule="auto"/>
        <w:jc w:val="center"/>
        <w:rPr>
          <w:b/>
        </w:rPr>
      </w:pPr>
      <w:r>
        <w:rPr>
          <w:b/>
        </w:rPr>
        <w:t>Figure 2: “Purchasing Power Parity”</w:t>
      </w:r>
    </w:p>
    <w:p w14:paraId="5C2F5ED3" w14:textId="77777777" w:rsidR="003D52AF" w:rsidRDefault="005977F7" w:rsidP="00327FC3">
      <w:pPr>
        <w:spacing w:line="360" w:lineRule="auto"/>
        <w:jc w:val="center"/>
      </w:pPr>
      <w:r>
        <w:t>(Source: (</w:t>
      </w:r>
      <w:r>
        <w:rPr>
          <w:color w:val="222222"/>
          <w:highlight w:val="white"/>
        </w:rPr>
        <w:t>Egilsson, 2020)</w:t>
      </w:r>
      <w:r>
        <w:t>)</w:t>
      </w:r>
    </w:p>
    <w:p w14:paraId="20559FEB" w14:textId="77777777" w:rsidR="003D52AF" w:rsidRDefault="005977F7" w:rsidP="00327FC3">
      <w:pPr>
        <w:spacing w:line="360" w:lineRule="auto"/>
        <w:jc w:val="both"/>
      </w:pPr>
      <w:r>
        <w:t xml:space="preserve">“Purchasing Power Parity is one of the </w:t>
      </w:r>
      <w:proofErr w:type="gramStart"/>
      <w:r>
        <w:t>most  common</w:t>
      </w:r>
      <w:proofErr w:type="gramEnd"/>
      <w:r>
        <w:t xml:space="preserve"> metrics to measure the gross domestic product, related to the total market value of the goods and services produced in a country within a given period” (</w:t>
      </w:r>
      <w:r>
        <w:rPr>
          <w:color w:val="222222"/>
          <w:highlight w:val="white"/>
        </w:rPr>
        <w:t>Egilsson, 2020)</w:t>
      </w:r>
      <w:r>
        <w:t>. For example, McDonald uses the Purchasing Power Parity theory in the pricing strategy based on local purchasing power, where a McDonald in the USA priced differently than in India, considering the average income and cost of living in each country (</w:t>
      </w:r>
      <w:r>
        <w:rPr>
          <w:color w:val="222222"/>
          <w:highlight w:val="white"/>
        </w:rPr>
        <w:t>Economist, 2024)</w:t>
      </w:r>
      <w:r>
        <w:t xml:space="preserve">. </w:t>
      </w:r>
    </w:p>
    <w:p w14:paraId="0FE4B6FE" w14:textId="77777777" w:rsidR="003D52AF" w:rsidRDefault="00284666" w:rsidP="00327FC3">
      <w:pPr>
        <w:pStyle w:val="Heading1"/>
        <w:spacing w:line="360" w:lineRule="auto"/>
      </w:pPr>
      <w:bookmarkStart w:id="3" w:name="_Toc172652937"/>
      <w:r>
        <w:t xml:space="preserve">3. </w:t>
      </w:r>
      <w:r w:rsidR="005977F7">
        <w:t>Various Methods and Techniques to the Financi</w:t>
      </w:r>
      <w:r>
        <w:t>ng of an international business</w:t>
      </w:r>
      <w:bookmarkEnd w:id="3"/>
    </w:p>
    <w:p w14:paraId="544CDFBA" w14:textId="77777777" w:rsidR="003D52AF" w:rsidRDefault="005977F7" w:rsidP="00327FC3">
      <w:pPr>
        <w:spacing w:line="360" w:lineRule="auto"/>
        <w:jc w:val="both"/>
      </w:pPr>
      <w:r>
        <w:t>Strategies to manage foreign exchange risks in multinational corporations are to transact their own currency, build protection into commercial relationships and hedging related to natural foreign exchange (</w:t>
      </w:r>
      <w:proofErr w:type="spellStart"/>
      <w:r>
        <w:rPr>
          <w:color w:val="222222"/>
          <w:highlight w:val="white"/>
        </w:rPr>
        <w:t>Azwari</w:t>
      </w:r>
      <w:proofErr w:type="spellEnd"/>
      <w:r>
        <w:rPr>
          <w:color w:val="222222"/>
          <w:highlight w:val="white"/>
        </w:rPr>
        <w:t xml:space="preserve"> </w:t>
      </w:r>
      <w:r>
        <w:rPr>
          <w:i/>
          <w:color w:val="222222"/>
          <w:highlight w:val="white"/>
        </w:rPr>
        <w:t>et al</w:t>
      </w:r>
      <w:r>
        <w:rPr>
          <w:color w:val="222222"/>
          <w:highlight w:val="white"/>
        </w:rPr>
        <w:t>. 2022)</w:t>
      </w:r>
      <w:r>
        <w:t xml:space="preserve">. Forward contracts, short time borrowing and currency options in the hedging technique are used by the MNCs to manage foreign exchange risks. </w:t>
      </w:r>
    </w:p>
    <w:p w14:paraId="242FB7EA" w14:textId="77777777" w:rsidR="003D52AF" w:rsidRDefault="005977F7" w:rsidP="00327FC3">
      <w:pPr>
        <w:spacing w:line="360" w:lineRule="auto"/>
        <w:jc w:val="both"/>
        <w:rPr>
          <w:b/>
          <w:i/>
        </w:rPr>
      </w:pPr>
      <w:r>
        <w:rPr>
          <w:b/>
          <w:i/>
        </w:rPr>
        <w:t>Transact own Currency</w:t>
      </w:r>
    </w:p>
    <w:p w14:paraId="55AF6193" w14:textId="77777777" w:rsidR="003D52AF" w:rsidRDefault="005977F7" w:rsidP="00327FC3">
      <w:pPr>
        <w:spacing w:line="360" w:lineRule="auto"/>
        <w:jc w:val="both"/>
      </w:pPr>
      <w:r>
        <w:t>Strong brand companies can invoice in a single currency, like USD, by passing exchange risks to customers (</w:t>
      </w:r>
      <w:proofErr w:type="spellStart"/>
      <w:r>
        <w:rPr>
          <w:color w:val="222222"/>
          <w:highlight w:val="white"/>
        </w:rPr>
        <w:t>Shenkar</w:t>
      </w:r>
      <w:proofErr w:type="spellEnd"/>
      <w:r>
        <w:rPr>
          <w:color w:val="222222"/>
          <w:highlight w:val="white"/>
        </w:rPr>
        <w:t xml:space="preserve"> </w:t>
      </w:r>
      <w:r>
        <w:rPr>
          <w:i/>
          <w:color w:val="222222"/>
          <w:highlight w:val="white"/>
        </w:rPr>
        <w:t>et al.</w:t>
      </w:r>
      <w:r>
        <w:rPr>
          <w:color w:val="222222"/>
          <w:highlight w:val="white"/>
        </w:rPr>
        <w:t xml:space="preserve"> 2021)</w:t>
      </w:r>
      <w:r>
        <w:t>. The method is easier online, rather than in traditional practices, through local costs like salaries and taxes, which must be in local currency.</w:t>
      </w:r>
    </w:p>
    <w:p w14:paraId="443F2EE0" w14:textId="77777777" w:rsidR="003D52AF" w:rsidRDefault="005977F7" w:rsidP="00327FC3">
      <w:pPr>
        <w:spacing w:line="360" w:lineRule="auto"/>
        <w:jc w:val="both"/>
        <w:rPr>
          <w:b/>
          <w:i/>
        </w:rPr>
      </w:pPr>
      <w:r>
        <w:rPr>
          <w:b/>
          <w:i/>
        </w:rPr>
        <w:t>Hedging related to natural foreign exchange</w:t>
      </w:r>
    </w:p>
    <w:p w14:paraId="46F6257C" w14:textId="77777777" w:rsidR="003D52AF" w:rsidRDefault="005977F7" w:rsidP="00327FC3">
      <w:pPr>
        <w:spacing w:line="360" w:lineRule="auto"/>
        <w:jc w:val="both"/>
      </w:pPr>
      <w:r>
        <w:t>By matching revenues and costs, a natural foreign exchange hedge enables to minimise the net exposure in foreign currencies with the requirement of a financial team for managing balance sheet and multi-currency P&amp;B with the help of forward exchange contracts and currency options (</w:t>
      </w:r>
      <w:r>
        <w:rPr>
          <w:color w:val="222222"/>
          <w:highlight w:val="white"/>
        </w:rPr>
        <w:t>Coronel-</w:t>
      </w:r>
      <w:proofErr w:type="spellStart"/>
      <w:r>
        <w:rPr>
          <w:color w:val="222222"/>
          <w:highlight w:val="white"/>
        </w:rPr>
        <w:t>Pangol</w:t>
      </w:r>
      <w:proofErr w:type="spellEnd"/>
      <w:r>
        <w:rPr>
          <w:color w:val="222222"/>
          <w:highlight w:val="white"/>
        </w:rPr>
        <w:t xml:space="preserve"> </w:t>
      </w:r>
      <w:r>
        <w:rPr>
          <w:i/>
          <w:color w:val="222222"/>
          <w:highlight w:val="white"/>
        </w:rPr>
        <w:t>et al.</w:t>
      </w:r>
      <w:r>
        <w:rPr>
          <w:color w:val="222222"/>
          <w:highlight w:val="white"/>
        </w:rPr>
        <w:t xml:space="preserve"> 2022)</w:t>
      </w:r>
      <w:r>
        <w:t>.</w:t>
      </w:r>
    </w:p>
    <w:p w14:paraId="6C08E547" w14:textId="77777777" w:rsidR="003D52AF" w:rsidRDefault="005977F7" w:rsidP="00327FC3">
      <w:pPr>
        <w:spacing w:line="360" w:lineRule="auto"/>
        <w:jc w:val="both"/>
        <w:rPr>
          <w:b/>
          <w:i/>
        </w:rPr>
      </w:pPr>
      <w:r>
        <w:rPr>
          <w:b/>
          <w:i/>
        </w:rPr>
        <w:lastRenderedPageBreak/>
        <w:t>“Forward Exchange Contracts”</w:t>
      </w:r>
    </w:p>
    <w:p w14:paraId="2C50CFD4" w14:textId="77777777" w:rsidR="003D52AF" w:rsidRDefault="005977F7" w:rsidP="00327FC3">
      <w:pPr>
        <w:spacing w:line="360" w:lineRule="auto"/>
        <w:jc w:val="both"/>
      </w:pPr>
      <w:r>
        <w:t>This helps businesses to lock in foreign currency rates for future transactions besides practicing businesses against rate fluctuations (</w:t>
      </w:r>
      <w:proofErr w:type="spellStart"/>
      <w:r>
        <w:rPr>
          <w:color w:val="222222"/>
          <w:highlight w:val="white"/>
        </w:rPr>
        <w:t>Shenkar</w:t>
      </w:r>
      <w:proofErr w:type="spellEnd"/>
      <w:r>
        <w:rPr>
          <w:color w:val="222222"/>
          <w:highlight w:val="white"/>
        </w:rPr>
        <w:t xml:space="preserve"> </w:t>
      </w:r>
      <w:r>
        <w:rPr>
          <w:i/>
          <w:color w:val="222222"/>
          <w:highlight w:val="white"/>
        </w:rPr>
        <w:t>et al.</w:t>
      </w:r>
      <w:r>
        <w:rPr>
          <w:color w:val="222222"/>
          <w:highlight w:val="white"/>
        </w:rPr>
        <w:t xml:space="preserve"> 2021)</w:t>
      </w:r>
      <w:r>
        <w:t xml:space="preserve">. </w:t>
      </w:r>
    </w:p>
    <w:p w14:paraId="3341B53C" w14:textId="77777777" w:rsidR="003D52AF" w:rsidRDefault="005977F7" w:rsidP="00327FC3">
      <w:pPr>
        <w:spacing w:line="360" w:lineRule="auto"/>
        <w:jc w:val="both"/>
        <w:rPr>
          <w:b/>
          <w:i/>
        </w:rPr>
      </w:pPr>
      <w:r>
        <w:rPr>
          <w:b/>
          <w:i/>
        </w:rPr>
        <w:t>Currency options</w:t>
      </w:r>
    </w:p>
    <w:p w14:paraId="7AD281A1" w14:textId="77777777" w:rsidR="003D52AF" w:rsidRDefault="005977F7" w:rsidP="00327FC3">
      <w:pPr>
        <w:spacing w:line="360" w:lineRule="auto"/>
        <w:jc w:val="both"/>
      </w:pPr>
      <w:r>
        <w:t xml:space="preserve">Currency options </w:t>
      </w:r>
      <w:proofErr w:type="gramStart"/>
      <w:r>
        <w:t>helps</w:t>
      </w:r>
      <w:proofErr w:type="gramEnd"/>
      <w:r>
        <w:t xml:space="preserve"> businesses to safeguard foreign exchange risks with flexibility with a premium for the right to sell currency at expected rate besides avoiding completion of mandatory transactions (</w:t>
      </w:r>
      <w:proofErr w:type="spellStart"/>
      <w:r>
        <w:rPr>
          <w:color w:val="222222"/>
          <w:highlight w:val="white"/>
        </w:rPr>
        <w:t>Azwari</w:t>
      </w:r>
      <w:proofErr w:type="spellEnd"/>
      <w:r>
        <w:rPr>
          <w:color w:val="222222"/>
          <w:highlight w:val="white"/>
        </w:rPr>
        <w:t xml:space="preserve"> </w:t>
      </w:r>
      <w:r>
        <w:rPr>
          <w:i/>
          <w:color w:val="222222"/>
          <w:highlight w:val="white"/>
        </w:rPr>
        <w:t>et al</w:t>
      </w:r>
      <w:r>
        <w:rPr>
          <w:color w:val="222222"/>
          <w:highlight w:val="white"/>
        </w:rPr>
        <w:t>. 2022)</w:t>
      </w:r>
      <w:r>
        <w:t xml:space="preserve">. </w:t>
      </w:r>
    </w:p>
    <w:p w14:paraId="78C3FE96" w14:textId="77777777" w:rsidR="003D52AF" w:rsidRDefault="00284666" w:rsidP="00327FC3">
      <w:pPr>
        <w:pStyle w:val="Heading1"/>
        <w:spacing w:line="360" w:lineRule="auto"/>
      </w:pPr>
      <w:bookmarkStart w:id="4" w:name="_Toc172652938"/>
      <w:r>
        <w:t xml:space="preserve">4. </w:t>
      </w:r>
      <w:r w:rsidR="005977F7">
        <w:t>Various Theoretical Models of Corporate Value, International Cost of Capital and</w:t>
      </w:r>
      <w:r>
        <w:t xml:space="preserve"> Financial Structure</w:t>
      </w:r>
      <w:bookmarkEnd w:id="4"/>
      <w:r w:rsidR="005977F7">
        <w:t xml:space="preserve"> </w:t>
      </w:r>
    </w:p>
    <w:p w14:paraId="120ABF80" w14:textId="77777777" w:rsidR="003D52AF" w:rsidRDefault="005977F7" w:rsidP="00327FC3">
      <w:pPr>
        <w:pStyle w:val="Heading2"/>
        <w:spacing w:line="360" w:lineRule="auto"/>
      </w:pPr>
      <w:bookmarkStart w:id="5" w:name="_Toc172652939"/>
      <w:r>
        <w:t>4.1 Theoretical Models of Corporate Value</w:t>
      </w:r>
      <w:bookmarkEnd w:id="5"/>
    </w:p>
    <w:p w14:paraId="4161407B" w14:textId="77777777" w:rsidR="003D52AF" w:rsidRDefault="005977F7" w:rsidP="00327FC3">
      <w:pPr>
        <w:spacing w:line="360" w:lineRule="auto"/>
      </w:pPr>
      <w:r>
        <w:t>There are several theoretic</w:t>
      </w:r>
      <w:r w:rsidR="00327FC3">
        <w:t xml:space="preserve">al models related to Corporate </w:t>
      </w:r>
      <w:r>
        <w:t xml:space="preserve">Value, adopted by multinational corporations to manage their exposure to foreign exchange risks such as, Value at Risk, Economic Value Added. </w:t>
      </w:r>
    </w:p>
    <w:p w14:paraId="4AF38440" w14:textId="77777777" w:rsidR="003D52AF" w:rsidRDefault="005977F7" w:rsidP="00327FC3">
      <w:pPr>
        <w:spacing w:line="360" w:lineRule="auto"/>
        <w:rPr>
          <w:b/>
          <w:i/>
        </w:rPr>
      </w:pPr>
      <w:r>
        <w:rPr>
          <w:b/>
          <w:i/>
        </w:rPr>
        <w:t>“Value at Risk’</w:t>
      </w:r>
    </w:p>
    <w:p w14:paraId="7B2575B8" w14:textId="77777777" w:rsidR="003D52AF" w:rsidRDefault="005977F7" w:rsidP="00327FC3">
      <w:pPr>
        <w:spacing w:line="360" w:lineRule="auto"/>
        <w:jc w:val="both"/>
      </w:pPr>
      <w:r>
        <w:t xml:space="preserve">“Value at Risk” is a statistic to quantify the extent of possible financial losses within a company, position or index over a specific time. Most commonly in the field of investment and in commercial banks, this metric is </w:t>
      </w:r>
      <w:proofErr w:type="gramStart"/>
      <w:r>
        <w:t>most commonly used</w:t>
      </w:r>
      <w:proofErr w:type="gramEnd"/>
      <w:r>
        <w:t xml:space="preserve"> by determining the probabilities and extent of potential losses in institutional portfolios (</w:t>
      </w:r>
      <w:r>
        <w:rPr>
          <w:color w:val="222222"/>
          <w:highlight w:val="white"/>
        </w:rPr>
        <w:t>Maciel, 2021)</w:t>
      </w:r>
      <w:r>
        <w:t xml:space="preserve">. </w:t>
      </w:r>
      <w:proofErr w:type="spellStart"/>
      <w:r>
        <w:t>VaR</w:t>
      </w:r>
      <w:proofErr w:type="spellEnd"/>
      <w:r>
        <w:t xml:space="preserve"> is used by the risk managers to control and measure the level of risk exposure. In risk management, MNCs use the calculation of </w:t>
      </w:r>
      <w:proofErr w:type="spellStart"/>
      <w:r>
        <w:t>VaR</w:t>
      </w:r>
      <w:proofErr w:type="spellEnd"/>
      <w:r>
        <w:t xml:space="preserve"> for the exposures of currency and understanding potential losses due to movements of exchange rates (</w:t>
      </w:r>
      <w:proofErr w:type="spellStart"/>
      <w:r>
        <w:rPr>
          <w:color w:val="222222"/>
          <w:highlight w:val="white"/>
        </w:rPr>
        <w:t>Saidane</w:t>
      </w:r>
      <w:proofErr w:type="spellEnd"/>
      <w:r>
        <w:rPr>
          <w:color w:val="222222"/>
          <w:highlight w:val="white"/>
        </w:rPr>
        <w:t>, 2022)</w:t>
      </w:r>
      <w:r>
        <w:t xml:space="preserve">. It is used in MNCs for establishing risk limits and thresholds besides informing about hedging policies, to identify positions by exceeding acceptable risk levels. </w:t>
      </w:r>
    </w:p>
    <w:p w14:paraId="67221851" w14:textId="77777777" w:rsidR="003D52AF" w:rsidRDefault="005977F7" w:rsidP="00327FC3">
      <w:pPr>
        <w:spacing w:line="360" w:lineRule="auto"/>
        <w:jc w:val="center"/>
      </w:pPr>
      <w:r>
        <w:rPr>
          <w:noProof/>
        </w:rPr>
        <w:lastRenderedPageBreak/>
        <w:drawing>
          <wp:inline distT="114300" distB="114300" distL="114300" distR="114300" wp14:anchorId="7A1B1D05" wp14:editId="7D3541AC">
            <wp:extent cx="3109913" cy="222885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109913" cy="2228850"/>
                    </a:xfrm>
                    <a:prstGeom prst="rect">
                      <a:avLst/>
                    </a:prstGeom>
                    <a:ln w="25400">
                      <a:solidFill>
                        <a:srgbClr val="000000"/>
                      </a:solidFill>
                      <a:prstDash val="solid"/>
                    </a:ln>
                  </pic:spPr>
                </pic:pic>
              </a:graphicData>
            </a:graphic>
          </wp:inline>
        </w:drawing>
      </w:r>
    </w:p>
    <w:p w14:paraId="220BBAA9" w14:textId="77777777" w:rsidR="003D52AF" w:rsidRDefault="00327FC3" w:rsidP="00327FC3">
      <w:pPr>
        <w:spacing w:line="360" w:lineRule="auto"/>
        <w:jc w:val="center"/>
        <w:rPr>
          <w:b/>
        </w:rPr>
      </w:pPr>
      <w:r>
        <w:rPr>
          <w:b/>
        </w:rPr>
        <w:t>Figure 3</w:t>
      </w:r>
      <w:r w:rsidR="005977F7">
        <w:rPr>
          <w:b/>
        </w:rPr>
        <w:t>: Concept of Value at Risk</w:t>
      </w:r>
    </w:p>
    <w:p w14:paraId="3704BA10" w14:textId="77777777" w:rsidR="003D52AF" w:rsidRDefault="005977F7" w:rsidP="00327FC3">
      <w:pPr>
        <w:spacing w:line="360" w:lineRule="auto"/>
        <w:jc w:val="center"/>
      </w:pPr>
      <w:r>
        <w:t xml:space="preserve">(Source: </w:t>
      </w:r>
      <w:proofErr w:type="spellStart"/>
      <w:r>
        <w:rPr>
          <w:color w:val="222222"/>
          <w:highlight w:val="white"/>
        </w:rPr>
        <w:t>Saidane</w:t>
      </w:r>
      <w:proofErr w:type="spellEnd"/>
      <w:r>
        <w:rPr>
          <w:color w:val="222222"/>
          <w:highlight w:val="white"/>
        </w:rPr>
        <w:t>, 2022</w:t>
      </w:r>
      <w:r>
        <w:t>)</w:t>
      </w:r>
    </w:p>
    <w:p w14:paraId="4B62DB64" w14:textId="77777777" w:rsidR="003D52AF" w:rsidRDefault="005977F7" w:rsidP="00327FC3">
      <w:pPr>
        <w:spacing w:line="360" w:lineRule="auto"/>
        <w:jc w:val="both"/>
      </w:pPr>
      <w:proofErr w:type="spellStart"/>
      <w:r>
        <w:t>VaR</w:t>
      </w:r>
      <w:proofErr w:type="spellEnd"/>
      <w:r>
        <w:t xml:space="preserve"> is used for providing quantifiable and clear measures of risks. Besides this, it is also useful in monitoring risks and setting risk limits. For example, IBM by using the </w:t>
      </w:r>
      <w:proofErr w:type="spellStart"/>
      <w:r>
        <w:t>VaR</w:t>
      </w:r>
      <w:proofErr w:type="spellEnd"/>
      <w:r>
        <w:t xml:space="preserve"> strategy successfully understands the potential losses due to the movement of current exchange rates (</w:t>
      </w:r>
      <w:r>
        <w:rPr>
          <w:color w:val="222222"/>
          <w:highlight w:val="white"/>
        </w:rPr>
        <w:t>IBM, 2024)</w:t>
      </w:r>
      <w:r>
        <w:t xml:space="preserve">. </w:t>
      </w:r>
    </w:p>
    <w:p w14:paraId="2A877487" w14:textId="77777777" w:rsidR="003D52AF" w:rsidRDefault="005977F7" w:rsidP="00327FC3">
      <w:pPr>
        <w:spacing w:line="360" w:lineRule="auto"/>
        <w:rPr>
          <w:b/>
          <w:i/>
        </w:rPr>
      </w:pPr>
      <w:r>
        <w:rPr>
          <w:b/>
          <w:i/>
        </w:rPr>
        <w:t>“Economic Value Added”</w:t>
      </w:r>
    </w:p>
    <w:p w14:paraId="298E39C8" w14:textId="77777777" w:rsidR="003D52AF" w:rsidRDefault="005977F7" w:rsidP="00327FC3">
      <w:pPr>
        <w:spacing w:line="360" w:lineRule="auto"/>
        <w:jc w:val="both"/>
      </w:pPr>
      <w:r>
        <w:t>“Economic Value Added” is a measurement metric used for measuring the financial performance, calculated by reducing the cost of capital and depending on residual wealth, through operating profits and adjusted for taxes and cash basis (</w:t>
      </w:r>
      <w:r>
        <w:rPr>
          <w:color w:val="222222"/>
          <w:highlight w:val="white"/>
        </w:rPr>
        <w:t xml:space="preserve">Najmah </w:t>
      </w:r>
      <w:r>
        <w:rPr>
          <w:i/>
          <w:color w:val="222222"/>
          <w:highlight w:val="white"/>
        </w:rPr>
        <w:t>et al.</w:t>
      </w:r>
      <w:r>
        <w:rPr>
          <w:color w:val="222222"/>
          <w:highlight w:val="white"/>
        </w:rPr>
        <w:t xml:space="preserve"> 2021)</w:t>
      </w:r>
      <w:r>
        <w:t>. It also can be mentioned as economic profit, as “it enables to capture the true economic profit of a company”. The formula for calculating EVA is</w:t>
      </w:r>
    </w:p>
    <w:p w14:paraId="504B8639" w14:textId="77777777" w:rsidR="003D52AF" w:rsidRDefault="005977F7" w:rsidP="00327FC3">
      <w:pPr>
        <w:spacing w:line="360" w:lineRule="auto"/>
        <w:jc w:val="center"/>
        <w:rPr>
          <w:b/>
        </w:rPr>
      </w:pPr>
      <w:r>
        <w:rPr>
          <w:b/>
        </w:rPr>
        <w:t>“EVA = NOPAT - (Invested Capital * WACC)</w:t>
      </w:r>
    </w:p>
    <w:p w14:paraId="7C690701" w14:textId="77777777" w:rsidR="003D52AF" w:rsidRDefault="005977F7" w:rsidP="00327FC3">
      <w:pPr>
        <w:spacing w:line="360" w:lineRule="auto"/>
        <w:jc w:val="both"/>
      </w:pPr>
      <w:r>
        <w:t>Where, (NOP</w:t>
      </w:r>
      <w:r w:rsidR="00327FC3">
        <w:t xml:space="preserve">AT = Net Operating Profit After </w:t>
      </w:r>
      <w:r>
        <w:t>Taxes) (Invested Capital = Debt + Capital Lease + Equity of Shareholders) and (“WACC = Weighted Average Cost of Capital”)”</w:t>
      </w:r>
    </w:p>
    <w:p w14:paraId="643EAA72" w14:textId="77777777" w:rsidR="003D52AF" w:rsidRDefault="005977F7" w:rsidP="00327FC3">
      <w:pPr>
        <w:spacing w:line="360" w:lineRule="auto"/>
        <w:jc w:val="center"/>
      </w:pPr>
      <w:r>
        <w:rPr>
          <w:noProof/>
        </w:rPr>
        <w:lastRenderedPageBreak/>
        <w:drawing>
          <wp:inline distT="114300" distB="114300" distL="114300" distR="114300" wp14:anchorId="7F25633C" wp14:editId="585CE976">
            <wp:extent cx="3886200" cy="2280214"/>
            <wp:effectExtent l="25400" t="25400" r="25400" b="2540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3886200" cy="2280214"/>
                    </a:xfrm>
                    <a:prstGeom prst="rect">
                      <a:avLst/>
                    </a:prstGeom>
                    <a:ln w="25400">
                      <a:solidFill>
                        <a:srgbClr val="000000"/>
                      </a:solidFill>
                      <a:prstDash val="solid"/>
                    </a:ln>
                  </pic:spPr>
                </pic:pic>
              </a:graphicData>
            </a:graphic>
          </wp:inline>
        </w:drawing>
      </w:r>
    </w:p>
    <w:p w14:paraId="531DC5A2" w14:textId="77777777" w:rsidR="003D52AF" w:rsidRDefault="005977F7" w:rsidP="00327FC3">
      <w:pPr>
        <w:spacing w:line="360" w:lineRule="auto"/>
        <w:jc w:val="center"/>
        <w:rPr>
          <w:b/>
        </w:rPr>
      </w:pPr>
      <w:r>
        <w:rPr>
          <w:b/>
        </w:rPr>
        <w:t>Figure 4: Economic Value Added</w:t>
      </w:r>
    </w:p>
    <w:p w14:paraId="3833B91C" w14:textId="77777777" w:rsidR="003D52AF" w:rsidRDefault="00327FC3" w:rsidP="00327FC3">
      <w:pPr>
        <w:spacing w:line="360" w:lineRule="auto"/>
        <w:jc w:val="center"/>
      </w:pPr>
      <w:r>
        <w:t xml:space="preserve">(Source: </w:t>
      </w:r>
      <w:r w:rsidR="005977F7">
        <w:rPr>
          <w:color w:val="222222"/>
          <w:highlight w:val="white"/>
        </w:rPr>
        <w:t xml:space="preserve">Raihan </w:t>
      </w:r>
      <w:r w:rsidR="005977F7">
        <w:rPr>
          <w:i/>
          <w:color w:val="222222"/>
          <w:highlight w:val="white"/>
        </w:rPr>
        <w:t>et al.</w:t>
      </w:r>
      <w:r w:rsidR="005977F7">
        <w:rPr>
          <w:color w:val="222222"/>
          <w:highlight w:val="white"/>
        </w:rPr>
        <w:t xml:space="preserve"> 2021</w:t>
      </w:r>
      <w:r w:rsidR="005977F7">
        <w:t>)</w:t>
      </w:r>
    </w:p>
    <w:p w14:paraId="3351382C" w14:textId="77777777" w:rsidR="003D52AF" w:rsidRDefault="005977F7" w:rsidP="00327FC3">
      <w:pPr>
        <w:spacing w:line="360" w:lineRule="auto"/>
        <w:jc w:val="both"/>
      </w:pPr>
      <w:r>
        <w:t>Through using EVA, MNCs are helped to evaluate the performance of foreign subsidiaries with the consideration of currency-adjusted returns by focusing on value creation and cost of capital (</w:t>
      </w:r>
      <w:r>
        <w:rPr>
          <w:color w:val="222222"/>
          <w:highlight w:val="white"/>
        </w:rPr>
        <w:t xml:space="preserve">Raihan </w:t>
      </w:r>
      <w:r>
        <w:rPr>
          <w:i/>
          <w:color w:val="222222"/>
          <w:highlight w:val="white"/>
        </w:rPr>
        <w:t>et al.</w:t>
      </w:r>
      <w:r>
        <w:rPr>
          <w:color w:val="222222"/>
          <w:highlight w:val="white"/>
        </w:rPr>
        <w:t xml:space="preserve"> 2021)</w:t>
      </w:r>
      <w:r>
        <w:t>. For example, Eli Lilly Monsanto, an American Pharmaceutical company, improved its competitive positioning through the usage of EVA (</w:t>
      </w:r>
      <w:r>
        <w:rPr>
          <w:color w:val="222222"/>
          <w:highlight w:val="white"/>
        </w:rPr>
        <w:t>Lilly, 2024)</w:t>
      </w:r>
      <w:r>
        <w:t>. On the ot</w:t>
      </w:r>
      <w:r w:rsidR="00327FC3">
        <w:t xml:space="preserve">her hand, several disadvantages </w:t>
      </w:r>
      <w:r>
        <w:t>also encountered by MNCs with the application of EVA. As the calculation of EVA needs an accurate me</w:t>
      </w:r>
      <w:r w:rsidR="00327FC3">
        <w:t xml:space="preserve">asurement of capital costs, it </w:t>
      </w:r>
      <w:r>
        <w:t>seems difficult for companies during international operations (</w:t>
      </w:r>
      <w:r>
        <w:rPr>
          <w:color w:val="222222"/>
          <w:highlight w:val="white"/>
        </w:rPr>
        <w:t xml:space="preserve">Najmah </w:t>
      </w:r>
      <w:r>
        <w:rPr>
          <w:i/>
          <w:color w:val="222222"/>
          <w:highlight w:val="white"/>
        </w:rPr>
        <w:t>et al.</w:t>
      </w:r>
      <w:r>
        <w:rPr>
          <w:color w:val="222222"/>
          <w:highlight w:val="white"/>
        </w:rPr>
        <w:t xml:space="preserve"> 2021)</w:t>
      </w:r>
      <w:r>
        <w:t xml:space="preserve">. Another difficulty by using EVA is it finds sensitivity to account adjustment and assumptions. </w:t>
      </w:r>
    </w:p>
    <w:p w14:paraId="4DE4B106" w14:textId="77777777" w:rsidR="003D52AF" w:rsidRDefault="005977F7" w:rsidP="00327FC3">
      <w:pPr>
        <w:pStyle w:val="Heading2"/>
        <w:spacing w:line="360" w:lineRule="auto"/>
      </w:pPr>
      <w:bookmarkStart w:id="6" w:name="_Toc172652940"/>
      <w:r>
        <w:t>4.2 Theoretical Models of International Cost of Capital</w:t>
      </w:r>
      <w:bookmarkEnd w:id="6"/>
      <w:r>
        <w:t xml:space="preserve"> </w:t>
      </w:r>
    </w:p>
    <w:p w14:paraId="59680021" w14:textId="77777777" w:rsidR="003D52AF" w:rsidRDefault="005977F7" w:rsidP="00327FC3">
      <w:pPr>
        <w:spacing w:line="360" w:lineRule="auto"/>
      </w:pPr>
      <w:r>
        <w:t>Several theoretical models are presented in relation to the international cost of capital, such as “Weighted Average Cost of Capital (WACC)” for MNCs and “Global Arbitrage Pricing Theory (GAPT)”.</w:t>
      </w:r>
    </w:p>
    <w:p w14:paraId="05D9E0BC" w14:textId="77777777" w:rsidR="003D52AF" w:rsidRDefault="005977F7" w:rsidP="00327FC3">
      <w:pPr>
        <w:spacing w:line="360" w:lineRule="auto"/>
        <w:rPr>
          <w:b/>
          <w:i/>
        </w:rPr>
      </w:pPr>
      <w:r>
        <w:rPr>
          <w:b/>
          <w:i/>
        </w:rPr>
        <w:t xml:space="preserve">“Weighted Average Cost of Capital (WACC)” for MNCs </w:t>
      </w:r>
    </w:p>
    <w:p w14:paraId="128F519C" w14:textId="77777777" w:rsidR="003D52AF" w:rsidRDefault="005977F7" w:rsidP="00327FC3">
      <w:pPr>
        <w:spacing w:line="360" w:lineRule="auto"/>
        <w:jc w:val="both"/>
      </w:pPr>
      <w:r>
        <w:t>A company’s average after tax cost of capital from all sources are represented with the help of WACC, including preferred stock, common stock and other forms of debts (</w:t>
      </w:r>
      <w:r>
        <w:rPr>
          <w:color w:val="222222"/>
          <w:highlight w:val="white"/>
        </w:rPr>
        <w:t xml:space="preserve">Vartiainen </w:t>
      </w:r>
      <w:r>
        <w:rPr>
          <w:i/>
          <w:color w:val="222222"/>
          <w:highlight w:val="white"/>
        </w:rPr>
        <w:t xml:space="preserve">et al. </w:t>
      </w:r>
      <w:r>
        <w:rPr>
          <w:color w:val="222222"/>
          <w:highlight w:val="white"/>
        </w:rPr>
        <w:t>2020)</w:t>
      </w:r>
      <w:r>
        <w:t>. The formula of “WACC” is</w:t>
      </w:r>
    </w:p>
    <w:p w14:paraId="1F3A81D3" w14:textId="77777777" w:rsidR="003D52AF" w:rsidRDefault="003D52AF" w:rsidP="00327FC3">
      <w:pPr>
        <w:spacing w:line="360" w:lineRule="auto"/>
        <w:rPr>
          <w:b/>
        </w:rPr>
      </w:pPr>
    </w:p>
    <w:p w14:paraId="22933F51" w14:textId="77777777" w:rsidR="003D52AF" w:rsidRDefault="003D52AF" w:rsidP="00327FC3">
      <w:pPr>
        <w:spacing w:line="360" w:lineRule="auto"/>
        <w:jc w:val="center"/>
        <w:rPr>
          <w:b/>
        </w:rPr>
      </w:pPr>
    </w:p>
    <w:p w14:paraId="05F0BABB" w14:textId="77777777" w:rsidR="003D52AF" w:rsidRDefault="003D52AF" w:rsidP="00327FC3">
      <w:pPr>
        <w:spacing w:line="360" w:lineRule="auto"/>
        <w:jc w:val="center"/>
        <w:rPr>
          <w:b/>
        </w:rPr>
      </w:pPr>
    </w:p>
    <w:p w14:paraId="7F38432A" w14:textId="77777777" w:rsidR="003D52AF" w:rsidRDefault="005977F7" w:rsidP="00327FC3">
      <w:pPr>
        <w:spacing w:line="360" w:lineRule="auto"/>
        <w:jc w:val="center"/>
        <w:rPr>
          <w:b/>
        </w:rPr>
      </w:pPr>
      <w:r>
        <w:rPr>
          <w:b/>
          <w:noProof/>
        </w:rPr>
        <w:lastRenderedPageBreak/>
        <w:drawing>
          <wp:inline distT="114300" distB="114300" distL="114300" distR="114300" wp14:anchorId="7F7526A9" wp14:editId="4C591695">
            <wp:extent cx="4038600" cy="1981200"/>
            <wp:effectExtent l="25400" t="25400" r="25400" b="2540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4038600" cy="1981200"/>
                    </a:xfrm>
                    <a:prstGeom prst="rect">
                      <a:avLst/>
                    </a:prstGeom>
                    <a:ln w="25400">
                      <a:solidFill>
                        <a:srgbClr val="000000"/>
                      </a:solidFill>
                      <a:prstDash val="solid"/>
                    </a:ln>
                  </pic:spPr>
                </pic:pic>
              </a:graphicData>
            </a:graphic>
          </wp:inline>
        </w:drawing>
      </w:r>
    </w:p>
    <w:p w14:paraId="2C759B0B" w14:textId="77777777" w:rsidR="003D52AF" w:rsidRDefault="005977F7" w:rsidP="00327FC3">
      <w:pPr>
        <w:spacing w:line="360" w:lineRule="auto"/>
        <w:jc w:val="center"/>
        <w:rPr>
          <w:b/>
        </w:rPr>
      </w:pPr>
      <w:r>
        <w:rPr>
          <w:b/>
        </w:rPr>
        <w:t>Figure 5: Calculation of WACC</w:t>
      </w:r>
    </w:p>
    <w:p w14:paraId="36C9C758" w14:textId="77777777" w:rsidR="003D52AF" w:rsidRDefault="005977F7" w:rsidP="00327FC3">
      <w:pPr>
        <w:spacing w:line="360" w:lineRule="auto"/>
        <w:jc w:val="center"/>
      </w:pPr>
      <w:r>
        <w:t>(Source: Author)</w:t>
      </w:r>
    </w:p>
    <w:p w14:paraId="75F14658" w14:textId="77777777" w:rsidR="003D52AF" w:rsidRDefault="005977F7" w:rsidP="00327FC3">
      <w:pPr>
        <w:spacing w:line="360" w:lineRule="auto"/>
        <w:jc w:val="center"/>
      </w:pPr>
      <w:r>
        <w:rPr>
          <w:noProof/>
        </w:rPr>
        <w:drawing>
          <wp:inline distT="114300" distB="114300" distL="114300" distR="114300" wp14:anchorId="10C42F45" wp14:editId="51561513">
            <wp:extent cx="3900488" cy="2324100"/>
            <wp:effectExtent l="25400" t="25400" r="25400" b="2540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900488" cy="2324100"/>
                    </a:xfrm>
                    <a:prstGeom prst="rect">
                      <a:avLst/>
                    </a:prstGeom>
                    <a:ln w="25400">
                      <a:solidFill>
                        <a:srgbClr val="000000"/>
                      </a:solidFill>
                      <a:prstDash val="solid"/>
                    </a:ln>
                  </pic:spPr>
                </pic:pic>
              </a:graphicData>
            </a:graphic>
          </wp:inline>
        </w:drawing>
      </w:r>
    </w:p>
    <w:p w14:paraId="442493D5" w14:textId="77777777" w:rsidR="003D52AF" w:rsidRDefault="00327FC3" w:rsidP="00327FC3">
      <w:pPr>
        <w:spacing w:line="360" w:lineRule="auto"/>
        <w:jc w:val="center"/>
      </w:pPr>
      <w:r>
        <w:rPr>
          <w:b/>
        </w:rPr>
        <w:t>Figure 5</w:t>
      </w:r>
      <w:r w:rsidR="005977F7">
        <w:rPr>
          <w:b/>
        </w:rPr>
        <w:t>: “Weighted Average Cost of Capital (WACC)”</w:t>
      </w:r>
      <w:r w:rsidR="005977F7">
        <w:t xml:space="preserve"> </w:t>
      </w:r>
    </w:p>
    <w:p w14:paraId="4A482194" w14:textId="77777777" w:rsidR="003D52AF" w:rsidRDefault="005977F7" w:rsidP="00327FC3">
      <w:pPr>
        <w:spacing w:line="360" w:lineRule="auto"/>
        <w:jc w:val="center"/>
      </w:pPr>
      <w:r>
        <w:t xml:space="preserve">(Source: </w:t>
      </w:r>
      <w:r>
        <w:rPr>
          <w:color w:val="222222"/>
          <w:highlight w:val="white"/>
        </w:rPr>
        <w:t>Vartiainen</w:t>
      </w:r>
      <w:r>
        <w:rPr>
          <w:i/>
          <w:color w:val="222222"/>
          <w:highlight w:val="white"/>
        </w:rPr>
        <w:t xml:space="preserve"> et al.</w:t>
      </w:r>
      <w:r>
        <w:rPr>
          <w:color w:val="222222"/>
          <w:highlight w:val="white"/>
        </w:rPr>
        <w:t xml:space="preserve"> 2020</w:t>
      </w:r>
      <w:r>
        <w:t>)</w:t>
      </w:r>
    </w:p>
    <w:p w14:paraId="4C3D0461" w14:textId="77777777" w:rsidR="003D52AF" w:rsidRDefault="005977F7" w:rsidP="00327FC3">
      <w:pPr>
        <w:spacing w:line="360" w:lineRule="auto"/>
        <w:jc w:val="both"/>
      </w:pPr>
      <w:r>
        <w:t>“WACC” enables MNCs to incorporate different debts and cost of “equity” in various countries and an adjustment for different tax rates across countries (</w:t>
      </w:r>
      <w:r>
        <w:rPr>
          <w:color w:val="222222"/>
          <w:highlight w:val="white"/>
        </w:rPr>
        <w:t>Steffen, 2020)</w:t>
      </w:r>
      <w:r>
        <w:t xml:space="preserve">. Through the usage of “WACC”, companies </w:t>
      </w:r>
      <w:proofErr w:type="gramStart"/>
      <w:r>
        <w:t>are able to</w:t>
      </w:r>
      <w:proofErr w:type="gramEnd"/>
      <w:r>
        <w:t xml:space="preserve"> provide measures for overall costs of capital by delivering specific financial structure in the MNC’s. For example, Coca-Cola uses the “WACC” strategy to incorporate different debts and costs of “equity” and Coca-Cola through which the company generates higher returns of investment (</w:t>
      </w:r>
      <w:proofErr w:type="spellStart"/>
      <w:r>
        <w:rPr>
          <w:color w:val="222222"/>
          <w:highlight w:val="white"/>
        </w:rPr>
        <w:t>Choomjai</w:t>
      </w:r>
      <w:proofErr w:type="spellEnd"/>
      <w:r>
        <w:rPr>
          <w:color w:val="222222"/>
          <w:highlight w:val="white"/>
        </w:rPr>
        <w:t>, 2021)</w:t>
      </w:r>
      <w:r>
        <w:t>. On the other hand, disadvantages with the involvement of “WACC” in multinational corporations are developed due to its requirements of detailed information on cost or different countries and capital structure and the complexity in calculation during the business operations (</w:t>
      </w:r>
      <w:r>
        <w:rPr>
          <w:color w:val="222222"/>
          <w:highlight w:val="white"/>
        </w:rPr>
        <w:t>Vartiainen</w:t>
      </w:r>
      <w:r>
        <w:rPr>
          <w:i/>
          <w:color w:val="222222"/>
          <w:highlight w:val="white"/>
        </w:rPr>
        <w:t xml:space="preserve"> et al.</w:t>
      </w:r>
      <w:r>
        <w:rPr>
          <w:color w:val="222222"/>
          <w:highlight w:val="white"/>
        </w:rPr>
        <w:t xml:space="preserve"> 2020</w:t>
      </w:r>
      <w:r>
        <w:t xml:space="preserve">). </w:t>
      </w:r>
    </w:p>
    <w:p w14:paraId="5BDDE05E" w14:textId="77777777" w:rsidR="003D52AF" w:rsidRDefault="005977F7" w:rsidP="00327FC3">
      <w:pPr>
        <w:spacing w:line="360" w:lineRule="auto"/>
        <w:rPr>
          <w:b/>
          <w:i/>
        </w:rPr>
      </w:pPr>
      <w:r>
        <w:rPr>
          <w:b/>
          <w:i/>
        </w:rPr>
        <w:t>“Global Arbitrage Pricing Theory (GAPT)”</w:t>
      </w:r>
    </w:p>
    <w:p w14:paraId="69F55BE6" w14:textId="77777777" w:rsidR="003D52AF" w:rsidRDefault="005977F7" w:rsidP="00327FC3">
      <w:pPr>
        <w:spacing w:line="360" w:lineRule="auto"/>
        <w:jc w:val="both"/>
      </w:pPr>
      <w:r>
        <w:lastRenderedPageBreak/>
        <w:t xml:space="preserve">As a multifactor pricing asset model, “Global Arbitrage Pricing” theory is based on the idea that there can be a prediction for the return of asset by using the direct relationship between the expected return of the asset and </w:t>
      </w:r>
      <w:proofErr w:type="gramStart"/>
      <w:r>
        <w:t>a number of</w:t>
      </w:r>
      <w:proofErr w:type="gramEnd"/>
      <w:r>
        <w:t xml:space="preserve"> macroeconomic changings to capture systematic risks. MNCs through using this theory get help to understand the benefits of “international diversification” and it also enables companies to identify different macroeconomic factors that affect cost of capital (</w:t>
      </w:r>
      <w:r>
        <w:rPr>
          <w:color w:val="222222"/>
          <w:highlight w:val="white"/>
        </w:rPr>
        <w:t>Salant, 2021)</w:t>
      </w:r>
      <w:r w:rsidR="00327FC3">
        <w:t xml:space="preserve">. Calculation of </w:t>
      </w:r>
      <w:r>
        <w:t>Global Arbitrage Pricing Theory (GAPT) is held by</w:t>
      </w:r>
    </w:p>
    <w:p w14:paraId="04D37A06" w14:textId="77777777" w:rsidR="003D52AF" w:rsidRDefault="003D52AF" w:rsidP="00327FC3">
      <w:pPr>
        <w:spacing w:line="360" w:lineRule="auto"/>
        <w:jc w:val="center"/>
        <w:rPr>
          <w:b/>
          <w:sz w:val="22"/>
          <w:szCs w:val="22"/>
          <w:highlight w:val="white"/>
        </w:rPr>
      </w:pPr>
    </w:p>
    <w:p w14:paraId="3FFCE822" w14:textId="77777777" w:rsidR="003D52AF" w:rsidRDefault="005977F7" w:rsidP="00327FC3">
      <w:pPr>
        <w:spacing w:line="360" w:lineRule="auto"/>
        <w:jc w:val="center"/>
        <w:rPr>
          <w:b/>
          <w:highlight w:val="white"/>
        </w:rPr>
      </w:pPr>
      <w:r>
        <w:rPr>
          <w:b/>
          <w:highlight w:val="white"/>
        </w:rPr>
        <w:t>“E</w:t>
      </w:r>
      <w:r w:rsidR="00327FC3">
        <w:rPr>
          <w:b/>
          <w:highlight w:val="white"/>
        </w:rPr>
        <w:t xml:space="preserve"> </w:t>
      </w:r>
      <w:r>
        <w:rPr>
          <w:b/>
          <w:highlight w:val="white"/>
        </w:rPr>
        <w:t>(</w:t>
      </w:r>
      <w:proofErr w:type="spellStart"/>
      <w:r>
        <w:rPr>
          <w:b/>
          <w:highlight w:val="white"/>
        </w:rPr>
        <w:t>ri</w:t>
      </w:r>
      <w:proofErr w:type="spellEnd"/>
      <w:r>
        <w:rPr>
          <w:b/>
          <w:highlight w:val="white"/>
        </w:rPr>
        <w:t>) = rf + βi1 * RP1 + βi2 * RP2 + ... + β</w:t>
      </w:r>
      <w:proofErr w:type="spellStart"/>
      <w:r>
        <w:rPr>
          <w:b/>
          <w:highlight w:val="white"/>
        </w:rPr>
        <w:t>kn</w:t>
      </w:r>
      <w:proofErr w:type="spellEnd"/>
      <w:r>
        <w:rPr>
          <w:b/>
          <w:highlight w:val="white"/>
        </w:rPr>
        <w:t xml:space="preserve"> * </w:t>
      </w:r>
      <w:proofErr w:type="spellStart"/>
      <w:r>
        <w:rPr>
          <w:b/>
          <w:highlight w:val="white"/>
        </w:rPr>
        <w:t>RPn</w:t>
      </w:r>
      <w:proofErr w:type="spellEnd"/>
      <w:r>
        <w:rPr>
          <w:b/>
          <w:highlight w:val="white"/>
        </w:rPr>
        <w:t>”</w:t>
      </w:r>
    </w:p>
    <w:p w14:paraId="646243C8" w14:textId="77777777" w:rsidR="003D52AF" w:rsidRDefault="005977F7" w:rsidP="00327FC3">
      <w:pPr>
        <w:spacing w:line="360" w:lineRule="auto"/>
        <w:jc w:val="both"/>
        <w:rPr>
          <w:highlight w:val="white"/>
        </w:rPr>
      </w:pPr>
      <w:r>
        <w:rPr>
          <w:highlight w:val="white"/>
        </w:rPr>
        <w:t>MNCs use this theory as it is a flexible model to incorporate numerous risk factors and besides this the theory also enables firms to operate in multiple countries with different economic conditions (</w:t>
      </w:r>
      <w:r>
        <w:rPr>
          <w:color w:val="222222"/>
          <w:highlight w:val="white"/>
        </w:rPr>
        <w:t xml:space="preserve">Nyanga and </w:t>
      </w:r>
      <w:proofErr w:type="spellStart"/>
      <w:r>
        <w:rPr>
          <w:color w:val="222222"/>
          <w:highlight w:val="white"/>
        </w:rPr>
        <w:t>Qutieshat</w:t>
      </w:r>
      <w:proofErr w:type="spellEnd"/>
      <w:r>
        <w:rPr>
          <w:color w:val="222222"/>
          <w:highlight w:val="white"/>
        </w:rPr>
        <w:t>, 2022)</w:t>
      </w:r>
      <w:r>
        <w:rPr>
          <w:highlight w:val="white"/>
        </w:rPr>
        <w:t xml:space="preserve">. Through several advantages, this strategy also provides disadvantages because of its complexity and requirement of significant data. </w:t>
      </w:r>
    </w:p>
    <w:p w14:paraId="28CF2AEC" w14:textId="77777777" w:rsidR="003D52AF" w:rsidRDefault="005977F7" w:rsidP="00327FC3">
      <w:pPr>
        <w:pStyle w:val="Heading2"/>
        <w:spacing w:line="360" w:lineRule="auto"/>
        <w:jc w:val="both"/>
      </w:pPr>
      <w:bookmarkStart w:id="7" w:name="_Toc172652941"/>
      <w:r>
        <w:t>4.3 Theoretical Models of Financial Structure</w:t>
      </w:r>
      <w:bookmarkEnd w:id="7"/>
    </w:p>
    <w:p w14:paraId="2EAE5C5A" w14:textId="77777777" w:rsidR="003D52AF" w:rsidRDefault="005977F7" w:rsidP="00327FC3">
      <w:pPr>
        <w:spacing w:line="360" w:lineRule="auto"/>
        <w:jc w:val="both"/>
      </w:pPr>
      <w:r>
        <w:t>Different theoretical models related to financial structure that multinational corporations use to manage the exposure to foreign exchange risks such as “Trade-off Theory” and Agency Cost Theory.</w:t>
      </w:r>
    </w:p>
    <w:p w14:paraId="7219C082" w14:textId="77777777" w:rsidR="003D52AF" w:rsidRDefault="005977F7" w:rsidP="00327FC3">
      <w:pPr>
        <w:spacing w:line="360" w:lineRule="auto"/>
        <w:rPr>
          <w:b/>
          <w:i/>
        </w:rPr>
      </w:pPr>
      <w:r>
        <w:rPr>
          <w:b/>
          <w:i/>
        </w:rPr>
        <w:t>“Trade-off Theory”</w:t>
      </w:r>
    </w:p>
    <w:p w14:paraId="60FB36EE" w14:textId="77777777" w:rsidR="003D52AF" w:rsidRDefault="00327FC3" w:rsidP="00327FC3">
      <w:pPr>
        <w:spacing w:line="360" w:lineRule="auto"/>
        <w:jc w:val="both"/>
      </w:pPr>
      <w:r>
        <w:t xml:space="preserve">“Trade-off theory” suggest </w:t>
      </w:r>
      <w:r w:rsidR="005977F7">
        <w:t>firms to balance debts and tax benefits against the cost of financial distress (</w:t>
      </w:r>
      <w:r w:rsidR="005977F7">
        <w:rPr>
          <w:color w:val="222222"/>
          <w:highlight w:val="white"/>
        </w:rPr>
        <w:t xml:space="preserve">Ai </w:t>
      </w:r>
      <w:r w:rsidR="005977F7">
        <w:rPr>
          <w:i/>
          <w:color w:val="222222"/>
          <w:highlight w:val="white"/>
        </w:rPr>
        <w:t xml:space="preserve">et al. </w:t>
      </w:r>
      <w:r w:rsidR="005977F7">
        <w:rPr>
          <w:color w:val="222222"/>
          <w:highlight w:val="white"/>
        </w:rPr>
        <w:t>2020</w:t>
      </w:r>
      <w:r w:rsidR="005977F7">
        <w:t xml:space="preserve">). To manage risks related to exchange rates, “trade-off theory” is used by companies to maintain an “optimal capital structure”, through the usage of financial border like opinions and forward contracts. </w:t>
      </w:r>
    </w:p>
    <w:p w14:paraId="20774478" w14:textId="77777777" w:rsidR="003D52AF" w:rsidRDefault="005977F7" w:rsidP="00327FC3">
      <w:pPr>
        <w:spacing w:line="360" w:lineRule="auto"/>
        <w:jc w:val="center"/>
      </w:pPr>
      <w:r>
        <w:rPr>
          <w:noProof/>
        </w:rPr>
        <w:lastRenderedPageBreak/>
        <w:drawing>
          <wp:inline distT="114300" distB="114300" distL="114300" distR="114300" wp14:anchorId="6E735DC7" wp14:editId="5AE1A05D">
            <wp:extent cx="3767138" cy="2524125"/>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3767138" cy="2524125"/>
                    </a:xfrm>
                    <a:prstGeom prst="rect">
                      <a:avLst/>
                    </a:prstGeom>
                    <a:ln w="25400">
                      <a:solidFill>
                        <a:srgbClr val="000000"/>
                      </a:solidFill>
                      <a:prstDash val="solid"/>
                    </a:ln>
                  </pic:spPr>
                </pic:pic>
              </a:graphicData>
            </a:graphic>
          </wp:inline>
        </w:drawing>
      </w:r>
    </w:p>
    <w:p w14:paraId="1A8A7AAD" w14:textId="77777777" w:rsidR="003D52AF" w:rsidRDefault="00284666" w:rsidP="00327FC3">
      <w:pPr>
        <w:spacing w:line="360" w:lineRule="auto"/>
        <w:jc w:val="center"/>
        <w:rPr>
          <w:b/>
        </w:rPr>
      </w:pPr>
      <w:r>
        <w:rPr>
          <w:b/>
        </w:rPr>
        <w:t>Figure 6</w:t>
      </w:r>
      <w:r w:rsidR="005977F7">
        <w:rPr>
          <w:b/>
        </w:rPr>
        <w:t>: Trade-off Theory</w:t>
      </w:r>
    </w:p>
    <w:p w14:paraId="4D90F279" w14:textId="77777777" w:rsidR="003D52AF" w:rsidRDefault="005977F7" w:rsidP="00327FC3">
      <w:pPr>
        <w:spacing w:line="360" w:lineRule="auto"/>
        <w:jc w:val="center"/>
      </w:pPr>
      <w:r>
        <w:t xml:space="preserve">(Source: </w:t>
      </w:r>
      <w:r>
        <w:rPr>
          <w:color w:val="222222"/>
          <w:highlight w:val="white"/>
        </w:rPr>
        <w:t xml:space="preserve">Ai </w:t>
      </w:r>
      <w:r>
        <w:rPr>
          <w:i/>
          <w:color w:val="222222"/>
          <w:highlight w:val="white"/>
        </w:rPr>
        <w:t xml:space="preserve">et al. </w:t>
      </w:r>
      <w:r>
        <w:rPr>
          <w:color w:val="222222"/>
          <w:highlight w:val="white"/>
        </w:rPr>
        <w:t>2020</w:t>
      </w:r>
      <w:r>
        <w:t>)</w:t>
      </w:r>
    </w:p>
    <w:p w14:paraId="4CB2EB91" w14:textId="77777777" w:rsidR="003D52AF" w:rsidRDefault="005977F7" w:rsidP="00327FC3">
      <w:pPr>
        <w:spacing w:line="360" w:lineRule="auto"/>
        <w:jc w:val="both"/>
      </w:pPr>
      <w:r>
        <w:t>It helps MNCs to incorporate distress costs and tax considerations besides accounting real-world “trade-offs” in decisions of capital structure. On the other hand, the “determination of precise trade-off theory” can be complex and may not capture different nature related to the risks of exchange rates (</w:t>
      </w:r>
      <w:proofErr w:type="spellStart"/>
      <w:r>
        <w:rPr>
          <w:color w:val="222222"/>
          <w:highlight w:val="white"/>
        </w:rPr>
        <w:t>Brusov</w:t>
      </w:r>
      <w:proofErr w:type="spellEnd"/>
      <w:r>
        <w:rPr>
          <w:color w:val="222222"/>
          <w:highlight w:val="white"/>
        </w:rPr>
        <w:t xml:space="preserve"> </w:t>
      </w:r>
      <w:r>
        <w:rPr>
          <w:i/>
          <w:color w:val="222222"/>
          <w:highlight w:val="white"/>
        </w:rPr>
        <w:t>et al</w:t>
      </w:r>
      <w:r>
        <w:rPr>
          <w:color w:val="222222"/>
          <w:highlight w:val="white"/>
        </w:rPr>
        <w:t>. 2023)</w:t>
      </w:r>
      <w:r>
        <w:t xml:space="preserve">.  </w:t>
      </w:r>
    </w:p>
    <w:p w14:paraId="0703EAD4" w14:textId="77777777" w:rsidR="003D52AF" w:rsidRDefault="005977F7" w:rsidP="00327FC3">
      <w:pPr>
        <w:pStyle w:val="Heading1"/>
        <w:spacing w:line="360" w:lineRule="auto"/>
      </w:pPr>
      <w:bookmarkStart w:id="8" w:name="_Toc172652942"/>
      <w:r>
        <w:t>5. Conclusion</w:t>
      </w:r>
      <w:bookmarkEnd w:id="8"/>
      <w:r>
        <w:t xml:space="preserve"> </w:t>
      </w:r>
    </w:p>
    <w:p w14:paraId="3C546FA1" w14:textId="77777777" w:rsidR="003D52AF" w:rsidRDefault="005977F7" w:rsidP="00327FC3">
      <w:pPr>
        <w:spacing w:line="360" w:lineRule="auto"/>
        <w:jc w:val="both"/>
      </w:pPr>
      <w:r>
        <w:t xml:space="preserve">To conclude, the report explores various theories related to International Financial Management with the inclusion of “Purchasing Power Parity”, “International Fisher Effect (IFE)”, etc and models like Value at Risks, Economic Value Added. These frameworks and strategies help international corporations to manage foreign exchange risks by improving the global financial performance and optimisation of capital structure.  </w:t>
      </w:r>
      <w:r>
        <w:br w:type="page"/>
      </w:r>
    </w:p>
    <w:p w14:paraId="0E4B3833" w14:textId="77777777" w:rsidR="00327FC3" w:rsidRPr="00327FC3" w:rsidRDefault="005977F7" w:rsidP="00327FC3">
      <w:pPr>
        <w:pStyle w:val="Heading1"/>
        <w:spacing w:line="360" w:lineRule="auto"/>
        <w:jc w:val="both"/>
      </w:pPr>
      <w:bookmarkStart w:id="9" w:name="_Toc172652943"/>
      <w:r>
        <w:lastRenderedPageBreak/>
        <w:t>References</w:t>
      </w:r>
      <w:bookmarkEnd w:id="9"/>
    </w:p>
    <w:p w14:paraId="76B7C5A8" w14:textId="77777777" w:rsidR="00284666" w:rsidRDefault="00284666" w:rsidP="00284666">
      <w:pPr>
        <w:spacing w:line="360" w:lineRule="auto"/>
        <w:jc w:val="both"/>
        <w:rPr>
          <w:color w:val="222222"/>
          <w:highlight w:val="white"/>
        </w:rPr>
      </w:pPr>
      <w:r>
        <w:rPr>
          <w:color w:val="222222"/>
          <w:highlight w:val="white"/>
        </w:rPr>
        <w:t>Ai, H., Frank, M.Z. and Sanati, A., 2020. The trade-off theory of corporate capital structure.</w:t>
      </w:r>
    </w:p>
    <w:p w14:paraId="0326A2AA" w14:textId="77777777" w:rsidR="00284666" w:rsidRDefault="00284666" w:rsidP="00284666">
      <w:pPr>
        <w:spacing w:line="360" w:lineRule="auto"/>
        <w:jc w:val="both"/>
        <w:rPr>
          <w:color w:val="222222"/>
          <w:highlight w:val="white"/>
        </w:rPr>
      </w:pPr>
      <w:proofErr w:type="spellStart"/>
      <w:r>
        <w:rPr>
          <w:color w:val="222222"/>
          <w:highlight w:val="white"/>
        </w:rPr>
        <w:t>Azwari</w:t>
      </w:r>
      <w:proofErr w:type="spellEnd"/>
      <w:r>
        <w:rPr>
          <w:color w:val="222222"/>
          <w:highlight w:val="white"/>
        </w:rPr>
        <w:t xml:space="preserve">, P.C., </w:t>
      </w:r>
      <w:proofErr w:type="spellStart"/>
      <w:r>
        <w:rPr>
          <w:color w:val="222222"/>
          <w:highlight w:val="white"/>
        </w:rPr>
        <w:t>Febriansyah</w:t>
      </w:r>
      <w:proofErr w:type="spellEnd"/>
      <w:r>
        <w:rPr>
          <w:color w:val="222222"/>
          <w:highlight w:val="white"/>
        </w:rPr>
        <w:t xml:space="preserve">, F. and Jayanti, S.D., 2022. Impact of Third-Party Funds and Capital Adequacy Ratio on Profit Sharing Financing. </w:t>
      </w:r>
      <w:r>
        <w:rPr>
          <w:i/>
          <w:color w:val="222222"/>
          <w:highlight w:val="white"/>
        </w:rPr>
        <w:t>International Business and Accounting Research Journal</w:t>
      </w:r>
      <w:r>
        <w:rPr>
          <w:color w:val="222222"/>
          <w:highlight w:val="white"/>
        </w:rPr>
        <w:t xml:space="preserve">, </w:t>
      </w:r>
      <w:r>
        <w:rPr>
          <w:i/>
          <w:color w:val="222222"/>
          <w:highlight w:val="white"/>
        </w:rPr>
        <w:t>6</w:t>
      </w:r>
      <w:r>
        <w:rPr>
          <w:color w:val="222222"/>
          <w:highlight w:val="white"/>
        </w:rPr>
        <w:t>(1), pp.63-70.</w:t>
      </w:r>
    </w:p>
    <w:p w14:paraId="7C3B0522" w14:textId="77777777" w:rsidR="00284666" w:rsidRDefault="00284666" w:rsidP="00284666">
      <w:pPr>
        <w:spacing w:line="360" w:lineRule="auto"/>
        <w:jc w:val="both"/>
        <w:rPr>
          <w:color w:val="222222"/>
          <w:highlight w:val="white"/>
        </w:rPr>
      </w:pPr>
      <w:proofErr w:type="spellStart"/>
      <w:r>
        <w:rPr>
          <w:color w:val="222222"/>
          <w:highlight w:val="white"/>
        </w:rPr>
        <w:t>Brusov</w:t>
      </w:r>
      <w:proofErr w:type="spellEnd"/>
      <w:r>
        <w:rPr>
          <w:color w:val="222222"/>
          <w:highlight w:val="white"/>
        </w:rPr>
        <w:t xml:space="preserve">, P., Filatova, T. and Orekhova, N., 2023. New Mechanism of Formation of the Company Optimal Capital Structure, Different from Suggested by Trade-off Theory. In </w:t>
      </w:r>
      <w:r>
        <w:rPr>
          <w:i/>
          <w:color w:val="222222"/>
          <w:highlight w:val="white"/>
        </w:rPr>
        <w:t xml:space="preserve">The </w:t>
      </w:r>
      <w:proofErr w:type="spellStart"/>
      <w:r>
        <w:rPr>
          <w:i/>
          <w:color w:val="222222"/>
          <w:highlight w:val="white"/>
        </w:rPr>
        <w:t>Brusov</w:t>
      </w:r>
      <w:proofErr w:type="spellEnd"/>
      <w:r>
        <w:rPr>
          <w:i/>
          <w:color w:val="222222"/>
          <w:highlight w:val="white"/>
        </w:rPr>
        <w:t>–Filatova–Orekhova Theory of Capital Structure: Applications in Corporate Finance, Investments, Taxation and Ratings</w:t>
      </w:r>
      <w:r>
        <w:rPr>
          <w:color w:val="222222"/>
          <w:highlight w:val="white"/>
        </w:rPr>
        <w:t xml:space="preserve"> (pp. 119-138). Cham: Springer International Publishing.</w:t>
      </w:r>
    </w:p>
    <w:p w14:paraId="7F40DE17" w14:textId="77777777" w:rsidR="00284666" w:rsidRDefault="00284666" w:rsidP="00284666">
      <w:pPr>
        <w:spacing w:line="360" w:lineRule="auto"/>
        <w:jc w:val="both"/>
        <w:rPr>
          <w:color w:val="222222"/>
          <w:highlight w:val="white"/>
        </w:rPr>
      </w:pPr>
      <w:proofErr w:type="spellStart"/>
      <w:r>
        <w:rPr>
          <w:color w:val="222222"/>
          <w:highlight w:val="white"/>
        </w:rPr>
        <w:t>Choomjai</w:t>
      </w:r>
      <w:proofErr w:type="spellEnd"/>
      <w:r>
        <w:rPr>
          <w:color w:val="222222"/>
          <w:highlight w:val="white"/>
        </w:rPr>
        <w:t>, C., 2021. DISCOUNTED CASH FLOW VALUATION OF HAAD THIP PUBLIC COMPANY LIMITED.</w:t>
      </w:r>
    </w:p>
    <w:p w14:paraId="769508F8" w14:textId="77777777" w:rsidR="00284666" w:rsidRDefault="00284666" w:rsidP="00284666">
      <w:pPr>
        <w:spacing w:line="360" w:lineRule="auto"/>
        <w:jc w:val="both"/>
        <w:rPr>
          <w:color w:val="222222"/>
          <w:highlight w:val="white"/>
        </w:rPr>
      </w:pPr>
      <w:r>
        <w:rPr>
          <w:color w:val="222222"/>
          <w:highlight w:val="white"/>
        </w:rPr>
        <w:t>Coronel-</w:t>
      </w:r>
      <w:proofErr w:type="spellStart"/>
      <w:r>
        <w:rPr>
          <w:color w:val="222222"/>
          <w:highlight w:val="white"/>
        </w:rPr>
        <w:t>Pangol</w:t>
      </w:r>
      <w:proofErr w:type="spellEnd"/>
      <w:r>
        <w:rPr>
          <w:color w:val="222222"/>
          <w:highlight w:val="white"/>
        </w:rPr>
        <w:t>, K., Orden-Cruz, C. and Paule-</w:t>
      </w:r>
      <w:proofErr w:type="spellStart"/>
      <w:r>
        <w:rPr>
          <w:color w:val="222222"/>
          <w:highlight w:val="white"/>
        </w:rPr>
        <w:t>Vianez</w:t>
      </w:r>
      <w:proofErr w:type="spellEnd"/>
      <w:r>
        <w:rPr>
          <w:color w:val="222222"/>
          <w:highlight w:val="white"/>
        </w:rPr>
        <w:t xml:space="preserve">, J., 2022. Bibliometric analysis of alternative financing for entrepreneurship. </w:t>
      </w:r>
      <w:proofErr w:type="spellStart"/>
      <w:r>
        <w:rPr>
          <w:i/>
          <w:color w:val="222222"/>
          <w:highlight w:val="white"/>
        </w:rPr>
        <w:t>Cuadernos</w:t>
      </w:r>
      <w:proofErr w:type="spellEnd"/>
      <w:r>
        <w:rPr>
          <w:i/>
          <w:color w:val="222222"/>
          <w:highlight w:val="white"/>
        </w:rPr>
        <w:t xml:space="preserve"> de </w:t>
      </w:r>
      <w:proofErr w:type="spellStart"/>
      <w:r>
        <w:rPr>
          <w:i/>
          <w:color w:val="222222"/>
          <w:highlight w:val="white"/>
        </w:rPr>
        <w:t>Gestión</w:t>
      </w:r>
      <w:proofErr w:type="spellEnd"/>
      <w:r>
        <w:rPr>
          <w:color w:val="222222"/>
          <w:highlight w:val="white"/>
        </w:rPr>
        <w:t xml:space="preserve">, </w:t>
      </w:r>
      <w:r>
        <w:rPr>
          <w:i/>
          <w:color w:val="222222"/>
          <w:highlight w:val="white"/>
        </w:rPr>
        <w:t>22</w:t>
      </w:r>
      <w:r>
        <w:rPr>
          <w:color w:val="222222"/>
          <w:highlight w:val="white"/>
        </w:rPr>
        <w:t>(2), pp.167-182.</w:t>
      </w:r>
    </w:p>
    <w:p w14:paraId="4E861298" w14:textId="77777777" w:rsidR="00284666" w:rsidRDefault="00284666" w:rsidP="00284666">
      <w:pPr>
        <w:spacing w:line="360" w:lineRule="auto"/>
        <w:jc w:val="both"/>
        <w:rPr>
          <w:color w:val="222222"/>
          <w:highlight w:val="white"/>
        </w:rPr>
      </w:pPr>
      <w:r>
        <w:rPr>
          <w:color w:val="222222"/>
          <w:highlight w:val="white"/>
        </w:rPr>
        <w:t xml:space="preserve">Economist 2024 </w:t>
      </w:r>
      <w:r>
        <w:rPr>
          <w:i/>
          <w:color w:val="222222"/>
          <w:highlight w:val="white"/>
        </w:rPr>
        <w:t>Our Big Mac index shows how Burger prices differ across borders</w:t>
      </w:r>
      <w:r>
        <w:rPr>
          <w:color w:val="222222"/>
          <w:highlight w:val="white"/>
        </w:rPr>
        <w:t xml:space="preserve"> </w:t>
      </w:r>
      <w:r>
        <w:rPr>
          <w:i/>
          <w:color w:val="222222"/>
          <w:highlight w:val="white"/>
        </w:rPr>
        <w:t>The Economist</w:t>
      </w:r>
      <w:r>
        <w:rPr>
          <w:color w:val="222222"/>
          <w:highlight w:val="white"/>
        </w:rPr>
        <w:t xml:space="preserve">. Available at: https://www.economist.com/big-mac-index (Accessed: 23 July 2024). </w:t>
      </w:r>
    </w:p>
    <w:p w14:paraId="08843ED8" w14:textId="77777777" w:rsidR="00284666" w:rsidRDefault="00284666" w:rsidP="00284666">
      <w:pPr>
        <w:spacing w:line="360" w:lineRule="auto"/>
        <w:rPr>
          <w:color w:val="222222"/>
          <w:highlight w:val="white"/>
        </w:rPr>
      </w:pPr>
      <w:r>
        <w:rPr>
          <w:color w:val="222222"/>
          <w:highlight w:val="white"/>
        </w:rPr>
        <w:t xml:space="preserve">Egilsson, J.H., 2020. How raising interest rates can cause inflation and currency depreciation. </w:t>
      </w:r>
      <w:r>
        <w:rPr>
          <w:i/>
          <w:color w:val="222222"/>
          <w:highlight w:val="white"/>
        </w:rPr>
        <w:t>Journal of Applied Economics</w:t>
      </w:r>
      <w:r>
        <w:rPr>
          <w:color w:val="222222"/>
          <w:highlight w:val="white"/>
        </w:rPr>
        <w:t xml:space="preserve">, </w:t>
      </w:r>
      <w:r>
        <w:rPr>
          <w:i/>
          <w:color w:val="222222"/>
          <w:highlight w:val="white"/>
        </w:rPr>
        <w:t>23</w:t>
      </w:r>
      <w:r>
        <w:rPr>
          <w:color w:val="222222"/>
          <w:highlight w:val="white"/>
        </w:rPr>
        <w:t>(1), pp.450-468.</w:t>
      </w:r>
    </w:p>
    <w:p w14:paraId="546B8DFA" w14:textId="77777777" w:rsidR="00284666" w:rsidRDefault="00284666" w:rsidP="00284666">
      <w:pPr>
        <w:spacing w:line="360" w:lineRule="auto"/>
        <w:rPr>
          <w:color w:val="222222"/>
          <w:highlight w:val="white"/>
        </w:rPr>
      </w:pPr>
      <w:proofErr w:type="spellStart"/>
      <w:r>
        <w:rPr>
          <w:color w:val="222222"/>
          <w:highlight w:val="white"/>
        </w:rPr>
        <w:t>Gürkaynak</w:t>
      </w:r>
      <w:proofErr w:type="spellEnd"/>
      <w:r>
        <w:rPr>
          <w:color w:val="222222"/>
          <w:highlight w:val="white"/>
        </w:rPr>
        <w:t xml:space="preserve">, R.S., Kara, A.H., </w:t>
      </w:r>
      <w:proofErr w:type="spellStart"/>
      <w:r>
        <w:rPr>
          <w:color w:val="222222"/>
          <w:highlight w:val="white"/>
        </w:rPr>
        <w:t>Kısacıkoğlu</w:t>
      </w:r>
      <w:proofErr w:type="spellEnd"/>
      <w:r>
        <w:rPr>
          <w:color w:val="222222"/>
          <w:highlight w:val="white"/>
        </w:rPr>
        <w:t xml:space="preserve">, B. and Lee, S.S., 2021. Monetary policy surprises and exchange rate behavior. </w:t>
      </w:r>
      <w:r>
        <w:rPr>
          <w:i/>
          <w:color w:val="222222"/>
          <w:highlight w:val="white"/>
        </w:rPr>
        <w:t>Journal of International Economics</w:t>
      </w:r>
      <w:r>
        <w:rPr>
          <w:color w:val="222222"/>
          <w:highlight w:val="white"/>
        </w:rPr>
        <w:t xml:space="preserve">, </w:t>
      </w:r>
      <w:r>
        <w:rPr>
          <w:i/>
          <w:color w:val="222222"/>
          <w:highlight w:val="white"/>
        </w:rPr>
        <w:t>130</w:t>
      </w:r>
      <w:r>
        <w:rPr>
          <w:color w:val="222222"/>
          <w:highlight w:val="white"/>
        </w:rPr>
        <w:t>, p.103443.</w:t>
      </w:r>
    </w:p>
    <w:p w14:paraId="3D32A1C9" w14:textId="77777777" w:rsidR="00284666" w:rsidRDefault="00284666" w:rsidP="00284666">
      <w:pPr>
        <w:spacing w:line="360" w:lineRule="auto"/>
        <w:jc w:val="both"/>
        <w:rPr>
          <w:color w:val="222222"/>
          <w:highlight w:val="white"/>
        </w:rPr>
      </w:pPr>
      <w:r>
        <w:rPr>
          <w:color w:val="222222"/>
          <w:highlight w:val="white"/>
        </w:rPr>
        <w:t>IBM 2024</w:t>
      </w:r>
      <w:r>
        <w:rPr>
          <w:i/>
          <w:color w:val="222222"/>
          <w:highlight w:val="white"/>
        </w:rPr>
        <w:t xml:space="preserve"> Calculating value at risk</w:t>
      </w:r>
      <w:r>
        <w:rPr>
          <w:color w:val="222222"/>
          <w:highlight w:val="white"/>
        </w:rPr>
        <w:t xml:space="preserve">. Available at: https://www.ibm.com/docs/en/spectrum-symphony/7.3.2?topic=simulation-calculating-value-risk (Accessed: 23 July 2024). </w:t>
      </w:r>
    </w:p>
    <w:p w14:paraId="5A75806C" w14:textId="77777777" w:rsidR="00284666" w:rsidRDefault="00284666" w:rsidP="00284666">
      <w:pPr>
        <w:spacing w:line="360" w:lineRule="auto"/>
        <w:jc w:val="both"/>
        <w:rPr>
          <w:color w:val="222222"/>
          <w:highlight w:val="white"/>
        </w:rPr>
      </w:pPr>
      <w:r>
        <w:rPr>
          <w:color w:val="222222"/>
          <w:highlight w:val="white"/>
        </w:rPr>
        <w:t xml:space="preserve">Lilly 2024 </w:t>
      </w:r>
      <w:r>
        <w:rPr>
          <w:i/>
          <w:color w:val="222222"/>
          <w:highlight w:val="white"/>
        </w:rPr>
        <w:t>Lilly and Eva Pharma announce collaboration to enhance sustainable access to affordable insulin in Africa</w:t>
      </w:r>
      <w:r>
        <w:rPr>
          <w:color w:val="222222"/>
          <w:highlight w:val="white"/>
        </w:rPr>
        <w:t xml:space="preserve"> (2022) </w:t>
      </w:r>
      <w:r>
        <w:rPr>
          <w:i/>
          <w:color w:val="222222"/>
          <w:highlight w:val="white"/>
        </w:rPr>
        <w:t>Eli Lilly and Company</w:t>
      </w:r>
      <w:r>
        <w:rPr>
          <w:color w:val="222222"/>
          <w:highlight w:val="white"/>
        </w:rPr>
        <w:t xml:space="preserve">. Available at: https://investor.lilly.com/news-releases/news-release-details/lilly-and-eva-pharma-announce-collaboration-enhance-sustainable (Accessed: 23 July 2024). </w:t>
      </w:r>
    </w:p>
    <w:p w14:paraId="68CC985B" w14:textId="77777777" w:rsidR="00284666" w:rsidRDefault="00284666" w:rsidP="00284666">
      <w:pPr>
        <w:spacing w:line="360" w:lineRule="auto"/>
        <w:jc w:val="both"/>
        <w:rPr>
          <w:color w:val="222222"/>
          <w:highlight w:val="white"/>
        </w:rPr>
      </w:pPr>
      <w:r>
        <w:rPr>
          <w:color w:val="222222"/>
          <w:highlight w:val="white"/>
        </w:rPr>
        <w:t xml:space="preserve">Maciel, L., 2021. Cryptocurrencies value‐at‐risk and expected shortfall: Do regime‐switching volatility models improve </w:t>
      </w:r>
      <w:proofErr w:type="gramStart"/>
      <w:r>
        <w:rPr>
          <w:color w:val="222222"/>
          <w:highlight w:val="white"/>
        </w:rPr>
        <w:t>forecasting?.</w:t>
      </w:r>
      <w:proofErr w:type="gramEnd"/>
      <w:r>
        <w:rPr>
          <w:color w:val="222222"/>
          <w:highlight w:val="white"/>
        </w:rPr>
        <w:t xml:space="preserve"> </w:t>
      </w:r>
      <w:r>
        <w:rPr>
          <w:i/>
          <w:color w:val="222222"/>
          <w:highlight w:val="white"/>
        </w:rPr>
        <w:t>International Journal of Finance &amp; Economics</w:t>
      </w:r>
      <w:r>
        <w:rPr>
          <w:color w:val="222222"/>
          <w:highlight w:val="white"/>
        </w:rPr>
        <w:t xml:space="preserve">, </w:t>
      </w:r>
      <w:r>
        <w:rPr>
          <w:i/>
          <w:color w:val="222222"/>
          <w:highlight w:val="white"/>
        </w:rPr>
        <w:t>26</w:t>
      </w:r>
      <w:r>
        <w:rPr>
          <w:color w:val="222222"/>
          <w:highlight w:val="white"/>
        </w:rPr>
        <w:t>(3), pp.4840-4855.</w:t>
      </w:r>
    </w:p>
    <w:p w14:paraId="0BFDD532" w14:textId="77777777" w:rsidR="00284666" w:rsidRDefault="00284666" w:rsidP="00284666">
      <w:pPr>
        <w:spacing w:line="360" w:lineRule="auto"/>
        <w:jc w:val="both"/>
        <w:rPr>
          <w:color w:val="222222"/>
          <w:highlight w:val="white"/>
        </w:rPr>
      </w:pPr>
      <w:r>
        <w:rPr>
          <w:color w:val="222222"/>
          <w:highlight w:val="white"/>
        </w:rPr>
        <w:t xml:space="preserve">Najmah, H., Dewi, R.R. and </w:t>
      </w:r>
      <w:proofErr w:type="spellStart"/>
      <w:r>
        <w:rPr>
          <w:color w:val="222222"/>
          <w:highlight w:val="white"/>
        </w:rPr>
        <w:t>Fajri</w:t>
      </w:r>
      <w:proofErr w:type="spellEnd"/>
      <w:r>
        <w:rPr>
          <w:color w:val="222222"/>
          <w:highlight w:val="white"/>
        </w:rPr>
        <w:t xml:space="preserve">, R.N., 2021. </w:t>
      </w:r>
      <w:proofErr w:type="spellStart"/>
      <w:r>
        <w:rPr>
          <w:color w:val="222222"/>
          <w:highlight w:val="white"/>
        </w:rPr>
        <w:t>Pengaruh</w:t>
      </w:r>
      <w:proofErr w:type="spellEnd"/>
      <w:r>
        <w:rPr>
          <w:color w:val="222222"/>
          <w:highlight w:val="white"/>
        </w:rPr>
        <w:t xml:space="preserve"> Economic Value Added (EVA) dan </w:t>
      </w:r>
      <w:proofErr w:type="spellStart"/>
      <w:r>
        <w:rPr>
          <w:color w:val="222222"/>
          <w:highlight w:val="white"/>
        </w:rPr>
        <w:t>rasio</w:t>
      </w:r>
      <w:proofErr w:type="spellEnd"/>
      <w:r>
        <w:rPr>
          <w:color w:val="222222"/>
          <w:highlight w:val="white"/>
        </w:rPr>
        <w:t xml:space="preserve"> </w:t>
      </w:r>
      <w:proofErr w:type="spellStart"/>
      <w:r>
        <w:rPr>
          <w:color w:val="222222"/>
          <w:highlight w:val="white"/>
        </w:rPr>
        <w:t>profitabilitas</w:t>
      </w:r>
      <w:proofErr w:type="spellEnd"/>
      <w:r>
        <w:rPr>
          <w:color w:val="222222"/>
          <w:highlight w:val="white"/>
        </w:rPr>
        <w:t xml:space="preserve"> </w:t>
      </w:r>
      <w:proofErr w:type="spellStart"/>
      <w:r>
        <w:rPr>
          <w:color w:val="222222"/>
          <w:highlight w:val="white"/>
        </w:rPr>
        <w:t>terhadap</w:t>
      </w:r>
      <w:proofErr w:type="spellEnd"/>
      <w:r>
        <w:rPr>
          <w:color w:val="222222"/>
          <w:highlight w:val="white"/>
        </w:rPr>
        <w:t xml:space="preserve"> Return </w:t>
      </w:r>
      <w:proofErr w:type="spellStart"/>
      <w:r>
        <w:rPr>
          <w:color w:val="222222"/>
          <w:highlight w:val="white"/>
        </w:rPr>
        <w:t>saham</w:t>
      </w:r>
      <w:proofErr w:type="spellEnd"/>
      <w:r>
        <w:rPr>
          <w:color w:val="222222"/>
          <w:highlight w:val="white"/>
        </w:rPr>
        <w:t xml:space="preserve">. </w:t>
      </w:r>
      <w:r>
        <w:rPr>
          <w:i/>
          <w:color w:val="222222"/>
          <w:highlight w:val="white"/>
        </w:rPr>
        <w:t xml:space="preserve">AKUNTABEL: </w:t>
      </w:r>
      <w:proofErr w:type="spellStart"/>
      <w:r>
        <w:rPr>
          <w:i/>
          <w:color w:val="222222"/>
          <w:highlight w:val="white"/>
        </w:rPr>
        <w:t>Jurnal</w:t>
      </w:r>
      <w:proofErr w:type="spellEnd"/>
      <w:r>
        <w:rPr>
          <w:i/>
          <w:color w:val="222222"/>
          <w:highlight w:val="white"/>
        </w:rPr>
        <w:t xml:space="preserve"> Ekonomi dan </w:t>
      </w:r>
      <w:proofErr w:type="spellStart"/>
      <w:r>
        <w:rPr>
          <w:i/>
          <w:color w:val="222222"/>
          <w:highlight w:val="white"/>
        </w:rPr>
        <w:t>Keuangan</w:t>
      </w:r>
      <w:proofErr w:type="spellEnd"/>
      <w:r>
        <w:rPr>
          <w:color w:val="222222"/>
          <w:highlight w:val="white"/>
        </w:rPr>
        <w:t xml:space="preserve">, </w:t>
      </w:r>
      <w:r>
        <w:rPr>
          <w:i/>
          <w:color w:val="222222"/>
          <w:highlight w:val="white"/>
        </w:rPr>
        <w:t>18</w:t>
      </w:r>
      <w:r>
        <w:rPr>
          <w:color w:val="222222"/>
          <w:highlight w:val="white"/>
        </w:rPr>
        <w:t>(1), pp.18-24.</w:t>
      </w:r>
    </w:p>
    <w:p w14:paraId="23E8957D" w14:textId="77777777" w:rsidR="00284666" w:rsidRDefault="00284666" w:rsidP="00284666">
      <w:pPr>
        <w:spacing w:line="360" w:lineRule="auto"/>
        <w:jc w:val="both"/>
        <w:rPr>
          <w:color w:val="222222"/>
          <w:highlight w:val="white"/>
        </w:rPr>
      </w:pPr>
      <w:r>
        <w:rPr>
          <w:color w:val="222222"/>
          <w:highlight w:val="white"/>
        </w:rPr>
        <w:lastRenderedPageBreak/>
        <w:t xml:space="preserve">Nyanga, C. and </w:t>
      </w:r>
      <w:proofErr w:type="spellStart"/>
      <w:r>
        <w:rPr>
          <w:color w:val="222222"/>
          <w:highlight w:val="white"/>
        </w:rPr>
        <w:t>Qutieshat</w:t>
      </w:r>
      <w:proofErr w:type="spellEnd"/>
      <w:r>
        <w:rPr>
          <w:color w:val="222222"/>
          <w:highlight w:val="white"/>
        </w:rPr>
        <w:t xml:space="preserve">, A., 2022. Progress made towards consensus on arbitrage pricing theory macroeconomic factors: a brief review of literature. </w:t>
      </w:r>
      <w:r>
        <w:rPr>
          <w:i/>
          <w:color w:val="222222"/>
          <w:highlight w:val="white"/>
        </w:rPr>
        <w:t>Open Journal of Business and Management</w:t>
      </w:r>
      <w:r>
        <w:rPr>
          <w:color w:val="222222"/>
          <w:highlight w:val="white"/>
        </w:rPr>
        <w:t xml:space="preserve">, </w:t>
      </w:r>
      <w:r>
        <w:rPr>
          <w:i/>
          <w:color w:val="222222"/>
          <w:highlight w:val="white"/>
        </w:rPr>
        <w:t>10</w:t>
      </w:r>
      <w:r>
        <w:rPr>
          <w:color w:val="222222"/>
          <w:highlight w:val="white"/>
        </w:rPr>
        <w:t>(2), pp.789-797.</w:t>
      </w:r>
    </w:p>
    <w:p w14:paraId="2CBBAA56" w14:textId="77777777" w:rsidR="00284666" w:rsidRDefault="00284666" w:rsidP="00284666">
      <w:pPr>
        <w:spacing w:line="360" w:lineRule="auto"/>
        <w:jc w:val="both"/>
        <w:rPr>
          <w:color w:val="222222"/>
          <w:highlight w:val="white"/>
        </w:rPr>
      </w:pPr>
      <w:r>
        <w:rPr>
          <w:color w:val="222222"/>
          <w:highlight w:val="white"/>
        </w:rPr>
        <w:t xml:space="preserve">Raihan, A., Begum, R.A. and Said, M.N.M., 2021. A meta-analysis of the economic value of forest carbon stock. </w:t>
      </w:r>
      <w:r>
        <w:rPr>
          <w:i/>
          <w:color w:val="222222"/>
          <w:highlight w:val="white"/>
        </w:rPr>
        <w:t>Geografia</w:t>
      </w:r>
      <w:r>
        <w:rPr>
          <w:color w:val="222222"/>
          <w:highlight w:val="white"/>
        </w:rPr>
        <w:t xml:space="preserve">, </w:t>
      </w:r>
      <w:r>
        <w:rPr>
          <w:i/>
          <w:color w:val="222222"/>
          <w:highlight w:val="white"/>
        </w:rPr>
        <w:t>17</w:t>
      </w:r>
      <w:r>
        <w:rPr>
          <w:color w:val="222222"/>
          <w:highlight w:val="white"/>
        </w:rPr>
        <w:t>(4), pp.321-338.</w:t>
      </w:r>
    </w:p>
    <w:p w14:paraId="36827B7C" w14:textId="77777777" w:rsidR="00284666" w:rsidRDefault="00284666" w:rsidP="00284666">
      <w:pPr>
        <w:spacing w:line="360" w:lineRule="auto"/>
        <w:jc w:val="both"/>
        <w:rPr>
          <w:color w:val="222222"/>
          <w:highlight w:val="white"/>
        </w:rPr>
      </w:pPr>
      <w:proofErr w:type="spellStart"/>
      <w:r>
        <w:rPr>
          <w:color w:val="222222"/>
          <w:highlight w:val="white"/>
        </w:rPr>
        <w:t>Saidane</w:t>
      </w:r>
      <w:proofErr w:type="spellEnd"/>
      <w:r>
        <w:rPr>
          <w:color w:val="222222"/>
          <w:highlight w:val="white"/>
        </w:rPr>
        <w:t xml:space="preserve">, M., 2022. Switching latent factor value-at-risk models for conditionally heteroskedastic portfolios: A comparative approach. </w:t>
      </w:r>
      <w:r>
        <w:rPr>
          <w:i/>
          <w:color w:val="222222"/>
          <w:highlight w:val="white"/>
        </w:rPr>
        <w:t>Communications in Statistics: Case Studies, Data Analysis and Applications</w:t>
      </w:r>
      <w:r>
        <w:rPr>
          <w:color w:val="222222"/>
          <w:highlight w:val="white"/>
        </w:rPr>
        <w:t xml:space="preserve">, </w:t>
      </w:r>
      <w:r>
        <w:rPr>
          <w:i/>
          <w:color w:val="222222"/>
          <w:highlight w:val="white"/>
        </w:rPr>
        <w:t>8</w:t>
      </w:r>
      <w:r>
        <w:rPr>
          <w:color w:val="222222"/>
          <w:highlight w:val="white"/>
        </w:rPr>
        <w:t>(2), pp.282-307.</w:t>
      </w:r>
    </w:p>
    <w:p w14:paraId="46C82082" w14:textId="77777777" w:rsidR="00284666" w:rsidRDefault="00284666" w:rsidP="00284666">
      <w:pPr>
        <w:spacing w:line="360" w:lineRule="auto"/>
        <w:jc w:val="both"/>
        <w:rPr>
          <w:color w:val="222222"/>
          <w:highlight w:val="white"/>
        </w:rPr>
      </w:pPr>
      <w:r>
        <w:rPr>
          <w:color w:val="222222"/>
          <w:highlight w:val="white"/>
        </w:rPr>
        <w:t xml:space="preserve">Salant, S., 2021. </w:t>
      </w:r>
      <w:r>
        <w:rPr>
          <w:i/>
          <w:color w:val="222222"/>
          <w:highlight w:val="white"/>
        </w:rPr>
        <w:t>Arbitrage deterrence: A theory of international drug pricing</w:t>
      </w:r>
      <w:r>
        <w:rPr>
          <w:color w:val="222222"/>
          <w:highlight w:val="white"/>
        </w:rPr>
        <w:t xml:space="preserve"> (No. 21-07). Resources for the Future.</w:t>
      </w:r>
    </w:p>
    <w:p w14:paraId="0693FA9D" w14:textId="77777777" w:rsidR="00284666" w:rsidRDefault="00284666" w:rsidP="00284666">
      <w:pPr>
        <w:spacing w:line="360" w:lineRule="auto"/>
        <w:jc w:val="both"/>
        <w:rPr>
          <w:color w:val="222222"/>
          <w:highlight w:val="white"/>
        </w:rPr>
      </w:pPr>
      <w:r>
        <w:rPr>
          <w:color w:val="222222"/>
          <w:highlight w:val="white"/>
        </w:rPr>
        <w:t xml:space="preserve">Sec.Gov 2024 </w:t>
      </w:r>
      <w:r>
        <w:rPr>
          <w:i/>
          <w:color w:val="222222"/>
          <w:highlight w:val="white"/>
        </w:rPr>
        <w:t>Document</w:t>
      </w:r>
      <w:r>
        <w:rPr>
          <w:color w:val="222222"/>
          <w:highlight w:val="white"/>
        </w:rPr>
        <w:t xml:space="preserve">. Available at: https://www.sec.gov/Archives/edgar/data/320187/000032018720000047/nke-531202010k.htm (Accessed: 23 July 2024). </w:t>
      </w:r>
    </w:p>
    <w:p w14:paraId="76021546" w14:textId="77777777" w:rsidR="00284666" w:rsidRDefault="00284666" w:rsidP="00284666">
      <w:pPr>
        <w:spacing w:line="360" w:lineRule="auto"/>
        <w:jc w:val="both"/>
        <w:rPr>
          <w:color w:val="222222"/>
          <w:highlight w:val="white"/>
        </w:rPr>
      </w:pPr>
      <w:proofErr w:type="spellStart"/>
      <w:r>
        <w:rPr>
          <w:color w:val="222222"/>
          <w:highlight w:val="white"/>
        </w:rPr>
        <w:t>Shenkar</w:t>
      </w:r>
      <w:proofErr w:type="spellEnd"/>
      <w:r>
        <w:rPr>
          <w:color w:val="222222"/>
          <w:highlight w:val="white"/>
        </w:rPr>
        <w:t xml:space="preserve">, O., Luo, Y. and Chi, T., 2021. </w:t>
      </w:r>
      <w:r>
        <w:rPr>
          <w:i/>
          <w:color w:val="222222"/>
          <w:highlight w:val="white"/>
        </w:rPr>
        <w:t>International business</w:t>
      </w:r>
      <w:r>
        <w:rPr>
          <w:color w:val="222222"/>
          <w:highlight w:val="white"/>
        </w:rPr>
        <w:t>. Routledge.</w:t>
      </w:r>
    </w:p>
    <w:p w14:paraId="48F72021" w14:textId="77777777" w:rsidR="00284666" w:rsidRDefault="00284666" w:rsidP="00284666">
      <w:pPr>
        <w:spacing w:line="360" w:lineRule="auto"/>
        <w:rPr>
          <w:color w:val="222222"/>
          <w:highlight w:val="white"/>
        </w:rPr>
      </w:pPr>
      <w:proofErr w:type="spellStart"/>
      <w:r>
        <w:rPr>
          <w:color w:val="222222"/>
          <w:highlight w:val="white"/>
        </w:rPr>
        <w:t>Shobande</w:t>
      </w:r>
      <w:proofErr w:type="spellEnd"/>
      <w:r>
        <w:rPr>
          <w:color w:val="222222"/>
          <w:highlight w:val="white"/>
        </w:rPr>
        <w:t xml:space="preserve">, O.A. and </w:t>
      </w:r>
      <w:proofErr w:type="spellStart"/>
      <w:r>
        <w:rPr>
          <w:color w:val="222222"/>
          <w:highlight w:val="white"/>
        </w:rPr>
        <w:t>Shodipe</w:t>
      </w:r>
      <w:proofErr w:type="spellEnd"/>
      <w:r>
        <w:rPr>
          <w:color w:val="222222"/>
          <w:highlight w:val="white"/>
        </w:rPr>
        <w:t xml:space="preserve">, O.T., 2021. Monetary policy interdependency in Fisher effect: </w:t>
      </w:r>
      <w:proofErr w:type="gramStart"/>
      <w:r>
        <w:rPr>
          <w:color w:val="222222"/>
          <w:highlight w:val="white"/>
        </w:rPr>
        <w:t>a comparative evidence</w:t>
      </w:r>
      <w:proofErr w:type="gramEnd"/>
      <w:r>
        <w:rPr>
          <w:color w:val="222222"/>
          <w:highlight w:val="white"/>
        </w:rPr>
        <w:t xml:space="preserve">. </w:t>
      </w:r>
      <w:r>
        <w:rPr>
          <w:i/>
          <w:color w:val="222222"/>
          <w:highlight w:val="white"/>
        </w:rPr>
        <w:t>Journal of Central Banking Theory and Practice</w:t>
      </w:r>
      <w:r>
        <w:rPr>
          <w:color w:val="222222"/>
          <w:highlight w:val="white"/>
        </w:rPr>
        <w:t xml:space="preserve">, </w:t>
      </w:r>
      <w:r>
        <w:rPr>
          <w:i/>
          <w:color w:val="222222"/>
          <w:highlight w:val="white"/>
        </w:rPr>
        <w:t>10</w:t>
      </w:r>
      <w:r>
        <w:rPr>
          <w:color w:val="222222"/>
          <w:highlight w:val="white"/>
        </w:rPr>
        <w:t>(1), pp.203-226.</w:t>
      </w:r>
    </w:p>
    <w:p w14:paraId="4B987C03" w14:textId="77777777" w:rsidR="00284666" w:rsidRDefault="00284666" w:rsidP="00284666">
      <w:pPr>
        <w:spacing w:line="360" w:lineRule="auto"/>
        <w:jc w:val="both"/>
        <w:rPr>
          <w:color w:val="222222"/>
          <w:highlight w:val="white"/>
        </w:rPr>
      </w:pPr>
      <w:r>
        <w:rPr>
          <w:color w:val="222222"/>
          <w:highlight w:val="white"/>
        </w:rPr>
        <w:t xml:space="preserve">Steffen, B., 2020. Estimating the cost of capital for renewable energy projects. </w:t>
      </w:r>
      <w:r>
        <w:rPr>
          <w:i/>
          <w:color w:val="222222"/>
          <w:highlight w:val="white"/>
        </w:rPr>
        <w:t>Energy Economics</w:t>
      </w:r>
      <w:r>
        <w:rPr>
          <w:color w:val="222222"/>
          <w:highlight w:val="white"/>
        </w:rPr>
        <w:t xml:space="preserve">, </w:t>
      </w:r>
      <w:r>
        <w:rPr>
          <w:i/>
          <w:color w:val="222222"/>
          <w:highlight w:val="white"/>
        </w:rPr>
        <w:t>88</w:t>
      </w:r>
      <w:r>
        <w:rPr>
          <w:color w:val="222222"/>
          <w:highlight w:val="white"/>
        </w:rPr>
        <w:t>, p.104783.</w:t>
      </w:r>
    </w:p>
    <w:p w14:paraId="33DA59C1" w14:textId="77777777" w:rsidR="00284666" w:rsidRDefault="00284666" w:rsidP="00284666">
      <w:pPr>
        <w:spacing w:line="360" w:lineRule="auto"/>
        <w:jc w:val="both"/>
        <w:rPr>
          <w:color w:val="222222"/>
          <w:highlight w:val="white"/>
        </w:rPr>
      </w:pPr>
      <w:r>
        <w:rPr>
          <w:color w:val="222222"/>
          <w:highlight w:val="white"/>
        </w:rPr>
        <w:t xml:space="preserve">Vartiainen, E., Masson, G., </w:t>
      </w:r>
      <w:proofErr w:type="spellStart"/>
      <w:r>
        <w:rPr>
          <w:color w:val="222222"/>
          <w:highlight w:val="white"/>
        </w:rPr>
        <w:t>Breyer</w:t>
      </w:r>
      <w:proofErr w:type="spellEnd"/>
      <w:r>
        <w:rPr>
          <w:color w:val="222222"/>
          <w:highlight w:val="white"/>
        </w:rPr>
        <w:t xml:space="preserve">, C., Moser, D. and Román Medina, E., 2020. Impact of weighted average cost of capital, capital expenditure, and other parameters on future utility‐scale PV </w:t>
      </w:r>
      <w:proofErr w:type="spellStart"/>
      <w:r>
        <w:rPr>
          <w:color w:val="222222"/>
          <w:highlight w:val="white"/>
        </w:rPr>
        <w:t>levelised</w:t>
      </w:r>
      <w:proofErr w:type="spellEnd"/>
      <w:r>
        <w:rPr>
          <w:color w:val="222222"/>
          <w:highlight w:val="white"/>
        </w:rPr>
        <w:t xml:space="preserve"> cost of electricity. </w:t>
      </w:r>
      <w:r>
        <w:rPr>
          <w:i/>
          <w:color w:val="222222"/>
          <w:highlight w:val="white"/>
        </w:rPr>
        <w:t>Progress in photovoltaics: research and applications</w:t>
      </w:r>
      <w:r>
        <w:rPr>
          <w:color w:val="222222"/>
          <w:highlight w:val="white"/>
        </w:rPr>
        <w:t xml:space="preserve">, </w:t>
      </w:r>
      <w:r>
        <w:rPr>
          <w:i/>
          <w:color w:val="222222"/>
          <w:highlight w:val="white"/>
        </w:rPr>
        <w:t>28</w:t>
      </w:r>
      <w:r>
        <w:rPr>
          <w:color w:val="222222"/>
          <w:highlight w:val="white"/>
        </w:rPr>
        <w:t>(6), pp.439-453.</w:t>
      </w:r>
    </w:p>
    <w:p w14:paraId="5AB212B5" w14:textId="77777777" w:rsidR="00284666" w:rsidRDefault="00284666" w:rsidP="00284666">
      <w:pPr>
        <w:spacing w:line="360" w:lineRule="auto"/>
        <w:rPr>
          <w:color w:val="222222"/>
          <w:highlight w:val="white"/>
        </w:rPr>
      </w:pPr>
      <w:r>
        <w:rPr>
          <w:color w:val="222222"/>
          <w:highlight w:val="white"/>
        </w:rPr>
        <w:t xml:space="preserve">Vo, H.L. and Vo, D.H., 2023. The purchasing power parity and exchange‐rate economics half a century on. </w:t>
      </w:r>
      <w:r>
        <w:rPr>
          <w:i/>
          <w:color w:val="222222"/>
          <w:highlight w:val="white"/>
        </w:rPr>
        <w:t>Journal of Economic Surveys</w:t>
      </w:r>
      <w:r>
        <w:rPr>
          <w:color w:val="222222"/>
          <w:highlight w:val="white"/>
        </w:rPr>
        <w:t xml:space="preserve">, </w:t>
      </w:r>
      <w:r>
        <w:rPr>
          <w:i/>
          <w:color w:val="222222"/>
          <w:highlight w:val="white"/>
        </w:rPr>
        <w:t>37</w:t>
      </w:r>
      <w:r>
        <w:rPr>
          <w:color w:val="222222"/>
          <w:highlight w:val="white"/>
        </w:rPr>
        <w:t>(2), pp.446-479.</w:t>
      </w:r>
    </w:p>
    <w:p w14:paraId="7C84A289" w14:textId="77777777" w:rsidR="003D52AF" w:rsidRDefault="003D52AF" w:rsidP="00327FC3">
      <w:pPr>
        <w:spacing w:before="240" w:after="240" w:line="360" w:lineRule="auto"/>
        <w:jc w:val="both"/>
        <w:rPr>
          <w:b/>
          <w:color w:val="222222"/>
          <w:highlight w:val="white"/>
        </w:rPr>
      </w:pPr>
    </w:p>
    <w:p w14:paraId="075C5A7C" w14:textId="77777777" w:rsidR="003D52AF" w:rsidRDefault="003D52AF" w:rsidP="00327FC3">
      <w:pPr>
        <w:spacing w:before="240" w:after="240" w:line="360" w:lineRule="auto"/>
        <w:rPr>
          <w:color w:val="222222"/>
          <w:highlight w:val="white"/>
        </w:rPr>
      </w:pPr>
    </w:p>
    <w:p w14:paraId="7D07EC22" w14:textId="77777777" w:rsidR="003D52AF" w:rsidRDefault="003D52AF" w:rsidP="00327FC3">
      <w:pPr>
        <w:spacing w:line="360" w:lineRule="auto"/>
        <w:rPr>
          <w:color w:val="222222"/>
          <w:highlight w:val="white"/>
        </w:rPr>
      </w:pPr>
    </w:p>
    <w:sectPr w:rsidR="003D52AF" w:rsidSect="00327FC3">
      <w:footerReference w:type="default" r:id="rId13"/>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69FA38" w14:textId="77777777" w:rsidR="008A7ADA" w:rsidRDefault="008A7ADA">
      <w:pPr>
        <w:spacing w:line="240" w:lineRule="auto"/>
      </w:pPr>
      <w:r>
        <w:separator/>
      </w:r>
    </w:p>
  </w:endnote>
  <w:endnote w:type="continuationSeparator" w:id="0">
    <w:p w14:paraId="17A179F1" w14:textId="77777777" w:rsidR="008A7ADA" w:rsidRDefault="008A7A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373853" w14:textId="77777777" w:rsidR="003D52AF" w:rsidRDefault="005977F7">
    <w:pPr>
      <w:jc w:val="right"/>
    </w:pPr>
    <w:r>
      <w:fldChar w:fldCharType="begin"/>
    </w:r>
    <w:r>
      <w:instrText>PAGE</w:instrText>
    </w:r>
    <w:r>
      <w:fldChar w:fldCharType="separate"/>
    </w:r>
    <w:r w:rsidR="00EC177A">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A3F31E" w14:textId="77777777" w:rsidR="008A7ADA" w:rsidRDefault="008A7ADA">
      <w:pPr>
        <w:spacing w:line="240" w:lineRule="auto"/>
      </w:pPr>
      <w:r>
        <w:separator/>
      </w:r>
    </w:p>
  </w:footnote>
  <w:footnote w:type="continuationSeparator" w:id="0">
    <w:p w14:paraId="09FA1813" w14:textId="77777777" w:rsidR="008A7ADA" w:rsidRDefault="008A7AD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3D52AF"/>
    <w:rsid w:val="000F7765"/>
    <w:rsid w:val="00284666"/>
    <w:rsid w:val="002E680F"/>
    <w:rsid w:val="00327FC3"/>
    <w:rsid w:val="003D52AF"/>
    <w:rsid w:val="005977F7"/>
    <w:rsid w:val="00613B0D"/>
    <w:rsid w:val="0068197F"/>
    <w:rsid w:val="00715D64"/>
    <w:rsid w:val="008A7ADA"/>
    <w:rsid w:val="008B5505"/>
    <w:rsid w:val="00912328"/>
    <w:rsid w:val="00A70C0C"/>
    <w:rsid w:val="00A8780C"/>
    <w:rsid w:val="00AD4BF1"/>
    <w:rsid w:val="00C2416F"/>
    <w:rsid w:val="00E224E1"/>
    <w:rsid w:val="00E96158"/>
    <w:rsid w:val="00EC177A"/>
    <w:rsid w:val="00F656AA"/>
    <w:rsid w:val="00FF75AA"/>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8099A8"/>
  <w15:docId w15:val="{41753E2B-345A-5547-99F4-E448F83FA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327FC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7FC3"/>
    <w:rPr>
      <w:rFonts w:ascii="Tahoma" w:hAnsi="Tahoma" w:cs="Tahoma"/>
      <w:sz w:val="16"/>
      <w:szCs w:val="16"/>
    </w:rPr>
  </w:style>
  <w:style w:type="paragraph" w:styleId="TOC1">
    <w:name w:val="toc 1"/>
    <w:basedOn w:val="Normal"/>
    <w:next w:val="Normal"/>
    <w:autoRedefine/>
    <w:uiPriority w:val="39"/>
    <w:unhideWhenUsed/>
    <w:rsid w:val="00EC177A"/>
    <w:pPr>
      <w:spacing w:after="100"/>
    </w:pPr>
  </w:style>
  <w:style w:type="paragraph" w:styleId="TOC2">
    <w:name w:val="toc 2"/>
    <w:basedOn w:val="Normal"/>
    <w:next w:val="Normal"/>
    <w:autoRedefine/>
    <w:uiPriority w:val="39"/>
    <w:unhideWhenUsed/>
    <w:rsid w:val="00EC177A"/>
    <w:pPr>
      <w:spacing w:after="100"/>
      <w:ind w:left="240"/>
    </w:pPr>
  </w:style>
  <w:style w:type="character" w:styleId="Hyperlink">
    <w:name w:val="Hyperlink"/>
    <w:basedOn w:val="DefaultParagraphFont"/>
    <w:uiPriority w:val="99"/>
    <w:unhideWhenUsed/>
    <w:rsid w:val="00EC177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13</Pages>
  <Words>2530</Words>
  <Characters>14804</Characters>
  <Application>Microsoft Office Word</Application>
  <DocSecurity>0</DocSecurity>
  <Lines>279</Lines>
  <Paragraphs>127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17207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Mihaela Bucur Bucur</dc:creator>
  <cp:keywords/>
  <dc:description/>
  <cp:lastModifiedBy>Elena Mihaela Bucur Bucur</cp:lastModifiedBy>
  <cp:revision>2</cp:revision>
  <dcterms:created xsi:type="dcterms:W3CDTF">2024-08-20T12:09:00Z</dcterms:created>
  <dcterms:modified xsi:type="dcterms:W3CDTF">2024-08-20T12:09:00Z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a5dd233e3961a5d46cff3a1cb782d2a719d1103c205242a1d575bce63f72cc12</vt:lpwstr>
  </property>
</Properties>
</file>