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76DAC" w14:textId="011085FD" w:rsidR="0002054A" w:rsidRPr="00D84204" w:rsidRDefault="007920DE">
      <w:pPr>
        <w:spacing w:line="360" w:lineRule="auto"/>
        <w:jc w:val="center"/>
        <w:rPr>
          <w:rFonts w:ascii="Times New Roman" w:hAnsi="Times New Roman"/>
          <w:sz w:val="40"/>
          <w:szCs w:val="40"/>
        </w:rPr>
      </w:pPr>
      <w:r w:rsidRPr="00D84204">
        <w:rPr>
          <w:rFonts w:ascii="Times New Roman" w:hAnsi="Times New Roman"/>
          <w:noProof/>
          <w:sz w:val="40"/>
          <w:szCs w:val="40"/>
        </w:rPr>
        <mc:AlternateContent>
          <mc:Choice Requires="wps">
            <w:drawing>
              <wp:anchor distT="0" distB="0" distL="114300" distR="114300" simplePos="0" relativeHeight="251659264" behindDoc="1" locked="0" layoutInCell="1" allowOverlap="1" wp14:anchorId="2AE277C5" wp14:editId="4315BC37">
                <wp:simplePos x="0" y="0"/>
                <wp:positionH relativeFrom="column">
                  <wp:posOffset>12976</wp:posOffset>
                </wp:positionH>
                <wp:positionV relativeFrom="paragraph">
                  <wp:posOffset>-128684</wp:posOffset>
                </wp:positionV>
                <wp:extent cx="5724939" cy="3267986"/>
                <wp:effectExtent l="0" t="0" r="9525" b="8890"/>
                <wp:wrapNone/>
                <wp:docPr id="538877094" name="Rectangle 1"/>
                <wp:cNvGraphicFramePr/>
                <a:graphic xmlns:a="http://schemas.openxmlformats.org/drawingml/2006/main">
                  <a:graphicData uri="http://schemas.microsoft.com/office/word/2010/wordprocessingShape">
                    <wps:wsp>
                      <wps:cNvSpPr/>
                      <wps:spPr>
                        <a:xfrm>
                          <a:off x="0" y="0"/>
                          <a:ext cx="5724939" cy="3267986"/>
                        </a:xfrm>
                        <a:prstGeom prst="rect">
                          <a:avLst/>
                        </a:prstGeom>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213EC" id="Rectangle 1" o:spid="_x0000_s1026" style="position:absolute;margin-left:1pt;margin-top:-10.15pt;width:450.8pt;height:257.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" fillcolor="#9bbb59 [3206]" stroked="f" strokeweight="2pt"/>
            </w:pict>
          </mc:Fallback>
        </mc:AlternateContent>
      </w:r>
      <w:r w:rsidRPr="00D84204">
        <w:rPr>
          <w:rFonts w:ascii="Times New Roman" w:hAnsi="Times New Roman"/>
          <w:sz w:val="40"/>
          <w:szCs w:val="40"/>
        </w:rPr>
        <w:t>Module: Networks and Cyber Security Essentials</w:t>
      </w:r>
    </w:p>
    <w:p w14:paraId="01C74E4F" w14:textId="77777777" w:rsidR="0002054A" w:rsidRPr="00D84204" w:rsidRDefault="00000000">
      <w:pPr>
        <w:spacing w:line="360" w:lineRule="auto"/>
        <w:jc w:val="center"/>
        <w:rPr>
          <w:rFonts w:ascii="Times New Roman" w:hAnsi="Times New Roman"/>
          <w:sz w:val="40"/>
          <w:szCs w:val="40"/>
        </w:rPr>
      </w:pPr>
      <w:r w:rsidRPr="00D84204">
        <w:rPr>
          <w:rFonts w:ascii="Times New Roman" w:hAnsi="Times New Roman"/>
          <w:sz w:val="40"/>
          <w:szCs w:val="40"/>
        </w:rPr>
        <w:t>Module code: ACCA4024</w:t>
      </w:r>
    </w:p>
    <w:p w14:paraId="5613D29D" w14:textId="3B95F1EB" w:rsidR="0002054A" w:rsidRPr="00D84204" w:rsidRDefault="00000000">
      <w:pPr>
        <w:spacing w:line="360" w:lineRule="auto"/>
        <w:jc w:val="center"/>
        <w:rPr>
          <w:rFonts w:ascii="Times New Roman" w:hAnsi="Times New Roman"/>
          <w:sz w:val="40"/>
          <w:szCs w:val="40"/>
        </w:rPr>
      </w:pPr>
      <w:r w:rsidRPr="00D84204">
        <w:rPr>
          <w:rFonts w:ascii="Times New Roman" w:hAnsi="Times New Roman"/>
          <w:sz w:val="40"/>
          <w:szCs w:val="40"/>
        </w:rPr>
        <w:t xml:space="preserve">Student name: </w:t>
      </w:r>
      <w:r w:rsidR="007920DE" w:rsidRPr="00D84204">
        <w:rPr>
          <w:rFonts w:ascii="Times New Roman" w:hAnsi="Times New Roman"/>
          <w:sz w:val="40"/>
          <w:szCs w:val="40"/>
        </w:rPr>
        <w:t>Mohammad Hasan Tohin</w:t>
      </w:r>
    </w:p>
    <w:p w14:paraId="5183A76E" w14:textId="32881DCA" w:rsidR="0002054A" w:rsidRPr="00D84204" w:rsidRDefault="00000000">
      <w:pPr>
        <w:spacing w:line="360" w:lineRule="auto"/>
        <w:jc w:val="center"/>
        <w:rPr>
          <w:rFonts w:ascii="Times New Roman" w:hAnsi="Times New Roman"/>
          <w:sz w:val="40"/>
          <w:szCs w:val="40"/>
        </w:rPr>
      </w:pPr>
      <w:r w:rsidRPr="00D84204">
        <w:rPr>
          <w:rFonts w:ascii="Times New Roman" w:hAnsi="Times New Roman"/>
          <w:sz w:val="40"/>
          <w:szCs w:val="40"/>
        </w:rPr>
        <w:t xml:space="preserve">Student ID: </w:t>
      </w:r>
      <w:r w:rsidR="007920DE" w:rsidRPr="00D84204">
        <w:rPr>
          <w:rFonts w:ascii="Times New Roman" w:hAnsi="Times New Roman"/>
          <w:sz w:val="40"/>
          <w:szCs w:val="40"/>
        </w:rPr>
        <w:t>2514325</w:t>
      </w:r>
    </w:p>
    <w:p w14:paraId="42BB0200" w14:textId="77777777" w:rsidR="0002054A" w:rsidRPr="00D84204" w:rsidRDefault="00000000">
      <w:pPr>
        <w:spacing w:line="360" w:lineRule="auto"/>
        <w:jc w:val="center"/>
        <w:rPr>
          <w:rFonts w:ascii="Times New Roman" w:hAnsi="Times New Roman"/>
          <w:sz w:val="40"/>
          <w:szCs w:val="40"/>
        </w:rPr>
      </w:pPr>
      <w:r w:rsidRPr="00D84204">
        <w:rPr>
          <w:rFonts w:ascii="Times New Roman" w:hAnsi="Times New Roman"/>
          <w:sz w:val="40"/>
          <w:szCs w:val="40"/>
        </w:rPr>
        <w:t>Main text word count: approximately 2,000 words</w:t>
      </w:r>
    </w:p>
    <w:sdt>
      <w:sdtPr>
        <w:rPr>
          <w:rFonts w:ascii="Arial" w:eastAsia="Arial" w:hAnsi="Arial" w:cs="FreeSans"/>
          <w:b w:val="0"/>
          <w:bCs w:val="0"/>
          <w:color w:val="auto"/>
          <w:sz w:val="21"/>
          <w:szCs w:val="22"/>
        </w:rPr>
        <w:id w:val="-932057862"/>
        <w:docPartObj>
          <w:docPartGallery w:val="Table of Contents"/>
          <w:docPartUnique/>
        </w:docPartObj>
      </w:sdtPr>
      <w:sdtContent>
        <w:p w14:paraId="1B488814" w14:textId="77777777" w:rsidR="0002054A" w:rsidRDefault="00000000">
          <w:pPr>
            <w:pStyle w:val="TOCHeading"/>
          </w:pPr>
          <w:r>
            <w:br w:type="page"/>
          </w:r>
          <w:r>
            <w:lastRenderedPageBreak/>
            <w:t>Table of Contents</w:t>
          </w:r>
        </w:p>
        <w:p w14:paraId="48992515" w14:textId="77777777" w:rsidR="0002054A" w:rsidRDefault="00000000">
          <w:pPr>
            <w:pStyle w:val="TOC1"/>
            <w:tabs>
              <w:tab w:val="clear" w:pos="9718"/>
              <w:tab w:val="right" w:leader="dot" w:pos="9717"/>
            </w:tabs>
          </w:pPr>
          <w:r>
            <w:fldChar w:fldCharType="begin"/>
          </w:r>
          <w:r>
            <w:rPr>
              <w:rStyle w:val="IndexLink"/>
            </w:rPr>
            <w:instrText xml:space="preserve"> TOC \f \o "1-9" \h</w:instrText>
          </w:r>
          <w:r>
            <w:rPr>
              <w:rStyle w:val="IndexLink"/>
            </w:rPr>
            <w:fldChar w:fldCharType="separate"/>
          </w:r>
          <w:r>
            <w:rPr>
              <w:rStyle w:val="IndexLink"/>
            </w:rPr>
            <w:t>Governing the Trusted Path</w:t>
          </w:r>
          <w:r>
            <w:tab/>
            <w:t>1</w:t>
          </w:r>
        </w:p>
        <w:p w14:paraId="36306AD9" w14:textId="77777777" w:rsidR="0002054A" w:rsidRDefault="00000000">
          <w:pPr>
            <w:pStyle w:val="TOC1"/>
            <w:tabs>
              <w:tab w:val="clear" w:pos="9718"/>
              <w:tab w:val="right" w:leader="dot" w:pos="9717"/>
            </w:tabs>
          </w:pPr>
          <w:r>
            <w:t>Abstract</w:t>
          </w:r>
          <w:r>
            <w:tab/>
            <w:t>3</w:t>
          </w:r>
        </w:p>
        <w:p w14:paraId="7A7FE6F6" w14:textId="77777777" w:rsidR="0002054A" w:rsidRDefault="00000000">
          <w:pPr>
            <w:pStyle w:val="TOC1"/>
            <w:tabs>
              <w:tab w:val="clear" w:pos="9718"/>
              <w:tab w:val="right" w:leader="dot" w:pos="9717"/>
            </w:tabs>
          </w:pPr>
          <w:r>
            <w:t>1. Introduction and extended scenario</w:t>
          </w:r>
          <w:r>
            <w:tab/>
            <w:t>3</w:t>
          </w:r>
        </w:p>
        <w:p w14:paraId="17CC6D4C" w14:textId="77777777" w:rsidR="0002054A" w:rsidRDefault="00000000">
          <w:pPr>
            <w:pStyle w:val="TOC2"/>
            <w:tabs>
              <w:tab w:val="clear" w:pos="9435"/>
              <w:tab w:val="right" w:leader="dot" w:pos="9717"/>
            </w:tabs>
          </w:pPr>
          <w:r>
            <w:t>1.1 Smart-manufacturing context</w:t>
          </w:r>
          <w:r>
            <w:tab/>
            <w:t>3</w:t>
          </w:r>
        </w:p>
        <w:p w14:paraId="1889AEE4" w14:textId="77777777" w:rsidR="0002054A" w:rsidRDefault="00000000">
          <w:pPr>
            <w:pStyle w:val="TOC2"/>
            <w:tabs>
              <w:tab w:val="clear" w:pos="9435"/>
              <w:tab w:val="right" w:leader="dot" w:pos="9717"/>
            </w:tabs>
          </w:pPr>
          <w:r>
            <w:t>1.2 SteelForm problem and assumptions</w:t>
          </w:r>
          <w:r>
            <w:tab/>
            <w:t>3</w:t>
          </w:r>
        </w:p>
        <w:p w14:paraId="75070FBB" w14:textId="77777777" w:rsidR="0002054A" w:rsidRDefault="00000000">
          <w:pPr>
            <w:pStyle w:val="TOC2"/>
            <w:tabs>
              <w:tab w:val="clear" w:pos="9435"/>
              <w:tab w:val="right" w:leader="dot" w:pos="9717"/>
            </w:tabs>
          </w:pPr>
          <w:r>
            <w:t>1.3 Aim, question and argument</w:t>
          </w:r>
          <w:r>
            <w:tab/>
            <w:t>3</w:t>
          </w:r>
        </w:p>
        <w:p w14:paraId="2AF36DE6" w14:textId="77777777" w:rsidR="0002054A" w:rsidRDefault="00000000">
          <w:pPr>
            <w:pStyle w:val="TOC1"/>
            <w:tabs>
              <w:tab w:val="clear" w:pos="9718"/>
              <w:tab w:val="right" w:leader="dot" w:pos="9717"/>
            </w:tabs>
          </w:pPr>
          <w:r>
            <w:t>2. Conceptual and analytical framework</w:t>
          </w:r>
          <w:r>
            <w:tab/>
            <w:t>4</w:t>
          </w:r>
        </w:p>
        <w:p w14:paraId="57CBD8DC" w14:textId="77777777" w:rsidR="0002054A" w:rsidRDefault="00000000">
          <w:pPr>
            <w:pStyle w:val="TOC2"/>
            <w:tabs>
              <w:tab w:val="clear" w:pos="9435"/>
              <w:tab w:val="right" w:leader="dot" w:pos="9717"/>
            </w:tabs>
          </w:pPr>
          <w:r>
            <w:t>2.1 Confidentiality, integrity, availability, safety and recoverability</w:t>
          </w:r>
          <w:r>
            <w:tab/>
            <w:t>4</w:t>
          </w:r>
        </w:p>
        <w:p w14:paraId="424B54A0" w14:textId="77777777" w:rsidR="0002054A" w:rsidRDefault="00000000">
          <w:pPr>
            <w:pStyle w:val="TOC2"/>
            <w:tabs>
              <w:tab w:val="clear" w:pos="9435"/>
              <w:tab w:val="right" w:leader="dot" w:pos="9717"/>
            </w:tabs>
          </w:pPr>
          <w:r>
            <w:t>2.2 Framework synthesis</w:t>
          </w:r>
          <w:r>
            <w:tab/>
            <w:t>4</w:t>
          </w:r>
        </w:p>
        <w:p w14:paraId="5EFA5CC2" w14:textId="77777777" w:rsidR="0002054A" w:rsidRDefault="00000000">
          <w:pPr>
            <w:pStyle w:val="TOC2"/>
            <w:tabs>
              <w:tab w:val="clear" w:pos="9435"/>
              <w:tab w:val="right" w:leader="dot" w:pos="9717"/>
            </w:tabs>
          </w:pPr>
          <w:r>
            <w:t>2.3 Risk method and limitations</w:t>
          </w:r>
          <w:r>
            <w:tab/>
            <w:t>4</w:t>
          </w:r>
        </w:p>
        <w:p w14:paraId="45C56820" w14:textId="77777777" w:rsidR="0002054A" w:rsidRDefault="00000000">
          <w:pPr>
            <w:pStyle w:val="TOC1"/>
            <w:tabs>
              <w:tab w:val="clear" w:pos="9718"/>
              <w:tab w:val="right" w:leader="dot" w:pos="9717"/>
            </w:tabs>
          </w:pPr>
          <w:r>
            <w:t>3. Prioritised threat and risk analysis</w:t>
          </w:r>
          <w:r>
            <w:tab/>
            <w:t>4</w:t>
          </w:r>
        </w:p>
        <w:p w14:paraId="413871CF" w14:textId="77777777" w:rsidR="0002054A" w:rsidRDefault="00000000">
          <w:pPr>
            <w:pStyle w:val="TOC2"/>
            <w:tabs>
              <w:tab w:val="clear" w:pos="9435"/>
              <w:tab w:val="right" w:leader="dot" w:pos="9717"/>
            </w:tabs>
          </w:pPr>
          <w:r>
            <w:t>3.1 Assets, trust boundaries and broad threat scan</w:t>
          </w:r>
          <w:r>
            <w:tab/>
            <w:t>4</w:t>
          </w:r>
        </w:p>
        <w:p w14:paraId="2D72F867" w14:textId="77777777" w:rsidR="0002054A" w:rsidRDefault="00000000">
          <w:pPr>
            <w:pStyle w:val="TOC2"/>
            <w:tabs>
              <w:tab w:val="clear" w:pos="9435"/>
              <w:tab w:val="right" w:leader="dot" w:pos="9717"/>
            </w:tabs>
          </w:pPr>
          <w:r>
            <w:t>3.2 Three end-to-end attack scenarios</w:t>
          </w:r>
          <w:r>
            <w:tab/>
            <w:t>5</w:t>
          </w:r>
        </w:p>
        <w:p w14:paraId="2EB057F8" w14:textId="77777777" w:rsidR="0002054A" w:rsidRDefault="00000000">
          <w:pPr>
            <w:pStyle w:val="TOC2"/>
            <w:tabs>
              <w:tab w:val="clear" w:pos="9435"/>
              <w:tab w:val="right" w:leader="dot" w:pos="9717"/>
            </w:tabs>
          </w:pPr>
          <w:r>
            <w:t>3.3 Prioritisation and case evidence</w:t>
          </w:r>
          <w:r>
            <w:tab/>
            <w:t>5</w:t>
          </w:r>
        </w:p>
        <w:p w14:paraId="3E2B82AF" w14:textId="77777777" w:rsidR="0002054A" w:rsidRDefault="00000000">
          <w:pPr>
            <w:pStyle w:val="TOC1"/>
            <w:tabs>
              <w:tab w:val="clear" w:pos="9718"/>
              <w:tab w:val="right" w:leader="dot" w:pos="9717"/>
            </w:tabs>
          </w:pPr>
          <w:r>
            <w:t>4. Integrated security and data-governance policy architecture</w:t>
          </w:r>
          <w:r>
            <w:tab/>
            <w:t>7</w:t>
          </w:r>
        </w:p>
        <w:p w14:paraId="26415941" w14:textId="77777777" w:rsidR="0002054A" w:rsidRDefault="00000000">
          <w:pPr>
            <w:pStyle w:val="TOC2"/>
            <w:tabs>
              <w:tab w:val="clear" w:pos="9435"/>
              <w:tab w:val="right" w:leader="dot" w:pos="9717"/>
            </w:tabs>
          </w:pPr>
          <w:r>
            <w:t>4.1 Governance and accountability</w:t>
          </w:r>
          <w:r>
            <w:tab/>
            <w:t>7</w:t>
          </w:r>
        </w:p>
        <w:p w14:paraId="3409D8BF" w14:textId="77777777" w:rsidR="0002054A" w:rsidRDefault="00000000">
          <w:pPr>
            <w:pStyle w:val="TOC2"/>
            <w:tabs>
              <w:tab w:val="clear" w:pos="9435"/>
              <w:tab w:val="right" w:leader="dot" w:pos="9717"/>
            </w:tabs>
          </w:pPr>
          <w:r>
            <w:t>4.2 Integrated policy package</w:t>
          </w:r>
          <w:r>
            <w:tab/>
            <w:t>7</w:t>
          </w:r>
        </w:p>
        <w:p w14:paraId="78CCF1D2" w14:textId="77777777" w:rsidR="0002054A" w:rsidRDefault="00000000">
          <w:pPr>
            <w:pStyle w:val="TOC2"/>
            <w:tabs>
              <w:tab w:val="clear" w:pos="9435"/>
              <w:tab w:val="right" w:leader="dot" w:pos="9717"/>
            </w:tabs>
          </w:pPr>
          <w:r>
            <w:t>4.3 Standards, law and alternatives</w:t>
          </w:r>
          <w:r>
            <w:tab/>
            <w:t>8</w:t>
          </w:r>
        </w:p>
        <w:p w14:paraId="69660EB5" w14:textId="77777777" w:rsidR="0002054A" w:rsidRDefault="00000000">
          <w:pPr>
            <w:pStyle w:val="TOC1"/>
            <w:tabs>
              <w:tab w:val="clear" w:pos="9718"/>
              <w:tab w:val="right" w:leader="dot" w:pos="9717"/>
            </w:tabs>
          </w:pPr>
          <w:r>
            <w:t>5. Mitigation design and implementation roadmap</w:t>
          </w:r>
          <w:r>
            <w:tab/>
            <w:t>8</w:t>
          </w:r>
        </w:p>
        <w:p w14:paraId="0B4F14B1" w14:textId="77777777" w:rsidR="0002054A" w:rsidRDefault="00000000">
          <w:pPr>
            <w:pStyle w:val="TOC2"/>
            <w:tabs>
              <w:tab w:val="clear" w:pos="9435"/>
              <w:tab w:val="right" w:leader="dot" w:pos="9717"/>
            </w:tabs>
          </w:pPr>
          <w:r>
            <w:t>5.1 Target information technology-operational technology architecture</w:t>
          </w:r>
          <w:r>
            <w:tab/>
            <w:t>8</w:t>
          </w:r>
        </w:p>
        <w:p w14:paraId="73D98318" w14:textId="77777777" w:rsidR="0002054A" w:rsidRDefault="00000000">
          <w:pPr>
            <w:pStyle w:val="TOC2"/>
            <w:tabs>
              <w:tab w:val="clear" w:pos="9435"/>
              <w:tab w:val="right" w:leader="dot" w:pos="9717"/>
            </w:tabs>
          </w:pPr>
          <w:r>
            <w:t>5.2 Control implementation</w:t>
          </w:r>
          <w:r>
            <w:tab/>
            <w:t>9</w:t>
          </w:r>
        </w:p>
        <w:p w14:paraId="7A8723C8" w14:textId="77777777" w:rsidR="0002054A" w:rsidRDefault="00000000">
          <w:pPr>
            <w:pStyle w:val="TOC2"/>
            <w:tabs>
              <w:tab w:val="clear" w:pos="9435"/>
              <w:tab w:val="right" w:leader="dot" w:pos="9717"/>
            </w:tabs>
          </w:pPr>
          <w:r>
            <w:t>5.3 Phased roadmap and validation</w:t>
          </w:r>
          <w:r>
            <w:tab/>
            <w:t>10</w:t>
          </w:r>
        </w:p>
        <w:p w14:paraId="2D74976F" w14:textId="77777777" w:rsidR="0002054A" w:rsidRDefault="00000000">
          <w:pPr>
            <w:pStyle w:val="TOC1"/>
            <w:tabs>
              <w:tab w:val="clear" w:pos="9718"/>
              <w:tab w:val="right" w:leader="dot" w:pos="9717"/>
            </w:tabs>
          </w:pPr>
          <w:r>
            <w:t>6. Monitoring, incident response and recovery</w:t>
          </w:r>
          <w:r>
            <w:tab/>
            <w:t>11</w:t>
          </w:r>
        </w:p>
        <w:p w14:paraId="6CE246D4" w14:textId="77777777" w:rsidR="0002054A" w:rsidRDefault="00000000">
          <w:pPr>
            <w:pStyle w:val="TOC2"/>
            <w:tabs>
              <w:tab w:val="clear" w:pos="9435"/>
              <w:tab w:val="right" w:leader="dot" w:pos="9717"/>
            </w:tabs>
          </w:pPr>
          <w:r>
            <w:t>6.1 Monitoring model</w:t>
          </w:r>
          <w:r>
            <w:tab/>
            <w:t>11</w:t>
          </w:r>
        </w:p>
        <w:p w14:paraId="3FC4141F" w14:textId="77777777" w:rsidR="0002054A" w:rsidRDefault="00000000">
          <w:pPr>
            <w:pStyle w:val="TOC2"/>
            <w:tabs>
              <w:tab w:val="clear" w:pos="9435"/>
              <w:tab w:val="right" w:leader="dot" w:pos="9717"/>
            </w:tabs>
          </w:pPr>
          <w:r>
            <w:t>6.2 Incident-response process</w:t>
          </w:r>
          <w:r>
            <w:tab/>
            <w:t>12</w:t>
          </w:r>
        </w:p>
        <w:p w14:paraId="6044D2AF" w14:textId="77777777" w:rsidR="0002054A" w:rsidRDefault="00000000">
          <w:pPr>
            <w:pStyle w:val="TOC2"/>
            <w:tabs>
              <w:tab w:val="clear" w:pos="9435"/>
              <w:tab w:val="right" w:leader="dot" w:pos="9717"/>
            </w:tabs>
          </w:pPr>
          <w:r>
            <w:t>6.3 Recovery measures</w:t>
          </w:r>
          <w:r>
            <w:tab/>
            <w:t>12</w:t>
          </w:r>
        </w:p>
        <w:p w14:paraId="4B537338" w14:textId="77777777" w:rsidR="0002054A" w:rsidRDefault="00000000">
          <w:pPr>
            <w:pStyle w:val="TOC1"/>
            <w:tabs>
              <w:tab w:val="clear" w:pos="9718"/>
              <w:tab w:val="right" w:leader="dot" w:pos="9717"/>
            </w:tabs>
          </w:pPr>
          <w:r>
            <w:t>7. Role-based training and security culture</w:t>
          </w:r>
          <w:r>
            <w:tab/>
            <w:t>12</w:t>
          </w:r>
        </w:p>
        <w:p w14:paraId="5B77F78B" w14:textId="77777777" w:rsidR="0002054A" w:rsidRDefault="00000000">
          <w:pPr>
            <w:pStyle w:val="TOC2"/>
            <w:tabs>
              <w:tab w:val="clear" w:pos="9435"/>
              <w:tab w:val="right" w:leader="dot" w:pos="9717"/>
            </w:tabs>
          </w:pPr>
          <w:r>
            <w:t>7.1 Behavioural foundation</w:t>
          </w:r>
          <w:r>
            <w:tab/>
            <w:t>12</w:t>
          </w:r>
        </w:p>
        <w:p w14:paraId="24608549" w14:textId="77777777" w:rsidR="0002054A" w:rsidRDefault="00000000">
          <w:pPr>
            <w:pStyle w:val="TOC2"/>
            <w:tabs>
              <w:tab w:val="clear" w:pos="9435"/>
              <w:tab w:val="right" w:leader="dot" w:pos="9717"/>
            </w:tabs>
          </w:pPr>
          <w:r>
            <w:t>7.2 Role-specific programme</w:t>
          </w:r>
          <w:r>
            <w:tab/>
            <w:t>13</w:t>
          </w:r>
        </w:p>
        <w:p w14:paraId="25E609AD" w14:textId="77777777" w:rsidR="0002054A" w:rsidRDefault="00000000">
          <w:pPr>
            <w:pStyle w:val="TOC2"/>
            <w:tabs>
              <w:tab w:val="clear" w:pos="9435"/>
              <w:tab w:val="right" w:leader="dot" w:pos="9717"/>
            </w:tabs>
          </w:pPr>
          <w:r>
            <w:t>7.3 Metrics and governance</w:t>
          </w:r>
          <w:r>
            <w:tab/>
            <w:t>14</w:t>
          </w:r>
        </w:p>
        <w:p w14:paraId="050E089E" w14:textId="77777777" w:rsidR="0002054A" w:rsidRDefault="00000000">
          <w:pPr>
            <w:pStyle w:val="TOC1"/>
            <w:tabs>
              <w:tab w:val="clear" w:pos="9718"/>
              <w:tab w:val="right" w:leader="dot" w:pos="9717"/>
            </w:tabs>
          </w:pPr>
          <w:r>
            <w:t>8. Strategic implications and conclusion</w:t>
          </w:r>
          <w:r>
            <w:tab/>
            <w:t>14</w:t>
          </w:r>
        </w:p>
        <w:p w14:paraId="066D55EA" w14:textId="77777777" w:rsidR="0002054A" w:rsidRDefault="00000000">
          <w:pPr>
            <w:pStyle w:val="TOC2"/>
            <w:tabs>
              <w:tab w:val="clear" w:pos="9435"/>
              <w:tab w:val="right" w:leader="dot" w:pos="9717"/>
            </w:tabs>
          </w:pPr>
          <w:r>
            <w:t>8.1 Strategic and future implications</w:t>
          </w:r>
          <w:r>
            <w:tab/>
            <w:t>14</w:t>
          </w:r>
        </w:p>
        <w:p w14:paraId="2B85B48C" w14:textId="77777777" w:rsidR="0002054A" w:rsidRDefault="00000000">
          <w:pPr>
            <w:pStyle w:val="TOC2"/>
            <w:tabs>
              <w:tab w:val="clear" w:pos="9435"/>
              <w:tab w:val="right" w:leader="dot" w:pos="9717"/>
            </w:tabs>
          </w:pPr>
          <w:r>
            <w:t>8.2 Recommendation, limitations and conclusion</w:t>
          </w:r>
          <w:r>
            <w:tab/>
            <w:t>15</w:t>
          </w:r>
        </w:p>
        <w:p w14:paraId="436C1DB9" w14:textId="77777777" w:rsidR="0002054A" w:rsidRDefault="00000000">
          <w:pPr>
            <w:pStyle w:val="TOC1"/>
            <w:tabs>
              <w:tab w:val="clear" w:pos="9718"/>
              <w:tab w:val="right" w:leader="dot" w:pos="9717"/>
            </w:tabs>
          </w:pPr>
          <w:r>
            <w:t>References</w:t>
          </w:r>
          <w:r>
            <w:tab/>
            <w:t>16</w:t>
          </w:r>
        </w:p>
        <w:p w14:paraId="25BD2B42" w14:textId="77777777" w:rsidR="0002054A" w:rsidRDefault="00000000">
          <w:pPr>
            <w:pStyle w:val="TOC1"/>
            <w:tabs>
              <w:tab w:val="clear" w:pos="9718"/>
              <w:tab w:val="right" w:leader="dot" w:pos="9717"/>
            </w:tabs>
          </w:pPr>
          <w:r>
            <w:t>Appendix A. Board presentation</w:t>
          </w:r>
          <w:r>
            <w:tab/>
            <w:t>18</w:t>
          </w:r>
          <w:r>
            <w:fldChar w:fldCharType="end"/>
          </w:r>
        </w:p>
      </w:sdtContent>
    </w:sdt>
    <w:p w14:paraId="65314FC7" w14:textId="77777777" w:rsidR="0002054A" w:rsidRDefault="00000000">
      <w:pPr>
        <w:spacing w:line="360" w:lineRule="auto"/>
        <w:jc w:val="center"/>
        <w:rPr>
          <w:rFonts w:ascii="Times New Roman" w:hAnsi="Times New Roman"/>
          <w:sz w:val="24"/>
          <w:szCs w:val="24"/>
        </w:rPr>
      </w:pPr>
      <w:r>
        <w:br w:type="page"/>
      </w:r>
    </w:p>
    <w:p w14:paraId="2FCE661A" w14:textId="77777777" w:rsidR="0002054A" w:rsidRDefault="00000000">
      <w:pPr>
        <w:pStyle w:val="Heading1"/>
        <w:spacing w:before="0" w:line="360" w:lineRule="auto"/>
        <w:rPr>
          <w:rFonts w:ascii="Times New Roman" w:hAnsi="Times New Roman"/>
          <w:sz w:val="24"/>
          <w:szCs w:val="24"/>
        </w:rPr>
      </w:pPr>
      <w:bookmarkStart w:id="0" w:name="__RefHeading___Toc1255_2320685612"/>
      <w:bookmarkEnd w:id="0"/>
      <w:r>
        <w:rPr>
          <w:rFonts w:ascii="Times New Roman" w:hAnsi="Times New Roman"/>
          <w:sz w:val="24"/>
          <w:szCs w:val="24"/>
        </w:rPr>
        <w:lastRenderedPageBreak/>
        <w:t>Abstract</w:t>
      </w:r>
    </w:p>
    <w:p w14:paraId="1C2FC100" w14:textId="77777777" w:rsidR="0002054A" w:rsidRDefault="00000000">
      <w:pPr>
        <w:spacing w:line="360" w:lineRule="auto"/>
        <w:rPr>
          <w:rFonts w:ascii="Times New Roman" w:hAnsi="Times New Roman"/>
          <w:sz w:val="24"/>
          <w:szCs w:val="24"/>
        </w:rPr>
      </w:pPr>
      <w:proofErr w:type="spellStart"/>
      <w:r>
        <w:rPr>
          <w:rFonts w:ascii="Times New Roman" w:hAnsi="Times New Roman"/>
          <w:sz w:val="24"/>
          <w:szCs w:val="24"/>
        </w:rPr>
        <w:t>SteelForm</w:t>
      </w:r>
      <w:proofErr w:type="spellEnd"/>
      <w:r>
        <w:rPr>
          <w:rFonts w:ascii="Times New Roman" w:hAnsi="Times New Roman"/>
          <w:sz w:val="24"/>
          <w:szCs w:val="24"/>
        </w:rPr>
        <w:t xml:space="preserve"> Manufacturing Ltd faces a path from supplier account theft to production stoppage because persistent remote access joins corporate systems, engineering workstations and factory assets. The proposed response combines the National Institute of Standards and Technology Cybersecurity Framework 2.0 with industrial security and information governance standards [1], [2]. A consequence-weighted assessment ranks supplier-enabled ransomware above industrial espionage and production-data manipulation, although the latter could damage product quality. </w:t>
      </w:r>
      <w:proofErr w:type="spellStart"/>
      <w:r>
        <w:rPr>
          <w:rFonts w:ascii="Times New Roman" w:hAnsi="Times New Roman"/>
          <w:sz w:val="24"/>
          <w:szCs w:val="24"/>
        </w:rPr>
        <w:t>SteelForm</w:t>
      </w:r>
      <w:proofErr w:type="spellEnd"/>
      <w:r>
        <w:rPr>
          <w:rFonts w:ascii="Times New Roman" w:hAnsi="Times New Roman"/>
          <w:sz w:val="24"/>
          <w:szCs w:val="24"/>
        </w:rPr>
        <w:t xml:space="preserve"> should </w:t>
      </w:r>
      <w:proofErr w:type="gramStart"/>
      <w:r>
        <w:rPr>
          <w:rFonts w:ascii="Times New Roman" w:hAnsi="Times New Roman"/>
          <w:sz w:val="24"/>
          <w:szCs w:val="24"/>
        </w:rPr>
        <w:t>broker</w:t>
      </w:r>
      <w:proofErr w:type="gramEnd"/>
      <w:r>
        <w:rPr>
          <w:rFonts w:ascii="Times New Roman" w:hAnsi="Times New Roman"/>
          <w:sz w:val="24"/>
          <w:szCs w:val="24"/>
        </w:rPr>
        <w:t xml:space="preserve"> every external session through time-limited approval, network separation, recorded administration and tested recovery. Governance must bind procurement, engineering, security and management to the same evidence.</w:t>
      </w:r>
    </w:p>
    <w:p w14:paraId="6F0BD066" w14:textId="77777777" w:rsidR="0002054A" w:rsidRDefault="00000000">
      <w:pPr>
        <w:pStyle w:val="Heading1"/>
        <w:spacing w:line="360" w:lineRule="auto"/>
        <w:rPr>
          <w:rFonts w:ascii="Times New Roman" w:hAnsi="Times New Roman"/>
          <w:sz w:val="24"/>
          <w:szCs w:val="24"/>
        </w:rPr>
      </w:pPr>
      <w:bookmarkStart w:id="1" w:name="__RefHeading___Toc1257_2320685612"/>
      <w:bookmarkEnd w:id="1"/>
      <w:r>
        <w:rPr>
          <w:rFonts w:ascii="Times New Roman" w:hAnsi="Times New Roman"/>
          <w:sz w:val="24"/>
          <w:szCs w:val="24"/>
        </w:rPr>
        <w:t>1. Introduction and extended scenario</w:t>
      </w:r>
    </w:p>
    <w:p w14:paraId="3346CA1F" w14:textId="77777777" w:rsidR="0002054A" w:rsidRDefault="00000000">
      <w:pPr>
        <w:pStyle w:val="Heading2"/>
        <w:spacing w:line="360" w:lineRule="auto"/>
        <w:rPr>
          <w:rFonts w:ascii="Times New Roman" w:hAnsi="Times New Roman"/>
          <w:szCs w:val="24"/>
        </w:rPr>
      </w:pPr>
      <w:bookmarkStart w:id="2" w:name="__RefHeading___Toc1259_2320685612"/>
      <w:bookmarkEnd w:id="2"/>
      <w:r>
        <w:rPr>
          <w:rFonts w:ascii="Times New Roman" w:hAnsi="Times New Roman"/>
          <w:szCs w:val="24"/>
        </w:rPr>
        <w:t>1.1 Smart-manufacturing context</w:t>
      </w:r>
    </w:p>
    <w:p w14:paraId="3DC4E4D9"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Connected manufacturing gives managers production data and lets equipment vendors diagnose faults remotely. The same links create inherited trust. A stolen supplier account can cross an </w:t>
      </w:r>
      <w:proofErr w:type="spellStart"/>
      <w:r>
        <w:rPr>
          <w:rFonts w:ascii="Times New Roman" w:hAnsi="Times New Roman"/>
          <w:sz w:val="24"/>
          <w:szCs w:val="24"/>
        </w:rPr>
        <w:t>organisational</w:t>
      </w:r>
      <w:proofErr w:type="spellEnd"/>
      <w:r>
        <w:rPr>
          <w:rFonts w:ascii="Times New Roman" w:hAnsi="Times New Roman"/>
          <w:sz w:val="24"/>
          <w:szCs w:val="24"/>
        </w:rPr>
        <w:t xml:space="preserve"> boundary, enter engineering systems and reach machinery designed for stable plant traffic, not hostile internet activity. Castillo-Villar et al. [3] connect cyber risk with resilience and supply-chain design, while ENISA [4] records ransomware and availability attacks among threats. Connectivity brings value. It also widens the route to failure.</w:t>
      </w:r>
    </w:p>
    <w:p w14:paraId="458C2DA7" w14:textId="77777777" w:rsidR="0002054A" w:rsidRDefault="00000000">
      <w:pPr>
        <w:pStyle w:val="Heading2"/>
        <w:spacing w:line="360" w:lineRule="auto"/>
        <w:rPr>
          <w:rFonts w:ascii="Times New Roman" w:hAnsi="Times New Roman"/>
          <w:szCs w:val="24"/>
        </w:rPr>
      </w:pPr>
      <w:bookmarkStart w:id="3" w:name="__RefHeading___Toc1261_2320685612"/>
      <w:bookmarkEnd w:id="3"/>
      <w:r>
        <w:rPr>
          <w:rFonts w:ascii="Times New Roman" w:hAnsi="Times New Roman"/>
          <w:szCs w:val="24"/>
        </w:rPr>
        <w:t xml:space="preserve">1.2 </w:t>
      </w:r>
      <w:proofErr w:type="spellStart"/>
      <w:r>
        <w:rPr>
          <w:rFonts w:ascii="Times New Roman" w:hAnsi="Times New Roman"/>
          <w:szCs w:val="24"/>
        </w:rPr>
        <w:t>SteelForm</w:t>
      </w:r>
      <w:proofErr w:type="spellEnd"/>
      <w:r>
        <w:rPr>
          <w:rFonts w:ascii="Times New Roman" w:hAnsi="Times New Roman"/>
          <w:szCs w:val="24"/>
        </w:rPr>
        <w:t xml:space="preserve"> problem and assumptions</w:t>
      </w:r>
    </w:p>
    <w:p w14:paraId="2DC02AD3" w14:textId="77777777" w:rsidR="0002054A" w:rsidRDefault="00000000">
      <w:pPr>
        <w:spacing w:line="360" w:lineRule="auto"/>
        <w:rPr>
          <w:rFonts w:ascii="Times New Roman" w:hAnsi="Times New Roman"/>
          <w:sz w:val="24"/>
          <w:szCs w:val="24"/>
        </w:rPr>
      </w:pPr>
      <w:proofErr w:type="spellStart"/>
      <w:r>
        <w:rPr>
          <w:rFonts w:ascii="Times New Roman" w:hAnsi="Times New Roman"/>
          <w:sz w:val="24"/>
          <w:szCs w:val="24"/>
        </w:rPr>
        <w:t>SteelForm</w:t>
      </w:r>
      <w:proofErr w:type="spellEnd"/>
      <w:r>
        <w:rPr>
          <w:rFonts w:ascii="Times New Roman" w:hAnsi="Times New Roman"/>
          <w:sz w:val="24"/>
          <w:szCs w:val="24"/>
        </w:rPr>
        <w:t xml:space="preserve"> Manufacturing Ltd produces components for automotive and aerospace customers. Its Internet of Things sensors, machinery and cloud platform sit beside malware, procurement phishing and attempted production-network access. The analysis assumes Virtual Private Network (VPN) accounts for vendors, slow patch cycles on Human-Machine Interfaces, and backups reachable from shared identity administration. Engineering designs, machine </w:t>
      </w:r>
      <w:proofErr w:type="spellStart"/>
      <w:r>
        <w:rPr>
          <w:rFonts w:ascii="Times New Roman" w:hAnsi="Times New Roman"/>
          <w:sz w:val="24"/>
          <w:szCs w:val="24"/>
        </w:rPr>
        <w:t>programmes</w:t>
      </w:r>
      <w:proofErr w:type="spellEnd"/>
      <w:r>
        <w:rPr>
          <w:rFonts w:ascii="Times New Roman" w:hAnsi="Times New Roman"/>
          <w:sz w:val="24"/>
          <w:szCs w:val="24"/>
        </w:rPr>
        <w:t>, inspection thresholds and traceability records form assets. Interruption may delay deliveries and force manual work, as Norsk Hydro and The Clorox Company disclosed [5], [6].</w:t>
      </w:r>
    </w:p>
    <w:p w14:paraId="40379B3F" w14:textId="77777777" w:rsidR="0002054A" w:rsidRDefault="00000000">
      <w:pPr>
        <w:pStyle w:val="Heading2"/>
        <w:spacing w:line="360" w:lineRule="auto"/>
        <w:rPr>
          <w:rFonts w:ascii="Times New Roman" w:hAnsi="Times New Roman"/>
          <w:szCs w:val="24"/>
        </w:rPr>
      </w:pPr>
      <w:bookmarkStart w:id="4" w:name="__RefHeading___Toc1263_2320685612"/>
      <w:bookmarkEnd w:id="4"/>
      <w:r>
        <w:rPr>
          <w:rFonts w:ascii="Times New Roman" w:hAnsi="Times New Roman"/>
          <w:szCs w:val="24"/>
        </w:rPr>
        <w:t>1.3 Aim, question and argument</w:t>
      </w:r>
    </w:p>
    <w:p w14:paraId="304B9B60" w14:textId="77777777" w:rsidR="0002054A" w:rsidRDefault="00000000">
      <w:pPr>
        <w:spacing w:line="360" w:lineRule="auto"/>
        <w:rPr>
          <w:rFonts w:ascii="Times New Roman" w:hAnsi="Times New Roman"/>
          <w:sz w:val="24"/>
          <w:szCs w:val="24"/>
        </w:rPr>
      </w:pPr>
      <w:proofErr w:type="spellStart"/>
      <w:r>
        <w:rPr>
          <w:rFonts w:ascii="Times New Roman" w:hAnsi="Times New Roman"/>
          <w:sz w:val="24"/>
          <w:szCs w:val="24"/>
        </w:rPr>
        <w:t>SteelForm</w:t>
      </w:r>
      <w:proofErr w:type="spellEnd"/>
      <w:r>
        <w:rPr>
          <w:rFonts w:ascii="Times New Roman" w:hAnsi="Times New Roman"/>
          <w:sz w:val="24"/>
          <w:szCs w:val="24"/>
        </w:rPr>
        <w:t xml:space="preserve"> must govern third-party access without blocking necessary maintenance. Governed connectivity offers the sounder choice: verified identity, narrow routes, observable sessions, safe isolation and proven restoration should replace standing trust.</w:t>
      </w:r>
    </w:p>
    <w:p w14:paraId="5F948365" w14:textId="77777777" w:rsidR="0002054A" w:rsidRDefault="00000000">
      <w:pPr>
        <w:pStyle w:val="Heading1"/>
        <w:spacing w:line="360" w:lineRule="auto"/>
        <w:rPr>
          <w:rFonts w:ascii="Times New Roman" w:hAnsi="Times New Roman"/>
          <w:sz w:val="24"/>
          <w:szCs w:val="24"/>
        </w:rPr>
      </w:pPr>
      <w:bookmarkStart w:id="5" w:name="__RefHeading___Toc1265_2320685612"/>
      <w:bookmarkEnd w:id="5"/>
      <w:r>
        <w:rPr>
          <w:rFonts w:ascii="Times New Roman" w:hAnsi="Times New Roman"/>
          <w:sz w:val="24"/>
          <w:szCs w:val="24"/>
        </w:rPr>
        <w:lastRenderedPageBreak/>
        <w:t>2. Conceptual and analytical framework</w:t>
      </w:r>
    </w:p>
    <w:p w14:paraId="5F81AB82" w14:textId="77777777" w:rsidR="0002054A" w:rsidRDefault="00000000">
      <w:pPr>
        <w:pStyle w:val="Heading2"/>
        <w:spacing w:line="360" w:lineRule="auto"/>
        <w:rPr>
          <w:rFonts w:ascii="Times New Roman" w:hAnsi="Times New Roman"/>
          <w:szCs w:val="24"/>
        </w:rPr>
      </w:pPr>
      <w:bookmarkStart w:id="6" w:name="__RefHeading___Toc1267_2320685612"/>
      <w:bookmarkEnd w:id="6"/>
      <w:r>
        <w:rPr>
          <w:rFonts w:ascii="Times New Roman" w:hAnsi="Times New Roman"/>
          <w:szCs w:val="24"/>
        </w:rPr>
        <w:t>2.1 Confidentiality, integrity, availability, safety and recoverability</w:t>
      </w:r>
    </w:p>
    <w:p w14:paraId="0C9D70B3"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Confidentiality limits disclosure, integrity protects accuracy, and availability keeps services usable. Operational Technology (OT) changes weighting. A stolen drawing harms secrecy, but a calibration error can corrupt a component while machines run. Stouffer et al. [7] </w:t>
      </w:r>
      <w:proofErr w:type="gramStart"/>
      <w:r>
        <w:rPr>
          <w:rFonts w:ascii="Times New Roman" w:hAnsi="Times New Roman"/>
          <w:sz w:val="24"/>
          <w:szCs w:val="24"/>
        </w:rPr>
        <w:t>state</w:t>
      </w:r>
      <w:proofErr w:type="gramEnd"/>
      <w:r>
        <w:rPr>
          <w:rFonts w:ascii="Times New Roman" w:hAnsi="Times New Roman"/>
          <w:sz w:val="24"/>
          <w:szCs w:val="24"/>
        </w:rPr>
        <w:t xml:space="preserve"> that OT decisions must respect safety, reliability and process continuity. </w:t>
      </w:r>
      <w:proofErr w:type="spellStart"/>
      <w:r>
        <w:rPr>
          <w:rFonts w:ascii="Times New Roman" w:hAnsi="Times New Roman"/>
          <w:sz w:val="24"/>
          <w:szCs w:val="24"/>
        </w:rPr>
        <w:t>SteelForm</w:t>
      </w:r>
      <w:proofErr w:type="spellEnd"/>
      <w:r>
        <w:rPr>
          <w:rFonts w:ascii="Times New Roman" w:hAnsi="Times New Roman"/>
          <w:sz w:val="24"/>
          <w:szCs w:val="24"/>
        </w:rPr>
        <w:t xml:space="preserve"> should assess the </w:t>
      </w:r>
      <w:proofErr w:type="gramStart"/>
      <w:r>
        <w:rPr>
          <w:rFonts w:ascii="Times New Roman" w:hAnsi="Times New Roman"/>
          <w:sz w:val="24"/>
          <w:szCs w:val="24"/>
        </w:rPr>
        <w:t>triad</w:t>
      </w:r>
      <w:proofErr w:type="gramEnd"/>
      <w:r>
        <w:rPr>
          <w:rFonts w:ascii="Times New Roman" w:hAnsi="Times New Roman"/>
          <w:sz w:val="24"/>
          <w:szCs w:val="24"/>
        </w:rPr>
        <w:t xml:space="preserve"> </w:t>
      </w:r>
      <w:proofErr w:type="gramStart"/>
      <w:r>
        <w:rPr>
          <w:rFonts w:ascii="Times New Roman" w:hAnsi="Times New Roman"/>
          <w:sz w:val="24"/>
          <w:szCs w:val="24"/>
        </w:rPr>
        <w:t>beside</w:t>
      </w:r>
      <w:proofErr w:type="gramEnd"/>
      <w:r>
        <w:rPr>
          <w:rFonts w:ascii="Times New Roman" w:hAnsi="Times New Roman"/>
          <w:sz w:val="24"/>
          <w:szCs w:val="24"/>
        </w:rPr>
        <w:t xml:space="preserve"> safety, business harm and recoverability. The extension corrects a blind spot when office-system assumptions govern factory risk.</w:t>
      </w:r>
    </w:p>
    <w:p w14:paraId="0EF927AC" w14:textId="77777777" w:rsidR="0002054A" w:rsidRDefault="00000000">
      <w:pPr>
        <w:pStyle w:val="Heading2"/>
        <w:spacing w:line="360" w:lineRule="auto"/>
        <w:rPr>
          <w:rFonts w:ascii="Times New Roman" w:hAnsi="Times New Roman"/>
          <w:szCs w:val="24"/>
        </w:rPr>
      </w:pPr>
      <w:bookmarkStart w:id="7" w:name="__RefHeading___Toc1269_2320685612"/>
      <w:bookmarkEnd w:id="7"/>
      <w:r>
        <w:rPr>
          <w:rFonts w:ascii="Times New Roman" w:hAnsi="Times New Roman"/>
          <w:szCs w:val="24"/>
        </w:rPr>
        <w:t>2.2 Framework synthesis</w:t>
      </w:r>
    </w:p>
    <w:p w14:paraId="07739E25" w14:textId="77777777" w:rsidR="0002054A" w:rsidRDefault="00000000">
      <w:pPr>
        <w:spacing w:line="360" w:lineRule="auto"/>
        <w:rPr>
          <w:rFonts w:ascii="Times New Roman" w:hAnsi="Times New Roman"/>
          <w:sz w:val="24"/>
          <w:szCs w:val="24"/>
        </w:rPr>
      </w:pPr>
      <w:r>
        <w:rPr>
          <w:rFonts w:ascii="Times New Roman" w:hAnsi="Times New Roman"/>
          <w:sz w:val="24"/>
          <w:szCs w:val="24"/>
        </w:rPr>
        <w:t>National Institute of Standards and Technology Cybersecurity Framework 2.0 (NIST CSF 2.0) groups work under Govern, Identify, Protect, Detect, Respond and Recover [1]. International Organization for Standardization and International Electrotechnical Commission 27001:2022 (ISO/IEC 27001) sets management requirements; ISO/IEC 27002:2022 lists controls [8], [9]. International Electrotechnical Commission 62443-2-1:2024 governs industrial asset owners [2]. Together they connect board accountability, policy and controls. Compliance does not prove safety.</w:t>
      </w:r>
    </w:p>
    <w:p w14:paraId="7986AECE" w14:textId="77777777" w:rsidR="0002054A" w:rsidRDefault="00000000">
      <w:pPr>
        <w:pStyle w:val="Heading2"/>
        <w:spacing w:line="360" w:lineRule="auto"/>
        <w:rPr>
          <w:rFonts w:ascii="Times New Roman" w:hAnsi="Times New Roman"/>
          <w:szCs w:val="24"/>
        </w:rPr>
      </w:pPr>
      <w:bookmarkStart w:id="8" w:name="__RefHeading___Toc1271_2320685612"/>
      <w:bookmarkEnd w:id="8"/>
      <w:r>
        <w:rPr>
          <w:rFonts w:ascii="Times New Roman" w:hAnsi="Times New Roman"/>
          <w:szCs w:val="24"/>
        </w:rPr>
        <w:t>2.3 Risk method and limitations</w:t>
      </w:r>
    </w:p>
    <w:p w14:paraId="3EED0BF9"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Threat j receives </w:t>
      </w:r>
      <w:proofErr w:type="spellStart"/>
      <w:r>
        <w:rPr>
          <w:rFonts w:ascii="Times New Roman" w:hAnsi="Times New Roman"/>
          <w:sz w:val="24"/>
          <w:szCs w:val="24"/>
        </w:rPr>
        <w:t>Rj</w:t>
      </w:r>
      <w:proofErr w:type="spellEnd"/>
      <w:r>
        <w:rPr>
          <w:rFonts w:ascii="Times New Roman" w:hAnsi="Times New Roman"/>
          <w:sz w:val="24"/>
          <w:szCs w:val="24"/>
        </w:rPr>
        <w:t xml:space="preserve"> = </w:t>
      </w:r>
      <w:proofErr w:type="spellStart"/>
      <w:proofErr w:type="gramStart"/>
      <w:r>
        <w:rPr>
          <w:rFonts w:ascii="Times New Roman" w:hAnsi="Times New Roman"/>
          <w:sz w:val="24"/>
          <w:szCs w:val="24"/>
        </w:rPr>
        <w:t>Lj</w:t>
      </w:r>
      <w:proofErr w:type="spellEnd"/>
      <w:r>
        <w:rPr>
          <w:rFonts w:ascii="Times New Roman" w:hAnsi="Times New Roman"/>
          <w:sz w:val="24"/>
          <w:szCs w:val="24"/>
        </w:rPr>
        <w:t>(</w:t>
      </w:r>
      <w:proofErr w:type="gramEnd"/>
      <w:r>
        <w:rPr>
          <w:rFonts w:ascii="Times New Roman" w:hAnsi="Times New Roman"/>
          <w:sz w:val="24"/>
          <w:szCs w:val="24"/>
        </w:rPr>
        <w:t xml:space="preserve">0.15Cj + 0.30Ij + 0.25Aj + 0.20Sj + 0.10Bj). L means likelihood; C, I, A, S and B represent impact dimensions. </w:t>
      </w:r>
      <w:proofErr w:type="gramStart"/>
      <w:r>
        <w:rPr>
          <w:rFonts w:ascii="Times New Roman" w:hAnsi="Times New Roman"/>
          <w:sz w:val="24"/>
          <w:szCs w:val="24"/>
        </w:rPr>
        <w:t>Martinez-Medina</w:t>
      </w:r>
      <w:proofErr w:type="gramEnd"/>
      <w:r>
        <w:rPr>
          <w:rFonts w:ascii="Times New Roman" w:hAnsi="Times New Roman"/>
          <w:sz w:val="24"/>
          <w:szCs w:val="24"/>
        </w:rPr>
        <w:t xml:space="preserve"> et al. [10] support scoring, but values are judgements rather than probabilities.</w:t>
      </w:r>
    </w:p>
    <w:p w14:paraId="26F1221B" w14:textId="77777777" w:rsidR="0002054A" w:rsidRDefault="00000000">
      <w:pPr>
        <w:pStyle w:val="Heading1"/>
        <w:spacing w:line="360" w:lineRule="auto"/>
        <w:rPr>
          <w:rFonts w:ascii="Times New Roman" w:hAnsi="Times New Roman"/>
          <w:sz w:val="24"/>
          <w:szCs w:val="24"/>
        </w:rPr>
      </w:pPr>
      <w:bookmarkStart w:id="9" w:name="__RefHeading___Toc1273_2320685612"/>
      <w:bookmarkEnd w:id="9"/>
      <w:r>
        <w:rPr>
          <w:rFonts w:ascii="Times New Roman" w:hAnsi="Times New Roman"/>
          <w:sz w:val="24"/>
          <w:szCs w:val="24"/>
        </w:rPr>
        <w:t xml:space="preserve">3. </w:t>
      </w:r>
      <w:proofErr w:type="spellStart"/>
      <w:r>
        <w:rPr>
          <w:rFonts w:ascii="Times New Roman" w:hAnsi="Times New Roman"/>
          <w:sz w:val="24"/>
          <w:szCs w:val="24"/>
        </w:rPr>
        <w:t>Prioritised</w:t>
      </w:r>
      <w:proofErr w:type="spellEnd"/>
      <w:r>
        <w:rPr>
          <w:rFonts w:ascii="Times New Roman" w:hAnsi="Times New Roman"/>
          <w:sz w:val="24"/>
          <w:szCs w:val="24"/>
        </w:rPr>
        <w:t xml:space="preserve"> threat and risk analysis</w:t>
      </w:r>
    </w:p>
    <w:p w14:paraId="0BB626B3" w14:textId="77777777" w:rsidR="0002054A" w:rsidRDefault="00000000">
      <w:pPr>
        <w:pStyle w:val="Heading2"/>
        <w:spacing w:line="360" w:lineRule="auto"/>
        <w:rPr>
          <w:rFonts w:ascii="Times New Roman" w:hAnsi="Times New Roman"/>
          <w:szCs w:val="24"/>
        </w:rPr>
      </w:pPr>
      <w:bookmarkStart w:id="10" w:name="__RefHeading___Toc1275_2320685612"/>
      <w:bookmarkEnd w:id="10"/>
      <w:r>
        <w:rPr>
          <w:rFonts w:ascii="Times New Roman" w:hAnsi="Times New Roman"/>
          <w:szCs w:val="24"/>
        </w:rPr>
        <w:t>3.1 Assets, trust boundaries and broad threat scan</w:t>
      </w:r>
    </w:p>
    <w:p w14:paraId="65F7600A" w14:textId="77777777" w:rsidR="0002054A" w:rsidRDefault="00000000">
      <w:pPr>
        <w:spacing w:line="360" w:lineRule="auto"/>
        <w:rPr>
          <w:rFonts w:ascii="Times New Roman" w:hAnsi="Times New Roman"/>
          <w:sz w:val="24"/>
          <w:szCs w:val="24"/>
        </w:rPr>
      </w:pPr>
      <w:proofErr w:type="spellStart"/>
      <w:r>
        <w:rPr>
          <w:rFonts w:ascii="Times New Roman" w:hAnsi="Times New Roman"/>
          <w:sz w:val="24"/>
          <w:szCs w:val="24"/>
        </w:rPr>
        <w:t>SteelForm's</w:t>
      </w:r>
      <w:proofErr w:type="spellEnd"/>
      <w:r>
        <w:rPr>
          <w:rFonts w:ascii="Times New Roman" w:hAnsi="Times New Roman"/>
          <w:sz w:val="24"/>
          <w:szCs w:val="24"/>
        </w:rPr>
        <w:t xml:space="preserve"> trust boundaries separate suppliers from the VPN, Information Technology (IT) from engineering, engineering from OT, sensors from cloud services, and the plant from recovery copies. Internal hazards include excess privilege, service accounts, removable media and unsafe configuration. External hazards include credential theft, cloud takeover, software-supply compromise and ransomware. Boyens et al. [11] treat supplier risk as a life-cycle concern, not a procurement check. Figure 1 maps the main route, while Table 1 records other hazards </w:t>
      </w:r>
      <w:proofErr w:type="gramStart"/>
      <w:r>
        <w:rPr>
          <w:rFonts w:ascii="Times New Roman" w:hAnsi="Times New Roman"/>
          <w:sz w:val="24"/>
          <w:szCs w:val="24"/>
        </w:rPr>
        <w:t>beside</w:t>
      </w:r>
      <w:proofErr w:type="gramEnd"/>
      <w:r>
        <w:rPr>
          <w:rFonts w:ascii="Times New Roman" w:hAnsi="Times New Roman"/>
          <w:sz w:val="24"/>
          <w:szCs w:val="24"/>
        </w:rPr>
        <w:t xml:space="preserve"> three selected risks.</w:t>
      </w:r>
    </w:p>
    <w:p w14:paraId="5E2C569E" w14:textId="77777777" w:rsidR="0002054A" w:rsidRDefault="00000000">
      <w:pPr>
        <w:spacing w:line="360" w:lineRule="auto"/>
        <w:rPr>
          <w:rFonts w:ascii="Times New Roman" w:hAnsi="Times New Roman"/>
          <w:sz w:val="24"/>
          <w:szCs w:val="24"/>
        </w:rPr>
      </w:pPr>
      <w:r>
        <w:rPr>
          <w:noProof/>
        </w:rPr>
        <w:lastRenderedPageBreak/>
        <w:drawing>
          <wp:inline distT="0" distB="0" distL="0" distR="0" wp14:anchorId="5162B801" wp14:editId="5339D3B5">
            <wp:extent cx="6309360" cy="3133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6309360" cy="3133725"/>
                    </a:xfrm>
                    <a:prstGeom prst="rect">
                      <a:avLst/>
                    </a:prstGeom>
                    <a:noFill/>
                  </pic:spPr>
                </pic:pic>
              </a:graphicData>
            </a:graphic>
          </wp:inline>
        </w:drawing>
      </w:r>
    </w:p>
    <w:p w14:paraId="6603D652" w14:textId="77777777" w:rsidR="0002054A" w:rsidRDefault="00000000">
      <w:pPr>
        <w:pStyle w:val="Caption"/>
        <w:spacing w:line="360" w:lineRule="auto"/>
        <w:jc w:val="center"/>
        <w:rPr>
          <w:rFonts w:ascii="Times New Roman" w:hAnsi="Times New Roman"/>
          <w:sz w:val="24"/>
          <w:szCs w:val="24"/>
        </w:rPr>
      </w:pPr>
      <w:r>
        <w:rPr>
          <w:rFonts w:ascii="Times New Roman" w:hAnsi="Times New Roman"/>
          <w:sz w:val="24"/>
          <w:szCs w:val="24"/>
        </w:rPr>
        <w:t>Figure 1. Supplier-enabled ransomware path and control points</w:t>
      </w:r>
    </w:p>
    <w:p w14:paraId="3C41E959" w14:textId="77777777" w:rsidR="0002054A" w:rsidRDefault="00000000">
      <w:pPr>
        <w:spacing w:after="120" w:line="360" w:lineRule="auto"/>
        <w:jc w:val="center"/>
        <w:rPr>
          <w:rFonts w:ascii="Times New Roman" w:hAnsi="Times New Roman"/>
          <w:sz w:val="24"/>
          <w:szCs w:val="24"/>
        </w:rPr>
      </w:pPr>
      <w:r>
        <w:rPr>
          <w:rFonts w:ascii="Times New Roman" w:hAnsi="Times New Roman"/>
          <w:sz w:val="24"/>
          <w:szCs w:val="24"/>
        </w:rPr>
        <w:t xml:space="preserve">Source: </w:t>
      </w:r>
      <w:proofErr w:type="spellStart"/>
      <w:r>
        <w:rPr>
          <w:rFonts w:ascii="Times New Roman" w:hAnsi="Times New Roman"/>
          <w:sz w:val="24"/>
          <w:szCs w:val="24"/>
        </w:rPr>
        <w:t>Synthesised</w:t>
      </w:r>
      <w:proofErr w:type="spellEnd"/>
      <w:r>
        <w:rPr>
          <w:rFonts w:ascii="Times New Roman" w:hAnsi="Times New Roman"/>
          <w:sz w:val="24"/>
          <w:szCs w:val="24"/>
        </w:rPr>
        <w:t xml:space="preserve"> from [11], [12] and [7].</w:t>
      </w:r>
    </w:p>
    <w:p w14:paraId="47A1C1D7" w14:textId="77777777" w:rsidR="0002054A" w:rsidRDefault="00000000">
      <w:pPr>
        <w:pStyle w:val="Heading2"/>
        <w:spacing w:line="360" w:lineRule="auto"/>
        <w:rPr>
          <w:rFonts w:ascii="Times New Roman" w:hAnsi="Times New Roman"/>
          <w:szCs w:val="24"/>
        </w:rPr>
      </w:pPr>
      <w:bookmarkStart w:id="11" w:name="__RefHeading___Toc1277_2320685612"/>
      <w:bookmarkEnd w:id="11"/>
      <w:r>
        <w:rPr>
          <w:rFonts w:ascii="Times New Roman" w:hAnsi="Times New Roman"/>
          <w:szCs w:val="24"/>
        </w:rPr>
        <w:t>3.2 Three end-to-end attack scenarios</w:t>
      </w:r>
    </w:p>
    <w:p w14:paraId="23962C06" w14:textId="77777777" w:rsidR="0002054A" w:rsidRDefault="00000000">
      <w:pPr>
        <w:spacing w:line="360" w:lineRule="auto"/>
        <w:rPr>
          <w:rFonts w:ascii="Times New Roman" w:hAnsi="Times New Roman"/>
          <w:sz w:val="24"/>
          <w:szCs w:val="24"/>
        </w:rPr>
      </w:pPr>
      <w:r>
        <w:rPr>
          <w:rFonts w:ascii="Times New Roman" w:hAnsi="Times New Roman"/>
          <w:sz w:val="24"/>
          <w:szCs w:val="24"/>
        </w:rPr>
        <w:t>Supplier-enabled ransomware starts when an attacker steals a vendor identity, enters through a channel, reaches an engineering host and seeks administrator rights. Weak separation permits movement towards production servers and reachable backups. Unusual login time, a device, an unapproved destination or rapid encryption may expose the attack, yet valid credentials can make traffic look ordinary.</w:t>
      </w:r>
    </w:p>
    <w:p w14:paraId="5323B0A1" w14:textId="77777777" w:rsidR="0002054A" w:rsidRDefault="00000000">
      <w:pPr>
        <w:spacing w:line="360" w:lineRule="auto"/>
        <w:rPr>
          <w:rFonts w:ascii="Times New Roman" w:hAnsi="Times New Roman"/>
          <w:sz w:val="24"/>
          <w:szCs w:val="24"/>
        </w:rPr>
      </w:pPr>
      <w:r>
        <w:rPr>
          <w:rFonts w:ascii="Times New Roman" w:hAnsi="Times New Roman"/>
          <w:sz w:val="24"/>
          <w:szCs w:val="24"/>
        </w:rPr>
        <w:t>Industrial espionage follows a quieter route. A compromised procurement or engineering account can locate customer specifications, Computer-Aided Design files and production volumes, then remove them through cloud or supplier services. Availability alarms may remain silent, so data classification, unusual-download detection and short sessions matter more than malware signatures.</w:t>
      </w:r>
    </w:p>
    <w:p w14:paraId="1B3BF126" w14:textId="77777777" w:rsidR="0002054A" w:rsidRDefault="00000000">
      <w:pPr>
        <w:spacing w:line="360" w:lineRule="auto"/>
        <w:rPr>
          <w:rFonts w:ascii="Times New Roman" w:hAnsi="Times New Roman"/>
          <w:sz w:val="24"/>
          <w:szCs w:val="24"/>
        </w:rPr>
      </w:pPr>
      <w:r>
        <w:rPr>
          <w:rFonts w:ascii="Times New Roman" w:hAnsi="Times New Roman"/>
          <w:sz w:val="24"/>
          <w:szCs w:val="24"/>
        </w:rPr>
        <w:t>Production-data manipulation targets integrity. An intruder changes inspection thresholds, machine parameters or sensor values so defective parts appear compliant. Low-volume tampering may evade alerts. The National Cyber Security Centre recommends controlled OT connectivity, monitored flows and safe isolation because office-style containment can cause physical disruption [12].</w:t>
      </w:r>
    </w:p>
    <w:p w14:paraId="659EFE6B" w14:textId="77777777" w:rsidR="0002054A" w:rsidRDefault="00000000">
      <w:pPr>
        <w:pStyle w:val="Heading2"/>
        <w:spacing w:line="360" w:lineRule="auto"/>
        <w:rPr>
          <w:rFonts w:ascii="Times New Roman" w:hAnsi="Times New Roman"/>
          <w:szCs w:val="24"/>
        </w:rPr>
      </w:pPr>
      <w:bookmarkStart w:id="12" w:name="__RefHeading___Toc1279_2320685612"/>
      <w:bookmarkEnd w:id="12"/>
      <w:r>
        <w:rPr>
          <w:rFonts w:ascii="Times New Roman" w:hAnsi="Times New Roman"/>
          <w:szCs w:val="24"/>
        </w:rPr>
        <w:t xml:space="preserve">3.3 </w:t>
      </w:r>
      <w:proofErr w:type="spellStart"/>
      <w:r>
        <w:rPr>
          <w:rFonts w:ascii="Times New Roman" w:hAnsi="Times New Roman"/>
          <w:szCs w:val="24"/>
        </w:rPr>
        <w:t>Prioritisation</w:t>
      </w:r>
      <w:proofErr w:type="spellEnd"/>
      <w:r>
        <w:rPr>
          <w:rFonts w:ascii="Times New Roman" w:hAnsi="Times New Roman"/>
          <w:szCs w:val="24"/>
        </w:rPr>
        <w:t xml:space="preserve"> and case evidence</w:t>
      </w:r>
    </w:p>
    <w:p w14:paraId="1F9330E1" w14:textId="77777777" w:rsidR="0002054A" w:rsidRDefault="00000000">
      <w:pPr>
        <w:spacing w:line="360" w:lineRule="auto"/>
        <w:rPr>
          <w:rFonts w:ascii="Times New Roman" w:hAnsi="Times New Roman"/>
          <w:sz w:val="24"/>
          <w:szCs w:val="24"/>
        </w:rPr>
      </w:pPr>
      <w:r>
        <w:rPr>
          <w:rFonts w:ascii="Times New Roman" w:hAnsi="Times New Roman"/>
          <w:sz w:val="24"/>
          <w:szCs w:val="24"/>
        </w:rPr>
        <w:t>Ransomware scores 16.60, production-data manipulation 8.60 and industrial espionage 8.55. Table 1 records assumptions. Norsk Hydro used isolation and manual work after a March 2019 attack; Clorox reported reduced capacity after an August 2023 incident [5], [6]. Cases inform consequences, not probability.</w:t>
      </w:r>
    </w:p>
    <w:p w14:paraId="6CC6F1B1" w14:textId="77777777" w:rsidR="0002054A" w:rsidRDefault="00000000">
      <w:pPr>
        <w:pStyle w:val="Caption"/>
        <w:keepNext/>
        <w:spacing w:line="360" w:lineRule="auto"/>
        <w:jc w:val="center"/>
        <w:rPr>
          <w:rFonts w:ascii="Times New Roman" w:hAnsi="Times New Roman"/>
          <w:sz w:val="24"/>
          <w:szCs w:val="24"/>
        </w:rPr>
      </w:pPr>
      <w:r>
        <w:rPr>
          <w:rFonts w:ascii="Times New Roman" w:hAnsi="Times New Roman"/>
          <w:sz w:val="24"/>
          <w:szCs w:val="24"/>
        </w:rPr>
        <w:lastRenderedPageBreak/>
        <w:t xml:space="preserve">Table 1. Consequence-weighted </w:t>
      </w:r>
      <w:proofErr w:type="spellStart"/>
      <w:r>
        <w:rPr>
          <w:rFonts w:ascii="Times New Roman" w:hAnsi="Times New Roman"/>
          <w:sz w:val="24"/>
          <w:szCs w:val="24"/>
        </w:rPr>
        <w:t>SteelForm</w:t>
      </w:r>
      <w:proofErr w:type="spellEnd"/>
      <w:r>
        <w:rPr>
          <w:rFonts w:ascii="Times New Roman" w:hAnsi="Times New Roman"/>
          <w:sz w:val="24"/>
          <w:szCs w:val="24"/>
        </w:rPr>
        <w:t xml:space="preserve"> risk register</w:t>
      </w:r>
    </w:p>
    <w:tbl>
      <w:tblPr>
        <w:tblStyle w:val="TableGrid"/>
        <w:tblW w:w="9720" w:type="dxa"/>
        <w:jc w:val="center"/>
        <w:tblLayout w:type="fixed"/>
        <w:tblCellMar>
          <w:top w:w="55" w:type="dxa"/>
          <w:left w:w="55" w:type="dxa"/>
          <w:bottom w:w="55" w:type="dxa"/>
          <w:right w:w="55" w:type="dxa"/>
        </w:tblCellMar>
        <w:tblLook w:val="04A0" w:firstRow="1" w:lastRow="0" w:firstColumn="1" w:lastColumn="0" w:noHBand="0" w:noVBand="1"/>
      </w:tblPr>
      <w:tblGrid>
        <w:gridCol w:w="1215"/>
        <w:gridCol w:w="1215"/>
        <w:gridCol w:w="1215"/>
        <w:gridCol w:w="1215"/>
        <w:gridCol w:w="1215"/>
        <w:gridCol w:w="1215"/>
        <w:gridCol w:w="1215"/>
        <w:gridCol w:w="1215"/>
      </w:tblGrid>
      <w:tr w:rsidR="0002054A" w14:paraId="1350D65F" w14:textId="77777777">
        <w:trPr>
          <w:jc w:val="center"/>
        </w:trPr>
        <w:tc>
          <w:tcPr>
            <w:tcW w:w="1215" w:type="dxa"/>
            <w:tcBorders>
              <w:right w:val="nil"/>
            </w:tcBorders>
            <w:vAlign w:val="center"/>
          </w:tcPr>
          <w:p w14:paraId="2732F7DB"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Threat</w:t>
            </w:r>
          </w:p>
        </w:tc>
        <w:tc>
          <w:tcPr>
            <w:tcW w:w="1215" w:type="dxa"/>
            <w:tcBorders>
              <w:right w:val="nil"/>
            </w:tcBorders>
            <w:vAlign w:val="center"/>
          </w:tcPr>
          <w:p w14:paraId="695B5D67"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Asset</w:t>
            </w:r>
          </w:p>
        </w:tc>
        <w:tc>
          <w:tcPr>
            <w:tcW w:w="1215" w:type="dxa"/>
            <w:tcBorders>
              <w:right w:val="nil"/>
            </w:tcBorders>
            <w:vAlign w:val="center"/>
          </w:tcPr>
          <w:p w14:paraId="711B383E"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Weakness</w:t>
            </w:r>
          </w:p>
        </w:tc>
        <w:tc>
          <w:tcPr>
            <w:tcW w:w="1215" w:type="dxa"/>
            <w:tcBorders>
              <w:right w:val="nil"/>
            </w:tcBorders>
            <w:vAlign w:val="center"/>
          </w:tcPr>
          <w:p w14:paraId="3C499E15"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L</w:t>
            </w:r>
          </w:p>
        </w:tc>
        <w:tc>
          <w:tcPr>
            <w:tcW w:w="1215" w:type="dxa"/>
            <w:tcBorders>
              <w:right w:val="nil"/>
            </w:tcBorders>
            <w:vAlign w:val="center"/>
          </w:tcPr>
          <w:p w14:paraId="6F425355"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C-I-A-S-B</w:t>
            </w:r>
          </w:p>
        </w:tc>
        <w:tc>
          <w:tcPr>
            <w:tcW w:w="1215" w:type="dxa"/>
            <w:tcBorders>
              <w:right w:val="nil"/>
            </w:tcBorders>
            <w:vAlign w:val="center"/>
          </w:tcPr>
          <w:p w14:paraId="5E83DD90"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R</w:t>
            </w:r>
          </w:p>
        </w:tc>
        <w:tc>
          <w:tcPr>
            <w:tcW w:w="1215" w:type="dxa"/>
            <w:tcBorders>
              <w:right w:val="nil"/>
            </w:tcBorders>
            <w:vAlign w:val="center"/>
          </w:tcPr>
          <w:p w14:paraId="03D7B68E"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Treatment</w:t>
            </w:r>
          </w:p>
        </w:tc>
        <w:tc>
          <w:tcPr>
            <w:tcW w:w="1215" w:type="dxa"/>
            <w:vAlign w:val="center"/>
          </w:tcPr>
          <w:p w14:paraId="058325E1"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Owner</w:t>
            </w:r>
          </w:p>
        </w:tc>
      </w:tr>
      <w:tr w:rsidR="0002054A" w14:paraId="286C93A2" w14:textId="77777777">
        <w:trPr>
          <w:jc w:val="center"/>
        </w:trPr>
        <w:tc>
          <w:tcPr>
            <w:tcW w:w="1215" w:type="dxa"/>
            <w:tcBorders>
              <w:top w:val="nil"/>
              <w:right w:val="nil"/>
            </w:tcBorders>
            <w:vAlign w:val="center"/>
          </w:tcPr>
          <w:p w14:paraId="1F3CC5BE"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Supplier-enabled ransomware</w:t>
            </w:r>
          </w:p>
        </w:tc>
        <w:tc>
          <w:tcPr>
            <w:tcW w:w="1215" w:type="dxa"/>
            <w:tcBorders>
              <w:top w:val="nil"/>
              <w:right w:val="nil"/>
            </w:tcBorders>
            <w:vAlign w:val="center"/>
          </w:tcPr>
          <w:p w14:paraId="797ACB9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Vendor identity; engineering host; backups</w:t>
            </w:r>
          </w:p>
        </w:tc>
        <w:tc>
          <w:tcPr>
            <w:tcW w:w="1215" w:type="dxa"/>
            <w:tcBorders>
              <w:top w:val="nil"/>
              <w:right w:val="nil"/>
            </w:tcBorders>
            <w:vAlign w:val="center"/>
          </w:tcPr>
          <w:p w14:paraId="76E110D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Persistent access; weak separation</w:t>
            </w:r>
          </w:p>
        </w:tc>
        <w:tc>
          <w:tcPr>
            <w:tcW w:w="1215" w:type="dxa"/>
            <w:tcBorders>
              <w:top w:val="nil"/>
              <w:right w:val="nil"/>
            </w:tcBorders>
            <w:vAlign w:val="center"/>
          </w:tcPr>
          <w:p w14:paraId="335099F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4</w:t>
            </w:r>
          </w:p>
        </w:tc>
        <w:tc>
          <w:tcPr>
            <w:tcW w:w="1215" w:type="dxa"/>
            <w:tcBorders>
              <w:top w:val="nil"/>
              <w:right w:val="nil"/>
            </w:tcBorders>
            <w:vAlign w:val="center"/>
          </w:tcPr>
          <w:p w14:paraId="362F950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4-4-5-3-5</w:t>
            </w:r>
          </w:p>
        </w:tc>
        <w:tc>
          <w:tcPr>
            <w:tcW w:w="1215" w:type="dxa"/>
            <w:tcBorders>
              <w:top w:val="nil"/>
              <w:right w:val="nil"/>
            </w:tcBorders>
            <w:vAlign w:val="center"/>
          </w:tcPr>
          <w:p w14:paraId="5A75613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16.60</w:t>
            </w:r>
          </w:p>
        </w:tc>
        <w:tc>
          <w:tcPr>
            <w:tcW w:w="1215" w:type="dxa"/>
            <w:tcBorders>
              <w:top w:val="nil"/>
              <w:right w:val="nil"/>
            </w:tcBorders>
            <w:vAlign w:val="center"/>
          </w:tcPr>
          <w:p w14:paraId="641F9136"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Time-limited access; independent recovery</w:t>
            </w:r>
          </w:p>
        </w:tc>
        <w:tc>
          <w:tcPr>
            <w:tcW w:w="1215" w:type="dxa"/>
            <w:tcBorders>
              <w:top w:val="nil"/>
            </w:tcBorders>
            <w:vAlign w:val="center"/>
          </w:tcPr>
          <w:p w14:paraId="2A12A5B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IT Security / OT</w:t>
            </w:r>
          </w:p>
        </w:tc>
      </w:tr>
      <w:tr w:rsidR="0002054A" w14:paraId="643FC8A9" w14:textId="77777777">
        <w:trPr>
          <w:jc w:val="center"/>
        </w:trPr>
        <w:tc>
          <w:tcPr>
            <w:tcW w:w="1215" w:type="dxa"/>
            <w:tcBorders>
              <w:top w:val="nil"/>
              <w:right w:val="nil"/>
            </w:tcBorders>
            <w:vAlign w:val="center"/>
          </w:tcPr>
          <w:p w14:paraId="68687721"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Production-data manipulation</w:t>
            </w:r>
          </w:p>
        </w:tc>
        <w:tc>
          <w:tcPr>
            <w:tcW w:w="1215" w:type="dxa"/>
            <w:tcBorders>
              <w:top w:val="nil"/>
              <w:right w:val="nil"/>
            </w:tcBorders>
            <w:vAlign w:val="center"/>
          </w:tcPr>
          <w:p w14:paraId="0AAF1F8F"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Inspection thresholds; machine parameters</w:t>
            </w:r>
          </w:p>
        </w:tc>
        <w:tc>
          <w:tcPr>
            <w:tcW w:w="1215" w:type="dxa"/>
            <w:tcBorders>
              <w:top w:val="nil"/>
              <w:right w:val="nil"/>
            </w:tcBorders>
            <w:vAlign w:val="center"/>
          </w:tcPr>
          <w:p w14:paraId="7B5A5A0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Weak change detection; broad routes</w:t>
            </w:r>
          </w:p>
        </w:tc>
        <w:tc>
          <w:tcPr>
            <w:tcW w:w="1215" w:type="dxa"/>
            <w:tcBorders>
              <w:top w:val="nil"/>
              <w:right w:val="nil"/>
            </w:tcBorders>
            <w:vAlign w:val="center"/>
          </w:tcPr>
          <w:p w14:paraId="543BED3F"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2</w:t>
            </w:r>
          </w:p>
        </w:tc>
        <w:tc>
          <w:tcPr>
            <w:tcW w:w="1215" w:type="dxa"/>
            <w:tcBorders>
              <w:top w:val="nil"/>
              <w:right w:val="nil"/>
            </w:tcBorders>
            <w:vAlign w:val="center"/>
          </w:tcPr>
          <w:p w14:paraId="1A0960B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2-5-4-5-5</w:t>
            </w:r>
          </w:p>
        </w:tc>
        <w:tc>
          <w:tcPr>
            <w:tcW w:w="1215" w:type="dxa"/>
            <w:tcBorders>
              <w:top w:val="nil"/>
              <w:right w:val="nil"/>
            </w:tcBorders>
            <w:vAlign w:val="center"/>
          </w:tcPr>
          <w:p w14:paraId="74D0AD6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8.60</w:t>
            </w:r>
          </w:p>
        </w:tc>
        <w:tc>
          <w:tcPr>
            <w:tcW w:w="1215" w:type="dxa"/>
            <w:tcBorders>
              <w:top w:val="nil"/>
              <w:right w:val="nil"/>
            </w:tcBorders>
            <w:vAlign w:val="center"/>
          </w:tcPr>
          <w:p w14:paraId="0499A04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Restricted path; configuration monitoring</w:t>
            </w:r>
          </w:p>
        </w:tc>
        <w:tc>
          <w:tcPr>
            <w:tcW w:w="1215" w:type="dxa"/>
            <w:tcBorders>
              <w:top w:val="nil"/>
            </w:tcBorders>
            <w:vAlign w:val="center"/>
          </w:tcPr>
          <w:p w14:paraId="14A6F633"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OT Manager</w:t>
            </w:r>
          </w:p>
        </w:tc>
      </w:tr>
      <w:tr w:rsidR="0002054A" w14:paraId="58092E00" w14:textId="77777777">
        <w:trPr>
          <w:jc w:val="center"/>
        </w:trPr>
        <w:tc>
          <w:tcPr>
            <w:tcW w:w="1215" w:type="dxa"/>
            <w:tcBorders>
              <w:top w:val="nil"/>
              <w:right w:val="nil"/>
            </w:tcBorders>
            <w:vAlign w:val="center"/>
          </w:tcPr>
          <w:p w14:paraId="7E01D5D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Industrial espionage</w:t>
            </w:r>
          </w:p>
        </w:tc>
        <w:tc>
          <w:tcPr>
            <w:tcW w:w="1215" w:type="dxa"/>
            <w:tcBorders>
              <w:top w:val="nil"/>
              <w:right w:val="nil"/>
            </w:tcBorders>
            <w:vAlign w:val="center"/>
          </w:tcPr>
          <w:p w14:paraId="27752F7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CAD files; customer specifications</w:t>
            </w:r>
          </w:p>
        </w:tc>
        <w:tc>
          <w:tcPr>
            <w:tcW w:w="1215" w:type="dxa"/>
            <w:tcBorders>
              <w:top w:val="nil"/>
              <w:right w:val="nil"/>
            </w:tcBorders>
            <w:vAlign w:val="center"/>
          </w:tcPr>
          <w:p w14:paraId="55A9944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Excess privilege; approved cloud channels</w:t>
            </w:r>
          </w:p>
        </w:tc>
        <w:tc>
          <w:tcPr>
            <w:tcW w:w="1215" w:type="dxa"/>
            <w:tcBorders>
              <w:top w:val="nil"/>
              <w:right w:val="nil"/>
            </w:tcBorders>
            <w:vAlign w:val="center"/>
          </w:tcPr>
          <w:p w14:paraId="65A9872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3</w:t>
            </w:r>
          </w:p>
        </w:tc>
        <w:tc>
          <w:tcPr>
            <w:tcW w:w="1215" w:type="dxa"/>
            <w:tcBorders>
              <w:top w:val="nil"/>
              <w:right w:val="nil"/>
            </w:tcBorders>
            <w:vAlign w:val="center"/>
          </w:tcPr>
          <w:p w14:paraId="33B2176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5-3-2-1-5</w:t>
            </w:r>
          </w:p>
        </w:tc>
        <w:tc>
          <w:tcPr>
            <w:tcW w:w="1215" w:type="dxa"/>
            <w:tcBorders>
              <w:top w:val="nil"/>
              <w:right w:val="nil"/>
            </w:tcBorders>
            <w:vAlign w:val="center"/>
          </w:tcPr>
          <w:p w14:paraId="5239253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8.55</w:t>
            </w:r>
          </w:p>
        </w:tc>
        <w:tc>
          <w:tcPr>
            <w:tcW w:w="1215" w:type="dxa"/>
            <w:tcBorders>
              <w:top w:val="nil"/>
              <w:right w:val="nil"/>
            </w:tcBorders>
            <w:vAlign w:val="center"/>
          </w:tcPr>
          <w:p w14:paraId="75554B13"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Data classification; download monitoring</w:t>
            </w:r>
          </w:p>
        </w:tc>
        <w:tc>
          <w:tcPr>
            <w:tcW w:w="1215" w:type="dxa"/>
            <w:tcBorders>
              <w:top w:val="nil"/>
            </w:tcBorders>
            <w:vAlign w:val="center"/>
          </w:tcPr>
          <w:p w14:paraId="642E1C86"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Engineering / Security</w:t>
            </w:r>
          </w:p>
        </w:tc>
      </w:tr>
      <w:tr w:rsidR="0002054A" w14:paraId="2068BB53" w14:textId="77777777">
        <w:trPr>
          <w:jc w:val="center"/>
        </w:trPr>
        <w:tc>
          <w:tcPr>
            <w:tcW w:w="1215" w:type="dxa"/>
            <w:tcBorders>
              <w:top w:val="nil"/>
              <w:right w:val="nil"/>
            </w:tcBorders>
            <w:vAlign w:val="center"/>
          </w:tcPr>
          <w:p w14:paraId="7336905C"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Procurement phishing</w:t>
            </w:r>
          </w:p>
        </w:tc>
        <w:tc>
          <w:tcPr>
            <w:tcW w:w="1215" w:type="dxa"/>
            <w:tcBorders>
              <w:top w:val="nil"/>
              <w:right w:val="nil"/>
            </w:tcBorders>
            <w:vAlign w:val="center"/>
          </w:tcPr>
          <w:p w14:paraId="0F4D1BE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Supplier payments and contacts</w:t>
            </w:r>
          </w:p>
        </w:tc>
        <w:tc>
          <w:tcPr>
            <w:tcW w:w="1215" w:type="dxa"/>
            <w:tcBorders>
              <w:top w:val="nil"/>
              <w:right w:val="nil"/>
            </w:tcBorders>
            <w:vAlign w:val="center"/>
          </w:tcPr>
          <w:p w14:paraId="1C331CFF"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Weak verification workflow</w:t>
            </w:r>
          </w:p>
        </w:tc>
        <w:tc>
          <w:tcPr>
            <w:tcW w:w="1215" w:type="dxa"/>
            <w:tcBorders>
              <w:top w:val="nil"/>
              <w:right w:val="nil"/>
            </w:tcBorders>
            <w:vAlign w:val="center"/>
          </w:tcPr>
          <w:p w14:paraId="6FEC1416"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3</w:t>
            </w:r>
          </w:p>
        </w:tc>
        <w:tc>
          <w:tcPr>
            <w:tcW w:w="1215" w:type="dxa"/>
            <w:tcBorders>
              <w:top w:val="nil"/>
              <w:right w:val="nil"/>
            </w:tcBorders>
            <w:vAlign w:val="center"/>
          </w:tcPr>
          <w:p w14:paraId="4ECB8BB3"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3-2-1-1-3</w:t>
            </w:r>
          </w:p>
        </w:tc>
        <w:tc>
          <w:tcPr>
            <w:tcW w:w="1215" w:type="dxa"/>
            <w:tcBorders>
              <w:top w:val="nil"/>
              <w:right w:val="nil"/>
            </w:tcBorders>
            <w:vAlign w:val="center"/>
          </w:tcPr>
          <w:p w14:paraId="71BB27A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5.40</w:t>
            </w:r>
          </w:p>
        </w:tc>
        <w:tc>
          <w:tcPr>
            <w:tcW w:w="1215" w:type="dxa"/>
            <w:tcBorders>
              <w:top w:val="nil"/>
              <w:right w:val="nil"/>
            </w:tcBorders>
            <w:vAlign w:val="center"/>
          </w:tcPr>
          <w:p w14:paraId="33EDBC9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Independent supplier-detail verification</w:t>
            </w:r>
          </w:p>
        </w:tc>
        <w:tc>
          <w:tcPr>
            <w:tcW w:w="1215" w:type="dxa"/>
            <w:tcBorders>
              <w:top w:val="nil"/>
            </w:tcBorders>
            <w:vAlign w:val="center"/>
          </w:tcPr>
          <w:p w14:paraId="4267BA7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Procurement</w:t>
            </w:r>
          </w:p>
        </w:tc>
      </w:tr>
      <w:tr w:rsidR="0002054A" w14:paraId="5C3D50C3" w14:textId="77777777">
        <w:trPr>
          <w:jc w:val="center"/>
        </w:trPr>
        <w:tc>
          <w:tcPr>
            <w:tcW w:w="1215" w:type="dxa"/>
            <w:tcBorders>
              <w:top w:val="nil"/>
              <w:right w:val="nil"/>
            </w:tcBorders>
            <w:vAlign w:val="center"/>
          </w:tcPr>
          <w:p w14:paraId="6CE7280E"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Infected removable media</w:t>
            </w:r>
          </w:p>
        </w:tc>
        <w:tc>
          <w:tcPr>
            <w:tcW w:w="1215" w:type="dxa"/>
            <w:tcBorders>
              <w:top w:val="nil"/>
              <w:right w:val="nil"/>
            </w:tcBorders>
            <w:vAlign w:val="center"/>
          </w:tcPr>
          <w:p w14:paraId="7AF8972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Engineering workstation; HMI</w:t>
            </w:r>
          </w:p>
        </w:tc>
        <w:tc>
          <w:tcPr>
            <w:tcW w:w="1215" w:type="dxa"/>
            <w:tcBorders>
              <w:top w:val="nil"/>
              <w:right w:val="nil"/>
            </w:tcBorders>
            <w:vAlign w:val="center"/>
          </w:tcPr>
          <w:p w14:paraId="2DCC570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Uncontrolled media</w:t>
            </w:r>
          </w:p>
        </w:tc>
        <w:tc>
          <w:tcPr>
            <w:tcW w:w="1215" w:type="dxa"/>
            <w:tcBorders>
              <w:top w:val="nil"/>
              <w:right w:val="nil"/>
            </w:tcBorders>
            <w:vAlign w:val="center"/>
          </w:tcPr>
          <w:p w14:paraId="1332FAD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2</w:t>
            </w:r>
          </w:p>
        </w:tc>
        <w:tc>
          <w:tcPr>
            <w:tcW w:w="1215" w:type="dxa"/>
            <w:tcBorders>
              <w:top w:val="nil"/>
              <w:right w:val="nil"/>
            </w:tcBorders>
            <w:vAlign w:val="center"/>
          </w:tcPr>
          <w:p w14:paraId="25CCC68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2-3-3-2-3</w:t>
            </w:r>
          </w:p>
        </w:tc>
        <w:tc>
          <w:tcPr>
            <w:tcW w:w="1215" w:type="dxa"/>
            <w:tcBorders>
              <w:top w:val="nil"/>
              <w:right w:val="nil"/>
            </w:tcBorders>
            <w:vAlign w:val="center"/>
          </w:tcPr>
          <w:p w14:paraId="3BE9993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5.30</w:t>
            </w:r>
          </w:p>
        </w:tc>
        <w:tc>
          <w:tcPr>
            <w:tcW w:w="1215" w:type="dxa"/>
            <w:tcBorders>
              <w:top w:val="nil"/>
              <w:right w:val="nil"/>
            </w:tcBorders>
            <w:vAlign w:val="center"/>
          </w:tcPr>
          <w:p w14:paraId="0BA6A659"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Approved media; scanning station</w:t>
            </w:r>
          </w:p>
        </w:tc>
        <w:tc>
          <w:tcPr>
            <w:tcW w:w="1215" w:type="dxa"/>
            <w:tcBorders>
              <w:top w:val="nil"/>
            </w:tcBorders>
            <w:vAlign w:val="center"/>
          </w:tcPr>
          <w:p w14:paraId="13486AFE"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OT / IT Operations</w:t>
            </w:r>
          </w:p>
        </w:tc>
      </w:tr>
      <w:tr w:rsidR="0002054A" w14:paraId="317C8768" w14:textId="77777777">
        <w:trPr>
          <w:jc w:val="center"/>
        </w:trPr>
        <w:tc>
          <w:tcPr>
            <w:tcW w:w="1215" w:type="dxa"/>
            <w:tcBorders>
              <w:top w:val="nil"/>
              <w:right w:val="nil"/>
            </w:tcBorders>
            <w:vAlign w:val="center"/>
          </w:tcPr>
          <w:p w14:paraId="37503569"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Cloud account takeover</w:t>
            </w:r>
          </w:p>
        </w:tc>
        <w:tc>
          <w:tcPr>
            <w:tcW w:w="1215" w:type="dxa"/>
            <w:tcBorders>
              <w:top w:val="nil"/>
              <w:right w:val="nil"/>
            </w:tcBorders>
            <w:vAlign w:val="center"/>
          </w:tcPr>
          <w:p w14:paraId="1B1DDE8E"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Manufacturing execution and reports</w:t>
            </w:r>
          </w:p>
        </w:tc>
        <w:tc>
          <w:tcPr>
            <w:tcW w:w="1215" w:type="dxa"/>
            <w:tcBorders>
              <w:top w:val="nil"/>
              <w:right w:val="nil"/>
            </w:tcBorders>
            <w:vAlign w:val="center"/>
          </w:tcPr>
          <w:p w14:paraId="63EFA62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Weak MFA; token theft</w:t>
            </w:r>
          </w:p>
        </w:tc>
        <w:tc>
          <w:tcPr>
            <w:tcW w:w="1215" w:type="dxa"/>
            <w:tcBorders>
              <w:top w:val="nil"/>
              <w:right w:val="nil"/>
            </w:tcBorders>
            <w:vAlign w:val="center"/>
          </w:tcPr>
          <w:p w14:paraId="7BC62BB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2</w:t>
            </w:r>
          </w:p>
        </w:tc>
        <w:tc>
          <w:tcPr>
            <w:tcW w:w="1215" w:type="dxa"/>
            <w:tcBorders>
              <w:top w:val="nil"/>
              <w:right w:val="nil"/>
            </w:tcBorders>
            <w:vAlign w:val="center"/>
          </w:tcPr>
          <w:p w14:paraId="7C86F30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3-2-3-1-3</w:t>
            </w:r>
          </w:p>
        </w:tc>
        <w:tc>
          <w:tcPr>
            <w:tcW w:w="1215" w:type="dxa"/>
            <w:tcBorders>
              <w:top w:val="nil"/>
              <w:right w:val="nil"/>
            </w:tcBorders>
            <w:vAlign w:val="center"/>
          </w:tcPr>
          <w:p w14:paraId="60252EC6"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4.60</w:t>
            </w:r>
          </w:p>
        </w:tc>
        <w:tc>
          <w:tcPr>
            <w:tcW w:w="1215" w:type="dxa"/>
            <w:tcBorders>
              <w:top w:val="nil"/>
              <w:right w:val="nil"/>
            </w:tcBorders>
            <w:vAlign w:val="center"/>
          </w:tcPr>
          <w:p w14:paraId="0D8051CD"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Phishing-resistant MFA; conditional access</w:t>
            </w:r>
          </w:p>
        </w:tc>
        <w:tc>
          <w:tcPr>
            <w:tcW w:w="1215" w:type="dxa"/>
            <w:tcBorders>
              <w:top w:val="nil"/>
            </w:tcBorders>
            <w:vAlign w:val="center"/>
          </w:tcPr>
          <w:p w14:paraId="0ECEE03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Cloud Service Owner</w:t>
            </w:r>
          </w:p>
        </w:tc>
      </w:tr>
    </w:tbl>
    <w:p w14:paraId="11636A10" w14:textId="77777777" w:rsidR="0002054A" w:rsidRDefault="0002054A">
      <w:pPr>
        <w:spacing w:after="40" w:line="360" w:lineRule="auto"/>
        <w:rPr>
          <w:rFonts w:ascii="Times New Roman" w:hAnsi="Times New Roman"/>
          <w:sz w:val="24"/>
          <w:szCs w:val="24"/>
        </w:rPr>
      </w:pPr>
    </w:p>
    <w:p w14:paraId="2DE8B404" w14:textId="77777777" w:rsidR="0002054A" w:rsidRDefault="00000000">
      <w:pPr>
        <w:spacing w:after="120" w:line="360" w:lineRule="auto"/>
        <w:jc w:val="center"/>
        <w:rPr>
          <w:rFonts w:ascii="Times New Roman" w:hAnsi="Times New Roman"/>
          <w:sz w:val="24"/>
          <w:szCs w:val="24"/>
        </w:rPr>
      </w:pPr>
      <w:r>
        <w:rPr>
          <w:rFonts w:ascii="Times New Roman" w:hAnsi="Times New Roman"/>
          <w:i/>
          <w:color w:val="000000"/>
          <w:sz w:val="24"/>
          <w:szCs w:val="24"/>
        </w:rPr>
        <w:lastRenderedPageBreak/>
        <w:t>Source: Scenario scoring based on Section 2.3. Impact order: confidentiality, integrity, availability, safety and business harm; values are ordinal judgements.</w:t>
      </w:r>
    </w:p>
    <w:p w14:paraId="534ECCE0" w14:textId="77777777" w:rsidR="0002054A" w:rsidRDefault="00000000">
      <w:pPr>
        <w:pStyle w:val="Heading1"/>
        <w:spacing w:line="360" w:lineRule="auto"/>
        <w:rPr>
          <w:rFonts w:ascii="Times New Roman" w:hAnsi="Times New Roman"/>
          <w:sz w:val="24"/>
          <w:szCs w:val="24"/>
        </w:rPr>
      </w:pPr>
      <w:bookmarkStart w:id="13" w:name="__RefHeading___Toc1281_2320685612"/>
      <w:bookmarkEnd w:id="13"/>
      <w:r>
        <w:rPr>
          <w:rFonts w:ascii="Times New Roman" w:hAnsi="Times New Roman"/>
          <w:sz w:val="24"/>
          <w:szCs w:val="24"/>
        </w:rPr>
        <w:t>4. Integrated security and data-governance policy architecture</w:t>
      </w:r>
    </w:p>
    <w:p w14:paraId="11169BE6" w14:textId="77777777" w:rsidR="0002054A" w:rsidRDefault="00000000">
      <w:pPr>
        <w:pStyle w:val="Heading2"/>
        <w:spacing w:line="360" w:lineRule="auto"/>
        <w:rPr>
          <w:rFonts w:ascii="Times New Roman" w:hAnsi="Times New Roman"/>
          <w:szCs w:val="24"/>
        </w:rPr>
      </w:pPr>
      <w:bookmarkStart w:id="14" w:name="__RefHeading___Toc1283_2320685612"/>
      <w:bookmarkEnd w:id="14"/>
      <w:r>
        <w:rPr>
          <w:rFonts w:ascii="Times New Roman" w:hAnsi="Times New Roman"/>
          <w:szCs w:val="24"/>
        </w:rPr>
        <w:t>4.1 Governance and accountability</w:t>
      </w:r>
    </w:p>
    <w:p w14:paraId="2B6776F6" w14:textId="77777777" w:rsidR="0002054A" w:rsidRDefault="00000000">
      <w:pPr>
        <w:spacing w:line="360" w:lineRule="auto"/>
        <w:rPr>
          <w:rFonts w:ascii="Times New Roman" w:hAnsi="Times New Roman"/>
          <w:sz w:val="24"/>
          <w:szCs w:val="24"/>
        </w:rPr>
      </w:pPr>
      <w:r>
        <w:rPr>
          <w:rFonts w:ascii="Times New Roman" w:hAnsi="Times New Roman"/>
          <w:sz w:val="24"/>
          <w:szCs w:val="24"/>
        </w:rPr>
        <w:t>Board directors should approve risk appetite and receive evidence on production exposure. The IT Security Manager should own the security management system; the OT Manager should own plant-risk treatment and operating limits. Procurement should bind supplier access to contract terms, staff and notification duties. Asset owners should accept residual risk after security and engineering review. ISO/IEC 27001 links policy, risk ownership, control selection and periodic review [8].</w:t>
      </w:r>
    </w:p>
    <w:p w14:paraId="3B4B7BE2" w14:textId="77777777" w:rsidR="0002054A" w:rsidRDefault="00000000">
      <w:pPr>
        <w:pStyle w:val="Heading2"/>
        <w:spacing w:line="360" w:lineRule="auto"/>
        <w:rPr>
          <w:rFonts w:ascii="Times New Roman" w:hAnsi="Times New Roman"/>
          <w:szCs w:val="24"/>
        </w:rPr>
      </w:pPr>
      <w:bookmarkStart w:id="15" w:name="__RefHeading___Toc1285_2320685612"/>
      <w:bookmarkEnd w:id="15"/>
      <w:r>
        <w:rPr>
          <w:rFonts w:ascii="Times New Roman" w:hAnsi="Times New Roman"/>
          <w:szCs w:val="24"/>
        </w:rPr>
        <w:t>4.2 Integrated policy package</w:t>
      </w:r>
    </w:p>
    <w:p w14:paraId="59DC4FA3" w14:textId="77777777" w:rsidR="0002054A" w:rsidRDefault="00000000">
      <w:pPr>
        <w:spacing w:line="360" w:lineRule="auto"/>
        <w:rPr>
          <w:rFonts w:ascii="Times New Roman" w:hAnsi="Times New Roman"/>
          <w:sz w:val="24"/>
          <w:szCs w:val="24"/>
        </w:rPr>
      </w:pPr>
      <w:r>
        <w:rPr>
          <w:rFonts w:ascii="Times New Roman" w:hAnsi="Times New Roman"/>
          <w:sz w:val="24"/>
          <w:szCs w:val="24"/>
        </w:rPr>
        <w:t>Identity policy should require named accounts, phishing-resistant Multifactor Authentication (MFA), least privilege and recertification. Privileged work must use separate administrator identities. Third-party policy should forbid standing access: a maintenance ticket, owner, target asset, service and expiry time must define each session. The gateway should record activity and close dormant connections.</w:t>
      </w:r>
    </w:p>
    <w:p w14:paraId="73E80571"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Network policy should separate corporate, engineering, OT, sensor, guest, recovery and vendor zones. Firewall rules should deny unapproved routes, while an industrial </w:t>
      </w:r>
      <w:proofErr w:type="spellStart"/>
      <w:r>
        <w:rPr>
          <w:rFonts w:ascii="Times New Roman" w:hAnsi="Times New Roman"/>
          <w:sz w:val="24"/>
          <w:szCs w:val="24"/>
        </w:rPr>
        <w:t>demilitarised</w:t>
      </w:r>
      <w:proofErr w:type="spellEnd"/>
      <w:r>
        <w:rPr>
          <w:rFonts w:ascii="Times New Roman" w:hAnsi="Times New Roman"/>
          <w:sz w:val="24"/>
          <w:szCs w:val="24"/>
        </w:rPr>
        <w:t xml:space="preserve"> zone should </w:t>
      </w:r>
      <w:proofErr w:type="gramStart"/>
      <w:r>
        <w:rPr>
          <w:rFonts w:ascii="Times New Roman" w:hAnsi="Times New Roman"/>
          <w:sz w:val="24"/>
          <w:szCs w:val="24"/>
        </w:rPr>
        <w:t>broker</w:t>
      </w:r>
      <w:proofErr w:type="gramEnd"/>
      <w:r>
        <w:rPr>
          <w:rFonts w:ascii="Times New Roman" w:hAnsi="Times New Roman"/>
          <w:sz w:val="24"/>
          <w:szCs w:val="24"/>
        </w:rPr>
        <w:t xml:space="preserve"> IT-OT exchanges. Asset policy should record owner, firmware, dependency, support status and recovery method. Patch policy should use risk-based windows; where vendors cannot patch safely, </w:t>
      </w:r>
      <w:proofErr w:type="spellStart"/>
      <w:r>
        <w:rPr>
          <w:rFonts w:ascii="Times New Roman" w:hAnsi="Times New Roman"/>
          <w:sz w:val="24"/>
          <w:szCs w:val="24"/>
        </w:rPr>
        <w:t>SteelForm</w:t>
      </w:r>
      <w:proofErr w:type="spellEnd"/>
      <w:r>
        <w:rPr>
          <w:rFonts w:ascii="Times New Roman" w:hAnsi="Times New Roman"/>
          <w:sz w:val="24"/>
          <w:szCs w:val="24"/>
        </w:rPr>
        <w:t xml:space="preserve"> should restrict routes, disable unused services and monitor passively.</w:t>
      </w:r>
    </w:p>
    <w:p w14:paraId="2725A91A" w14:textId="77777777" w:rsidR="0002054A" w:rsidRDefault="00000000">
      <w:pPr>
        <w:spacing w:line="360" w:lineRule="auto"/>
        <w:rPr>
          <w:rFonts w:ascii="Times New Roman" w:hAnsi="Times New Roman"/>
          <w:sz w:val="24"/>
          <w:szCs w:val="24"/>
        </w:rPr>
      </w:pPr>
      <w:r>
        <w:rPr>
          <w:rFonts w:ascii="Times New Roman" w:hAnsi="Times New Roman"/>
          <w:sz w:val="24"/>
          <w:szCs w:val="24"/>
        </w:rPr>
        <w:t>Data policy should classify design files, machine logic, quality records and personal data, then set storage, transfer, retention and disposal rules. Supplier policy should require breach notice, device control, account removal and test evidence. Backup policy should keep independent copies, block administrators from deleting them and require restoration trials. Logging policy should retain identity, gateway, firewall, cloud, endpoint and OT events. ISO/IEC 27002 supplies control guidance, while Boyens et al. [11] connect those rules to supplier governance [9]. Table 2 links policy to ownership and evidence.</w:t>
      </w:r>
    </w:p>
    <w:p w14:paraId="6AD51765" w14:textId="77777777" w:rsidR="0002054A" w:rsidRDefault="00000000">
      <w:pPr>
        <w:pStyle w:val="Caption"/>
        <w:keepNext/>
        <w:spacing w:line="360" w:lineRule="auto"/>
        <w:jc w:val="center"/>
        <w:rPr>
          <w:rFonts w:ascii="Times New Roman" w:hAnsi="Times New Roman"/>
          <w:sz w:val="24"/>
          <w:szCs w:val="24"/>
        </w:rPr>
      </w:pPr>
      <w:r>
        <w:rPr>
          <w:rFonts w:ascii="Times New Roman" w:hAnsi="Times New Roman"/>
          <w:sz w:val="24"/>
          <w:szCs w:val="24"/>
        </w:rPr>
        <w:t>Table 2. Policy, control evidence and ownership matrix</w:t>
      </w:r>
    </w:p>
    <w:tbl>
      <w:tblPr>
        <w:tblStyle w:val="TableGrid"/>
        <w:tblW w:w="9720" w:type="dxa"/>
        <w:jc w:val="center"/>
        <w:tblLayout w:type="fixed"/>
        <w:tblCellMar>
          <w:top w:w="55" w:type="dxa"/>
          <w:left w:w="55" w:type="dxa"/>
          <w:bottom w:w="55" w:type="dxa"/>
          <w:right w:w="55" w:type="dxa"/>
        </w:tblCellMar>
        <w:tblLook w:val="04A0" w:firstRow="1" w:lastRow="0" w:firstColumn="1" w:lastColumn="0" w:noHBand="0" w:noVBand="1"/>
      </w:tblPr>
      <w:tblGrid>
        <w:gridCol w:w="2430"/>
        <w:gridCol w:w="2430"/>
        <w:gridCol w:w="2430"/>
        <w:gridCol w:w="2430"/>
      </w:tblGrid>
      <w:tr w:rsidR="0002054A" w14:paraId="5FDB94D3" w14:textId="77777777">
        <w:trPr>
          <w:jc w:val="center"/>
        </w:trPr>
        <w:tc>
          <w:tcPr>
            <w:tcW w:w="2430" w:type="dxa"/>
            <w:tcBorders>
              <w:right w:val="nil"/>
            </w:tcBorders>
            <w:vAlign w:val="center"/>
          </w:tcPr>
          <w:p w14:paraId="0BEF6C70"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Policy domain</w:t>
            </w:r>
          </w:p>
        </w:tc>
        <w:tc>
          <w:tcPr>
            <w:tcW w:w="2430" w:type="dxa"/>
            <w:tcBorders>
              <w:right w:val="nil"/>
            </w:tcBorders>
            <w:vAlign w:val="center"/>
          </w:tcPr>
          <w:p w14:paraId="7B1FCA25"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Mandatory rule</w:t>
            </w:r>
          </w:p>
        </w:tc>
        <w:tc>
          <w:tcPr>
            <w:tcW w:w="2430" w:type="dxa"/>
            <w:tcBorders>
              <w:right w:val="nil"/>
            </w:tcBorders>
            <w:vAlign w:val="center"/>
          </w:tcPr>
          <w:p w14:paraId="0D9AD5E5"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Evidence</w:t>
            </w:r>
          </w:p>
        </w:tc>
        <w:tc>
          <w:tcPr>
            <w:tcW w:w="2430" w:type="dxa"/>
            <w:vAlign w:val="center"/>
          </w:tcPr>
          <w:p w14:paraId="080C6DC3"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Owner</w:t>
            </w:r>
          </w:p>
        </w:tc>
      </w:tr>
      <w:tr w:rsidR="0002054A" w14:paraId="0A3BF6A1" w14:textId="77777777">
        <w:trPr>
          <w:jc w:val="center"/>
        </w:trPr>
        <w:tc>
          <w:tcPr>
            <w:tcW w:w="2430" w:type="dxa"/>
            <w:tcBorders>
              <w:top w:val="nil"/>
              <w:right w:val="nil"/>
            </w:tcBorders>
            <w:vAlign w:val="center"/>
          </w:tcPr>
          <w:p w14:paraId="05E94B5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Identity and privilege</w:t>
            </w:r>
          </w:p>
        </w:tc>
        <w:tc>
          <w:tcPr>
            <w:tcW w:w="2430" w:type="dxa"/>
            <w:tcBorders>
              <w:top w:val="nil"/>
              <w:right w:val="nil"/>
            </w:tcBorders>
            <w:vAlign w:val="center"/>
          </w:tcPr>
          <w:p w14:paraId="61FBA5D6"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 xml:space="preserve">Named accounts, phishing-resistant MFA, separate admin </w:t>
            </w:r>
            <w:r>
              <w:rPr>
                <w:rFonts w:ascii="Liberation Serif" w:hAnsi="Liberation Serif"/>
                <w:color w:val="000000"/>
                <w:sz w:val="24"/>
                <w:szCs w:val="24"/>
              </w:rPr>
              <w:lastRenderedPageBreak/>
              <w:t>identities</w:t>
            </w:r>
          </w:p>
        </w:tc>
        <w:tc>
          <w:tcPr>
            <w:tcW w:w="2430" w:type="dxa"/>
            <w:tcBorders>
              <w:top w:val="nil"/>
              <w:right w:val="nil"/>
            </w:tcBorders>
            <w:vAlign w:val="center"/>
          </w:tcPr>
          <w:p w14:paraId="0E15F82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lastRenderedPageBreak/>
              <w:t>Identity logs; quarterly access review</w:t>
            </w:r>
          </w:p>
        </w:tc>
        <w:tc>
          <w:tcPr>
            <w:tcW w:w="2430" w:type="dxa"/>
            <w:tcBorders>
              <w:top w:val="nil"/>
            </w:tcBorders>
            <w:vAlign w:val="center"/>
          </w:tcPr>
          <w:p w14:paraId="7BDDE23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IT Security Manager</w:t>
            </w:r>
          </w:p>
        </w:tc>
      </w:tr>
      <w:tr w:rsidR="0002054A" w14:paraId="5576ABB3" w14:textId="77777777">
        <w:trPr>
          <w:jc w:val="center"/>
        </w:trPr>
        <w:tc>
          <w:tcPr>
            <w:tcW w:w="2430" w:type="dxa"/>
            <w:tcBorders>
              <w:top w:val="nil"/>
              <w:right w:val="nil"/>
            </w:tcBorders>
            <w:vAlign w:val="center"/>
          </w:tcPr>
          <w:p w14:paraId="39713D3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Third-party access</w:t>
            </w:r>
          </w:p>
        </w:tc>
        <w:tc>
          <w:tcPr>
            <w:tcW w:w="2430" w:type="dxa"/>
            <w:tcBorders>
              <w:top w:val="nil"/>
              <w:right w:val="nil"/>
            </w:tcBorders>
            <w:vAlign w:val="center"/>
          </w:tcPr>
          <w:p w14:paraId="4845CF01"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Ticket-bound, approved, recorded and time-limited sessions</w:t>
            </w:r>
          </w:p>
        </w:tc>
        <w:tc>
          <w:tcPr>
            <w:tcW w:w="2430" w:type="dxa"/>
            <w:tcBorders>
              <w:top w:val="nil"/>
              <w:right w:val="nil"/>
            </w:tcBorders>
            <w:vAlign w:val="center"/>
          </w:tcPr>
          <w:p w14:paraId="39232E6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Gateway logs; supplier account register</w:t>
            </w:r>
          </w:p>
        </w:tc>
        <w:tc>
          <w:tcPr>
            <w:tcW w:w="2430" w:type="dxa"/>
            <w:tcBorders>
              <w:top w:val="nil"/>
            </w:tcBorders>
            <w:vAlign w:val="center"/>
          </w:tcPr>
          <w:p w14:paraId="15B82BD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Procurement and OT asset owner</w:t>
            </w:r>
          </w:p>
        </w:tc>
      </w:tr>
      <w:tr w:rsidR="0002054A" w14:paraId="10B53199" w14:textId="77777777">
        <w:trPr>
          <w:jc w:val="center"/>
        </w:trPr>
        <w:tc>
          <w:tcPr>
            <w:tcW w:w="2430" w:type="dxa"/>
            <w:tcBorders>
              <w:top w:val="nil"/>
              <w:right w:val="nil"/>
            </w:tcBorders>
            <w:vAlign w:val="center"/>
          </w:tcPr>
          <w:p w14:paraId="44A5CEA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IT/OT separation</w:t>
            </w:r>
          </w:p>
        </w:tc>
        <w:tc>
          <w:tcPr>
            <w:tcW w:w="2430" w:type="dxa"/>
            <w:tcBorders>
              <w:top w:val="nil"/>
              <w:right w:val="nil"/>
            </w:tcBorders>
            <w:vAlign w:val="center"/>
          </w:tcPr>
          <w:p w14:paraId="27F53089"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Deny unapproved routes; broker traffic through industrial DMZ</w:t>
            </w:r>
          </w:p>
        </w:tc>
        <w:tc>
          <w:tcPr>
            <w:tcW w:w="2430" w:type="dxa"/>
            <w:tcBorders>
              <w:top w:val="nil"/>
              <w:right w:val="nil"/>
            </w:tcBorders>
            <w:vAlign w:val="center"/>
          </w:tcPr>
          <w:p w14:paraId="0453D223"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Firewall tests; flow inventory</w:t>
            </w:r>
          </w:p>
        </w:tc>
        <w:tc>
          <w:tcPr>
            <w:tcW w:w="2430" w:type="dxa"/>
            <w:tcBorders>
              <w:top w:val="nil"/>
            </w:tcBorders>
            <w:vAlign w:val="center"/>
          </w:tcPr>
          <w:p w14:paraId="1EB13E71"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Network and OT managers</w:t>
            </w:r>
          </w:p>
        </w:tc>
      </w:tr>
      <w:tr w:rsidR="0002054A" w14:paraId="69ED3DAA" w14:textId="77777777">
        <w:trPr>
          <w:jc w:val="center"/>
        </w:trPr>
        <w:tc>
          <w:tcPr>
            <w:tcW w:w="2430" w:type="dxa"/>
            <w:tcBorders>
              <w:top w:val="nil"/>
              <w:right w:val="nil"/>
            </w:tcBorders>
            <w:vAlign w:val="center"/>
          </w:tcPr>
          <w:p w14:paraId="123C651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Asset and patch control</w:t>
            </w:r>
          </w:p>
        </w:tc>
        <w:tc>
          <w:tcPr>
            <w:tcW w:w="2430" w:type="dxa"/>
            <w:tcBorders>
              <w:top w:val="nil"/>
              <w:right w:val="nil"/>
            </w:tcBorders>
            <w:vAlign w:val="center"/>
          </w:tcPr>
          <w:p w14:paraId="31FE16A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Record owner, firmware, support state and recovery method</w:t>
            </w:r>
          </w:p>
        </w:tc>
        <w:tc>
          <w:tcPr>
            <w:tcW w:w="2430" w:type="dxa"/>
            <w:tcBorders>
              <w:top w:val="nil"/>
              <w:right w:val="nil"/>
            </w:tcBorders>
            <w:vAlign w:val="center"/>
          </w:tcPr>
          <w:p w14:paraId="7BB766C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Asset register; exception record</w:t>
            </w:r>
          </w:p>
        </w:tc>
        <w:tc>
          <w:tcPr>
            <w:tcW w:w="2430" w:type="dxa"/>
            <w:tcBorders>
              <w:top w:val="nil"/>
            </w:tcBorders>
            <w:vAlign w:val="center"/>
          </w:tcPr>
          <w:p w14:paraId="45EE819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OT Manager</w:t>
            </w:r>
          </w:p>
        </w:tc>
      </w:tr>
      <w:tr w:rsidR="0002054A" w14:paraId="44D620F3" w14:textId="77777777">
        <w:trPr>
          <w:jc w:val="center"/>
        </w:trPr>
        <w:tc>
          <w:tcPr>
            <w:tcW w:w="2430" w:type="dxa"/>
            <w:tcBorders>
              <w:top w:val="nil"/>
              <w:right w:val="nil"/>
            </w:tcBorders>
            <w:vAlign w:val="center"/>
          </w:tcPr>
          <w:p w14:paraId="4D63801E"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Data governance</w:t>
            </w:r>
          </w:p>
        </w:tc>
        <w:tc>
          <w:tcPr>
            <w:tcW w:w="2430" w:type="dxa"/>
            <w:tcBorders>
              <w:top w:val="nil"/>
              <w:right w:val="nil"/>
            </w:tcBorders>
            <w:vAlign w:val="center"/>
          </w:tcPr>
          <w:p w14:paraId="7D36E52C"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Classify design, production, quality and personal data</w:t>
            </w:r>
          </w:p>
        </w:tc>
        <w:tc>
          <w:tcPr>
            <w:tcW w:w="2430" w:type="dxa"/>
            <w:tcBorders>
              <w:top w:val="nil"/>
              <w:right w:val="nil"/>
            </w:tcBorders>
            <w:vAlign w:val="center"/>
          </w:tcPr>
          <w:p w14:paraId="3E02C6DD"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Access reports; retention checks</w:t>
            </w:r>
          </w:p>
        </w:tc>
        <w:tc>
          <w:tcPr>
            <w:tcW w:w="2430" w:type="dxa"/>
            <w:tcBorders>
              <w:top w:val="nil"/>
            </w:tcBorders>
            <w:vAlign w:val="center"/>
          </w:tcPr>
          <w:p w14:paraId="0B93EC1F"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Data owners</w:t>
            </w:r>
          </w:p>
        </w:tc>
      </w:tr>
      <w:tr w:rsidR="0002054A" w14:paraId="7D5A8DE0" w14:textId="77777777">
        <w:trPr>
          <w:jc w:val="center"/>
        </w:trPr>
        <w:tc>
          <w:tcPr>
            <w:tcW w:w="2430" w:type="dxa"/>
            <w:tcBorders>
              <w:top w:val="nil"/>
              <w:right w:val="nil"/>
            </w:tcBorders>
            <w:vAlign w:val="center"/>
          </w:tcPr>
          <w:p w14:paraId="65BAF34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Backup and recovery</w:t>
            </w:r>
          </w:p>
        </w:tc>
        <w:tc>
          <w:tcPr>
            <w:tcW w:w="2430" w:type="dxa"/>
            <w:tcBorders>
              <w:top w:val="nil"/>
              <w:right w:val="nil"/>
            </w:tcBorders>
            <w:vAlign w:val="center"/>
          </w:tcPr>
          <w:p w14:paraId="5012CA7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Keep independent copies and test restoration</w:t>
            </w:r>
          </w:p>
        </w:tc>
        <w:tc>
          <w:tcPr>
            <w:tcW w:w="2430" w:type="dxa"/>
            <w:tcBorders>
              <w:top w:val="nil"/>
              <w:right w:val="nil"/>
            </w:tcBorders>
            <w:vAlign w:val="center"/>
          </w:tcPr>
          <w:p w14:paraId="7BED5C57"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Restore results; recovery evidence</w:t>
            </w:r>
          </w:p>
        </w:tc>
        <w:tc>
          <w:tcPr>
            <w:tcW w:w="2430" w:type="dxa"/>
            <w:tcBorders>
              <w:top w:val="nil"/>
            </w:tcBorders>
            <w:vAlign w:val="center"/>
          </w:tcPr>
          <w:p w14:paraId="5BFC692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Infrastructure Manager</w:t>
            </w:r>
          </w:p>
        </w:tc>
      </w:tr>
      <w:tr w:rsidR="0002054A" w14:paraId="467005A7" w14:textId="77777777">
        <w:trPr>
          <w:jc w:val="center"/>
        </w:trPr>
        <w:tc>
          <w:tcPr>
            <w:tcW w:w="2430" w:type="dxa"/>
            <w:tcBorders>
              <w:top w:val="nil"/>
              <w:right w:val="nil"/>
            </w:tcBorders>
            <w:vAlign w:val="center"/>
          </w:tcPr>
          <w:p w14:paraId="1601B7A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Logging and response</w:t>
            </w:r>
          </w:p>
        </w:tc>
        <w:tc>
          <w:tcPr>
            <w:tcW w:w="2430" w:type="dxa"/>
            <w:tcBorders>
              <w:top w:val="nil"/>
              <w:right w:val="nil"/>
            </w:tcBorders>
            <w:vAlign w:val="center"/>
          </w:tcPr>
          <w:p w14:paraId="5AEE224E"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Retain relevant events and report incidents promptly</w:t>
            </w:r>
          </w:p>
        </w:tc>
        <w:tc>
          <w:tcPr>
            <w:tcW w:w="2430" w:type="dxa"/>
            <w:tcBorders>
              <w:top w:val="nil"/>
              <w:right w:val="nil"/>
            </w:tcBorders>
            <w:vAlign w:val="center"/>
          </w:tcPr>
          <w:p w14:paraId="7CA6F87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Coverage dashboard; exercise record</w:t>
            </w:r>
          </w:p>
        </w:tc>
        <w:tc>
          <w:tcPr>
            <w:tcW w:w="2430" w:type="dxa"/>
            <w:tcBorders>
              <w:top w:val="nil"/>
            </w:tcBorders>
            <w:vAlign w:val="center"/>
          </w:tcPr>
          <w:p w14:paraId="2C9760F9"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IT Security Manager</w:t>
            </w:r>
          </w:p>
        </w:tc>
      </w:tr>
    </w:tbl>
    <w:p w14:paraId="52959F4C" w14:textId="77777777" w:rsidR="0002054A" w:rsidRDefault="0002054A">
      <w:pPr>
        <w:spacing w:after="40" w:line="360" w:lineRule="auto"/>
        <w:rPr>
          <w:rFonts w:ascii="Times New Roman" w:hAnsi="Times New Roman"/>
          <w:sz w:val="24"/>
          <w:szCs w:val="24"/>
        </w:rPr>
      </w:pPr>
    </w:p>
    <w:p w14:paraId="510D1953" w14:textId="77777777" w:rsidR="0002054A" w:rsidRDefault="00000000">
      <w:pPr>
        <w:spacing w:after="120" w:line="360" w:lineRule="auto"/>
        <w:jc w:val="center"/>
        <w:rPr>
          <w:rFonts w:ascii="Times New Roman" w:hAnsi="Times New Roman"/>
          <w:sz w:val="24"/>
          <w:szCs w:val="24"/>
        </w:rPr>
      </w:pPr>
      <w:r>
        <w:rPr>
          <w:rFonts w:ascii="Times New Roman" w:hAnsi="Times New Roman"/>
          <w:sz w:val="24"/>
          <w:szCs w:val="24"/>
        </w:rPr>
        <w:t xml:space="preserve">Source: </w:t>
      </w:r>
      <w:proofErr w:type="spellStart"/>
      <w:r>
        <w:rPr>
          <w:rFonts w:ascii="Times New Roman" w:hAnsi="Times New Roman"/>
          <w:sz w:val="24"/>
          <w:szCs w:val="24"/>
        </w:rPr>
        <w:t>Synthesised</w:t>
      </w:r>
      <w:proofErr w:type="spellEnd"/>
      <w:r>
        <w:rPr>
          <w:rFonts w:ascii="Times New Roman" w:hAnsi="Times New Roman"/>
          <w:sz w:val="24"/>
          <w:szCs w:val="24"/>
        </w:rPr>
        <w:t xml:space="preserve"> from [8], [9], [2] and [11].</w:t>
      </w:r>
    </w:p>
    <w:p w14:paraId="7E916282" w14:textId="77777777" w:rsidR="0002054A" w:rsidRDefault="00000000">
      <w:pPr>
        <w:pStyle w:val="Heading2"/>
        <w:spacing w:line="360" w:lineRule="auto"/>
        <w:rPr>
          <w:rFonts w:ascii="Times New Roman" w:hAnsi="Times New Roman"/>
          <w:szCs w:val="24"/>
        </w:rPr>
      </w:pPr>
      <w:bookmarkStart w:id="16" w:name="__RefHeading___Toc1287_2320685612"/>
      <w:bookmarkEnd w:id="16"/>
      <w:r>
        <w:rPr>
          <w:rFonts w:ascii="Times New Roman" w:hAnsi="Times New Roman"/>
          <w:szCs w:val="24"/>
        </w:rPr>
        <w:t>4.3 Standards, law and alternatives</w:t>
      </w:r>
    </w:p>
    <w:p w14:paraId="2A7D21DE"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IEC 62443 assigns industrial security duties to asset owners, so </w:t>
      </w:r>
      <w:proofErr w:type="spellStart"/>
      <w:r>
        <w:rPr>
          <w:rFonts w:ascii="Times New Roman" w:hAnsi="Times New Roman"/>
          <w:sz w:val="24"/>
          <w:szCs w:val="24"/>
        </w:rPr>
        <w:t>SteelForm</w:t>
      </w:r>
      <w:proofErr w:type="spellEnd"/>
      <w:r>
        <w:rPr>
          <w:rFonts w:ascii="Times New Roman" w:hAnsi="Times New Roman"/>
          <w:sz w:val="24"/>
          <w:szCs w:val="24"/>
        </w:rPr>
        <w:t xml:space="preserve"> cannot transfer accountability to vendors [2]. UK data rules require technical and </w:t>
      </w:r>
      <w:proofErr w:type="spellStart"/>
      <w:r>
        <w:rPr>
          <w:rFonts w:ascii="Times New Roman" w:hAnsi="Times New Roman"/>
          <w:sz w:val="24"/>
          <w:szCs w:val="24"/>
        </w:rPr>
        <w:t>organisational</w:t>
      </w:r>
      <w:proofErr w:type="spellEnd"/>
      <w:r>
        <w:rPr>
          <w:rFonts w:ascii="Times New Roman" w:hAnsi="Times New Roman"/>
          <w:sz w:val="24"/>
          <w:szCs w:val="24"/>
        </w:rPr>
        <w:t xml:space="preserve"> measures for personal data [13], [14]; the Data (Use and Access) Act 2025 changed that regime [15]. Air-gapping would obstruct cloud production and remote maintenance, while unrestricted supplier VPN access creates excessive trust. Brokered access preserves service but limits reach.</w:t>
      </w:r>
    </w:p>
    <w:p w14:paraId="1D89193E" w14:textId="77777777" w:rsidR="0002054A" w:rsidRDefault="00000000">
      <w:pPr>
        <w:pStyle w:val="Heading1"/>
        <w:spacing w:line="360" w:lineRule="auto"/>
        <w:rPr>
          <w:rFonts w:ascii="Times New Roman" w:hAnsi="Times New Roman"/>
          <w:sz w:val="24"/>
          <w:szCs w:val="24"/>
        </w:rPr>
      </w:pPr>
      <w:bookmarkStart w:id="17" w:name="__RefHeading___Toc1289_2320685612"/>
      <w:bookmarkEnd w:id="17"/>
      <w:r>
        <w:rPr>
          <w:rFonts w:ascii="Times New Roman" w:hAnsi="Times New Roman"/>
          <w:sz w:val="24"/>
          <w:szCs w:val="24"/>
        </w:rPr>
        <w:t>5. Mitigation design and implementation roadmap</w:t>
      </w:r>
    </w:p>
    <w:p w14:paraId="2F9A1FF7" w14:textId="77777777" w:rsidR="0002054A" w:rsidRDefault="00000000">
      <w:pPr>
        <w:pStyle w:val="Heading2"/>
        <w:spacing w:line="360" w:lineRule="auto"/>
        <w:rPr>
          <w:rFonts w:ascii="Times New Roman" w:hAnsi="Times New Roman"/>
          <w:szCs w:val="24"/>
        </w:rPr>
      </w:pPr>
      <w:bookmarkStart w:id="18" w:name="__RefHeading___Toc1291_2320685612"/>
      <w:bookmarkEnd w:id="18"/>
      <w:r>
        <w:rPr>
          <w:rFonts w:ascii="Times New Roman" w:hAnsi="Times New Roman"/>
          <w:szCs w:val="24"/>
        </w:rPr>
        <w:t>5.1 Target information technology-operational technology architecture</w:t>
      </w:r>
    </w:p>
    <w:p w14:paraId="46C9024C" w14:textId="77777777" w:rsidR="0002054A" w:rsidRDefault="00000000">
      <w:pPr>
        <w:spacing w:line="360" w:lineRule="auto"/>
        <w:rPr>
          <w:rFonts w:ascii="Times New Roman" w:hAnsi="Times New Roman"/>
          <w:sz w:val="24"/>
          <w:szCs w:val="24"/>
        </w:rPr>
      </w:pPr>
      <w:r>
        <w:rPr>
          <w:rFonts w:ascii="Times New Roman" w:hAnsi="Times New Roman"/>
          <w:sz w:val="24"/>
          <w:szCs w:val="24"/>
        </w:rPr>
        <w:t>Figure 2 separates corporate IT, engineering, OT, Industrial Internet of Things (</w:t>
      </w:r>
      <w:proofErr w:type="spellStart"/>
      <w:r>
        <w:rPr>
          <w:rFonts w:ascii="Times New Roman" w:hAnsi="Times New Roman"/>
          <w:sz w:val="24"/>
          <w:szCs w:val="24"/>
        </w:rPr>
        <w:t>IIoT</w:t>
      </w:r>
      <w:proofErr w:type="spellEnd"/>
      <w:r>
        <w:rPr>
          <w:rFonts w:ascii="Times New Roman" w:hAnsi="Times New Roman"/>
          <w:sz w:val="24"/>
          <w:szCs w:val="24"/>
        </w:rPr>
        <w:t xml:space="preserve">), guest, vendor and recovery zones. External technicians should authenticate at a managed gateway, enter a jump host in the industrial </w:t>
      </w:r>
      <w:proofErr w:type="spellStart"/>
      <w:r>
        <w:rPr>
          <w:rFonts w:ascii="Times New Roman" w:hAnsi="Times New Roman"/>
          <w:sz w:val="24"/>
          <w:szCs w:val="24"/>
        </w:rPr>
        <w:t>demilitarised</w:t>
      </w:r>
      <w:proofErr w:type="spellEnd"/>
      <w:r>
        <w:rPr>
          <w:rFonts w:ascii="Times New Roman" w:hAnsi="Times New Roman"/>
          <w:sz w:val="24"/>
          <w:szCs w:val="24"/>
        </w:rPr>
        <w:t xml:space="preserve"> zone and reach only the named asset through an approved </w:t>
      </w:r>
      <w:r>
        <w:rPr>
          <w:rFonts w:ascii="Times New Roman" w:hAnsi="Times New Roman"/>
          <w:sz w:val="24"/>
          <w:szCs w:val="24"/>
        </w:rPr>
        <w:lastRenderedPageBreak/>
        <w:t>protocol. Corporate users should read production reports through brokered services, not direct plant routes. Sensors should reach a telemetry broker but not finance or identity servers. NCSC guidance supports this design, while IEC 62443 provides its industrial basis [12], [2].</w:t>
      </w:r>
    </w:p>
    <w:p w14:paraId="286A06F6" w14:textId="77777777" w:rsidR="0002054A" w:rsidRDefault="00000000">
      <w:pPr>
        <w:spacing w:line="360" w:lineRule="auto"/>
        <w:rPr>
          <w:rFonts w:ascii="Times New Roman" w:hAnsi="Times New Roman"/>
          <w:sz w:val="24"/>
          <w:szCs w:val="24"/>
        </w:rPr>
      </w:pPr>
      <w:r>
        <w:rPr>
          <w:noProof/>
        </w:rPr>
        <w:drawing>
          <wp:inline distT="0" distB="0" distL="0" distR="0" wp14:anchorId="6C7B9C52" wp14:editId="5D28E043">
            <wp:extent cx="6309360" cy="3950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tretch>
                      <a:fillRect/>
                    </a:stretch>
                  </pic:blipFill>
                  <pic:spPr bwMode="auto">
                    <a:xfrm>
                      <a:off x="0" y="0"/>
                      <a:ext cx="6309360" cy="3950335"/>
                    </a:xfrm>
                    <a:prstGeom prst="rect">
                      <a:avLst/>
                    </a:prstGeom>
                    <a:noFill/>
                  </pic:spPr>
                </pic:pic>
              </a:graphicData>
            </a:graphic>
          </wp:inline>
        </w:drawing>
      </w:r>
    </w:p>
    <w:p w14:paraId="0699CDAF" w14:textId="77777777" w:rsidR="0002054A" w:rsidRDefault="00000000">
      <w:pPr>
        <w:pStyle w:val="Caption"/>
        <w:spacing w:line="360" w:lineRule="auto"/>
        <w:jc w:val="center"/>
        <w:rPr>
          <w:rFonts w:ascii="Times New Roman" w:hAnsi="Times New Roman"/>
          <w:sz w:val="24"/>
          <w:szCs w:val="24"/>
        </w:rPr>
      </w:pPr>
      <w:r>
        <w:rPr>
          <w:rFonts w:ascii="Times New Roman" w:hAnsi="Times New Roman"/>
          <w:sz w:val="24"/>
          <w:szCs w:val="24"/>
        </w:rPr>
        <w:t>Figure 2. Target information technology and operational technology architecture</w:t>
      </w:r>
    </w:p>
    <w:p w14:paraId="55745C88" w14:textId="77777777" w:rsidR="0002054A" w:rsidRDefault="00000000">
      <w:pPr>
        <w:spacing w:after="120" w:line="360" w:lineRule="auto"/>
        <w:jc w:val="center"/>
        <w:rPr>
          <w:rFonts w:ascii="Times New Roman" w:hAnsi="Times New Roman"/>
          <w:sz w:val="24"/>
          <w:szCs w:val="24"/>
        </w:rPr>
      </w:pPr>
      <w:r>
        <w:rPr>
          <w:rFonts w:ascii="Times New Roman" w:hAnsi="Times New Roman"/>
          <w:sz w:val="24"/>
          <w:szCs w:val="24"/>
        </w:rPr>
        <w:t xml:space="preserve">Source: </w:t>
      </w:r>
      <w:proofErr w:type="spellStart"/>
      <w:r>
        <w:rPr>
          <w:rFonts w:ascii="Times New Roman" w:hAnsi="Times New Roman"/>
          <w:sz w:val="24"/>
          <w:szCs w:val="24"/>
        </w:rPr>
        <w:t>Synthesised</w:t>
      </w:r>
      <w:proofErr w:type="spellEnd"/>
      <w:r>
        <w:rPr>
          <w:rFonts w:ascii="Times New Roman" w:hAnsi="Times New Roman"/>
          <w:sz w:val="24"/>
          <w:szCs w:val="24"/>
        </w:rPr>
        <w:t xml:space="preserve"> from NCSC [12], IEC (2024) and Stouffer et al. [7].</w:t>
      </w:r>
    </w:p>
    <w:p w14:paraId="6C0EC2D1" w14:textId="77777777" w:rsidR="0002054A" w:rsidRDefault="00000000">
      <w:pPr>
        <w:pStyle w:val="Heading2"/>
        <w:spacing w:line="360" w:lineRule="auto"/>
        <w:rPr>
          <w:rFonts w:ascii="Times New Roman" w:hAnsi="Times New Roman"/>
          <w:szCs w:val="24"/>
        </w:rPr>
      </w:pPr>
      <w:bookmarkStart w:id="19" w:name="__RefHeading___Toc1293_2320685612"/>
      <w:bookmarkEnd w:id="19"/>
      <w:r>
        <w:rPr>
          <w:rFonts w:ascii="Times New Roman" w:hAnsi="Times New Roman"/>
          <w:szCs w:val="24"/>
        </w:rPr>
        <w:t>5.2 Control implementation</w:t>
      </w:r>
    </w:p>
    <w:p w14:paraId="0D54BDF8"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Security staff should issue supplier identities and require phishing-resistant MFA plus a certificate. Procurement and the asset owner should approve a maintenance ticket before the gateway grants an access window. The jump host should record sessions, restrict destinations and block file transfer unless the ticket permits it. Network engineers should apply deny-by-default rules and test allowed paths. OT engineers should tune </w:t>
      </w:r>
      <w:proofErr w:type="gramStart"/>
      <w:r>
        <w:rPr>
          <w:rFonts w:ascii="Times New Roman" w:hAnsi="Times New Roman"/>
          <w:sz w:val="24"/>
          <w:szCs w:val="24"/>
        </w:rPr>
        <w:t>monitoring</w:t>
      </w:r>
      <w:proofErr w:type="gramEnd"/>
      <w:r>
        <w:rPr>
          <w:rFonts w:ascii="Times New Roman" w:hAnsi="Times New Roman"/>
          <w:sz w:val="24"/>
          <w:szCs w:val="24"/>
        </w:rPr>
        <w:t xml:space="preserve"> so inspection does not inject unsafe traffic.</w:t>
      </w:r>
    </w:p>
    <w:p w14:paraId="07089842"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Infrastructure staff should keep immutable or offline recovery copies outside domain administration. Monthly restore trials should rebuild an engineering workstation, its configuration and a production-support service. Where old machinery cannot accept patches, </w:t>
      </w:r>
      <w:proofErr w:type="spellStart"/>
      <w:r>
        <w:rPr>
          <w:rFonts w:ascii="Times New Roman" w:hAnsi="Times New Roman"/>
          <w:sz w:val="24"/>
          <w:szCs w:val="24"/>
        </w:rPr>
        <w:t>SteelForm</w:t>
      </w:r>
      <w:proofErr w:type="spellEnd"/>
      <w:r>
        <w:rPr>
          <w:rFonts w:ascii="Times New Roman" w:hAnsi="Times New Roman"/>
          <w:sz w:val="24"/>
          <w:szCs w:val="24"/>
        </w:rPr>
        <w:t xml:space="preserve"> should remove unused services, restrict source hosts, monitor configuration changes and record residual exposure. Stouffer et al. [7] support controls that respect plant reliability; Boyens et al. [11] require discipline for supplier dependencies.</w:t>
      </w:r>
    </w:p>
    <w:p w14:paraId="6FC5C230" w14:textId="77777777" w:rsidR="0002054A" w:rsidRDefault="00000000">
      <w:pPr>
        <w:pStyle w:val="Heading2"/>
        <w:spacing w:line="360" w:lineRule="auto"/>
        <w:rPr>
          <w:rFonts w:ascii="Times New Roman" w:hAnsi="Times New Roman"/>
          <w:szCs w:val="24"/>
        </w:rPr>
      </w:pPr>
      <w:bookmarkStart w:id="20" w:name="__RefHeading___Toc1295_2320685612"/>
      <w:bookmarkEnd w:id="20"/>
      <w:r>
        <w:rPr>
          <w:rFonts w:ascii="Times New Roman" w:hAnsi="Times New Roman"/>
          <w:szCs w:val="24"/>
        </w:rPr>
        <w:lastRenderedPageBreak/>
        <w:t>5.3 Phased roadmap and validation</w:t>
      </w:r>
    </w:p>
    <w:p w14:paraId="10B79DB5" w14:textId="77777777" w:rsidR="0002054A" w:rsidRDefault="00000000">
      <w:pPr>
        <w:spacing w:line="360" w:lineRule="auto"/>
        <w:rPr>
          <w:rFonts w:ascii="Times New Roman" w:hAnsi="Times New Roman"/>
          <w:sz w:val="24"/>
          <w:szCs w:val="24"/>
        </w:rPr>
      </w:pPr>
      <w:r>
        <w:rPr>
          <w:rFonts w:ascii="Times New Roman" w:hAnsi="Times New Roman"/>
          <w:sz w:val="24"/>
          <w:szCs w:val="24"/>
        </w:rPr>
        <w:t>Days 0 to 30 should remove accounts, require MFA, verify backups and stop vendor routes. Months 2 to 3 should produce the asset register, dependency map and flows. Months 4 to 6 should install the gateway, jump host, rules and logs. Months 7 to 9 should migrate suppliers and test restoration. Months 10 to 12 should review risk and exercise response. Table 3 records ownership and evidence. Packet Tracer can test reachability, but it cannot prove latency, protocol safety or recovery. Attack-graph methods may guide investment [10].</w:t>
      </w:r>
    </w:p>
    <w:p w14:paraId="6F29DC60" w14:textId="77777777" w:rsidR="0002054A" w:rsidRDefault="00000000">
      <w:pPr>
        <w:spacing w:line="360" w:lineRule="auto"/>
        <w:rPr>
          <w:rFonts w:ascii="Times New Roman" w:hAnsi="Times New Roman"/>
          <w:sz w:val="24"/>
          <w:szCs w:val="24"/>
        </w:rPr>
      </w:pPr>
      <w:r>
        <w:br w:type="page"/>
      </w:r>
    </w:p>
    <w:p w14:paraId="33F854D9" w14:textId="77777777" w:rsidR="0002054A" w:rsidRDefault="00000000">
      <w:pPr>
        <w:pStyle w:val="Caption"/>
        <w:keepNext/>
        <w:spacing w:line="360" w:lineRule="auto"/>
        <w:jc w:val="center"/>
        <w:rPr>
          <w:rFonts w:ascii="Times New Roman" w:hAnsi="Times New Roman"/>
          <w:sz w:val="24"/>
          <w:szCs w:val="24"/>
        </w:rPr>
      </w:pPr>
      <w:r>
        <w:rPr>
          <w:rFonts w:ascii="Times New Roman" w:hAnsi="Times New Roman"/>
          <w:sz w:val="24"/>
          <w:szCs w:val="24"/>
        </w:rPr>
        <w:lastRenderedPageBreak/>
        <w:t>Table 3. Twelve-month implementation roadmap</w:t>
      </w:r>
    </w:p>
    <w:tbl>
      <w:tblPr>
        <w:tblStyle w:val="TableGrid"/>
        <w:tblW w:w="9720" w:type="dxa"/>
        <w:jc w:val="center"/>
        <w:tblLayout w:type="fixed"/>
        <w:tblCellMar>
          <w:top w:w="55" w:type="dxa"/>
          <w:left w:w="55" w:type="dxa"/>
          <w:bottom w:w="55" w:type="dxa"/>
          <w:right w:w="55" w:type="dxa"/>
        </w:tblCellMar>
        <w:tblLook w:val="04A0" w:firstRow="1" w:lastRow="0" w:firstColumn="1" w:lastColumn="0" w:noHBand="0" w:noVBand="1"/>
      </w:tblPr>
      <w:tblGrid>
        <w:gridCol w:w="2430"/>
        <w:gridCol w:w="2430"/>
        <w:gridCol w:w="2430"/>
        <w:gridCol w:w="2430"/>
      </w:tblGrid>
      <w:tr w:rsidR="0002054A" w14:paraId="6EA9FA50" w14:textId="77777777">
        <w:trPr>
          <w:jc w:val="center"/>
        </w:trPr>
        <w:tc>
          <w:tcPr>
            <w:tcW w:w="2430" w:type="dxa"/>
            <w:tcBorders>
              <w:right w:val="nil"/>
            </w:tcBorders>
            <w:vAlign w:val="center"/>
          </w:tcPr>
          <w:p w14:paraId="58DBD9FA"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Period</w:t>
            </w:r>
          </w:p>
        </w:tc>
        <w:tc>
          <w:tcPr>
            <w:tcW w:w="2430" w:type="dxa"/>
            <w:tcBorders>
              <w:right w:val="nil"/>
            </w:tcBorders>
            <w:vAlign w:val="center"/>
          </w:tcPr>
          <w:p w14:paraId="05464129"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Action</w:t>
            </w:r>
          </w:p>
        </w:tc>
        <w:tc>
          <w:tcPr>
            <w:tcW w:w="2430" w:type="dxa"/>
            <w:tcBorders>
              <w:right w:val="nil"/>
            </w:tcBorders>
            <w:vAlign w:val="center"/>
          </w:tcPr>
          <w:p w14:paraId="733E869A"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Owner</w:t>
            </w:r>
          </w:p>
        </w:tc>
        <w:tc>
          <w:tcPr>
            <w:tcW w:w="2430" w:type="dxa"/>
            <w:vAlign w:val="center"/>
          </w:tcPr>
          <w:p w14:paraId="40BEB170"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Evidence</w:t>
            </w:r>
          </w:p>
        </w:tc>
      </w:tr>
      <w:tr w:rsidR="0002054A" w14:paraId="71761BEA" w14:textId="77777777">
        <w:trPr>
          <w:jc w:val="center"/>
        </w:trPr>
        <w:tc>
          <w:tcPr>
            <w:tcW w:w="2430" w:type="dxa"/>
            <w:tcBorders>
              <w:top w:val="nil"/>
              <w:right w:val="nil"/>
            </w:tcBorders>
            <w:vAlign w:val="center"/>
          </w:tcPr>
          <w:p w14:paraId="09F4CD1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0-30 days</w:t>
            </w:r>
          </w:p>
        </w:tc>
        <w:tc>
          <w:tcPr>
            <w:tcW w:w="2430" w:type="dxa"/>
            <w:tcBorders>
              <w:top w:val="nil"/>
              <w:right w:val="nil"/>
            </w:tcBorders>
            <w:vAlign w:val="center"/>
          </w:tcPr>
          <w:p w14:paraId="0F6CD947"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Remove dormant accounts; require MFA; verify backups; stop direct vendor routes</w:t>
            </w:r>
          </w:p>
        </w:tc>
        <w:tc>
          <w:tcPr>
            <w:tcW w:w="2430" w:type="dxa"/>
            <w:tcBorders>
              <w:top w:val="nil"/>
              <w:right w:val="nil"/>
            </w:tcBorders>
            <w:vAlign w:val="center"/>
          </w:tcPr>
          <w:p w14:paraId="5DD83E2D"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IT Security Manager</w:t>
            </w:r>
          </w:p>
        </w:tc>
        <w:tc>
          <w:tcPr>
            <w:tcW w:w="2430" w:type="dxa"/>
            <w:tcBorders>
              <w:top w:val="nil"/>
            </w:tcBorders>
            <w:vAlign w:val="center"/>
          </w:tcPr>
          <w:p w14:paraId="4BD625D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Account and route review signed off</w:t>
            </w:r>
          </w:p>
        </w:tc>
      </w:tr>
      <w:tr w:rsidR="0002054A" w14:paraId="08C3DAE5" w14:textId="77777777">
        <w:trPr>
          <w:jc w:val="center"/>
        </w:trPr>
        <w:tc>
          <w:tcPr>
            <w:tcW w:w="2430" w:type="dxa"/>
            <w:tcBorders>
              <w:top w:val="nil"/>
              <w:right w:val="nil"/>
            </w:tcBorders>
            <w:vAlign w:val="center"/>
          </w:tcPr>
          <w:p w14:paraId="5B19E16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Months 2-3</w:t>
            </w:r>
          </w:p>
        </w:tc>
        <w:tc>
          <w:tcPr>
            <w:tcW w:w="2430" w:type="dxa"/>
            <w:tcBorders>
              <w:top w:val="nil"/>
              <w:right w:val="nil"/>
            </w:tcBorders>
            <w:vAlign w:val="center"/>
          </w:tcPr>
          <w:p w14:paraId="0AE9474C"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Build IT/OT asset register, dependencies and approved data flows</w:t>
            </w:r>
          </w:p>
        </w:tc>
        <w:tc>
          <w:tcPr>
            <w:tcW w:w="2430" w:type="dxa"/>
            <w:tcBorders>
              <w:top w:val="nil"/>
              <w:right w:val="nil"/>
            </w:tcBorders>
            <w:vAlign w:val="center"/>
          </w:tcPr>
          <w:p w14:paraId="3260F36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OT Manager</w:t>
            </w:r>
          </w:p>
        </w:tc>
        <w:tc>
          <w:tcPr>
            <w:tcW w:w="2430" w:type="dxa"/>
            <w:tcBorders>
              <w:top w:val="nil"/>
            </w:tcBorders>
            <w:vAlign w:val="center"/>
          </w:tcPr>
          <w:p w14:paraId="4C6639C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Asset coverage and owner confirmation</w:t>
            </w:r>
          </w:p>
        </w:tc>
      </w:tr>
      <w:tr w:rsidR="0002054A" w14:paraId="2DCC8C73" w14:textId="77777777">
        <w:trPr>
          <w:jc w:val="center"/>
        </w:trPr>
        <w:tc>
          <w:tcPr>
            <w:tcW w:w="2430" w:type="dxa"/>
            <w:tcBorders>
              <w:top w:val="nil"/>
              <w:right w:val="nil"/>
            </w:tcBorders>
            <w:vAlign w:val="center"/>
          </w:tcPr>
          <w:p w14:paraId="5CB134DE"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Months 4-6</w:t>
            </w:r>
          </w:p>
        </w:tc>
        <w:tc>
          <w:tcPr>
            <w:tcW w:w="2430" w:type="dxa"/>
            <w:tcBorders>
              <w:top w:val="nil"/>
              <w:right w:val="nil"/>
            </w:tcBorders>
            <w:vAlign w:val="center"/>
          </w:tcPr>
          <w:p w14:paraId="154612E6"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Install gateway, jump host, network rules and central logging</w:t>
            </w:r>
          </w:p>
        </w:tc>
        <w:tc>
          <w:tcPr>
            <w:tcW w:w="2430" w:type="dxa"/>
            <w:tcBorders>
              <w:top w:val="nil"/>
              <w:right w:val="nil"/>
            </w:tcBorders>
            <w:vAlign w:val="center"/>
          </w:tcPr>
          <w:p w14:paraId="3C4FCAC3"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Network Manager</w:t>
            </w:r>
          </w:p>
        </w:tc>
        <w:tc>
          <w:tcPr>
            <w:tcW w:w="2430" w:type="dxa"/>
            <w:tcBorders>
              <w:top w:val="nil"/>
            </w:tcBorders>
            <w:vAlign w:val="center"/>
          </w:tcPr>
          <w:p w14:paraId="5C22601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Connectivity tests match policy</w:t>
            </w:r>
          </w:p>
        </w:tc>
      </w:tr>
      <w:tr w:rsidR="0002054A" w14:paraId="391962C3" w14:textId="77777777">
        <w:trPr>
          <w:jc w:val="center"/>
        </w:trPr>
        <w:tc>
          <w:tcPr>
            <w:tcW w:w="2430" w:type="dxa"/>
            <w:tcBorders>
              <w:top w:val="nil"/>
              <w:right w:val="nil"/>
            </w:tcBorders>
            <w:vAlign w:val="center"/>
          </w:tcPr>
          <w:p w14:paraId="1B34DF9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Months 7-9</w:t>
            </w:r>
          </w:p>
        </w:tc>
        <w:tc>
          <w:tcPr>
            <w:tcW w:w="2430" w:type="dxa"/>
            <w:tcBorders>
              <w:top w:val="nil"/>
              <w:right w:val="nil"/>
            </w:tcBorders>
            <w:vAlign w:val="center"/>
          </w:tcPr>
          <w:p w14:paraId="56714B3D"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Migrate suppliers; run restore and incident exercises</w:t>
            </w:r>
          </w:p>
        </w:tc>
        <w:tc>
          <w:tcPr>
            <w:tcW w:w="2430" w:type="dxa"/>
            <w:tcBorders>
              <w:top w:val="nil"/>
              <w:right w:val="nil"/>
            </w:tcBorders>
            <w:vAlign w:val="center"/>
          </w:tcPr>
          <w:p w14:paraId="53603847"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Procurement / Infrastructure</w:t>
            </w:r>
          </w:p>
        </w:tc>
        <w:tc>
          <w:tcPr>
            <w:tcW w:w="2430" w:type="dxa"/>
            <w:tcBorders>
              <w:top w:val="nil"/>
            </w:tcBorders>
            <w:vAlign w:val="center"/>
          </w:tcPr>
          <w:p w14:paraId="2D5BE2D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Supplier completion and recovery results</w:t>
            </w:r>
          </w:p>
        </w:tc>
      </w:tr>
      <w:tr w:rsidR="0002054A" w14:paraId="6ACCA03F" w14:textId="77777777">
        <w:trPr>
          <w:jc w:val="center"/>
        </w:trPr>
        <w:tc>
          <w:tcPr>
            <w:tcW w:w="2430" w:type="dxa"/>
            <w:tcBorders>
              <w:top w:val="nil"/>
              <w:right w:val="nil"/>
            </w:tcBorders>
            <w:vAlign w:val="center"/>
          </w:tcPr>
          <w:p w14:paraId="1DEEAFD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Months 10-12</w:t>
            </w:r>
          </w:p>
        </w:tc>
        <w:tc>
          <w:tcPr>
            <w:tcW w:w="2430" w:type="dxa"/>
            <w:tcBorders>
              <w:top w:val="nil"/>
              <w:right w:val="nil"/>
            </w:tcBorders>
            <w:vAlign w:val="center"/>
          </w:tcPr>
          <w:p w14:paraId="68DC1B73"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Review residual risk, policy evidence and capital plan</w:t>
            </w:r>
          </w:p>
        </w:tc>
        <w:tc>
          <w:tcPr>
            <w:tcW w:w="2430" w:type="dxa"/>
            <w:tcBorders>
              <w:top w:val="nil"/>
              <w:right w:val="nil"/>
            </w:tcBorders>
            <w:vAlign w:val="center"/>
          </w:tcPr>
          <w:p w14:paraId="5F15F6E6"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Board Risk Committee</w:t>
            </w:r>
          </w:p>
        </w:tc>
        <w:tc>
          <w:tcPr>
            <w:tcW w:w="2430" w:type="dxa"/>
            <w:tcBorders>
              <w:top w:val="nil"/>
            </w:tcBorders>
            <w:vAlign w:val="center"/>
          </w:tcPr>
          <w:p w14:paraId="68ADB383"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Approved treatment plan and budget</w:t>
            </w:r>
          </w:p>
        </w:tc>
      </w:tr>
    </w:tbl>
    <w:p w14:paraId="472C9429" w14:textId="77777777" w:rsidR="0002054A" w:rsidRDefault="0002054A">
      <w:pPr>
        <w:spacing w:after="40" w:line="360" w:lineRule="auto"/>
        <w:rPr>
          <w:rFonts w:ascii="Times New Roman" w:hAnsi="Times New Roman"/>
          <w:sz w:val="24"/>
          <w:szCs w:val="24"/>
        </w:rPr>
      </w:pPr>
    </w:p>
    <w:p w14:paraId="143CCBBA" w14:textId="77777777" w:rsidR="0002054A" w:rsidRDefault="00000000">
      <w:pPr>
        <w:spacing w:after="120" w:line="360" w:lineRule="auto"/>
        <w:jc w:val="center"/>
        <w:rPr>
          <w:rFonts w:ascii="Times New Roman" w:hAnsi="Times New Roman"/>
          <w:sz w:val="24"/>
          <w:szCs w:val="24"/>
        </w:rPr>
      </w:pPr>
      <w:r>
        <w:rPr>
          <w:rFonts w:ascii="Times New Roman" w:hAnsi="Times New Roman"/>
          <w:i/>
          <w:color w:val="000000"/>
          <w:sz w:val="24"/>
          <w:szCs w:val="24"/>
        </w:rPr>
        <w:t xml:space="preserve">Source: </w:t>
      </w:r>
      <w:proofErr w:type="spellStart"/>
      <w:r>
        <w:rPr>
          <w:rFonts w:ascii="Times New Roman" w:hAnsi="Times New Roman"/>
          <w:i/>
          <w:color w:val="000000"/>
          <w:sz w:val="24"/>
          <w:szCs w:val="24"/>
        </w:rPr>
        <w:t>SteelForm</w:t>
      </w:r>
      <w:proofErr w:type="spellEnd"/>
      <w:r>
        <w:rPr>
          <w:rFonts w:ascii="Times New Roman" w:hAnsi="Times New Roman"/>
          <w:i/>
          <w:color w:val="000000"/>
          <w:sz w:val="24"/>
          <w:szCs w:val="24"/>
        </w:rPr>
        <w:t xml:space="preserve"> implementation sequence derived from the proposed control dependencies.</w:t>
      </w:r>
    </w:p>
    <w:p w14:paraId="7B606872" w14:textId="77777777" w:rsidR="0002054A" w:rsidRDefault="00000000">
      <w:pPr>
        <w:pStyle w:val="Heading1"/>
        <w:spacing w:line="360" w:lineRule="auto"/>
        <w:rPr>
          <w:rFonts w:ascii="Times New Roman" w:hAnsi="Times New Roman"/>
          <w:sz w:val="24"/>
          <w:szCs w:val="24"/>
        </w:rPr>
      </w:pPr>
      <w:bookmarkStart w:id="21" w:name="__RefHeading___Toc1297_2320685612"/>
      <w:bookmarkEnd w:id="21"/>
      <w:r>
        <w:rPr>
          <w:rFonts w:ascii="Times New Roman" w:hAnsi="Times New Roman"/>
          <w:sz w:val="24"/>
          <w:szCs w:val="24"/>
        </w:rPr>
        <w:t>6. Monitoring, incident response and recovery</w:t>
      </w:r>
    </w:p>
    <w:p w14:paraId="3C93E15D" w14:textId="77777777" w:rsidR="0002054A" w:rsidRDefault="00000000">
      <w:pPr>
        <w:pStyle w:val="Heading2"/>
        <w:spacing w:line="360" w:lineRule="auto"/>
        <w:rPr>
          <w:rFonts w:ascii="Times New Roman" w:hAnsi="Times New Roman"/>
          <w:szCs w:val="24"/>
        </w:rPr>
      </w:pPr>
      <w:bookmarkStart w:id="22" w:name="__RefHeading___Toc1299_2320685612"/>
      <w:bookmarkEnd w:id="22"/>
      <w:r>
        <w:rPr>
          <w:rFonts w:ascii="Times New Roman" w:hAnsi="Times New Roman"/>
          <w:szCs w:val="24"/>
        </w:rPr>
        <w:t>6.1 Monitoring model</w:t>
      </w:r>
    </w:p>
    <w:p w14:paraId="103981AF" w14:textId="77777777" w:rsidR="0002054A" w:rsidRDefault="00000000">
      <w:pPr>
        <w:spacing w:line="360" w:lineRule="auto"/>
        <w:rPr>
          <w:rFonts w:ascii="Times New Roman" w:hAnsi="Times New Roman"/>
          <w:sz w:val="24"/>
          <w:szCs w:val="24"/>
        </w:rPr>
      </w:pPr>
      <w:proofErr w:type="spellStart"/>
      <w:r>
        <w:rPr>
          <w:rFonts w:ascii="Times New Roman" w:hAnsi="Times New Roman"/>
          <w:sz w:val="24"/>
          <w:szCs w:val="24"/>
        </w:rPr>
        <w:t>SteelForm</w:t>
      </w:r>
      <w:proofErr w:type="spellEnd"/>
      <w:r>
        <w:rPr>
          <w:rFonts w:ascii="Times New Roman" w:hAnsi="Times New Roman"/>
          <w:sz w:val="24"/>
          <w:szCs w:val="24"/>
        </w:rPr>
        <w:t xml:space="preserve"> should collect events from identity, email, the vendor gateway, jump hosts, firewalls, endpoints, cloud systems, backups, physical access and passive OT sensors. Rules should flag supplier access outside windows, new devices, failed MFA, direct OT attempts, unexpected routes, machine-parameter changes and rapid encryption. Security analysts should confirm evidence with OT engineers before isolating plant equipment. Nelson et al. [16] place incident response inside risk management, and NCSC [12] links monitoring to OT connectivity. Figure 3 shows the decision path.</w:t>
      </w:r>
    </w:p>
    <w:p w14:paraId="0930C256" w14:textId="77777777" w:rsidR="0002054A" w:rsidRDefault="00000000">
      <w:pPr>
        <w:spacing w:line="360" w:lineRule="auto"/>
        <w:rPr>
          <w:rFonts w:ascii="Times New Roman" w:hAnsi="Times New Roman"/>
          <w:sz w:val="24"/>
          <w:szCs w:val="24"/>
        </w:rPr>
      </w:pPr>
      <w:r>
        <w:rPr>
          <w:rFonts w:ascii="Times New Roman" w:hAnsi="Times New Roman"/>
          <w:noProof/>
          <w:sz w:val="24"/>
          <w:szCs w:val="24"/>
        </w:rPr>
        <w:lastRenderedPageBreak/>
        <w:drawing>
          <wp:anchor distT="0" distB="0" distL="0" distR="0" simplePos="0" relativeHeight="12" behindDoc="0" locked="0" layoutInCell="0" allowOverlap="1" wp14:anchorId="04304887" wp14:editId="4B5B22E2">
            <wp:simplePos x="0" y="0"/>
            <wp:positionH relativeFrom="column">
              <wp:align>center</wp:align>
            </wp:positionH>
            <wp:positionV relativeFrom="paragraph">
              <wp:posOffset>635</wp:posOffset>
            </wp:positionV>
            <wp:extent cx="6170930" cy="3026410"/>
            <wp:effectExtent l="0" t="0" r="0" b="0"/>
            <wp:wrapSquare wrapText="largest"/>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noChangeArrowheads="1"/>
                    </pic:cNvPicPr>
                  </pic:nvPicPr>
                  <pic:blipFill>
                    <a:blip r:embed="rId10"/>
                    <a:stretch>
                      <a:fillRect/>
                    </a:stretch>
                  </pic:blipFill>
                  <pic:spPr bwMode="auto">
                    <a:xfrm>
                      <a:off x="0" y="0"/>
                      <a:ext cx="6170930" cy="3026410"/>
                    </a:xfrm>
                    <a:prstGeom prst="rect">
                      <a:avLst/>
                    </a:prstGeom>
                    <a:noFill/>
                  </pic:spPr>
                </pic:pic>
              </a:graphicData>
            </a:graphic>
          </wp:anchor>
        </w:drawing>
      </w:r>
    </w:p>
    <w:p w14:paraId="2E9C13B7" w14:textId="77777777" w:rsidR="0002054A" w:rsidRDefault="00000000">
      <w:pPr>
        <w:pStyle w:val="Caption"/>
        <w:spacing w:line="360" w:lineRule="auto"/>
        <w:jc w:val="center"/>
        <w:rPr>
          <w:rFonts w:ascii="Times New Roman" w:hAnsi="Times New Roman"/>
          <w:sz w:val="24"/>
          <w:szCs w:val="24"/>
        </w:rPr>
      </w:pPr>
      <w:r>
        <w:rPr>
          <w:rFonts w:ascii="Times New Roman" w:hAnsi="Times New Roman"/>
          <w:sz w:val="24"/>
          <w:szCs w:val="24"/>
        </w:rPr>
        <w:t>Figure 3. Monitoring and incident response with operational safety decisions</w:t>
      </w:r>
    </w:p>
    <w:p w14:paraId="34AD2F58" w14:textId="77777777" w:rsidR="0002054A" w:rsidRDefault="00000000">
      <w:pPr>
        <w:spacing w:after="120" w:line="360" w:lineRule="auto"/>
        <w:jc w:val="center"/>
        <w:rPr>
          <w:rFonts w:ascii="Times New Roman" w:hAnsi="Times New Roman"/>
          <w:sz w:val="24"/>
          <w:szCs w:val="24"/>
        </w:rPr>
      </w:pPr>
      <w:r>
        <w:rPr>
          <w:rFonts w:ascii="Times New Roman" w:hAnsi="Times New Roman"/>
          <w:sz w:val="24"/>
          <w:szCs w:val="24"/>
        </w:rPr>
        <w:t xml:space="preserve">Source: </w:t>
      </w:r>
      <w:proofErr w:type="spellStart"/>
      <w:r>
        <w:rPr>
          <w:rFonts w:ascii="Times New Roman" w:hAnsi="Times New Roman"/>
          <w:sz w:val="24"/>
          <w:szCs w:val="24"/>
        </w:rPr>
        <w:t>Synthesised</w:t>
      </w:r>
      <w:proofErr w:type="spellEnd"/>
      <w:r>
        <w:rPr>
          <w:rFonts w:ascii="Times New Roman" w:hAnsi="Times New Roman"/>
          <w:sz w:val="24"/>
          <w:szCs w:val="24"/>
        </w:rPr>
        <w:t xml:space="preserve"> from [16], [12] and [7].</w:t>
      </w:r>
    </w:p>
    <w:p w14:paraId="72FE10F7" w14:textId="77777777" w:rsidR="0002054A" w:rsidRDefault="00000000">
      <w:pPr>
        <w:pStyle w:val="Heading2"/>
        <w:spacing w:line="360" w:lineRule="auto"/>
        <w:rPr>
          <w:rFonts w:ascii="Times New Roman" w:hAnsi="Times New Roman"/>
          <w:szCs w:val="24"/>
        </w:rPr>
      </w:pPr>
      <w:bookmarkStart w:id="23" w:name="__RefHeading___Toc1301_2320685612"/>
      <w:bookmarkEnd w:id="23"/>
      <w:r>
        <w:rPr>
          <w:rFonts w:ascii="Times New Roman" w:hAnsi="Times New Roman"/>
          <w:szCs w:val="24"/>
        </w:rPr>
        <w:t>6.2 Incident-response process</w:t>
      </w:r>
    </w:p>
    <w:p w14:paraId="17DDD74F"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An analyst should validate the alert, classify severity and call the incident commander. OT engineering should assess safety and decide whether isolation can occur without harming people, equipment or material. Security staff should preserve logs, disable exposed identities and block the route. Legal and data-protection staff should assess reporting duties; procurement should contact the supplier; communications staff should control messages. Recovery should start only after a clean identity path, known-good configuration and backup are confirmed. Norsk Hydro and Clorox used manual work during recovery, so </w:t>
      </w:r>
      <w:proofErr w:type="spellStart"/>
      <w:r>
        <w:rPr>
          <w:rFonts w:ascii="Times New Roman" w:hAnsi="Times New Roman"/>
          <w:sz w:val="24"/>
          <w:szCs w:val="24"/>
        </w:rPr>
        <w:t>SteelForm</w:t>
      </w:r>
      <w:proofErr w:type="spellEnd"/>
      <w:r>
        <w:rPr>
          <w:rFonts w:ascii="Times New Roman" w:hAnsi="Times New Roman"/>
          <w:sz w:val="24"/>
          <w:szCs w:val="24"/>
        </w:rPr>
        <w:t xml:space="preserve"> must define fallback processes before an incident [5], [6].</w:t>
      </w:r>
    </w:p>
    <w:p w14:paraId="3499A3AD" w14:textId="77777777" w:rsidR="0002054A" w:rsidRDefault="00000000">
      <w:pPr>
        <w:pStyle w:val="Heading2"/>
        <w:spacing w:line="360" w:lineRule="auto"/>
        <w:rPr>
          <w:rFonts w:ascii="Times New Roman" w:hAnsi="Times New Roman"/>
          <w:szCs w:val="24"/>
        </w:rPr>
      </w:pPr>
      <w:bookmarkStart w:id="24" w:name="__RefHeading___Toc1303_2320685612"/>
      <w:bookmarkEnd w:id="24"/>
      <w:r>
        <w:rPr>
          <w:rFonts w:ascii="Times New Roman" w:hAnsi="Times New Roman"/>
          <w:szCs w:val="24"/>
        </w:rPr>
        <w:t>6.3 Recovery measures</w:t>
      </w:r>
    </w:p>
    <w:p w14:paraId="0529039C"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Mean Time to Detect, Mean Time to Contain and Mean Time to Recover should track speed. Recovery Time Objective and Recovery Point Objective should follow business-impact analysis. Restoration </w:t>
      </w:r>
      <w:proofErr w:type="gramStart"/>
      <w:r>
        <w:rPr>
          <w:rFonts w:ascii="Times New Roman" w:hAnsi="Times New Roman"/>
          <w:sz w:val="24"/>
          <w:szCs w:val="24"/>
        </w:rPr>
        <w:t>rate</w:t>
      </w:r>
      <w:proofErr w:type="gramEnd"/>
      <w:r>
        <w:rPr>
          <w:rFonts w:ascii="Times New Roman" w:hAnsi="Times New Roman"/>
          <w:sz w:val="24"/>
          <w:szCs w:val="24"/>
        </w:rPr>
        <w:t xml:space="preserve"> should show whether tested copies return services [16].</w:t>
      </w:r>
    </w:p>
    <w:p w14:paraId="117C3065" w14:textId="77777777" w:rsidR="0002054A" w:rsidRDefault="00000000">
      <w:pPr>
        <w:pStyle w:val="Heading1"/>
        <w:spacing w:line="360" w:lineRule="auto"/>
        <w:rPr>
          <w:rFonts w:ascii="Times New Roman" w:hAnsi="Times New Roman"/>
          <w:sz w:val="24"/>
          <w:szCs w:val="24"/>
        </w:rPr>
      </w:pPr>
      <w:bookmarkStart w:id="25" w:name="__RefHeading___Toc1305_2320685612"/>
      <w:bookmarkEnd w:id="25"/>
      <w:r>
        <w:rPr>
          <w:rFonts w:ascii="Times New Roman" w:hAnsi="Times New Roman"/>
          <w:sz w:val="24"/>
          <w:szCs w:val="24"/>
        </w:rPr>
        <w:t>7. Role-based training and security culture</w:t>
      </w:r>
    </w:p>
    <w:p w14:paraId="6459596C" w14:textId="77777777" w:rsidR="0002054A" w:rsidRDefault="00000000">
      <w:pPr>
        <w:pStyle w:val="Heading2"/>
        <w:spacing w:line="360" w:lineRule="auto"/>
        <w:rPr>
          <w:rFonts w:ascii="Times New Roman" w:hAnsi="Times New Roman"/>
          <w:szCs w:val="24"/>
        </w:rPr>
      </w:pPr>
      <w:bookmarkStart w:id="26" w:name="__RefHeading___Toc1307_2320685612"/>
      <w:bookmarkEnd w:id="26"/>
      <w:r>
        <w:rPr>
          <w:rFonts w:ascii="Times New Roman" w:hAnsi="Times New Roman"/>
          <w:szCs w:val="24"/>
        </w:rPr>
        <w:t xml:space="preserve">7.1 </w:t>
      </w:r>
      <w:proofErr w:type="spellStart"/>
      <w:r>
        <w:rPr>
          <w:rFonts w:ascii="Times New Roman" w:hAnsi="Times New Roman"/>
          <w:szCs w:val="24"/>
        </w:rPr>
        <w:t>Behavioural</w:t>
      </w:r>
      <w:proofErr w:type="spellEnd"/>
      <w:r>
        <w:rPr>
          <w:rFonts w:ascii="Times New Roman" w:hAnsi="Times New Roman"/>
          <w:szCs w:val="24"/>
        </w:rPr>
        <w:t xml:space="preserve"> foundation</w:t>
      </w:r>
    </w:p>
    <w:p w14:paraId="52C8700E"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Annual awareness alone rarely changes conduct. Alshaikh [17] treats security culture as practice shaped by management, communication and routines. Sutton and Tompson [18] connect culture to observable </w:t>
      </w:r>
      <w:proofErr w:type="spellStart"/>
      <w:r>
        <w:rPr>
          <w:rFonts w:ascii="Times New Roman" w:hAnsi="Times New Roman"/>
          <w:sz w:val="24"/>
          <w:szCs w:val="24"/>
        </w:rPr>
        <w:t>behaviour</w:t>
      </w:r>
      <w:proofErr w:type="spellEnd"/>
      <w:r>
        <w:rPr>
          <w:rFonts w:ascii="Times New Roman" w:hAnsi="Times New Roman"/>
          <w:sz w:val="24"/>
          <w:szCs w:val="24"/>
        </w:rPr>
        <w:t xml:space="preserve">, while Uchendu et al. [19] find uneven practice and measurement in </w:t>
      </w:r>
      <w:proofErr w:type="spellStart"/>
      <w:r>
        <w:rPr>
          <w:rFonts w:ascii="Times New Roman" w:hAnsi="Times New Roman"/>
          <w:sz w:val="24"/>
          <w:szCs w:val="24"/>
        </w:rPr>
        <w:t>programmes</w:t>
      </w:r>
      <w:proofErr w:type="spellEnd"/>
      <w:r>
        <w:rPr>
          <w:rFonts w:ascii="Times New Roman" w:hAnsi="Times New Roman"/>
          <w:sz w:val="24"/>
          <w:szCs w:val="24"/>
        </w:rPr>
        <w:t xml:space="preserve">. </w:t>
      </w:r>
      <w:proofErr w:type="spellStart"/>
      <w:r>
        <w:rPr>
          <w:rFonts w:ascii="Times New Roman" w:hAnsi="Times New Roman"/>
          <w:sz w:val="24"/>
          <w:szCs w:val="24"/>
        </w:rPr>
        <w:t>SteelForm</w:t>
      </w:r>
      <w:proofErr w:type="spellEnd"/>
      <w:r>
        <w:rPr>
          <w:rFonts w:ascii="Times New Roman" w:hAnsi="Times New Roman"/>
          <w:sz w:val="24"/>
          <w:szCs w:val="24"/>
        </w:rPr>
        <w:t xml:space="preserve"> should design safer work, reward early reporting and remove incentives to </w:t>
      </w:r>
      <w:r>
        <w:rPr>
          <w:rFonts w:ascii="Times New Roman" w:hAnsi="Times New Roman"/>
          <w:sz w:val="24"/>
          <w:szCs w:val="24"/>
        </w:rPr>
        <w:lastRenderedPageBreak/>
        <w:t>share accounts or bypass approval. People make mistakes. The system should catch them before production pays the price.</w:t>
      </w:r>
    </w:p>
    <w:p w14:paraId="6E7FB189" w14:textId="77777777" w:rsidR="0002054A" w:rsidRDefault="00000000">
      <w:pPr>
        <w:pStyle w:val="Heading2"/>
        <w:spacing w:line="360" w:lineRule="auto"/>
        <w:rPr>
          <w:rFonts w:ascii="Times New Roman" w:hAnsi="Times New Roman"/>
          <w:szCs w:val="24"/>
        </w:rPr>
      </w:pPr>
      <w:bookmarkStart w:id="27" w:name="__RefHeading___Toc1309_2320685612"/>
      <w:bookmarkEnd w:id="27"/>
      <w:r>
        <w:rPr>
          <w:rFonts w:ascii="Times New Roman" w:hAnsi="Times New Roman"/>
          <w:szCs w:val="24"/>
        </w:rPr>
        <w:t xml:space="preserve">7.2 Role-specific </w:t>
      </w:r>
      <w:proofErr w:type="spellStart"/>
      <w:r>
        <w:rPr>
          <w:rFonts w:ascii="Times New Roman" w:hAnsi="Times New Roman"/>
          <w:szCs w:val="24"/>
        </w:rPr>
        <w:t>programme</w:t>
      </w:r>
      <w:proofErr w:type="spellEnd"/>
    </w:p>
    <w:p w14:paraId="33CAB68D"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All new staff should complete induction on reporting, data handling, MFA and removable media, followed by annual renewal. Procurement staff should face quarterly supplier-impersonation exercises requiring independent payment and bank-detail checks. Production operators should </w:t>
      </w:r>
      <w:proofErr w:type="spellStart"/>
      <w:r>
        <w:rPr>
          <w:rFonts w:ascii="Times New Roman" w:hAnsi="Times New Roman"/>
          <w:sz w:val="24"/>
          <w:szCs w:val="24"/>
        </w:rPr>
        <w:t>practise</w:t>
      </w:r>
      <w:proofErr w:type="spellEnd"/>
      <w:r>
        <w:rPr>
          <w:rFonts w:ascii="Times New Roman" w:hAnsi="Times New Roman"/>
          <w:sz w:val="24"/>
          <w:szCs w:val="24"/>
        </w:rPr>
        <w:t xml:space="preserve"> reporting Human-Machine Interface messages and isolating removable media without stopping equipment unsafely. Administrators should rehearse privileged-access review, log preservation and restoration. Senior managers should join an annual ransomware exercise that forces decisions on shutdown, customer notice and recovery priority. Contractors should complete an access briefing before projects and acknowledge monitoring. Merritt et al. [20] recommend learning </w:t>
      </w:r>
      <w:proofErr w:type="spellStart"/>
      <w:r>
        <w:rPr>
          <w:rFonts w:ascii="Times New Roman" w:hAnsi="Times New Roman"/>
          <w:sz w:val="24"/>
          <w:szCs w:val="24"/>
        </w:rPr>
        <w:t>programmes</w:t>
      </w:r>
      <w:proofErr w:type="spellEnd"/>
      <w:r>
        <w:rPr>
          <w:rFonts w:ascii="Times New Roman" w:hAnsi="Times New Roman"/>
          <w:sz w:val="24"/>
          <w:szCs w:val="24"/>
        </w:rPr>
        <w:t xml:space="preserve"> tied to roles and outcomes. Table 4 converts that principle into a schedule.</w:t>
      </w:r>
    </w:p>
    <w:p w14:paraId="02CA1AB7" w14:textId="77777777" w:rsidR="0002054A" w:rsidRDefault="00000000">
      <w:pPr>
        <w:spacing w:line="360" w:lineRule="auto"/>
        <w:rPr>
          <w:rFonts w:ascii="Times New Roman" w:hAnsi="Times New Roman"/>
          <w:sz w:val="24"/>
          <w:szCs w:val="24"/>
        </w:rPr>
      </w:pPr>
      <w:r>
        <w:br w:type="page"/>
      </w:r>
    </w:p>
    <w:p w14:paraId="1E6F89A4" w14:textId="77777777" w:rsidR="0002054A" w:rsidRDefault="00000000">
      <w:pPr>
        <w:pStyle w:val="Caption"/>
        <w:keepNext/>
        <w:spacing w:line="360" w:lineRule="auto"/>
        <w:jc w:val="center"/>
        <w:rPr>
          <w:rFonts w:ascii="Times New Roman" w:hAnsi="Times New Roman"/>
          <w:sz w:val="24"/>
          <w:szCs w:val="24"/>
        </w:rPr>
      </w:pPr>
      <w:r>
        <w:rPr>
          <w:rFonts w:ascii="Times New Roman" w:hAnsi="Times New Roman"/>
          <w:sz w:val="24"/>
          <w:szCs w:val="24"/>
        </w:rPr>
        <w:lastRenderedPageBreak/>
        <w:t>Table 4. Role-based training and assurance scorecard</w:t>
      </w:r>
    </w:p>
    <w:tbl>
      <w:tblPr>
        <w:tblStyle w:val="TableGrid"/>
        <w:tblW w:w="9720" w:type="dxa"/>
        <w:jc w:val="center"/>
        <w:tblLayout w:type="fixed"/>
        <w:tblCellMar>
          <w:top w:w="55" w:type="dxa"/>
          <w:left w:w="55" w:type="dxa"/>
          <w:bottom w:w="55" w:type="dxa"/>
          <w:right w:w="55" w:type="dxa"/>
        </w:tblCellMar>
        <w:tblLook w:val="04A0" w:firstRow="1" w:lastRow="0" w:firstColumn="1" w:lastColumn="0" w:noHBand="0" w:noVBand="1"/>
      </w:tblPr>
      <w:tblGrid>
        <w:gridCol w:w="2430"/>
        <w:gridCol w:w="2430"/>
        <w:gridCol w:w="2430"/>
        <w:gridCol w:w="2430"/>
      </w:tblGrid>
      <w:tr w:rsidR="0002054A" w14:paraId="73892C87" w14:textId="77777777">
        <w:trPr>
          <w:jc w:val="center"/>
        </w:trPr>
        <w:tc>
          <w:tcPr>
            <w:tcW w:w="2430" w:type="dxa"/>
            <w:tcBorders>
              <w:right w:val="nil"/>
            </w:tcBorders>
            <w:vAlign w:val="center"/>
          </w:tcPr>
          <w:p w14:paraId="38002409"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Audience</w:t>
            </w:r>
          </w:p>
        </w:tc>
        <w:tc>
          <w:tcPr>
            <w:tcW w:w="2430" w:type="dxa"/>
            <w:tcBorders>
              <w:right w:val="nil"/>
            </w:tcBorders>
            <w:vAlign w:val="center"/>
          </w:tcPr>
          <w:p w14:paraId="78733460"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Objective</w:t>
            </w:r>
          </w:p>
        </w:tc>
        <w:tc>
          <w:tcPr>
            <w:tcW w:w="2430" w:type="dxa"/>
            <w:tcBorders>
              <w:right w:val="nil"/>
            </w:tcBorders>
            <w:vAlign w:val="center"/>
          </w:tcPr>
          <w:p w14:paraId="76AD2F2C"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Frequency</w:t>
            </w:r>
          </w:p>
        </w:tc>
        <w:tc>
          <w:tcPr>
            <w:tcW w:w="2430" w:type="dxa"/>
            <w:vAlign w:val="center"/>
          </w:tcPr>
          <w:p w14:paraId="6CF7A531" w14:textId="77777777" w:rsidR="0002054A" w:rsidRDefault="00000000">
            <w:pPr>
              <w:spacing w:line="360" w:lineRule="auto"/>
              <w:jc w:val="left"/>
              <w:rPr>
                <w:rFonts w:ascii="Liberation Serif" w:hAnsi="Liberation Serif"/>
                <w:sz w:val="24"/>
                <w:szCs w:val="24"/>
              </w:rPr>
            </w:pPr>
            <w:r>
              <w:rPr>
                <w:rFonts w:ascii="Liberation Serif" w:hAnsi="Liberation Serif"/>
                <w:b/>
                <w:color w:val="000000"/>
                <w:sz w:val="24"/>
                <w:szCs w:val="24"/>
              </w:rPr>
              <w:t>Measure</w:t>
            </w:r>
          </w:p>
        </w:tc>
      </w:tr>
      <w:tr w:rsidR="0002054A" w14:paraId="052787F3" w14:textId="77777777">
        <w:trPr>
          <w:jc w:val="center"/>
        </w:trPr>
        <w:tc>
          <w:tcPr>
            <w:tcW w:w="2430" w:type="dxa"/>
            <w:tcBorders>
              <w:top w:val="nil"/>
              <w:right w:val="nil"/>
            </w:tcBorders>
            <w:vAlign w:val="center"/>
          </w:tcPr>
          <w:p w14:paraId="707E2E4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All staff</w:t>
            </w:r>
          </w:p>
        </w:tc>
        <w:tc>
          <w:tcPr>
            <w:tcW w:w="2430" w:type="dxa"/>
            <w:tcBorders>
              <w:top w:val="nil"/>
              <w:right w:val="nil"/>
            </w:tcBorders>
            <w:vAlign w:val="center"/>
          </w:tcPr>
          <w:p w14:paraId="33C14D27"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Report suspicious activity and handle data safely</w:t>
            </w:r>
          </w:p>
        </w:tc>
        <w:tc>
          <w:tcPr>
            <w:tcW w:w="2430" w:type="dxa"/>
            <w:tcBorders>
              <w:top w:val="nil"/>
              <w:right w:val="nil"/>
            </w:tcBorders>
            <w:vAlign w:val="center"/>
          </w:tcPr>
          <w:p w14:paraId="19B9AD6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Induction plus annual renewal</w:t>
            </w:r>
          </w:p>
        </w:tc>
        <w:tc>
          <w:tcPr>
            <w:tcW w:w="2430" w:type="dxa"/>
            <w:tcBorders>
              <w:top w:val="nil"/>
            </w:tcBorders>
            <w:vAlign w:val="center"/>
          </w:tcPr>
          <w:p w14:paraId="033E394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Completion, test score, reporting speed</w:t>
            </w:r>
          </w:p>
        </w:tc>
      </w:tr>
      <w:tr w:rsidR="0002054A" w14:paraId="71A6AC9F" w14:textId="77777777">
        <w:trPr>
          <w:jc w:val="center"/>
        </w:trPr>
        <w:tc>
          <w:tcPr>
            <w:tcW w:w="2430" w:type="dxa"/>
            <w:tcBorders>
              <w:top w:val="nil"/>
              <w:right w:val="nil"/>
            </w:tcBorders>
            <w:vAlign w:val="center"/>
          </w:tcPr>
          <w:p w14:paraId="58972921"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Procurement</w:t>
            </w:r>
          </w:p>
        </w:tc>
        <w:tc>
          <w:tcPr>
            <w:tcW w:w="2430" w:type="dxa"/>
            <w:tcBorders>
              <w:top w:val="nil"/>
              <w:right w:val="nil"/>
            </w:tcBorders>
            <w:vAlign w:val="center"/>
          </w:tcPr>
          <w:p w14:paraId="3A11BC2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Detect supplier impersonation and payment fraud</w:t>
            </w:r>
          </w:p>
        </w:tc>
        <w:tc>
          <w:tcPr>
            <w:tcW w:w="2430" w:type="dxa"/>
            <w:tcBorders>
              <w:top w:val="nil"/>
              <w:right w:val="nil"/>
            </w:tcBorders>
            <w:vAlign w:val="center"/>
          </w:tcPr>
          <w:p w14:paraId="556B372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Quarterly scenario exercise</w:t>
            </w:r>
          </w:p>
        </w:tc>
        <w:tc>
          <w:tcPr>
            <w:tcW w:w="2430" w:type="dxa"/>
            <w:tcBorders>
              <w:top w:val="nil"/>
            </w:tcBorders>
            <w:vAlign w:val="center"/>
          </w:tcPr>
          <w:p w14:paraId="0D2F7BA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Reporting rate; verification accuracy</w:t>
            </w:r>
          </w:p>
        </w:tc>
      </w:tr>
      <w:tr w:rsidR="0002054A" w14:paraId="5C44880F" w14:textId="77777777">
        <w:trPr>
          <w:jc w:val="center"/>
        </w:trPr>
        <w:tc>
          <w:tcPr>
            <w:tcW w:w="2430" w:type="dxa"/>
            <w:tcBorders>
              <w:top w:val="nil"/>
              <w:right w:val="nil"/>
            </w:tcBorders>
            <w:vAlign w:val="center"/>
          </w:tcPr>
          <w:p w14:paraId="22394780"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Production operators</w:t>
            </w:r>
          </w:p>
        </w:tc>
        <w:tc>
          <w:tcPr>
            <w:tcW w:w="2430" w:type="dxa"/>
            <w:tcBorders>
              <w:top w:val="nil"/>
              <w:right w:val="nil"/>
            </w:tcBorders>
            <w:vAlign w:val="center"/>
          </w:tcPr>
          <w:p w14:paraId="0A78B72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Report HMI anomalies and control removable media</w:t>
            </w:r>
          </w:p>
        </w:tc>
        <w:tc>
          <w:tcPr>
            <w:tcW w:w="2430" w:type="dxa"/>
            <w:tcBorders>
              <w:top w:val="nil"/>
              <w:right w:val="nil"/>
            </w:tcBorders>
            <w:vAlign w:val="center"/>
          </w:tcPr>
          <w:p w14:paraId="5417B2E7"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Six-month practical drill</w:t>
            </w:r>
          </w:p>
        </w:tc>
        <w:tc>
          <w:tcPr>
            <w:tcW w:w="2430" w:type="dxa"/>
            <w:tcBorders>
              <w:top w:val="nil"/>
            </w:tcBorders>
            <w:vAlign w:val="center"/>
          </w:tcPr>
          <w:p w14:paraId="2C37304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Correct response; safe escalation time</w:t>
            </w:r>
          </w:p>
        </w:tc>
      </w:tr>
      <w:tr w:rsidR="0002054A" w14:paraId="30269228" w14:textId="77777777">
        <w:trPr>
          <w:jc w:val="center"/>
        </w:trPr>
        <w:tc>
          <w:tcPr>
            <w:tcW w:w="2430" w:type="dxa"/>
            <w:tcBorders>
              <w:top w:val="nil"/>
              <w:right w:val="nil"/>
            </w:tcBorders>
            <w:vAlign w:val="center"/>
          </w:tcPr>
          <w:p w14:paraId="4C2486F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Administrators</w:t>
            </w:r>
          </w:p>
        </w:tc>
        <w:tc>
          <w:tcPr>
            <w:tcW w:w="2430" w:type="dxa"/>
            <w:tcBorders>
              <w:top w:val="nil"/>
              <w:right w:val="nil"/>
            </w:tcBorders>
            <w:vAlign w:val="center"/>
          </w:tcPr>
          <w:p w14:paraId="305B3BB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Use privileged access and preserve evidence</w:t>
            </w:r>
          </w:p>
        </w:tc>
        <w:tc>
          <w:tcPr>
            <w:tcW w:w="2430" w:type="dxa"/>
            <w:tcBorders>
              <w:top w:val="nil"/>
              <w:right w:val="nil"/>
            </w:tcBorders>
            <w:vAlign w:val="center"/>
          </w:tcPr>
          <w:p w14:paraId="370F21AB"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Quarterly technical exercise</w:t>
            </w:r>
          </w:p>
        </w:tc>
        <w:tc>
          <w:tcPr>
            <w:tcW w:w="2430" w:type="dxa"/>
            <w:tcBorders>
              <w:top w:val="nil"/>
            </w:tcBorders>
            <w:vAlign w:val="center"/>
          </w:tcPr>
          <w:p w14:paraId="5A8B6174"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Access-review errors; log quality</w:t>
            </w:r>
          </w:p>
        </w:tc>
      </w:tr>
      <w:tr w:rsidR="0002054A" w14:paraId="2DA419F1" w14:textId="77777777">
        <w:trPr>
          <w:jc w:val="center"/>
        </w:trPr>
        <w:tc>
          <w:tcPr>
            <w:tcW w:w="2430" w:type="dxa"/>
            <w:tcBorders>
              <w:top w:val="nil"/>
              <w:right w:val="nil"/>
            </w:tcBorders>
            <w:vAlign w:val="center"/>
          </w:tcPr>
          <w:p w14:paraId="52C1DB67"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Senior managers</w:t>
            </w:r>
          </w:p>
        </w:tc>
        <w:tc>
          <w:tcPr>
            <w:tcW w:w="2430" w:type="dxa"/>
            <w:tcBorders>
              <w:top w:val="nil"/>
              <w:right w:val="nil"/>
            </w:tcBorders>
            <w:vAlign w:val="center"/>
          </w:tcPr>
          <w:p w14:paraId="720AD435"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Decide shutdown, notice and recovery priority</w:t>
            </w:r>
          </w:p>
        </w:tc>
        <w:tc>
          <w:tcPr>
            <w:tcW w:w="2430" w:type="dxa"/>
            <w:tcBorders>
              <w:top w:val="nil"/>
              <w:right w:val="nil"/>
            </w:tcBorders>
            <w:vAlign w:val="center"/>
          </w:tcPr>
          <w:p w14:paraId="247BF4A2"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Annual ransomware tabletop</w:t>
            </w:r>
          </w:p>
        </w:tc>
        <w:tc>
          <w:tcPr>
            <w:tcW w:w="2430" w:type="dxa"/>
            <w:tcBorders>
              <w:top w:val="nil"/>
            </w:tcBorders>
            <w:vAlign w:val="center"/>
          </w:tcPr>
          <w:p w14:paraId="4264BC99"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Decision time; lesson closure</w:t>
            </w:r>
          </w:p>
        </w:tc>
      </w:tr>
      <w:tr w:rsidR="0002054A" w14:paraId="56ADFCD9" w14:textId="77777777">
        <w:trPr>
          <w:jc w:val="center"/>
        </w:trPr>
        <w:tc>
          <w:tcPr>
            <w:tcW w:w="2430" w:type="dxa"/>
            <w:tcBorders>
              <w:top w:val="nil"/>
              <w:right w:val="nil"/>
            </w:tcBorders>
            <w:vAlign w:val="center"/>
          </w:tcPr>
          <w:p w14:paraId="0B83FCA9"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Contractors</w:t>
            </w:r>
          </w:p>
        </w:tc>
        <w:tc>
          <w:tcPr>
            <w:tcW w:w="2430" w:type="dxa"/>
            <w:tcBorders>
              <w:top w:val="nil"/>
              <w:right w:val="nil"/>
            </w:tcBorders>
            <w:vAlign w:val="center"/>
          </w:tcPr>
          <w:p w14:paraId="6180852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Follow access and data-handling rules</w:t>
            </w:r>
          </w:p>
        </w:tc>
        <w:tc>
          <w:tcPr>
            <w:tcW w:w="2430" w:type="dxa"/>
            <w:tcBorders>
              <w:top w:val="nil"/>
              <w:right w:val="nil"/>
            </w:tcBorders>
            <w:vAlign w:val="center"/>
          </w:tcPr>
          <w:p w14:paraId="1A813E5A"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Before each project</w:t>
            </w:r>
          </w:p>
        </w:tc>
        <w:tc>
          <w:tcPr>
            <w:tcW w:w="2430" w:type="dxa"/>
            <w:tcBorders>
              <w:top w:val="nil"/>
            </w:tcBorders>
            <w:vAlign w:val="center"/>
          </w:tcPr>
          <w:p w14:paraId="6B41CEF8" w14:textId="77777777" w:rsidR="0002054A" w:rsidRDefault="00000000">
            <w:pPr>
              <w:spacing w:after="0" w:line="360" w:lineRule="auto"/>
              <w:jc w:val="left"/>
              <w:rPr>
                <w:rFonts w:ascii="Liberation Serif" w:hAnsi="Liberation Serif"/>
                <w:sz w:val="24"/>
                <w:szCs w:val="24"/>
              </w:rPr>
            </w:pPr>
            <w:r>
              <w:rPr>
                <w:rFonts w:ascii="Liberation Serif" w:hAnsi="Liberation Serif"/>
                <w:color w:val="000000"/>
                <w:sz w:val="24"/>
                <w:szCs w:val="24"/>
              </w:rPr>
              <w:t>Acknowledgement; access exceptions</w:t>
            </w:r>
          </w:p>
        </w:tc>
      </w:tr>
    </w:tbl>
    <w:p w14:paraId="6BC9FB4E" w14:textId="77777777" w:rsidR="0002054A" w:rsidRDefault="0002054A">
      <w:pPr>
        <w:spacing w:after="40" w:line="360" w:lineRule="auto"/>
        <w:rPr>
          <w:rFonts w:ascii="Times New Roman" w:hAnsi="Times New Roman"/>
          <w:sz w:val="24"/>
          <w:szCs w:val="24"/>
        </w:rPr>
      </w:pPr>
    </w:p>
    <w:p w14:paraId="3EBABD72" w14:textId="77777777" w:rsidR="0002054A" w:rsidRDefault="00000000">
      <w:pPr>
        <w:spacing w:after="120" w:line="360" w:lineRule="auto"/>
        <w:jc w:val="center"/>
        <w:rPr>
          <w:rFonts w:ascii="Times New Roman" w:hAnsi="Times New Roman"/>
          <w:sz w:val="24"/>
          <w:szCs w:val="24"/>
        </w:rPr>
      </w:pPr>
      <w:r>
        <w:rPr>
          <w:rFonts w:ascii="Times New Roman" w:hAnsi="Times New Roman"/>
          <w:sz w:val="24"/>
          <w:szCs w:val="24"/>
        </w:rPr>
        <w:t xml:space="preserve">Source: </w:t>
      </w:r>
      <w:proofErr w:type="spellStart"/>
      <w:r>
        <w:rPr>
          <w:rFonts w:ascii="Times New Roman" w:hAnsi="Times New Roman"/>
          <w:sz w:val="24"/>
          <w:szCs w:val="24"/>
        </w:rPr>
        <w:t>Synthesised</w:t>
      </w:r>
      <w:proofErr w:type="spellEnd"/>
      <w:r>
        <w:rPr>
          <w:rFonts w:ascii="Times New Roman" w:hAnsi="Times New Roman"/>
          <w:sz w:val="24"/>
          <w:szCs w:val="24"/>
        </w:rPr>
        <w:t xml:space="preserve"> from [17]-[20].</w:t>
      </w:r>
    </w:p>
    <w:p w14:paraId="1D029DA6" w14:textId="77777777" w:rsidR="0002054A" w:rsidRDefault="00000000">
      <w:pPr>
        <w:pStyle w:val="Heading2"/>
        <w:spacing w:line="360" w:lineRule="auto"/>
        <w:rPr>
          <w:rFonts w:ascii="Times New Roman" w:hAnsi="Times New Roman"/>
          <w:szCs w:val="24"/>
        </w:rPr>
      </w:pPr>
      <w:bookmarkStart w:id="28" w:name="__RefHeading___Toc1311_2320685612"/>
      <w:bookmarkEnd w:id="28"/>
      <w:r>
        <w:rPr>
          <w:rFonts w:ascii="Times New Roman" w:hAnsi="Times New Roman"/>
          <w:szCs w:val="24"/>
        </w:rPr>
        <w:t>7.3 Metrics and governance</w:t>
      </w:r>
    </w:p>
    <w:p w14:paraId="0866BDFA"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Completion rate measures attendance, not conduct. </w:t>
      </w:r>
      <w:proofErr w:type="spellStart"/>
      <w:r>
        <w:rPr>
          <w:rFonts w:ascii="Times New Roman" w:hAnsi="Times New Roman"/>
          <w:sz w:val="24"/>
          <w:szCs w:val="24"/>
        </w:rPr>
        <w:t>SteelForm</w:t>
      </w:r>
      <w:proofErr w:type="spellEnd"/>
      <w:r>
        <w:rPr>
          <w:rFonts w:ascii="Times New Roman" w:hAnsi="Times New Roman"/>
          <w:sz w:val="24"/>
          <w:szCs w:val="24"/>
        </w:rPr>
        <w:t xml:space="preserve"> should record reporting rate, speed, unsafe actions, supplier compliance, exercise decisions and lesson closure. Managers should compare departments because exposure differs. A falling click rate with reporting may mean silence rather than learning. The security committee should review trends and revise training when incidents expose a workflow weakness.</w:t>
      </w:r>
    </w:p>
    <w:p w14:paraId="6892DD09" w14:textId="77777777" w:rsidR="0002054A" w:rsidRDefault="00000000">
      <w:pPr>
        <w:pStyle w:val="Heading1"/>
        <w:spacing w:line="360" w:lineRule="auto"/>
        <w:rPr>
          <w:rFonts w:ascii="Times New Roman" w:hAnsi="Times New Roman"/>
          <w:sz w:val="24"/>
          <w:szCs w:val="24"/>
        </w:rPr>
      </w:pPr>
      <w:bookmarkStart w:id="29" w:name="__RefHeading___Toc1313_2320685612"/>
      <w:bookmarkEnd w:id="29"/>
      <w:r>
        <w:rPr>
          <w:rFonts w:ascii="Times New Roman" w:hAnsi="Times New Roman"/>
          <w:sz w:val="24"/>
          <w:szCs w:val="24"/>
        </w:rPr>
        <w:t>8. Strategic implications and conclusion</w:t>
      </w:r>
    </w:p>
    <w:p w14:paraId="65368B78" w14:textId="77777777" w:rsidR="0002054A" w:rsidRDefault="00000000">
      <w:pPr>
        <w:pStyle w:val="Heading2"/>
        <w:spacing w:line="360" w:lineRule="auto"/>
        <w:rPr>
          <w:rFonts w:ascii="Times New Roman" w:hAnsi="Times New Roman"/>
          <w:szCs w:val="24"/>
        </w:rPr>
      </w:pPr>
      <w:bookmarkStart w:id="30" w:name="__RefHeading___Toc1315_2320685612"/>
      <w:bookmarkEnd w:id="30"/>
      <w:r>
        <w:rPr>
          <w:rFonts w:ascii="Times New Roman" w:hAnsi="Times New Roman"/>
          <w:szCs w:val="24"/>
        </w:rPr>
        <w:t>8.1 Strategic and future implications</w:t>
      </w:r>
    </w:p>
    <w:p w14:paraId="78915554" w14:textId="77777777" w:rsidR="0002054A" w:rsidRDefault="00000000">
      <w:pPr>
        <w:spacing w:line="360" w:lineRule="auto"/>
        <w:rPr>
          <w:rFonts w:ascii="Times New Roman" w:hAnsi="Times New Roman"/>
          <w:sz w:val="24"/>
          <w:szCs w:val="24"/>
        </w:rPr>
      </w:pPr>
      <w:r>
        <w:rPr>
          <w:rFonts w:ascii="Times New Roman" w:hAnsi="Times New Roman"/>
          <w:sz w:val="24"/>
          <w:szCs w:val="24"/>
        </w:rPr>
        <w:t xml:space="preserve">Cloud-managed machinery, software-defined production and remote service contracts will deepen supplier dependence. Castillo-Villar et al. [3] place cyber resilience in manufacturing and supply-chain design, not only IT operations. </w:t>
      </w:r>
      <w:proofErr w:type="spellStart"/>
      <w:r>
        <w:rPr>
          <w:rFonts w:ascii="Times New Roman" w:hAnsi="Times New Roman"/>
          <w:sz w:val="24"/>
          <w:szCs w:val="24"/>
        </w:rPr>
        <w:t>SteelForm</w:t>
      </w:r>
      <w:proofErr w:type="spellEnd"/>
      <w:r>
        <w:rPr>
          <w:rFonts w:ascii="Times New Roman" w:hAnsi="Times New Roman"/>
          <w:sz w:val="24"/>
          <w:szCs w:val="24"/>
        </w:rPr>
        <w:t xml:space="preserve"> should make identity, network architecture and recovery evidence part of future equipment purchases. A cheaper machine may create a costly </w:t>
      </w:r>
      <w:r>
        <w:rPr>
          <w:rFonts w:ascii="Times New Roman" w:hAnsi="Times New Roman"/>
          <w:sz w:val="24"/>
          <w:szCs w:val="24"/>
        </w:rPr>
        <w:lastRenderedPageBreak/>
        <w:t>constraint when it lacks supported authentication, logging or safe restoration. Cyber risk should enter capital planning, vendor selection and production-change approval.</w:t>
      </w:r>
    </w:p>
    <w:p w14:paraId="7A837671" w14:textId="77777777" w:rsidR="0002054A" w:rsidRDefault="00000000">
      <w:pPr>
        <w:pStyle w:val="Heading2"/>
        <w:spacing w:line="360" w:lineRule="auto"/>
        <w:rPr>
          <w:rFonts w:ascii="Times New Roman" w:hAnsi="Times New Roman"/>
          <w:szCs w:val="24"/>
        </w:rPr>
      </w:pPr>
      <w:bookmarkStart w:id="31" w:name="__RefHeading___Toc1317_2320685612"/>
      <w:bookmarkEnd w:id="31"/>
      <w:r>
        <w:rPr>
          <w:rFonts w:ascii="Times New Roman" w:hAnsi="Times New Roman"/>
          <w:szCs w:val="24"/>
        </w:rPr>
        <w:t>8.2 Recommendation, limitations and conclusion</w:t>
      </w:r>
    </w:p>
    <w:p w14:paraId="2063C1DE" w14:textId="77777777" w:rsidR="0002054A" w:rsidRDefault="00000000">
      <w:pPr>
        <w:spacing w:line="360" w:lineRule="auto"/>
        <w:rPr>
          <w:rFonts w:ascii="Times New Roman" w:hAnsi="Times New Roman"/>
          <w:sz w:val="24"/>
          <w:szCs w:val="24"/>
        </w:rPr>
      </w:pPr>
      <w:proofErr w:type="spellStart"/>
      <w:r>
        <w:rPr>
          <w:rFonts w:ascii="Times New Roman" w:hAnsi="Times New Roman"/>
          <w:sz w:val="24"/>
          <w:szCs w:val="24"/>
        </w:rPr>
        <w:t>SteelForm</w:t>
      </w:r>
      <w:proofErr w:type="spellEnd"/>
      <w:r>
        <w:rPr>
          <w:rFonts w:ascii="Times New Roman" w:hAnsi="Times New Roman"/>
          <w:sz w:val="24"/>
          <w:szCs w:val="24"/>
        </w:rPr>
        <w:t xml:space="preserve"> should approve four decisions: assign joint IT and OT ownership, mandate brokered supplier access, fund network separation and independent recovery, and measure staff and supplier </w:t>
      </w:r>
      <w:proofErr w:type="spellStart"/>
      <w:r>
        <w:rPr>
          <w:rFonts w:ascii="Times New Roman" w:hAnsi="Times New Roman"/>
          <w:sz w:val="24"/>
          <w:szCs w:val="24"/>
        </w:rPr>
        <w:t>behaviour</w:t>
      </w:r>
      <w:proofErr w:type="spellEnd"/>
      <w:r>
        <w:rPr>
          <w:rFonts w:ascii="Times New Roman" w:hAnsi="Times New Roman"/>
          <w:sz w:val="24"/>
          <w:szCs w:val="24"/>
        </w:rPr>
        <w:t>. Exact loss reduction cannot be claimed because the case lacks telemetry, verified asset data and recovery times. Standing trust remains hard to defend. Time-limited identity, narrow communication paths, recorded work and proven restoration provide a proportionate route between unsafe openness and impractical isolation.</w:t>
      </w:r>
    </w:p>
    <w:p w14:paraId="2E111C05" w14:textId="77777777" w:rsidR="0002054A" w:rsidRDefault="00000000">
      <w:pPr>
        <w:spacing w:line="360" w:lineRule="auto"/>
        <w:rPr>
          <w:rFonts w:ascii="Times New Roman" w:hAnsi="Times New Roman"/>
          <w:sz w:val="24"/>
          <w:szCs w:val="24"/>
        </w:rPr>
      </w:pPr>
      <w:r>
        <w:br w:type="page"/>
      </w:r>
    </w:p>
    <w:p w14:paraId="616CB266" w14:textId="77777777" w:rsidR="0002054A" w:rsidRDefault="00000000">
      <w:pPr>
        <w:pStyle w:val="Heading1"/>
        <w:spacing w:before="0" w:line="360" w:lineRule="auto"/>
        <w:rPr>
          <w:rFonts w:ascii="Times New Roman" w:hAnsi="Times New Roman"/>
          <w:sz w:val="24"/>
          <w:szCs w:val="24"/>
        </w:rPr>
      </w:pPr>
      <w:bookmarkStart w:id="32" w:name="__RefHeading___Toc1319_2320685612"/>
      <w:bookmarkEnd w:id="32"/>
      <w:r>
        <w:rPr>
          <w:rFonts w:ascii="Times New Roman" w:hAnsi="Times New Roman"/>
          <w:sz w:val="24"/>
          <w:szCs w:val="24"/>
        </w:rPr>
        <w:lastRenderedPageBreak/>
        <w:t>References</w:t>
      </w:r>
    </w:p>
    <w:p w14:paraId="2204D0F1"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[1] C. Pascoe, S. Quinn, and K. Scarfone, The NIST Cybersecurity Framework (CSF) 2.0, NIST Cybersecurity White Paper 29. Gaithersburg, MD, USA: National Institute of Standards and Technology, 2024. </w:t>
      </w:r>
      <w:proofErr w:type="spellStart"/>
      <w:r>
        <w:rPr>
          <w:rFonts w:ascii="Times New Roman" w:hAnsi="Times New Roman"/>
          <w:sz w:val="24"/>
          <w:szCs w:val="24"/>
        </w:rPr>
        <w:t>doi</w:t>
      </w:r>
      <w:proofErr w:type="spellEnd"/>
      <w:r>
        <w:rPr>
          <w:rFonts w:ascii="Times New Roman" w:hAnsi="Times New Roman"/>
          <w:sz w:val="24"/>
          <w:szCs w:val="24"/>
        </w:rPr>
        <w:t>: 10.6028/NIST.CSWP.29.</w:t>
      </w:r>
    </w:p>
    <w:p w14:paraId="2DD077E2"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[2] International Electrotechnical Commission, IEC 62443-2-1:2024 Security for Industrial Automation and Control Systems - Part 2-1: Security Program Requirements for IACS Asset Owners, 2nd ed. Geneva, Switzerland: IEC, 2024.</w:t>
      </w:r>
    </w:p>
    <w:p w14:paraId="3193D3C6"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[3] K. K. Castillo-Villar, H. Dai, G. Martinez Medina, and H. </w:t>
      </w:r>
      <w:proofErr w:type="spellStart"/>
      <w:r>
        <w:rPr>
          <w:rFonts w:ascii="Times New Roman" w:hAnsi="Times New Roman"/>
          <w:sz w:val="24"/>
          <w:szCs w:val="24"/>
        </w:rPr>
        <w:t>Mehrzadi</w:t>
      </w:r>
      <w:proofErr w:type="spellEnd"/>
      <w:r>
        <w:rPr>
          <w:rFonts w:ascii="Times New Roman" w:hAnsi="Times New Roman"/>
          <w:sz w:val="24"/>
          <w:szCs w:val="24"/>
        </w:rPr>
        <w:t xml:space="preserve">, "Cybersecurity for smart and resilient manufacturing and supply chains: A systematic review of the evolving knowledge base," Computers &amp; Industrial Engineering, Art. 112244, 2026. </w:t>
      </w:r>
      <w:proofErr w:type="spellStart"/>
      <w:r>
        <w:rPr>
          <w:rFonts w:ascii="Times New Roman" w:hAnsi="Times New Roman"/>
          <w:sz w:val="24"/>
          <w:szCs w:val="24"/>
        </w:rPr>
        <w:t>doi</w:t>
      </w:r>
      <w:proofErr w:type="spellEnd"/>
      <w:r>
        <w:rPr>
          <w:rFonts w:ascii="Times New Roman" w:hAnsi="Times New Roman"/>
          <w:sz w:val="24"/>
          <w:szCs w:val="24"/>
        </w:rPr>
        <w:t>: 10.1016/j.cie.2026.112244.</w:t>
      </w:r>
    </w:p>
    <w:p w14:paraId="0F300F07"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[4] European Union Agency for Cybersecurity, ENISA Threat Landscape 2025, version 1.2. Heraklion, Greece: ENISA, 2025, revised Jan. 2026. [Online]. Available: https://www.enisa.europa.eu/publications/enisa-threat-landscape-2025</w:t>
      </w:r>
    </w:p>
    <w:p w14:paraId="41BD2695"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[5] Norsk Hydro ASA, "Update: Hydro subject to </w:t>
      </w:r>
      <w:proofErr w:type="spellStart"/>
      <w:r>
        <w:rPr>
          <w:rFonts w:ascii="Times New Roman" w:hAnsi="Times New Roman"/>
          <w:sz w:val="24"/>
          <w:szCs w:val="24"/>
        </w:rPr>
        <w:t>cyber attack</w:t>
      </w:r>
      <w:proofErr w:type="spellEnd"/>
      <w:r>
        <w:rPr>
          <w:rFonts w:ascii="Times New Roman" w:hAnsi="Times New Roman"/>
          <w:sz w:val="24"/>
          <w:szCs w:val="24"/>
        </w:rPr>
        <w:t>," Mar. 19, 2019. [Online]. Available: https://www.hydro.com/en/global/media/news/2019/update-hydro-subject-to-cyber-attack/</w:t>
      </w:r>
    </w:p>
    <w:p w14:paraId="107DEDF6"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[6] The Clorox Company, Form 8-K Current Report. Washington, DC, USA: U.S. Securities and Exchange Commission, filed Sep. 18, 2023. [Online]. Available: https://www.sec.gov/Archives/edgar/data/21076/000120677423001133/clx4242401-8k.htm</w:t>
      </w:r>
    </w:p>
    <w:p w14:paraId="4A1EA2F3"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[7] K. Stouffer, M. Pease, C. Tang, T. Zimmerman, V. Pillitteri, S. Lightman, A. Hahn, S. Saravia, A. </w:t>
      </w:r>
      <w:proofErr w:type="spellStart"/>
      <w:r>
        <w:rPr>
          <w:rFonts w:ascii="Times New Roman" w:hAnsi="Times New Roman"/>
          <w:sz w:val="24"/>
          <w:szCs w:val="24"/>
        </w:rPr>
        <w:t>Sherule</w:t>
      </w:r>
      <w:proofErr w:type="spellEnd"/>
      <w:r>
        <w:rPr>
          <w:rFonts w:ascii="Times New Roman" w:hAnsi="Times New Roman"/>
          <w:sz w:val="24"/>
          <w:szCs w:val="24"/>
        </w:rPr>
        <w:t xml:space="preserve">, and M. Thompson, Guide to Operational Technology (OT) Security, NIST Special Publication 800-82 Rev. 3. Gaithersburg, MD, USA: National Institute of Standards and Technology, 2023. </w:t>
      </w:r>
      <w:proofErr w:type="spellStart"/>
      <w:r>
        <w:rPr>
          <w:rFonts w:ascii="Times New Roman" w:hAnsi="Times New Roman"/>
          <w:sz w:val="24"/>
          <w:szCs w:val="24"/>
        </w:rPr>
        <w:t>doi</w:t>
      </w:r>
      <w:proofErr w:type="spellEnd"/>
      <w:r>
        <w:rPr>
          <w:rFonts w:ascii="Times New Roman" w:hAnsi="Times New Roman"/>
          <w:sz w:val="24"/>
          <w:szCs w:val="24"/>
        </w:rPr>
        <w:t>: 10.6028/NIST.SP.800-82r3.</w:t>
      </w:r>
    </w:p>
    <w:p w14:paraId="145E210B"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[8] International Organization for Standardization and International Electrotechnical Commission, ISO/IEC 27001:2022 Information Security, Cybersecurity and Privacy Protection - Information Security Management Systems - Requirements, 3rd ed. Geneva, Switzerland: ISO, 2022.</w:t>
      </w:r>
    </w:p>
    <w:p w14:paraId="7A265186"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[9] International Organization for Standardization and International Electrotechnical Commission, ISO/IEC 27002:2022 Information Security, Cybersecurity and Privacy Protection - Information Security Controls, 3rd ed. Geneva, Switzerland: ISO, 2022.</w:t>
      </w:r>
    </w:p>
    <w:p w14:paraId="2B127A2A"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[10] G. </w:t>
      </w:r>
      <w:proofErr w:type="gramStart"/>
      <w:r>
        <w:rPr>
          <w:rFonts w:ascii="Times New Roman" w:hAnsi="Times New Roman"/>
          <w:sz w:val="24"/>
          <w:szCs w:val="24"/>
        </w:rPr>
        <w:t>Martinez-Medina</w:t>
      </w:r>
      <w:proofErr w:type="gramEnd"/>
      <w:r>
        <w:rPr>
          <w:rFonts w:ascii="Times New Roman" w:hAnsi="Times New Roman"/>
          <w:sz w:val="24"/>
          <w:szCs w:val="24"/>
        </w:rPr>
        <w:t xml:space="preserve">, K. K. Castillo-Villar, and T. Hossain Bhuiyan, "Integrating IT and OT for cybersecurity: A stochastic optimization approach via attack graphs," IEEE Access, vol. 13, pp. 140578-140599, 2025. </w:t>
      </w:r>
      <w:proofErr w:type="spellStart"/>
      <w:r>
        <w:rPr>
          <w:rFonts w:ascii="Times New Roman" w:hAnsi="Times New Roman"/>
          <w:sz w:val="24"/>
          <w:szCs w:val="24"/>
        </w:rPr>
        <w:t>doi</w:t>
      </w:r>
      <w:proofErr w:type="spellEnd"/>
      <w:r>
        <w:rPr>
          <w:rFonts w:ascii="Times New Roman" w:hAnsi="Times New Roman"/>
          <w:sz w:val="24"/>
          <w:szCs w:val="24"/>
        </w:rPr>
        <w:t>: 10.1109/ACCESS.2025.3596837.</w:t>
      </w:r>
    </w:p>
    <w:p w14:paraId="7EE57A17"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[11] J. Boyens, A. Smith, N. Bartol, K. Winkler, A. Holbrook, and M. Fallon, Cybersecurity Supply Chain Risk Management Practices for Systems and Organizations, NIST Special Publication </w:t>
      </w:r>
      <w:r>
        <w:rPr>
          <w:rFonts w:ascii="Times New Roman" w:hAnsi="Times New Roman"/>
          <w:sz w:val="24"/>
          <w:szCs w:val="24"/>
        </w:rPr>
        <w:lastRenderedPageBreak/>
        <w:t xml:space="preserve">800-161 Rev. 1 Update 1. Gaithersburg, MD, USA: National Institute of Standards and Technology, 2024. </w:t>
      </w:r>
      <w:proofErr w:type="spellStart"/>
      <w:r>
        <w:rPr>
          <w:rFonts w:ascii="Times New Roman" w:hAnsi="Times New Roman"/>
          <w:sz w:val="24"/>
          <w:szCs w:val="24"/>
        </w:rPr>
        <w:t>doi</w:t>
      </w:r>
      <w:proofErr w:type="spellEnd"/>
      <w:r>
        <w:rPr>
          <w:rFonts w:ascii="Times New Roman" w:hAnsi="Times New Roman"/>
          <w:sz w:val="24"/>
          <w:szCs w:val="24"/>
        </w:rPr>
        <w:t>: 10.6028/NIST.SP.800-161r1-upd1.</w:t>
      </w:r>
    </w:p>
    <w:p w14:paraId="4489C695"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[12] National Cyber Security Centre, Secure Connectivity Principles for Operational Technology (OT), version 1.0. London, UK: NCSC, Jan. 14, 2026. [Online]. Available: https://www.ncsc.gov.uk/collection/operational-technology/secure-connectivity</w:t>
      </w:r>
    </w:p>
    <w:p w14:paraId="74941047"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[13] Information Commissioner's Office, A Guide to Data Security. Wilmslow, UK: ICO, updated May 19, 2023. [Online]. Available: https://ico.org.uk/for-organisations/uk-gdpr-guidance-and-resources/security/a-guide-to-data-security/</w:t>
      </w:r>
    </w:p>
    <w:p w14:paraId="6F415EF0"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[14] UK Parliament, Data Protection Act 2018, 2018 c. 12. [Online]. Available: https://www.legislation.gov.uk/ukpga/2018/12</w:t>
      </w:r>
    </w:p>
    <w:p w14:paraId="39E413CD"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[15] UK Parliament, Data (Use and Access) Act 2025, 2025 c. 18. [Online]. Available: https://www.legislation.gov.uk/ukpga/2025/18</w:t>
      </w:r>
    </w:p>
    <w:p w14:paraId="7DD867A0"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[16] A. Nelson, S. Rekhi, K. Scarfone, and M. </w:t>
      </w:r>
      <w:proofErr w:type="spellStart"/>
      <w:r>
        <w:rPr>
          <w:rFonts w:ascii="Times New Roman" w:hAnsi="Times New Roman"/>
          <w:sz w:val="24"/>
          <w:szCs w:val="24"/>
        </w:rPr>
        <w:t>Souppaya</w:t>
      </w:r>
      <w:proofErr w:type="spellEnd"/>
      <w:r>
        <w:rPr>
          <w:rFonts w:ascii="Times New Roman" w:hAnsi="Times New Roman"/>
          <w:sz w:val="24"/>
          <w:szCs w:val="24"/>
        </w:rPr>
        <w:t xml:space="preserve">, Incident Response Recommendations and Considerations for Cybersecurity Risk Management: A CSF 2.0 Community Profile, NIST Special Publication 800-61 Rev. 3. Gaithersburg, MD, USA: National Institute of Standards and Technology, 2025. </w:t>
      </w:r>
      <w:proofErr w:type="spellStart"/>
      <w:r>
        <w:rPr>
          <w:rFonts w:ascii="Times New Roman" w:hAnsi="Times New Roman"/>
          <w:sz w:val="24"/>
          <w:szCs w:val="24"/>
        </w:rPr>
        <w:t>doi</w:t>
      </w:r>
      <w:proofErr w:type="spellEnd"/>
      <w:r>
        <w:rPr>
          <w:rFonts w:ascii="Times New Roman" w:hAnsi="Times New Roman"/>
          <w:sz w:val="24"/>
          <w:szCs w:val="24"/>
        </w:rPr>
        <w:t>: 10.6028/NIST.SP.800-61r3.</w:t>
      </w:r>
    </w:p>
    <w:p w14:paraId="720C6241"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[17] M. Alshaikh, "Developing cybersecurity culture to influence employee behavior: A practice perspective," Computers &amp; Security, vol. 98, Art. 102003, 2020. </w:t>
      </w:r>
      <w:proofErr w:type="spellStart"/>
      <w:r>
        <w:rPr>
          <w:rFonts w:ascii="Times New Roman" w:hAnsi="Times New Roman"/>
          <w:sz w:val="24"/>
          <w:szCs w:val="24"/>
        </w:rPr>
        <w:t>doi</w:t>
      </w:r>
      <w:proofErr w:type="spellEnd"/>
      <w:r>
        <w:rPr>
          <w:rFonts w:ascii="Times New Roman" w:hAnsi="Times New Roman"/>
          <w:sz w:val="24"/>
          <w:szCs w:val="24"/>
        </w:rPr>
        <w:t>: 10.1016/j.cose.2020.102003.</w:t>
      </w:r>
    </w:p>
    <w:p w14:paraId="60223EA3"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[18] A. Sutton and L. Tompson, "Towards a cybersecurity culture-</w:t>
      </w:r>
      <w:proofErr w:type="spellStart"/>
      <w:r>
        <w:rPr>
          <w:rFonts w:ascii="Times New Roman" w:hAnsi="Times New Roman"/>
          <w:sz w:val="24"/>
          <w:szCs w:val="24"/>
        </w:rPr>
        <w:t>behaviour</w:t>
      </w:r>
      <w:proofErr w:type="spellEnd"/>
      <w:r>
        <w:rPr>
          <w:rFonts w:ascii="Times New Roman" w:hAnsi="Times New Roman"/>
          <w:sz w:val="24"/>
          <w:szCs w:val="24"/>
        </w:rPr>
        <w:t xml:space="preserve"> framework: A rapid evidence </w:t>
      </w:r>
      <w:proofErr w:type="gramStart"/>
      <w:r>
        <w:rPr>
          <w:rFonts w:ascii="Times New Roman" w:hAnsi="Times New Roman"/>
          <w:sz w:val="24"/>
          <w:szCs w:val="24"/>
        </w:rPr>
        <w:t>review</w:t>
      </w:r>
      <w:proofErr w:type="gramEnd"/>
      <w:r>
        <w:rPr>
          <w:rFonts w:ascii="Times New Roman" w:hAnsi="Times New Roman"/>
          <w:sz w:val="24"/>
          <w:szCs w:val="24"/>
        </w:rPr>
        <w:t xml:space="preserve">," Computers &amp; Security, vol. 148, Art. 104110, 2025. </w:t>
      </w:r>
      <w:proofErr w:type="spellStart"/>
      <w:r>
        <w:rPr>
          <w:rFonts w:ascii="Times New Roman" w:hAnsi="Times New Roman"/>
          <w:sz w:val="24"/>
          <w:szCs w:val="24"/>
        </w:rPr>
        <w:t>doi</w:t>
      </w:r>
      <w:proofErr w:type="spellEnd"/>
      <w:r>
        <w:rPr>
          <w:rFonts w:ascii="Times New Roman" w:hAnsi="Times New Roman"/>
          <w:sz w:val="24"/>
          <w:szCs w:val="24"/>
        </w:rPr>
        <w:t>: 10.1016/j.cose.2024.104110.</w:t>
      </w:r>
    </w:p>
    <w:p w14:paraId="1CC9EA21"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[19] B. Uchendu, J. R. C. Nurse, M. Bada, and S. Furnell, "Developing a cyber security culture: Current practices and future needs," Computers &amp; Security, vol. 109, Art. 102387, 2021. </w:t>
      </w:r>
      <w:proofErr w:type="spellStart"/>
      <w:r>
        <w:rPr>
          <w:rFonts w:ascii="Times New Roman" w:hAnsi="Times New Roman"/>
          <w:sz w:val="24"/>
          <w:szCs w:val="24"/>
        </w:rPr>
        <w:t>doi</w:t>
      </w:r>
      <w:proofErr w:type="spellEnd"/>
      <w:r>
        <w:rPr>
          <w:rFonts w:ascii="Times New Roman" w:hAnsi="Times New Roman"/>
          <w:sz w:val="24"/>
          <w:szCs w:val="24"/>
        </w:rPr>
        <w:t>: 10.1016/j.cose.2021.102387.</w:t>
      </w:r>
    </w:p>
    <w:p w14:paraId="0927B195" w14:textId="77777777" w:rsidR="0002054A" w:rsidRDefault="00000000">
      <w:pPr>
        <w:spacing w:after="60" w:line="360" w:lineRule="auto"/>
        <w:ind w:left="360" w:hanging="360"/>
        <w:jc w:val="left"/>
        <w:rPr>
          <w:rFonts w:ascii="Times New Roman" w:hAnsi="Times New Roman"/>
          <w:sz w:val="24"/>
          <w:szCs w:val="24"/>
        </w:rPr>
      </w:pPr>
      <w:r>
        <w:rPr>
          <w:rFonts w:ascii="Times New Roman" w:hAnsi="Times New Roman"/>
          <w:sz w:val="24"/>
          <w:szCs w:val="24"/>
        </w:rPr>
        <w:t xml:space="preserve">[20] M. Merritt, S. Hansche, B. Ellis, J. N. Snyder, K. Sanchez-Cherry, and D. Walden, Building a Cybersecurity and Privacy Learning Program, NIST Special Publication 800-50 Rev. 1. Gaithersburg, MD, USA: National Institute of Standards and Technology, 2024. </w:t>
      </w:r>
      <w:proofErr w:type="spellStart"/>
      <w:r>
        <w:rPr>
          <w:rFonts w:ascii="Times New Roman" w:hAnsi="Times New Roman"/>
          <w:sz w:val="24"/>
          <w:szCs w:val="24"/>
        </w:rPr>
        <w:t>doi</w:t>
      </w:r>
      <w:proofErr w:type="spellEnd"/>
      <w:r>
        <w:rPr>
          <w:rFonts w:ascii="Times New Roman" w:hAnsi="Times New Roman"/>
          <w:sz w:val="24"/>
          <w:szCs w:val="24"/>
        </w:rPr>
        <w:t>: 10.6028/NIST.SP.800-50r1.</w:t>
      </w:r>
    </w:p>
    <w:p w14:paraId="52D46071" w14:textId="77777777" w:rsidR="0002054A" w:rsidRDefault="00000000">
      <w:pPr>
        <w:pStyle w:val="Heading1"/>
        <w:spacing w:line="360" w:lineRule="auto"/>
        <w:rPr>
          <w:rFonts w:ascii="Times New Roman" w:hAnsi="Times New Roman"/>
          <w:sz w:val="24"/>
          <w:szCs w:val="24"/>
        </w:rPr>
      </w:pPr>
      <w:r>
        <w:br w:type="page"/>
      </w:r>
    </w:p>
    <w:p w14:paraId="3884BB8C" w14:textId="77777777" w:rsidR="0002054A" w:rsidRDefault="00000000">
      <w:pPr>
        <w:pStyle w:val="Heading1"/>
        <w:spacing w:before="0" w:line="360" w:lineRule="auto"/>
        <w:rPr>
          <w:rFonts w:ascii="Times New Roman" w:hAnsi="Times New Roman"/>
          <w:sz w:val="24"/>
          <w:szCs w:val="24"/>
        </w:rPr>
      </w:pPr>
      <w:bookmarkStart w:id="33" w:name="__RefHeading___Toc1321_2320685612"/>
      <w:bookmarkEnd w:id="33"/>
      <w:r>
        <w:rPr>
          <w:rFonts w:ascii="Times New Roman" w:hAnsi="Times New Roman"/>
          <w:sz w:val="24"/>
          <w:szCs w:val="24"/>
        </w:rPr>
        <w:lastRenderedPageBreak/>
        <w:t>Appendix A. Board presentation</w:t>
      </w:r>
    </w:p>
    <w:p w14:paraId="571BC44C"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1. Title slide</w:t>
      </w:r>
    </w:p>
    <w:p w14:paraId="5F467AAA" w14:textId="77777777" w:rsidR="0002054A" w:rsidRDefault="00000000">
      <w:pPr>
        <w:spacing w:line="360" w:lineRule="auto"/>
        <w:rPr>
          <w:rFonts w:ascii="Times New Roman" w:hAnsi="Times New Roman"/>
          <w:sz w:val="24"/>
          <w:szCs w:val="24"/>
        </w:rPr>
      </w:pPr>
      <w:r>
        <w:rPr>
          <w:rFonts w:ascii="Times New Roman" w:hAnsi="Times New Roman"/>
          <w:sz w:val="24"/>
          <w:szCs w:val="24"/>
        </w:rPr>
        <w:t>The title slide frames the board discussion as a decision about replacing standing supplier trust with short, approved and recorded access.</w:t>
      </w:r>
    </w:p>
    <w:p w14:paraId="2DDCAA8B" w14:textId="77777777" w:rsidR="0002054A" w:rsidRDefault="00000000">
      <w:pPr>
        <w:spacing w:line="360" w:lineRule="auto"/>
        <w:jc w:val="center"/>
        <w:rPr>
          <w:rFonts w:ascii="Times New Roman" w:hAnsi="Times New Roman"/>
          <w:sz w:val="24"/>
          <w:szCs w:val="24"/>
        </w:rPr>
      </w:pPr>
      <w:r>
        <w:rPr>
          <w:rFonts w:ascii="Times New Roman" w:hAnsi="Times New Roman"/>
          <w:noProof/>
          <w:sz w:val="24"/>
          <w:szCs w:val="24"/>
        </w:rPr>
        <w:drawing>
          <wp:anchor distT="0" distB="0" distL="0" distR="0" simplePos="0" relativeHeight="14" behindDoc="0" locked="0" layoutInCell="0" allowOverlap="1" wp14:anchorId="025608A7" wp14:editId="3996AC42">
            <wp:simplePos x="0" y="0"/>
            <wp:positionH relativeFrom="column">
              <wp:align>center</wp:align>
            </wp:positionH>
            <wp:positionV relativeFrom="paragraph">
              <wp:posOffset>635</wp:posOffset>
            </wp:positionV>
            <wp:extent cx="6170930" cy="3182620"/>
            <wp:effectExtent l="0" t="0" r="0" b="0"/>
            <wp:wrapSquare wrapText="largest"/>
            <wp:docPr id="4"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pic:cNvPicPr>
                      <a:picLocks noChangeAspect="1" noChangeArrowheads="1"/>
                    </pic:cNvPicPr>
                  </pic:nvPicPr>
                  <pic:blipFill>
                    <a:blip r:embed="rId11"/>
                    <a:stretch>
                      <a:fillRect/>
                    </a:stretch>
                  </pic:blipFill>
                  <pic:spPr bwMode="auto">
                    <a:xfrm>
                      <a:off x="0" y="0"/>
                      <a:ext cx="6170930" cy="3182620"/>
                    </a:xfrm>
                    <a:prstGeom prst="rect">
                      <a:avLst/>
                    </a:prstGeom>
                    <a:noFill/>
                  </pic:spPr>
                </pic:pic>
              </a:graphicData>
            </a:graphic>
          </wp:anchor>
        </w:drawing>
      </w:r>
    </w:p>
    <w:p w14:paraId="058767B9" w14:textId="77777777" w:rsidR="0002054A" w:rsidRDefault="0002054A">
      <w:pPr>
        <w:spacing w:line="360" w:lineRule="auto"/>
        <w:rPr>
          <w:rFonts w:ascii="Times New Roman" w:hAnsi="Times New Roman"/>
          <w:sz w:val="24"/>
          <w:szCs w:val="24"/>
        </w:rPr>
      </w:pPr>
    </w:p>
    <w:p w14:paraId="36A2D3CA"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 xml:space="preserve">Slide 2. </w:t>
      </w:r>
      <w:proofErr w:type="spellStart"/>
      <w:r>
        <w:rPr>
          <w:rFonts w:ascii="Times New Roman" w:hAnsi="Times New Roman"/>
          <w:sz w:val="24"/>
          <w:szCs w:val="24"/>
        </w:rPr>
        <w:t>SteelForm</w:t>
      </w:r>
      <w:proofErr w:type="spellEnd"/>
      <w:r>
        <w:rPr>
          <w:rFonts w:ascii="Times New Roman" w:hAnsi="Times New Roman"/>
          <w:sz w:val="24"/>
          <w:szCs w:val="24"/>
        </w:rPr>
        <w:t xml:space="preserve"> scenario</w:t>
      </w:r>
    </w:p>
    <w:p w14:paraId="1FA3ACF9" w14:textId="77777777" w:rsidR="0002054A" w:rsidRDefault="00000000">
      <w:pPr>
        <w:spacing w:line="360" w:lineRule="auto"/>
        <w:rPr>
          <w:rFonts w:ascii="Times New Roman" w:hAnsi="Times New Roman"/>
          <w:sz w:val="24"/>
          <w:szCs w:val="24"/>
        </w:rPr>
      </w:pPr>
      <w:r>
        <w:rPr>
          <w:rFonts w:ascii="Times New Roman" w:hAnsi="Times New Roman"/>
          <w:sz w:val="24"/>
          <w:szCs w:val="24"/>
        </w:rPr>
        <w:t>The scenario connects production value to the trust inherited from suppliers, cloud services and shared administration.</w:t>
      </w:r>
    </w:p>
    <w:p w14:paraId="652F95F6" w14:textId="77777777" w:rsidR="0002054A" w:rsidRDefault="00000000">
      <w:pPr>
        <w:spacing w:line="360" w:lineRule="auto"/>
        <w:jc w:val="center"/>
        <w:rPr>
          <w:rFonts w:ascii="Times New Roman" w:hAnsi="Times New Roman"/>
          <w:sz w:val="24"/>
          <w:szCs w:val="24"/>
        </w:rPr>
      </w:pPr>
      <w:r>
        <w:rPr>
          <w:noProof/>
        </w:rPr>
        <w:drawing>
          <wp:inline distT="0" distB="0" distL="0" distR="0" wp14:anchorId="645B45A8" wp14:editId="1C8C1B2B">
            <wp:extent cx="6035040" cy="3394710"/>
            <wp:effectExtent l="0" t="0" r="0" b="0"/>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6"/>
                    <pic:cNvPicPr>
                      <a:picLocks noChangeAspect="1" noChangeArrowheads="1"/>
                    </pic:cNvPicPr>
                  </pic:nvPicPr>
                  <pic:blipFill>
                    <a:blip r:embed="rId12"/>
                    <a:stretch>
                      <a:fillRect/>
                    </a:stretch>
                  </pic:blipFill>
                  <pic:spPr bwMode="auto">
                    <a:xfrm>
                      <a:off x="0" y="0"/>
                      <a:ext cx="6035040" cy="3394710"/>
                    </a:xfrm>
                    <a:prstGeom prst="rect">
                      <a:avLst/>
                    </a:prstGeom>
                    <a:noFill/>
                  </pic:spPr>
                </pic:pic>
              </a:graphicData>
            </a:graphic>
          </wp:inline>
        </w:drawing>
      </w:r>
    </w:p>
    <w:p w14:paraId="6D98DF79" w14:textId="77777777" w:rsidR="0002054A" w:rsidRDefault="0002054A">
      <w:pPr>
        <w:spacing w:line="360" w:lineRule="auto"/>
        <w:rPr>
          <w:rFonts w:ascii="Times New Roman" w:hAnsi="Times New Roman"/>
          <w:sz w:val="24"/>
          <w:szCs w:val="24"/>
        </w:rPr>
      </w:pPr>
    </w:p>
    <w:p w14:paraId="1CC20E62"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3. Supplier attack path</w:t>
      </w:r>
    </w:p>
    <w:p w14:paraId="5BAE8EF4" w14:textId="77777777" w:rsidR="0002054A" w:rsidRDefault="00000000">
      <w:pPr>
        <w:spacing w:line="360" w:lineRule="auto"/>
        <w:rPr>
          <w:rFonts w:ascii="Times New Roman" w:hAnsi="Times New Roman"/>
          <w:sz w:val="24"/>
          <w:szCs w:val="24"/>
        </w:rPr>
      </w:pPr>
      <w:r>
        <w:rPr>
          <w:rFonts w:ascii="Times New Roman" w:hAnsi="Times New Roman"/>
          <w:sz w:val="24"/>
          <w:szCs w:val="24"/>
        </w:rPr>
        <w:t>The attack path shows where identity, route control and recovery evidence can stop progression before production disruption.</w:t>
      </w:r>
    </w:p>
    <w:p w14:paraId="52AF202C" w14:textId="77777777" w:rsidR="0002054A" w:rsidRDefault="00000000">
      <w:pPr>
        <w:spacing w:line="360" w:lineRule="auto"/>
        <w:jc w:val="center"/>
        <w:rPr>
          <w:rFonts w:ascii="Times New Roman" w:hAnsi="Times New Roman"/>
          <w:sz w:val="24"/>
          <w:szCs w:val="24"/>
        </w:rPr>
      </w:pPr>
      <w:r>
        <w:rPr>
          <w:noProof/>
        </w:rPr>
        <w:drawing>
          <wp:inline distT="0" distB="0" distL="0" distR="0" wp14:anchorId="45FB11FE" wp14:editId="4BEE2127">
            <wp:extent cx="6035040" cy="3394710"/>
            <wp:effectExtent l="0" t="0" r="0" b="0"/>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7"/>
                    <pic:cNvPicPr>
                      <a:picLocks noChangeAspect="1" noChangeArrowheads="1"/>
                    </pic:cNvPicPr>
                  </pic:nvPicPr>
                  <pic:blipFill>
                    <a:blip r:embed="rId13"/>
                    <a:stretch>
                      <a:fillRect/>
                    </a:stretch>
                  </pic:blipFill>
                  <pic:spPr bwMode="auto">
                    <a:xfrm>
                      <a:off x="0" y="0"/>
                      <a:ext cx="6035040" cy="3394710"/>
                    </a:xfrm>
                    <a:prstGeom prst="rect">
                      <a:avLst/>
                    </a:prstGeom>
                    <a:noFill/>
                  </pic:spPr>
                </pic:pic>
              </a:graphicData>
            </a:graphic>
          </wp:inline>
        </w:drawing>
      </w:r>
    </w:p>
    <w:p w14:paraId="237229A7" w14:textId="77777777" w:rsidR="0002054A" w:rsidRDefault="0002054A">
      <w:pPr>
        <w:spacing w:line="360" w:lineRule="auto"/>
        <w:rPr>
          <w:rFonts w:ascii="Times New Roman" w:hAnsi="Times New Roman"/>
          <w:sz w:val="24"/>
          <w:szCs w:val="24"/>
        </w:rPr>
      </w:pPr>
    </w:p>
    <w:p w14:paraId="6DB4B432"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4. Risk priority</w:t>
      </w:r>
    </w:p>
    <w:p w14:paraId="4871DBC6" w14:textId="77777777" w:rsidR="0002054A" w:rsidRDefault="00000000">
      <w:pPr>
        <w:spacing w:line="360" w:lineRule="auto"/>
        <w:rPr>
          <w:rFonts w:ascii="Times New Roman" w:hAnsi="Times New Roman"/>
          <w:sz w:val="24"/>
          <w:szCs w:val="24"/>
        </w:rPr>
      </w:pPr>
      <w:r>
        <w:rPr>
          <w:rFonts w:ascii="Times New Roman" w:hAnsi="Times New Roman"/>
          <w:sz w:val="24"/>
          <w:szCs w:val="24"/>
        </w:rPr>
        <w:t>Risk scores make assumptions open to challenge, while the case evidence shows the operational cost of isolation and manual work.</w:t>
      </w:r>
    </w:p>
    <w:p w14:paraId="53090D46" w14:textId="77777777" w:rsidR="0002054A" w:rsidRDefault="00000000">
      <w:pPr>
        <w:spacing w:line="360" w:lineRule="auto"/>
        <w:jc w:val="center"/>
        <w:rPr>
          <w:rFonts w:ascii="Times New Roman" w:hAnsi="Times New Roman"/>
          <w:sz w:val="24"/>
          <w:szCs w:val="24"/>
        </w:rPr>
      </w:pPr>
      <w:r>
        <w:rPr>
          <w:noProof/>
        </w:rPr>
        <w:drawing>
          <wp:inline distT="0" distB="0" distL="0" distR="0" wp14:anchorId="097AB3E2" wp14:editId="435388FE">
            <wp:extent cx="6035040" cy="3394710"/>
            <wp:effectExtent l="0" t="0" r="0" b="0"/>
            <wp:docPr id="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8"/>
                    <pic:cNvPicPr>
                      <a:picLocks noChangeAspect="1" noChangeArrowheads="1"/>
                    </pic:cNvPicPr>
                  </pic:nvPicPr>
                  <pic:blipFill>
                    <a:blip r:embed="rId14"/>
                    <a:stretch>
                      <a:fillRect/>
                    </a:stretch>
                  </pic:blipFill>
                  <pic:spPr bwMode="auto">
                    <a:xfrm>
                      <a:off x="0" y="0"/>
                      <a:ext cx="6035040" cy="3394710"/>
                    </a:xfrm>
                    <a:prstGeom prst="rect">
                      <a:avLst/>
                    </a:prstGeom>
                    <a:noFill/>
                  </pic:spPr>
                </pic:pic>
              </a:graphicData>
            </a:graphic>
          </wp:inline>
        </w:drawing>
      </w:r>
    </w:p>
    <w:p w14:paraId="1D4F282C" w14:textId="77777777" w:rsidR="0002054A" w:rsidRDefault="0002054A">
      <w:pPr>
        <w:spacing w:line="360" w:lineRule="auto"/>
        <w:rPr>
          <w:rFonts w:ascii="Times New Roman" w:hAnsi="Times New Roman"/>
          <w:sz w:val="24"/>
          <w:szCs w:val="24"/>
        </w:rPr>
      </w:pPr>
    </w:p>
    <w:p w14:paraId="00C4EF7D"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5. Target architecture</w:t>
      </w:r>
    </w:p>
    <w:p w14:paraId="1E24372C" w14:textId="77777777" w:rsidR="0002054A" w:rsidRDefault="00000000">
      <w:pPr>
        <w:spacing w:line="360" w:lineRule="auto"/>
        <w:rPr>
          <w:rFonts w:ascii="Times New Roman" w:hAnsi="Times New Roman"/>
          <w:sz w:val="24"/>
          <w:szCs w:val="24"/>
        </w:rPr>
      </w:pPr>
      <w:r>
        <w:rPr>
          <w:rFonts w:ascii="Times New Roman" w:hAnsi="Times New Roman"/>
          <w:sz w:val="24"/>
          <w:szCs w:val="24"/>
        </w:rPr>
        <w:t>The target architecture gives suppliers one managed route and keeps direct production access blocked.</w:t>
      </w:r>
    </w:p>
    <w:p w14:paraId="6E6565A1" w14:textId="77777777" w:rsidR="0002054A" w:rsidRDefault="00000000">
      <w:pPr>
        <w:spacing w:line="360" w:lineRule="auto"/>
        <w:jc w:val="center"/>
        <w:rPr>
          <w:rFonts w:ascii="Times New Roman" w:hAnsi="Times New Roman"/>
          <w:sz w:val="24"/>
          <w:szCs w:val="24"/>
        </w:rPr>
      </w:pPr>
      <w:r>
        <w:rPr>
          <w:noProof/>
        </w:rPr>
        <w:drawing>
          <wp:inline distT="0" distB="0" distL="0" distR="0" wp14:anchorId="76BB5256" wp14:editId="0B5293D3">
            <wp:extent cx="6035040" cy="3394710"/>
            <wp:effectExtent l="0" t="0" r="0"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9"/>
                    <pic:cNvPicPr>
                      <a:picLocks noChangeAspect="1" noChangeArrowheads="1"/>
                    </pic:cNvPicPr>
                  </pic:nvPicPr>
                  <pic:blipFill>
                    <a:blip r:embed="rId15"/>
                    <a:stretch>
                      <a:fillRect/>
                    </a:stretch>
                  </pic:blipFill>
                  <pic:spPr bwMode="auto">
                    <a:xfrm>
                      <a:off x="0" y="0"/>
                      <a:ext cx="6035040" cy="3394710"/>
                    </a:xfrm>
                    <a:prstGeom prst="rect">
                      <a:avLst/>
                    </a:prstGeom>
                    <a:noFill/>
                  </pic:spPr>
                </pic:pic>
              </a:graphicData>
            </a:graphic>
          </wp:inline>
        </w:drawing>
      </w:r>
    </w:p>
    <w:p w14:paraId="42F8C43E" w14:textId="77777777" w:rsidR="0002054A" w:rsidRDefault="0002054A">
      <w:pPr>
        <w:spacing w:line="360" w:lineRule="auto"/>
        <w:rPr>
          <w:rFonts w:ascii="Times New Roman" w:hAnsi="Times New Roman"/>
          <w:sz w:val="24"/>
          <w:szCs w:val="24"/>
        </w:rPr>
      </w:pPr>
    </w:p>
    <w:p w14:paraId="5C8D4C39"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6. Policy package</w:t>
      </w:r>
    </w:p>
    <w:p w14:paraId="33B20E69" w14:textId="77777777" w:rsidR="0002054A" w:rsidRDefault="00000000">
      <w:pPr>
        <w:spacing w:line="360" w:lineRule="auto"/>
        <w:rPr>
          <w:rFonts w:ascii="Times New Roman" w:hAnsi="Times New Roman"/>
          <w:sz w:val="24"/>
          <w:szCs w:val="24"/>
        </w:rPr>
      </w:pPr>
      <w:r>
        <w:rPr>
          <w:rFonts w:ascii="Times New Roman" w:hAnsi="Times New Roman"/>
          <w:sz w:val="24"/>
          <w:szCs w:val="24"/>
        </w:rPr>
        <w:t>Policy ownership joins information security, engineering, procurement, data ownership and infrastructure evidence.</w:t>
      </w:r>
    </w:p>
    <w:p w14:paraId="50DF949B" w14:textId="77777777" w:rsidR="0002054A" w:rsidRDefault="00000000">
      <w:pPr>
        <w:spacing w:line="360" w:lineRule="auto"/>
        <w:jc w:val="center"/>
        <w:rPr>
          <w:rFonts w:ascii="Times New Roman" w:hAnsi="Times New Roman"/>
          <w:sz w:val="24"/>
          <w:szCs w:val="24"/>
        </w:rPr>
      </w:pPr>
      <w:r>
        <w:rPr>
          <w:noProof/>
        </w:rPr>
        <w:drawing>
          <wp:inline distT="0" distB="0" distL="0" distR="0" wp14:anchorId="79FDAC63" wp14:editId="13CB4EA6">
            <wp:extent cx="6035040" cy="3394710"/>
            <wp:effectExtent l="0" t="0" r="0" b="0"/>
            <wp:docPr id="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0"/>
                    <pic:cNvPicPr>
                      <a:picLocks noChangeAspect="1" noChangeArrowheads="1"/>
                    </pic:cNvPicPr>
                  </pic:nvPicPr>
                  <pic:blipFill>
                    <a:blip r:embed="rId16"/>
                    <a:stretch>
                      <a:fillRect/>
                    </a:stretch>
                  </pic:blipFill>
                  <pic:spPr bwMode="auto">
                    <a:xfrm>
                      <a:off x="0" y="0"/>
                      <a:ext cx="6035040" cy="3394710"/>
                    </a:xfrm>
                    <a:prstGeom prst="rect">
                      <a:avLst/>
                    </a:prstGeom>
                    <a:noFill/>
                  </pic:spPr>
                </pic:pic>
              </a:graphicData>
            </a:graphic>
          </wp:inline>
        </w:drawing>
      </w:r>
    </w:p>
    <w:p w14:paraId="2C54DC92" w14:textId="77777777" w:rsidR="0002054A" w:rsidRDefault="0002054A">
      <w:pPr>
        <w:spacing w:line="360" w:lineRule="auto"/>
        <w:rPr>
          <w:rFonts w:ascii="Times New Roman" w:hAnsi="Times New Roman"/>
          <w:sz w:val="24"/>
          <w:szCs w:val="24"/>
        </w:rPr>
      </w:pPr>
    </w:p>
    <w:p w14:paraId="4E9E93D9"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7. Implementation roadmap</w:t>
      </w:r>
    </w:p>
    <w:p w14:paraId="349AB843" w14:textId="77777777" w:rsidR="0002054A" w:rsidRDefault="00000000">
      <w:pPr>
        <w:spacing w:line="360" w:lineRule="auto"/>
        <w:rPr>
          <w:rFonts w:ascii="Times New Roman" w:hAnsi="Times New Roman"/>
          <w:sz w:val="24"/>
          <w:szCs w:val="24"/>
        </w:rPr>
      </w:pPr>
      <w:r>
        <w:rPr>
          <w:rFonts w:ascii="Times New Roman" w:hAnsi="Times New Roman"/>
          <w:sz w:val="24"/>
          <w:szCs w:val="24"/>
        </w:rPr>
        <w:t>The phased plan reduces urgent exposure before larger architectural work and supplier migration.</w:t>
      </w:r>
    </w:p>
    <w:p w14:paraId="2E9BA04F" w14:textId="77777777" w:rsidR="0002054A" w:rsidRDefault="00000000">
      <w:pPr>
        <w:spacing w:line="360" w:lineRule="auto"/>
        <w:jc w:val="center"/>
        <w:rPr>
          <w:rFonts w:ascii="Times New Roman" w:hAnsi="Times New Roman"/>
          <w:sz w:val="24"/>
          <w:szCs w:val="24"/>
        </w:rPr>
      </w:pPr>
      <w:r>
        <w:rPr>
          <w:noProof/>
        </w:rPr>
        <w:drawing>
          <wp:inline distT="0" distB="0" distL="0" distR="0" wp14:anchorId="7994F35E" wp14:editId="62495EC6">
            <wp:extent cx="6035040" cy="3394710"/>
            <wp:effectExtent l="0" t="0" r="0" b="0"/>
            <wp:docPr id="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
                    <pic:cNvPicPr>
                      <a:picLocks noChangeAspect="1" noChangeArrowheads="1"/>
                    </pic:cNvPicPr>
                  </pic:nvPicPr>
                  <pic:blipFill>
                    <a:blip r:embed="rId17"/>
                    <a:stretch>
                      <a:fillRect/>
                    </a:stretch>
                  </pic:blipFill>
                  <pic:spPr bwMode="auto">
                    <a:xfrm>
                      <a:off x="0" y="0"/>
                      <a:ext cx="6035040" cy="3394710"/>
                    </a:xfrm>
                    <a:prstGeom prst="rect">
                      <a:avLst/>
                    </a:prstGeom>
                    <a:noFill/>
                  </pic:spPr>
                </pic:pic>
              </a:graphicData>
            </a:graphic>
          </wp:inline>
        </w:drawing>
      </w:r>
    </w:p>
    <w:p w14:paraId="2361B27E" w14:textId="77777777" w:rsidR="0002054A" w:rsidRDefault="0002054A">
      <w:pPr>
        <w:spacing w:line="360" w:lineRule="auto"/>
        <w:rPr>
          <w:rFonts w:ascii="Times New Roman" w:hAnsi="Times New Roman"/>
          <w:sz w:val="24"/>
          <w:szCs w:val="24"/>
        </w:rPr>
      </w:pPr>
    </w:p>
    <w:p w14:paraId="760963A9"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8. Monitoring and incident response</w:t>
      </w:r>
    </w:p>
    <w:p w14:paraId="61414D11" w14:textId="77777777" w:rsidR="0002054A" w:rsidRDefault="00000000">
      <w:pPr>
        <w:spacing w:line="360" w:lineRule="auto"/>
        <w:rPr>
          <w:rFonts w:ascii="Times New Roman" w:hAnsi="Times New Roman"/>
          <w:sz w:val="24"/>
          <w:szCs w:val="24"/>
        </w:rPr>
      </w:pPr>
      <w:r>
        <w:rPr>
          <w:rFonts w:ascii="Times New Roman" w:hAnsi="Times New Roman"/>
          <w:sz w:val="24"/>
          <w:szCs w:val="24"/>
        </w:rPr>
        <w:t>The improved response slide places detection, evidence, restart criteria and decision ownership in one readable sequence.</w:t>
      </w:r>
    </w:p>
    <w:p w14:paraId="21367CFD" w14:textId="77777777" w:rsidR="0002054A" w:rsidRDefault="0002054A">
      <w:pPr>
        <w:spacing w:line="360" w:lineRule="auto"/>
        <w:jc w:val="center"/>
        <w:rPr>
          <w:rFonts w:ascii="Times New Roman" w:hAnsi="Times New Roman"/>
          <w:sz w:val="24"/>
          <w:szCs w:val="24"/>
        </w:rPr>
      </w:pPr>
    </w:p>
    <w:p w14:paraId="4265BA65" w14:textId="77777777" w:rsidR="0002054A" w:rsidRDefault="00000000">
      <w:pPr>
        <w:spacing w:line="360" w:lineRule="auto"/>
        <w:rPr>
          <w:rFonts w:ascii="Times New Roman" w:hAnsi="Times New Roman"/>
          <w:sz w:val="24"/>
          <w:szCs w:val="24"/>
        </w:rPr>
      </w:pPr>
      <w:r>
        <w:rPr>
          <w:rFonts w:ascii="Times New Roman" w:hAnsi="Times New Roman"/>
          <w:noProof/>
          <w:sz w:val="24"/>
          <w:szCs w:val="24"/>
        </w:rPr>
        <w:drawing>
          <wp:anchor distT="0" distB="0" distL="0" distR="0" simplePos="0" relativeHeight="13" behindDoc="0" locked="0" layoutInCell="0" allowOverlap="1" wp14:anchorId="33C5B510" wp14:editId="42BFE634">
            <wp:simplePos x="0" y="0"/>
            <wp:positionH relativeFrom="column">
              <wp:align>center</wp:align>
            </wp:positionH>
            <wp:positionV relativeFrom="paragraph">
              <wp:posOffset>635</wp:posOffset>
            </wp:positionV>
            <wp:extent cx="6170930" cy="3026410"/>
            <wp:effectExtent l="0" t="0" r="0" b="0"/>
            <wp:wrapSquare wrapText="largest"/>
            <wp:docPr id="1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pic:cNvPicPr>
                      <a:picLocks noChangeAspect="1" noChangeArrowheads="1"/>
                    </pic:cNvPicPr>
                  </pic:nvPicPr>
                  <pic:blipFill>
                    <a:blip r:embed="rId10"/>
                    <a:stretch>
                      <a:fillRect/>
                    </a:stretch>
                  </pic:blipFill>
                  <pic:spPr bwMode="auto">
                    <a:xfrm>
                      <a:off x="0" y="0"/>
                      <a:ext cx="6170930" cy="3026410"/>
                    </a:xfrm>
                    <a:prstGeom prst="rect">
                      <a:avLst/>
                    </a:prstGeom>
                    <a:noFill/>
                  </pic:spPr>
                </pic:pic>
              </a:graphicData>
            </a:graphic>
          </wp:anchor>
        </w:drawing>
      </w:r>
    </w:p>
    <w:p w14:paraId="53AC8F47"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lastRenderedPageBreak/>
        <w:t xml:space="preserve">Slide 9. Training </w:t>
      </w:r>
      <w:proofErr w:type="spellStart"/>
      <w:r>
        <w:rPr>
          <w:rFonts w:ascii="Times New Roman" w:hAnsi="Times New Roman"/>
          <w:sz w:val="24"/>
          <w:szCs w:val="24"/>
        </w:rPr>
        <w:t>programme</w:t>
      </w:r>
      <w:proofErr w:type="spellEnd"/>
    </w:p>
    <w:p w14:paraId="1E0187CA" w14:textId="77777777" w:rsidR="0002054A" w:rsidRDefault="00000000">
      <w:pPr>
        <w:spacing w:line="360" w:lineRule="auto"/>
        <w:rPr>
          <w:rFonts w:ascii="Times New Roman" w:hAnsi="Times New Roman"/>
          <w:sz w:val="24"/>
          <w:szCs w:val="24"/>
        </w:rPr>
      </w:pPr>
      <w:r>
        <w:rPr>
          <w:rFonts w:ascii="Times New Roman" w:hAnsi="Times New Roman"/>
          <w:sz w:val="24"/>
          <w:szCs w:val="24"/>
        </w:rPr>
        <w:t>Training measures reporting and decisions, not only attendance.</w:t>
      </w:r>
    </w:p>
    <w:p w14:paraId="3BC30090" w14:textId="77777777" w:rsidR="0002054A" w:rsidRDefault="00000000">
      <w:pPr>
        <w:spacing w:line="360" w:lineRule="auto"/>
        <w:jc w:val="center"/>
        <w:rPr>
          <w:rFonts w:ascii="Times New Roman" w:hAnsi="Times New Roman"/>
          <w:sz w:val="24"/>
          <w:szCs w:val="24"/>
        </w:rPr>
      </w:pPr>
      <w:r>
        <w:rPr>
          <w:noProof/>
        </w:rPr>
        <w:drawing>
          <wp:inline distT="0" distB="0" distL="0" distR="0" wp14:anchorId="56EF25FE" wp14:editId="2F915798">
            <wp:extent cx="6035040" cy="3394710"/>
            <wp:effectExtent l="0" t="0" r="0" b="0"/>
            <wp:docPr id="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pic:cNvPicPr>
                      <a:picLocks noChangeAspect="1" noChangeArrowheads="1"/>
                    </pic:cNvPicPr>
                  </pic:nvPicPr>
                  <pic:blipFill>
                    <a:blip r:embed="rId18"/>
                    <a:stretch>
                      <a:fillRect/>
                    </a:stretch>
                  </pic:blipFill>
                  <pic:spPr bwMode="auto">
                    <a:xfrm>
                      <a:off x="0" y="0"/>
                      <a:ext cx="6035040" cy="3394710"/>
                    </a:xfrm>
                    <a:prstGeom prst="rect">
                      <a:avLst/>
                    </a:prstGeom>
                    <a:noFill/>
                  </pic:spPr>
                </pic:pic>
              </a:graphicData>
            </a:graphic>
          </wp:inline>
        </w:drawing>
      </w:r>
    </w:p>
    <w:p w14:paraId="42F96649" w14:textId="77777777" w:rsidR="0002054A" w:rsidRDefault="0002054A">
      <w:pPr>
        <w:spacing w:line="360" w:lineRule="auto"/>
        <w:rPr>
          <w:rFonts w:ascii="Times New Roman" w:hAnsi="Times New Roman"/>
          <w:sz w:val="24"/>
          <w:szCs w:val="24"/>
        </w:rPr>
      </w:pPr>
    </w:p>
    <w:p w14:paraId="74D5CD6B"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10. Board decisions</w:t>
      </w:r>
    </w:p>
    <w:p w14:paraId="493665FA" w14:textId="77777777" w:rsidR="0002054A" w:rsidRDefault="00000000">
      <w:pPr>
        <w:spacing w:line="360" w:lineRule="auto"/>
        <w:rPr>
          <w:rFonts w:ascii="Times New Roman" w:hAnsi="Times New Roman"/>
          <w:sz w:val="24"/>
          <w:szCs w:val="24"/>
        </w:rPr>
      </w:pPr>
      <w:r>
        <w:rPr>
          <w:rFonts w:ascii="Times New Roman" w:hAnsi="Times New Roman"/>
          <w:sz w:val="24"/>
          <w:szCs w:val="24"/>
        </w:rPr>
        <w:t>The decision slide records ownership, brokered access, funding and assurance requirements.</w:t>
      </w:r>
    </w:p>
    <w:p w14:paraId="46F2F512" w14:textId="77777777" w:rsidR="0002054A" w:rsidRDefault="00000000">
      <w:pPr>
        <w:spacing w:line="360" w:lineRule="auto"/>
        <w:jc w:val="center"/>
        <w:rPr>
          <w:rFonts w:ascii="Times New Roman" w:hAnsi="Times New Roman"/>
          <w:sz w:val="24"/>
          <w:szCs w:val="24"/>
        </w:rPr>
      </w:pPr>
      <w:r>
        <w:rPr>
          <w:noProof/>
        </w:rPr>
        <w:drawing>
          <wp:inline distT="0" distB="0" distL="0" distR="0" wp14:anchorId="75DA1F48" wp14:editId="4BEF0EC8">
            <wp:extent cx="6035040" cy="3394710"/>
            <wp:effectExtent l="0" t="0" r="0" b="0"/>
            <wp:docPr id="1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4"/>
                    <pic:cNvPicPr>
                      <a:picLocks noChangeAspect="1" noChangeArrowheads="1"/>
                    </pic:cNvPicPr>
                  </pic:nvPicPr>
                  <pic:blipFill>
                    <a:blip r:embed="rId19"/>
                    <a:stretch>
                      <a:fillRect/>
                    </a:stretch>
                  </pic:blipFill>
                  <pic:spPr bwMode="auto">
                    <a:xfrm>
                      <a:off x="0" y="0"/>
                      <a:ext cx="6035040" cy="3394710"/>
                    </a:xfrm>
                    <a:prstGeom prst="rect">
                      <a:avLst/>
                    </a:prstGeom>
                    <a:noFill/>
                  </pic:spPr>
                </pic:pic>
              </a:graphicData>
            </a:graphic>
          </wp:inline>
        </w:drawing>
      </w:r>
    </w:p>
    <w:p w14:paraId="71B097CA" w14:textId="77777777" w:rsidR="0002054A" w:rsidRDefault="0002054A">
      <w:pPr>
        <w:spacing w:line="360" w:lineRule="auto"/>
        <w:rPr>
          <w:rFonts w:ascii="Times New Roman" w:hAnsi="Times New Roman"/>
          <w:sz w:val="24"/>
          <w:szCs w:val="24"/>
        </w:rPr>
      </w:pPr>
    </w:p>
    <w:p w14:paraId="1EBC21F0" w14:textId="77777777" w:rsidR="0002054A" w:rsidRDefault="00000000">
      <w:pPr>
        <w:pStyle w:val="Caption"/>
        <w:spacing w:line="360" w:lineRule="auto"/>
        <w:rPr>
          <w:rFonts w:ascii="Times New Roman" w:hAnsi="Times New Roman"/>
          <w:sz w:val="24"/>
          <w:szCs w:val="24"/>
        </w:rPr>
      </w:pPr>
      <w:r>
        <w:rPr>
          <w:rFonts w:ascii="Times New Roman" w:hAnsi="Times New Roman"/>
          <w:sz w:val="24"/>
          <w:szCs w:val="24"/>
        </w:rPr>
        <w:t>Slide 11. References</w:t>
      </w:r>
    </w:p>
    <w:p w14:paraId="326EA9EA" w14:textId="77777777" w:rsidR="0002054A" w:rsidRDefault="00000000">
      <w:pPr>
        <w:spacing w:line="360" w:lineRule="auto"/>
        <w:rPr>
          <w:rFonts w:ascii="Times New Roman" w:hAnsi="Times New Roman"/>
          <w:sz w:val="24"/>
          <w:szCs w:val="24"/>
        </w:rPr>
      </w:pPr>
      <w:r>
        <w:rPr>
          <w:rFonts w:ascii="Times New Roman" w:hAnsi="Times New Roman"/>
          <w:sz w:val="24"/>
          <w:szCs w:val="24"/>
        </w:rPr>
        <w:lastRenderedPageBreak/>
        <w:t>The final slide lists all sources cited in the presentation in IEEE numeric style.</w:t>
      </w:r>
    </w:p>
    <w:p w14:paraId="5A79328C" w14:textId="77777777" w:rsidR="0002054A" w:rsidRDefault="00000000">
      <w:pPr>
        <w:spacing w:line="360" w:lineRule="auto"/>
        <w:rPr>
          <w:rFonts w:ascii="Times New Roman" w:hAnsi="Times New Roman"/>
          <w:sz w:val="24"/>
          <w:szCs w:val="24"/>
        </w:rPr>
      </w:pPr>
      <w:r>
        <w:rPr>
          <w:rFonts w:ascii="Times New Roman" w:hAnsi="Times New Roman"/>
          <w:noProof/>
          <w:sz w:val="24"/>
          <w:szCs w:val="24"/>
        </w:rPr>
        <w:drawing>
          <wp:anchor distT="0" distB="0" distL="0" distR="0" simplePos="0" relativeHeight="15" behindDoc="0" locked="0" layoutInCell="0" allowOverlap="1" wp14:anchorId="2D16F1CA" wp14:editId="644691C5">
            <wp:simplePos x="0" y="0"/>
            <wp:positionH relativeFrom="column">
              <wp:align>center</wp:align>
            </wp:positionH>
            <wp:positionV relativeFrom="paragraph">
              <wp:posOffset>635</wp:posOffset>
            </wp:positionV>
            <wp:extent cx="6170930" cy="3185795"/>
            <wp:effectExtent l="0" t="0" r="0" b="0"/>
            <wp:wrapSquare wrapText="largest"/>
            <wp:docPr id="1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pic:cNvPicPr>
                      <a:picLocks noChangeAspect="1" noChangeArrowheads="1"/>
                    </pic:cNvPicPr>
                  </pic:nvPicPr>
                  <pic:blipFill>
                    <a:blip r:embed="rId20"/>
                    <a:stretch>
                      <a:fillRect/>
                    </a:stretch>
                  </pic:blipFill>
                  <pic:spPr bwMode="auto">
                    <a:xfrm>
                      <a:off x="0" y="0"/>
                      <a:ext cx="6170930" cy="3185795"/>
                    </a:xfrm>
                    <a:prstGeom prst="rect">
                      <a:avLst/>
                    </a:prstGeom>
                    <a:noFill/>
                  </pic:spPr>
                </pic:pic>
              </a:graphicData>
            </a:graphic>
          </wp:anchor>
        </w:drawing>
      </w:r>
    </w:p>
    <w:p w14:paraId="76951C11" w14:textId="77777777" w:rsidR="0002054A" w:rsidRDefault="0002054A">
      <w:pPr>
        <w:spacing w:line="360" w:lineRule="auto"/>
        <w:jc w:val="center"/>
        <w:rPr>
          <w:rFonts w:ascii="Times New Roman" w:hAnsi="Times New Roman"/>
          <w:sz w:val="24"/>
          <w:szCs w:val="24"/>
        </w:rPr>
      </w:pPr>
    </w:p>
    <w:sectPr w:rsidR="0002054A">
      <w:headerReference w:type="default" r:id="rId21"/>
      <w:footerReference w:type="default" r:id="rId22"/>
      <w:headerReference w:type="first" r:id="rId23"/>
      <w:footerReference w:type="first" r:id="rId24"/>
      <w:pgSz w:w="11906" w:h="16838"/>
      <w:pgMar w:top="979" w:right="1094" w:bottom="979" w:left="1094" w:header="360" w:footer="43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9E109" w14:textId="77777777" w:rsidR="00E61281" w:rsidRDefault="00E61281">
      <w:pPr>
        <w:spacing w:after="0" w:line="240" w:lineRule="auto"/>
      </w:pPr>
      <w:r>
        <w:separator/>
      </w:r>
    </w:p>
  </w:endnote>
  <w:endnote w:type="continuationSeparator" w:id="0">
    <w:p w14:paraId="316071DD" w14:textId="77777777" w:rsidR="00E61281" w:rsidRDefault="00E61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1"/>
    <w:family w:val="roman"/>
    <w:pitch w:val="variable"/>
  </w:font>
  <w:font w:name="Liberation Sans">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FreeSans">
    <w:panose1 w:val="00000000000000000000"/>
    <w:charset w:val="00"/>
    <w:family w:val="roman"/>
    <w:notTrueType/>
    <w:pitch w:val="default"/>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2CFB0" w14:textId="77777777" w:rsidR="0002054A" w:rsidRDefault="00000000">
    <w:pPr>
      <w:pStyle w:val="Footer"/>
      <w:jc w:val="center"/>
    </w:pPr>
    <w:r>
      <w:fldChar w:fldCharType="begin"/>
    </w:r>
    <w:r>
      <w:instrText xml:space="preserve"> PAGE </w:instrText>
    </w:r>
    <w:r>
      <w:fldChar w:fldCharType="separate"/>
    </w:r>
    <w: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DA0A5" w14:textId="77777777" w:rsidR="0002054A" w:rsidRDefault="00000000">
    <w:pPr>
      <w:pStyle w:val="Footer"/>
      <w:jc w:val="center"/>
    </w:pPr>
    <w:r>
      <w:fldChar w:fldCharType="begin"/>
    </w:r>
    <w:r>
      <w:instrText xml:space="preserve"> PAGE </w:instrText>
    </w:r>
    <w:r>
      <w:fldChar w:fldCharType="separate"/>
    </w:r>
    <w: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DB584" w14:textId="77777777" w:rsidR="00E61281" w:rsidRDefault="00E61281">
      <w:pPr>
        <w:spacing w:after="0" w:line="240" w:lineRule="auto"/>
      </w:pPr>
      <w:r>
        <w:separator/>
      </w:r>
    </w:p>
  </w:footnote>
  <w:footnote w:type="continuationSeparator" w:id="0">
    <w:p w14:paraId="50647F31" w14:textId="77777777" w:rsidR="00E61281" w:rsidRDefault="00E61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88CD3" w14:textId="77777777" w:rsidR="0002054A" w:rsidRDefault="00000000">
    <w:pPr>
      <w:pStyle w:val="Header"/>
      <w:jc w:val="right"/>
    </w:pPr>
    <w:r>
      <w:rPr>
        <w:color w:val="000000"/>
        <w:sz w:val="16"/>
      </w:rPr>
      <w:t>ACCA4024 | Networks and Cyber Security Essentials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2A83" w14:textId="77777777" w:rsidR="0002054A" w:rsidRDefault="00000000">
    <w:pPr>
      <w:pStyle w:val="Header"/>
      <w:jc w:val="right"/>
    </w:pPr>
    <w:r>
      <w:rPr>
        <w:color w:val="000000"/>
        <w:sz w:val="16"/>
      </w:rPr>
      <w:t>ACCA4024 | Networks and Cyber Security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6EE9"/>
    <w:multiLevelType w:val="multilevel"/>
    <w:tmpl w:val="4238BEB0"/>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2FF54B2"/>
    <w:multiLevelType w:val="multilevel"/>
    <w:tmpl w:val="03A08E9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BB12AC1"/>
    <w:multiLevelType w:val="multilevel"/>
    <w:tmpl w:val="F3826F30"/>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43F6A0D"/>
    <w:multiLevelType w:val="multilevel"/>
    <w:tmpl w:val="60004C5E"/>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DD365A9"/>
    <w:multiLevelType w:val="multilevel"/>
    <w:tmpl w:val="8476043A"/>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6A145B5D"/>
    <w:multiLevelType w:val="multilevel"/>
    <w:tmpl w:val="82EAE236"/>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7791C6E"/>
    <w:multiLevelType w:val="multilevel"/>
    <w:tmpl w:val="C6786180"/>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55011355">
    <w:abstractNumId w:val="6"/>
  </w:num>
  <w:num w:numId="2" w16cid:durableId="1676565973">
    <w:abstractNumId w:val="2"/>
  </w:num>
  <w:num w:numId="3" w16cid:durableId="1575622918">
    <w:abstractNumId w:val="4"/>
  </w:num>
  <w:num w:numId="4" w16cid:durableId="1950120517">
    <w:abstractNumId w:val="3"/>
  </w:num>
  <w:num w:numId="5" w16cid:durableId="638078243">
    <w:abstractNumId w:val="0"/>
  </w:num>
  <w:num w:numId="6" w16cid:durableId="386535394">
    <w:abstractNumId w:val="5"/>
  </w:num>
  <w:num w:numId="7" w16cid:durableId="347565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054A"/>
    <w:rsid w:val="0002054A"/>
    <w:rsid w:val="00723B68"/>
    <w:rsid w:val="007920DE"/>
    <w:rsid w:val="00C962EB"/>
    <w:rsid w:val="00D84204"/>
    <w:rsid w:val="00E61281"/>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FF3D4"/>
  <w15:docId w15:val="{C9D56E09-5E61-4C32-B0F3-E17972B90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76" w:lineRule="auto"/>
      <w:jc w:val="both"/>
    </w:pPr>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Tahoma" w:hAnsi="Liberation Sans" w:cs="FreeSans"/>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Cs/>
      <w:color w:val="000000"/>
      <w:sz w:val="18"/>
      <w:szCs w:val="18"/>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link w:val="NoSpacingChar"/>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0000"/>
      <w:spacing w:val="5"/>
      <w:kern w:val="2"/>
      <w:sz w:val="44"/>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styleId="TOC1">
    <w:name w:val="toc 1"/>
    <w:basedOn w:val="Index"/>
    <w:pPr>
      <w:tabs>
        <w:tab w:val="right" w:leader="dot" w:pos="9718"/>
      </w:tabs>
    </w:pPr>
  </w:style>
  <w:style w:type="paragraph" w:styleId="TOC2">
    <w:name w:val="toc 2"/>
    <w:basedOn w:val="Index"/>
    <w:pPr>
      <w:tabs>
        <w:tab w:val="right" w:leader="dot" w:pos="9435"/>
      </w:tabs>
      <w:ind w:left="283"/>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792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23</Pages>
  <Words>4176</Words>
  <Characters>23805</Characters>
  <Application>Microsoft Office Word</Application>
  <DocSecurity>0</DocSecurity>
  <Lines>198</Lines>
  <Paragraphs>55</Paragraphs>
  <ScaleCrop>false</ScaleCrop>
  <Company/>
  <LinksUpToDate>false</LinksUpToDate>
  <CharactersWithSpaces>27926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Mohammad Hasan Tohin (2514325)</cp:lastModifiedBy>
  <cp:revision>6</cp:revision>
  <dcterms:created xsi:type="dcterms:W3CDTF">2026-08-12T12:57:00Z</dcterms:created>
  <dcterms:modified xsi:type="dcterms:W3CDTF">2026-08-12T13:13:00Z</dcterms:modified>
  <dc:language>en-US</dc:language>
</cp:coreProperties>
</file>