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46A5" w:rsidRPr="002246A5" w:rsidRDefault="002246A5" w:rsidP="002246A5">
      <w:pPr>
        <w:widowControl w:val="0"/>
        <w:pBdr>
          <w:top w:val="nil"/>
          <w:left w:val="nil"/>
          <w:bottom w:val="nil"/>
          <w:right w:val="nil"/>
          <w:between w:val="nil"/>
        </w:pBdr>
        <w:spacing w:after="0" w:line="276" w:lineRule="auto"/>
        <w:jc w:val="both"/>
        <w:rPr>
          <w:rFonts w:ascii="Arial" w:eastAsia="Times New Roman" w:hAnsi="Arial" w:cs="Arial"/>
          <w:sz w:val="24"/>
          <w:szCs w:val="24"/>
          <w:lang w:eastAsia="en-GB"/>
        </w:rPr>
      </w:pPr>
      <w:bookmarkStart w:id="0" w:name="_GoBack"/>
      <w:bookmarkEnd w:id="0"/>
    </w:p>
    <w:p w:rsidR="002246A5" w:rsidRPr="002246A5" w:rsidRDefault="002246A5" w:rsidP="002246A5">
      <w:pPr>
        <w:jc w:val="center"/>
        <w:rPr>
          <w:rFonts w:ascii="Arial" w:eastAsia="Times New Roman" w:hAnsi="Arial" w:cs="Arial"/>
          <w:sz w:val="24"/>
          <w:szCs w:val="24"/>
          <w:lang w:eastAsia="en-GB"/>
        </w:rPr>
      </w:pPr>
      <w:r w:rsidRPr="002246A5">
        <w:rPr>
          <w:rFonts w:ascii="Arial" w:eastAsia="Times New Roman" w:hAnsi="Arial" w:cs="Arial"/>
          <w:noProof/>
          <w:sz w:val="24"/>
          <w:szCs w:val="24"/>
          <w:lang w:val="en-US"/>
        </w:rPr>
        <w:drawing>
          <wp:inline distT="114300" distB="114300" distL="114300" distR="114300" wp14:anchorId="48306DFF" wp14:editId="04F8B4F2">
            <wp:extent cx="3308350" cy="1877060"/>
            <wp:effectExtent l="0" t="0" r="6350" b="889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308993" cy="1877425"/>
                    </a:xfrm>
                    <a:prstGeom prst="rect">
                      <a:avLst/>
                    </a:prstGeom>
                    <a:ln/>
                  </pic:spPr>
                </pic:pic>
              </a:graphicData>
            </a:graphic>
          </wp:inline>
        </w:drawing>
      </w:r>
    </w:p>
    <w:p w:rsidR="002246A5" w:rsidRPr="002246A5" w:rsidRDefault="006662CF" w:rsidP="006662CF">
      <w:pPr>
        <w:widowControl w:val="0"/>
        <w:spacing w:line="360" w:lineRule="auto"/>
        <w:jc w:val="center"/>
        <w:rPr>
          <w:rFonts w:ascii="Arial" w:eastAsia="Times New Roman" w:hAnsi="Arial" w:cs="Arial"/>
          <w:b/>
          <w:sz w:val="24"/>
          <w:szCs w:val="24"/>
          <w:lang w:eastAsia="en-GB"/>
        </w:rPr>
      </w:pPr>
      <w:r>
        <w:rPr>
          <w:rFonts w:ascii="Arial" w:eastAsia="Times New Roman" w:hAnsi="Arial" w:cs="Arial"/>
          <w:b/>
          <w:sz w:val="24"/>
          <w:szCs w:val="24"/>
          <w:lang w:eastAsia="en-GB"/>
        </w:rPr>
        <w:t>Student N</w:t>
      </w:r>
      <w:r w:rsidR="002246A5" w:rsidRPr="002246A5">
        <w:rPr>
          <w:rFonts w:ascii="Arial" w:eastAsia="Times New Roman" w:hAnsi="Arial" w:cs="Arial"/>
          <w:b/>
          <w:sz w:val="24"/>
          <w:szCs w:val="24"/>
          <w:lang w:eastAsia="en-GB"/>
        </w:rPr>
        <w:t xml:space="preserve">ame: </w:t>
      </w:r>
      <w:proofErr w:type="spellStart"/>
      <w:r w:rsidRPr="006662CF">
        <w:rPr>
          <w:rFonts w:ascii="Arial" w:eastAsia="Times New Roman" w:hAnsi="Arial" w:cs="Arial"/>
          <w:b/>
          <w:sz w:val="24"/>
          <w:szCs w:val="24"/>
          <w:lang w:eastAsia="en-GB"/>
        </w:rPr>
        <w:t>Miraz</w:t>
      </w:r>
      <w:proofErr w:type="spellEnd"/>
      <w:r w:rsidRPr="006662CF">
        <w:rPr>
          <w:rFonts w:ascii="Arial" w:eastAsia="Times New Roman" w:hAnsi="Arial" w:cs="Arial"/>
          <w:b/>
          <w:sz w:val="24"/>
          <w:szCs w:val="24"/>
          <w:lang w:eastAsia="en-GB"/>
        </w:rPr>
        <w:t xml:space="preserve"> Mohammad </w:t>
      </w:r>
      <w:proofErr w:type="spellStart"/>
      <w:r w:rsidRPr="006662CF">
        <w:rPr>
          <w:rFonts w:ascii="Arial" w:eastAsia="Times New Roman" w:hAnsi="Arial" w:cs="Arial"/>
          <w:b/>
          <w:sz w:val="24"/>
          <w:szCs w:val="24"/>
          <w:lang w:eastAsia="en-GB"/>
        </w:rPr>
        <w:t>Emon</w:t>
      </w:r>
      <w:proofErr w:type="spellEnd"/>
    </w:p>
    <w:p w:rsidR="002246A5" w:rsidRPr="002246A5" w:rsidRDefault="002246A5" w:rsidP="006662CF">
      <w:pPr>
        <w:widowControl w:val="0"/>
        <w:spacing w:line="360" w:lineRule="auto"/>
        <w:jc w:val="center"/>
        <w:rPr>
          <w:rFonts w:ascii="Arial" w:eastAsia="Times New Roman" w:hAnsi="Arial" w:cs="Arial"/>
          <w:b/>
          <w:sz w:val="24"/>
          <w:szCs w:val="24"/>
          <w:lang w:eastAsia="en-GB"/>
        </w:rPr>
      </w:pPr>
      <w:r w:rsidRPr="002246A5">
        <w:rPr>
          <w:rFonts w:ascii="Arial" w:eastAsia="Times New Roman" w:hAnsi="Arial" w:cs="Arial"/>
          <w:b/>
          <w:sz w:val="24"/>
          <w:szCs w:val="24"/>
          <w:lang w:eastAsia="en-GB"/>
        </w:rPr>
        <w:t xml:space="preserve">Student ID: </w:t>
      </w:r>
      <w:r w:rsidR="006662CF">
        <w:rPr>
          <w:rFonts w:ascii="Arial" w:eastAsia="Times New Roman" w:hAnsi="Arial" w:cs="Arial"/>
          <w:b/>
          <w:sz w:val="24"/>
          <w:szCs w:val="24"/>
          <w:lang w:eastAsia="en-GB"/>
        </w:rPr>
        <w:t>2503793</w:t>
      </w:r>
    </w:p>
    <w:p w:rsidR="002246A5" w:rsidRPr="002246A5" w:rsidRDefault="002246A5" w:rsidP="006662CF">
      <w:pPr>
        <w:widowControl w:val="0"/>
        <w:spacing w:line="360" w:lineRule="auto"/>
        <w:jc w:val="center"/>
        <w:rPr>
          <w:rFonts w:ascii="Arial" w:eastAsia="Times New Roman" w:hAnsi="Arial" w:cs="Arial"/>
          <w:b/>
          <w:sz w:val="24"/>
          <w:szCs w:val="24"/>
          <w:lang w:eastAsia="en-GB"/>
        </w:rPr>
      </w:pPr>
      <w:r w:rsidRPr="002246A5">
        <w:rPr>
          <w:rFonts w:ascii="Arial" w:eastAsia="Times New Roman" w:hAnsi="Arial" w:cs="Arial"/>
          <w:b/>
          <w:sz w:val="24"/>
          <w:szCs w:val="24"/>
          <w:lang w:eastAsia="en-GB"/>
        </w:rPr>
        <w:t>Programme: Master of Business Administration</w:t>
      </w:r>
    </w:p>
    <w:p w:rsidR="002246A5" w:rsidRPr="002246A5" w:rsidRDefault="002246A5" w:rsidP="006662CF">
      <w:pPr>
        <w:widowControl w:val="0"/>
        <w:spacing w:line="360" w:lineRule="auto"/>
        <w:jc w:val="center"/>
        <w:rPr>
          <w:rFonts w:ascii="Arial" w:eastAsia="Times New Roman" w:hAnsi="Arial" w:cs="Arial"/>
          <w:b/>
          <w:sz w:val="24"/>
          <w:szCs w:val="24"/>
          <w:lang w:eastAsia="en-GB"/>
        </w:rPr>
      </w:pPr>
      <w:r w:rsidRPr="002246A5">
        <w:rPr>
          <w:rFonts w:ascii="Arial" w:eastAsia="Times New Roman" w:hAnsi="Arial" w:cs="Arial"/>
          <w:b/>
          <w:sz w:val="24"/>
          <w:szCs w:val="24"/>
          <w:lang w:eastAsia="en-GB"/>
        </w:rPr>
        <w:t xml:space="preserve">Module &amp; Code: Financial </w:t>
      </w:r>
      <w:r w:rsidR="006662CF" w:rsidRPr="002246A5">
        <w:rPr>
          <w:rFonts w:ascii="Arial" w:eastAsia="Times New Roman" w:hAnsi="Arial" w:cs="Arial"/>
          <w:b/>
          <w:sz w:val="24"/>
          <w:szCs w:val="24"/>
          <w:lang w:eastAsia="en-GB"/>
        </w:rPr>
        <w:t>Management (</w:t>
      </w:r>
      <w:r w:rsidRPr="002246A5">
        <w:rPr>
          <w:rFonts w:ascii="Arial" w:eastAsia="Times New Roman" w:hAnsi="Arial" w:cs="Arial"/>
          <w:b/>
          <w:sz w:val="24"/>
          <w:szCs w:val="24"/>
          <w:lang w:eastAsia="en-GB"/>
        </w:rPr>
        <w:t>LCMB7002)</w:t>
      </w:r>
    </w:p>
    <w:p w:rsidR="002246A5" w:rsidRPr="002246A5" w:rsidRDefault="005E4003" w:rsidP="006662CF">
      <w:pPr>
        <w:widowControl w:val="0"/>
        <w:spacing w:line="360" w:lineRule="auto"/>
        <w:jc w:val="center"/>
        <w:rPr>
          <w:rFonts w:ascii="Arial" w:eastAsia="Times New Roman" w:hAnsi="Arial" w:cs="Arial"/>
          <w:b/>
          <w:sz w:val="24"/>
          <w:szCs w:val="24"/>
          <w:lang w:eastAsia="en-GB"/>
        </w:rPr>
      </w:pPr>
      <w:r>
        <w:rPr>
          <w:rFonts w:ascii="Arial" w:eastAsia="Times New Roman" w:hAnsi="Arial" w:cs="Arial"/>
          <w:b/>
          <w:sz w:val="24"/>
          <w:szCs w:val="24"/>
          <w:lang w:eastAsia="en-GB"/>
        </w:rPr>
        <w:t xml:space="preserve">Word: </w:t>
      </w:r>
      <w:r w:rsidR="00705CC4">
        <w:rPr>
          <w:rFonts w:ascii="Arial" w:eastAsia="Times New Roman" w:hAnsi="Arial" w:cs="Arial"/>
          <w:b/>
          <w:sz w:val="24"/>
          <w:szCs w:val="24"/>
          <w:lang w:eastAsia="en-GB"/>
        </w:rPr>
        <w:t>5</w:t>
      </w:r>
      <w:r w:rsidR="00910FCE">
        <w:rPr>
          <w:rFonts w:ascii="Arial" w:eastAsia="Times New Roman" w:hAnsi="Arial" w:cs="Arial"/>
          <w:b/>
          <w:sz w:val="24"/>
          <w:szCs w:val="24"/>
          <w:lang w:eastAsia="en-GB"/>
        </w:rPr>
        <w:t>458</w:t>
      </w:r>
    </w:p>
    <w:p w:rsidR="006662CF" w:rsidRPr="006662CF" w:rsidRDefault="006662CF" w:rsidP="006662CF">
      <w:pPr>
        <w:spacing w:line="360" w:lineRule="auto"/>
        <w:jc w:val="center"/>
        <w:rPr>
          <w:rFonts w:ascii="Arial" w:hAnsi="Arial" w:cs="Arial"/>
          <w:b/>
          <w:bCs/>
          <w:sz w:val="24"/>
          <w:szCs w:val="24"/>
        </w:rPr>
      </w:pPr>
      <w:r w:rsidRPr="006662CF">
        <w:rPr>
          <w:rFonts w:ascii="Arial" w:hAnsi="Arial" w:cs="Arial"/>
          <w:b/>
          <w:bCs/>
          <w:sz w:val="24"/>
          <w:szCs w:val="24"/>
        </w:rPr>
        <w:t xml:space="preserve">Lecturer: </w:t>
      </w:r>
      <w:proofErr w:type="spellStart"/>
      <w:r w:rsidRPr="006662CF">
        <w:rPr>
          <w:rFonts w:ascii="Arial" w:hAnsi="Arial" w:cs="Arial"/>
          <w:b/>
          <w:bCs/>
          <w:sz w:val="24"/>
          <w:szCs w:val="24"/>
        </w:rPr>
        <w:t>Md</w:t>
      </w:r>
      <w:proofErr w:type="spellEnd"/>
      <w:r w:rsidRPr="006662CF">
        <w:rPr>
          <w:rFonts w:ascii="Arial" w:hAnsi="Arial" w:cs="Arial"/>
          <w:b/>
          <w:bCs/>
          <w:sz w:val="24"/>
          <w:szCs w:val="24"/>
        </w:rPr>
        <w:t xml:space="preserve"> </w:t>
      </w:r>
      <w:proofErr w:type="spellStart"/>
      <w:r w:rsidRPr="006662CF">
        <w:rPr>
          <w:rFonts w:ascii="Arial" w:hAnsi="Arial" w:cs="Arial"/>
          <w:b/>
          <w:bCs/>
          <w:sz w:val="24"/>
          <w:szCs w:val="24"/>
        </w:rPr>
        <w:t>Kalam</w:t>
      </w:r>
      <w:proofErr w:type="spellEnd"/>
    </w:p>
    <w:p w:rsidR="006662CF" w:rsidRPr="006662CF" w:rsidRDefault="006662CF" w:rsidP="006662CF">
      <w:pPr>
        <w:spacing w:line="360" w:lineRule="auto"/>
        <w:jc w:val="center"/>
        <w:rPr>
          <w:rFonts w:ascii="Arial" w:hAnsi="Arial" w:cs="Arial"/>
          <w:b/>
          <w:bCs/>
          <w:sz w:val="24"/>
          <w:szCs w:val="24"/>
        </w:rPr>
      </w:pPr>
      <w:r w:rsidRPr="006662CF">
        <w:rPr>
          <w:rFonts w:ascii="Arial" w:hAnsi="Arial" w:cs="Arial"/>
          <w:b/>
          <w:bCs/>
          <w:sz w:val="24"/>
          <w:szCs w:val="24"/>
        </w:rPr>
        <w:t xml:space="preserve">Submission Deadline: </w:t>
      </w:r>
      <w:r w:rsidRPr="006662CF">
        <w:rPr>
          <w:rFonts w:ascii="Arial" w:hAnsi="Arial" w:cs="Arial"/>
          <w:b/>
          <w:sz w:val="24"/>
          <w:szCs w:val="28"/>
        </w:rPr>
        <w:t>22</w:t>
      </w:r>
      <w:r w:rsidRPr="006662CF">
        <w:rPr>
          <w:rFonts w:ascii="Arial" w:hAnsi="Arial" w:cs="Arial"/>
          <w:b/>
          <w:sz w:val="24"/>
          <w:szCs w:val="28"/>
          <w:vertAlign w:val="superscript"/>
        </w:rPr>
        <w:t>nd</w:t>
      </w:r>
      <w:r w:rsidRPr="006662CF">
        <w:rPr>
          <w:rFonts w:ascii="Arial" w:hAnsi="Arial" w:cs="Arial"/>
          <w:b/>
          <w:sz w:val="24"/>
          <w:szCs w:val="28"/>
        </w:rPr>
        <w:t xml:space="preserve"> December 2025</w:t>
      </w:r>
    </w:p>
    <w:p w:rsidR="002246A5" w:rsidRPr="002246A5" w:rsidRDefault="002246A5" w:rsidP="006662CF">
      <w:pPr>
        <w:jc w:val="center"/>
        <w:rPr>
          <w:rFonts w:ascii="Arial" w:eastAsia="Times New Roman" w:hAnsi="Arial" w:cs="Arial"/>
          <w:b/>
          <w:sz w:val="24"/>
          <w:szCs w:val="24"/>
          <w:lang w:eastAsia="en-GB"/>
        </w:rPr>
      </w:pPr>
    </w:p>
    <w:p w:rsidR="002246A5" w:rsidRPr="002246A5" w:rsidRDefault="002246A5" w:rsidP="002246A5">
      <w:pPr>
        <w:jc w:val="center"/>
        <w:rPr>
          <w:rFonts w:ascii="Arial" w:eastAsia="Times New Roman" w:hAnsi="Arial" w:cs="Arial"/>
          <w:b/>
          <w:sz w:val="24"/>
          <w:szCs w:val="24"/>
          <w:lang w:eastAsia="en-GB"/>
        </w:rPr>
      </w:pPr>
    </w:p>
    <w:p w:rsidR="002246A5" w:rsidRPr="002246A5" w:rsidRDefault="002246A5" w:rsidP="002246A5">
      <w:pPr>
        <w:jc w:val="center"/>
        <w:rPr>
          <w:rFonts w:ascii="Arial" w:eastAsia="Times New Roman" w:hAnsi="Arial" w:cs="Arial"/>
          <w:b/>
          <w:sz w:val="24"/>
          <w:szCs w:val="24"/>
          <w:lang w:eastAsia="en-GB"/>
        </w:rPr>
      </w:pPr>
    </w:p>
    <w:p w:rsidR="002246A5" w:rsidRPr="002246A5" w:rsidRDefault="002246A5" w:rsidP="002246A5">
      <w:pPr>
        <w:jc w:val="center"/>
        <w:rPr>
          <w:rFonts w:ascii="Arial" w:eastAsia="Times New Roman" w:hAnsi="Arial" w:cs="Arial"/>
          <w:b/>
          <w:sz w:val="24"/>
          <w:szCs w:val="24"/>
          <w:lang w:eastAsia="en-GB"/>
        </w:rPr>
      </w:pPr>
    </w:p>
    <w:p w:rsidR="002246A5" w:rsidRPr="002246A5" w:rsidRDefault="002246A5" w:rsidP="002246A5">
      <w:pPr>
        <w:spacing w:line="360" w:lineRule="auto"/>
        <w:jc w:val="both"/>
        <w:rPr>
          <w:rFonts w:ascii="Arial" w:eastAsia="Times New Roman" w:hAnsi="Arial" w:cs="Arial"/>
          <w:sz w:val="24"/>
          <w:szCs w:val="24"/>
          <w:lang w:eastAsia="en-GB"/>
        </w:rPr>
      </w:pPr>
    </w:p>
    <w:p w:rsidR="002246A5" w:rsidRPr="002246A5" w:rsidRDefault="002246A5" w:rsidP="002246A5">
      <w:pPr>
        <w:spacing w:line="360" w:lineRule="auto"/>
        <w:jc w:val="both"/>
        <w:rPr>
          <w:rFonts w:ascii="Arial" w:eastAsia="Times New Roman" w:hAnsi="Arial" w:cs="Arial"/>
          <w:sz w:val="24"/>
          <w:szCs w:val="24"/>
          <w:lang w:eastAsia="en-GB"/>
        </w:rPr>
      </w:pPr>
    </w:p>
    <w:p w:rsidR="002246A5" w:rsidRPr="002246A5" w:rsidRDefault="002246A5" w:rsidP="002246A5">
      <w:pPr>
        <w:spacing w:line="360" w:lineRule="auto"/>
        <w:jc w:val="both"/>
        <w:rPr>
          <w:rFonts w:ascii="Arial" w:eastAsia="Times New Roman" w:hAnsi="Arial" w:cs="Arial"/>
          <w:sz w:val="24"/>
          <w:szCs w:val="24"/>
          <w:lang w:eastAsia="en-GB"/>
        </w:rPr>
      </w:pPr>
    </w:p>
    <w:p w:rsidR="002246A5" w:rsidRPr="002246A5" w:rsidRDefault="002246A5" w:rsidP="002246A5">
      <w:pPr>
        <w:spacing w:line="360" w:lineRule="auto"/>
        <w:jc w:val="both"/>
        <w:rPr>
          <w:rFonts w:ascii="Arial" w:eastAsia="Times New Roman" w:hAnsi="Arial" w:cs="Arial"/>
          <w:sz w:val="24"/>
          <w:szCs w:val="24"/>
          <w:lang w:eastAsia="en-GB"/>
        </w:rPr>
      </w:pPr>
    </w:p>
    <w:p w:rsidR="002246A5" w:rsidRPr="002246A5" w:rsidRDefault="002246A5" w:rsidP="002246A5">
      <w:pPr>
        <w:spacing w:line="360" w:lineRule="auto"/>
        <w:jc w:val="both"/>
        <w:rPr>
          <w:rFonts w:ascii="Arial" w:eastAsia="Times New Roman" w:hAnsi="Arial" w:cs="Arial"/>
          <w:sz w:val="24"/>
          <w:szCs w:val="24"/>
          <w:lang w:eastAsia="en-GB"/>
        </w:rPr>
      </w:pPr>
    </w:p>
    <w:p w:rsidR="002246A5" w:rsidRPr="002246A5" w:rsidRDefault="002246A5" w:rsidP="002246A5">
      <w:pPr>
        <w:spacing w:line="360" w:lineRule="auto"/>
        <w:jc w:val="both"/>
        <w:rPr>
          <w:rFonts w:ascii="Arial" w:eastAsia="Times New Roman" w:hAnsi="Arial" w:cs="Arial"/>
          <w:sz w:val="24"/>
          <w:szCs w:val="24"/>
          <w:lang w:eastAsia="en-GB"/>
        </w:rPr>
      </w:pPr>
    </w:p>
    <w:sdt>
      <w:sdtPr>
        <w:rPr>
          <w:rFonts w:ascii="Arial" w:hAnsi="Arial" w:cs="Arial"/>
        </w:rPr>
        <w:id w:val="-1201780123"/>
        <w:docPartObj>
          <w:docPartGallery w:val="Table of Contents"/>
          <w:docPartUnique/>
        </w:docPartObj>
      </w:sdtPr>
      <w:sdtEndPr>
        <w:rPr>
          <w:b/>
          <w:bCs/>
          <w:noProof/>
          <w:sz w:val="24"/>
          <w:szCs w:val="24"/>
        </w:rPr>
      </w:sdtEndPr>
      <w:sdtContent>
        <w:p w:rsidR="002246A5" w:rsidRPr="006662CF" w:rsidRDefault="002246A5" w:rsidP="006662CF">
          <w:pPr>
            <w:keepNext/>
            <w:keepLines/>
            <w:spacing w:before="240" w:after="0"/>
            <w:jc w:val="center"/>
            <w:rPr>
              <w:rFonts w:ascii="Arial" w:eastAsiaTheme="majorEastAsia" w:hAnsi="Arial" w:cs="Arial"/>
              <w:b/>
              <w:sz w:val="32"/>
              <w:szCs w:val="32"/>
              <w:lang w:val="en-US"/>
            </w:rPr>
          </w:pPr>
          <w:r w:rsidRPr="006662CF">
            <w:rPr>
              <w:rFonts w:ascii="Arial" w:eastAsiaTheme="majorEastAsia" w:hAnsi="Arial" w:cs="Arial"/>
              <w:b/>
              <w:sz w:val="32"/>
              <w:szCs w:val="32"/>
              <w:lang w:val="en-US"/>
            </w:rPr>
            <w:t>Contents</w:t>
          </w:r>
        </w:p>
        <w:p w:rsidR="00F72FE3" w:rsidRPr="00F72FE3" w:rsidRDefault="002246A5">
          <w:pPr>
            <w:pStyle w:val="TOC1"/>
            <w:tabs>
              <w:tab w:val="right" w:leader="dot" w:pos="9350"/>
            </w:tabs>
            <w:rPr>
              <w:rFonts w:ascii="Arial" w:eastAsiaTheme="minorEastAsia" w:hAnsi="Arial" w:cs="Arial"/>
              <w:noProof/>
              <w:sz w:val="24"/>
              <w:lang w:eastAsia="en-GB"/>
            </w:rPr>
          </w:pPr>
          <w:r w:rsidRPr="0015228E">
            <w:rPr>
              <w:rFonts w:ascii="Arial" w:hAnsi="Arial" w:cs="Arial"/>
              <w:sz w:val="24"/>
              <w:szCs w:val="24"/>
            </w:rPr>
            <w:fldChar w:fldCharType="begin"/>
          </w:r>
          <w:r w:rsidRPr="0015228E">
            <w:rPr>
              <w:rFonts w:ascii="Arial" w:hAnsi="Arial" w:cs="Arial"/>
              <w:sz w:val="24"/>
              <w:szCs w:val="24"/>
            </w:rPr>
            <w:instrText xml:space="preserve"> TOC \o "1-3" \h \z \u </w:instrText>
          </w:r>
          <w:r w:rsidRPr="0015228E">
            <w:rPr>
              <w:rFonts w:ascii="Arial" w:hAnsi="Arial" w:cs="Arial"/>
              <w:sz w:val="24"/>
              <w:szCs w:val="24"/>
            </w:rPr>
            <w:fldChar w:fldCharType="separate"/>
          </w:r>
          <w:hyperlink w:anchor="_Toc217216267" w:history="1">
            <w:r w:rsidR="00F72FE3" w:rsidRPr="00F72FE3">
              <w:rPr>
                <w:rStyle w:val="Hyperlink"/>
                <w:rFonts w:ascii="Arial" w:hAnsi="Arial" w:cs="Arial"/>
                <w:noProof/>
                <w:sz w:val="24"/>
              </w:rPr>
              <w:t>Introduction</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_Toc217216267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w:t>
            </w:r>
            <w:r w:rsidR="00F72FE3" w:rsidRPr="00F72FE3">
              <w:rPr>
                <w:rFonts w:ascii="Arial" w:hAnsi="Arial" w:cs="Arial"/>
                <w:noProof/>
                <w:webHidden/>
                <w:sz w:val="24"/>
              </w:rPr>
              <w:fldChar w:fldCharType="end"/>
            </w:r>
          </w:hyperlink>
        </w:p>
        <w:p w:rsidR="00F72FE3" w:rsidRPr="00F72FE3" w:rsidRDefault="00C642B6">
          <w:pPr>
            <w:pStyle w:val="TOC1"/>
            <w:tabs>
              <w:tab w:val="right" w:leader="dot" w:pos="9350"/>
            </w:tabs>
            <w:rPr>
              <w:rFonts w:ascii="Arial" w:eastAsiaTheme="minorEastAsia" w:hAnsi="Arial" w:cs="Arial"/>
              <w:noProof/>
              <w:sz w:val="24"/>
              <w:lang w:eastAsia="en-GB"/>
            </w:rPr>
          </w:pPr>
          <w:hyperlink w:anchor="_Toc217216268" w:history="1">
            <w:r w:rsidR="00F72FE3" w:rsidRPr="00F72FE3">
              <w:rPr>
                <w:rStyle w:val="Hyperlink"/>
                <w:rFonts w:ascii="Arial" w:hAnsi="Arial" w:cs="Arial"/>
                <w:noProof/>
                <w:sz w:val="24"/>
              </w:rPr>
              <w:t>1. Financial Health Analysis of General Electronics.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_Toc217216268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2</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69" w:history="1">
            <w:r w:rsidR="00F72FE3" w:rsidRPr="00F72FE3">
              <w:rPr>
                <w:rStyle w:val="Hyperlink"/>
                <w:rFonts w:ascii="Arial" w:hAnsi="Arial" w:cs="Arial"/>
                <w:noProof/>
                <w:sz w:val="24"/>
              </w:rPr>
              <w:t>1.1 Financial Performance overview (202024) overview</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_Toc217216269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2</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70" w:history="1">
            <w:r w:rsidR="00F72FE3" w:rsidRPr="00F72FE3">
              <w:rPr>
                <w:rStyle w:val="Hyperlink"/>
                <w:rFonts w:ascii="Arial" w:hAnsi="Arial" w:cs="Arial"/>
                <w:noProof/>
                <w:sz w:val="24"/>
              </w:rPr>
              <w:t>1.2 Profitability Analysis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_Toc217216270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2</w:t>
            </w:r>
            <w:r w:rsidR="00F72FE3" w:rsidRPr="00F72FE3">
              <w:rPr>
                <w:rFonts w:ascii="Arial" w:hAnsi="Arial" w:cs="Arial"/>
                <w:noProof/>
                <w:webHidden/>
                <w:sz w:val="24"/>
              </w:rPr>
              <w:fldChar w:fldCharType="end"/>
            </w:r>
          </w:hyperlink>
        </w:p>
        <w:p w:rsidR="00F72FE3" w:rsidRPr="00F72FE3" w:rsidRDefault="00C642B6">
          <w:pPr>
            <w:pStyle w:val="TOC3"/>
            <w:tabs>
              <w:tab w:val="right" w:leader="dot" w:pos="9350"/>
            </w:tabs>
            <w:rPr>
              <w:rFonts w:ascii="Arial" w:eastAsiaTheme="minorEastAsia" w:hAnsi="Arial" w:cs="Arial"/>
              <w:noProof/>
              <w:sz w:val="24"/>
              <w:lang w:eastAsia="en-GB"/>
            </w:rPr>
          </w:pPr>
          <w:hyperlink w:anchor="_Toc217216271" w:history="1">
            <w:r w:rsidR="00F72FE3" w:rsidRPr="00F72FE3">
              <w:rPr>
                <w:rStyle w:val="Hyperlink"/>
                <w:rFonts w:ascii="Arial" w:hAnsi="Arial" w:cs="Arial"/>
                <w:noProof/>
                <w:sz w:val="24"/>
              </w:rPr>
              <w:t>1.2.1 Gross Profit Margin</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_Toc217216271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2</w:t>
            </w:r>
            <w:r w:rsidR="00F72FE3" w:rsidRPr="00F72FE3">
              <w:rPr>
                <w:rFonts w:ascii="Arial" w:hAnsi="Arial" w:cs="Arial"/>
                <w:noProof/>
                <w:webHidden/>
                <w:sz w:val="24"/>
              </w:rPr>
              <w:fldChar w:fldCharType="end"/>
            </w:r>
          </w:hyperlink>
        </w:p>
        <w:p w:rsidR="00F72FE3" w:rsidRPr="00F72FE3" w:rsidRDefault="00C642B6">
          <w:pPr>
            <w:pStyle w:val="TOC3"/>
            <w:tabs>
              <w:tab w:val="right" w:leader="dot" w:pos="9350"/>
            </w:tabs>
            <w:rPr>
              <w:rFonts w:ascii="Arial" w:eastAsiaTheme="minorEastAsia" w:hAnsi="Arial" w:cs="Arial"/>
              <w:noProof/>
              <w:sz w:val="24"/>
              <w:lang w:eastAsia="en-GB"/>
            </w:rPr>
          </w:pPr>
          <w:hyperlink w:anchor="_Toc217216272" w:history="1">
            <w:r w:rsidR="00F72FE3" w:rsidRPr="00F72FE3">
              <w:rPr>
                <w:rStyle w:val="Hyperlink"/>
                <w:rFonts w:ascii="Arial" w:hAnsi="Arial" w:cs="Arial"/>
                <w:noProof/>
                <w:sz w:val="24"/>
              </w:rPr>
              <w:t>1.2.2 Operating Profit Margin</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_Toc217216272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3</w:t>
            </w:r>
            <w:r w:rsidR="00F72FE3" w:rsidRPr="00F72FE3">
              <w:rPr>
                <w:rFonts w:ascii="Arial" w:hAnsi="Arial" w:cs="Arial"/>
                <w:noProof/>
                <w:webHidden/>
                <w:sz w:val="24"/>
              </w:rPr>
              <w:fldChar w:fldCharType="end"/>
            </w:r>
          </w:hyperlink>
        </w:p>
        <w:p w:rsidR="00F72FE3" w:rsidRPr="00F72FE3" w:rsidRDefault="00C642B6">
          <w:pPr>
            <w:pStyle w:val="TOC3"/>
            <w:tabs>
              <w:tab w:val="right" w:leader="dot" w:pos="9350"/>
            </w:tabs>
            <w:rPr>
              <w:rFonts w:ascii="Arial" w:eastAsiaTheme="minorEastAsia" w:hAnsi="Arial" w:cs="Arial"/>
              <w:noProof/>
              <w:sz w:val="24"/>
              <w:lang w:eastAsia="en-GB"/>
            </w:rPr>
          </w:pPr>
          <w:hyperlink w:anchor="_Toc217216273" w:history="1">
            <w:r w:rsidR="00F72FE3" w:rsidRPr="00F72FE3">
              <w:rPr>
                <w:rStyle w:val="Hyperlink"/>
                <w:rFonts w:ascii="Arial" w:hAnsi="Arial" w:cs="Arial"/>
                <w:noProof/>
                <w:sz w:val="24"/>
              </w:rPr>
              <w:t>1.2.3 Net Profit Margin</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_Toc217216273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3</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74" w:history="1">
            <w:r w:rsidR="00F72FE3" w:rsidRPr="00F72FE3">
              <w:rPr>
                <w:rStyle w:val="Hyperlink"/>
                <w:rFonts w:ascii="Arial" w:hAnsi="Arial" w:cs="Arial"/>
                <w:noProof/>
                <w:sz w:val="24"/>
              </w:rPr>
              <w:t>1.3 Liquidity Analysis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_Toc217216274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4</w:t>
            </w:r>
            <w:r w:rsidR="00F72FE3" w:rsidRPr="00F72FE3">
              <w:rPr>
                <w:rFonts w:ascii="Arial" w:hAnsi="Arial" w:cs="Arial"/>
                <w:noProof/>
                <w:webHidden/>
                <w:sz w:val="24"/>
              </w:rPr>
              <w:fldChar w:fldCharType="end"/>
            </w:r>
          </w:hyperlink>
        </w:p>
        <w:p w:rsidR="00F72FE3" w:rsidRPr="00F72FE3" w:rsidRDefault="00C642B6">
          <w:pPr>
            <w:pStyle w:val="TOC3"/>
            <w:tabs>
              <w:tab w:val="right" w:leader="dot" w:pos="9350"/>
            </w:tabs>
            <w:rPr>
              <w:rFonts w:ascii="Arial" w:eastAsiaTheme="minorEastAsia" w:hAnsi="Arial" w:cs="Arial"/>
              <w:noProof/>
              <w:sz w:val="24"/>
              <w:lang w:eastAsia="en-GB"/>
            </w:rPr>
          </w:pPr>
          <w:hyperlink w:anchor="_Toc217216275" w:history="1">
            <w:r w:rsidR="00F72FE3" w:rsidRPr="00F72FE3">
              <w:rPr>
                <w:rStyle w:val="Hyperlink"/>
                <w:rFonts w:ascii="Arial" w:hAnsi="Arial" w:cs="Arial"/>
                <w:noProof/>
                <w:sz w:val="24"/>
              </w:rPr>
              <w:t>1.3.1 Current Ratio</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_Toc217216275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4</w:t>
            </w:r>
            <w:r w:rsidR="00F72FE3" w:rsidRPr="00F72FE3">
              <w:rPr>
                <w:rFonts w:ascii="Arial" w:hAnsi="Arial" w:cs="Arial"/>
                <w:noProof/>
                <w:webHidden/>
                <w:sz w:val="24"/>
              </w:rPr>
              <w:fldChar w:fldCharType="end"/>
            </w:r>
          </w:hyperlink>
        </w:p>
        <w:p w:rsidR="00F72FE3" w:rsidRPr="00F72FE3" w:rsidRDefault="00C642B6">
          <w:pPr>
            <w:pStyle w:val="TOC3"/>
            <w:tabs>
              <w:tab w:val="right" w:leader="dot" w:pos="9350"/>
            </w:tabs>
            <w:rPr>
              <w:rFonts w:ascii="Arial" w:eastAsiaTheme="minorEastAsia" w:hAnsi="Arial" w:cs="Arial"/>
              <w:noProof/>
              <w:sz w:val="24"/>
              <w:lang w:eastAsia="en-GB"/>
            </w:rPr>
          </w:pPr>
          <w:hyperlink w:anchor="_Toc217216276" w:history="1">
            <w:r w:rsidR="00F72FE3" w:rsidRPr="00F72FE3">
              <w:rPr>
                <w:rStyle w:val="Hyperlink"/>
                <w:rFonts w:ascii="Arial" w:hAnsi="Arial" w:cs="Arial"/>
                <w:noProof/>
                <w:sz w:val="24"/>
              </w:rPr>
              <w:t>1.3.2 Quick Ratio</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_Toc217216276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4</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77" w:history="1">
            <w:r w:rsidR="00F72FE3" w:rsidRPr="00F72FE3">
              <w:rPr>
                <w:rStyle w:val="Hyperlink"/>
                <w:rFonts w:ascii="Arial" w:hAnsi="Arial" w:cs="Arial"/>
                <w:noProof/>
                <w:sz w:val="24"/>
              </w:rPr>
              <w:t>1.4 Efficiency (Activity) Analysis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_Toc217216277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5</w:t>
            </w:r>
            <w:r w:rsidR="00F72FE3" w:rsidRPr="00F72FE3">
              <w:rPr>
                <w:rFonts w:ascii="Arial" w:hAnsi="Arial" w:cs="Arial"/>
                <w:noProof/>
                <w:webHidden/>
                <w:sz w:val="24"/>
              </w:rPr>
              <w:fldChar w:fldCharType="end"/>
            </w:r>
          </w:hyperlink>
        </w:p>
        <w:p w:rsidR="00F72FE3" w:rsidRPr="00F72FE3" w:rsidRDefault="00C642B6">
          <w:pPr>
            <w:pStyle w:val="TOC3"/>
            <w:tabs>
              <w:tab w:val="right" w:leader="dot" w:pos="9350"/>
            </w:tabs>
            <w:rPr>
              <w:rFonts w:ascii="Arial" w:eastAsiaTheme="minorEastAsia" w:hAnsi="Arial" w:cs="Arial"/>
              <w:noProof/>
              <w:sz w:val="24"/>
              <w:lang w:eastAsia="en-GB"/>
            </w:rPr>
          </w:pPr>
          <w:hyperlink w:anchor="_Toc217216278" w:history="1">
            <w:r w:rsidR="00F72FE3" w:rsidRPr="00F72FE3">
              <w:rPr>
                <w:rStyle w:val="Hyperlink"/>
                <w:rFonts w:ascii="Arial" w:hAnsi="Arial" w:cs="Arial"/>
                <w:noProof/>
                <w:sz w:val="24"/>
              </w:rPr>
              <w:t>1.4.1 Inventory Turnover</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_Toc217216278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5</w:t>
            </w:r>
            <w:r w:rsidR="00F72FE3" w:rsidRPr="00F72FE3">
              <w:rPr>
                <w:rFonts w:ascii="Arial" w:hAnsi="Arial" w:cs="Arial"/>
                <w:noProof/>
                <w:webHidden/>
                <w:sz w:val="24"/>
              </w:rPr>
              <w:fldChar w:fldCharType="end"/>
            </w:r>
          </w:hyperlink>
        </w:p>
        <w:p w:rsidR="00F72FE3" w:rsidRPr="00F72FE3" w:rsidRDefault="00C642B6">
          <w:pPr>
            <w:pStyle w:val="TOC3"/>
            <w:tabs>
              <w:tab w:val="right" w:leader="dot" w:pos="9350"/>
            </w:tabs>
            <w:rPr>
              <w:rFonts w:ascii="Arial" w:eastAsiaTheme="minorEastAsia" w:hAnsi="Arial" w:cs="Arial"/>
              <w:noProof/>
              <w:sz w:val="24"/>
              <w:lang w:eastAsia="en-GB"/>
            </w:rPr>
          </w:pPr>
          <w:hyperlink w:anchor="_Toc217216279" w:history="1">
            <w:r w:rsidR="00F72FE3" w:rsidRPr="00F72FE3">
              <w:rPr>
                <w:rStyle w:val="Hyperlink"/>
                <w:rFonts w:ascii="Arial" w:hAnsi="Arial" w:cs="Arial"/>
                <w:noProof/>
                <w:sz w:val="24"/>
              </w:rPr>
              <w:t>1.4.2 Receivables Turnover</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_Toc217216279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6</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80" w:history="1">
            <w:r w:rsidR="00F72FE3" w:rsidRPr="00F72FE3">
              <w:rPr>
                <w:rStyle w:val="Hyperlink"/>
                <w:rFonts w:ascii="Arial" w:hAnsi="Arial" w:cs="Arial"/>
                <w:noProof/>
                <w:sz w:val="24"/>
              </w:rPr>
              <w:t>1.5 Gearing and Solvency Ratios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_Toc217216280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6</w:t>
            </w:r>
            <w:r w:rsidR="00F72FE3" w:rsidRPr="00F72FE3">
              <w:rPr>
                <w:rFonts w:ascii="Arial" w:hAnsi="Arial" w:cs="Arial"/>
                <w:noProof/>
                <w:webHidden/>
                <w:sz w:val="24"/>
              </w:rPr>
              <w:fldChar w:fldCharType="end"/>
            </w:r>
          </w:hyperlink>
        </w:p>
        <w:p w:rsidR="00F72FE3" w:rsidRPr="00F72FE3" w:rsidRDefault="00C642B6">
          <w:pPr>
            <w:pStyle w:val="TOC3"/>
            <w:tabs>
              <w:tab w:val="right" w:leader="dot" w:pos="9350"/>
            </w:tabs>
            <w:rPr>
              <w:rFonts w:ascii="Arial" w:eastAsiaTheme="minorEastAsia" w:hAnsi="Arial" w:cs="Arial"/>
              <w:noProof/>
              <w:sz w:val="24"/>
              <w:lang w:eastAsia="en-GB"/>
            </w:rPr>
          </w:pPr>
          <w:hyperlink w:anchor="_Toc217216281" w:history="1">
            <w:r w:rsidR="00F72FE3" w:rsidRPr="00F72FE3">
              <w:rPr>
                <w:rStyle w:val="Hyperlink"/>
                <w:rFonts w:ascii="Arial" w:hAnsi="Arial" w:cs="Arial"/>
                <w:noProof/>
                <w:sz w:val="24"/>
              </w:rPr>
              <w:t>1.5.1 Debt-to-Equity Ratio</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_Toc217216281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6</w:t>
            </w:r>
            <w:r w:rsidR="00F72FE3" w:rsidRPr="00F72FE3">
              <w:rPr>
                <w:rFonts w:ascii="Arial" w:hAnsi="Arial" w:cs="Arial"/>
                <w:noProof/>
                <w:webHidden/>
                <w:sz w:val="24"/>
              </w:rPr>
              <w:fldChar w:fldCharType="end"/>
            </w:r>
          </w:hyperlink>
        </w:p>
        <w:p w:rsidR="00F72FE3" w:rsidRPr="00F72FE3" w:rsidRDefault="00C642B6">
          <w:pPr>
            <w:pStyle w:val="TOC3"/>
            <w:tabs>
              <w:tab w:val="right" w:leader="dot" w:pos="9350"/>
            </w:tabs>
            <w:rPr>
              <w:rFonts w:ascii="Arial" w:eastAsiaTheme="minorEastAsia" w:hAnsi="Arial" w:cs="Arial"/>
              <w:noProof/>
              <w:sz w:val="24"/>
              <w:lang w:eastAsia="en-GB"/>
            </w:rPr>
          </w:pPr>
          <w:hyperlink w:anchor="_Toc217216282" w:history="1">
            <w:r w:rsidR="00F72FE3" w:rsidRPr="00F72FE3">
              <w:rPr>
                <w:rStyle w:val="Hyperlink"/>
                <w:rFonts w:ascii="Arial" w:hAnsi="Arial" w:cs="Arial"/>
                <w:noProof/>
                <w:sz w:val="24"/>
              </w:rPr>
              <w:t>1.5.2 Interest Coverage Ratio</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_Toc217216282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7</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83" w:history="1">
            <w:r w:rsidR="00F72FE3" w:rsidRPr="00F72FE3">
              <w:rPr>
                <w:rStyle w:val="Hyperlink"/>
                <w:rFonts w:ascii="Arial" w:hAnsi="Arial" w:cs="Arial"/>
                <w:noProof/>
                <w:sz w:val="24"/>
              </w:rPr>
              <w:t>1.6 Cash Flow Analysis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_Toc217216283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8</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84" w:history="1">
            <w:r w:rsidR="00F72FE3" w:rsidRPr="00F72FE3">
              <w:rPr>
                <w:rStyle w:val="Hyperlink"/>
                <w:rFonts w:ascii="Arial" w:hAnsi="Arial" w:cs="Arial"/>
                <w:noProof/>
                <w:sz w:val="24"/>
              </w:rPr>
              <w:t>1.7 Corporate Failure Fraud: Altman Z-Score.</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_Toc217216284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8</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85" w:history="1">
            <w:r w:rsidR="00F72FE3" w:rsidRPr="00F72FE3">
              <w:rPr>
                <w:rStyle w:val="Hyperlink"/>
                <w:rFonts w:ascii="Arial" w:hAnsi="Arial" w:cs="Arial"/>
                <w:noProof/>
                <w:sz w:val="24"/>
              </w:rPr>
              <w:t>1.8 Major Trends, Strengths, and Threats.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_Toc217216285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9</w:t>
            </w:r>
            <w:r w:rsidR="00F72FE3" w:rsidRPr="00F72FE3">
              <w:rPr>
                <w:rFonts w:ascii="Arial" w:hAnsi="Arial" w:cs="Arial"/>
                <w:noProof/>
                <w:webHidden/>
                <w:sz w:val="24"/>
              </w:rPr>
              <w:fldChar w:fldCharType="end"/>
            </w:r>
          </w:hyperlink>
        </w:p>
        <w:p w:rsidR="00F72FE3" w:rsidRPr="00F72FE3" w:rsidRDefault="00C642B6">
          <w:pPr>
            <w:pStyle w:val="TOC1"/>
            <w:tabs>
              <w:tab w:val="right" w:leader="dot" w:pos="9350"/>
            </w:tabs>
            <w:rPr>
              <w:rFonts w:ascii="Arial" w:eastAsiaTheme="minorEastAsia" w:hAnsi="Arial" w:cs="Arial"/>
              <w:noProof/>
              <w:sz w:val="24"/>
              <w:lang w:eastAsia="en-GB"/>
            </w:rPr>
          </w:pPr>
          <w:hyperlink w:anchor="_Toc217216286" w:history="1">
            <w:r w:rsidR="00F72FE3" w:rsidRPr="00F72FE3">
              <w:rPr>
                <w:rStyle w:val="Hyperlink"/>
                <w:rFonts w:ascii="Arial" w:eastAsia="Times New Roman" w:hAnsi="Arial" w:cs="Arial"/>
                <w:noProof/>
                <w:sz w:val="24"/>
                <w:lang w:eastAsia="en-GB"/>
              </w:rPr>
              <w:t>2. Working Capital Management Analysis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_Toc217216286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9</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87" w:history="1">
            <w:r w:rsidR="00F72FE3" w:rsidRPr="00F72FE3">
              <w:rPr>
                <w:rStyle w:val="Hyperlink"/>
                <w:rFonts w:ascii="Arial" w:eastAsia="Times New Roman" w:hAnsi="Arial" w:cs="Arial"/>
                <w:noProof/>
                <w:sz w:val="24"/>
                <w:lang w:eastAsia="en-GB"/>
              </w:rPr>
              <w:t>2.1 Introduction</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_Toc217216287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9</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88" w:history="1">
            <w:r w:rsidR="00F72FE3" w:rsidRPr="00F72FE3">
              <w:rPr>
                <w:rStyle w:val="Hyperlink"/>
                <w:rFonts w:ascii="Arial" w:hAnsi="Arial" w:cs="Arial"/>
                <w:noProof/>
                <w:sz w:val="24"/>
                <w:lang w:eastAsia="en-GB"/>
              </w:rPr>
              <w:t>2.2 Cash Operating Cycle Analysis.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_Toc217216288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10</w:t>
            </w:r>
            <w:r w:rsidR="00F72FE3" w:rsidRPr="00F72FE3">
              <w:rPr>
                <w:rFonts w:ascii="Arial" w:hAnsi="Arial" w:cs="Arial"/>
                <w:noProof/>
                <w:webHidden/>
                <w:sz w:val="24"/>
              </w:rPr>
              <w:fldChar w:fldCharType="end"/>
            </w:r>
          </w:hyperlink>
        </w:p>
        <w:p w:rsidR="00F72FE3" w:rsidRPr="00F72FE3" w:rsidRDefault="00C642B6">
          <w:pPr>
            <w:pStyle w:val="TOC3"/>
            <w:tabs>
              <w:tab w:val="right" w:leader="dot" w:pos="9350"/>
            </w:tabs>
            <w:rPr>
              <w:rFonts w:ascii="Arial" w:eastAsiaTheme="minorEastAsia" w:hAnsi="Arial" w:cs="Arial"/>
              <w:noProof/>
              <w:sz w:val="24"/>
              <w:lang w:eastAsia="en-GB"/>
            </w:rPr>
          </w:pPr>
          <w:hyperlink w:anchor="_Toc217216289" w:history="1">
            <w:r w:rsidR="00F72FE3" w:rsidRPr="00F72FE3">
              <w:rPr>
                <w:rStyle w:val="Hyperlink"/>
                <w:rFonts w:ascii="Arial" w:hAnsi="Arial" w:cs="Arial"/>
                <w:noProof/>
                <w:sz w:val="24"/>
                <w:lang w:eastAsia="en-GB"/>
              </w:rPr>
              <w:t>2.2.1 Inventory Days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_Toc217216289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10</w:t>
            </w:r>
            <w:r w:rsidR="00F72FE3" w:rsidRPr="00F72FE3">
              <w:rPr>
                <w:rFonts w:ascii="Arial" w:hAnsi="Arial" w:cs="Arial"/>
                <w:noProof/>
                <w:webHidden/>
                <w:sz w:val="24"/>
              </w:rPr>
              <w:fldChar w:fldCharType="end"/>
            </w:r>
          </w:hyperlink>
        </w:p>
        <w:p w:rsidR="00F72FE3" w:rsidRPr="00F72FE3" w:rsidRDefault="00C642B6">
          <w:pPr>
            <w:pStyle w:val="TOC3"/>
            <w:tabs>
              <w:tab w:val="right" w:leader="dot" w:pos="9350"/>
            </w:tabs>
            <w:rPr>
              <w:rFonts w:ascii="Arial" w:eastAsiaTheme="minorEastAsia" w:hAnsi="Arial" w:cs="Arial"/>
              <w:noProof/>
              <w:sz w:val="24"/>
              <w:lang w:eastAsia="en-GB"/>
            </w:rPr>
          </w:pPr>
          <w:hyperlink w:anchor="_Toc217216290" w:history="1">
            <w:r w:rsidR="00F72FE3" w:rsidRPr="00F72FE3">
              <w:rPr>
                <w:rStyle w:val="Hyperlink"/>
                <w:rFonts w:ascii="Arial" w:hAnsi="Arial" w:cs="Arial"/>
                <w:noProof/>
                <w:sz w:val="24"/>
                <w:lang w:eastAsia="en-GB"/>
              </w:rPr>
              <w:t>2.2.2 Receivables Days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_Toc217216290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10</w:t>
            </w:r>
            <w:r w:rsidR="00F72FE3" w:rsidRPr="00F72FE3">
              <w:rPr>
                <w:rFonts w:ascii="Arial" w:hAnsi="Arial" w:cs="Arial"/>
                <w:noProof/>
                <w:webHidden/>
                <w:sz w:val="24"/>
              </w:rPr>
              <w:fldChar w:fldCharType="end"/>
            </w:r>
          </w:hyperlink>
        </w:p>
        <w:p w:rsidR="00F72FE3" w:rsidRPr="00F72FE3" w:rsidRDefault="00C642B6">
          <w:pPr>
            <w:pStyle w:val="TOC3"/>
            <w:tabs>
              <w:tab w:val="right" w:leader="dot" w:pos="9350"/>
            </w:tabs>
            <w:rPr>
              <w:rFonts w:ascii="Arial" w:eastAsiaTheme="minorEastAsia" w:hAnsi="Arial" w:cs="Arial"/>
              <w:noProof/>
              <w:sz w:val="24"/>
              <w:lang w:eastAsia="en-GB"/>
            </w:rPr>
          </w:pPr>
          <w:hyperlink w:anchor="_Toc217216291" w:history="1">
            <w:r w:rsidR="00F72FE3" w:rsidRPr="00F72FE3">
              <w:rPr>
                <w:rStyle w:val="Hyperlink"/>
                <w:rFonts w:ascii="Arial" w:hAnsi="Arial" w:cs="Arial"/>
                <w:noProof/>
                <w:sz w:val="24"/>
                <w:lang w:eastAsia="en-GB"/>
              </w:rPr>
              <w:t>2.2.3 Payables Days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_Toc217216291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11</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92" w:history="1">
            <w:r w:rsidR="00F72FE3" w:rsidRPr="00F72FE3">
              <w:rPr>
                <w:rStyle w:val="Hyperlink"/>
                <w:rFonts w:ascii="Arial" w:hAnsi="Arial" w:cs="Arial"/>
                <w:noProof/>
                <w:sz w:val="24"/>
                <w:lang w:eastAsia="en-GB"/>
              </w:rPr>
              <w:t>2.3 Working Capital Challenges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_Toc217216292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11</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93" w:history="1">
            <w:r w:rsidR="00F72FE3" w:rsidRPr="00F72FE3">
              <w:rPr>
                <w:rStyle w:val="Hyperlink"/>
                <w:rFonts w:ascii="Arial" w:hAnsi="Arial" w:cs="Arial"/>
                <w:noProof/>
                <w:sz w:val="24"/>
                <w:lang w:eastAsia="en-GB"/>
              </w:rPr>
              <w:t>2.4 Strategies of Improving Liquidity.</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_Toc217216293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11</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94" w:history="1">
            <w:r w:rsidR="00F72FE3" w:rsidRPr="00F72FE3">
              <w:rPr>
                <w:rStyle w:val="Hyperlink"/>
                <w:rFonts w:ascii="Arial" w:hAnsi="Arial" w:cs="Arial"/>
                <w:noProof/>
                <w:sz w:val="24"/>
                <w:lang w:eastAsia="en-GB"/>
              </w:rPr>
              <w:t>2.5 Short Term and Long Term Financing.</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_Toc217216294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12</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95" w:history="1">
            <w:r w:rsidR="00F72FE3" w:rsidRPr="00F72FE3">
              <w:rPr>
                <w:rStyle w:val="Hyperlink"/>
                <w:rFonts w:ascii="Arial" w:hAnsi="Arial" w:cs="Arial"/>
                <w:noProof/>
                <w:sz w:val="24"/>
                <w:lang w:eastAsia="en-GB"/>
              </w:rPr>
              <w:t>2.6 Critical Evaluation</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_Toc217216295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13</w:t>
            </w:r>
            <w:r w:rsidR="00F72FE3" w:rsidRPr="00F72FE3">
              <w:rPr>
                <w:rFonts w:ascii="Arial" w:hAnsi="Arial" w:cs="Arial"/>
                <w:noProof/>
                <w:webHidden/>
                <w:sz w:val="24"/>
              </w:rPr>
              <w:fldChar w:fldCharType="end"/>
            </w:r>
          </w:hyperlink>
        </w:p>
        <w:p w:rsidR="00F72FE3" w:rsidRPr="00F72FE3" w:rsidRDefault="00C642B6">
          <w:pPr>
            <w:pStyle w:val="TOC1"/>
            <w:tabs>
              <w:tab w:val="right" w:leader="dot" w:pos="9350"/>
            </w:tabs>
            <w:rPr>
              <w:rFonts w:ascii="Arial" w:eastAsiaTheme="minorEastAsia" w:hAnsi="Arial" w:cs="Arial"/>
              <w:noProof/>
              <w:sz w:val="24"/>
              <w:lang w:eastAsia="en-GB"/>
            </w:rPr>
          </w:pPr>
          <w:hyperlink w:anchor="_Toc217216296" w:history="1">
            <w:r w:rsidR="00F72FE3" w:rsidRPr="00F72FE3">
              <w:rPr>
                <w:rStyle w:val="Hyperlink"/>
                <w:rFonts w:ascii="Arial" w:hAnsi="Arial" w:cs="Arial"/>
                <w:noProof/>
                <w:sz w:val="24"/>
                <w:lang w:eastAsia="en-GB"/>
              </w:rPr>
              <w:t>3. General Electric 2010 Strategic Financial Restructuring Plan.</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_Toc217216296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13</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97" w:history="1">
            <w:r w:rsidR="00F72FE3" w:rsidRPr="00F72FE3">
              <w:rPr>
                <w:rStyle w:val="Hyperlink"/>
                <w:rFonts w:ascii="Arial" w:hAnsi="Arial" w:cs="Arial"/>
                <w:noProof/>
                <w:sz w:val="24"/>
              </w:rPr>
              <w:t>3.1 Financial Restructuring Rationale.</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_Toc217216297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13</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98" w:history="1">
            <w:r w:rsidR="00F72FE3" w:rsidRPr="00F72FE3">
              <w:rPr>
                <w:rStyle w:val="Hyperlink"/>
                <w:rFonts w:ascii="Arial" w:hAnsi="Arial" w:cs="Arial"/>
                <w:noProof/>
                <w:sz w:val="24"/>
              </w:rPr>
              <w:t>3.2 Portfolio Rationalisation and Asset Divestiture.</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_Toc217216298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14</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299" w:history="1">
            <w:r w:rsidR="00F72FE3" w:rsidRPr="00F72FE3">
              <w:rPr>
                <w:rStyle w:val="Hyperlink"/>
                <w:rFonts w:ascii="Arial" w:hAnsi="Arial" w:cs="Arial"/>
                <w:noProof/>
                <w:sz w:val="24"/>
              </w:rPr>
              <w:t>3.3 Injection of Equity and Recapitalisation.</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_Toc217216299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14</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300" w:history="1">
            <w:r w:rsidR="00F72FE3" w:rsidRPr="00F72FE3">
              <w:rPr>
                <w:rStyle w:val="Hyperlink"/>
                <w:rFonts w:ascii="Arial" w:hAnsi="Arial" w:cs="Arial"/>
                <w:noProof/>
                <w:sz w:val="24"/>
              </w:rPr>
              <w:t>3.5 Effect on shareholder value and Operational Flexibility.</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_Toc217216300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15</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301" w:history="1">
            <w:r w:rsidR="00F72FE3" w:rsidRPr="00F72FE3">
              <w:rPr>
                <w:rStyle w:val="Hyperlink"/>
                <w:rFonts w:ascii="Arial" w:hAnsi="Arial" w:cs="Arial"/>
                <w:noProof/>
                <w:sz w:val="24"/>
              </w:rPr>
              <w:t>3.6 International and Ethical considerations.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_Toc217216301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15</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302" w:history="1">
            <w:r w:rsidR="00F72FE3" w:rsidRPr="00F72FE3">
              <w:rPr>
                <w:rStyle w:val="Hyperlink"/>
                <w:rFonts w:ascii="Arial" w:hAnsi="Arial" w:cs="Arial"/>
                <w:noProof/>
                <w:sz w:val="24"/>
              </w:rPr>
              <w:t>Corporate Social responsibilities (CSR)</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_Toc217216302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16</w:t>
            </w:r>
            <w:r w:rsidR="00F72FE3" w:rsidRPr="00F72FE3">
              <w:rPr>
                <w:rFonts w:ascii="Arial" w:hAnsi="Arial" w:cs="Arial"/>
                <w:noProof/>
                <w:webHidden/>
                <w:sz w:val="24"/>
              </w:rPr>
              <w:fldChar w:fldCharType="end"/>
            </w:r>
          </w:hyperlink>
        </w:p>
        <w:p w:rsidR="00F72FE3" w:rsidRPr="00F72FE3" w:rsidRDefault="00C642B6">
          <w:pPr>
            <w:pStyle w:val="TOC1"/>
            <w:tabs>
              <w:tab w:val="right" w:leader="dot" w:pos="9350"/>
            </w:tabs>
            <w:rPr>
              <w:rFonts w:ascii="Arial" w:eastAsiaTheme="minorEastAsia" w:hAnsi="Arial" w:cs="Arial"/>
              <w:noProof/>
              <w:sz w:val="24"/>
              <w:lang w:eastAsia="en-GB"/>
            </w:rPr>
          </w:pPr>
          <w:hyperlink w:anchor="_Toc217216303" w:history="1">
            <w:r w:rsidR="00F72FE3" w:rsidRPr="00F72FE3">
              <w:rPr>
                <w:rStyle w:val="Hyperlink"/>
                <w:rFonts w:ascii="Arial" w:hAnsi="Arial" w:cs="Arial"/>
                <w:noProof/>
                <w:sz w:val="24"/>
              </w:rPr>
              <w:t>4. Investment Appraisal and Capital Budgeting.</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_Toc217216303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16</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304" w:history="1">
            <w:r w:rsidR="00F72FE3" w:rsidRPr="00F72FE3">
              <w:rPr>
                <w:rStyle w:val="Hyperlink"/>
                <w:rFonts w:ascii="Arial" w:hAnsi="Arial" w:cs="Arial"/>
                <w:noProof/>
                <w:sz w:val="24"/>
              </w:rPr>
              <w:t>4.1 Significance of the Capital Budgeting in Financial Recovery</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_Toc217216304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16</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305" w:history="1">
            <w:r w:rsidR="00F72FE3" w:rsidRPr="00F72FE3">
              <w:rPr>
                <w:rStyle w:val="Hyperlink"/>
                <w:rFonts w:ascii="Arial" w:hAnsi="Arial" w:cs="Arial"/>
                <w:noProof/>
                <w:sz w:val="24"/>
              </w:rPr>
              <w:t>4.2. Overview of Proposed Projects.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_Toc217216305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17</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306" w:history="1">
            <w:r w:rsidR="00F72FE3" w:rsidRPr="00F72FE3">
              <w:rPr>
                <w:rStyle w:val="Hyperlink"/>
                <w:rFonts w:ascii="Arial" w:hAnsi="Arial" w:cs="Arial"/>
                <w:noProof/>
                <w:sz w:val="24"/>
              </w:rPr>
              <w:t>4.3 Payback Period (PBP)</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_Toc217216306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18</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307" w:history="1">
            <w:r w:rsidR="00F72FE3" w:rsidRPr="00F72FE3">
              <w:rPr>
                <w:rStyle w:val="Hyperlink"/>
                <w:rFonts w:ascii="Arial" w:hAnsi="Arial" w:cs="Arial"/>
                <w:noProof/>
                <w:sz w:val="24"/>
              </w:rPr>
              <w:t>4.4 Accounting Rate of Return (ARR)</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_Toc217216307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18</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308" w:history="1">
            <w:r w:rsidR="00F72FE3" w:rsidRPr="00F72FE3">
              <w:rPr>
                <w:rStyle w:val="Hyperlink"/>
                <w:rFonts w:ascii="Arial" w:hAnsi="Arial" w:cs="Arial"/>
                <w:noProof/>
                <w:sz w:val="24"/>
              </w:rPr>
              <w:t>4.6 Internal Rate of Return (IRR)</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_Toc217216308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20</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309" w:history="1">
            <w:r w:rsidR="00F72FE3" w:rsidRPr="00F72FE3">
              <w:rPr>
                <w:rStyle w:val="Hyperlink"/>
                <w:rFonts w:ascii="Arial" w:hAnsi="Arial" w:cs="Arial"/>
                <w:noProof/>
                <w:sz w:val="24"/>
              </w:rPr>
              <w:t>4.8 Decision of Capital Rationing (60m Constraint)</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_Toc217216309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21</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310" w:history="1">
            <w:r w:rsidR="00F72FE3" w:rsidRPr="00F72FE3">
              <w:rPr>
                <w:rStyle w:val="Hyperlink"/>
                <w:rFonts w:ascii="Arial" w:hAnsi="Arial" w:cs="Arial"/>
                <w:noProof/>
                <w:sz w:val="24"/>
              </w:rPr>
              <w:t>4.9 Risk Assessment and Financial Justification.</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_Toc217216310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21</w:t>
            </w:r>
            <w:r w:rsidR="00F72FE3" w:rsidRPr="00F72FE3">
              <w:rPr>
                <w:rFonts w:ascii="Arial" w:hAnsi="Arial" w:cs="Arial"/>
                <w:noProof/>
                <w:webHidden/>
                <w:sz w:val="24"/>
              </w:rPr>
              <w:fldChar w:fldCharType="end"/>
            </w:r>
          </w:hyperlink>
        </w:p>
        <w:p w:rsidR="00F72FE3" w:rsidRPr="00F72FE3" w:rsidRDefault="00C642B6">
          <w:pPr>
            <w:pStyle w:val="TOC2"/>
            <w:tabs>
              <w:tab w:val="right" w:leader="dot" w:pos="9350"/>
            </w:tabs>
            <w:rPr>
              <w:rFonts w:ascii="Arial" w:eastAsiaTheme="minorEastAsia" w:hAnsi="Arial" w:cs="Arial"/>
              <w:noProof/>
              <w:sz w:val="24"/>
              <w:lang w:eastAsia="en-GB"/>
            </w:rPr>
          </w:pPr>
          <w:hyperlink w:anchor="_Toc217216311" w:history="1">
            <w:r w:rsidR="00F72FE3" w:rsidRPr="00F72FE3">
              <w:rPr>
                <w:rStyle w:val="Hyperlink"/>
                <w:rFonts w:ascii="Arial" w:hAnsi="Arial" w:cs="Arial"/>
                <w:noProof/>
                <w:sz w:val="24"/>
              </w:rPr>
              <w:t>4.10. Final Investment Recommendation</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_Toc217216311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22</w:t>
            </w:r>
            <w:r w:rsidR="00F72FE3" w:rsidRPr="00F72FE3">
              <w:rPr>
                <w:rFonts w:ascii="Arial" w:hAnsi="Arial" w:cs="Arial"/>
                <w:noProof/>
                <w:webHidden/>
                <w:sz w:val="24"/>
              </w:rPr>
              <w:fldChar w:fldCharType="end"/>
            </w:r>
          </w:hyperlink>
        </w:p>
        <w:p w:rsidR="00F72FE3" w:rsidRPr="00F72FE3" w:rsidRDefault="00C642B6">
          <w:pPr>
            <w:pStyle w:val="TOC1"/>
            <w:tabs>
              <w:tab w:val="right" w:leader="dot" w:pos="9350"/>
            </w:tabs>
            <w:rPr>
              <w:rFonts w:ascii="Arial" w:eastAsiaTheme="minorEastAsia" w:hAnsi="Arial" w:cs="Arial"/>
              <w:noProof/>
              <w:sz w:val="24"/>
              <w:lang w:eastAsia="en-GB"/>
            </w:rPr>
          </w:pPr>
          <w:hyperlink w:anchor="_Toc217216312" w:history="1">
            <w:r w:rsidR="00F72FE3" w:rsidRPr="00F72FE3">
              <w:rPr>
                <w:rStyle w:val="Hyperlink"/>
                <w:rFonts w:ascii="Arial" w:hAnsi="Arial" w:cs="Arial"/>
                <w:noProof/>
                <w:sz w:val="24"/>
              </w:rPr>
              <w:t>5. Conclusion</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_Toc217216312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23</w:t>
            </w:r>
            <w:r w:rsidR="00F72FE3" w:rsidRPr="00F72FE3">
              <w:rPr>
                <w:rFonts w:ascii="Arial" w:hAnsi="Arial" w:cs="Arial"/>
                <w:noProof/>
                <w:webHidden/>
                <w:sz w:val="24"/>
              </w:rPr>
              <w:fldChar w:fldCharType="end"/>
            </w:r>
          </w:hyperlink>
        </w:p>
        <w:p w:rsidR="00F72FE3" w:rsidRPr="00F72FE3" w:rsidRDefault="00C642B6">
          <w:pPr>
            <w:pStyle w:val="TOC1"/>
            <w:tabs>
              <w:tab w:val="right" w:leader="dot" w:pos="9350"/>
            </w:tabs>
            <w:rPr>
              <w:rFonts w:ascii="Arial" w:eastAsiaTheme="minorEastAsia" w:hAnsi="Arial" w:cs="Arial"/>
              <w:noProof/>
              <w:sz w:val="24"/>
              <w:lang w:eastAsia="en-GB"/>
            </w:rPr>
          </w:pPr>
          <w:hyperlink w:anchor="_Toc217216313" w:history="1">
            <w:r w:rsidR="00F72FE3" w:rsidRPr="00F72FE3">
              <w:rPr>
                <w:rStyle w:val="Hyperlink"/>
                <w:rFonts w:ascii="Arial" w:hAnsi="Arial" w:cs="Arial"/>
                <w:noProof/>
                <w:sz w:val="24"/>
              </w:rPr>
              <w:t>6. Reference</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_Toc217216313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24</w:t>
            </w:r>
            <w:r w:rsidR="00F72FE3" w:rsidRPr="00F72FE3">
              <w:rPr>
                <w:rFonts w:ascii="Arial" w:hAnsi="Arial" w:cs="Arial"/>
                <w:noProof/>
                <w:webHidden/>
                <w:sz w:val="24"/>
              </w:rPr>
              <w:fldChar w:fldCharType="end"/>
            </w:r>
          </w:hyperlink>
        </w:p>
        <w:p w:rsidR="00F72FE3" w:rsidRPr="00F72FE3" w:rsidRDefault="00C642B6">
          <w:pPr>
            <w:pStyle w:val="TOC1"/>
            <w:tabs>
              <w:tab w:val="right" w:leader="dot" w:pos="9350"/>
            </w:tabs>
            <w:rPr>
              <w:rFonts w:ascii="Arial" w:eastAsiaTheme="minorEastAsia" w:hAnsi="Arial" w:cs="Arial"/>
              <w:noProof/>
              <w:sz w:val="24"/>
              <w:lang w:eastAsia="en-GB"/>
            </w:rPr>
          </w:pPr>
          <w:hyperlink w:anchor="_Toc217216314" w:history="1">
            <w:r w:rsidR="00F72FE3" w:rsidRPr="00F72FE3">
              <w:rPr>
                <w:rStyle w:val="Hyperlink"/>
                <w:rFonts w:ascii="Arial" w:hAnsi="Arial" w:cs="Arial"/>
                <w:noProof/>
                <w:sz w:val="24"/>
              </w:rPr>
              <w:t>7. Appendices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_Toc217216314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27</w:t>
            </w:r>
            <w:r w:rsidR="00F72FE3" w:rsidRPr="00F72FE3">
              <w:rPr>
                <w:rFonts w:ascii="Arial" w:hAnsi="Arial" w:cs="Arial"/>
                <w:noProof/>
                <w:webHidden/>
                <w:sz w:val="24"/>
              </w:rPr>
              <w:fldChar w:fldCharType="end"/>
            </w:r>
          </w:hyperlink>
        </w:p>
        <w:p w:rsidR="00F72FE3" w:rsidRDefault="00C642B6">
          <w:pPr>
            <w:pStyle w:val="TOC2"/>
            <w:tabs>
              <w:tab w:val="left" w:pos="880"/>
              <w:tab w:val="right" w:leader="dot" w:pos="9350"/>
            </w:tabs>
            <w:rPr>
              <w:rFonts w:eastAsiaTheme="minorEastAsia"/>
              <w:noProof/>
              <w:lang w:eastAsia="en-GB"/>
            </w:rPr>
          </w:pPr>
          <w:hyperlink w:anchor="_Toc217216315" w:history="1">
            <w:r w:rsidR="00F72FE3" w:rsidRPr="00F72FE3">
              <w:rPr>
                <w:rStyle w:val="Hyperlink"/>
                <w:rFonts w:ascii="Arial" w:eastAsia="Times New Roman" w:hAnsi="Arial" w:cs="Arial"/>
                <w:b/>
                <w:bCs/>
                <w:noProof/>
                <w:sz w:val="24"/>
                <w:lang w:eastAsia="en-GB"/>
              </w:rPr>
              <w:t>7.2</w:t>
            </w:r>
            <w:r w:rsidR="00F72FE3" w:rsidRPr="00F72FE3">
              <w:rPr>
                <w:rFonts w:ascii="Arial" w:eastAsiaTheme="minorEastAsia" w:hAnsi="Arial" w:cs="Arial"/>
                <w:noProof/>
                <w:sz w:val="24"/>
                <w:lang w:eastAsia="en-GB"/>
              </w:rPr>
              <w:tab/>
            </w:r>
            <w:r w:rsidR="00F72FE3" w:rsidRPr="00F72FE3">
              <w:rPr>
                <w:rStyle w:val="Hyperlink"/>
                <w:rFonts w:ascii="Arial" w:eastAsia="Times New Roman" w:hAnsi="Arial" w:cs="Arial"/>
                <w:b/>
                <w:bCs/>
                <w:noProof/>
                <w:sz w:val="24"/>
                <w:lang w:eastAsia="en-GB"/>
              </w:rPr>
              <w:t>Graphs</w:t>
            </w:r>
            <w:r w:rsidR="00F72FE3" w:rsidRPr="00F72FE3">
              <w:rPr>
                <w:rFonts w:ascii="Arial" w:hAnsi="Arial" w:cs="Arial"/>
                <w:noProof/>
                <w:webHidden/>
                <w:sz w:val="24"/>
              </w:rPr>
              <w:tab/>
            </w:r>
            <w:r w:rsidR="00F72FE3" w:rsidRPr="00F72FE3">
              <w:rPr>
                <w:rFonts w:ascii="Arial" w:hAnsi="Arial" w:cs="Arial"/>
                <w:noProof/>
                <w:webHidden/>
                <w:sz w:val="24"/>
              </w:rPr>
              <w:fldChar w:fldCharType="begin"/>
            </w:r>
            <w:r w:rsidR="00F72FE3" w:rsidRPr="00F72FE3">
              <w:rPr>
                <w:rFonts w:ascii="Arial" w:hAnsi="Arial" w:cs="Arial"/>
                <w:noProof/>
                <w:webHidden/>
                <w:sz w:val="24"/>
              </w:rPr>
              <w:instrText xml:space="preserve"> PAGEREF _Toc217216315 \h </w:instrText>
            </w:r>
            <w:r w:rsidR="00F72FE3" w:rsidRPr="00F72FE3">
              <w:rPr>
                <w:rFonts w:ascii="Arial" w:hAnsi="Arial" w:cs="Arial"/>
                <w:noProof/>
                <w:webHidden/>
                <w:sz w:val="24"/>
              </w:rPr>
            </w:r>
            <w:r w:rsidR="00F72FE3" w:rsidRPr="00F72FE3">
              <w:rPr>
                <w:rFonts w:ascii="Arial" w:hAnsi="Arial" w:cs="Arial"/>
                <w:noProof/>
                <w:webHidden/>
                <w:sz w:val="24"/>
              </w:rPr>
              <w:fldChar w:fldCharType="separate"/>
            </w:r>
            <w:r w:rsidR="00F72FE3" w:rsidRPr="00F72FE3">
              <w:rPr>
                <w:rFonts w:ascii="Arial" w:hAnsi="Arial" w:cs="Arial"/>
                <w:noProof/>
                <w:webHidden/>
                <w:sz w:val="24"/>
              </w:rPr>
              <w:t>28</w:t>
            </w:r>
            <w:r w:rsidR="00F72FE3" w:rsidRPr="00F72FE3">
              <w:rPr>
                <w:rFonts w:ascii="Arial" w:hAnsi="Arial" w:cs="Arial"/>
                <w:noProof/>
                <w:webHidden/>
                <w:sz w:val="24"/>
              </w:rPr>
              <w:fldChar w:fldCharType="end"/>
            </w:r>
          </w:hyperlink>
        </w:p>
        <w:p w:rsidR="00FC1E56" w:rsidRPr="0015228E" w:rsidRDefault="002246A5" w:rsidP="0015228E">
          <w:pPr>
            <w:jc w:val="both"/>
            <w:rPr>
              <w:rFonts w:ascii="Arial" w:hAnsi="Arial" w:cs="Arial"/>
              <w:b/>
              <w:bCs/>
              <w:noProof/>
              <w:sz w:val="24"/>
              <w:szCs w:val="24"/>
            </w:rPr>
          </w:pPr>
          <w:r w:rsidRPr="0015228E">
            <w:rPr>
              <w:rFonts w:ascii="Arial" w:hAnsi="Arial" w:cs="Arial"/>
              <w:b/>
              <w:bCs/>
              <w:noProof/>
              <w:sz w:val="24"/>
              <w:szCs w:val="24"/>
            </w:rPr>
            <w:fldChar w:fldCharType="end"/>
          </w:r>
        </w:p>
      </w:sdtContent>
    </w:sdt>
    <w:p w:rsidR="002246A5" w:rsidRPr="00FC1E56" w:rsidRDefault="002246A5" w:rsidP="00FC1E56">
      <w:pPr>
        <w:rPr>
          <w:rFonts w:ascii="Arial" w:hAnsi="Arial" w:cs="Arial"/>
          <w:b/>
          <w:bCs/>
          <w:noProof/>
        </w:rPr>
        <w:sectPr w:rsidR="002246A5" w:rsidRPr="00FC1E56" w:rsidSect="00037DCA">
          <w:footerReference w:type="default" r:id="rId8"/>
          <w:pgSz w:w="12240" w:h="15840"/>
          <w:pgMar w:top="1440" w:right="1440" w:bottom="1440" w:left="1440" w:header="720" w:footer="720" w:gutter="0"/>
          <w:pgBorders w:offsetFrom="page">
            <w:top w:val="flowersTiny" w:sz="14" w:space="24" w:color="auto"/>
            <w:left w:val="flowersTiny" w:sz="14" w:space="24" w:color="auto"/>
            <w:bottom w:val="flowersTiny" w:sz="14" w:space="24" w:color="auto"/>
            <w:right w:val="flowersTiny" w:sz="14" w:space="24" w:color="auto"/>
          </w:pgBorders>
          <w:pgNumType w:fmt="lowerRoman"/>
          <w:cols w:space="720"/>
        </w:sectPr>
      </w:pPr>
    </w:p>
    <w:p w:rsidR="00657EF4" w:rsidRDefault="00FD172A" w:rsidP="006662CF">
      <w:pPr>
        <w:pStyle w:val="Heading1"/>
        <w:spacing w:after="240"/>
      </w:pPr>
      <w:bookmarkStart w:id="1" w:name="_Toc217216267"/>
      <w:r w:rsidRPr="00FD172A">
        <w:lastRenderedPageBreak/>
        <w:t>Introduction</w:t>
      </w:r>
      <w:bookmarkEnd w:id="1"/>
    </w:p>
    <w:p w:rsidR="00EB367B" w:rsidRPr="00EB367B" w:rsidRDefault="00EB367B" w:rsidP="006662CF">
      <w:pPr>
        <w:spacing w:after="240" w:line="360" w:lineRule="auto"/>
        <w:jc w:val="both"/>
        <w:rPr>
          <w:rFonts w:ascii="Arial" w:hAnsi="Arial" w:cs="Arial"/>
          <w:sz w:val="24"/>
        </w:rPr>
      </w:pPr>
      <w:r w:rsidRPr="00EB367B">
        <w:rPr>
          <w:rFonts w:ascii="Arial" w:hAnsi="Arial" w:cs="Arial"/>
          <w:sz w:val="24"/>
        </w:rPr>
        <w:t>The role of the Chief Financial Officer (CFO) has been extended to a large degree in the wake of increased economic uncertainty around the world, supply chain disruptions, inflationary pressures, and rapid technological change. Financial control and regulatory compliance have become only one part of the tasks of modern CFOs, who now need to be at the core of strategic decisions, risk management, and long-term value creation (</w:t>
      </w:r>
      <w:proofErr w:type="spellStart"/>
      <w:r w:rsidRPr="00EB367B">
        <w:rPr>
          <w:rFonts w:ascii="Arial" w:hAnsi="Arial" w:cs="Arial"/>
          <w:sz w:val="24"/>
        </w:rPr>
        <w:t>Brealey</w:t>
      </w:r>
      <w:proofErr w:type="spellEnd"/>
      <w:r w:rsidRPr="00EB367B">
        <w:rPr>
          <w:rFonts w:ascii="Arial" w:hAnsi="Arial" w:cs="Arial"/>
          <w:sz w:val="24"/>
        </w:rPr>
        <w:t xml:space="preserve">, Myers and Allen, 2023; </w:t>
      </w:r>
      <w:proofErr w:type="spellStart"/>
      <w:r w:rsidRPr="00EB367B">
        <w:rPr>
          <w:rFonts w:ascii="Arial" w:hAnsi="Arial" w:cs="Arial"/>
          <w:sz w:val="24"/>
        </w:rPr>
        <w:t>Atrill</w:t>
      </w:r>
      <w:proofErr w:type="spellEnd"/>
      <w:r w:rsidRPr="00EB367B">
        <w:rPr>
          <w:rFonts w:ascii="Arial" w:hAnsi="Arial" w:cs="Arial"/>
          <w:sz w:val="24"/>
        </w:rPr>
        <w:t xml:space="preserve"> and </w:t>
      </w:r>
      <w:proofErr w:type="spellStart"/>
      <w:r w:rsidRPr="00EB367B">
        <w:rPr>
          <w:rFonts w:ascii="Arial" w:hAnsi="Arial" w:cs="Arial"/>
          <w:sz w:val="24"/>
        </w:rPr>
        <w:t>McLaney</w:t>
      </w:r>
      <w:proofErr w:type="spellEnd"/>
      <w:r w:rsidRPr="00EB367B">
        <w:rPr>
          <w:rFonts w:ascii="Arial" w:hAnsi="Arial" w:cs="Arial"/>
          <w:sz w:val="24"/>
        </w:rPr>
        <w:t xml:space="preserve">, 2024). </w:t>
      </w:r>
    </w:p>
    <w:p w:rsidR="00EB367B" w:rsidRPr="00EB367B" w:rsidRDefault="00EB367B" w:rsidP="00EB367B">
      <w:pPr>
        <w:spacing w:line="360" w:lineRule="auto"/>
        <w:jc w:val="both"/>
        <w:rPr>
          <w:rFonts w:ascii="Arial" w:hAnsi="Arial" w:cs="Arial"/>
          <w:sz w:val="24"/>
        </w:rPr>
      </w:pPr>
      <w:r w:rsidRPr="00EB367B">
        <w:rPr>
          <w:rFonts w:ascii="Arial" w:hAnsi="Arial" w:cs="Arial"/>
          <w:sz w:val="24"/>
        </w:rPr>
        <w:t xml:space="preserve">Report is prepared in the view of newly appointed CFO of General Electric who is a troubled multinational consumer electronics company with a history of decreasing revenue, declining profitability and rising liquidity strain during the 2020-2024. Recent research notes that long-term drops in operating performance as well as poor working capital management are some of the greatest indicators of corporate failure among international manufacturing companies (Altman et al., 2022; Ross et al., 2024). </w:t>
      </w:r>
    </w:p>
    <w:p w:rsidR="00EB367B" w:rsidRPr="00EB367B" w:rsidRDefault="00EB367B" w:rsidP="00EB367B">
      <w:pPr>
        <w:spacing w:line="360" w:lineRule="auto"/>
        <w:jc w:val="both"/>
        <w:rPr>
          <w:rFonts w:ascii="Arial" w:hAnsi="Arial" w:cs="Arial"/>
          <w:sz w:val="24"/>
        </w:rPr>
      </w:pPr>
      <w:r w:rsidRPr="00EB367B">
        <w:rPr>
          <w:rFonts w:ascii="Arial" w:hAnsi="Arial" w:cs="Arial"/>
          <w:sz w:val="24"/>
        </w:rPr>
        <w:t xml:space="preserve">This assignment is mainly aimed at critically analysing the financial performance and financial management practices of General Electronics based on the published income statements, balance sheets and cash flow statements of this corporation. The analysis will commence with an in-depth analysis on the financial health status including a ratio analysis, trend analysis and corporate failure prediction models including the Altman Z-Score to analyse the solvency and default risk. </w:t>
      </w:r>
    </w:p>
    <w:p w:rsidR="00EB367B" w:rsidRDefault="00EB367B" w:rsidP="00EB367B">
      <w:pPr>
        <w:spacing w:line="360" w:lineRule="auto"/>
        <w:jc w:val="both"/>
        <w:rPr>
          <w:rFonts w:ascii="Arial" w:hAnsi="Arial" w:cs="Arial"/>
          <w:sz w:val="24"/>
        </w:rPr>
      </w:pPr>
    </w:p>
    <w:p w:rsidR="00F72FE3" w:rsidRDefault="00F72FE3" w:rsidP="00EB367B">
      <w:pPr>
        <w:spacing w:line="360" w:lineRule="auto"/>
        <w:jc w:val="both"/>
        <w:rPr>
          <w:rFonts w:ascii="Arial" w:hAnsi="Arial" w:cs="Arial"/>
          <w:sz w:val="24"/>
        </w:rPr>
      </w:pPr>
    </w:p>
    <w:p w:rsidR="00F72FE3" w:rsidRDefault="00F72FE3" w:rsidP="00EB367B">
      <w:pPr>
        <w:spacing w:line="360" w:lineRule="auto"/>
        <w:jc w:val="both"/>
        <w:rPr>
          <w:rFonts w:ascii="Arial" w:hAnsi="Arial" w:cs="Arial"/>
          <w:sz w:val="24"/>
        </w:rPr>
      </w:pPr>
    </w:p>
    <w:p w:rsidR="00F72FE3" w:rsidRDefault="00F72FE3" w:rsidP="00EB367B">
      <w:pPr>
        <w:spacing w:line="360" w:lineRule="auto"/>
        <w:jc w:val="both"/>
        <w:rPr>
          <w:rFonts w:ascii="Arial" w:hAnsi="Arial" w:cs="Arial"/>
          <w:sz w:val="24"/>
        </w:rPr>
      </w:pPr>
    </w:p>
    <w:p w:rsidR="00F72FE3" w:rsidRDefault="00F72FE3" w:rsidP="00EB367B">
      <w:pPr>
        <w:spacing w:line="360" w:lineRule="auto"/>
        <w:jc w:val="both"/>
        <w:rPr>
          <w:rFonts w:ascii="Arial" w:hAnsi="Arial" w:cs="Arial"/>
          <w:sz w:val="24"/>
        </w:rPr>
      </w:pPr>
    </w:p>
    <w:p w:rsidR="00F72FE3" w:rsidRPr="00EB367B" w:rsidRDefault="00F72FE3" w:rsidP="00EB367B">
      <w:pPr>
        <w:spacing w:line="360" w:lineRule="auto"/>
        <w:jc w:val="both"/>
        <w:rPr>
          <w:rFonts w:ascii="Arial" w:hAnsi="Arial" w:cs="Arial"/>
          <w:sz w:val="24"/>
        </w:rPr>
      </w:pPr>
    </w:p>
    <w:p w:rsidR="0036664A" w:rsidRPr="0036664A" w:rsidRDefault="0036664A" w:rsidP="0036664A">
      <w:pPr>
        <w:spacing w:line="360" w:lineRule="auto"/>
        <w:jc w:val="both"/>
        <w:rPr>
          <w:rFonts w:ascii="Arial" w:hAnsi="Arial" w:cs="Arial"/>
          <w:sz w:val="24"/>
        </w:rPr>
      </w:pPr>
    </w:p>
    <w:p w:rsidR="004724E1" w:rsidRPr="006662CF" w:rsidRDefault="0036664A" w:rsidP="006662CF">
      <w:pPr>
        <w:pStyle w:val="Heading1"/>
        <w:spacing w:after="240"/>
      </w:pPr>
      <w:bookmarkStart w:id="2" w:name="_Toc217216268"/>
      <w:r w:rsidRPr="0036664A">
        <w:lastRenderedPageBreak/>
        <w:t>1. Financial Health Analysis of General Electronics.</w:t>
      </w:r>
      <w:bookmarkEnd w:id="2"/>
    </w:p>
    <w:p w:rsidR="00825DD9" w:rsidRPr="00825DD9" w:rsidRDefault="00825DD9" w:rsidP="006662CF">
      <w:pPr>
        <w:pStyle w:val="Heading2"/>
        <w:spacing w:after="240"/>
      </w:pPr>
      <w:bookmarkStart w:id="3" w:name="_Toc217216269"/>
      <w:r w:rsidRPr="00825DD9">
        <w:t>1.1 Financial Perform</w:t>
      </w:r>
      <w:r w:rsidR="004724E1">
        <w:t>ance overview (202024) overview</w:t>
      </w:r>
      <w:bookmarkEnd w:id="3"/>
    </w:p>
    <w:p w:rsidR="00825DD9" w:rsidRPr="00825DD9" w:rsidRDefault="00825DD9" w:rsidP="006662CF">
      <w:pPr>
        <w:spacing w:after="240" w:line="360" w:lineRule="auto"/>
        <w:jc w:val="both"/>
        <w:rPr>
          <w:rFonts w:ascii="Arial" w:hAnsi="Arial" w:cs="Arial"/>
          <w:sz w:val="24"/>
        </w:rPr>
      </w:pPr>
      <w:r w:rsidRPr="00825DD9">
        <w:rPr>
          <w:rFonts w:ascii="Arial" w:hAnsi="Arial" w:cs="Arial"/>
          <w:sz w:val="24"/>
        </w:rPr>
        <w:t>Acute financial fitness examination is a requirement in the diagnosis of the depth and underlying causes of the financial suffering of General Electronics. The analysis of the financial statements of the period between 2020 and 2024 shows that the trend of revenue, profitability, liquidity, and the shareholder value had steadily declined over the five years. (</w:t>
      </w:r>
      <w:proofErr w:type="spellStart"/>
      <w:r w:rsidRPr="00825DD9">
        <w:rPr>
          <w:rFonts w:ascii="Arial" w:hAnsi="Arial" w:cs="Arial"/>
          <w:sz w:val="24"/>
        </w:rPr>
        <w:t>Brealey</w:t>
      </w:r>
      <w:proofErr w:type="spellEnd"/>
      <w:r w:rsidRPr="00825DD9">
        <w:rPr>
          <w:rFonts w:ascii="Arial" w:hAnsi="Arial" w:cs="Arial"/>
          <w:sz w:val="24"/>
        </w:rPr>
        <w:t>, Myers and Allen, 2</w:t>
      </w:r>
      <w:r w:rsidR="004724E1">
        <w:rPr>
          <w:rFonts w:ascii="Arial" w:hAnsi="Arial" w:cs="Arial"/>
          <w:sz w:val="24"/>
        </w:rPr>
        <w:t xml:space="preserve">023; </w:t>
      </w:r>
      <w:proofErr w:type="spellStart"/>
      <w:r w:rsidR="004724E1">
        <w:rPr>
          <w:rFonts w:ascii="Arial" w:hAnsi="Arial" w:cs="Arial"/>
          <w:sz w:val="24"/>
        </w:rPr>
        <w:t>Atrill</w:t>
      </w:r>
      <w:proofErr w:type="spellEnd"/>
      <w:r w:rsidR="004724E1">
        <w:rPr>
          <w:rFonts w:ascii="Arial" w:hAnsi="Arial" w:cs="Arial"/>
          <w:sz w:val="24"/>
        </w:rPr>
        <w:t xml:space="preserve"> and </w:t>
      </w:r>
      <w:proofErr w:type="spellStart"/>
      <w:r w:rsidR="004724E1">
        <w:rPr>
          <w:rFonts w:ascii="Arial" w:hAnsi="Arial" w:cs="Arial"/>
          <w:sz w:val="24"/>
        </w:rPr>
        <w:t>McLaney</w:t>
      </w:r>
      <w:proofErr w:type="spellEnd"/>
      <w:r w:rsidR="004724E1">
        <w:rPr>
          <w:rFonts w:ascii="Arial" w:hAnsi="Arial" w:cs="Arial"/>
          <w:sz w:val="24"/>
        </w:rPr>
        <w:t>, 2024).</w:t>
      </w:r>
    </w:p>
    <w:p w:rsidR="00825DD9" w:rsidRPr="00825DD9" w:rsidRDefault="00825DD9" w:rsidP="00825DD9">
      <w:pPr>
        <w:spacing w:line="360" w:lineRule="auto"/>
        <w:jc w:val="both"/>
        <w:rPr>
          <w:rFonts w:ascii="Arial" w:hAnsi="Arial" w:cs="Arial"/>
          <w:sz w:val="24"/>
        </w:rPr>
      </w:pPr>
      <w:r w:rsidRPr="00825DD9">
        <w:rPr>
          <w:rFonts w:ascii="Arial" w:hAnsi="Arial" w:cs="Arial"/>
          <w:sz w:val="24"/>
        </w:rPr>
        <w:t xml:space="preserve">The net sales of General Electronics experienced a drastic decrease in 2020 (net sales amounted to £614,680m) to 2024 (net sales amounted to £394,879m), and the change was by about 36. Such a shrinkage symbolizes the declining demand, high competition in the global market, and the possibility of having outdated products in the consumer electronics market. </w:t>
      </w:r>
      <w:r w:rsidR="004724E1">
        <w:rPr>
          <w:rFonts w:ascii="Arial" w:hAnsi="Arial" w:cs="Arial"/>
          <w:sz w:val="24"/>
        </w:rPr>
        <w:t>(Ross et al., 2024).</w:t>
      </w:r>
    </w:p>
    <w:p w:rsidR="00825DD9" w:rsidRPr="004724E1" w:rsidRDefault="00825DD9" w:rsidP="006662CF">
      <w:pPr>
        <w:pStyle w:val="Heading2"/>
        <w:spacing w:after="240"/>
      </w:pPr>
      <w:bookmarkStart w:id="4" w:name="_Toc217216270"/>
      <w:r w:rsidRPr="004724E1">
        <w:t>1.2 Profitabilit</w:t>
      </w:r>
      <w:r w:rsidR="004724E1" w:rsidRPr="004724E1">
        <w:t>y Analysis</w:t>
      </w:r>
      <w:bookmarkEnd w:id="4"/>
    </w:p>
    <w:p w:rsidR="00825DD9" w:rsidRPr="00825DD9" w:rsidRDefault="00825DD9" w:rsidP="006662CF">
      <w:pPr>
        <w:spacing w:after="240" w:line="360" w:lineRule="auto"/>
        <w:jc w:val="both"/>
        <w:rPr>
          <w:rFonts w:ascii="Arial" w:hAnsi="Arial" w:cs="Arial"/>
          <w:sz w:val="24"/>
        </w:rPr>
      </w:pPr>
      <w:r w:rsidRPr="00825DD9">
        <w:rPr>
          <w:rFonts w:ascii="Arial" w:hAnsi="Arial" w:cs="Arial"/>
          <w:sz w:val="24"/>
        </w:rPr>
        <w:t>Profitability ratios give an understanding of the capacity of a firm to make profits in comparison with sales, assets and equity. The level of profitability of General Electronics has declined signif</w:t>
      </w:r>
      <w:r w:rsidR="004724E1">
        <w:rPr>
          <w:rFonts w:ascii="Arial" w:hAnsi="Arial" w:cs="Arial"/>
          <w:sz w:val="24"/>
        </w:rPr>
        <w:t>icantly over the review period.</w:t>
      </w:r>
    </w:p>
    <w:p w:rsidR="00825DD9" w:rsidRPr="004724E1" w:rsidRDefault="00F02A0C" w:rsidP="00F02A0C">
      <w:pPr>
        <w:pStyle w:val="Heading3"/>
      </w:pPr>
      <w:bookmarkStart w:id="5" w:name="_Toc217216271"/>
      <w:r>
        <w:t xml:space="preserve">1.2.1 </w:t>
      </w:r>
      <w:r w:rsidR="00825DD9" w:rsidRPr="004724E1">
        <w:t>Gross Profit Margin</w:t>
      </w:r>
      <w:bookmarkEnd w:id="5"/>
    </w:p>
    <w:p w:rsidR="004724E1" w:rsidRPr="00A473AD" w:rsidRDefault="004724E1" w:rsidP="004724E1">
      <w:pPr>
        <w:spacing w:line="360" w:lineRule="auto"/>
        <w:jc w:val="center"/>
        <w:rPr>
          <w:rFonts w:ascii="Arial" w:hAnsi="Arial" w:cs="Arial"/>
          <w:sz w:val="24"/>
        </w:rPr>
      </w:pPr>
      <w:r w:rsidRPr="00A473AD">
        <w:rPr>
          <w:rFonts w:ascii="Arial" w:hAnsi="Arial" w:cs="Arial"/>
          <w:sz w:val="24"/>
        </w:rPr>
        <w:t>GPM=</w:t>
      </w:r>
      <w:r>
        <w:rPr>
          <w:rFonts w:ascii="Arial" w:hAnsi="Arial" w:cs="Arial"/>
          <w:sz w:val="24"/>
        </w:rPr>
        <w:t xml:space="preserve"> </w:t>
      </w:r>
      <m:oMath>
        <m:f>
          <m:fPr>
            <m:ctrlPr>
              <w:rPr>
                <w:rFonts w:ascii="Cambria Math" w:hAnsi="Cambria Math" w:cs="Arial"/>
                <w:i/>
                <w:sz w:val="24"/>
              </w:rPr>
            </m:ctrlPr>
          </m:fPr>
          <m:num>
            <m:r>
              <w:rPr>
                <w:rFonts w:ascii="Cambria Math" w:hAnsi="Cambria Math" w:cs="Arial"/>
                <w:sz w:val="24"/>
              </w:rPr>
              <m:t>Gross Profit</m:t>
            </m:r>
          </m:num>
          <m:den>
            <m:r>
              <w:rPr>
                <w:rFonts w:ascii="Cambria Math" w:hAnsi="Cambria Math" w:cs="Arial"/>
                <w:sz w:val="24"/>
              </w:rPr>
              <m:t>Net Sales</m:t>
            </m:r>
          </m:den>
        </m:f>
      </m:oMath>
      <w:r w:rsidRPr="00A473AD">
        <w:rPr>
          <w:rFonts w:ascii="Arial" w:eastAsiaTheme="minorEastAsia" w:hAnsi="Arial" w:cs="Arial"/>
          <w:sz w:val="24"/>
        </w:rPr>
        <w:t>×100</w:t>
      </w:r>
    </w:p>
    <w:tbl>
      <w:tblPr>
        <w:tblStyle w:val="TableGrid"/>
        <w:tblW w:w="0" w:type="auto"/>
        <w:tblLook w:val="04A0" w:firstRow="1" w:lastRow="0" w:firstColumn="1" w:lastColumn="0" w:noHBand="0" w:noVBand="1"/>
      </w:tblPr>
      <w:tblGrid>
        <w:gridCol w:w="2337"/>
        <w:gridCol w:w="2337"/>
        <w:gridCol w:w="2338"/>
        <w:gridCol w:w="2338"/>
      </w:tblGrid>
      <w:tr w:rsidR="004724E1" w:rsidRPr="00A473AD" w:rsidTr="00355995">
        <w:tc>
          <w:tcPr>
            <w:tcW w:w="2337" w:type="dxa"/>
          </w:tcPr>
          <w:p w:rsidR="004724E1" w:rsidRPr="00A473AD" w:rsidRDefault="004724E1" w:rsidP="00355995">
            <w:pPr>
              <w:spacing w:line="360" w:lineRule="auto"/>
              <w:jc w:val="both"/>
              <w:rPr>
                <w:rFonts w:ascii="Arial" w:hAnsi="Arial" w:cs="Arial"/>
                <w:b/>
                <w:sz w:val="24"/>
              </w:rPr>
            </w:pPr>
            <w:r w:rsidRPr="00A473AD">
              <w:rPr>
                <w:rFonts w:ascii="Arial" w:hAnsi="Arial" w:cs="Arial"/>
                <w:b/>
                <w:sz w:val="24"/>
              </w:rPr>
              <w:t>Year</w:t>
            </w:r>
          </w:p>
        </w:tc>
        <w:tc>
          <w:tcPr>
            <w:tcW w:w="2337" w:type="dxa"/>
          </w:tcPr>
          <w:p w:rsidR="004724E1" w:rsidRPr="00A473AD" w:rsidRDefault="004724E1" w:rsidP="00355995">
            <w:pPr>
              <w:spacing w:line="360" w:lineRule="auto"/>
              <w:jc w:val="both"/>
              <w:rPr>
                <w:rFonts w:ascii="Arial" w:hAnsi="Arial" w:cs="Arial"/>
                <w:b/>
                <w:sz w:val="24"/>
              </w:rPr>
            </w:pPr>
            <w:r w:rsidRPr="00A473AD">
              <w:rPr>
                <w:rFonts w:ascii="Arial" w:hAnsi="Arial" w:cs="Arial"/>
                <w:b/>
                <w:sz w:val="24"/>
              </w:rPr>
              <w:t>Gross Profit (£m)</w:t>
            </w:r>
          </w:p>
        </w:tc>
        <w:tc>
          <w:tcPr>
            <w:tcW w:w="2338" w:type="dxa"/>
          </w:tcPr>
          <w:p w:rsidR="004724E1" w:rsidRPr="00A473AD" w:rsidRDefault="004724E1" w:rsidP="00355995">
            <w:pPr>
              <w:spacing w:line="360" w:lineRule="auto"/>
              <w:jc w:val="both"/>
              <w:rPr>
                <w:rFonts w:ascii="Arial" w:hAnsi="Arial" w:cs="Arial"/>
                <w:b/>
                <w:sz w:val="24"/>
              </w:rPr>
            </w:pPr>
            <w:r w:rsidRPr="00A473AD">
              <w:rPr>
                <w:rFonts w:ascii="Arial" w:hAnsi="Arial" w:cs="Arial"/>
                <w:b/>
                <w:sz w:val="24"/>
              </w:rPr>
              <w:t>Net Sales (£m)</w:t>
            </w:r>
          </w:p>
        </w:tc>
        <w:tc>
          <w:tcPr>
            <w:tcW w:w="2338" w:type="dxa"/>
          </w:tcPr>
          <w:p w:rsidR="004724E1" w:rsidRPr="00A473AD" w:rsidRDefault="004724E1" w:rsidP="00355995">
            <w:pPr>
              <w:spacing w:line="360" w:lineRule="auto"/>
              <w:jc w:val="both"/>
              <w:rPr>
                <w:rFonts w:ascii="Arial" w:hAnsi="Arial" w:cs="Arial"/>
                <w:b/>
                <w:sz w:val="24"/>
              </w:rPr>
            </w:pPr>
            <w:r w:rsidRPr="00A473AD">
              <w:rPr>
                <w:rFonts w:ascii="Arial" w:hAnsi="Arial" w:cs="Arial"/>
                <w:b/>
                <w:sz w:val="24"/>
              </w:rPr>
              <w:t>GPM (%)</w:t>
            </w:r>
          </w:p>
        </w:tc>
      </w:tr>
      <w:tr w:rsidR="004724E1" w:rsidRPr="00A473AD" w:rsidTr="00355995">
        <w:tc>
          <w:tcPr>
            <w:tcW w:w="2337"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2024</w:t>
            </w:r>
          </w:p>
        </w:tc>
        <w:tc>
          <w:tcPr>
            <w:tcW w:w="2337"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113,994</w:t>
            </w:r>
          </w:p>
        </w:tc>
        <w:tc>
          <w:tcPr>
            <w:tcW w:w="2338"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394,879</w:t>
            </w:r>
          </w:p>
        </w:tc>
        <w:tc>
          <w:tcPr>
            <w:tcW w:w="2338"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28.9</w:t>
            </w:r>
          </w:p>
        </w:tc>
      </w:tr>
      <w:tr w:rsidR="004724E1" w:rsidRPr="00A473AD" w:rsidTr="00355995">
        <w:tc>
          <w:tcPr>
            <w:tcW w:w="2337"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2023</w:t>
            </w:r>
          </w:p>
        </w:tc>
        <w:tc>
          <w:tcPr>
            <w:tcW w:w="2337"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97,560</w:t>
            </w:r>
          </w:p>
        </w:tc>
        <w:tc>
          <w:tcPr>
            <w:tcW w:w="2338"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420,457</w:t>
            </w:r>
          </w:p>
        </w:tc>
        <w:tc>
          <w:tcPr>
            <w:tcW w:w="2338"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23.2</w:t>
            </w:r>
          </w:p>
        </w:tc>
      </w:tr>
      <w:tr w:rsidR="004724E1" w:rsidRPr="00A473AD" w:rsidTr="00355995">
        <w:tc>
          <w:tcPr>
            <w:tcW w:w="2337"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2022</w:t>
            </w:r>
          </w:p>
        </w:tc>
        <w:tc>
          <w:tcPr>
            <w:tcW w:w="2337"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152,292</w:t>
            </w:r>
          </w:p>
        </w:tc>
        <w:tc>
          <w:tcPr>
            <w:tcW w:w="2338"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542,751</w:t>
            </w:r>
          </w:p>
        </w:tc>
        <w:tc>
          <w:tcPr>
            <w:tcW w:w="2338"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28.1</w:t>
            </w:r>
          </w:p>
        </w:tc>
      </w:tr>
      <w:tr w:rsidR="004724E1" w:rsidRPr="00A473AD" w:rsidTr="00355995">
        <w:tc>
          <w:tcPr>
            <w:tcW w:w="2337"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2021</w:t>
            </w:r>
          </w:p>
        </w:tc>
        <w:tc>
          <w:tcPr>
            <w:tcW w:w="2337"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173,016</w:t>
            </w:r>
          </w:p>
        </w:tc>
        <w:tc>
          <w:tcPr>
            <w:tcW w:w="2338"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601,602</w:t>
            </w:r>
          </w:p>
        </w:tc>
        <w:tc>
          <w:tcPr>
            <w:tcW w:w="2338"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28.8</w:t>
            </w:r>
          </w:p>
        </w:tc>
      </w:tr>
      <w:tr w:rsidR="004724E1" w:rsidRPr="00A473AD" w:rsidTr="00355995">
        <w:tc>
          <w:tcPr>
            <w:tcW w:w="2337"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2020</w:t>
            </w:r>
          </w:p>
        </w:tc>
        <w:tc>
          <w:tcPr>
            <w:tcW w:w="2337"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176,256</w:t>
            </w:r>
          </w:p>
        </w:tc>
        <w:tc>
          <w:tcPr>
            <w:tcW w:w="2338"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614,680</w:t>
            </w:r>
          </w:p>
        </w:tc>
        <w:tc>
          <w:tcPr>
            <w:tcW w:w="2338" w:type="dxa"/>
          </w:tcPr>
          <w:p w:rsidR="004724E1" w:rsidRPr="00A473AD" w:rsidRDefault="004724E1" w:rsidP="00355995">
            <w:pPr>
              <w:spacing w:line="360" w:lineRule="auto"/>
              <w:jc w:val="both"/>
              <w:rPr>
                <w:rFonts w:ascii="Arial" w:hAnsi="Arial" w:cs="Arial"/>
                <w:sz w:val="24"/>
              </w:rPr>
            </w:pPr>
            <w:r w:rsidRPr="00A473AD">
              <w:rPr>
                <w:rFonts w:ascii="Arial" w:hAnsi="Arial" w:cs="Arial"/>
                <w:sz w:val="24"/>
              </w:rPr>
              <w:t>28.7</w:t>
            </w:r>
          </w:p>
        </w:tc>
      </w:tr>
    </w:tbl>
    <w:p w:rsidR="00825DD9" w:rsidRPr="00825DD9" w:rsidRDefault="00825DD9" w:rsidP="00825DD9">
      <w:pPr>
        <w:spacing w:line="360" w:lineRule="auto"/>
        <w:jc w:val="both"/>
        <w:rPr>
          <w:rFonts w:ascii="Arial" w:hAnsi="Arial" w:cs="Arial"/>
          <w:sz w:val="24"/>
        </w:rPr>
      </w:pPr>
    </w:p>
    <w:p w:rsidR="00825DD9" w:rsidRPr="00825DD9" w:rsidRDefault="00825DD9" w:rsidP="00825DD9">
      <w:pPr>
        <w:spacing w:line="360" w:lineRule="auto"/>
        <w:jc w:val="both"/>
        <w:rPr>
          <w:rFonts w:ascii="Arial" w:hAnsi="Arial" w:cs="Arial"/>
          <w:sz w:val="24"/>
        </w:rPr>
      </w:pPr>
      <w:r w:rsidRPr="00825DD9">
        <w:rPr>
          <w:rFonts w:ascii="Arial" w:hAnsi="Arial" w:cs="Arial"/>
          <w:sz w:val="24"/>
        </w:rPr>
        <w:t xml:space="preserve">Gross profit margin worsened to 28.9% in 2024 but it was 28.7% in 2020 because in-between years are highly volatile. The margin is not changing drastically, and in </w:t>
      </w:r>
      <w:r w:rsidRPr="00825DD9">
        <w:rPr>
          <w:rFonts w:ascii="Arial" w:hAnsi="Arial" w:cs="Arial"/>
          <w:sz w:val="24"/>
        </w:rPr>
        <w:lastRenderedPageBreak/>
        <w:t>percentage terms, the margin can be considered as fairly stable, but the absolute gross profit decreased considerably because of the weakening sales volumes. This implies that the company has not been able to balance revenue losses using cost efficiencies only. According to recent research, the consumer electronics companies experience the increasing costs of components, and pressures of prices that limit the possibility of recovering margins in ba</w:t>
      </w:r>
      <w:r w:rsidR="004724E1">
        <w:rPr>
          <w:rFonts w:ascii="Arial" w:hAnsi="Arial" w:cs="Arial"/>
          <w:sz w:val="24"/>
        </w:rPr>
        <w:t>d times (Hillier et al., 2023).</w:t>
      </w:r>
    </w:p>
    <w:p w:rsidR="00825DD9" w:rsidRPr="004724E1" w:rsidRDefault="00F02A0C" w:rsidP="006662CF">
      <w:pPr>
        <w:pStyle w:val="Heading3"/>
        <w:spacing w:after="240"/>
      </w:pPr>
      <w:bookmarkStart w:id="6" w:name="_Toc217216272"/>
      <w:r>
        <w:t xml:space="preserve">1.2.2 </w:t>
      </w:r>
      <w:r w:rsidR="00825DD9" w:rsidRPr="004724E1">
        <w:t>Operating Profit Margin</w:t>
      </w:r>
      <w:bookmarkEnd w:id="6"/>
    </w:p>
    <w:p w:rsidR="004D061D" w:rsidRPr="00E53CC1" w:rsidRDefault="004D061D" w:rsidP="006662CF">
      <w:pPr>
        <w:spacing w:after="240" w:line="360" w:lineRule="auto"/>
        <w:jc w:val="center"/>
        <w:rPr>
          <w:rFonts w:ascii="Arial" w:hAnsi="Arial" w:cs="Arial"/>
          <w:sz w:val="24"/>
        </w:rPr>
      </w:pPr>
      <w:r w:rsidRPr="00E53CC1">
        <w:rPr>
          <w:rFonts w:ascii="Arial" w:hAnsi="Arial" w:cs="Arial"/>
          <w:sz w:val="24"/>
        </w:rPr>
        <w:t>OPM=</w:t>
      </w:r>
      <m:oMath>
        <m:f>
          <m:fPr>
            <m:ctrlPr>
              <w:rPr>
                <w:rFonts w:ascii="Cambria Math" w:hAnsi="Cambria Math" w:cs="Arial"/>
                <w:i/>
                <w:sz w:val="24"/>
              </w:rPr>
            </m:ctrlPr>
          </m:fPr>
          <m:num>
            <m:r>
              <w:rPr>
                <w:rFonts w:ascii="Cambria Math" w:hAnsi="Cambria Math" w:cs="Arial"/>
                <w:sz w:val="24"/>
              </w:rPr>
              <m:t>Operating Income</m:t>
            </m:r>
          </m:num>
          <m:den>
            <m:r>
              <w:rPr>
                <w:rFonts w:ascii="Cambria Math" w:hAnsi="Cambria Math" w:cs="Arial"/>
                <w:sz w:val="24"/>
              </w:rPr>
              <m:t>Net Sales</m:t>
            </m:r>
          </m:den>
        </m:f>
      </m:oMath>
      <w:r w:rsidRPr="00A473AD">
        <w:rPr>
          <w:rFonts w:ascii="Arial" w:eastAsiaTheme="minorEastAsia" w:hAnsi="Arial" w:cs="Arial"/>
          <w:sz w:val="24"/>
        </w:rPr>
        <w:t>×100</w:t>
      </w:r>
    </w:p>
    <w:tbl>
      <w:tblPr>
        <w:tblStyle w:val="TableGrid"/>
        <w:tblW w:w="0" w:type="auto"/>
        <w:tblLook w:val="04A0" w:firstRow="1" w:lastRow="0" w:firstColumn="1" w:lastColumn="0" w:noHBand="0" w:noVBand="1"/>
      </w:tblPr>
      <w:tblGrid>
        <w:gridCol w:w="3116"/>
        <w:gridCol w:w="3117"/>
        <w:gridCol w:w="3117"/>
      </w:tblGrid>
      <w:tr w:rsidR="004D061D" w:rsidRPr="00E53CC1" w:rsidTr="00355995">
        <w:tc>
          <w:tcPr>
            <w:tcW w:w="3116" w:type="dxa"/>
          </w:tcPr>
          <w:p w:rsidR="004D061D" w:rsidRPr="00E53CC1" w:rsidRDefault="004D061D" w:rsidP="00355995">
            <w:pPr>
              <w:spacing w:line="360" w:lineRule="auto"/>
              <w:jc w:val="both"/>
              <w:rPr>
                <w:rFonts w:ascii="Arial" w:hAnsi="Arial" w:cs="Arial"/>
                <w:b/>
                <w:sz w:val="24"/>
              </w:rPr>
            </w:pPr>
            <w:r w:rsidRPr="00E53CC1">
              <w:rPr>
                <w:rFonts w:ascii="Arial" w:hAnsi="Arial" w:cs="Arial"/>
                <w:b/>
                <w:sz w:val="24"/>
              </w:rPr>
              <w:t>Year</w:t>
            </w:r>
          </w:p>
        </w:tc>
        <w:tc>
          <w:tcPr>
            <w:tcW w:w="3117" w:type="dxa"/>
          </w:tcPr>
          <w:p w:rsidR="004D061D" w:rsidRPr="00E53CC1" w:rsidRDefault="004D061D" w:rsidP="00355995">
            <w:pPr>
              <w:spacing w:line="360" w:lineRule="auto"/>
              <w:jc w:val="both"/>
              <w:rPr>
                <w:rFonts w:ascii="Arial" w:hAnsi="Arial" w:cs="Arial"/>
                <w:b/>
                <w:sz w:val="24"/>
              </w:rPr>
            </w:pPr>
            <w:r w:rsidRPr="00E53CC1">
              <w:rPr>
                <w:rFonts w:ascii="Arial" w:hAnsi="Arial" w:cs="Arial"/>
                <w:b/>
                <w:sz w:val="24"/>
              </w:rPr>
              <w:t>Operating Income (£m)</w:t>
            </w:r>
          </w:p>
        </w:tc>
        <w:tc>
          <w:tcPr>
            <w:tcW w:w="3117" w:type="dxa"/>
          </w:tcPr>
          <w:p w:rsidR="004D061D" w:rsidRPr="00E53CC1" w:rsidRDefault="004D061D" w:rsidP="00355995">
            <w:pPr>
              <w:spacing w:line="360" w:lineRule="auto"/>
              <w:jc w:val="both"/>
              <w:rPr>
                <w:rFonts w:ascii="Arial" w:hAnsi="Arial" w:cs="Arial"/>
                <w:b/>
                <w:sz w:val="24"/>
              </w:rPr>
            </w:pPr>
            <w:r w:rsidRPr="00E53CC1">
              <w:rPr>
                <w:rFonts w:ascii="Arial" w:hAnsi="Arial" w:cs="Arial"/>
                <w:b/>
                <w:sz w:val="24"/>
              </w:rPr>
              <w:t>OPM (%)</w:t>
            </w:r>
          </w:p>
        </w:tc>
      </w:tr>
      <w:tr w:rsidR="004D061D" w:rsidRPr="00E53CC1" w:rsidTr="00355995">
        <w:tc>
          <w:tcPr>
            <w:tcW w:w="3116"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2024</w:t>
            </w:r>
          </w:p>
        </w:tc>
        <w:tc>
          <w:tcPr>
            <w:tcW w:w="3117"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(15,297)</w:t>
            </w:r>
          </w:p>
        </w:tc>
        <w:tc>
          <w:tcPr>
            <w:tcW w:w="3117"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-3.87</w:t>
            </w:r>
          </w:p>
        </w:tc>
      </w:tr>
      <w:tr w:rsidR="004D061D" w:rsidRPr="00E53CC1" w:rsidTr="00355995">
        <w:tc>
          <w:tcPr>
            <w:tcW w:w="3116"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2023</w:t>
            </w:r>
          </w:p>
        </w:tc>
        <w:tc>
          <w:tcPr>
            <w:tcW w:w="3117"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(85,301)</w:t>
            </w:r>
          </w:p>
        </w:tc>
        <w:tc>
          <w:tcPr>
            <w:tcW w:w="3117"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-20.3</w:t>
            </w:r>
          </w:p>
        </w:tc>
      </w:tr>
      <w:tr w:rsidR="004D061D" w:rsidRPr="00E53CC1" w:rsidTr="00355995">
        <w:tc>
          <w:tcPr>
            <w:tcW w:w="3116"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2022</w:t>
            </w:r>
          </w:p>
        </w:tc>
        <w:tc>
          <w:tcPr>
            <w:tcW w:w="3117"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14,548</w:t>
            </w:r>
          </w:p>
        </w:tc>
        <w:tc>
          <w:tcPr>
            <w:tcW w:w="3117"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2.68</w:t>
            </w:r>
          </w:p>
        </w:tc>
      </w:tr>
      <w:tr w:rsidR="004D061D" w:rsidRPr="00E53CC1" w:rsidTr="00355995">
        <w:tc>
          <w:tcPr>
            <w:tcW w:w="3116"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2021</w:t>
            </w:r>
          </w:p>
        </w:tc>
        <w:tc>
          <w:tcPr>
            <w:tcW w:w="3117"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23,253</w:t>
            </w:r>
          </w:p>
        </w:tc>
        <w:tc>
          <w:tcPr>
            <w:tcW w:w="3117"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3.87</w:t>
            </w:r>
          </w:p>
        </w:tc>
      </w:tr>
      <w:tr w:rsidR="004D061D" w:rsidRPr="00E53CC1" w:rsidTr="00355995">
        <w:tc>
          <w:tcPr>
            <w:tcW w:w="3116"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2020</w:t>
            </w:r>
          </w:p>
        </w:tc>
        <w:tc>
          <w:tcPr>
            <w:tcW w:w="3117"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37,267</w:t>
            </w:r>
          </w:p>
        </w:tc>
        <w:tc>
          <w:tcPr>
            <w:tcW w:w="3117" w:type="dxa"/>
          </w:tcPr>
          <w:p w:rsidR="004D061D" w:rsidRPr="00E53CC1" w:rsidRDefault="004D061D" w:rsidP="00355995">
            <w:pPr>
              <w:spacing w:line="360" w:lineRule="auto"/>
              <w:jc w:val="both"/>
              <w:rPr>
                <w:rFonts w:ascii="Arial" w:hAnsi="Arial" w:cs="Arial"/>
                <w:sz w:val="24"/>
              </w:rPr>
            </w:pPr>
            <w:r w:rsidRPr="00E53CC1">
              <w:rPr>
                <w:rFonts w:ascii="Arial" w:hAnsi="Arial" w:cs="Arial"/>
                <w:sz w:val="24"/>
              </w:rPr>
              <w:t>6.06</w:t>
            </w:r>
          </w:p>
        </w:tc>
      </w:tr>
    </w:tbl>
    <w:p w:rsidR="00825DD9" w:rsidRPr="00825DD9" w:rsidRDefault="00825DD9" w:rsidP="00825DD9">
      <w:pPr>
        <w:spacing w:line="360" w:lineRule="auto"/>
        <w:jc w:val="both"/>
        <w:rPr>
          <w:rFonts w:ascii="Arial" w:hAnsi="Arial" w:cs="Arial"/>
          <w:sz w:val="24"/>
        </w:rPr>
      </w:pPr>
    </w:p>
    <w:p w:rsidR="00F02A0C" w:rsidRPr="00825DD9" w:rsidRDefault="00825DD9" w:rsidP="00825DD9">
      <w:pPr>
        <w:spacing w:line="360" w:lineRule="auto"/>
        <w:jc w:val="both"/>
        <w:rPr>
          <w:rFonts w:ascii="Arial" w:hAnsi="Arial" w:cs="Arial"/>
          <w:sz w:val="24"/>
        </w:rPr>
      </w:pPr>
      <w:r w:rsidRPr="00825DD9">
        <w:rPr>
          <w:rFonts w:ascii="Arial" w:hAnsi="Arial" w:cs="Arial"/>
          <w:sz w:val="24"/>
        </w:rPr>
        <w:t xml:space="preserve">Performance in terms of operating became significantly worse, and operating income became negative in 2023 and 2024. The operating margin dropped by negative 3.9 in 2024 and 6.1 in 2020. This decline can be mainly attributed to high operating costs in comparison with declining revenues, meaning that the organization is poorly cost-scalable. </w:t>
      </w:r>
    </w:p>
    <w:p w:rsidR="00CA73E4" w:rsidRPr="00EA2606" w:rsidRDefault="00F02A0C" w:rsidP="006662CF">
      <w:pPr>
        <w:pStyle w:val="Heading3"/>
        <w:spacing w:after="240"/>
      </w:pPr>
      <w:bookmarkStart w:id="7" w:name="_Toc217216273"/>
      <w:r>
        <w:t xml:space="preserve">1.2.3 </w:t>
      </w:r>
      <w:r w:rsidR="00CA73E4">
        <w:t>Net Profit Margin</w:t>
      </w:r>
      <w:bookmarkEnd w:id="7"/>
    </w:p>
    <w:p w:rsidR="00CA73E4" w:rsidRPr="00EA2606" w:rsidRDefault="00CA73E4" w:rsidP="006662CF">
      <w:pPr>
        <w:spacing w:after="240" w:line="360" w:lineRule="auto"/>
        <w:jc w:val="center"/>
        <w:rPr>
          <w:rFonts w:ascii="Arial" w:hAnsi="Arial" w:cs="Arial"/>
          <w:sz w:val="24"/>
        </w:rPr>
      </w:pPr>
      <w:r w:rsidRPr="00EA2606">
        <w:rPr>
          <w:rFonts w:ascii="Arial" w:hAnsi="Arial" w:cs="Arial"/>
          <w:sz w:val="24"/>
        </w:rPr>
        <w:t>NPM=</w:t>
      </w:r>
      <w:r w:rsidRPr="00EA2606">
        <w:rPr>
          <w:rFonts w:ascii="Calibri" w:hAnsi="Calibri" w:cs="Calibri"/>
          <w:lang w:eastAsia="en-GB"/>
        </w:rPr>
        <w:t xml:space="preserve"> </w:t>
      </w:r>
      <m:oMath>
        <m:f>
          <m:fPr>
            <m:ctrlPr>
              <w:rPr>
                <w:rFonts w:ascii="Cambria Math" w:hAnsi="Cambria Math" w:cs="Arial"/>
                <w:i/>
                <w:sz w:val="24"/>
              </w:rPr>
            </m:ctrlPr>
          </m:fPr>
          <m:num>
            <m:r>
              <w:rPr>
                <w:rFonts w:ascii="Cambria Math" w:hAnsi="Cambria Math" w:cs="Arial"/>
                <w:sz w:val="24"/>
              </w:rPr>
              <m:t xml:space="preserve">Net Income </m:t>
            </m:r>
          </m:num>
          <m:den>
            <m:r>
              <w:rPr>
                <w:rFonts w:ascii="Cambria Math" w:hAnsi="Cambria Math" w:cs="Arial"/>
                <w:sz w:val="24"/>
              </w:rPr>
              <m:t>Net Sales</m:t>
            </m:r>
          </m:den>
        </m:f>
      </m:oMath>
      <w:r w:rsidRPr="00EA2606">
        <w:rPr>
          <w:rFonts w:ascii="Arial" w:eastAsiaTheme="minorEastAsia" w:hAnsi="Arial" w:cs="Arial"/>
          <w:sz w:val="24"/>
        </w:rPr>
        <w:t>×100</w:t>
      </w:r>
    </w:p>
    <w:tbl>
      <w:tblPr>
        <w:tblStyle w:val="TableGrid"/>
        <w:tblW w:w="0" w:type="auto"/>
        <w:tblLook w:val="04A0" w:firstRow="1" w:lastRow="0" w:firstColumn="1" w:lastColumn="0" w:noHBand="0" w:noVBand="1"/>
      </w:tblPr>
      <w:tblGrid>
        <w:gridCol w:w="3116"/>
        <w:gridCol w:w="3117"/>
        <w:gridCol w:w="3117"/>
      </w:tblGrid>
      <w:tr w:rsidR="00CA73E4" w:rsidRPr="00EA2606" w:rsidTr="00355995">
        <w:tc>
          <w:tcPr>
            <w:tcW w:w="3116" w:type="dxa"/>
          </w:tcPr>
          <w:p w:rsidR="00CA73E4" w:rsidRPr="00EA2606" w:rsidRDefault="00CA73E4" w:rsidP="00355995">
            <w:pPr>
              <w:spacing w:line="360" w:lineRule="auto"/>
              <w:jc w:val="both"/>
              <w:rPr>
                <w:rFonts w:ascii="Arial" w:hAnsi="Arial" w:cs="Arial"/>
                <w:b/>
                <w:sz w:val="24"/>
              </w:rPr>
            </w:pPr>
            <w:r w:rsidRPr="00EA2606">
              <w:rPr>
                <w:rFonts w:ascii="Arial" w:hAnsi="Arial" w:cs="Arial"/>
                <w:b/>
                <w:sz w:val="24"/>
              </w:rPr>
              <w:t>Year</w:t>
            </w:r>
          </w:p>
        </w:tc>
        <w:tc>
          <w:tcPr>
            <w:tcW w:w="3117" w:type="dxa"/>
          </w:tcPr>
          <w:p w:rsidR="00CA73E4" w:rsidRPr="00EA2606" w:rsidRDefault="00CA73E4" w:rsidP="00355995">
            <w:pPr>
              <w:spacing w:line="360" w:lineRule="auto"/>
              <w:jc w:val="both"/>
              <w:rPr>
                <w:rFonts w:ascii="Arial" w:hAnsi="Arial" w:cs="Arial"/>
                <w:b/>
                <w:sz w:val="24"/>
              </w:rPr>
            </w:pPr>
            <w:r w:rsidRPr="00EA2606">
              <w:rPr>
                <w:rFonts w:ascii="Arial" w:hAnsi="Arial" w:cs="Arial"/>
                <w:b/>
                <w:sz w:val="24"/>
              </w:rPr>
              <w:t>Net Income (£m)</w:t>
            </w:r>
          </w:p>
        </w:tc>
        <w:tc>
          <w:tcPr>
            <w:tcW w:w="3117" w:type="dxa"/>
          </w:tcPr>
          <w:p w:rsidR="00CA73E4" w:rsidRPr="00EA2606" w:rsidRDefault="00CA73E4" w:rsidP="00355995">
            <w:pPr>
              <w:spacing w:line="360" w:lineRule="auto"/>
              <w:jc w:val="both"/>
              <w:rPr>
                <w:rFonts w:ascii="Arial" w:hAnsi="Arial" w:cs="Arial"/>
                <w:b/>
                <w:sz w:val="24"/>
              </w:rPr>
            </w:pPr>
            <w:r w:rsidRPr="00EA2606">
              <w:rPr>
                <w:rFonts w:ascii="Arial" w:hAnsi="Arial" w:cs="Arial"/>
                <w:b/>
                <w:sz w:val="24"/>
              </w:rPr>
              <w:t>NPM (%)</w:t>
            </w:r>
          </w:p>
        </w:tc>
      </w:tr>
      <w:tr w:rsidR="00CA73E4" w:rsidRPr="00EA2606" w:rsidTr="00355995">
        <w:tc>
          <w:tcPr>
            <w:tcW w:w="3116"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t>2024</w:t>
            </w:r>
          </w:p>
        </w:tc>
        <w:tc>
          <w:tcPr>
            <w:tcW w:w="3117"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t>(24,029)</w:t>
            </w:r>
          </w:p>
        </w:tc>
        <w:tc>
          <w:tcPr>
            <w:tcW w:w="3117"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t>-6.09</w:t>
            </w:r>
          </w:p>
        </w:tc>
      </w:tr>
      <w:tr w:rsidR="00CA73E4" w:rsidRPr="00EA2606" w:rsidTr="00355995">
        <w:tc>
          <w:tcPr>
            <w:tcW w:w="3116"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t>2023</w:t>
            </w:r>
          </w:p>
        </w:tc>
        <w:tc>
          <w:tcPr>
            <w:tcW w:w="3117"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t>(98,238)</w:t>
            </w:r>
          </w:p>
        </w:tc>
        <w:tc>
          <w:tcPr>
            <w:tcW w:w="3117"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t>-23.37</w:t>
            </w:r>
          </w:p>
        </w:tc>
      </w:tr>
      <w:tr w:rsidR="00CA73E4" w:rsidRPr="00EA2606" w:rsidTr="00355995">
        <w:tc>
          <w:tcPr>
            <w:tcW w:w="3116"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t>2022</w:t>
            </w:r>
          </w:p>
        </w:tc>
        <w:tc>
          <w:tcPr>
            <w:tcW w:w="3117"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t>407</w:t>
            </w:r>
          </w:p>
        </w:tc>
        <w:tc>
          <w:tcPr>
            <w:tcW w:w="3117"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t>0.07</w:t>
            </w:r>
          </w:p>
        </w:tc>
      </w:tr>
      <w:tr w:rsidR="00CA73E4" w:rsidRPr="00EA2606" w:rsidTr="00355995">
        <w:tc>
          <w:tcPr>
            <w:tcW w:w="3116"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t>2021</w:t>
            </w:r>
          </w:p>
        </w:tc>
        <w:tc>
          <w:tcPr>
            <w:tcW w:w="3117"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t>5,301</w:t>
            </w:r>
          </w:p>
        </w:tc>
        <w:tc>
          <w:tcPr>
            <w:tcW w:w="3117"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t>0.88</w:t>
            </w:r>
          </w:p>
        </w:tc>
      </w:tr>
      <w:tr w:rsidR="00CA73E4" w:rsidRPr="00EA2606" w:rsidTr="00355995">
        <w:tc>
          <w:tcPr>
            <w:tcW w:w="3116"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lastRenderedPageBreak/>
              <w:t>2020</w:t>
            </w:r>
          </w:p>
        </w:tc>
        <w:tc>
          <w:tcPr>
            <w:tcW w:w="3117"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t>38,572</w:t>
            </w:r>
          </w:p>
        </w:tc>
        <w:tc>
          <w:tcPr>
            <w:tcW w:w="3117" w:type="dxa"/>
          </w:tcPr>
          <w:p w:rsidR="00CA73E4" w:rsidRPr="00EA2606" w:rsidRDefault="00CA73E4" w:rsidP="00355995">
            <w:pPr>
              <w:spacing w:line="360" w:lineRule="auto"/>
              <w:jc w:val="both"/>
              <w:rPr>
                <w:rFonts w:ascii="Arial" w:hAnsi="Arial" w:cs="Arial"/>
                <w:sz w:val="24"/>
              </w:rPr>
            </w:pPr>
            <w:r w:rsidRPr="00EA2606">
              <w:rPr>
                <w:rFonts w:ascii="Arial" w:hAnsi="Arial" w:cs="Arial"/>
                <w:sz w:val="24"/>
              </w:rPr>
              <w:t>6.28</w:t>
            </w:r>
          </w:p>
        </w:tc>
      </w:tr>
    </w:tbl>
    <w:p w:rsidR="00825DD9" w:rsidRPr="00825DD9" w:rsidRDefault="00825DD9" w:rsidP="00825DD9">
      <w:pPr>
        <w:spacing w:line="360" w:lineRule="auto"/>
        <w:jc w:val="both"/>
        <w:rPr>
          <w:rFonts w:ascii="Arial" w:hAnsi="Arial" w:cs="Arial"/>
          <w:sz w:val="24"/>
        </w:rPr>
      </w:pPr>
    </w:p>
    <w:p w:rsidR="00825DD9" w:rsidRPr="00825DD9" w:rsidRDefault="00825DD9" w:rsidP="00825DD9">
      <w:pPr>
        <w:spacing w:line="360" w:lineRule="auto"/>
        <w:jc w:val="both"/>
        <w:rPr>
          <w:rFonts w:ascii="Arial" w:hAnsi="Arial" w:cs="Arial"/>
          <w:sz w:val="24"/>
        </w:rPr>
      </w:pPr>
      <w:r w:rsidRPr="00825DD9">
        <w:rPr>
          <w:rFonts w:ascii="Arial" w:hAnsi="Arial" w:cs="Arial"/>
          <w:sz w:val="24"/>
        </w:rPr>
        <w:t>The net profit margin decreased in 2024 to -6.1% downward to 6.3 in 2020. In 2023 and 2024, the company recorded a net loss of £98,238m and 24,029m, respectively, which has reduced the retained earnings and undermined the equity reserves. The net losses that are persistent are commonly considered to lead to the solvency risk especially when it is accompanied by a downward c</w:t>
      </w:r>
      <w:r w:rsidR="00F72FE3">
        <w:rPr>
          <w:rFonts w:ascii="Arial" w:hAnsi="Arial" w:cs="Arial"/>
          <w:sz w:val="24"/>
        </w:rPr>
        <w:t>ash flow (Altman et al., 2022)</w:t>
      </w:r>
      <w:r w:rsidR="00361EBE">
        <w:rPr>
          <w:rFonts w:ascii="Arial" w:hAnsi="Arial" w:cs="Arial"/>
          <w:sz w:val="24"/>
        </w:rPr>
        <w:t>.</w:t>
      </w:r>
    </w:p>
    <w:p w:rsidR="00825DD9" w:rsidRPr="00361EBE" w:rsidRDefault="00825DD9" w:rsidP="006662CF">
      <w:pPr>
        <w:pStyle w:val="Heading2"/>
        <w:spacing w:after="240"/>
      </w:pPr>
      <w:bookmarkStart w:id="8" w:name="_Toc217216274"/>
      <w:r w:rsidRPr="00825DD9">
        <w:t>1.3 Liquidity Analysis</w:t>
      </w:r>
      <w:bookmarkEnd w:id="8"/>
    </w:p>
    <w:p w:rsidR="00825DD9" w:rsidRPr="00825DD9" w:rsidRDefault="00825DD9" w:rsidP="006662CF">
      <w:pPr>
        <w:spacing w:after="240" w:line="360" w:lineRule="auto"/>
        <w:jc w:val="both"/>
        <w:rPr>
          <w:rFonts w:ascii="Arial" w:hAnsi="Arial" w:cs="Arial"/>
          <w:sz w:val="24"/>
        </w:rPr>
      </w:pPr>
      <w:r w:rsidRPr="00825DD9">
        <w:rPr>
          <w:rFonts w:ascii="Arial" w:hAnsi="Arial" w:cs="Arial"/>
          <w:sz w:val="24"/>
        </w:rPr>
        <w:t xml:space="preserve">The liquidity ratios determine the capacity of the firm to </w:t>
      </w:r>
      <w:r w:rsidR="00F02A0C" w:rsidRPr="00825DD9">
        <w:rPr>
          <w:rFonts w:ascii="Arial" w:hAnsi="Arial" w:cs="Arial"/>
          <w:sz w:val="24"/>
        </w:rPr>
        <w:t>fulfil</w:t>
      </w:r>
      <w:r w:rsidRPr="00825DD9">
        <w:rPr>
          <w:rFonts w:ascii="Arial" w:hAnsi="Arial" w:cs="Arial"/>
          <w:sz w:val="24"/>
        </w:rPr>
        <w:t xml:space="preserve"> the short term liabilities as they accrue. The Liquidity position of General Electronics has deteriorat</w:t>
      </w:r>
      <w:r w:rsidR="00361EBE">
        <w:rPr>
          <w:rFonts w:ascii="Arial" w:hAnsi="Arial" w:cs="Arial"/>
          <w:sz w:val="24"/>
        </w:rPr>
        <w:t>ed significantly in five years.</w:t>
      </w:r>
    </w:p>
    <w:p w:rsidR="00825DD9" w:rsidRPr="00361EBE" w:rsidRDefault="00F02A0C" w:rsidP="00F02A0C">
      <w:pPr>
        <w:pStyle w:val="Heading3"/>
      </w:pPr>
      <w:bookmarkStart w:id="9" w:name="_Toc217216275"/>
      <w:r>
        <w:t xml:space="preserve">1.3.1 </w:t>
      </w:r>
      <w:r w:rsidR="00825DD9" w:rsidRPr="00361EBE">
        <w:t>Current Ratio</w:t>
      </w:r>
      <w:bookmarkEnd w:id="9"/>
    </w:p>
    <w:p w:rsidR="00361EBE" w:rsidRPr="00EA2606" w:rsidRDefault="00361EBE" w:rsidP="00361EBE">
      <w:pPr>
        <w:spacing w:line="360" w:lineRule="auto"/>
        <w:jc w:val="center"/>
        <w:rPr>
          <w:rFonts w:ascii="Arial" w:hAnsi="Arial" w:cs="Arial"/>
          <w:sz w:val="24"/>
        </w:rPr>
      </w:pPr>
      <w:r w:rsidRPr="00EA2606">
        <w:rPr>
          <w:rFonts w:ascii="Arial" w:hAnsi="Arial" w:cs="Arial"/>
          <w:sz w:val="24"/>
        </w:rPr>
        <w:t xml:space="preserve">Current Ratio= </w:t>
      </w:r>
      <m:oMath>
        <m:f>
          <m:fPr>
            <m:ctrlPr>
              <w:rPr>
                <w:rFonts w:ascii="Cambria Math" w:hAnsi="Cambria Math" w:cs="Arial"/>
                <w:i/>
                <w:sz w:val="24"/>
              </w:rPr>
            </m:ctrlPr>
          </m:fPr>
          <m:num>
            <m:r>
              <w:rPr>
                <w:rFonts w:ascii="Cambria Math" w:hAnsi="Cambria Math" w:cs="Arial"/>
                <w:sz w:val="24"/>
              </w:rPr>
              <m:t>Current Assets</m:t>
            </m:r>
          </m:num>
          <m:den>
            <m:r>
              <w:rPr>
                <w:rFonts w:ascii="Cambria Math" w:hAnsi="Cambria Math" w:cs="Arial"/>
                <w:sz w:val="24"/>
              </w:rPr>
              <m:t>Current Liabilities</m:t>
            </m:r>
          </m:den>
        </m:f>
      </m:oMath>
    </w:p>
    <w:tbl>
      <w:tblPr>
        <w:tblStyle w:val="TableGrid"/>
        <w:tblW w:w="0" w:type="auto"/>
        <w:tblLook w:val="04A0" w:firstRow="1" w:lastRow="0" w:firstColumn="1" w:lastColumn="0" w:noHBand="0" w:noVBand="1"/>
      </w:tblPr>
      <w:tblGrid>
        <w:gridCol w:w="2337"/>
        <w:gridCol w:w="2337"/>
        <w:gridCol w:w="2338"/>
        <w:gridCol w:w="2338"/>
      </w:tblGrid>
      <w:tr w:rsidR="00361EBE" w:rsidRPr="00EA2606" w:rsidTr="00355995">
        <w:tc>
          <w:tcPr>
            <w:tcW w:w="2337" w:type="dxa"/>
          </w:tcPr>
          <w:p w:rsidR="00361EBE" w:rsidRPr="00EA2606" w:rsidRDefault="00361EBE" w:rsidP="00355995">
            <w:pPr>
              <w:spacing w:line="360" w:lineRule="auto"/>
              <w:jc w:val="both"/>
              <w:rPr>
                <w:rFonts w:ascii="Arial" w:hAnsi="Arial" w:cs="Arial"/>
                <w:b/>
                <w:sz w:val="24"/>
              </w:rPr>
            </w:pPr>
            <w:r w:rsidRPr="00EA2606">
              <w:rPr>
                <w:rFonts w:ascii="Arial" w:hAnsi="Arial" w:cs="Arial"/>
                <w:b/>
                <w:sz w:val="24"/>
              </w:rPr>
              <w:t>Year</w:t>
            </w:r>
          </w:p>
        </w:tc>
        <w:tc>
          <w:tcPr>
            <w:tcW w:w="2337" w:type="dxa"/>
          </w:tcPr>
          <w:p w:rsidR="00361EBE" w:rsidRPr="00EA2606" w:rsidRDefault="00361EBE" w:rsidP="00355995">
            <w:pPr>
              <w:spacing w:line="360" w:lineRule="auto"/>
              <w:jc w:val="both"/>
              <w:rPr>
                <w:rFonts w:ascii="Arial" w:hAnsi="Arial" w:cs="Arial"/>
                <w:b/>
                <w:sz w:val="24"/>
              </w:rPr>
            </w:pPr>
            <w:r w:rsidRPr="00EA2606">
              <w:rPr>
                <w:rFonts w:ascii="Arial" w:hAnsi="Arial" w:cs="Arial"/>
                <w:b/>
                <w:sz w:val="24"/>
              </w:rPr>
              <w:t>Current Assets (£m)</w:t>
            </w:r>
          </w:p>
        </w:tc>
        <w:tc>
          <w:tcPr>
            <w:tcW w:w="2338" w:type="dxa"/>
          </w:tcPr>
          <w:p w:rsidR="00361EBE" w:rsidRPr="00EA2606" w:rsidRDefault="00361EBE" w:rsidP="00355995">
            <w:pPr>
              <w:spacing w:line="360" w:lineRule="auto"/>
              <w:jc w:val="both"/>
              <w:rPr>
                <w:rFonts w:ascii="Arial" w:hAnsi="Arial" w:cs="Arial"/>
                <w:b/>
                <w:sz w:val="24"/>
              </w:rPr>
            </w:pPr>
            <w:r w:rsidRPr="00EA2606">
              <w:rPr>
                <w:rFonts w:ascii="Arial" w:hAnsi="Arial" w:cs="Arial"/>
                <w:b/>
                <w:sz w:val="24"/>
              </w:rPr>
              <w:t>Current Liabilities (£m)</w:t>
            </w:r>
          </w:p>
        </w:tc>
        <w:tc>
          <w:tcPr>
            <w:tcW w:w="2338" w:type="dxa"/>
          </w:tcPr>
          <w:p w:rsidR="00361EBE" w:rsidRPr="00EA2606" w:rsidRDefault="00361EBE" w:rsidP="00355995">
            <w:pPr>
              <w:spacing w:line="360" w:lineRule="auto"/>
              <w:jc w:val="both"/>
              <w:rPr>
                <w:rFonts w:ascii="Arial" w:hAnsi="Arial" w:cs="Arial"/>
                <w:b/>
                <w:sz w:val="24"/>
              </w:rPr>
            </w:pPr>
            <w:r w:rsidRPr="00EA2606">
              <w:rPr>
                <w:rFonts w:ascii="Arial" w:hAnsi="Arial" w:cs="Arial"/>
                <w:b/>
                <w:sz w:val="24"/>
              </w:rPr>
              <w:t>Current Ratio</w:t>
            </w:r>
          </w:p>
        </w:tc>
      </w:tr>
      <w:tr w:rsidR="00361EBE" w:rsidRPr="00EA2606" w:rsidTr="00355995">
        <w:tc>
          <w:tcPr>
            <w:tcW w:w="2337"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2024</w:t>
            </w:r>
          </w:p>
        </w:tc>
        <w:tc>
          <w:tcPr>
            <w:tcW w:w="2337"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242,494</w:t>
            </w:r>
          </w:p>
        </w:tc>
        <w:tc>
          <w:tcPr>
            <w:tcW w:w="2338"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158,291</w:t>
            </w:r>
          </w:p>
        </w:tc>
        <w:tc>
          <w:tcPr>
            <w:tcW w:w="2338"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1.53</w:t>
            </w:r>
          </w:p>
        </w:tc>
      </w:tr>
      <w:tr w:rsidR="00361EBE" w:rsidRPr="00EA2606" w:rsidTr="00355995">
        <w:tc>
          <w:tcPr>
            <w:tcW w:w="2337"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2023</w:t>
            </w:r>
          </w:p>
        </w:tc>
        <w:tc>
          <w:tcPr>
            <w:tcW w:w="2337"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258,851</w:t>
            </w:r>
          </w:p>
        </w:tc>
        <w:tc>
          <w:tcPr>
            <w:tcW w:w="2338"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161,148</w:t>
            </w:r>
          </w:p>
        </w:tc>
        <w:tc>
          <w:tcPr>
            <w:tcW w:w="2338"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1.61</w:t>
            </w:r>
          </w:p>
        </w:tc>
      </w:tr>
      <w:tr w:rsidR="00361EBE" w:rsidRPr="00EA2606" w:rsidTr="00355995">
        <w:tc>
          <w:tcPr>
            <w:tcW w:w="2337"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2022</w:t>
            </w:r>
          </w:p>
        </w:tc>
        <w:tc>
          <w:tcPr>
            <w:tcW w:w="2337"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338,040</w:t>
            </w:r>
          </w:p>
        </w:tc>
        <w:tc>
          <w:tcPr>
            <w:tcW w:w="2338"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216,473</w:t>
            </w:r>
          </w:p>
        </w:tc>
        <w:tc>
          <w:tcPr>
            <w:tcW w:w="2338"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1.56</w:t>
            </w:r>
          </w:p>
        </w:tc>
      </w:tr>
      <w:tr w:rsidR="00361EBE" w:rsidRPr="00EA2606" w:rsidTr="00355995">
        <w:tc>
          <w:tcPr>
            <w:tcW w:w="2337"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2021</w:t>
            </w:r>
          </w:p>
        </w:tc>
        <w:tc>
          <w:tcPr>
            <w:tcW w:w="2337"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337,146</w:t>
            </w:r>
          </w:p>
        </w:tc>
        <w:tc>
          <w:tcPr>
            <w:tcW w:w="2338"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216,787</w:t>
            </w:r>
          </w:p>
        </w:tc>
        <w:tc>
          <w:tcPr>
            <w:tcW w:w="2338"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1.55</w:t>
            </w:r>
          </w:p>
        </w:tc>
      </w:tr>
      <w:tr w:rsidR="00361EBE" w:rsidRPr="00EA2606" w:rsidTr="00355995">
        <w:tc>
          <w:tcPr>
            <w:tcW w:w="2337"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2020</w:t>
            </w:r>
          </w:p>
        </w:tc>
        <w:tc>
          <w:tcPr>
            <w:tcW w:w="2337"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326,843</w:t>
            </w:r>
          </w:p>
        </w:tc>
        <w:tc>
          <w:tcPr>
            <w:tcW w:w="2338"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179,510</w:t>
            </w:r>
          </w:p>
        </w:tc>
        <w:tc>
          <w:tcPr>
            <w:tcW w:w="2338"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1.82</w:t>
            </w:r>
          </w:p>
        </w:tc>
      </w:tr>
    </w:tbl>
    <w:p w:rsidR="00825DD9" w:rsidRPr="00825DD9" w:rsidRDefault="00825DD9" w:rsidP="00825DD9">
      <w:pPr>
        <w:spacing w:line="360" w:lineRule="auto"/>
        <w:jc w:val="both"/>
        <w:rPr>
          <w:rFonts w:ascii="Arial" w:hAnsi="Arial" w:cs="Arial"/>
          <w:sz w:val="24"/>
        </w:rPr>
      </w:pPr>
    </w:p>
    <w:p w:rsidR="00825DD9" w:rsidRPr="00825DD9" w:rsidRDefault="00825DD9" w:rsidP="00825DD9">
      <w:pPr>
        <w:spacing w:line="360" w:lineRule="auto"/>
        <w:jc w:val="both"/>
        <w:rPr>
          <w:rFonts w:ascii="Arial" w:hAnsi="Arial" w:cs="Arial"/>
          <w:sz w:val="24"/>
        </w:rPr>
      </w:pPr>
      <w:r w:rsidRPr="00825DD9">
        <w:rPr>
          <w:rFonts w:ascii="Arial" w:hAnsi="Arial" w:cs="Arial"/>
          <w:sz w:val="24"/>
        </w:rPr>
        <w:t>Current ratio decreased and stood at 1.53 in 2024 compared to 1.82 in 2020. Although this ratio is at a higher level than the standard level of 1.0, the negative trend is troubling. According to the academic literature, it is clear that the trend of liquidity is more informative than absolute values, especially when it comes to times of financ</w:t>
      </w:r>
      <w:r w:rsidR="00361EBE">
        <w:rPr>
          <w:rFonts w:ascii="Arial" w:hAnsi="Arial" w:cs="Arial"/>
          <w:sz w:val="24"/>
        </w:rPr>
        <w:t>ial stress (Ross et al., 2024).</w:t>
      </w:r>
    </w:p>
    <w:p w:rsidR="00825DD9" w:rsidRPr="00361EBE" w:rsidRDefault="00F02A0C" w:rsidP="006662CF">
      <w:pPr>
        <w:pStyle w:val="Heading3"/>
        <w:spacing w:after="240"/>
      </w:pPr>
      <w:bookmarkStart w:id="10" w:name="_Toc217216276"/>
      <w:r>
        <w:lastRenderedPageBreak/>
        <w:t xml:space="preserve">1.3.2 </w:t>
      </w:r>
      <w:r w:rsidR="00825DD9" w:rsidRPr="00361EBE">
        <w:t>Quick Ratio</w:t>
      </w:r>
      <w:bookmarkEnd w:id="10"/>
    </w:p>
    <w:p w:rsidR="00361EBE" w:rsidRPr="00EA2606" w:rsidRDefault="00361EBE" w:rsidP="006662CF">
      <w:pPr>
        <w:spacing w:after="240" w:line="360" w:lineRule="auto"/>
        <w:jc w:val="center"/>
        <w:rPr>
          <w:rFonts w:ascii="Arial" w:hAnsi="Arial" w:cs="Arial"/>
          <w:sz w:val="24"/>
        </w:rPr>
      </w:pPr>
      <w:r w:rsidRPr="00EA2606">
        <w:rPr>
          <w:rFonts w:ascii="Arial" w:hAnsi="Arial" w:cs="Arial"/>
          <w:sz w:val="24"/>
        </w:rPr>
        <w:t xml:space="preserve">Quick Ratio=  </w:t>
      </w:r>
      <m:oMath>
        <m:f>
          <m:fPr>
            <m:ctrlPr>
              <w:rPr>
                <w:rFonts w:ascii="Cambria Math" w:hAnsi="Cambria Math" w:cs="Arial"/>
                <w:i/>
                <w:sz w:val="24"/>
              </w:rPr>
            </m:ctrlPr>
          </m:fPr>
          <m:num>
            <m:r>
              <w:rPr>
                <w:rFonts w:ascii="Cambria Math" w:hAnsi="Cambria Math" w:cs="Arial"/>
                <w:sz w:val="24"/>
              </w:rPr>
              <m:t>Current Assets – Inventories</m:t>
            </m:r>
          </m:num>
          <m:den>
            <m:r>
              <w:rPr>
                <w:rFonts w:ascii="Cambria Math" w:hAnsi="Cambria Math" w:cs="Arial"/>
                <w:sz w:val="24"/>
              </w:rPr>
              <m:t>Current Liabilities</m:t>
            </m:r>
          </m:den>
        </m:f>
      </m:oMath>
    </w:p>
    <w:tbl>
      <w:tblPr>
        <w:tblStyle w:val="TableGrid"/>
        <w:tblW w:w="0" w:type="auto"/>
        <w:tblLook w:val="04A0" w:firstRow="1" w:lastRow="0" w:firstColumn="1" w:lastColumn="0" w:noHBand="0" w:noVBand="1"/>
      </w:tblPr>
      <w:tblGrid>
        <w:gridCol w:w="4675"/>
        <w:gridCol w:w="4675"/>
      </w:tblGrid>
      <w:tr w:rsidR="00361EBE" w:rsidRPr="00EA2606" w:rsidTr="00355995">
        <w:tc>
          <w:tcPr>
            <w:tcW w:w="4675" w:type="dxa"/>
          </w:tcPr>
          <w:p w:rsidR="00361EBE" w:rsidRPr="00EA2606" w:rsidRDefault="00361EBE" w:rsidP="00355995">
            <w:pPr>
              <w:spacing w:line="360" w:lineRule="auto"/>
              <w:jc w:val="both"/>
              <w:rPr>
                <w:rFonts w:ascii="Arial" w:hAnsi="Arial" w:cs="Arial"/>
                <w:b/>
                <w:sz w:val="24"/>
              </w:rPr>
            </w:pPr>
            <w:r w:rsidRPr="00EA2606">
              <w:rPr>
                <w:rFonts w:ascii="Arial" w:hAnsi="Arial" w:cs="Arial"/>
                <w:b/>
                <w:sz w:val="24"/>
              </w:rPr>
              <w:t>Year</w:t>
            </w:r>
          </w:p>
        </w:tc>
        <w:tc>
          <w:tcPr>
            <w:tcW w:w="4675" w:type="dxa"/>
          </w:tcPr>
          <w:p w:rsidR="00361EBE" w:rsidRPr="00EA2606" w:rsidRDefault="00361EBE" w:rsidP="00355995">
            <w:pPr>
              <w:spacing w:line="360" w:lineRule="auto"/>
              <w:jc w:val="both"/>
              <w:rPr>
                <w:rFonts w:ascii="Arial" w:hAnsi="Arial" w:cs="Arial"/>
                <w:b/>
                <w:sz w:val="24"/>
              </w:rPr>
            </w:pPr>
            <w:r w:rsidRPr="00EA2606">
              <w:rPr>
                <w:rFonts w:ascii="Arial" w:hAnsi="Arial" w:cs="Arial"/>
                <w:b/>
                <w:sz w:val="24"/>
              </w:rPr>
              <w:t>Quick Ratio</w:t>
            </w:r>
          </w:p>
        </w:tc>
      </w:tr>
      <w:tr w:rsidR="00361EBE" w:rsidRPr="00EA2606" w:rsidTr="00355995">
        <w:tc>
          <w:tcPr>
            <w:tcW w:w="4675"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2024</w:t>
            </w:r>
          </w:p>
        </w:tc>
        <w:tc>
          <w:tcPr>
            <w:tcW w:w="4675"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1.04</w:t>
            </w:r>
          </w:p>
        </w:tc>
      </w:tr>
      <w:tr w:rsidR="00361EBE" w:rsidRPr="00EA2606" w:rsidTr="00355995">
        <w:tc>
          <w:tcPr>
            <w:tcW w:w="4675"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2023</w:t>
            </w:r>
          </w:p>
        </w:tc>
        <w:tc>
          <w:tcPr>
            <w:tcW w:w="4675"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1.01</w:t>
            </w:r>
          </w:p>
        </w:tc>
      </w:tr>
      <w:tr w:rsidR="00361EBE" w:rsidRPr="00EA2606" w:rsidTr="00355995">
        <w:tc>
          <w:tcPr>
            <w:tcW w:w="4675"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2022</w:t>
            </w:r>
          </w:p>
        </w:tc>
        <w:tc>
          <w:tcPr>
            <w:tcW w:w="4675"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0.91</w:t>
            </w:r>
          </w:p>
        </w:tc>
      </w:tr>
      <w:tr w:rsidR="00361EBE" w:rsidRPr="00EA2606" w:rsidTr="00355995">
        <w:tc>
          <w:tcPr>
            <w:tcW w:w="4675"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2021</w:t>
            </w:r>
          </w:p>
        </w:tc>
        <w:tc>
          <w:tcPr>
            <w:tcW w:w="4675"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0.97</w:t>
            </w:r>
          </w:p>
        </w:tc>
      </w:tr>
      <w:tr w:rsidR="00361EBE" w:rsidRPr="00EA2606" w:rsidTr="00355995">
        <w:tc>
          <w:tcPr>
            <w:tcW w:w="4675"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2020</w:t>
            </w:r>
          </w:p>
        </w:tc>
        <w:tc>
          <w:tcPr>
            <w:tcW w:w="4675" w:type="dxa"/>
          </w:tcPr>
          <w:p w:rsidR="00361EBE" w:rsidRPr="00EA2606" w:rsidRDefault="00361EBE" w:rsidP="00355995">
            <w:pPr>
              <w:spacing w:line="360" w:lineRule="auto"/>
              <w:jc w:val="both"/>
              <w:rPr>
                <w:rFonts w:ascii="Arial" w:hAnsi="Arial" w:cs="Arial"/>
                <w:sz w:val="24"/>
              </w:rPr>
            </w:pPr>
            <w:r w:rsidRPr="00EA2606">
              <w:rPr>
                <w:rFonts w:ascii="Arial" w:hAnsi="Arial" w:cs="Arial"/>
                <w:sz w:val="24"/>
              </w:rPr>
              <w:t>1.37</w:t>
            </w:r>
          </w:p>
        </w:tc>
      </w:tr>
    </w:tbl>
    <w:p w:rsidR="00825DD9" w:rsidRPr="00825DD9" w:rsidRDefault="00825DD9" w:rsidP="00825DD9">
      <w:pPr>
        <w:spacing w:line="360" w:lineRule="auto"/>
        <w:jc w:val="both"/>
        <w:rPr>
          <w:rFonts w:ascii="Arial" w:hAnsi="Arial" w:cs="Arial"/>
          <w:sz w:val="24"/>
        </w:rPr>
      </w:pPr>
    </w:p>
    <w:p w:rsidR="00825DD9" w:rsidRPr="00825DD9" w:rsidRDefault="00825DD9" w:rsidP="00825DD9">
      <w:pPr>
        <w:spacing w:line="360" w:lineRule="auto"/>
        <w:jc w:val="both"/>
        <w:rPr>
          <w:rFonts w:ascii="Arial" w:hAnsi="Arial" w:cs="Arial"/>
          <w:sz w:val="24"/>
        </w:rPr>
      </w:pPr>
      <w:r w:rsidRPr="00825DD9">
        <w:rPr>
          <w:rFonts w:ascii="Arial" w:hAnsi="Arial" w:cs="Arial"/>
          <w:sz w:val="24"/>
        </w:rPr>
        <w:t>The quick ratio worsened at a faster rate because of the decrease in the cash balance and the large inventory. The decrease in cash and cash equivalents of £57,153m to 26,783m in 2020 and 2024 respectively is due to operating losses and pressure on financing respectively. The high dependency on inventories to facilitate the liquidity is dangerous in the consumer electronics sector where products are obsolete by technology (</w:t>
      </w:r>
      <w:proofErr w:type="spellStart"/>
      <w:r w:rsidRPr="00825DD9">
        <w:rPr>
          <w:rFonts w:ascii="Arial" w:hAnsi="Arial" w:cs="Arial"/>
          <w:sz w:val="24"/>
        </w:rPr>
        <w:t>B</w:t>
      </w:r>
      <w:r w:rsidR="00F72FE3">
        <w:rPr>
          <w:rFonts w:ascii="Arial" w:hAnsi="Arial" w:cs="Arial"/>
          <w:sz w:val="24"/>
        </w:rPr>
        <w:t>realey</w:t>
      </w:r>
      <w:proofErr w:type="spellEnd"/>
      <w:r w:rsidR="00F72FE3">
        <w:rPr>
          <w:rFonts w:ascii="Arial" w:hAnsi="Arial" w:cs="Arial"/>
          <w:sz w:val="24"/>
        </w:rPr>
        <w:t>, Myers and Allen, 2023)</w:t>
      </w:r>
      <w:r w:rsidR="00355995">
        <w:rPr>
          <w:rFonts w:ascii="Arial" w:hAnsi="Arial" w:cs="Arial"/>
          <w:sz w:val="24"/>
        </w:rPr>
        <w:t>.</w:t>
      </w:r>
    </w:p>
    <w:p w:rsidR="00B85757" w:rsidRDefault="00825DD9" w:rsidP="00825DD9">
      <w:pPr>
        <w:spacing w:line="360" w:lineRule="auto"/>
        <w:jc w:val="both"/>
        <w:rPr>
          <w:rFonts w:ascii="Arial" w:hAnsi="Arial" w:cs="Arial"/>
          <w:sz w:val="24"/>
        </w:rPr>
      </w:pPr>
      <w:r w:rsidRPr="00825DD9">
        <w:rPr>
          <w:rFonts w:ascii="Arial" w:hAnsi="Arial" w:cs="Arial"/>
          <w:sz w:val="24"/>
        </w:rPr>
        <w:t>The efficiency (Activity) analysis examines the efficiency demonstrated by the project team within the scope of the project's performance.</w:t>
      </w:r>
    </w:p>
    <w:p w:rsidR="00B85757" w:rsidRDefault="00825DD9" w:rsidP="006662CF">
      <w:pPr>
        <w:pStyle w:val="Heading2"/>
        <w:spacing w:after="240"/>
      </w:pPr>
      <w:bookmarkStart w:id="11" w:name="_Toc217216277"/>
      <w:r w:rsidRPr="00825DD9">
        <w:t>1.4 Efficiency (Activity) Analysis</w:t>
      </w:r>
      <w:bookmarkEnd w:id="11"/>
      <w:r w:rsidRPr="00825DD9">
        <w:t xml:space="preserve"> </w:t>
      </w:r>
    </w:p>
    <w:p w:rsidR="00825DD9" w:rsidRPr="00825DD9" w:rsidRDefault="00825DD9" w:rsidP="006662CF">
      <w:pPr>
        <w:spacing w:after="240" w:line="360" w:lineRule="auto"/>
        <w:jc w:val="both"/>
        <w:rPr>
          <w:rFonts w:ascii="Arial" w:hAnsi="Arial" w:cs="Arial"/>
          <w:sz w:val="24"/>
        </w:rPr>
      </w:pPr>
      <w:r w:rsidRPr="00825DD9">
        <w:rPr>
          <w:rFonts w:ascii="Arial" w:hAnsi="Arial" w:cs="Arial"/>
          <w:sz w:val="24"/>
        </w:rPr>
        <w:t>This analysis focuses on the efficiency that the project team exhibits in the contex</w:t>
      </w:r>
      <w:r w:rsidR="00B85757">
        <w:rPr>
          <w:rFonts w:ascii="Arial" w:hAnsi="Arial" w:cs="Arial"/>
          <w:sz w:val="24"/>
        </w:rPr>
        <w:t>t of the project performance.</w:t>
      </w:r>
    </w:p>
    <w:p w:rsidR="00825DD9" w:rsidRPr="00825DD9" w:rsidRDefault="00825DD9" w:rsidP="00825DD9">
      <w:pPr>
        <w:spacing w:line="360" w:lineRule="auto"/>
        <w:jc w:val="both"/>
        <w:rPr>
          <w:rFonts w:ascii="Arial" w:hAnsi="Arial" w:cs="Arial"/>
          <w:sz w:val="24"/>
        </w:rPr>
      </w:pPr>
      <w:r w:rsidRPr="00825DD9">
        <w:rPr>
          <w:rFonts w:ascii="Arial" w:hAnsi="Arial" w:cs="Arial"/>
          <w:sz w:val="24"/>
        </w:rPr>
        <w:t>The efficiency ratios will give an evaluation of the level at which a firm utili</w:t>
      </w:r>
      <w:r w:rsidR="00B85757">
        <w:rPr>
          <w:rFonts w:ascii="Arial" w:hAnsi="Arial" w:cs="Arial"/>
          <w:sz w:val="24"/>
        </w:rPr>
        <w:t>ses its assets to make revenue.</w:t>
      </w:r>
    </w:p>
    <w:p w:rsidR="00825DD9" w:rsidRPr="00B85757" w:rsidRDefault="00F02A0C" w:rsidP="006662CF">
      <w:pPr>
        <w:pStyle w:val="Heading3"/>
        <w:spacing w:after="240"/>
      </w:pPr>
      <w:bookmarkStart w:id="12" w:name="_Toc217216278"/>
      <w:r>
        <w:t xml:space="preserve">1.4.1 </w:t>
      </w:r>
      <w:r w:rsidR="00825DD9" w:rsidRPr="00B85757">
        <w:t>Inventory Turnover</w:t>
      </w:r>
      <w:bookmarkEnd w:id="12"/>
    </w:p>
    <w:p w:rsidR="00B85757" w:rsidRPr="00EA2606" w:rsidRDefault="00B85757" w:rsidP="006662CF">
      <w:pPr>
        <w:spacing w:after="240" w:line="360" w:lineRule="auto"/>
        <w:jc w:val="center"/>
        <w:rPr>
          <w:rFonts w:ascii="Arial" w:hAnsi="Arial" w:cs="Arial"/>
          <w:sz w:val="24"/>
        </w:rPr>
      </w:pPr>
      <w:r w:rsidRPr="00EA2606">
        <w:rPr>
          <w:rFonts w:ascii="Arial" w:hAnsi="Arial" w:cs="Arial"/>
          <w:sz w:val="24"/>
        </w:rPr>
        <w:t xml:space="preserve">Inventory Turnover=  </w:t>
      </w:r>
      <m:oMath>
        <m:f>
          <m:fPr>
            <m:ctrlPr>
              <w:rPr>
                <w:rFonts w:ascii="Cambria Math" w:hAnsi="Cambria Math" w:cs="Arial"/>
                <w:i/>
                <w:sz w:val="24"/>
              </w:rPr>
            </m:ctrlPr>
          </m:fPr>
          <m:num>
            <m:r>
              <w:rPr>
                <w:rFonts w:ascii="Cambria Math" w:hAnsi="Cambria Math" w:cs="Arial"/>
                <w:sz w:val="24"/>
              </w:rPr>
              <m:t>Cost of Sales</m:t>
            </m:r>
          </m:num>
          <m:den>
            <m:r>
              <w:rPr>
                <w:rFonts w:ascii="Cambria Math" w:hAnsi="Cambria Math" w:cs="Arial"/>
                <w:sz w:val="24"/>
              </w:rPr>
              <m:t>Average Inventory</m:t>
            </m:r>
          </m:den>
        </m:f>
      </m:oMath>
    </w:p>
    <w:tbl>
      <w:tblPr>
        <w:tblStyle w:val="TableGrid"/>
        <w:tblW w:w="0" w:type="auto"/>
        <w:tblLook w:val="04A0" w:firstRow="1" w:lastRow="0" w:firstColumn="1" w:lastColumn="0" w:noHBand="0" w:noVBand="1"/>
      </w:tblPr>
      <w:tblGrid>
        <w:gridCol w:w="4675"/>
        <w:gridCol w:w="4675"/>
      </w:tblGrid>
      <w:tr w:rsidR="00B85757" w:rsidRPr="00EA2606" w:rsidTr="00030B82">
        <w:tc>
          <w:tcPr>
            <w:tcW w:w="4675" w:type="dxa"/>
          </w:tcPr>
          <w:p w:rsidR="00B85757" w:rsidRPr="00EA2606" w:rsidRDefault="00B85757" w:rsidP="00030B82">
            <w:pPr>
              <w:spacing w:line="360" w:lineRule="auto"/>
              <w:jc w:val="both"/>
              <w:rPr>
                <w:rFonts w:ascii="Arial" w:hAnsi="Arial" w:cs="Arial"/>
                <w:b/>
                <w:sz w:val="24"/>
              </w:rPr>
            </w:pPr>
            <w:r w:rsidRPr="00EA2606">
              <w:rPr>
                <w:rFonts w:ascii="Arial" w:hAnsi="Arial" w:cs="Arial"/>
                <w:b/>
                <w:sz w:val="24"/>
              </w:rPr>
              <w:t>Year</w:t>
            </w:r>
          </w:p>
        </w:tc>
        <w:tc>
          <w:tcPr>
            <w:tcW w:w="4675" w:type="dxa"/>
          </w:tcPr>
          <w:p w:rsidR="00B85757" w:rsidRPr="00EA2606" w:rsidRDefault="00B85757" w:rsidP="00030B82">
            <w:pPr>
              <w:spacing w:line="360" w:lineRule="auto"/>
              <w:jc w:val="both"/>
              <w:rPr>
                <w:rFonts w:ascii="Arial" w:hAnsi="Arial" w:cs="Arial"/>
                <w:b/>
                <w:sz w:val="24"/>
              </w:rPr>
            </w:pPr>
            <w:r w:rsidRPr="00EA2606">
              <w:rPr>
                <w:rFonts w:ascii="Arial" w:hAnsi="Arial" w:cs="Arial"/>
                <w:b/>
                <w:sz w:val="24"/>
              </w:rPr>
              <w:t>Inventory Turnover (x)</w:t>
            </w:r>
          </w:p>
        </w:tc>
      </w:tr>
      <w:tr w:rsidR="00B85757" w:rsidRPr="00EA2606" w:rsidTr="00030B82">
        <w:tc>
          <w:tcPr>
            <w:tcW w:w="4675" w:type="dxa"/>
          </w:tcPr>
          <w:p w:rsidR="00B85757" w:rsidRPr="00EA2606" w:rsidRDefault="00B85757" w:rsidP="00030B82">
            <w:pPr>
              <w:spacing w:line="360" w:lineRule="auto"/>
              <w:jc w:val="both"/>
              <w:rPr>
                <w:rFonts w:ascii="Arial" w:hAnsi="Arial" w:cs="Arial"/>
                <w:sz w:val="24"/>
              </w:rPr>
            </w:pPr>
            <w:r w:rsidRPr="00EA2606">
              <w:rPr>
                <w:rFonts w:ascii="Arial" w:hAnsi="Arial" w:cs="Arial"/>
                <w:sz w:val="24"/>
              </w:rPr>
              <w:t>2024</w:t>
            </w:r>
          </w:p>
        </w:tc>
        <w:tc>
          <w:tcPr>
            <w:tcW w:w="4675" w:type="dxa"/>
          </w:tcPr>
          <w:p w:rsidR="00B85757" w:rsidRPr="00EA2606" w:rsidRDefault="00B85757" w:rsidP="00030B82">
            <w:pPr>
              <w:spacing w:line="360" w:lineRule="auto"/>
              <w:jc w:val="both"/>
              <w:rPr>
                <w:rFonts w:ascii="Arial" w:hAnsi="Arial" w:cs="Arial"/>
                <w:sz w:val="24"/>
              </w:rPr>
            </w:pPr>
            <w:r w:rsidRPr="00EA2606">
              <w:rPr>
                <w:rFonts w:ascii="Arial" w:hAnsi="Arial" w:cs="Arial"/>
                <w:sz w:val="24"/>
              </w:rPr>
              <w:t>3.54</w:t>
            </w:r>
          </w:p>
        </w:tc>
      </w:tr>
      <w:tr w:rsidR="00B85757" w:rsidRPr="00EA2606" w:rsidTr="00030B82">
        <w:tc>
          <w:tcPr>
            <w:tcW w:w="4675" w:type="dxa"/>
          </w:tcPr>
          <w:p w:rsidR="00B85757" w:rsidRPr="00EA2606" w:rsidRDefault="00B85757" w:rsidP="00030B82">
            <w:pPr>
              <w:spacing w:line="360" w:lineRule="auto"/>
              <w:jc w:val="both"/>
              <w:rPr>
                <w:rFonts w:ascii="Arial" w:hAnsi="Arial" w:cs="Arial"/>
                <w:sz w:val="24"/>
              </w:rPr>
            </w:pPr>
            <w:r w:rsidRPr="00EA2606">
              <w:rPr>
                <w:rFonts w:ascii="Arial" w:hAnsi="Arial" w:cs="Arial"/>
                <w:sz w:val="24"/>
              </w:rPr>
              <w:lastRenderedPageBreak/>
              <w:t>2023</w:t>
            </w:r>
          </w:p>
        </w:tc>
        <w:tc>
          <w:tcPr>
            <w:tcW w:w="4675" w:type="dxa"/>
          </w:tcPr>
          <w:p w:rsidR="00B85757" w:rsidRPr="00EA2606" w:rsidRDefault="00B85757" w:rsidP="00030B82">
            <w:pPr>
              <w:spacing w:line="360" w:lineRule="auto"/>
              <w:jc w:val="both"/>
              <w:rPr>
                <w:rFonts w:ascii="Arial" w:hAnsi="Arial" w:cs="Arial"/>
                <w:sz w:val="24"/>
              </w:rPr>
            </w:pPr>
            <w:r w:rsidRPr="00EA2606">
              <w:rPr>
                <w:rFonts w:ascii="Arial" w:hAnsi="Arial" w:cs="Arial"/>
                <w:sz w:val="24"/>
              </w:rPr>
              <w:t>3.66</w:t>
            </w:r>
          </w:p>
        </w:tc>
      </w:tr>
      <w:tr w:rsidR="00B85757" w:rsidRPr="00EA2606" w:rsidTr="00030B82">
        <w:tc>
          <w:tcPr>
            <w:tcW w:w="4675" w:type="dxa"/>
          </w:tcPr>
          <w:p w:rsidR="00B85757" w:rsidRPr="00EA2606" w:rsidRDefault="00B85757" w:rsidP="00030B82">
            <w:pPr>
              <w:spacing w:line="360" w:lineRule="auto"/>
              <w:jc w:val="both"/>
              <w:rPr>
                <w:rFonts w:ascii="Arial" w:hAnsi="Arial" w:cs="Arial"/>
                <w:sz w:val="24"/>
              </w:rPr>
            </w:pPr>
            <w:r w:rsidRPr="00EA2606">
              <w:rPr>
                <w:rFonts w:ascii="Arial" w:hAnsi="Arial" w:cs="Arial"/>
                <w:sz w:val="24"/>
              </w:rPr>
              <w:t>2022</w:t>
            </w:r>
          </w:p>
        </w:tc>
        <w:tc>
          <w:tcPr>
            <w:tcW w:w="4675" w:type="dxa"/>
          </w:tcPr>
          <w:p w:rsidR="00B85757" w:rsidRPr="00EA2606" w:rsidRDefault="00B85757" w:rsidP="00030B82">
            <w:pPr>
              <w:spacing w:line="360" w:lineRule="auto"/>
              <w:jc w:val="both"/>
              <w:rPr>
                <w:rFonts w:ascii="Arial" w:hAnsi="Arial" w:cs="Arial"/>
                <w:sz w:val="24"/>
              </w:rPr>
            </w:pPr>
            <w:r w:rsidRPr="00EA2606">
              <w:rPr>
                <w:rFonts w:ascii="Arial" w:hAnsi="Arial" w:cs="Arial"/>
                <w:sz w:val="24"/>
              </w:rPr>
              <w:t>2.78</w:t>
            </w:r>
          </w:p>
        </w:tc>
      </w:tr>
      <w:tr w:rsidR="00B85757" w:rsidRPr="00EA2606" w:rsidTr="00030B82">
        <w:tc>
          <w:tcPr>
            <w:tcW w:w="4675" w:type="dxa"/>
          </w:tcPr>
          <w:p w:rsidR="00B85757" w:rsidRPr="00EA2606" w:rsidRDefault="00B85757" w:rsidP="00030B82">
            <w:pPr>
              <w:spacing w:line="360" w:lineRule="auto"/>
              <w:jc w:val="both"/>
              <w:rPr>
                <w:rFonts w:ascii="Arial" w:hAnsi="Arial" w:cs="Arial"/>
                <w:sz w:val="24"/>
              </w:rPr>
            </w:pPr>
            <w:r w:rsidRPr="00EA2606">
              <w:rPr>
                <w:rFonts w:ascii="Arial" w:hAnsi="Arial" w:cs="Arial"/>
                <w:sz w:val="24"/>
              </w:rPr>
              <w:t>2021</w:t>
            </w:r>
          </w:p>
        </w:tc>
        <w:tc>
          <w:tcPr>
            <w:tcW w:w="4675" w:type="dxa"/>
          </w:tcPr>
          <w:p w:rsidR="00B85757" w:rsidRPr="00EA2606" w:rsidRDefault="00B85757" w:rsidP="00030B82">
            <w:pPr>
              <w:spacing w:line="360" w:lineRule="auto"/>
              <w:jc w:val="both"/>
              <w:rPr>
                <w:rFonts w:ascii="Arial" w:hAnsi="Arial" w:cs="Arial"/>
                <w:sz w:val="24"/>
              </w:rPr>
            </w:pPr>
            <w:r w:rsidRPr="00EA2606">
              <w:rPr>
                <w:rFonts w:ascii="Arial" w:hAnsi="Arial" w:cs="Arial"/>
                <w:sz w:val="24"/>
              </w:rPr>
              <w:t>3.19</w:t>
            </w:r>
          </w:p>
        </w:tc>
      </w:tr>
      <w:tr w:rsidR="00B85757" w:rsidRPr="00EA2606" w:rsidTr="00030B82">
        <w:tc>
          <w:tcPr>
            <w:tcW w:w="4675" w:type="dxa"/>
          </w:tcPr>
          <w:p w:rsidR="00B85757" w:rsidRPr="00EA2606" w:rsidRDefault="00B85757" w:rsidP="00030B82">
            <w:pPr>
              <w:spacing w:line="360" w:lineRule="auto"/>
              <w:jc w:val="both"/>
              <w:rPr>
                <w:rFonts w:ascii="Arial" w:hAnsi="Arial" w:cs="Arial"/>
                <w:sz w:val="24"/>
              </w:rPr>
            </w:pPr>
            <w:r w:rsidRPr="00EA2606">
              <w:rPr>
                <w:rFonts w:ascii="Arial" w:hAnsi="Arial" w:cs="Arial"/>
                <w:sz w:val="24"/>
              </w:rPr>
              <w:t>2020</w:t>
            </w:r>
          </w:p>
        </w:tc>
        <w:tc>
          <w:tcPr>
            <w:tcW w:w="4675" w:type="dxa"/>
          </w:tcPr>
          <w:p w:rsidR="00B85757" w:rsidRPr="00EA2606" w:rsidRDefault="00B85757" w:rsidP="00030B82">
            <w:pPr>
              <w:spacing w:line="360" w:lineRule="auto"/>
              <w:jc w:val="both"/>
              <w:rPr>
                <w:rFonts w:ascii="Arial" w:hAnsi="Arial" w:cs="Arial"/>
                <w:sz w:val="24"/>
              </w:rPr>
            </w:pPr>
            <w:r w:rsidRPr="00EA2606">
              <w:rPr>
                <w:rFonts w:ascii="Arial" w:hAnsi="Arial" w:cs="Arial"/>
                <w:sz w:val="24"/>
              </w:rPr>
              <w:t>3.64</w:t>
            </w:r>
          </w:p>
        </w:tc>
      </w:tr>
    </w:tbl>
    <w:p w:rsidR="00825DD9" w:rsidRPr="00825DD9" w:rsidRDefault="00825DD9" w:rsidP="00825DD9">
      <w:pPr>
        <w:spacing w:line="360" w:lineRule="auto"/>
        <w:jc w:val="both"/>
        <w:rPr>
          <w:rFonts w:ascii="Arial" w:hAnsi="Arial" w:cs="Arial"/>
          <w:sz w:val="24"/>
        </w:rPr>
      </w:pPr>
    </w:p>
    <w:p w:rsidR="00825DD9" w:rsidRPr="00825DD9" w:rsidRDefault="00825DD9" w:rsidP="00825DD9">
      <w:pPr>
        <w:spacing w:line="360" w:lineRule="auto"/>
        <w:jc w:val="both"/>
        <w:rPr>
          <w:rFonts w:ascii="Arial" w:hAnsi="Arial" w:cs="Arial"/>
          <w:sz w:val="24"/>
        </w:rPr>
      </w:pPr>
      <w:r w:rsidRPr="00825DD9">
        <w:rPr>
          <w:rFonts w:ascii="Arial" w:hAnsi="Arial" w:cs="Arial"/>
          <w:sz w:val="24"/>
        </w:rPr>
        <w:t>The level of inventory was high even as the sales went down which means that the company was not managing its stock efficiently. The inventories reached a high point of 140,181m in 2022 and dropped to 79,355m in 2024 indicating slow corrective action measures. The studies have indicated that in technology-driven sectors, poor inventory management greatly contributes to holding cost and write-down risk (Hillier et al., 2023)</w:t>
      </w:r>
      <w:r w:rsidR="00282CB1">
        <w:rPr>
          <w:rFonts w:ascii="Arial" w:hAnsi="Arial" w:cs="Arial"/>
          <w:sz w:val="24"/>
        </w:rPr>
        <w:t>.</w:t>
      </w:r>
    </w:p>
    <w:p w:rsidR="00825DD9" w:rsidRPr="00282CB1" w:rsidRDefault="00F02A0C" w:rsidP="006662CF">
      <w:pPr>
        <w:pStyle w:val="Heading3"/>
        <w:spacing w:after="240"/>
      </w:pPr>
      <w:bookmarkStart w:id="13" w:name="_Toc217216279"/>
      <w:r>
        <w:t xml:space="preserve">1.4.2 </w:t>
      </w:r>
      <w:r w:rsidR="00825DD9" w:rsidRPr="00282CB1">
        <w:t>Receivables Turnover</w:t>
      </w:r>
      <w:bookmarkEnd w:id="13"/>
    </w:p>
    <w:p w:rsidR="00282CB1" w:rsidRPr="00EA2606" w:rsidRDefault="00282CB1" w:rsidP="006662CF">
      <w:pPr>
        <w:spacing w:after="240" w:line="360" w:lineRule="auto"/>
        <w:jc w:val="center"/>
        <w:rPr>
          <w:rFonts w:ascii="Arial" w:hAnsi="Arial" w:cs="Arial"/>
          <w:sz w:val="24"/>
        </w:rPr>
      </w:pPr>
      <w:r w:rsidRPr="00EA2606">
        <w:rPr>
          <w:rFonts w:ascii="Arial" w:hAnsi="Arial" w:cs="Arial"/>
          <w:sz w:val="24"/>
        </w:rPr>
        <w:t xml:space="preserve">AR Turnover=  </w:t>
      </w:r>
      <m:oMath>
        <m:f>
          <m:fPr>
            <m:ctrlPr>
              <w:rPr>
                <w:rFonts w:ascii="Cambria Math" w:hAnsi="Cambria Math" w:cs="Arial"/>
                <w:i/>
                <w:sz w:val="24"/>
              </w:rPr>
            </m:ctrlPr>
          </m:fPr>
          <m:num>
            <m:r>
              <w:rPr>
                <w:rFonts w:ascii="Cambria Math" w:hAnsi="Cambria Math" w:cs="Arial"/>
                <w:sz w:val="24"/>
              </w:rPr>
              <m:t>Net Sales</m:t>
            </m:r>
          </m:num>
          <m:den>
            <m:r>
              <w:rPr>
                <w:rFonts w:ascii="Cambria Math" w:hAnsi="Cambria Math" w:cs="Arial"/>
                <w:sz w:val="24"/>
              </w:rPr>
              <m:t>Average Accounts Receivable</m:t>
            </m:r>
          </m:den>
        </m:f>
      </m:oMath>
    </w:p>
    <w:tbl>
      <w:tblPr>
        <w:tblStyle w:val="TableGrid"/>
        <w:tblW w:w="0" w:type="auto"/>
        <w:tblLook w:val="04A0" w:firstRow="1" w:lastRow="0" w:firstColumn="1" w:lastColumn="0" w:noHBand="0" w:noVBand="1"/>
      </w:tblPr>
      <w:tblGrid>
        <w:gridCol w:w="4675"/>
        <w:gridCol w:w="4675"/>
      </w:tblGrid>
      <w:tr w:rsidR="00282CB1" w:rsidRPr="00EA2606" w:rsidTr="00030B82">
        <w:tc>
          <w:tcPr>
            <w:tcW w:w="4675" w:type="dxa"/>
          </w:tcPr>
          <w:p w:rsidR="00282CB1" w:rsidRPr="00EA2606" w:rsidRDefault="00282CB1" w:rsidP="00030B82">
            <w:pPr>
              <w:spacing w:line="360" w:lineRule="auto"/>
              <w:jc w:val="both"/>
              <w:rPr>
                <w:rFonts w:ascii="Arial" w:hAnsi="Arial" w:cs="Arial"/>
                <w:b/>
                <w:sz w:val="24"/>
              </w:rPr>
            </w:pPr>
            <w:r w:rsidRPr="00EA2606">
              <w:rPr>
                <w:rFonts w:ascii="Arial" w:hAnsi="Arial" w:cs="Arial"/>
                <w:b/>
                <w:sz w:val="24"/>
              </w:rPr>
              <w:t>Year</w:t>
            </w:r>
          </w:p>
        </w:tc>
        <w:tc>
          <w:tcPr>
            <w:tcW w:w="4675" w:type="dxa"/>
          </w:tcPr>
          <w:p w:rsidR="00282CB1" w:rsidRPr="00EA2606" w:rsidRDefault="00282CB1" w:rsidP="00030B82">
            <w:pPr>
              <w:spacing w:line="360" w:lineRule="auto"/>
              <w:jc w:val="both"/>
              <w:rPr>
                <w:rFonts w:ascii="Arial" w:hAnsi="Arial" w:cs="Arial"/>
                <w:b/>
                <w:sz w:val="24"/>
              </w:rPr>
            </w:pPr>
            <w:r w:rsidRPr="00EA2606">
              <w:rPr>
                <w:rFonts w:ascii="Arial" w:hAnsi="Arial" w:cs="Arial"/>
                <w:b/>
                <w:sz w:val="24"/>
              </w:rPr>
              <w:t>AR Turnover (x)</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2024</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3.49</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2023</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3.74</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2022</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4.82</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2021</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4.66</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2020</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4.75</w:t>
            </w:r>
          </w:p>
        </w:tc>
      </w:tr>
    </w:tbl>
    <w:p w:rsidR="00825DD9" w:rsidRPr="00825DD9" w:rsidRDefault="00825DD9" w:rsidP="006662CF">
      <w:pPr>
        <w:spacing w:before="240" w:line="360" w:lineRule="auto"/>
        <w:jc w:val="both"/>
        <w:rPr>
          <w:rFonts w:ascii="Arial" w:hAnsi="Arial" w:cs="Arial"/>
          <w:sz w:val="24"/>
        </w:rPr>
      </w:pPr>
      <w:r w:rsidRPr="00825DD9">
        <w:rPr>
          <w:rFonts w:ascii="Arial" w:hAnsi="Arial" w:cs="Arial"/>
          <w:sz w:val="24"/>
        </w:rPr>
        <w:t xml:space="preserve">The accounts receivable levels were also maintained at high rates with the receivables of £114,182m in 2024. This is an indicator of lax credit policies and lax collection practices, which adds to the strain on cash flow. Ross et al. (2024) posit that an inefficient management of receivables is one of the major causes of liquidity </w:t>
      </w:r>
      <w:r w:rsidR="00282CB1">
        <w:rPr>
          <w:rFonts w:ascii="Arial" w:hAnsi="Arial" w:cs="Arial"/>
          <w:sz w:val="24"/>
        </w:rPr>
        <w:t>crisis in distressed companies.</w:t>
      </w:r>
    </w:p>
    <w:p w:rsidR="00825DD9" w:rsidRPr="00825DD9" w:rsidRDefault="00825DD9" w:rsidP="00825DD9">
      <w:pPr>
        <w:spacing w:line="360" w:lineRule="auto"/>
        <w:jc w:val="both"/>
        <w:rPr>
          <w:rFonts w:ascii="Arial" w:hAnsi="Arial" w:cs="Arial"/>
          <w:sz w:val="24"/>
        </w:rPr>
      </w:pPr>
      <w:r w:rsidRPr="00825DD9">
        <w:rPr>
          <w:rFonts w:ascii="Arial" w:hAnsi="Arial" w:cs="Arial"/>
          <w:sz w:val="24"/>
        </w:rPr>
        <w:t xml:space="preserve">On the whole, the efficiency ratios demonstrate the rigidity in operations and the lack of working capital discipline that adds to the </w:t>
      </w:r>
      <w:r w:rsidR="00282CB1">
        <w:rPr>
          <w:rFonts w:ascii="Arial" w:hAnsi="Arial" w:cs="Arial"/>
          <w:sz w:val="24"/>
        </w:rPr>
        <w:t>financial distress of the firm.</w:t>
      </w:r>
    </w:p>
    <w:p w:rsidR="006662CF" w:rsidRDefault="006662CF">
      <w:pPr>
        <w:rPr>
          <w:rFonts w:ascii="Arial" w:eastAsiaTheme="majorEastAsia" w:hAnsi="Arial" w:cstheme="majorBidi"/>
          <w:b/>
          <w:color w:val="000000" w:themeColor="text1"/>
          <w:sz w:val="28"/>
          <w:szCs w:val="26"/>
        </w:rPr>
      </w:pPr>
      <w:bookmarkStart w:id="14" w:name="_Toc217216280"/>
      <w:r>
        <w:br w:type="page"/>
      </w:r>
    </w:p>
    <w:p w:rsidR="00282CB1" w:rsidRPr="00EA2606" w:rsidRDefault="00282CB1" w:rsidP="00282CB1">
      <w:pPr>
        <w:pStyle w:val="Heading2"/>
      </w:pPr>
      <w:r w:rsidRPr="00EA2606">
        <w:lastRenderedPageBreak/>
        <w:t>1.5 Gearing and Solvency Ratios</w:t>
      </w:r>
      <w:bookmarkEnd w:id="14"/>
    </w:p>
    <w:p w:rsidR="00825DD9" w:rsidRPr="00825DD9" w:rsidRDefault="00825DD9" w:rsidP="00825DD9">
      <w:pPr>
        <w:spacing w:line="360" w:lineRule="auto"/>
        <w:jc w:val="both"/>
        <w:rPr>
          <w:rFonts w:ascii="Arial" w:hAnsi="Arial" w:cs="Arial"/>
          <w:sz w:val="24"/>
        </w:rPr>
      </w:pPr>
      <w:r w:rsidRPr="00825DD9">
        <w:rPr>
          <w:rFonts w:ascii="Arial" w:hAnsi="Arial" w:cs="Arial"/>
          <w:sz w:val="24"/>
        </w:rPr>
        <w:t>Gearing ratios determine the financial stability of the firm and its dependence on d</w:t>
      </w:r>
      <w:r w:rsidR="00282CB1">
        <w:rPr>
          <w:rFonts w:ascii="Arial" w:hAnsi="Arial" w:cs="Arial"/>
          <w:sz w:val="24"/>
        </w:rPr>
        <w:t>ebt financing in the long term.</w:t>
      </w:r>
    </w:p>
    <w:p w:rsidR="00825DD9" w:rsidRPr="00282CB1" w:rsidRDefault="00F02A0C" w:rsidP="00F02A0C">
      <w:pPr>
        <w:pStyle w:val="Heading3"/>
      </w:pPr>
      <w:bookmarkStart w:id="15" w:name="_Toc217216281"/>
      <w:r>
        <w:t xml:space="preserve">1.5.1 </w:t>
      </w:r>
      <w:r w:rsidR="00825DD9" w:rsidRPr="00282CB1">
        <w:t>Debt-to-Equity Ratio</w:t>
      </w:r>
      <w:bookmarkEnd w:id="15"/>
    </w:p>
    <w:p w:rsidR="00282CB1" w:rsidRPr="00EA2606" w:rsidRDefault="00282CB1" w:rsidP="00282CB1">
      <w:pPr>
        <w:spacing w:line="360" w:lineRule="auto"/>
        <w:jc w:val="center"/>
        <w:rPr>
          <w:rFonts w:ascii="Arial" w:hAnsi="Arial" w:cs="Arial"/>
          <w:sz w:val="24"/>
        </w:rPr>
      </w:pPr>
      <w:r w:rsidRPr="00EA2606">
        <w:rPr>
          <w:rFonts w:ascii="Arial" w:hAnsi="Arial" w:cs="Arial"/>
          <w:sz w:val="24"/>
        </w:rPr>
        <w:t xml:space="preserve">Debt-to-Equity= </w:t>
      </w:r>
      <m:oMath>
        <m:f>
          <m:fPr>
            <m:ctrlPr>
              <w:rPr>
                <w:rFonts w:ascii="Cambria Math" w:hAnsi="Cambria Math" w:cs="Arial"/>
                <w:i/>
                <w:sz w:val="24"/>
              </w:rPr>
            </m:ctrlPr>
          </m:fPr>
          <m:num>
            <m:r>
              <w:rPr>
                <w:rFonts w:ascii="Cambria Math" w:hAnsi="Cambria Math" w:cs="Arial"/>
                <w:sz w:val="24"/>
              </w:rPr>
              <m:t>Total Liabilities</m:t>
            </m:r>
          </m:num>
          <m:den>
            <m:r>
              <w:rPr>
                <w:rFonts w:ascii="Cambria Math" w:hAnsi="Cambria Math" w:cs="Arial"/>
                <w:sz w:val="24"/>
              </w:rPr>
              <m:t>Shareholders’ Equity</m:t>
            </m:r>
          </m:den>
        </m:f>
      </m:oMath>
    </w:p>
    <w:tbl>
      <w:tblPr>
        <w:tblStyle w:val="TableGrid"/>
        <w:tblW w:w="0" w:type="auto"/>
        <w:tblLook w:val="04A0" w:firstRow="1" w:lastRow="0" w:firstColumn="1" w:lastColumn="0" w:noHBand="0" w:noVBand="1"/>
      </w:tblPr>
      <w:tblGrid>
        <w:gridCol w:w="4675"/>
        <w:gridCol w:w="4675"/>
      </w:tblGrid>
      <w:tr w:rsidR="00282CB1" w:rsidRPr="00EA2606" w:rsidTr="00030B82">
        <w:tc>
          <w:tcPr>
            <w:tcW w:w="4675" w:type="dxa"/>
          </w:tcPr>
          <w:p w:rsidR="00282CB1" w:rsidRPr="00EA2606" w:rsidRDefault="00282CB1" w:rsidP="00030B82">
            <w:pPr>
              <w:spacing w:line="360" w:lineRule="auto"/>
              <w:jc w:val="both"/>
              <w:rPr>
                <w:rFonts w:ascii="Arial" w:hAnsi="Arial" w:cs="Arial"/>
                <w:b/>
                <w:sz w:val="24"/>
              </w:rPr>
            </w:pPr>
            <w:r w:rsidRPr="00EA2606">
              <w:rPr>
                <w:rFonts w:ascii="Arial" w:hAnsi="Arial" w:cs="Arial"/>
                <w:b/>
                <w:sz w:val="24"/>
              </w:rPr>
              <w:t>Year</w:t>
            </w:r>
          </w:p>
        </w:tc>
        <w:tc>
          <w:tcPr>
            <w:tcW w:w="4675" w:type="dxa"/>
          </w:tcPr>
          <w:p w:rsidR="00282CB1" w:rsidRPr="00EA2606" w:rsidRDefault="00282CB1" w:rsidP="00030B82">
            <w:pPr>
              <w:spacing w:line="360" w:lineRule="auto"/>
              <w:jc w:val="both"/>
              <w:rPr>
                <w:rFonts w:ascii="Arial" w:hAnsi="Arial" w:cs="Arial"/>
                <w:b/>
                <w:sz w:val="24"/>
              </w:rPr>
            </w:pPr>
            <w:r w:rsidRPr="00EA2606">
              <w:rPr>
                <w:rFonts w:ascii="Arial" w:hAnsi="Arial" w:cs="Arial"/>
                <w:b/>
                <w:sz w:val="24"/>
              </w:rPr>
              <w:t>Debt-to-Equity (x)</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2024</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1.11</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2023</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0.99</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2022</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0.88</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2021</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0.85</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2020</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0.63</w:t>
            </w:r>
          </w:p>
        </w:tc>
      </w:tr>
    </w:tbl>
    <w:p w:rsidR="00825DD9" w:rsidRPr="00825DD9" w:rsidRDefault="00825DD9" w:rsidP="00825DD9">
      <w:pPr>
        <w:spacing w:line="360" w:lineRule="auto"/>
        <w:jc w:val="both"/>
        <w:rPr>
          <w:rFonts w:ascii="Arial" w:hAnsi="Arial" w:cs="Arial"/>
          <w:sz w:val="24"/>
        </w:rPr>
      </w:pPr>
    </w:p>
    <w:p w:rsidR="00F02A0C" w:rsidRPr="00825DD9" w:rsidRDefault="00825DD9" w:rsidP="00825DD9">
      <w:pPr>
        <w:spacing w:line="360" w:lineRule="auto"/>
        <w:jc w:val="both"/>
        <w:rPr>
          <w:rFonts w:ascii="Arial" w:hAnsi="Arial" w:cs="Arial"/>
          <w:sz w:val="24"/>
        </w:rPr>
      </w:pPr>
      <w:r w:rsidRPr="00825DD9">
        <w:rPr>
          <w:rFonts w:ascii="Arial" w:hAnsi="Arial" w:cs="Arial"/>
          <w:sz w:val="24"/>
        </w:rPr>
        <w:t xml:space="preserve">Total liabilities went up as compared to equity and </w:t>
      </w:r>
      <w:r w:rsidR="00282CB1" w:rsidRPr="00825DD9">
        <w:rPr>
          <w:rFonts w:ascii="Arial" w:hAnsi="Arial" w:cs="Arial"/>
          <w:sz w:val="24"/>
        </w:rPr>
        <w:t>shareholders’</w:t>
      </w:r>
      <w:r w:rsidRPr="00825DD9">
        <w:rPr>
          <w:rFonts w:ascii="Arial" w:hAnsi="Arial" w:cs="Arial"/>
          <w:sz w:val="24"/>
        </w:rPr>
        <w:t xml:space="preserve"> equity in 2020 was 313301m compared to 2024 at 153105m. This is cumulative losses and treasury stock buybacks. The risk of default is high as leverage is high and earnings are on the downward trend, especially in cyclical</w:t>
      </w:r>
      <w:r w:rsidR="00282CB1">
        <w:rPr>
          <w:rFonts w:ascii="Arial" w:hAnsi="Arial" w:cs="Arial"/>
          <w:sz w:val="24"/>
        </w:rPr>
        <w:t xml:space="preserve"> sectors (Altman et al., 2022).</w:t>
      </w:r>
    </w:p>
    <w:p w:rsidR="00825DD9" w:rsidRPr="00282CB1" w:rsidRDefault="00F02A0C" w:rsidP="00F02A0C">
      <w:pPr>
        <w:pStyle w:val="Heading3"/>
      </w:pPr>
      <w:bookmarkStart w:id="16" w:name="_Toc217216282"/>
      <w:r>
        <w:t xml:space="preserve">1.5.2 </w:t>
      </w:r>
      <w:r w:rsidR="00825DD9" w:rsidRPr="00282CB1">
        <w:t>Interest Coverage Ratio</w:t>
      </w:r>
      <w:bookmarkEnd w:id="16"/>
    </w:p>
    <w:p w:rsidR="00282CB1" w:rsidRPr="00EA2606" w:rsidRDefault="00282CB1" w:rsidP="00282CB1">
      <w:pPr>
        <w:spacing w:line="360" w:lineRule="auto"/>
        <w:jc w:val="center"/>
        <w:rPr>
          <w:rFonts w:ascii="Arial" w:hAnsi="Arial" w:cs="Arial"/>
          <w:sz w:val="24"/>
        </w:rPr>
      </w:pPr>
      <w:r w:rsidRPr="00EA2606">
        <w:rPr>
          <w:rFonts w:ascii="Arial" w:hAnsi="Arial" w:cs="Arial"/>
          <w:sz w:val="24"/>
        </w:rPr>
        <w:t xml:space="preserve">Interest Coverage= </w:t>
      </w:r>
      <m:oMath>
        <m:f>
          <m:fPr>
            <m:ctrlPr>
              <w:rPr>
                <w:rFonts w:ascii="Cambria Math" w:hAnsi="Cambria Math" w:cs="Arial"/>
                <w:i/>
                <w:sz w:val="24"/>
              </w:rPr>
            </m:ctrlPr>
          </m:fPr>
          <m:num>
            <m:r>
              <w:rPr>
                <w:rFonts w:ascii="Cambria Math" w:hAnsi="Cambria Math" w:cs="Arial"/>
                <w:sz w:val="24"/>
              </w:rPr>
              <m:t>Operating Income</m:t>
            </m:r>
          </m:num>
          <m:den>
            <m:r>
              <w:rPr>
                <w:rFonts w:ascii="Cambria Math" w:hAnsi="Cambria Math" w:cs="Arial"/>
                <w:sz w:val="24"/>
              </w:rPr>
              <m:t>Interest Expense</m:t>
            </m:r>
          </m:den>
        </m:f>
      </m:oMath>
    </w:p>
    <w:p w:rsidR="00282CB1" w:rsidRPr="00EA2606" w:rsidRDefault="00282CB1" w:rsidP="00282CB1">
      <w:pPr>
        <w:spacing w:line="360" w:lineRule="auto"/>
        <w:jc w:val="both"/>
        <w:rPr>
          <w:rFonts w:ascii="Arial" w:hAnsi="Arial" w:cs="Arial"/>
          <w:sz w:val="24"/>
        </w:rPr>
      </w:pPr>
    </w:p>
    <w:tbl>
      <w:tblPr>
        <w:tblStyle w:val="TableGrid"/>
        <w:tblW w:w="0" w:type="auto"/>
        <w:tblLook w:val="04A0" w:firstRow="1" w:lastRow="0" w:firstColumn="1" w:lastColumn="0" w:noHBand="0" w:noVBand="1"/>
      </w:tblPr>
      <w:tblGrid>
        <w:gridCol w:w="4675"/>
        <w:gridCol w:w="4675"/>
      </w:tblGrid>
      <w:tr w:rsidR="00282CB1" w:rsidRPr="00EA2606" w:rsidTr="00030B82">
        <w:tc>
          <w:tcPr>
            <w:tcW w:w="4675" w:type="dxa"/>
          </w:tcPr>
          <w:p w:rsidR="00282CB1" w:rsidRPr="00EA2606" w:rsidRDefault="00282CB1" w:rsidP="00030B82">
            <w:pPr>
              <w:spacing w:line="360" w:lineRule="auto"/>
              <w:jc w:val="both"/>
              <w:rPr>
                <w:rFonts w:ascii="Arial" w:hAnsi="Arial" w:cs="Arial"/>
                <w:b/>
                <w:sz w:val="24"/>
              </w:rPr>
            </w:pPr>
            <w:r w:rsidRPr="00EA2606">
              <w:rPr>
                <w:rFonts w:ascii="Arial" w:hAnsi="Arial" w:cs="Arial"/>
                <w:b/>
                <w:sz w:val="24"/>
              </w:rPr>
              <w:t>Year</w:t>
            </w:r>
          </w:p>
        </w:tc>
        <w:tc>
          <w:tcPr>
            <w:tcW w:w="4675" w:type="dxa"/>
          </w:tcPr>
          <w:p w:rsidR="00282CB1" w:rsidRPr="00EA2606" w:rsidRDefault="00282CB1" w:rsidP="00030B82">
            <w:pPr>
              <w:spacing w:line="360" w:lineRule="auto"/>
              <w:jc w:val="both"/>
              <w:rPr>
                <w:rFonts w:ascii="Arial" w:hAnsi="Arial" w:cs="Arial"/>
                <w:b/>
                <w:sz w:val="24"/>
              </w:rPr>
            </w:pPr>
            <w:r w:rsidRPr="00EA2606">
              <w:rPr>
                <w:rFonts w:ascii="Arial" w:hAnsi="Arial" w:cs="Arial"/>
                <w:b/>
                <w:sz w:val="24"/>
              </w:rPr>
              <w:t>Interest Coverage (x)</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2024</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-4.55</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2023</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-19.70</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2022</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6.61</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2021</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41.09</w:t>
            </w:r>
          </w:p>
        </w:tc>
      </w:tr>
      <w:tr w:rsidR="00282CB1" w:rsidRPr="00EA2606" w:rsidTr="00030B82">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2020</w:t>
            </w:r>
          </w:p>
        </w:tc>
        <w:tc>
          <w:tcPr>
            <w:tcW w:w="4675" w:type="dxa"/>
          </w:tcPr>
          <w:p w:rsidR="00282CB1" w:rsidRPr="00EA2606" w:rsidRDefault="00282CB1" w:rsidP="00030B82">
            <w:pPr>
              <w:spacing w:line="360" w:lineRule="auto"/>
              <w:jc w:val="both"/>
              <w:rPr>
                <w:rFonts w:ascii="Arial" w:hAnsi="Arial" w:cs="Arial"/>
                <w:sz w:val="24"/>
              </w:rPr>
            </w:pPr>
            <w:r w:rsidRPr="00EA2606">
              <w:rPr>
                <w:rFonts w:ascii="Arial" w:hAnsi="Arial" w:cs="Arial"/>
                <w:sz w:val="24"/>
              </w:rPr>
              <w:t>26.19</w:t>
            </w:r>
          </w:p>
        </w:tc>
      </w:tr>
    </w:tbl>
    <w:p w:rsidR="00825DD9" w:rsidRPr="00825DD9" w:rsidRDefault="00825DD9" w:rsidP="00825DD9">
      <w:pPr>
        <w:spacing w:line="360" w:lineRule="auto"/>
        <w:jc w:val="both"/>
        <w:rPr>
          <w:rFonts w:ascii="Arial" w:hAnsi="Arial" w:cs="Arial"/>
          <w:sz w:val="24"/>
        </w:rPr>
      </w:pPr>
    </w:p>
    <w:p w:rsidR="00825DD9" w:rsidRPr="00825DD9" w:rsidRDefault="00825DD9" w:rsidP="00825DD9">
      <w:pPr>
        <w:spacing w:line="360" w:lineRule="auto"/>
        <w:jc w:val="both"/>
        <w:rPr>
          <w:rFonts w:ascii="Arial" w:hAnsi="Arial" w:cs="Arial"/>
          <w:sz w:val="24"/>
        </w:rPr>
      </w:pPr>
      <w:r w:rsidRPr="00825DD9">
        <w:rPr>
          <w:rFonts w:ascii="Arial" w:hAnsi="Arial" w:cs="Arial"/>
          <w:sz w:val="24"/>
        </w:rPr>
        <w:lastRenderedPageBreak/>
        <w:t>The interest coverage has gone down hard, with operating losses in 2023 and 2024 making the ratio useless. Failing to service interest commitment comfortably is generally seen as a harbinger of financial anguish (</w:t>
      </w:r>
      <w:proofErr w:type="spellStart"/>
      <w:r w:rsidRPr="00825DD9">
        <w:rPr>
          <w:rFonts w:ascii="Arial" w:hAnsi="Arial" w:cs="Arial"/>
          <w:sz w:val="24"/>
        </w:rPr>
        <w:t>B</w:t>
      </w:r>
      <w:r w:rsidR="00282CB1">
        <w:rPr>
          <w:rFonts w:ascii="Arial" w:hAnsi="Arial" w:cs="Arial"/>
          <w:sz w:val="24"/>
        </w:rPr>
        <w:t>realey</w:t>
      </w:r>
      <w:proofErr w:type="spellEnd"/>
      <w:r w:rsidR="00282CB1">
        <w:rPr>
          <w:rFonts w:ascii="Arial" w:hAnsi="Arial" w:cs="Arial"/>
          <w:sz w:val="24"/>
        </w:rPr>
        <w:t>, Myers and Allen, 2023).</w:t>
      </w:r>
    </w:p>
    <w:p w:rsidR="00825DD9" w:rsidRDefault="00825DD9" w:rsidP="00825DD9">
      <w:pPr>
        <w:spacing w:line="360" w:lineRule="auto"/>
        <w:jc w:val="both"/>
        <w:rPr>
          <w:rFonts w:ascii="Arial" w:hAnsi="Arial" w:cs="Arial"/>
          <w:sz w:val="24"/>
        </w:rPr>
      </w:pPr>
      <w:r w:rsidRPr="00825DD9">
        <w:rPr>
          <w:rFonts w:ascii="Arial" w:hAnsi="Arial" w:cs="Arial"/>
          <w:sz w:val="24"/>
        </w:rPr>
        <w:t>This means that the solvency position of the firm is weak, which restricts it to get more debt</w:t>
      </w:r>
      <w:r w:rsidR="00282CB1">
        <w:rPr>
          <w:rFonts w:ascii="Arial" w:hAnsi="Arial" w:cs="Arial"/>
          <w:sz w:val="24"/>
        </w:rPr>
        <w:t xml:space="preserve"> financing at favourable terms.</w:t>
      </w:r>
    </w:p>
    <w:p w:rsidR="00825DD9" w:rsidRPr="00282CB1" w:rsidRDefault="00825DD9" w:rsidP="006662CF">
      <w:pPr>
        <w:pStyle w:val="Heading2"/>
        <w:spacing w:after="240"/>
      </w:pPr>
      <w:bookmarkStart w:id="17" w:name="_Toc217216283"/>
      <w:r w:rsidRPr="00825DD9">
        <w:t>1.6 Cash Flow Analysis</w:t>
      </w:r>
      <w:bookmarkEnd w:id="17"/>
    </w:p>
    <w:p w:rsidR="00825DD9" w:rsidRDefault="00825DD9" w:rsidP="006662CF">
      <w:pPr>
        <w:spacing w:after="240" w:line="360" w:lineRule="auto"/>
        <w:jc w:val="both"/>
        <w:rPr>
          <w:rFonts w:ascii="Arial" w:hAnsi="Arial" w:cs="Arial"/>
          <w:sz w:val="24"/>
        </w:rPr>
      </w:pPr>
      <w:r w:rsidRPr="00825DD9">
        <w:rPr>
          <w:rFonts w:ascii="Arial" w:hAnsi="Arial" w:cs="Arial"/>
          <w:sz w:val="24"/>
        </w:rPr>
        <w:t>The cash flow analysis gives the much needed understanding of the financial sustainability</w:t>
      </w:r>
      <w:r w:rsidR="00282CB1">
        <w:rPr>
          <w:rFonts w:ascii="Arial" w:hAnsi="Arial" w:cs="Arial"/>
          <w:sz w:val="24"/>
        </w:rPr>
        <w:t xml:space="preserve"> beyond the accounting profits.</w:t>
      </w:r>
    </w:p>
    <w:tbl>
      <w:tblPr>
        <w:tblStyle w:val="TableGrid"/>
        <w:tblW w:w="0" w:type="auto"/>
        <w:tblLook w:val="04A0" w:firstRow="1" w:lastRow="0" w:firstColumn="1" w:lastColumn="0" w:noHBand="0" w:noVBand="1"/>
      </w:tblPr>
      <w:tblGrid>
        <w:gridCol w:w="4675"/>
        <w:gridCol w:w="4675"/>
      </w:tblGrid>
      <w:tr w:rsidR="00E42D4E" w:rsidRPr="00EA2606" w:rsidTr="00030B82">
        <w:tc>
          <w:tcPr>
            <w:tcW w:w="4675" w:type="dxa"/>
          </w:tcPr>
          <w:p w:rsidR="00E42D4E" w:rsidRPr="00EA2606" w:rsidRDefault="00E42D4E" w:rsidP="00030B82">
            <w:pPr>
              <w:spacing w:line="360" w:lineRule="auto"/>
              <w:jc w:val="both"/>
              <w:rPr>
                <w:rFonts w:ascii="Arial" w:hAnsi="Arial" w:cs="Arial"/>
                <w:b/>
                <w:sz w:val="24"/>
              </w:rPr>
            </w:pPr>
            <w:r w:rsidRPr="00EA2606">
              <w:rPr>
                <w:rFonts w:ascii="Arial" w:hAnsi="Arial" w:cs="Arial"/>
                <w:b/>
                <w:sz w:val="24"/>
              </w:rPr>
              <w:t>Year</w:t>
            </w:r>
          </w:p>
        </w:tc>
        <w:tc>
          <w:tcPr>
            <w:tcW w:w="4675" w:type="dxa"/>
          </w:tcPr>
          <w:p w:rsidR="00E42D4E" w:rsidRPr="00EA2606" w:rsidRDefault="00E42D4E" w:rsidP="00030B82">
            <w:pPr>
              <w:spacing w:line="360" w:lineRule="auto"/>
              <w:jc w:val="both"/>
              <w:rPr>
                <w:rFonts w:ascii="Arial" w:hAnsi="Arial" w:cs="Arial"/>
                <w:b/>
                <w:sz w:val="24"/>
              </w:rPr>
            </w:pPr>
            <w:r w:rsidRPr="00EA2606">
              <w:rPr>
                <w:rFonts w:ascii="Arial" w:hAnsi="Arial" w:cs="Arial"/>
                <w:b/>
                <w:sz w:val="24"/>
              </w:rPr>
              <w:t>Net Cash from Operations (£m)</w:t>
            </w:r>
          </w:p>
        </w:tc>
      </w:tr>
      <w:tr w:rsidR="00E42D4E" w:rsidRPr="00EA2606" w:rsidTr="00030B82">
        <w:tc>
          <w:tcPr>
            <w:tcW w:w="4675" w:type="dxa"/>
          </w:tcPr>
          <w:p w:rsidR="00E42D4E" w:rsidRPr="00EA2606" w:rsidRDefault="00E42D4E" w:rsidP="00030B82">
            <w:pPr>
              <w:spacing w:line="360" w:lineRule="auto"/>
              <w:jc w:val="both"/>
              <w:rPr>
                <w:rFonts w:ascii="Arial" w:hAnsi="Arial" w:cs="Arial"/>
                <w:sz w:val="24"/>
              </w:rPr>
            </w:pPr>
            <w:r w:rsidRPr="00EA2606">
              <w:rPr>
                <w:rFonts w:ascii="Arial" w:hAnsi="Arial" w:cs="Arial"/>
                <w:sz w:val="24"/>
              </w:rPr>
              <w:t>2024</w:t>
            </w:r>
          </w:p>
        </w:tc>
        <w:tc>
          <w:tcPr>
            <w:tcW w:w="4675" w:type="dxa"/>
          </w:tcPr>
          <w:p w:rsidR="00E42D4E" w:rsidRPr="00EA2606" w:rsidRDefault="00E42D4E" w:rsidP="00030B82">
            <w:pPr>
              <w:spacing w:line="360" w:lineRule="auto"/>
              <w:jc w:val="both"/>
              <w:rPr>
                <w:rFonts w:ascii="Arial" w:hAnsi="Arial" w:cs="Arial"/>
                <w:sz w:val="24"/>
              </w:rPr>
            </w:pPr>
            <w:r w:rsidRPr="00EA2606">
              <w:rPr>
                <w:rFonts w:ascii="Arial" w:hAnsi="Arial" w:cs="Arial"/>
                <w:sz w:val="24"/>
              </w:rPr>
              <w:t>14,822</w:t>
            </w:r>
          </w:p>
        </w:tc>
      </w:tr>
      <w:tr w:rsidR="00E42D4E" w:rsidRPr="00EA2606" w:rsidTr="00030B82">
        <w:tc>
          <w:tcPr>
            <w:tcW w:w="4675" w:type="dxa"/>
          </w:tcPr>
          <w:p w:rsidR="00E42D4E" w:rsidRPr="00EA2606" w:rsidRDefault="00E42D4E" w:rsidP="00030B82">
            <w:pPr>
              <w:spacing w:line="360" w:lineRule="auto"/>
              <w:jc w:val="both"/>
              <w:rPr>
                <w:rFonts w:ascii="Arial" w:hAnsi="Arial" w:cs="Arial"/>
                <w:sz w:val="24"/>
              </w:rPr>
            </w:pPr>
            <w:r w:rsidRPr="00EA2606">
              <w:rPr>
                <w:rFonts w:ascii="Arial" w:hAnsi="Arial" w:cs="Arial"/>
                <w:sz w:val="24"/>
              </w:rPr>
              <w:t>2023</w:t>
            </w:r>
          </w:p>
        </w:tc>
        <w:tc>
          <w:tcPr>
            <w:tcW w:w="4675" w:type="dxa"/>
          </w:tcPr>
          <w:p w:rsidR="00E42D4E" w:rsidRPr="00EA2606" w:rsidRDefault="00E42D4E" w:rsidP="00030B82">
            <w:pPr>
              <w:spacing w:line="360" w:lineRule="auto"/>
              <w:jc w:val="both"/>
              <w:rPr>
                <w:rFonts w:ascii="Arial" w:hAnsi="Arial" w:cs="Arial"/>
                <w:sz w:val="24"/>
              </w:rPr>
            </w:pPr>
            <w:r w:rsidRPr="00EA2606">
              <w:rPr>
                <w:rFonts w:ascii="Arial" w:hAnsi="Arial" w:cs="Arial"/>
                <w:sz w:val="24"/>
              </w:rPr>
              <w:t>25,190</w:t>
            </w:r>
          </w:p>
        </w:tc>
      </w:tr>
      <w:tr w:rsidR="00E42D4E" w:rsidRPr="00EA2606" w:rsidTr="00030B82">
        <w:tc>
          <w:tcPr>
            <w:tcW w:w="4675" w:type="dxa"/>
          </w:tcPr>
          <w:p w:rsidR="00E42D4E" w:rsidRPr="00EA2606" w:rsidRDefault="00E42D4E" w:rsidP="00030B82">
            <w:pPr>
              <w:spacing w:line="360" w:lineRule="auto"/>
              <w:jc w:val="both"/>
              <w:rPr>
                <w:rFonts w:ascii="Arial" w:hAnsi="Arial" w:cs="Arial"/>
                <w:sz w:val="24"/>
              </w:rPr>
            </w:pPr>
            <w:r w:rsidRPr="00EA2606">
              <w:rPr>
                <w:rFonts w:ascii="Arial" w:hAnsi="Arial" w:cs="Arial"/>
                <w:sz w:val="24"/>
              </w:rPr>
              <w:t>2022</w:t>
            </w:r>
          </w:p>
        </w:tc>
        <w:tc>
          <w:tcPr>
            <w:tcW w:w="4675" w:type="dxa"/>
          </w:tcPr>
          <w:p w:rsidR="00E42D4E" w:rsidRPr="00EA2606" w:rsidRDefault="00E42D4E" w:rsidP="00030B82">
            <w:pPr>
              <w:spacing w:line="360" w:lineRule="auto"/>
              <w:jc w:val="both"/>
              <w:rPr>
                <w:rFonts w:ascii="Arial" w:hAnsi="Arial" w:cs="Arial"/>
                <w:sz w:val="24"/>
              </w:rPr>
            </w:pPr>
            <w:r w:rsidRPr="00EA2606">
              <w:rPr>
                <w:rFonts w:ascii="Arial" w:hAnsi="Arial" w:cs="Arial"/>
                <w:sz w:val="24"/>
              </w:rPr>
              <w:t>10,926</w:t>
            </w:r>
          </w:p>
        </w:tc>
      </w:tr>
      <w:tr w:rsidR="00E42D4E" w:rsidRPr="00EA2606" w:rsidTr="00030B82">
        <w:tc>
          <w:tcPr>
            <w:tcW w:w="4675" w:type="dxa"/>
          </w:tcPr>
          <w:p w:rsidR="00E42D4E" w:rsidRPr="00EA2606" w:rsidRDefault="00E42D4E" w:rsidP="00030B82">
            <w:pPr>
              <w:spacing w:line="360" w:lineRule="auto"/>
              <w:jc w:val="both"/>
              <w:rPr>
                <w:rFonts w:ascii="Arial" w:hAnsi="Arial" w:cs="Arial"/>
                <w:sz w:val="24"/>
              </w:rPr>
            </w:pPr>
            <w:r w:rsidRPr="00EA2606">
              <w:rPr>
                <w:rFonts w:ascii="Arial" w:hAnsi="Arial" w:cs="Arial"/>
                <w:sz w:val="24"/>
              </w:rPr>
              <w:t>2021</w:t>
            </w:r>
          </w:p>
        </w:tc>
        <w:tc>
          <w:tcPr>
            <w:tcW w:w="4675" w:type="dxa"/>
          </w:tcPr>
          <w:p w:rsidR="00E42D4E" w:rsidRPr="00EA2606" w:rsidRDefault="00E42D4E" w:rsidP="00030B82">
            <w:pPr>
              <w:spacing w:line="360" w:lineRule="auto"/>
              <w:jc w:val="both"/>
              <w:rPr>
                <w:rFonts w:ascii="Arial" w:hAnsi="Arial" w:cs="Arial"/>
                <w:sz w:val="24"/>
              </w:rPr>
            </w:pPr>
            <w:r w:rsidRPr="00EA2606">
              <w:rPr>
                <w:rFonts w:ascii="Arial" w:hAnsi="Arial" w:cs="Arial"/>
                <w:sz w:val="24"/>
              </w:rPr>
              <w:t>40,283</w:t>
            </w:r>
          </w:p>
        </w:tc>
      </w:tr>
      <w:tr w:rsidR="00E42D4E" w:rsidRPr="00EA2606" w:rsidTr="00030B82">
        <w:tc>
          <w:tcPr>
            <w:tcW w:w="4675" w:type="dxa"/>
          </w:tcPr>
          <w:p w:rsidR="00E42D4E" w:rsidRPr="00EA2606" w:rsidRDefault="00E42D4E" w:rsidP="00030B82">
            <w:pPr>
              <w:spacing w:line="360" w:lineRule="auto"/>
              <w:jc w:val="both"/>
              <w:rPr>
                <w:rFonts w:ascii="Arial" w:hAnsi="Arial" w:cs="Arial"/>
                <w:sz w:val="24"/>
              </w:rPr>
            </w:pPr>
            <w:r w:rsidRPr="00EA2606">
              <w:rPr>
                <w:rFonts w:ascii="Arial" w:hAnsi="Arial" w:cs="Arial"/>
                <w:sz w:val="24"/>
              </w:rPr>
              <w:t>2020</w:t>
            </w:r>
          </w:p>
        </w:tc>
        <w:tc>
          <w:tcPr>
            <w:tcW w:w="4675" w:type="dxa"/>
          </w:tcPr>
          <w:p w:rsidR="00E42D4E" w:rsidRPr="00EA2606" w:rsidRDefault="00E42D4E" w:rsidP="00030B82">
            <w:pPr>
              <w:spacing w:line="360" w:lineRule="auto"/>
              <w:jc w:val="both"/>
              <w:rPr>
                <w:rFonts w:ascii="Arial" w:hAnsi="Arial" w:cs="Arial"/>
                <w:sz w:val="24"/>
              </w:rPr>
            </w:pPr>
            <w:r w:rsidRPr="00EA2606">
              <w:rPr>
                <w:rFonts w:ascii="Arial" w:hAnsi="Arial" w:cs="Arial"/>
                <w:sz w:val="24"/>
              </w:rPr>
              <w:t>73,392</w:t>
            </w:r>
          </w:p>
        </w:tc>
      </w:tr>
    </w:tbl>
    <w:p w:rsidR="00282CB1" w:rsidRPr="00825DD9" w:rsidRDefault="00282CB1" w:rsidP="00825DD9">
      <w:pPr>
        <w:spacing w:line="360" w:lineRule="auto"/>
        <w:jc w:val="both"/>
        <w:rPr>
          <w:rFonts w:ascii="Arial" w:hAnsi="Arial" w:cs="Arial"/>
          <w:sz w:val="24"/>
        </w:rPr>
      </w:pPr>
    </w:p>
    <w:p w:rsidR="00825DD9" w:rsidRDefault="00825DD9" w:rsidP="00825DD9">
      <w:pPr>
        <w:spacing w:line="360" w:lineRule="auto"/>
        <w:jc w:val="both"/>
        <w:rPr>
          <w:rFonts w:ascii="Arial" w:hAnsi="Arial" w:cs="Arial"/>
          <w:sz w:val="24"/>
        </w:rPr>
      </w:pPr>
      <w:r w:rsidRPr="00825DD9">
        <w:rPr>
          <w:rFonts w:ascii="Arial" w:hAnsi="Arial" w:cs="Arial"/>
          <w:sz w:val="24"/>
        </w:rPr>
        <w:t>Cash flows operating decreased by operating between 2020 and 2024, which is 73,392m to 14,822m. Even though the operating cash flow was still a positive figure, the negative direction is worrying considering the magnitude of revenue reduction. As recent literature explains, decreasing operating cash flows, and net losses are signs of poor earnings quality and low financial stren</w:t>
      </w:r>
      <w:r w:rsidR="00F72FE3">
        <w:rPr>
          <w:rFonts w:ascii="Arial" w:hAnsi="Arial" w:cs="Arial"/>
          <w:sz w:val="24"/>
        </w:rPr>
        <w:t>gth (</w:t>
      </w:r>
      <w:proofErr w:type="spellStart"/>
      <w:r w:rsidR="00F72FE3">
        <w:rPr>
          <w:rFonts w:ascii="Arial" w:hAnsi="Arial" w:cs="Arial"/>
          <w:sz w:val="24"/>
        </w:rPr>
        <w:t>Atrill</w:t>
      </w:r>
      <w:proofErr w:type="spellEnd"/>
      <w:r w:rsidR="00F72FE3">
        <w:rPr>
          <w:rFonts w:ascii="Arial" w:hAnsi="Arial" w:cs="Arial"/>
          <w:sz w:val="24"/>
        </w:rPr>
        <w:t xml:space="preserve"> and </w:t>
      </w:r>
      <w:proofErr w:type="spellStart"/>
      <w:r w:rsidR="00F72FE3">
        <w:rPr>
          <w:rFonts w:ascii="Arial" w:hAnsi="Arial" w:cs="Arial"/>
          <w:sz w:val="24"/>
        </w:rPr>
        <w:t>McLaney</w:t>
      </w:r>
      <w:proofErr w:type="spellEnd"/>
      <w:r w:rsidR="00F72FE3">
        <w:rPr>
          <w:rFonts w:ascii="Arial" w:hAnsi="Arial" w:cs="Arial"/>
          <w:sz w:val="24"/>
        </w:rPr>
        <w:t>, 2024)</w:t>
      </w:r>
      <w:r w:rsidRPr="00825DD9">
        <w:rPr>
          <w:rFonts w:ascii="Arial" w:hAnsi="Arial" w:cs="Arial"/>
          <w:sz w:val="24"/>
        </w:rPr>
        <w:t>.</w:t>
      </w:r>
    </w:p>
    <w:p w:rsidR="00F02A0C" w:rsidRPr="00F02A0C" w:rsidRDefault="00F02A0C" w:rsidP="00F02A0C">
      <w:pPr>
        <w:pStyle w:val="Heading2"/>
      </w:pPr>
      <w:bookmarkStart w:id="18" w:name="_Toc217216284"/>
      <w:r w:rsidRPr="00F02A0C">
        <w:t>1.7 Corporate Failure Fraud: Altman Z-Score.</w:t>
      </w:r>
      <w:bookmarkEnd w:id="18"/>
    </w:p>
    <w:p w:rsidR="00F02A0C" w:rsidRPr="00F02A0C" w:rsidRDefault="00F02A0C" w:rsidP="00F02A0C">
      <w:pPr>
        <w:spacing w:line="360" w:lineRule="auto"/>
        <w:jc w:val="both"/>
        <w:rPr>
          <w:rFonts w:ascii="Arial" w:hAnsi="Arial" w:cs="Arial"/>
          <w:sz w:val="24"/>
        </w:rPr>
      </w:pPr>
    </w:p>
    <w:p w:rsidR="00F02A0C" w:rsidRPr="00F02A0C" w:rsidRDefault="00F02A0C" w:rsidP="00F02A0C">
      <w:pPr>
        <w:spacing w:line="360" w:lineRule="auto"/>
        <w:jc w:val="both"/>
        <w:rPr>
          <w:rFonts w:ascii="Arial" w:hAnsi="Arial" w:cs="Arial"/>
          <w:sz w:val="24"/>
        </w:rPr>
      </w:pPr>
      <w:r w:rsidRPr="00F02A0C">
        <w:rPr>
          <w:rFonts w:ascii="Arial" w:hAnsi="Arial" w:cs="Arial"/>
          <w:sz w:val="24"/>
        </w:rPr>
        <w:t>The most common corporate failure prediction model is the Altman Z-Score that is mostly applicable when working with manufacturing and industrial companies. The recent empirical evidence shows that it remains applicable in the measurement of default risk in international corp</w:t>
      </w:r>
      <w:r>
        <w:rPr>
          <w:rFonts w:ascii="Arial" w:hAnsi="Arial" w:cs="Arial"/>
          <w:sz w:val="24"/>
        </w:rPr>
        <w:t>orations (Altman et al., 2022).</w:t>
      </w:r>
    </w:p>
    <w:p w:rsidR="00F02A0C" w:rsidRPr="00F02A0C" w:rsidRDefault="00F02A0C" w:rsidP="00F02A0C">
      <w:pPr>
        <w:spacing w:line="360" w:lineRule="auto"/>
        <w:jc w:val="both"/>
        <w:rPr>
          <w:rFonts w:ascii="Arial" w:hAnsi="Arial" w:cs="Arial"/>
          <w:sz w:val="24"/>
        </w:rPr>
      </w:pPr>
      <w:r w:rsidRPr="00F02A0C">
        <w:rPr>
          <w:rFonts w:ascii="Arial" w:hAnsi="Arial" w:cs="Arial"/>
          <w:sz w:val="24"/>
        </w:rPr>
        <w:t xml:space="preserve">Using the financial data available on the company, the application of the Altman Z-Score to General electronics shows that the company will have a score approaching the distress </w:t>
      </w:r>
      <w:r w:rsidRPr="00F02A0C">
        <w:rPr>
          <w:rFonts w:ascii="Arial" w:hAnsi="Arial" w:cs="Arial"/>
          <w:sz w:val="24"/>
        </w:rPr>
        <w:lastRenderedPageBreak/>
        <w:t xml:space="preserve">zone (Z -1.81) in 2024. The downward trend is sustained by dwindling retained earnings, low profitability, </w:t>
      </w:r>
      <w:r w:rsidR="006662CF" w:rsidRPr="00F02A0C">
        <w:rPr>
          <w:rFonts w:ascii="Arial" w:hAnsi="Arial" w:cs="Arial"/>
          <w:sz w:val="24"/>
        </w:rPr>
        <w:t>and low</w:t>
      </w:r>
      <w:r w:rsidRPr="00F02A0C">
        <w:rPr>
          <w:rFonts w:ascii="Arial" w:hAnsi="Arial" w:cs="Arial"/>
          <w:sz w:val="24"/>
        </w:rPr>
        <w:t xml:space="preserve"> confidence of the market evidenced by </w:t>
      </w:r>
      <w:r>
        <w:rPr>
          <w:rFonts w:ascii="Arial" w:hAnsi="Arial" w:cs="Arial"/>
          <w:sz w:val="24"/>
        </w:rPr>
        <w:t>a decreasing value of equities.</w:t>
      </w:r>
    </w:p>
    <w:p w:rsidR="00F02A0C" w:rsidRPr="00F02A0C" w:rsidRDefault="00F02A0C" w:rsidP="00F02A0C">
      <w:pPr>
        <w:spacing w:line="360" w:lineRule="auto"/>
        <w:jc w:val="both"/>
        <w:rPr>
          <w:rFonts w:ascii="Arial" w:hAnsi="Arial" w:cs="Arial"/>
          <w:sz w:val="24"/>
        </w:rPr>
      </w:pPr>
      <w:r w:rsidRPr="00F02A0C">
        <w:rPr>
          <w:rFonts w:ascii="Arial" w:hAnsi="Arial" w:cs="Arial"/>
          <w:sz w:val="24"/>
        </w:rPr>
        <w:t>A Z-Score of a distress zone indicates a high likelihood of failure of the company in the next two years unless corrective action is taken. This serves to reaffirm the need to have strategic financial restructur</w:t>
      </w:r>
      <w:r>
        <w:rPr>
          <w:rFonts w:ascii="Arial" w:hAnsi="Arial" w:cs="Arial"/>
          <w:sz w:val="24"/>
        </w:rPr>
        <w:t>ing and liquidity enhancements.</w:t>
      </w:r>
    </w:p>
    <w:p w:rsidR="00F02A0C" w:rsidRPr="00F02A0C" w:rsidRDefault="00F02A0C" w:rsidP="006662CF">
      <w:pPr>
        <w:pStyle w:val="Heading2"/>
        <w:spacing w:after="240"/>
      </w:pPr>
      <w:bookmarkStart w:id="19" w:name="_Toc217216285"/>
      <w:r w:rsidRPr="00F02A0C">
        <w:t>1.8 Major Trends, Strengths, and Threats.</w:t>
      </w:r>
      <w:bookmarkEnd w:id="19"/>
    </w:p>
    <w:p w:rsidR="00F02A0C" w:rsidRPr="00F02A0C" w:rsidRDefault="00F02A0C" w:rsidP="006662CF">
      <w:pPr>
        <w:spacing w:after="240" w:line="360" w:lineRule="auto"/>
        <w:jc w:val="both"/>
        <w:rPr>
          <w:rFonts w:ascii="Arial" w:hAnsi="Arial" w:cs="Arial"/>
          <w:b/>
          <w:sz w:val="24"/>
        </w:rPr>
      </w:pPr>
      <w:r w:rsidRPr="00F02A0C">
        <w:rPr>
          <w:rFonts w:ascii="Arial" w:hAnsi="Arial" w:cs="Arial"/>
          <w:b/>
          <w:sz w:val="24"/>
        </w:rPr>
        <w:t>Key Trends</w:t>
      </w:r>
    </w:p>
    <w:p w:rsidR="00F02A0C" w:rsidRPr="00F02A0C" w:rsidRDefault="00F02A0C" w:rsidP="00F02A0C">
      <w:pPr>
        <w:pStyle w:val="ListParagraph"/>
        <w:numPr>
          <w:ilvl w:val="0"/>
          <w:numId w:val="45"/>
        </w:numPr>
        <w:spacing w:line="360" w:lineRule="auto"/>
        <w:jc w:val="both"/>
        <w:rPr>
          <w:rFonts w:ascii="Arial" w:hAnsi="Arial" w:cs="Arial"/>
          <w:sz w:val="24"/>
        </w:rPr>
      </w:pPr>
      <w:r w:rsidRPr="00F02A0C">
        <w:rPr>
          <w:rFonts w:ascii="Arial" w:hAnsi="Arial" w:cs="Arial"/>
          <w:sz w:val="24"/>
        </w:rPr>
        <w:t>Sustained revenue decline</w:t>
      </w:r>
    </w:p>
    <w:p w:rsidR="00F02A0C" w:rsidRPr="00F02A0C" w:rsidRDefault="00F02A0C" w:rsidP="00F02A0C">
      <w:pPr>
        <w:pStyle w:val="ListParagraph"/>
        <w:numPr>
          <w:ilvl w:val="0"/>
          <w:numId w:val="45"/>
        </w:numPr>
        <w:spacing w:line="360" w:lineRule="auto"/>
        <w:jc w:val="both"/>
        <w:rPr>
          <w:rFonts w:ascii="Arial" w:hAnsi="Arial" w:cs="Arial"/>
          <w:sz w:val="24"/>
        </w:rPr>
      </w:pPr>
      <w:r w:rsidRPr="00F02A0C">
        <w:rPr>
          <w:rFonts w:ascii="Arial" w:hAnsi="Arial" w:cs="Arial"/>
          <w:sz w:val="24"/>
        </w:rPr>
        <w:t>Change of profitability to continuing losses.</w:t>
      </w:r>
    </w:p>
    <w:p w:rsidR="00F02A0C" w:rsidRPr="00F02A0C" w:rsidRDefault="00F02A0C" w:rsidP="00F02A0C">
      <w:pPr>
        <w:pStyle w:val="ListParagraph"/>
        <w:numPr>
          <w:ilvl w:val="0"/>
          <w:numId w:val="45"/>
        </w:numPr>
        <w:spacing w:line="360" w:lineRule="auto"/>
        <w:jc w:val="both"/>
        <w:rPr>
          <w:rFonts w:ascii="Arial" w:hAnsi="Arial" w:cs="Arial"/>
          <w:sz w:val="24"/>
        </w:rPr>
      </w:pPr>
      <w:r w:rsidRPr="00F02A0C">
        <w:rPr>
          <w:rFonts w:ascii="Arial" w:hAnsi="Arial" w:cs="Arial"/>
          <w:sz w:val="24"/>
        </w:rPr>
        <w:t>Destabilizing the liquidity and cash reserves.</w:t>
      </w:r>
    </w:p>
    <w:p w:rsidR="00F02A0C" w:rsidRPr="00F02A0C" w:rsidRDefault="00F02A0C" w:rsidP="00F02A0C">
      <w:pPr>
        <w:pStyle w:val="ListParagraph"/>
        <w:numPr>
          <w:ilvl w:val="0"/>
          <w:numId w:val="45"/>
        </w:numPr>
        <w:spacing w:line="360" w:lineRule="auto"/>
        <w:jc w:val="both"/>
        <w:rPr>
          <w:rFonts w:ascii="Arial" w:hAnsi="Arial" w:cs="Arial"/>
          <w:sz w:val="24"/>
        </w:rPr>
      </w:pPr>
      <w:r w:rsidRPr="00F02A0C">
        <w:rPr>
          <w:rFonts w:ascii="Arial" w:hAnsi="Arial" w:cs="Arial"/>
          <w:sz w:val="24"/>
        </w:rPr>
        <w:t>Increasing leverage and solvency risk.</w:t>
      </w:r>
    </w:p>
    <w:p w:rsidR="00F02A0C" w:rsidRPr="00F02A0C" w:rsidRDefault="00F02A0C" w:rsidP="00F02A0C">
      <w:pPr>
        <w:spacing w:line="360" w:lineRule="auto"/>
        <w:jc w:val="both"/>
        <w:rPr>
          <w:rFonts w:ascii="Arial" w:hAnsi="Arial" w:cs="Arial"/>
          <w:b/>
          <w:sz w:val="24"/>
        </w:rPr>
      </w:pPr>
      <w:r>
        <w:rPr>
          <w:rFonts w:ascii="Arial" w:hAnsi="Arial" w:cs="Arial"/>
          <w:b/>
          <w:sz w:val="24"/>
        </w:rPr>
        <w:t>Strengths</w:t>
      </w:r>
    </w:p>
    <w:p w:rsidR="00F02A0C" w:rsidRPr="00F02A0C" w:rsidRDefault="00F02A0C" w:rsidP="00F02A0C">
      <w:pPr>
        <w:pStyle w:val="ListParagraph"/>
        <w:numPr>
          <w:ilvl w:val="0"/>
          <w:numId w:val="46"/>
        </w:numPr>
        <w:spacing w:line="360" w:lineRule="auto"/>
        <w:jc w:val="both"/>
        <w:rPr>
          <w:rFonts w:ascii="Arial" w:hAnsi="Arial" w:cs="Arial"/>
          <w:sz w:val="24"/>
        </w:rPr>
      </w:pPr>
      <w:r w:rsidRPr="00F02A0C">
        <w:rPr>
          <w:rFonts w:ascii="Arial" w:hAnsi="Arial" w:cs="Arial"/>
          <w:sz w:val="24"/>
        </w:rPr>
        <w:t>Cash flows in the positive even with losses.</w:t>
      </w:r>
    </w:p>
    <w:p w:rsidR="00F02A0C" w:rsidRPr="00F02A0C" w:rsidRDefault="00F02A0C" w:rsidP="00F02A0C">
      <w:pPr>
        <w:pStyle w:val="ListParagraph"/>
        <w:numPr>
          <w:ilvl w:val="0"/>
          <w:numId w:val="46"/>
        </w:numPr>
        <w:spacing w:line="360" w:lineRule="auto"/>
        <w:jc w:val="both"/>
        <w:rPr>
          <w:rFonts w:ascii="Arial" w:hAnsi="Arial" w:cs="Arial"/>
          <w:sz w:val="24"/>
        </w:rPr>
      </w:pPr>
      <w:r w:rsidRPr="00F02A0C">
        <w:rPr>
          <w:rFonts w:ascii="Arial" w:hAnsi="Arial" w:cs="Arial"/>
          <w:sz w:val="24"/>
        </w:rPr>
        <w:t>Long-established presence and asset foundation all over the world.</w:t>
      </w:r>
    </w:p>
    <w:p w:rsidR="00F02A0C" w:rsidRPr="00F02A0C" w:rsidRDefault="00F02A0C" w:rsidP="00F02A0C">
      <w:pPr>
        <w:pStyle w:val="ListParagraph"/>
        <w:numPr>
          <w:ilvl w:val="0"/>
          <w:numId w:val="46"/>
        </w:numPr>
        <w:spacing w:line="360" w:lineRule="auto"/>
        <w:jc w:val="both"/>
        <w:rPr>
          <w:rFonts w:ascii="Arial" w:hAnsi="Arial" w:cs="Arial"/>
          <w:sz w:val="24"/>
        </w:rPr>
      </w:pPr>
      <w:r w:rsidRPr="00F02A0C">
        <w:rPr>
          <w:rFonts w:ascii="Arial" w:hAnsi="Arial" w:cs="Arial"/>
          <w:sz w:val="24"/>
        </w:rPr>
        <w:t>Ability to restructure by reallocation of assets.</w:t>
      </w:r>
    </w:p>
    <w:p w:rsidR="00F02A0C" w:rsidRPr="00F02A0C" w:rsidRDefault="00F02A0C" w:rsidP="00F02A0C">
      <w:pPr>
        <w:spacing w:line="360" w:lineRule="auto"/>
        <w:jc w:val="both"/>
        <w:rPr>
          <w:rFonts w:ascii="Arial" w:hAnsi="Arial" w:cs="Arial"/>
          <w:b/>
          <w:sz w:val="24"/>
        </w:rPr>
      </w:pPr>
      <w:r>
        <w:rPr>
          <w:rFonts w:ascii="Arial" w:hAnsi="Arial" w:cs="Arial"/>
          <w:b/>
          <w:sz w:val="24"/>
        </w:rPr>
        <w:t>Threats</w:t>
      </w:r>
    </w:p>
    <w:p w:rsidR="00F02A0C" w:rsidRPr="00F02A0C" w:rsidRDefault="00F02A0C" w:rsidP="00F02A0C">
      <w:pPr>
        <w:pStyle w:val="ListParagraph"/>
        <w:numPr>
          <w:ilvl w:val="0"/>
          <w:numId w:val="47"/>
        </w:numPr>
        <w:spacing w:line="360" w:lineRule="auto"/>
        <w:jc w:val="both"/>
        <w:rPr>
          <w:rFonts w:ascii="Arial" w:hAnsi="Arial" w:cs="Arial"/>
          <w:sz w:val="24"/>
        </w:rPr>
      </w:pPr>
      <w:r w:rsidRPr="00F02A0C">
        <w:rPr>
          <w:rFonts w:ascii="Arial" w:hAnsi="Arial" w:cs="Arial"/>
          <w:sz w:val="24"/>
        </w:rPr>
        <w:t>High default risk</w:t>
      </w:r>
    </w:p>
    <w:p w:rsidR="00F02A0C" w:rsidRPr="00F02A0C" w:rsidRDefault="00F02A0C" w:rsidP="00F02A0C">
      <w:pPr>
        <w:pStyle w:val="ListParagraph"/>
        <w:numPr>
          <w:ilvl w:val="0"/>
          <w:numId w:val="47"/>
        </w:numPr>
        <w:spacing w:line="360" w:lineRule="auto"/>
        <w:jc w:val="both"/>
        <w:rPr>
          <w:rFonts w:ascii="Arial" w:hAnsi="Arial" w:cs="Arial"/>
          <w:sz w:val="24"/>
        </w:rPr>
      </w:pPr>
      <w:r w:rsidRPr="00F02A0C">
        <w:rPr>
          <w:rFonts w:ascii="Arial" w:hAnsi="Arial" w:cs="Arial"/>
          <w:sz w:val="24"/>
        </w:rPr>
        <w:t>Low availability of cheap financing.</w:t>
      </w:r>
    </w:p>
    <w:p w:rsidR="00825DD9" w:rsidRPr="00867F64" w:rsidRDefault="00F02A0C" w:rsidP="00EC372D">
      <w:pPr>
        <w:pStyle w:val="ListParagraph"/>
        <w:numPr>
          <w:ilvl w:val="0"/>
          <w:numId w:val="47"/>
        </w:numPr>
        <w:spacing w:line="360" w:lineRule="auto"/>
        <w:jc w:val="both"/>
        <w:rPr>
          <w:rFonts w:ascii="Arial" w:hAnsi="Arial" w:cs="Arial"/>
          <w:sz w:val="24"/>
        </w:rPr>
      </w:pPr>
      <w:r w:rsidRPr="00F02A0C">
        <w:rPr>
          <w:rFonts w:ascii="Arial" w:hAnsi="Arial" w:cs="Arial"/>
          <w:sz w:val="24"/>
        </w:rPr>
        <w:t>Obsolescence in the inventory and uncertainty in the demand.</w:t>
      </w:r>
    </w:p>
    <w:p w:rsidR="00DF41BD" w:rsidRPr="001F048F" w:rsidRDefault="00DF41BD" w:rsidP="006662CF">
      <w:pPr>
        <w:pStyle w:val="Heading1"/>
        <w:spacing w:after="240"/>
        <w:rPr>
          <w:rFonts w:eastAsia="Times New Roman"/>
          <w:lang w:eastAsia="en-GB"/>
        </w:rPr>
      </w:pPr>
      <w:bookmarkStart w:id="20" w:name="_Toc217216286"/>
      <w:r w:rsidRPr="001F048F">
        <w:rPr>
          <w:rFonts w:eastAsia="Times New Roman"/>
          <w:lang w:eastAsia="en-GB"/>
        </w:rPr>
        <w:t>2. Working Capital Management Analysis</w:t>
      </w:r>
      <w:bookmarkEnd w:id="20"/>
    </w:p>
    <w:p w:rsidR="00DF41BD" w:rsidRDefault="00DF41BD" w:rsidP="006662CF">
      <w:pPr>
        <w:pStyle w:val="Heading2"/>
        <w:spacing w:after="240"/>
        <w:rPr>
          <w:rFonts w:eastAsia="Times New Roman"/>
          <w:lang w:eastAsia="en-GB"/>
        </w:rPr>
      </w:pPr>
      <w:bookmarkStart w:id="21" w:name="_Toc217216287"/>
      <w:r w:rsidRPr="001F048F">
        <w:rPr>
          <w:rFonts w:eastAsia="Times New Roman"/>
          <w:lang w:eastAsia="en-GB"/>
        </w:rPr>
        <w:t>2.1 Introduction</w:t>
      </w:r>
      <w:bookmarkEnd w:id="21"/>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The working capital management is a key factor in ascertaining the short term financial stability especially to companies in capital intensive and competitive markets like consumer electronics. Proper working capital management allows an enterprise to address its immediate liabilities and remain operationally efficient and strategic (</w:t>
      </w:r>
      <w:proofErr w:type="spellStart"/>
      <w:r w:rsidRPr="00867F64">
        <w:rPr>
          <w:rFonts w:ascii="Arial" w:hAnsi="Arial" w:cs="Arial"/>
          <w:sz w:val="24"/>
          <w:szCs w:val="24"/>
          <w:lang w:eastAsia="en-GB"/>
        </w:rPr>
        <w:t>Atrill</w:t>
      </w:r>
      <w:proofErr w:type="spellEnd"/>
      <w:r w:rsidRPr="00867F64">
        <w:rPr>
          <w:rFonts w:ascii="Arial" w:hAnsi="Arial" w:cs="Arial"/>
          <w:sz w:val="24"/>
          <w:szCs w:val="24"/>
          <w:lang w:eastAsia="en-GB"/>
        </w:rPr>
        <w:t xml:space="preserve"> and </w:t>
      </w:r>
      <w:r w:rsidR="00867F64" w:rsidRPr="00867F64">
        <w:rPr>
          <w:rFonts w:ascii="Arial" w:hAnsi="Arial" w:cs="Arial"/>
          <w:sz w:val="24"/>
          <w:szCs w:val="24"/>
          <w:lang w:eastAsia="en-GB"/>
        </w:rPr>
        <w:lastRenderedPageBreak/>
        <w:t>McLane</w:t>
      </w:r>
      <w:r w:rsidRPr="00867F64">
        <w:rPr>
          <w:rFonts w:ascii="Arial" w:hAnsi="Arial" w:cs="Arial"/>
          <w:sz w:val="24"/>
          <w:szCs w:val="24"/>
          <w:lang w:eastAsia="en-GB"/>
        </w:rPr>
        <w:t>, 2024). In the case of troubled companies, liquidity stress and its speed of deterioration are often increased by weaknesses in working capital management (Ross et al., 2024).</w:t>
      </w:r>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The financial analysis of General Electronics reveals that although the company has been experiencing positive operating cash flow, the company becomes strained with its liquidity as a result of poor management of its receivables, inventories and short-term financing. All these problems have been exacerbated during the period 20202024 and have led to a decrease in cash reserves and a</w:t>
      </w:r>
      <w:r w:rsidR="00867F64">
        <w:rPr>
          <w:rFonts w:ascii="Arial" w:hAnsi="Arial" w:cs="Arial"/>
          <w:sz w:val="24"/>
          <w:szCs w:val="24"/>
          <w:lang w:eastAsia="en-GB"/>
        </w:rPr>
        <w:t>n increase in refinancing risk.</w:t>
      </w:r>
    </w:p>
    <w:p w:rsidR="00954F34" w:rsidRPr="00867F64" w:rsidRDefault="00954F34" w:rsidP="006662CF">
      <w:pPr>
        <w:pStyle w:val="Heading2"/>
        <w:spacing w:after="240"/>
        <w:rPr>
          <w:lang w:eastAsia="en-GB"/>
        </w:rPr>
      </w:pPr>
      <w:bookmarkStart w:id="22" w:name="_Toc217216288"/>
      <w:r w:rsidRPr="00867F64">
        <w:rPr>
          <w:lang w:eastAsia="en-GB"/>
        </w:rPr>
        <w:t>2.2 Cash Operating Cycle Analysis.</w:t>
      </w:r>
      <w:bookmarkEnd w:id="22"/>
    </w:p>
    <w:p w:rsidR="00954F34" w:rsidRPr="00867F64" w:rsidRDefault="00954F34" w:rsidP="006662CF">
      <w:pPr>
        <w:spacing w:after="240" w:line="360" w:lineRule="auto"/>
        <w:jc w:val="both"/>
        <w:rPr>
          <w:rFonts w:ascii="Arial" w:hAnsi="Arial" w:cs="Arial"/>
          <w:sz w:val="24"/>
          <w:szCs w:val="24"/>
          <w:lang w:eastAsia="en-GB"/>
        </w:rPr>
      </w:pPr>
      <w:r w:rsidRPr="00867F64">
        <w:rPr>
          <w:rFonts w:ascii="Arial" w:hAnsi="Arial" w:cs="Arial"/>
          <w:sz w:val="24"/>
          <w:szCs w:val="24"/>
          <w:lang w:eastAsia="en-GB"/>
        </w:rPr>
        <w:t>The cash operation cycle (COC), also called the cash conversion cycle measures how much time it takes a firm to convert the cash invested in operations to cas</w:t>
      </w:r>
      <w:r w:rsidR="00867F64">
        <w:rPr>
          <w:rFonts w:ascii="Arial" w:hAnsi="Arial" w:cs="Arial"/>
          <w:sz w:val="24"/>
          <w:szCs w:val="24"/>
          <w:lang w:eastAsia="en-GB"/>
        </w:rPr>
        <w:t>h inflows. It is calculated as:</w:t>
      </w:r>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Cash Operating Cycle = Inventory Days + Re</w:t>
      </w:r>
      <w:r w:rsidR="00867F64">
        <w:rPr>
          <w:rFonts w:ascii="Arial" w:hAnsi="Arial" w:cs="Arial"/>
          <w:sz w:val="24"/>
          <w:szCs w:val="24"/>
          <w:lang w:eastAsia="en-GB"/>
        </w:rPr>
        <w:t>ceivables Days - Payables Days.</w:t>
      </w:r>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The smaller the cash operating cycle, the higher the liquidity and lower the dependence on external funding (</w:t>
      </w:r>
      <w:proofErr w:type="spellStart"/>
      <w:r w:rsidRPr="00867F64">
        <w:rPr>
          <w:rFonts w:ascii="Arial" w:hAnsi="Arial" w:cs="Arial"/>
          <w:sz w:val="24"/>
          <w:szCs w:val="24"/>
          <w:lang w:eastAsia="en-GB"/>
        </w:rPr>
        <w:t>Brealey</w:t>
      </w:r>
      <w:proofErr w:type="spellEnd"/>
      <w:r w:rsidRPr="00867F64">
        <w:rPr>
          <w:rFonts w:ascii="Arial" w:hAnsi="Arial" w:cs="Arial"/>
          <w:sz w:val="24"/>
          <w:szCs w:val="24"/>
          <w:lang w:eastAsia="en-GB"/>
        </w:rPr>
        <w:t>, Myers and Allen, 2023).</w:t>
      </w:r>
    </w:p>
    <w:p w:rsidR="00954F34" w:rsidRPr="00867F64" w:rsidRDefault="00867F64" w:rsidP="00867F64">
      <w:pPr>
        <w:pStyle w:val="Heading3"/>
        <w:rPr>
          <w:lang w:eastAsia="en-GB"/>
        </w:rPr>
      </w:pPr>
      <w:bookmarkStart w:id="23" w:name="_Toc217216289"/>
      <w:r>
        <w:rPr>
          <w:lang w:eastAsia="en-GB"/>
        </w:rPr>
        <w:t xml:space="preserve">2.2.1 </w:t>
      </w:r>
      <w:r w:rsidR="00954F34" w:rsidRPr="00867F64">
        <w:rPr>
          <w:lang w:eastAsia="en-GB"/>
        </w:rPr>
        <w:t>Inventory Days</w:t>
      </w:r>
      <w:bookmarkEnd w:id="23"/>
    </w:p>
    <w:p w:rsidR="00867F64" w:rsidRPr="00BD3B3B" w:rsidRDefault="00867F64" w:rsidP="00867F64">
      <w:pPr>
        <w:spacing w:line="360" w:lineRule="auto"/>
        <w:jc w:val="both"/>
        <w:rPr>
          <w:rFonts w:ascii="Arial" w:hAnsi="Arial" w:cs="Arial"/>
          <w:b/>
          <w:sz w:val="24"/>
          <w:szCs w:val="24"/>
          <w:lang w:eastAsia="en-GB"/>
        </w:rPr>
      </w:pPr>
    </w:p>
    <w:p w:rsidR="00867F64" w:rsidRPr="00BD3B3B" w:rsidRDefault="00867F64" w:rsidP="00867F64">
      <w:pPr>
        <w:spacing w:line="360" w:lineRule="auto"/>
        <w:jc w:val="center"/>
        <w:rPr>
          <w:rFonts w:ascii="Arial" w:hAnsi="Arial" w:cs="Arial"/>
          <w:sz w:val="24"/>
          <w:szCs w:val="24"/>
          <w:lang w:eastAsia="en-GB"/>
        </w:rPr>
      </w:pPr>
      <w:r w:rsidRPr="00BD3B3B">
        <w:rPr>
          <w:rFonts w:ascii="Arial" w:hAnsi="Arial" w:cs="Arial"/>
          <w:b/>
          <w:sz w:val="24"/>
          <w:szCs w:val="24"/>
          <w:lang w:eastAsia="en-GB"/>
        </w:rPr>
        <w:t>Inventory Days</w:t>
      </w:r>
      <w:r w:rsidRPr="00BD3B3B">
        <w:rPr>
          <w:rFonts w:ascii="Arial" w:hAnsi="Arial" w:cs="Arial"/>
          <w:sz w:val="24"/>
          <w:szCs w:val="24"/>
          <w:lang w:eastAsia="en-GB"/>
        </w:rPr>
        <w:t xml:space="preserve"> = </w:t>
      </w:r>
      <m:oMath>
        <m:f>
          <m:fPr>
            <m:ctrlPr>
              <w:rPr>
                <w:rFonts w:ascii="Cambria Math" w:hAnsi="Cambria Math" w:cs="Arial"/>
                <w:i/>
                <w:sz w:val="24"/>
                <w:szCs w:val="24"/>
              </w:rPr>
            </m:ctrlPr>
          </m:fPr>
          <m:num>
            <m:r>
              <w:rPr>
                <w:rFonts w:ascii="Cambria Math" w:hAnsi="Cambria Math" w:cs="Arial"/>
                <w:sz w:val="24"/>
                <w:szCs w:val="24"/>
              </w:rPr>
              <m:t xml:space="preserve">Average Inventory </m:t>
            </m:r>
          </m:num>
          <m:den>
            <m:r>
              <w:rPr>
                <w:rFonts w:ascii="Cambria Math" w:hAnsi="Cambria Math" w:cs="Arial"/>
                <w:sz w:val="24"/>
                <w:szCs w:val="24"/>
              </w:rPr>
              <m:t>Cost of Sales</m:t>
            </m:r>
          </m:den>
        </m:f>
        <m:r>
          <w:rPr>
            <w:rFonts w:ascii="Cambria Math" w:hAnsi="Cambria Math" w:cs="Arial"/>
            <w:sz w:val="24"/>
            <w:szCs w:val="24"/>
          </w:rPr>
          <m:t>x365</m:t>
        </m:r>
      </m:oMath>
    </w:p>
    <w:p w:rsidR="00867F64" w:rsidRPr="00BD3B3B" w:rsidRDefault="00867F64" w:rsidP="00867F64">
      <w:pPr>
        <w:spacing w:line="360" w:lineRule="auto"/>
        <w:jc w:val="center"/>
        <w:rPr>
          <w:rFonts w:ascii="Arial" w:hAnsi="Arial" w:cs="Arial"/>
          <w:b/>
          <w:sz w:val="24"/>
          <w:szCs w:val="24"/>
          <w:lang w:eastAsia="en-GB"/>
        </w:rPr>
      </w:pPr>
      <w:r w:rsidRPr="00BD3B3B">
        <w:rPr>
          <w:rFonts w:ascii="Arial" w:hAnsi="Arial" w:cs="Arial"/>
          <w:b/>
          <w:sz w:val="24"/>
          <w:szCs w:val="24"/>
          <w:lang w:eastAsia="en-GB"/>
        </w:rPr>
        <w:t>Inventory Days:</w:t>
      </w:r>
    </w:p>
    <w:p w:rsidR="00954F34" w:rsidRPr="00867F64" w:rsidRDefault="00C642B6" w:rsidP="00867F64">
      <w:pPr>
        <w:spacing w:line="360" w:lineRule="auto"/>
        <w:jc w:val="center"/>
        <w:rPr>
          <w:rFonts w:ascii="Arial" w:hAnsi="Arial" w:cs="Arial"/>
          <w:sz w:val="24"/>
          <w:szCs w:val="24"/>
        </w:rPr>
      </w:pPr>
      <m:oMath>
        <m:f>
          <m:fPr>
            <m:ctrlPr>
              <w:rPr>
                <w:rFonts w:ascii="Cambria Math" w:hAnsi="Cambria Math" w:cs="Arial"/>
                <w:i/>
                <w:sz w:val="24"/>
                <w:szCs w:val="24"/>
              </w:rPr>
            </m:ctrlPr>
          </m:fPr>
          <m:num>
            <m:r>
              <w:rPr>
                <w:rFonts w:ascii="Cambria Math" w:hAnsi="Cambria Math" w:cs="Arial"/>
                <w:sz w:val="24"/>
                <w:szCs w:val="24"/>
              </w:rPr>
              <m:t>(79,355+88,273)/2</m:t>
            </m:r>
          </m:num>
          <m:den>
            <m:r>
              <w:rPr>
                <w:rFonts w:ascii="Cambria Math" w:hAnsi="Cambria Math" w:cs="Arial"/>
                <w:sz w:val="24"/>
                <w:szCs w:val="24"/>
              </w:rPr>
              <m:t>280885</m:t>
            </m:r>
          </m:den>
        </m:f>
        <m:r>
          <w:rPr>
            <w:rFonts w:ascii="Cambria Math" w:hAnsi="Cambria Math" w:cs="Arial"/>
            <w:sz w:val="24"/>
            <w:szCs w:val="24"/>
          </w:rPr>
          <m:t>x365</m:t>
        </m:r>
      </m:oMath>
      <w:r w:rsidR="00867F64" w:rsidRPr="00BD3B3B">
        <w:rPr>
          <w:rFonts w:ascii="Arial" w:hAnsi="Arial" w:cs="Arial"/>
          <w:sz w:val="24"/>
          <w:szCs w:val="24"/>
        </w:rPr>
        <w:t xml:space="preserve"> =108.9 days</w:t>
      </w:r>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 xml:space="preserve">General Electronics has traditionally been characterized by large levels of inventory, specifically in 2020-2220. In spite of the fact that inventories decreased to £79,355m in the year 2024, this is slow compared to the drastic decrease in sales. This implies that it is reactive but not proactive inventory management. </w:t>
      </w:r>
      <w:r w:rsidR="00867F64">
        <w:rPr>
          <w:rFonts w:ascii="Arial" w:hAnsi="Arial" w:cs="Arial"/>
          <w:sz w:val="24"/>
          <w:szCs w:val="24"/>
          <w:lang w:eastAsia="en-GB"/>
        </w:rPr>
        <w:t>(Hillier et al., 2023).</w:t>
      </w:r>
    </w:p>
    <w:p w:rsidR="006662CF" w:rsidRDefault="006662CF">
      <w:pPr>
        <w:rPr>
          <w:rFonts w:ascii="Arial" w:eastAsiaTheme="majorEastAsia" w:hAnsi="Arial" w:cstheme="majorBidi"/>
          <w:b/>
          <w:color w:val="000000" w:themeColor="text1"/>
          <w:sz w:val="24"/>
          <w:szCs w:val="24"/>
          <w:lang w:eastAsia="en-GB"/>
        </w:rPr>
      </w:pPr>
      <w:bookmarkStart w:id="24" w:name="_Toc217216290"/>
      <w:r>
        <w:rPr>
          <w:lang w:eastAsia="en-GB"/>
        </w:rPr>
        <w:br w:type="page"/>
      </w:r>
    </w:p>
    <w:p w:rsidR="00954F34" w:rsidRDefault="00867F64" w:rsidP="00867F64">
      <w:pPr>
        <w:pStyle w:val="Heading3"/>
        <w:rPr>
          <w:lang w:eastAsia="en-GB"/>
        </w:rPr>
      </w:pPr>
      <w:r>
        <w:rPr>
          <w:lang w:eastAsia="en-GB"/>
        </w:rPr>
        <w:lastRenderedPageBreak/>
        <w:t xml:space="preserve">2.2.2 </w:t>
      </w:r>
      <w:r w:rsidR="00954F34" w:rsidRPr="00867F64">
        <w:rPr>
          <w:lang w:eastAsia="en-GB"/>
        </w:rPr>
        <w:t>Receivables Days</w:t>
      </w:r>
      <w:bookmarkEnd w:id="24"/>
    </w:p>
    <w:p w:rsidR="00867F64" w:rsidRPr="00867F64" w:rsidRDefault="00867F64" w:rsidP="00867F64">
      <w:pPr>
        <w:rPr>
          <w:lang w:eastAsia="en-GB"/>
        </w:rPr>
      </w:pPr>
    </w:p>
    <w:p w:rsidR="00867F64" w:rsidRPr="00BD3B3B" w:rsidRDefault="00867F64" w:rsidP="00867F64">
      <w:pPr>
        <w:spacing w:line="360" w:lineRule="auto"/>
        <w:jc w:val="center"/>
        <w:rPr>
          <w:rFonts w:ascii="Arial" w:hAnsi="Arial" w:cs="Arial"/>
          <w:sz w:val="24"/>
          <w:szCs w:val="24"/>
          <w:lang w:eastAsia="en-GB"/>
        </w:rPr>
      </w:pPr>
      <w:r w:rsidRPr="00BD3B3B">
        <w:rPr>
          <w:rFonts w:ascii="Arial" w:hAnsi="Arial" w:cs="Arial"/>
          <w:b/>
          <w:sz w:val="24"/>
          <w:szCs w:val="24"/>
          <w:lang w:eastAsia="en-GB"/>
        </w:rPr>
        <w:t>Receivables Days</w:t>
      </w:r>
      <w:r w:rsidRPr="00BD3B3B">
        <w:rPr>
          <w:rFonts w:ascii="Arial" w:hAnsi="Arial" w:cs="Arial"/>
          <w:sz w:val="24"/>
          <w:szCs w:val="24"/>
          <w:lang w:eastAsia="en-GB"/>
        </w:rPr>
        <w:t xml:space="preserve"> = </w:t>
      </w:r>
      <m:oMath>
        <m:f>
          <m:fPr>
            <m:ctrlPr>
              <w:rPr>
                <w:rFonts w:ascii="Cambria Math" w:hAnsi="Cambria Math" w:cs="Arial"/>
                <w:i/>
                <w:sz w:val="24"/>
                <w:szCs w:val="24"/>
              </w:rPr>
            </m:ctrlPr>
          </m:fPr>
          <m:num>
            <m:r>
              <w:rPr>
                <w:rFonts w:ascii="Cambria Math" w:hAnsi="Cambria Math" w:cs="Arial"/>
                <w:sz w:val="24"/>
                <w:szCs w:val="24"/>
              </w:rPr>
              <m:t xml:space="preserve">Average Accounts Receivable  </m:t>
            </m:r>
          </m:num>
          <m:den>
            <m:r>
              <w:rPr>
                <w:rFonts w:ascii="Cambria Math" w:hAnsi="Cambria Math" w:cs="Arial"/>
                <w:sz w:val="24"/>
                <w:szCs w:val="24"/>
              </w:rPr>
              <m:t>Net Sales</m:t>
            </m:r>
          </m:den>
        </m:f>
        <m:r>
          <w:rPr>
            <w:rFonts w:ascii="Cambria Math" w:hAnsi="Cambria Math" w:cs="Arial"/>
            <w:sz w:val="24"/>
            <w:szCs w:val="24"/>
          </w:rPr>
          <m:t>x365</m:t>
        </m:r>
      </m:oMath>
    </w:p>
    <w:p w:rsidR="00867F64" w:rsidRPr="00BD3B3B" w:rsidRDefault="00867F64" w:rsidP="00867F64">
      <w:pPr>
        <w:spacing w:line="360" w:lineRule="auto"/>
        <w:jc w:val="center"/>
        <w:rPr>
          <w:rFonts w:ascii="Arial" w:hAnsi="Arial" w:cs="Arial"/>
          <w:b/>
          <w:sz w:val="24"/>
          <w:szCs w:val="24"/>
          <w:lang w:eastAsia="en-GB"/>
        </w:rPr>
      </w:pPr>
      <w:r w:rsidRPr="00BD3B3B">
        <w:rPr>
          <w:rFonts w:ascii="Arial" w:hAnsi="Arial" w:cs="Arial"/>
          <w:b/>
          <w:sz w:val="24"/>
          <w:szCs w:val="24"/>
          <w:lang w:eastAsia="en-GB"/>
        </w:rPr>
        <w:t>Receivables Days:</w:t>
      </w:r>
    </w:p>
    <w:p w:rsidR="00867F64" w:rsidRPr="00867F64" w:rsidRDefault="00C642B6" w:rsidP="00867F64">
      <w:pPr>
        <w:spacing w:line="360" w:lineRule="auto"/>
        <w:jc w:val="center"/>
        <w:rPr>
          <w:rFonts w:ascii="Arial" w:hAnsi="Arial" w:cs="Arial"/>
          <w:sz w:val="24"/>
          <w:szCs w:val="24"/>
        </w:rPr>
      </w:pPr>
      <m:oMath>
        <m:f>
          <m:fPr>
            <m:ctrlPr>
              <w:rPr>
                <w:rFonts w:ascii="Cambria Math" w:hAnsi="Cambria Math" w:cs="Arial"/>
                <w:i/>
                <w:sz w:val="24"/>
                <w:szCs w:val="24"/>
              </w:rPr>
            </m:ctrlPr>
          </m:fPr>
          <m:num>
            <m:r>
              <m:rPr>
                <m:sty m:val="b"/>
              </m:rPr>
              <w:rPr>
                <w:rFonts w:ascii="Cambria Math" w:hAnsi="Cambria Math" w:cs="Arial"/>
                <w:sz w:val="24"/>
                <w:szCs w:val="24"/>
              </w:rPr>
              <m:t>(114</m:t>
            </m:r>
            <m:r>
              <m:rPr>
                <m:sty m:val="p"/>
              </m:rPr>
              <w:rPr>
                <w:rFonts w:ascii="Cambria Math" w:hAnsi="Cambria Math" w:cs="Arial"/>
                <w:sz w:val="24"/>
                <w:szCs w:val="24"/>
              </w:rPr>
              <m:t>,</m:t>
            </m:r>
            <m:r>
              <m:rPr>
                <m:sty m:val="b"/>
              </m:rPr>
              <w:rPr>
                <w:rFonts w:ascii="Cambria Math" w:hAnsi="Cambria Math" w:cs="Arial"/>
                <w:sz w:val="24"/>
                <w:szCs w:val="24"/>
              </w:rPr>
              <m:t>182</m:t>
            </m:r>
            <m:r>
              <m:rPr>
                <m:sty m:val="p"/>
              </m:rPr>
              <w:rPr>
                <w:rFonts w:ascii="Cambria Math" w:hAnsi="Cambria Math" w:cs="Arial"/>
                <w:sz w:val="24"/>
                <w:szCs w:val="24"/>
              </w:rPr>
              <m:t>+</m:t>
            </m:r>
            <m:r>
              <m:rPr>
                <m:sty m:val="b"/>
              </m:rPr>
              <w:rPr>
                <w:rFonts w:ascii="Cambria Math" w:hAnsi="Cambria Math" w:cs="Arial"/>
                <w:sz w:val="24"/>
                <w:szCs w:val="24"/>
              </w:rPr>
              <m:t>112</m:t>
            </m:r>
            <m:r>
              <m:rPr>
                <m:sty m:val="p"/>
              </m:rPr>
              <w:rPr>
                <w:rFonts w:ascii="Cambria Math" w:hAnsi="Cambria Math" w:cs="Arial"/>
                <w:sz w:val="24"/>
                <w:szCs w:val="24"/>
              </w:rPr>
              <m:t>,</m:t>
            </m:r>
            <m:r>
              <m:rPr>
                <m:sty m:val="b"/>
              </m:rPr>
              <w:rPr>
                <w:rFonts w:ascii="Cambria Math" w:hAnsi="Cambria Math" w:cs="Arial"/>
                <w:sz w:val="24"/>
                <w:szCs w:val="24"/>
              </w:rPr>
              <m:t>596</m:t>
            </m:r>
            <m:r>
              <m:rPr>
                <m:sty m:val="p"/>
              </m:rPr>
              <w:rPr>
                <w:rFonts w:ascii="Cambria Math" w:hAnsi="Cambria Math" w:cs="Arial"/>
                <w:sz w:val="24"/>
                <w:szCs w:val="24"/>
              </w:rPr>
              <m:t>)/</m:t>
            </m:r>
            <m:r>
              <m:rPr>
                <m:sty m:val="b"/>
              </m:rPr>
              <w:rPr>
                <w:rFonts w:ascii="Cambria Math" w:hAnsi="Cambria Math" w:cs="Arial"/>
                <w:sz w:val="24"/>
                <w:szCs w:val="24"/>
              </w:rPr>
              <m:t>2</m:t>
            </m:r>
            <m:r>
              <w:rPr>
                <w:rFonts w:ascii="Cambria Math" w:hAnsi="Cambria Math" w:cs="Arial"/>
                <w:sz w:val="24"/>
                <w:szCs w:val="24"/>
              </w:rPr>
              <m:t xml:space="preserve"> </m:t>
            </m:r>
          </m:num>
          <m:den>
            <m:r>
              <w:rPr>
                <w:rFonts w:ascii="Cambria Math" w:hAnsi="Cambria Math" w:cs="Arial"/>
                <w:sz w:val="24"/>
                <w:szCs w:val="24"/>
              </w:rPr>
              <m:t>394879</m:t>
            </m:r>
          </m:den>
        </m:f>
        <m:r>
          <w:rPr>
            <w:rFonts w:ascii="Cambria Math" w:hAnsi="Cambria Math" w:cs="Arial"/>
            <w:sz w:val="24"/>
            <w:szCs w:val="24"/>
          </w:rPr>
          <m:t>x365</m:t>
        </m:r>
      </m:oMath>
      <w:r w:rsidR="00867F64" w:rsidRPr="00BD3B3B">
        <w:rPr>
          <w:rFonts w:ascii="Arial" w:hAnsi="Arial" w:cs="Arial"/>
          <w:sz w:val="24"/>
          <w:szCs w:val="24"/>
        </w:rPr>
        <w:t xml:space="preserve"> = 104.7 days</w:t>
      </w:r>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There were high levels of account receivables throughout the review period with receivables of 114,182m in 2024. This reflects lax credit policy and poor collecting habits. Empirical evidence reveals that troubled companies tend to offer attractive credit facilities to boost sales, unknowingly deteriorating the liquidity s</w:t>
      </w:r>
      <w:r w:rsidR="00867F64">
        <w:rPr>
          <w:rFonts w:ascii="Arial" w:hAnsi="Arial" w:cs="Arial"/>
          <w:sz w:val="24"/>
          <w:szCs w:val="24"/>
          <w:lang w:eastAsia="en-GB"/>
        </w:rPr>
        <w:t>ituation (Altman et al., 2022).</w:t>
      </w:r>
    </w:p>
    <w:p w:rsidR="00954F34" w:rsidRPr="00867F64" w:rsidRDefault="005B131D" w:rsidP="005B131D">
      <w:pPr>
        <w:pStyle w:val="Heading3"/>
        <w:rPr>
          <w:lang w:eastAsia="en-GB"/>
        </w:rPr>
      </w:pPr>
      <w:bookmarkStart w:id="25" w:name="_Toc217216291"/>
      <w:r>
        <w:rPr>
          <w:lang w:eastAsia="en-GB"/>
        </w:rPr>
        <w:t xml:space="preserve">2.2.3 </w:t>
      </w:r>
      <w:r w:rsidR="00954F34" w:rsidRPr="00867F64">
        <w:rPr>
          <w:lang w:eastAsia="en-GB"/>
        </w:rPr>
        <w:t>Payables Days</w:t>
      </w:r>
      <w:bookmarkEnd w:id="25"/>
    </w:p>
    <w:p w:rsidR="005B131D" w:rsidRPr="00BD3B3B" w:rsidRDefault="005B131D" w:rsidP="005B131D">
      <w:pPr>
        <w:spacing w:line="360" w:lineRule="auto"/>
        <w:jc w:val="center"/>
        <w:rPr>
          <w:rFonts w:ascii="Arial" w:hAnsi="Arial" w:cs="Arial"/>
          <w:sz w:val="24"/>
          <w:szCs w:val="24"/>
          <w:lang w:eastAsia="en-GB"/>
        </w:rPr>
      </w:pPr>
      <w:r w:rsidRPr="00BD3B3B">
        <w:rPr>
          <w:rFonts w:ascii="Arial" w:hAnsi="Arial" w:cs="Arial"/>
          <w:b/>
          <w:sz w:val="24"/>
          <w:szCs w:val="24"/>
          <w:lang w:eastAsia="en-GB"/>
        </w:rPr>
        <w:t>Payables Days</w:t>
      </w:r>
      <w:r w:rsidRPr="00BD3B3B">
        <w:rPr>
          <w:rFonts w:ascii="Arial" w:hAnsi="Arial" w:cs="Arial"/>
          <w:sz w:val="24"/>
          <w:szCs w:val="24"/>
          <w:lang w:eastAsia="en-GB"/>
        </w:rPr>
        <w:t xml:space="preserve"> = </w:t>
      </w:r>
      <m:oMath>
        <m:f>
          <m:fPr>
            <m:ctrlPr>
              <w:rPr>
                <w:rFonts w:ascii="Cambria Math" w:hAnsi="Cambria Math" w:cs="Arial"/>
                <w:i/>
                <w:sz w:val="24"/>
                <w:szCs w:val="24"/>
              </w:rPr>
            </m:ctrlPr>
          </m:fPr>
          <m:num>
            <m:r>
              <w:rPr>
                <w:rFonts w:ascii="Cambria Math" w:hAnsi="Cambria Math" w:cs="Arial"/>
                <w:sz w:val="24"/>
                <w:szCs w:val="24"/>
              </w:rPr>
              <m:t xml:space="preserve">Average Accounts Payable  </m:t>
            </m:r>
          </m:num>
          <m:den>
            <m:r>
              <w:rPr>
                <w:rFonts w:ascii="Cambria Math" w:hAnsi="Cambria Math" w:cs="Arial"/>
                <w:sz w:val="24"/>
                <w:szCs w:val="24"/>
              </w:rPr>
              <m:t>Cost of Sales</m:t>
            </m:r>
          </m:den>
        </m:f>
        <m:r>
          <w:rPr>
            <w:rFonts w:ascii="Cambria Math" w:hAnsi="Cambria Math" w:cs="Arial"/>
            <w:sz w:val="24"/>
            <w:szCs w:val="24"/>
          </w:rPr>
          <m:t>x365</m:t>
        </m:r>
      </m:oMath>
    </w:p>
    <w:p w:rsidR="005B131D" w:rsidRPr="00BD3B3B" w:rsidRDefault="005B131D" w:rsidP="005B131D">
      <w:pPr>
        <w:spacing w:line="360" w:lineRule="auto"/>
        <w:jc w:val="center"/>
        <w:rPr>
          <w:rFonts w:ascii="Arial" w:hAnsi="Arial" w:cs="Arial"/>
          <w:b/>
          <w:sz w:val="24"/>
          <w:szCs w:val="24"/>
          <w:lang w:eastAsia="en-GB"/>
        </w:rPr>
      </w:pPr>
      <w:r w:rsidRPr="00BD3B3B">
        <w:rPr>
          <w:rFonts w:ascii="Arial" w:hAnsi="Arial" w:cs="Arial"/>
          <w:b/>
          <w:sz w:val="24"/>
          <w:szCs w:val="24"/>
          <w:lang w:eastAsia="en-GB"/>
        </w:rPr>
        <w:t>Payables Days:</w:t>
      </w:r>
    </w:p>
    <w:p w:rsidR="00954F34" w:rsidRPr="00867F64" w:rsidRDefault="00C642B6" w:rsidP="005B131D">
      <w:pPr>
        <w:spacing w:line="360" w:lineRule="auto"/>
        <w:jc w:val="center"/>
        <w:rPr>
          <w:rFonts w:ascii="Arial" w:hAnsi="Arial" w:cs="Arial"/>
          <w:sz w:val="24"/>
          <w:szCs w:val="24"/>
        </w:rPr>
      </w:pPr>
      <m:oMath>
        <m:f>
          <m:fPr>
            <m:ctrlPr>
              <w:rPr>
                <w:rFonts w:ascii="Cambria Math" w:hAnsi="Cambria Math" w:cs="Arial"/>
                <w:i/>
                <w:sz w:val="24"/>
                <w:szCs w:val="24"/>
              </w:rPr>
            </m:ctrlPr>
          </m:fPr>
          <m:num>
            <m:r>
              <m:rPr>
                <m:sty m:val="b"/>
              </m:rPr>
              <w:rPr>
                <w:rFonts w:ascii="Cambria Math" w:hAnsi="Cambria Math" w:cs="Arial"/>
                <w:sz w:val="24"/>
                <w:szCs w:val="24"/>
              </w:rPr>
              <m:t>(72</m:t>
            </m:r>
            <m:r>
              <m:rPr>
                <m:sty m:val="p"/>
              </m:rPr>
              <w:rPr>
                <w:rFonts w:ascii="Cambria Math" w:hAnsi="Cambria Math" w:cs="Arial"/>
                <w:sz w:val="24"/>
                <w:szCs w:val="24"/>
              </w:rPr>
              <m:t>,</m:t>
            </m:r>
            <m:r>
              <m:rPr>
                <m:sty m:val="b"/>
              </m:rPr>
              <w:rPr>
                <w:rFonts w:ascii="Cambria Math" w:hAnsi="Cambria Math" w:cs="Arial"/>
                <w:sz w:val="24"/>
                <w:szCs w:val="24"/>
              </w:rPr>
              <m:t>031</m:t>
            </m:r>
            <m:r>
              <m:rPr>
                <m:sty m:val="p"/>
              </m:rPr>
              <w:rPr>
                <w:rFonts w:ascii="Cambria Math" w:hAnsi="Cambria Math" w:cs="Arial"/>
                <w:sz w:val="24"/>
                <w:szCs w:val="24"/>
              </w:rPr>
              <m:t>+</m:t>
            </m:r>
            <m:r>
              <m:rPr>
                <m:sty m:val="b"/>
              </m:rPr>
              <w:rPr>
                <w:rFonts w:ascii="Cambria Math" w:hAnsi="Cambria Math" w:cs="Arial"/>
                <w:sz w:val="24"/>
                <w:szCs w:val="24"/>
              </w:rPr>
              <m:t>57</m:t>
            </m:r>
            <m:r>
              <m:rPr>
                <m:sty m:val="p"/>
              </m:rPr>
              <w:rPr>
                <w:rFonts w:ascii="Cambria Math" w:hAnsi="Cambria Math" w:cs="Arial"/>
                <w:sz w:val="24"/>
                <w:szCs w:val="24"/>
              </w:rPr>
              <m:t>,</m:t>
            </m:r>
            <m:r>
              <m:rPr>
                <m:sty m:val="b"/>
              </m:rPr>
              <w:rPr>
                <w:rFonts w:ascii="Cambria Math" w:hAnsi="Cambria Math" w:cs="Arial"/>
                <w:sz w:val="24"/>
                <w:szCs w:val="24"/>
              </w:rPr>
              <m:t>033</m:t>
            </m:r>
            <m:r>
              <m:rPr>
                <m:sty m:val="p"/>
              </m:rPr>
              <w:rPr>
                <w:rFonts w:ascii="Cambria Math" w:hAnsi="Cambria Math" w:cs="Arial"/>
                <w:sz w:val="24"/>
                <w:szCs w:val="24"/>
              </w:rPr>
              <m:t>)/</m:t>
            </m:r>
            <m:r>
              <m:rPr>
                <m:sty m:val="b"/>
              </m:rPr>
              <w:rPr>
                <w:rFonts w:ascii="Cambria Math" w:hAnsi="Cambria Math" w:cs="Arial"/>
                <w:sz w:val="24"/>
                <w:szCs w:val="24"/>
              </w:rPr>
              <m:t>2</m:t>
            </m:r>
            <m:r>
              <w:rPr>
                <w:rFonts w:ascii="Cambria Math" w:hAnsi="Cambria Math" w:cs="Arial"/>
                <w:sz w:val="24"/>
                <w:szCs w:val="24"/>
              </w:rPr>
              <m:t xml:space="preserve"> </m:t>
            </m:r>
          </m:num>
          <m:den>
            <m:r>
              <w:rPr>
                <w:rFonts w:ascii="Cambria Math" w:hAnsi="Cambria Math" w:cs="Arial"/>
                <w:sz w:val="24"/>
                <w:szCs w:val="24"/>
              </w:rPr>
              <m:t>280885</m:t>
            </m:r>
          </m:den>
        </m:f>
        <m:r>
          <w:rPr>
            <w:rFonts w:ascii="Cambria Math" w:hAnsi="Cambria Math" w:cs="Arial"/>
            <w:sz w:val="24"/>
            <w:szCs w:val="24"/>
          </w:rPr>
          <m:t>x365</m:t>
        </m:r>
      </m:oMath>
      <w:r w:rsidR="005B131D" w:rsidRPr="00BD3B3B">
        <w:rPr>
          <w:rFonts w:ascii="Arial" w:hAnsi="Arial" w:cs="Arial"/>
          <w:sz w:val="24"/>
          <w:szCs w:val="24"/>
        </w:rPr>
        <w:t xml:space="preserve"> = 83.9 days</w:t>
      </w:r>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Although the account payable in 2020 amounted to 83,229m and 2024 to 72,031m, the company seems to have little room to lengthen payment terms and ruin relationships with suppliers. Dependence on late payments may cause disruptions in the supply chains and lower the confidence of the suppliers, especially in international business (Ross et a</w:t>
      </w:r>
      <w:r w:rsidR="00F72FE3">
        <w:rPr>
          <w:rFonts w:ascii="Arial" w:hAnsi="Arial" w:cs="Arial"/>
          <w:sz w:val="24"/>
          <w:szCs w:val="24"/>
          <w:lang w:eastAsia="en-GB"/>
        </w:rPr>
        <w:t>l., 2024)</w:t>
      </w:r>
      <w:r w:rsidR="00502EC8">
        <w:rPr>
          <w:rFonts w:ascii="Arial" w:hAnsi="Arial" w:cs="Arial"/>
          <w:sz w:val="24"/>
          <w:szCs w:val="24"/>
          <w:lang w:eastAsia="en-GB"/>
        </w:rPr>
        <w:t>.</w:t>
      </w:r>
    </w:p>
    <w:p w:rsidR="00954F34" w:rsidRPr="00867F64" w:rsidRDefault="00954F34" w:rsidP="00502EC8">
      <w:pPr>
        <w:pStyle w:val="Heading2"/>
        <w:rPr>
          <w:lang w:eastAsia="en-GB"/>
        </w:rPr>
      </w:pPr>
      <w:bookmarkStart w:id="26" w:name="_Toc217216292"/>
      <w:r w:rsidRPr="00867F64">
        <w:rPr>
          <w:lang w:eastAsia="en-GB"/>
        </w:rPr>
        <w:t>2.3 Working Capital Challenges</w:t>
      </w:r>
      <w:bookmarkEnd w:id="26"/>
    </w:p>
    <w:p w:rsidR="00954F34" w:rsidRPr="00867F64" w:rsidRDefault="00954F34" w:rsidP="00867F64">
      <w:pPr>
        <w:spacing w:line="360" w:lineRule="auto"/>
        <w:jc w:val="both"/>
        <w:rPr>
          <w:rFonts w:ascii="Arial" w:hAnsi="Arial" w:cs="Arial"/>
          <w:sz w:val="24"/>
          <w:szCs w:val="24"/>
          <w:lang w:eastAsia="en-GB"/>
        </w:rPr>
      </w:pPr>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 xml:space="preserve">The working capital issues in the firm can be summarised into three issues which are related to each other. One, the capital is tied up in inventories and receivables to the extent that it lowers the flexibility of liquidity. Second, falling cash balances show that there is a lack of operating cash inflows to meet financing and investment requirement. Third, the company is a heavy user of short-term credit facilities, which puts it at risk of refinancing risks, </w:t>
      </w:r>
      <w:r w:rsidR="00502EC8">
        <w:rPr>
          <w:rFonts w:ascii="Arial" w:hAnsi="Arial" w:cs="Arial"/>
          <w:sz w:val="24"/>
          <w:szCs w:val="24"/>
          <w:lang w:eastAsia="en-GB"/>
        </w:rPr>
        <w:t>as well as interest rate risks.</w:t>
      </w:r>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lastRenderedPageBreak/>
        <w:t xml:space="preserve">As the recent literature on financial management points out, working capital structure can greatly contribute to the increase in the likelihood of bankruptcy at times when profitability starts to decline (Altman et al., 2022; </w:t>
      </w:r>
      <w:proofErr w:type="spellStart"/>
      <w:r w:rsidRPr="00867F64">
        <w:rPr>
          <w:rFonts w:ascii="Arial" w:hAnsi="Arial" w:cs="Arial"/>
          <w:sz w:val="24"/>
          <w:szCs w:val="24"/>
          <w:lang w:eastAsia="en-GB"/>
        </w:rPr>
        <w:t>Atrill</w:t>
      </w:r>
      <w:proofErr w:type="spellEnd"/>
      <w:r w:rsidRPr="00867F64">
        <w:rPr>
          <w:rFonts w:ascii="Arial" w:hAnsi="Arial" w:cs="Arial"/>
          <w:sz w:val="24"/>
          <w:szCs w:val="24"/>
          <w:lang w:eastAsia="en-GB"/>
        </w:rPr>
        <w:t xml:space="preserve"> and </w:t>
      </w:r>
      <w:proofErr w:type="spellStart"/>
      <w:r w:rsidRPr="00867F64">
        <w:rPr>
          <w:rFonts w:ascii="Arial" w:hAnsi="Arial" w:cs="Arial"/>
          <w:sz w:val="24"/>
          <w:szCs w:val="24"/>
          <w:lang w:eastAsia="en-GB"/>
        </w:rPr>
        <w:t>McLaney</w:t>
      </w:r>
      <w:proofErr w:type="spellEnd"/>
      <w:r w:rsidRPr="00867F64">
        <w:rPr>
          <w:rFonts w:ascii="Arial" w:hAnsi="Arial" w:cs="Arial"/>
          <w:sz w:val="24"/>
          <w:szCs w:val="24"/>
          <w:lang w:eastAsia="en-GB"/>
        </w:rPr>
        <w:t>, 2024). In the case of General Electronics, such problems further compound the financial distress that was determined</w:t>
      </w:r>
      <w:r w:rsidR="00502EC8">
        <w:rPr>
          <w:rFonts w:ascii="Arial" w:hAnsi="Arial" w:cs="Arial"/>
          <w:sz w:val="24"/>
          <w:szCs w:val="24"/>
          <w:lang w:eastAsia="en-GB"/>
        </w:rPr>
        <w:t xml:space="preserve"> in the financial health check.</w:t>
      </w:r>
    </w:p>
    <w:p w:rsidR="00954F34" w:rsidRPr="00502EC8" w:rsidRDefault="00954F34" w:rsidP="006662CF">
      <w:pPr>
        <w:pStyle w:val="Heading2"/>
        <w:spacing w:after="240"/>
        <w:rPr>
          <w:lang w:eastAsia="en-GB"/>
        </w:rPr>
      </w:pPr>
      <w:bookmarkStart w:id="27" w:name="_Toc217216293"/>
      <w:r w:rsidRPr="00867F64">
        <w:rPr>
          <w:lang w:eastAsia="en-GB"/>
        </w:rPr>
        <w:t>2.4 Strategies of Improving Liquidity.</w:t>
      </w:r>
      <w:bookmarkEnd w:id="27"/>
    </w:p>
    <w:p w:rsidR="00954F34" w:rsidRPr="00867F64" w:rsidRDefault="00954F34" w:rsidP="006662CF">
      <w:pPr>
        <w:spacing w:after="240" w:line="360" w:lineRule="auto"/>
        <w:jc w:val="both"/>
        <w:rPr>
          <w:rFonts w:ascii="Arial" w:hAnsi="Arial" w:cs="Arial"/>
          <w:sz w:val="24"/>
          <w:szCs w:val="24"/>
          <w:lang w:eastAsia="en-GB"/>
        </w:rPr>
      </w:pPr>
      <w:r w:rsidRPr="00867F64">
        <w:rPr>
          <w:rFonts w:ascii="Arial" w:hAnsi="Arial" w:cs="Arial"/>
          <w:sz w:val="24"/>
          <w:szCs w:val="24"/>
          <w:lang w:eastAsia="en-GB"/>
        </w:rPr>
        <w:t>In a bid to enhance the liquidity and mitigate financial risk in the short run, General Electronics ought to undertake an extensive wo</w:t>
      </w:r>
      <w:r w:rsidR="00502EC8">
        <w:rPr>
          <w:rFonts w:ascii="Arial" w:hAnsi="Arial" w:cs="Arial"/>
          <w:sz w:val="24"/>
          <w:szCs w:val="24"/>
          <w:lang w:eastAsia="en-GB"/>
        </w:rPr>
        <w:t>rking capital reform programme.</w:t>
      </w:r>
    </w:p>
    <w:p w:rsidR="00954F34" w:rsidRPr="00502EC8" w:rsidRDefault="00502EC8" w:rsidP="00867F64">
      <w:pPr>
        <w:spacing w:line="360" w:lineRule="auto"/>
        <w:jc w:val="both"/>
        <w:rPr>
          <w:rFonts w:ascii="Arial" w:hAnsi="Arial" w:cs="Arial"/>
          <w:b/>
          <w:sz w:val="24"/>
          <w:szCs w:val="24"/>
          <w:lang w:eastAsia="en-GB"/>
        </w:rPr>
      </w:pPr>
      <w:r w:rsidRPr="00502EC8">
        <w:rPr>
          <w:rFonts w:ascii="Arial" w:hAnsi="Arial" w:cs="Arial"/>
          <w:b/>
          <w:sz w:val="24"/>
          <w:szCs w:val="24"/>
          <w:lang w:eastAsia="en-GB"/>
        </w:rPr>
        <w:t>Inventory Optimisation</w:t>
      </w:r>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The company ought to implement demand driven inventory control and management such as just-in-time (JIT) and improved demand forecasting based on real-time sales information. The reduction of inventory days would release cash, decrease carrying costs and reduce the risk of obsolescence. Hillier et al. (2023) stress that inventory optimisation with technology is a key factor to restore liquidity in manufacturing companies operating in th</w:t>
      </w:r>
      <w:r w:rsidR="00502EC8">
        <w:rPr>
          <w:rFonts w:ascii="Arial" w:hAnsi="Arial" w:cs="Arial"/>
          <w:sz w:val="24"/>
          <w:szCs w:val="24"/>
          <w:lang w:eastAsia="en-GB"/>
        </w:rPr>
        <w:t>e context of demand volatility.</w:t>
      </w:r>
    </w:p>
    <w:p w:rsidR="00954F34" w:rsidRPr="00502EC8" w:rsidRDefault="00502EC8" w:rsidP="00867F64">
      <w:pPr>
        <w:spacing w:line="360" w:lineRule="auto"/>
        <w:jc w:val="both"/>
        <w:rPr>
          <w:rFonts w:ascii="Arial" w:hAnsi="Arial" w:cs="Arial"/>
          <w:b/>
          <w:sz w:val="24"/>
          <w:szCs w:val="24"/>
          <w:lang w:eastAsia="en-GB"/>
        </w:rPr>
      </w:pPr>
      <w:r>
        <w:rPr>
          <w:rFonts w:ascii="Arial" w:hAnsi="Arial" w:cs="Arial"/>
          <w:b/>
          <w:sz w:val="24"/>
          <w:szCs w:val="24"/>
          <w:lang w:eastAsia="en-GB"/>
        </w:rPr>
        <w:t>Receivables Management</w:t>
      </w:r>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It is essential to restrict credit policies and enhance the process of receivables collection. This may involve tightening credit, the offering of incentives to pay upfront and increased oversight of outstanding accounts. Although stricter conditions of credit can have short-term sales suppressive effects, the empirical evidence holds that the fact that the cash flow is more stable is more important than the immediate effect on revenues in financially suffering</w:t>
      </w:r>
      <w:r w:rsidR="00502EC8">
        <w:rPr>
          <w:rFonts w:ascii="Arial" w:hAnsi="Arial" w:cs="Arial"/>
          <w:sz w:val="24"/>
          <w:szCs w:val="24"/>
          <w:lang w:eastAsia="en-GB"/>
        </w:rPr>
        <w:t xml:space="preserve"> companies (Ross et al., 2024).</w:t>
      </w:r>
    </w:p>
    <w:p w:rsidR="00954F34" w:rsidRPr="00502EC8" w:rsidRDefault="00502EC8" w:rsidP="00867F64">
      <w:pPr>
        <w:spacing w:line="360" w:lineRule="auto"/>
        <w:jc w:val="both"/>
        <w:rPr>
          <w:rFonts w:ascii="Arial" w:hAnsi="Arial" w:cs="Arial"/>
          <w:b/>
          <w:sz w:val="24"/>
          <w:szCs w:val="24"/>
          <w:lang w:eastAsia="en-GB"/>
        </w:rPr>
      </w:pPr>
      <w:r>
        <w:rPr>
          <w:rFonts w:ascii="Arial" w:hAnsi="Arial" w:cs="Arial"/>
          <w:b/>
          <w:sz w:val="24"/>
          <w:szCs w:val="24"/>
          <w:lang w:eastAsia="en-GB"/>
        </w:rPr>
        <w:t>Payables Strategy</w:t>
      </w:r>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 xml:space="preserve">Whenever possible, negotiating long-term payment conditions with major suppliers would enhance liquidity without harming relations with suppliers. This should however be done in a strategic manner in order to prevent any disruption in supply chain. Ethical implications of the situation also play a role since inappropriate stress on the small </w:t>
      </w:r>
      <w:r w:rsidRPr="00867F64">
        <w:rPr>
          <w:rFonts w:ascii="Arial" w:hAnsi="Arial" w:cs="Arial"/>
          <w:sz w:val="24"/>
          <w:szCs w:val="24"/>
          <w:lang w:eastAsia="en-GB"/>
        </w:rPr>
        <w:lastRenderedPageBreak/>
        <w:t>suppliers will contradict the principles of the corporate social responsibility (</w:t>
      </w:r>
      <w:proofErr w:type="spellStart"/>
      <w:r w:rsidRPr="00867F64">
        <w:rPr>
          <w:rFonts w:ascii="Arial" w:hAnsi="Arial" w:cs="Arial"/>
          <w:sz w:val="24"/>
          <w:szCs w:val="24"/>
          <w:lang w:eastAsia="en-GB"/>
        </w:rPr>
        <w:t>B</w:t>
      </w:r>
      <w:r w:rsidR="00502EC8">
        <w:rPr>
          <w:rFonts w:ascii="Arial" w:hAnsi="Arial" w:cs="Arial"/>
          <w:sz w:val="24"/>
          <w:szCs w:val="24"/>
          <w:lang w:eastAsia="en-GB"/>
        </w:rPr>
        <w:t>realey</w:t>
      </w:r>
      <w:proofErr w:type="spellEnd"/>
      <w:r w:rsidR="00502EC8">
        <w:rPr>
          <w:rFonts w:ascii="Arial" w:hAnsi="Arial" w:cs="Arial"/>
          <w:sz w:val="24"/>
          <w:szCs w:val="24"/>
          <w:lang w:eastAsia="en-GB"/>
        </w:rPr>
        <w:t>, Myers and Allen, 2023).</w:t>
      </w:r>
    </w:p>
    <w:p w:rsidR="00954F34" w:rsidRPr="00502EC8" w:rsidRDefault="00954F34" w:rsidP="00502EC8">
      <w:pPr>
        <w:pStyle w:val="Heading2"/>
        <w:rPr>
          <w:lang w:eastAsia="en-GB"/>
        </w:rPr>
      </w:pPr>
      <w:bookmarkStart w:id="28" w:name="_Toc217216294"/>
      <w:r w:rsidRPr="00867F64">
        <w:rPr>
          <w:lang w:eastAsia="en-GB"/>
        </w:rPr>
        <w:t>2.5 Short Term and Long Term Financing.</w:t>
      </w:r>
      <w:bookmarkEnd w:id="28"/>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Short-term or long-term financing is one of the main working capital decisions accompanie</w:t>
      </w:r>
      <w:r w:rsidR="00502EC8">
        <w:rPr>
          <w:rFonts w:ascii="Arial" w:hAnsi="Arial" w:cs="Arial"/>
          <w:sz w:val="24"/>
          <w:szCs w:val="24"/>
          <w:lang w:eastAsia="en-GB"/>
        </w:rPr>
        <w:t>d by serious risk consequences.</w:t>
      </w:r>
    </w:p>
    <w:p w:rsidR="00954F34" w:rsidRPr="00502EC8" w:rsidRDefault="00502EC8" w:rsidP="00867F64">
      <w:pPr>
        <w:spacing w:line="360" w:lineRule="auto"/>
        <w:jc w:val="both"/>
        <w:rPr>
          <w:rFonts w:ascii="Arial" w:hAnsi="Arial" w:cs="Arial"/>
          <w:b/>
          <w:sz w:val="24"/>
          <w:szCs w:val="24"/>
          <w:lang w:eastAsia="en-GB"/>
        </w:rPr>
      </w:pPr>
      <w:r>
        <w:rPr>
          <w:rFonts w:ascii="Arial" w:hAnsi="Arial" w:cs="Arial"/>
          <w:b/>
          <w:sz w:val="24"/>
          <w:szCs w:val="24"/>
          <w:lang w:eastAsia="en-GB"/>
        </w:rPr>
        <w:t>Short-Term Financing</w:t>
      </w:r>
    </w:p>
    <w:p w:rsidR="00F72FE3"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General Electronics has been using the short-term lines of credit as a source of working capital. Although short-term financing is generally less expensive and more adjustable, overdependence adds to the financing and interest rate risks, especially in times when creditworthiness is drop</w:t>
      </w:r>
      <w:r w:rsidR="00F72FE3">
        <w:rPr>
          <w:rFonts w:ascii="Arial" w:hAnsi="Arial" w:cs="Arial"/>
          <w:sz w:val="24"/>
          <w:szCs w:val="24"/>
          <w:lang w:eastAsia="en-GB"/>
        </w:rPr>
        <w:t>ping (</w:t>
      </w:r>
      <w:proofErr w:type="spellStart"/>
      <w:r w:rsidR="00F72FE3">
        <w:rPr>
          <w:rFonts w:ascii="Arial" w:hAnsi="Arial" w:cs="Arial"/>
          <w:sz w:val="24"/>
          <w:szCs w:val="24"/>
          <w:lang w:eastAsia="en-GB"/>
        </w:rPr>
        <w:t>Atrill</w:t>
      </w:r>
      <w:proofErr w:type="spellEnd"/>
      <w:r w:rsidR="00F72FE3">
        <w:rPr>
          <w:rFonts w:ascii="Arial" w:hAnsi="Arial" w:cs="Arial"/>
          <w:sz w:val="24"/>
          <w:szCs w:val="24"/>
          <w:lang w:eastAsia="en-GB"/>
        </w:rPr>
        <w:t xml:space="preserve"> and </w:t>
      </w:r>
      <w:proofErr w:type="spellStart"/>
      <w:r w:rsidR="00F72FE3">
        <w:rPr>
          <w:rFonts w:ascii="Arial" w:hAnsi="Arial" w:cs="Arial"/>
          <w:sz w:val="24"/>
          <w:szCs w:val="24"/>
          <w:lang w:eastAsia="en-GB"/>
        </w:rPr>
        <w:t>McLaney</w:t>
      </w:r>
      <w:proofErr w:type="spellEnd"/>
      <w:r w:rsidR="00F72FE3">
        <w:rPr>
          <w:rFonts w:ascii="Arial" w:hAnsi="Arial" w:cs="Arial"/>
          <w:sz w:val="24"/>
          <w:szCs w:val="24"/>
          <w:lang w:eastAsia="en-GB"/>
        </w:rPr>
        <w:t>, 2024)</w:t>
      </w:r>
    </w:p>
    <w:p w:rsidR="00954F34" w:rsidRPr="00502EC8" w:rsidRDefault="00502EC8" w:rsidP="00867F64">
      <w:pPr>
        <w:spacing w:line="360" w:lineRule="auto"/>
        <w:jc w:val="both"/>
        <w:rPr>
          <w:rFonts w:ascii="Arial" w:hAnsi="Arial" w:cs="Arial"/>
          <w:b/>
          <w:sz w:val="24"/>
          <w:szCs w:val="24"/>
          <w:lang w:eastAsia="en-GB"/>
        </w:rPr>
      </w:pPr>
      <w:r>
        <w:rPr>
          <w:rFonts w:ascii="Arial" w:hAnsi="Arial" w:cs="Arial"/>
          <w:b/>
          <w:sz w:val="24"/>
          <w:szCs w:val="24"/>
          <w:lang w:eastAsia="en-GB"/>
        </w:rPr>
        <w:t>Long-Term Financing</w:t>
      </w:r>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 xml:space="preserve">The conversion of a part of working capital finance to long-term sources of finance, either through term lending or equity financing, would serve to improve financial stability. Even though long-term financing usually costs more, it helps ease liquidity risk and it matches the maturity of financing with the life cycle of the assets. </w:t>
      </w:r>
      <w:r w:rsidR="00502EC8">
        <w:rPr>
          <w:rFonts w:ascii="Arial" w:hAnsi="Arial" w:cs="Arial"/>
          <w:sz w:val="24"/>
          <w:szCs w:val="24"/>
          <w:lang w:eastAsia="en-GB"/>
        </w:rPr>
        <w:t>(Altman et al., 2022).</w:t>
      </w:r>
    </w:p>
    <w:p w:rsidR="00954F34" w:rsidRPr="00502EC8" w:rsidRDefault="00954F34" w:rsidP="006662CF">
      <w:pPr>
        <w:pStyle w:val="Heading2"/>
        <w:spacing w:after="240"/>
        <w:rPr>
          <w:lang w:eastAsia="en-GB"/>
        </w:rPr>
      </w:pPr>
      <w:bookmarkStart w:id="29" w:name="_Toc217216295"/>
      <w:r w:rsidRPr="00867F64">
        <w:rPr>
          <w:lang w:eastAsia="en-GB"/>
        </w:rPr>
        <w:t>2.6 Critical Evaluation</w:t>
      </w:r>
      <w:bookmarkEnd w:id="29"/>
    </w:p>
    <w:p w:rsidR="00954F34" w:rsidRPr="00867F64" w:rsidRDefault="00954F34" w:rsidP="006662CF">
      <w:pPr>
        <w:spacing w:after="240" w:line="360" w:lineRule="auto"/>
        <w:jc w:val="both"/>
        <w:rPr>
          <w:rFonts w:ascii="Arial" w:hAnsi="Arial" w:cs="Arial"/>
          <w:sz w:val="24"/>
          <w:szCs w:val="24"/>
          <w:lang w:eastAsia="en-GB"/>
        </w:rPr>
      </w:pPr>
      <w:r w:rsidRPr="00867F64">
        <w:rPr>
          <w:rFonts w:ascii="Arial" w:hAnsi="Arial" w:cs="Arial"/>
          <w:sz w:val="24"/>
          <w:szCs w:val="24"/>
          <w:lang w:eastAsia="en-GB"/>
        </w:rPr>
        <w:t>As a CFO, the working capital inefficiencies at General Electronics are both strategic and operational in nature, as opposed to tactical. The liquidity risk has been increased by the slow reaction of the firm to falling demand, the soft credit policy and the high dependency on short-term borrowing. Although working capital reforms do not ensure structural profitability problems are resolved, it is a prer</w:t>
      </w:r>
      <w:r w:rsidR="00502EC8">
        <w:rPr>
          <w:rFonts w:ascii="Arial" w:hAnsi="Arial" w:cs="Arial"/>
          <w:sz w:val="24"/>
          <w:szCs w:val="24"/>
          <w:lang w:eastAsia="en-GB"/>
        </w:rPr>
        <w:t>equisite to financial recovery.</w:t>
      </w:r>
    </w:p>
    <w:p w:rsidR="00954F34" w:rsidRPr="00867F64" w:rsidRDefault="00954F34" w:rsidP="00867F64">
      <w:pPr>
        <w:spacing w:line="360" w:lineRule="auto"/>
        <w:jc w:val="both"/>
        <w:rPr>
          <w:rFonts w:ascii="Arial" w:hAnsi="Arial" w:cs="Arial"/>
          <w:sz w:val="24"/>
          <w:szCs w:val="24"/>
          <w:lang w:eastAsia="en-GB"/>
        </w:rPr>
      </w:pPr>
      <w:r w:rsidRPr="00867F64">
        <w:rPr>
          <w:rFonts w:ascii="Arial" w:hAnsi="Arial" w:cs="Arial"/>
          <w:sz w:val="24"/>
          <w:szCs w:val="24"/>
          <w:lang w:eastAsia="en-GB"/>
        </w:rPr>
        <w:t>The good management of working capital would decrease reliance on external financing, enhance predictability of cash flow and accommodate the further restructuring efforts. All turnaround strategies cannot be successful without such reforms.</w:t>
      </w:r>
    </w:p>
    <w:p w:rsidR="00E06855" w:rsidRPr="001703A3" w:rsidRDefault="00E06855" w:rsidP="006662CF">
      <w:pPr>
        <w:pStyle w:val="Heading1"/>
        <w:spacing w:after="240"/>
        <w:rPr>
          <w:lang w:eastAsia="en-GB"/>
        </w:rPr>
      </w:pPr>
      <w:bookmarkStart w:id="30" w:name="_Toc217216296"/>
      <w:r w:rsidRPr="001703A3">
        <w:rPr>
          <w:lang w:eastAsia="en-GB"/>
        </w:rPr>
        <w:lastRenderedPageBreak/>
        <w:t>3. General Electric 2010 Strategic Financial Restructuring Plan.</w:t>
      </w:r>
      <w:bookmarkEnd w:id="30"/>
    </w:p>
    <w:p w:rsidR="00B32091" w:rsidRDefault="00E17EED" w:rsidP="006662CF">
      <w:pPr>
        <w:spacing w:after="240" w:line="360" w:lineRule="auto"/>
        <w:jc w:val="both"/>
        <w:rPr>
          <w:rFonts w:ascii="Arial" w:hAnsi="Arial" w:cs="Arial"/>
          <w:sz w:val="24"/>
        </w:rPr>
      </w:pPr>
      <w:r w:rsidRPr="00E17EED">
        <w:rPr>
          <w:rFonts w:ascii="Arial" w:hAnsi="Arial" w:cs="Arial"/>
          <w:sz w:val="24"/>
        </w:rPr>
        <w:t xml:space="preserve">At present, the company holds an advantage against its competitors, owing to its robust financial foundation and well-established brand in the </w:t>
      </w:r>
      <w:r w:rsidR="00B32091" w:rsidRPr="00E17EED">
        <w:rPr>
          <w:rFonts w:ascii="Arial" w:hAnsi="Arial" w:cs="Arial"/>
          <w:sz w:val="24"/>
        </w:rPr>
        <w:t xml:space="preserve">industry. </w:t>
      </w:r>
    </w:p>
    <w:p w:rsidR="00E17EED" w:rsidRPr="00F72FE3" w:rsidRDefault="00E17EED" w:rsidP="006662CF">
      <w:pPr>
        <w:pStyle w:val="Heading2"/>
        <w:spacing w:after="240"/>
      </w:pPr>
      <w:bookmarkStart w:id="31" w:name="_Toc217216297"/>
      <w:r w:rsidRPr="00B32091">
        <w:t>3.1 Financial Restructuring Rationale.</w:t>
      </w:r>
      <w:bookmarkEnd w:id="31"/>
      <w:r w:rsidRPr="00B32091">
        <w:t xml:space="preserve"> </w:t>
      </w:r>
    </w:p>
    <w:p w:rsidR="00E17EED" w:rsidRPr="00E17EED" w:rsidRDefault="006662CF" w:rsidP="006662CF">
      <w:pPr>
        <w:spacing w:after="240" w:line="360" w:lineRule="auto"/>
        <w:jc w:val="both"/>
        <w:rPr>
          <w:rFonts w:ascii="Arial" w:hAnsi="Arial" w:cs="Arial"/>
          <w:sz w:val="24"/>
        </w:rPr>
      </w:pPr>
      <w:r>
        <w:rPr>
          <w:rFonts w:ascii="Arial" w:hAnsi="Arial" w:cs="Arial"/>
          <w:sz w:val="24"/>
        </w:rPr>
        <w:t>Reorganis</w:t>
      </w:r>
      <w:r w:rsidR="00E17EED" w:rsidRPr="00E17EED">
        <w:rPr>
          <w:rFonts w:ascii="Arial" w:hAnsi="Arial" w:cs="Arial"/>
          <w:sz w:val="24"/>
        </w:rPr>
        <w:t xml:space="preserve">ation of the finances is an urgent solution to companies that have fallen into chronic financial pains, reduced profitability, and increased solvency risk. As indicated in the above financial health analysis and the working capital analysis, General Electronics is a company that has structural weaknesses that are manifested in the continuing operating losses, dwindling equity, and growing dependence on short-term debt. Modern studies stress the point that postponing restructuring in this situation increases the likelihood of the </w:t>
      </w:r>
      <w:r w:rsidR="00B32091" w:rsidRPr="00E17EED">
        <w:rPr>
          <w:rFonts w:ascii="Arial" w:hAnsi="Arial" w:cs="Arial"/>
          <w:sz w:val="24"/>
        </w:rPr>
        <w:t>corporation’s</w:t>
      </w:r>
      <w:r w:rsidR="00E17EED" w:rsidRPr="00E17EED">
        <w:rPr>
          <w:rFonts w:ascii="Arial" w:hAnsi="Arial" w:cs="Arial"/>
          <w:sz w:val="24"/>
        </w:rPr>
        <w:t xml:space="preserve"> failure considerably (Altman et</w:t>
      </w:r>
      <w:r w:rsidR="00B32091">
        <w:rPr>
          <w:rFonts w:ascii="Arial" w:hAnsi="Arial" w:cs="Arial"/>
          <w:sz w:val="24"/>
        </w:rPr>
        <w:t xml:space="preserve"> al., 2022; Ross et al., 2024).</w:t>
      </w:r>
    </w:p>
    <w:p w:rsidR="00E17EED" w:rsidRPr="00E17EED" w:rsidRDefault="00E17EED" w:rsidP="00E17EED">
      <w:pPr>
        <w:spacing w:line="360" w:lineRule="auto"/>
        <w:jc w:val="both"/>
        <w:rPr>
          <w:rFonts w:ascii="Arial" w:hAnsi="Arial" w:cs="Arial"/>
          <w:sz w:val="24"/>
        </w:rPr>
      </w:pPr>
      <w:r w:rsidRPr="00E17EED">
        <w:rPr>
          <w:rFonts w:ascii="Arial" w:hAnsi="Arial" w:cs="Arial"/>
          <w:sz w:val="24"/>
        </w:rPr>
        <w:t>On CFO level, financial restructuring is aimed not only at survival, but also the ability to create long-term value, flexibility of operations, and trust of the stakeholders. (</w:t>
      </w:r>
      <w:proofErr w:type="spellStart"/>
      <w:r w:rsidRPr="00E17EED">
        <w:rPr>
          <w:rFonts w:ascii="Arial" w:hAnsi="Arial" w:cs="Arial"/>
          <w:sz w:val="24"/>
        </w:rPr>
        <w:t>B</w:t>
      </w:r>
      <w:r w:rsidR="00B32091">
        <w:rPr>
          <w:rFonts w:ascii="Arial" w:hAnsi="Arial" w:cs="Arial"/>
          <w:sz w:val="24"/>
        </w:rPr>
        <w:t>realey</w:t>
      </w:r>
      <w:proofErr w:type="spellEnd"/>
      <w:r w:rsidR="00B32091">
        <w:rPr>
          <w:rFonts w:ascii="Arial" w:hAnsi="Arial" w:cs="Arial"/>
          <w:sz w:val="24"/>
        </w:rPr>
        <w:t>, Myers and Allen, 2023).</w:t>
      </w:r>
    </w:p>
    <w:p w:rsidR="00E17EED" w:rsidRPr="00B32091" w:rsidRDefault="00E17EED" w:rsidP="006662CF">
      <w:pPr>
        <w:pStyle w:val="Heading2"/>
        <w:spacing w:after="240"/>
      </w:pPr>
      <w:bookmarkStart w:id="32" w:name="_Toc217216298"/>
      <w:r w:rsidRPr="00E17EED">
        <w:t>3.2 Portfolio Rationalisation and Asset Divestiture.</w:t>
      </w:r>
      <w:bookmarkEnd w:id="32"/>
    </w:p>
    <w:p w:rsidR="00E17EED" w:rsidRPr="00E17EED" w:rsidRDefault="00E17EED" w:rsidP="006662CF">
      <w:pPr>
        <w:spacing w:after="240" w:line="360" w:lineRule="auto"/>
        <w:jc w:val="both"/>
        <w:rPr>
          <w:rFonts w:ascii="Arial" w:hAnsi="Arial" w:cs="Arial"/>
          <w:sz w:val="24"/>
        </w:rPr>
      </w:pPr>
      <w:r w:rsidRPr="00E17EED">
        <w:rPr>
          <w:rFonts w:ascii="Arial" w:hAnsi="Arial" w:cs="Arial"/>
          <w:sz w:val="24"/>
        </w:rPr>
        <w:t xml:space="preserve">Asset divestiture is one of the most common and timely restructuring alternatives that can be offered to General electronics. The company has large asset base in terms of property, plant and equipment, intangible assets and operating lease assets, many of which may no longer </w:t>
      </w:r>
      <w:r w:rsidR="00B32091">
        <w:rPr>
          <w:rFonts w:ascii="Arial" w:hAnsi="Arial" w:cs="Arial"/>
          <w:sz w:val="24"/>
        </w:rPr>
        <w:t>be in its strategic priorities.</w:t>
      </w:r>
    </w:p>
    <w:p w:rsidR="00E17EED" w:rsidRPr="00E17EED" w:rsidRDefault="00E17EED" w:rsidP="00E17EED">
      <w:pPr>
        <w:spacing w:line="360" w:lineRule="auto"/>
        <w:jc w:val="both"/>
        <w:rPr>
          <w:rFonts w:ascii="Arial" w:hAnsi="Arial" w:cs="Arial"/>
          <w:sz w:val="24"/>
        </w:rPr>
      </w:pPr>
      <w:r w:rsidRPr="00E17EED">
        <w:rPr>
          <w:rFonts w:ascii="Arial" w:hAnsi="Arial" w:cs="Arial"/>
          <w:sz w:val="24"/>
        </w:rPr>
        <w:t xml:space="preserve">Relying on the sale of non-core business units and those not performing well would produce instant cash flows, simplify operations and enable the management to concentrate on profitable product lines. There has been empirical evidence that focused divestitures tend to enhance liquidity and shareholder value in situations where the activity is conducted within a larger turnaround plan (Hillier et al., 2023). </w:t>
      </w:r>
    </w:p>
    <w:p w:rsidR="00E17EED" w:rsidRPr="00E17EED" w:rsidRDefault="00E17EED" w:rsidP="00E17EED">
      <w:pPr>
        <w:spacing w:line="360" w:lineRule="auto"/>
        <w:jc w:val="both"/>
        <w:rPr>
          <w:rFonts w:ascii="Arial" w:hAnsi="Arial" w:cs="Arial"/>
          <w:sz w:val="24"/>
        </w:rPr>
      </w:pPr>
      <w:r w:rsidRPr="00E17EED">
        <w:rPr>
          <w:rFonts w:ascii="Arial" w:hAnsi="Arial" w:cs="Arial"/>
          <w:sz w:val="24"/>
        </w:rPr>
        <w:lastRenderedPageBreak/>
        <w:t xml:space="preserve">Divestiture however has its own risks such as the likelihood of losing future growth prospects and the negative market perceptions in case the assets are sold in a distressed situation. </w:t>
      </w:r>
      <w:r w:rsidR="00B32091">
        <w:rPr>
          <w:rFonts w:ascii="Arial" w:hAnsi="Arial" w:cs="Arial"/>
          <w:sz w:val="24"/>
        </w:rPr>
        <w:t>(</w:t>
      </w:r>
      <w:proofErr w:type="spellStart"/>
      <w:r w:rsidR="00B32091">
        <w:rPr>
          <w:rFonts w:ascii="Arial" w:hAnsi="Arial" w:cs="Arial"/>
          <w:sz w:val="24"/>
        </w:rPr>
        <w:t>Atrill</w:t>
      </w:r>
      <w:proofErr w:type="spellEnd"/>
      <w:r w:rsidR="00B32091">
        <w:rPr>
          <w:rFonts w:ascii="Arial" w:hAnsi="Arial" w:cs="Arial"/>
          <w:sz w:val="24"/>
        </w:rPr>
        <w:t xml:space="preserve"> and </w:t>
      </w:r>
      <w:proofErr w:type="spellStart"/>
      <w:r w:rsidR="00B32091">
        <w:rPr>
          <w:rFonts w:ascii="Arial" w:hAnsi="Arial" w:cs="Arial"/>
          <w:sz w:val="24"/>
        </w:rPr>
        <w:t>McLaney</w:t>
      </w:r>
      <w:proofErr w:type="spellEnd"/>
      <w:r w:rsidR="00B32091">
        <w:rPr>
          <w:rFonts w:ascii="Arial" w:hAnsi="Arial" w:cs="Arial"/>
          <w:sz w:val="24"/>
        </w:rPr>
        <w:t>, 2024).</w:t>
      </w:r>
    </w:p>
    <w:p w:rsidR="00E17EED" w:rsidRPr="00B32091" w:rsidRDefault="00E17EED" w:rsidP="006662CF">
      <w:pPr>
        <w:pStyle w:val="Heading2"/>
        <w:spacing w:after="240"/>
      </w:pPr>
      <w:bookmarkStart w:id="33" w:name="_Toc217216299"/>
      <w:r w:rsidRPr="00E17EED">
        <w:t>3.3 Injection of Equity and Recapitalisation.</w:t>
      </w:r>
      <w:bookmarkEnd w:id="33"/>
    </w:p>
    <w:p w:rsidR="00E17EED" w:rsidRPr="00E17EED" w:rsidRDefault="00E17EED" w:rsidP="006662CF">
      <w:pPr>
        <w:spacing w:after="240" w:line="360" w:lineRule="auto"/>
        <w:jc w:val="both"/>
        <w:rPr>
          <w:rFonts w:ascii="Arial" w:hAnsi="Arial" w:cs="Arial"/>
          <w:sz w:val="24"/>
        </w:rPr>
      </w:pPr>
      <w:r w:rsidRPr="00E17EED">
        <w:rPr>
          <w:rFonts w:ascii="Arial" w:hAnsi="Arial" w:cs="Arial"/>
          <w:sz w:val="24"/>
        </w:rPr>
        <w:t xml:space="preserve">Since the firm has a weakened equity profile, an equity injection is an option to the firm as a restructuring tool to put the firm back on its feet. In 2020, the value of </w:t>
      </w:r>
      <w:r w:rsidR="00B32091" w:rsidRPr="00E17EED">
        <w:rPr>
          <w:rFonts w:ascii="Arial" w:hAnsi="Arial" w:cs="Arial"/>
          <w:sz w:val="24"/>
        </w:rPr>
        <w:t>shareholder’s</w:t>
      </w:r>
      <w:r w:rsidRPr="00E17EED">
        <w:rPr>
          <w:rFonts w:ascii="Arial" w:hAnsi="Arial" w:cs="Arial"/>
          <w:sz w:val="24"/>
        </w:rPr>
        <w:t xml:space="preserve"> equity is 313,301m that dropped to 153,105m in 2024, mainly due to the cumulative losses and transactions of the treasury stocks. This erosion has enhanced leverage and decreased the ability of the firm to absorb future shocks</w:t>
      </w:r>
      <w:r w:rsidR="00B32091">
        <w:rPr>
          <w:rFonts w:ascii="Arial" w:hAnsi="Arial" w:cs="Arial"/>
          <w:sz w:val="24"/>
        </w:rPr>
        <w:t>.</w:t>
      </w:r>
    </w:p>
    <w:p w:rsidR="00E17EED" w:rsidRPr="00E17EED" w:rsidRDefault="00E17EED" w:rsidP="00E17EED">
      <w:pPr>
        <w:spacing w:line="360" w:lineRule="auto"/>
        <w:jc w:val="both"/>
        <w:rPr>
          <w:rFonts w:ascii="Arial" w:hAnsi="Arial" w:cs="Arial"/>
          <w:sz w:val="24"/>
        </w:rPr>
      </w:pPr>
      <w:r w:rsidRPr="00E17EED">
        <w:rPr>
          <w:rFonts w:ascii="Arial" w:hAnsi="Arial" w:cs="Arial"/>
          <w:sz w:val="24"/>
        </w:rPr>
        <w:t>The balance sheet, debt-equity ratios, and creditor confidence would be enhanced by a new equity issue, either as rights issue or strategic investor placement. Despite the fact that equity financing will dilute the current stock holders, recent research indicates that dilution is usually better than insolvency risk in troubled c</w:t>
      </w:r>
      <w:r w:rsidR="00B32091">
        <w:rPr>
          <w:rFonts w:ascii="Arial" w:hAnsi="Arial" w:cs="Arial"/>
          <w:sz w:val="24"/>
        </w:rPr>
        <w:t>ompanies (Altman et al., 2022).</w:t>
      </w:r>
    </w:p>
    <w:p w:rsidR="00E17EED" w:rsidRPr="00E17EED" w:rsidRDefault="00E17EED" w:rsidP="00E17EED">
      <w:pPr>
        <w:spacing w:line="360" w:lineRule="auto"/>
        <w:jc w:val="both"/>
        <w:rPr>
          <w:rFonts w:ascii="Arial" w:hAnsi="Arial" w:cs="Arial"/>
          <w:sz w:val="24"/>
        </w:rPr>
      </w:pPr>
      <w:r w:rsidRPr="00E17EED">
        <w:rPr>
          <w:rFonts w:ascii="Arial" w:hAnsi="Arial" w:cs="Arial"/>
          <w:sz w:val="24"/>
        </w:rPr>
        <w:t>Equity injection should be put in the position of strategic reset rather than failure as viewed through the eyes of a CFO. The terms of investment transparency, including the ways funds will be used (debt reduction, technology investment and stabilising the working capital) are vital in winning the support of the investors (</w:t>
      </w:r>
      <w:proofErr w:type="spellStart"/>
      <w:r w:rsidRPr="00E17EED">
        <w:rPr>
          <w:rFonts w:ascii="Arial" w:hAnsi="Arial" w:cs="Arial"/>
          <w:sz w:val="24"/>
        </w:rPr>
        <w:t>B</w:t>
      </w:r>
      <w:r w:rsidR="00B32091">
        <w:rPr>
          <w:rFonts w:ascii="Arial" w:hAnsi="Arial" w:cs="Arial"/>
          <w:sz w:val="24"/>
        </w:rPr>
        <w:t>realey</w:t>
      </w:r>
      <w:proofErr w:type="spellEnd"/>
      <w:r w:rsidR="00B32091">
        <w:rPr>
          <w:rFonts w:ascii="Arial" w:hAnsi="Arial" w:cs="Arial"/>
          <w:sz w:val="24"/>
        </w:rPr>
        <w:t>, Myers and Allen, 2023).</w:t>
      </w:r>
    </w:p>
    <w:p w:rsidR="00E17EED" w:rsidRPr="00E17EED" w:rsidRDefault="00E17EED" w:rsidP="00E17EED">
      <w:pPr>
        <w:spacing w:line="360" w:lineRule="auto"/>
        <w:jc w:val="both"/>
        <w:rPr>
          <w:rFonts w:ascii="Arial" w:hAnsi="Arial" w:cs="Arial"/>
          <w:sz w:val="24"/>
        </w:rPr>
      </w:pPr>
      <w:r w:rsidRPr="00E17EED">
        <w:rPr>
          <w:rFonts w:ascii="Arial" w:hAnsi="Arial" w:cs="Arial"/>
          <w:sz w:val="24"/>
        </w:rPr>
        <w:t>The restructuring and refinancing strategy of debts involves significant issues including working capital, credit, and fund financing (</w:t>
      </w:r>
      <w:proofErr w:type="spellStart"/>
      <w:r w:rsidRPr="00E17EED">
        <w:rPr>
          <w:rFonts w:ascii="Arial" w:hAnsi="Arial" w:cs="Arial"/>
          <w:sz w:val="24"/>
        </w:rPr>
        <w:t>Lindmoe</w:t>
      </w:r>
      <w:proofErr w:type="spellEnd"/>
      <w:r w:rsidRPr="00E17EED">
        <w:rPr>
          <w:rFonts w:ascii="Arial" w:hAnsi="Arial" w:cs="Arial"/>
          <w:sz w:val="24"/>
        </w:rPr>
        <w:t>, 2013).</w:t>
      </w:r>
    </w:p>
    <w:p w:rsidR="00E17EED" w:rsidRPr="00E17EED" w:rsidRDefault="00E17EED" w:rsidP="00E17EED">
      <w:pPr>
        <w:spacing w:line="360" w:lineRule="auto"/>
        <w:jc w:val="both"/>
        <w:rPr>
          <w:rFonts w:ascii="Arial" w:hAnsi="Arial" w:cs="Arial"/>
          <w:sz w:val="24"/>
        </w:rPr>
      </w:pPr>
      <w:r w:rsidRPr="00E17EED">
        <w:rPr>
          <w:rFonts w:ascii="Arial" w:hAnsi="Arial" w:cs="Arial"/>
          <w:sz w:val="24"/>
        </w:rPr>
        <w:t xml:space="preserve">Another very important part of the </w:t>
      </w:r>
      <w:r w:rsidR="00B32091" w:rsidRPr="00E17EED">
        <w:rPr>
          <w:rFonts w:ascii="Arial" w:hAnsi="Arial" w:cs="Arial"/>
          <w:sz w:val="24"/>
        </w:rPr>
        <w:t>turnaround</w:t>
      </w:r>
      <w:r w:rsidRPr="00E17EED">
        <w:rPr>
          <w:rFonts w:ascii="Arial" w:hAnsi="Arial" w:cs="Arial"/>
          <w:sz w:val="24"/>
        </w:rPr>
        <w:t xml:space="preserve"> strategy by General Electronics is debt restructuring. The short-term nature of the lines of credit taken by the firm is prone to exposing it to refinancing risk, fluctuations in interest rates, and possible breach of covenant. </w:t>
      </w:r>
      <w:r w:rsidR="00B32091" w:rsidRPr="00E17EED">
        <w:rPr>
          <w:rFonts w:ascii="Arial" w:hAnsi="Arial" w:cs="Arial"/>
          <w:sz w:val="24"/>
        </w:rPr>
        <w:t>Redact</w:t>
      </w:r>
      <w:r w:rsidRPr="00E17EED">
        <w:rPr>
          <w:rFonts w:ascii="Arial" w:hAnsi="Arial" w:cs="Arial"/>
          <w:sz w:val="24"/>
        </w:rPr>
        <w:t xml:space="preserve"> a part of short term debt and convert it into long term instruments would enhance the stability of liquidity and match debt matu</w:t>
      </w:r>
      <w:r w:rsidR="00B32091">
        <w:rPr>
          <w:rFonts w:ascii="Arial" w:hAnsi="Arial" w:cs="Arial"/>
          <w:sz w:val="24"/>
        </w:rPr>
        <w:t>rity with cash flow production.</w:t>
      </w:r>
    </w:p>
    <w:p w:rsidR="00E17EED" w:rsidRPr="00E17EED" w:rsidRDefault="00E17EED" w:rsidP="00E17EED">
      <w:pPr>
        <w:spacing w:line="360" w:lineRule="auto"/>
        <w:jc w:val="both"/>
        <w:rPr>
          <w:rFonts w:ascii="Arial" w:hAnsi="Arial" w:cs="Arial"/>
          <w:sz w:val="24"/>
        </w:rPr>
      </w:pPr>
      <w:r w:rsidRPr="00E17EED">
        <w:rPr>
          <w:rFonts w:ascii="Arial" w:hAnsi="Arial" w:cs="Arial"/>
          <w:sz w:val="24"/>
        </w:rPr>
        <w:t>Restructuring of conditions with lenders, including more long-term maturities or lower interest rates, could be an option with a plausible restructuring strategy. According to Ross et al. (2024), lenders are becoming more open to renegotiation in cases where firms show active restructuring e</w:t>
      </w:r>
      <w:r w:rsidR="00B32091">
        <w:rPr>
          <w:rFonts w:ascii="Arial" w:hAnsi="Arial" w:cs="Arial"/>
          <w:sz w:val="24"/>
        </w:rPr>
        <w:t>fforts and chances of recovery</w:t>
      </w:r>
      <w:proofErr w:type="gramStart"/>
      <w:r w:rsidR="00B32091">
        <w:rPr>
          <w:rFonts w:ascii="Arial" w:hAnsi="Arial" w:cs="Arial"/>
          <w:sz w:val="24"/>
        </w:rPr>
        <w:t>..</w:t>
      </w:r>
      <w:proofErr w:type="gramEnd"/>
    </w:p>
    <w:p w:rsidR="00E17EED" w:rsidRPr="00B32091" w:rsidRDefault="00E17EED" w:rsidP="006662CF">
      <w:pPr>
        <w:pStyle w:val="Heading2"/>
        <w:spacing w:after="240"/>
      </w:pPr>
      <w:bookmarkStart w:id="34" w:name="_Toc217216300"/>
      <w:r w:rsidRPr="00E17EED">
        <w:lastRenderedPageBreak/>
        <w:t>3.5 Effect on shareholder value and Operational Flexibility.</w:t>
      </w:r>
      <w:bookmarkEnd w:id="34"/>
    </w:p>
    <w:p w:rsidR="00E17EED" w:rsidRPr="00E17EED" w:rsidRDefault="006662CF" w:rsidP="006662CF">
      <w:pPr>
        <w:spacing w:after="240" w:line="360" w:lineRule="auto"/>
        <w:jc w:val="both"/>
        <w:rPr>
          <w:rFonts w:ascii="Arial" w:hAnsi="Arial" w:cs="Arial"/>
          <w:sz w:val="24"/>
        </w:rPr>
      </w:pPr>
      <w:r>
        <w:rPr>
          <w:rFonts w:ascii="Arial" w:hAnsi="Arial" w:cs="Arial"/>
          <w:sz w:val="24"/>
        </w:rPr>
        <w:t>The suggested reorganis</w:t>
      </w:r>
      <w:r w:rsidR="00E17EED" w:rsidRPr="00E17EED">
        <w:rPr>
          <w:rFonts w:ascii="Arial" w:hAnsi="Arial" w:cs="Arial"/>
          <w:sz w:val="24"/>
        </w:rPr>
        <w:t>ation solutions would have great effect on the value of shareholders and flexibility of operations. Short-term effects of equity dilution and sales of assets could depress market valuations. But in the long-term, profitability, liquidity and solvency restoration would probably increase sustainable shareholder value (Hillier et al., 2023).</w:t>
      </w:r>
    </w:p>
    <w:p w:rsidR="00E17EED" w:rsidRPr="00E17EED" w:rsidRDefault="00E17EED" w:rsidP="00E17EED">
      <w:pPr>
        <w:spacing w:line="360" w:lineRule="auto"/>
        <w:jc w:val="both"/>
        <w:rPr>
          <w:rFonts w:ascii="Arial" w:hAnsi="Arial" w:cs="Arial"/>
          <w:sz w:val="24"/>
        </w:rPr>
      </w:pPr>
      <w:r w:rsidRPr="00E17EED">
        <w:rPr>
          <w:rFonts w:ascii="Arial" w:hAnsi="Arial" w:cs="Arial"/>
          <w:sz w:val="24"/>
        </w:rPr>
        <w:t>Flexibility in the capital structure would allow General Electronics to implement strategic investments and respond to the changes in the market and to take the competitive place again. The studies show that the successful firms that have grown out of restructuring usually have better governance, stronger financial discipline, and better strateg</w:t>
      </w:r>
      <w:r w:rsidR="00B32091">
        <w:rPr>
          <w:rFonts w:ascii="Arial" w:hAnsi="Arial" w:cs="Arial"/>
          <w:sz w:val="24"/>
        </w:rPr>
        <w:t>ic focus (Altman et al., 2022).</w:t>
      </w:r>
    </w:p>
    <w:p w:rsidR="00E17EED" w:rsidRPr="00B32091" w:rsidRDefault="00E17EED" w:rsidP="006662CF">
      <w:pPr>
        <w:pStyle w:val="Heading2"/>
        <w:spacing w:after="240"/>
      </w:pPr>
      <w:bookmarkStart w:id="35" w:name="_Toc217216301"/>
      <w:r w:rsidRPr="00E17EED">
        <w:t>3.6 International and Ethical considerations.</w:t>
      </w:r>
      <w:bookmarkEnd w:id="35"/>
    </w:p>
    <w:p w:rsidR="00E17EED" w:rsidRPr="00E17EED" w:rsidRDefault="00E17EED" w:rsidP="006662CF">
      <w:pPr>
        <w:spacing w:after="240" w:line="360" w:lineRule="auto"/>
        <w:jc w:val="both"/>
        <w:rPr>
          <w:rFonts w:ascii="Arial" w:hAnsi="Arial" w:cs="Arial"/>
          <w:sz w:val="24"/>
        </w:rPr>
      </w:pPr>
      <w:r w:rsidRPr="00E17EED">
        <w:rPr>
          <w:rFonts w:ascii="Arial" w:hAnsi="Arial" w:cs="Arial"/>
          <w:sz w:val="24"/>
        </w:rPr>
        <w:t xml:space="preserve">General Electronics being a multinational company should take into account both international financial and ethical considerations in </w:t>
      </w:r>
      <w:r w:rsidR="00B32091">
        <w:rPr>
          <w:rFonts w:ascii="Arial" w:hAnsi="Arial" w:cs="Arial"/>
          <w:sz w:val="24"/>
        </w:rPr>
        <w:t>placing restructuring measures.</w:t>
      </w:r>
    </w:p>
    <w:p w:rsidR="00E17EED" w:rsidRPr="00B32091" w:rsidRDefault="00B32091" w:rsidP="00E17EED">
      <w:pPr>
        <w:spacing w:line="360" w:lineRule="auto"/>
        <w:jc w:val="both"/>
        <w:rPr>
          <w:rFonts w:ascii="Arial" w:hAnsi="Arial" w:cs="Arial"/>
          <w:b/>
          <w:sz w:val="24"/>
        </w:rPr>
      </w:pPr>
      <w:r>
        <w:rPr>
          <w:rFonts w:ascii="Arial" w:hAnsi="Arial" w:cs="Arial"/>
          <w:b/>
          <w:sz w:val="24"/>
        </w:rPr>
        <w:t>Currency and Inflation Risk</w:t>
      </w:r>
    </w:p>
    <w:p w:rsidR="00E17EED" w:rsidRPr="00E17EED" w:rsidRDefault="00E17EED" w:rsidP="00E17EED">
      <w:pPr>
        <w:spacing w:line="360" w:lineRule="auto"/>
        <w:jc w:val="both"/>
        <w:rPr>
          <w:rFonts w:ascii="Arial" w:hAnsi="Arial" w:cs="Arial"/>
          <w:sz w:val="24"/>
        </w:rPr>
      </w:pPr>
      <w:r w:rsidRPr="00E17EED">
        <w:rPr>
          <w:rFonts w:ascii="Arial" w:hAnsi="Arial" w:cs="Arial"/>
          <w:sz w:val="24"/>
        </w:rPr>
        <w:t>International business exposes the company to the risks of exchange rates and inflation. The currency risk management strategies should be included in the financial restructuring decisions, especially debt refinancing and the sale of assets, including natural hedging and selective financial hedging instruments (</w:t>
      </w:r>
      <w:proofErr w:type="spellStart"/>
      <w:r w:rsidRPr="00E17EED">
        <w:rPr>
          <w:rFonts w:ascii="Arial" w:hAnsi="Arial" w:cs="Arial"/>
          <w:sz w:val="24"/>
        </w:rPr>
        <w:t>B</w:t>
      </w:r>
      <w:r w:rsidR="00B32091">
        <w:rPr>
          <w:rFonts w:ascii="Arial" w:hAnsi="Arial" w:cs="Arial"/>
          <w:sz w:val="24"/>
        </w:rPr>
        <w:t>realey</w:t>
      </w:r>
      <w:proofErr w:type="spellEnd"/>
      <w:r w:rsidR="00B32091">
        <w:rPr>
          <w:rFonts w:ascii="Arial" w:hAnsi="Arial" w:cs="Arial"/>
          <w:sz w:val="24"/>
        </w:rPr>
        <w:t>, Myers and Allen, 2023).</w:t>
      </w:r>
    </w:p>
    <w:p w:rsidR="00E17EED" w:rsidRPr="00B32091" w:rsidRDefault="00B32091" w:rsidP="00E17EED">
      <w:pPr>
        <w:spacing w:line="360" w:lineRule="auto"/>
        <w:jc w:val="both"/>
        <w:rPr>
          <w:rFonts w:ascii="Arial" w:hAnsi="Arial" w:cs="Arial"/>
          <w:b/>
          <w:sz w:val="24"/>
        </w:rPr>
      </w:pPr>
      <w:r>
        <w:rPr>
          <w:rFonts w:ascii="Arial" w:hAnsi="Arial" w:cs="Arial"/>
          <w:b/>
          <w:sz w:val="24"/>
        </w:rPr>
        <w:t>Taxation</w:t>
      </w:r>
    </w:p>
    <w:p w:rsidR="00E17EED" w:rsidRPr="00E17EED" w:rsidRDefault="00B32091" w:rsidP="00E17EED">
      <w:pPr>
        <w:spacing w:line="360" w:lineRule="auto"/>
        <w:jc w:val="both"/>
        <w:rPr>
          <w:rFonts w:ascii="Arial" w:hAnsi="Arial" w:cs="Arial"/>
          <w:sz w:val="24"/>
        </w:rPr>
      </w:pPr>
      <w:r w:rsidRPr="00E17EED">
        <w:rPr>
          <w:rFonts w:ascii="Arial" w:hAnsi="Arial" w:cs="Arial"/>
          <w:sz w:val="24"/>
        </w:rPr>
        <w:t>Retransformation</w:t>
      </w:r>
      <w:r w:rsidR="00E17EED" w:rsidRPr="00E17EED">
        <w:rPr>
          <w:rFonts w:ascii="Arial" w:hAnsi="Arial" w:cs="Arial"/>
          <w:sz w:val="24"/>
        </w:rPr>
        <w:t xml:space="preserve"> of transactions can initiate taxable or tax-savings in cross-jurisdictional transactions. Proper tax planning is needed so that there is compliance as the aft</w:t>
      </w:r>
      <w:r w:rsidR="006662CF">
        <w:rPr>
          <w:rFonts w:ascii="Arial" w:hAnsi="Arial" w:cs="Arial"/>
          <w:sz w:val="24"/>
        </w:rPr>
        <w:t>er tax cash flows become optimis</w:t>
      </w:r>
      <w:r w:rsidR="00E17EED" w:rsidRPr="00E17EED">
        <w:rPr>
          <w:rFonts w:ascii="Arial" w:hAnsi="Arial" w:cs="Arial"/>
          <w:sz w:val="24"/>
        </w:rPr>
        <w:t>ed. The use of aggressive tax avoidance must be avoided, and it may create reputational and regulator</w:t>
      </w:r>
      <w:r>
        <w:rPr>
          <w:rFonts w:ascii="Arial" w:hAnsi="Arial" w:cs="Arial"/>
          <w:sz w:val="24"/>
        </w:rPr>
        <w:t>y risks (Hillier et al., 2023).</w:t>
      </w:r>
    </w:p>
    <w:p w:rsidR="00E17EED" w:rsidRPr="00B32091" w:rsidRDefault="00E17EED" w:rsidP="006662CF">
      <w:pPr>
        <w:pStyle w:val="Heading2"/>
        <w:spacing w:after="240"/>
      </w:pPr>
      <w:bookmarkStart w:id="36" w:name="_Toc217216302"/>
      <w:r w:rsidRPr="00E17EED">
        <w:t>Corporate Social responsibilities (CSR)</w:t>
      </w:r>
      <w:bookmarkEnd w:id="36"/>
    </w:p>
    <w:p w:rsidR="00E17EED" w:rsidRPr="00E17EED" w:rsidRDefault="00E17EED" w:rsidP="006662CF">
      <w:pPr>
        <w:spacing w:after="240" w:line="360" w:lineRule="auto"/>
        <w:jc w:val="both"/>
        <w:rPr>
          <w:rFonts w:ascii="Arial" w:hAnsi="Arial" w:cs="Arial"/>
          <w:sz w:val="24"/>
        </w:rPr>
      </w:pPr>
      <w:r w:rsidRPr="00E17EED">
        <w:rPr>
          <w:rFonts w:ascii="Arial" w:hAnsi="Arial" w:cs="Arial"/>
          <w:sz w:val="24"/>
        </w:rPr>
        <w:t xml:space="preserve">Sustainable restructuring is concerned with ethical considerations. The selling of assets and cutbacks of expenses can lead to reduction of workforce, renegotiation with suppliers </w:t>
      </w:r>
      <w:r w:rsidRPr="00E17EED">
        <w:rPr>
          <w:rFonts w:ascii="Arial" w:hAnsi="Arial" w:cs="Arial"/>
          <w:sz w:val="24"/>
        </w:rPr>
        <w:lastRenderedPageBreak/>
        <w:t>or local effects. Modern CSR models underline the fact that responsible reorganisation will increase the long-term trust of stakeholders and decrease reputational r</w:t>
      </w:r>
      <w:r w:rsidR="00B32091">
        <w:rPr>
          <w:rFonts w:ascii="Arial" w:hAnsi="Arial" w:cs="Arial"/>
          <w:sz w:val="24"/>
        </w:rPr>
        <w:t>isk (</w:t>
      </w:r>
      <w:proofErr w:type="spellStart"/>
      <w:r w:rsidR="00B32091">
        <w:rPr>
          <w:rFonts w:ascii="Arial" w:hAnsi="Arial" w:cs="Arial"/>
          <w:sz w:val="24"/>
        </w:rPr>
        <w:t>Atrill</w:t>
      </w:r>
      <w:proofErr w:type="spellEnd"/>
      <w:r w:rsidR="00B32091">
        <w:rPr>
          <w:rFonts w:ascii="Arial" w:hAnsi="Arial" w:cs="Arial"/>
          <w:sz w:val="24"/>
        </w:rPr>
        <w:t xml:space="preserve"> and </w:t>
      </w:r>
      <w:proofErr w:type="spellStart"/>
      <w:r w:rsidR="00B32091">
        <w:rPr>
          <w:rFonts w:ascii="Arial" w:hAnsi="Arial" w:cs="Arial"/>
          <w:sz w:val="24"/>
        </w:rPr>
        <w:t>McLaney</w:t>
      </w:r>
      <w:proofErr w:type="spellEnd"/>
      <w:r w:rsidR="00B32091">
        <w:rPr>
          <w:rFonts w:ascii="Arial" w:hAnsi="Arial" w:cs="Arial"/>
          <w:sz w:val="24"/>
        </w:rPr>
        <w:t>, 2024).</w:t>
      </w:r>
    </w:p>
    <w:p w:rsidR="00E17EED" w:rsidRPr="00B32091" w:rsidRDefault="00E17EED" w:rsidP="00E17EED">
      <w:pPr>
        <w:spacing w:line="360" w:lineRule="auto"/>
        <w:jc w:val="both"/>
        <w:rPr>
          <w:rFonts w:ascii="Arial" w:hAnsi="Arial" w:cs="Arial"/>
          <w:b/>
          <w:sz w:val="24"/>
        </w:rPr>
      </w:pPr>
      <w:r w:rsidRPr="00B32091">
        <w:rPr>
          <w:rFonts w:ascii="Arial" w:hAnsi="Arial" w:cs="Arial"/>
          <w:b/>
          <w:sz w:val="24"/>
        </w:rPr>
        <w:t>Critical Stocktak</w:t>
      </w:r>
      <w:r w:rsidR="00B32091">
        <w:rPr>
          <w:rFonts w:ascii="Arial" w:hAnsi="Arial" w:cs="Arial"/>
          <w:b/>
          <w:sz w:val="24"/>
        </w:rPr>
        <w:t>e of Strategy of Restructuring.</w:t>
      </w:r>
    </w:p>
    <w:p w:rsidR="00E17EED" w:rsidRPr="00E17EED" w:rsidRDefault="00E17EED" w:rsidP="00E17EED">
      <w:pPr>
        <w:spacing w:line="360" w:lineRule="auto"/>
        <w:jc w:val="both"/>
        <w:rPr>
          <w:rFonts w:ascii="Arial" w:hAnsi="Arial" w:cs="Arial"/>
          <w:sz w:val="24"/>
        </w:rPr>
      </w:pPr>
      <w:r w:rsidRPr="00E17EED">
        <w:rPr>
          <w:rFonts w:ascii="Arial" w:hAnsi="Arial" w:cs="Arial"/>
          <w:sz w:val="24"/>
        </w:rPr>
        <w:t>Most importantly, however, none of the restructuring options is effective alone. Asset divestiture enhances liquidity at the expense of strategic breadth, equity injection enhances solvency at the cost of ownership dilution, and debt restructuring relieves short-term stress with no impact on operational inefficiencies. Hence, all-inclusive restructuring strategy incorporat</w:t>
      </w:r>
      <w:r w:rsidR="00B32091">
        <w:rPr>
          <w:rFonts w:ascii="Arial" w:hAnsi="Arial" w:cs="Arial"/>
          <w:sz w:val="24"/>
        </w:rPr>
        <w:t>ing all the three is necessary.</w:t>
      </w:r>
    </w:p>
    <w:p w:rsidR="008D3CE9" w:rsidRPr="004C618C" w:rsidRDefault="00E17EED" w:rsidP="00E17EED">
      <w:pPr>
        <w:spacing w:line="360" w:lineRule="auto"/>
        <w:jc w:val="both"/>
        <w:rPr>
          <w:rFonts w:ascii="Arial" w:hAnsi="Arial" w:cs="Arial"/>
          <w:sz w:val="24"/>
        </w:rPr>
      </w:pPr>
      <w:r w:rsidRPr="00E17EED">
        <w:rPr>
          <w:rFonts w:ascii="Arial" w:hAnsi="Arial" w:cs="Arial"/>
          <w:sz w:val="24"/>
        </w:rPr>
        <w:t>To a CFO, effective implementation of the restructuring plan requires discipline, open communication with the stakeholders and alignment to the long-term strategic plans. In the absence of such integration, restructuring processes will be mere reactive processes rather than a</w:t>
      </w:r>
      <w:r w:rsidR="00B32091">
        <w:rPr>
          <w:rFonts w:ascii="Arial" w:hAnsi="Arial" w:cs="Arial"/>
          <w:sz w:val="24"/>
        </w:rPr>
        <w:t xml:space="preserve"> source of sustainable recovery</w:t>
      </w:r>
      <w:r w:rsidR="008D3CE9" w:rsidRPr="008D3CE9">
        <w:rPr>
          <w:rFonts w:ascii="Arial" w:hAnsi="Arial" w:cs="Arial"/>
          <w:sz w:val="24"/>
        </w:rPr>
        <w:t xml:space="preserve">. </w:t>
      </w:r>
    </w:p>
    <w:p w:rsidR="00BD7900" w:rsidRPr="00542D61" w:rsidRDefault="00BD7900" w:rsidP="006662CF">
      <w:pPr>
        <w:pStyle w:val="Heading1"/>
        <w:spacing w:after="240"/>
      </w:pPr>
      <w:bookmarkStart w:id="37" w:name="_Toc217216303"/>
      <w:r w:rsidRPr="00542D61">
        <w:t>4. Investment Appraisal and Capital Budgeting.</w:t>
      </w:r>
      <w:bookmarkEnd w:id="37"/>
    </w:p>
    <w:p w:rsidR="00416306" w:rsidRDefault="007B7EB8" w:rsidP="006662CF">
      <w:pPr>
        <w:spacing w:after="240" w:line="360" w:lineRule="auto"/>
        <w:jc w:val="both"/>
        <w:rPr>
          <w:rFonts w:ascii="Arial" w:hAnsi="Arial" w:cs="Arial"/>
          <w:sz w:val="24"/>
        </w:rPr>
      </w:pPr>
      <w:r w:rsidRPr="007B7EB8">
        <w:rPr>
          <w:rFonts w:ascii="Arial" w:hAnsi="Arial" w:cs="Arial"/>
          <w:sz w:val="24"/>
        </w:rPr>
        <w:t>Capital budgeting is important in financial recovery because it serves to ensure that an organization can recover its lost funds and impr</w:t>
      </w:r>
      <w:r w:rsidR="00416306">
        <w:rPr>
          <w:rFonts w:ascii="Arial" w:hAnsi="Arial" w:cs="Arial"/>
          <w:sz w:val="24"/>
        </w:rPr>
        <w:t>ove its financial performance.</w:t>
      </w:r>
    </w:p>
    <w:p w:rsidR="00416306" w:rsidRDefault="007B7EB8" w:rsidP="006662CF">
      <w:pPr>
        <w:pStyle w:val="Heading2"/>
        <w:spacing w:after="240"/>
      </w:pPr>
      <w:bookmarkStart w:id="38" w:name="_Toc217216304"/>
      <w:r w:rsidRPr="007B7EB8">
        <w:t>4.1 Significance of the Capital Budgeting in Financial Recovery</w:t>
      </w:r>
      <w:bookmarkEnd w:id="38"/>
      <w:r w:rsidRPr="007B7EB8">
        <w:t xml:space="preserve"> </w:t>
      </w:r>
    </w:p>
    <w:p w:rsidR="007B7EB8" w:rsidRPr="007B7EB8" w:rsidRDefault="007B7EB8" w:rsidP="006662CF">
      <w:pPr>
        <w:spacing w:after="240" w:line="360" w:lineRule="auto"/>
        <w:jc w:val="both"/>
        <w:rPr>
          <w:rFonts w:ascii="Arial" w:hAnsi="Arial" w:cs="Arial"/>
          <w:sz w:val="24"/>
        </w:rPr>
      </w:pPr>
      <w:r w:rsidRPr="007B7EB8">
        <w:rPr>
          <w:rFonts w:ascii="Arial" w:hAnsi="Arial" w:cs="Arial"/>
          <w:sz w:val="24"/>
        </w:rPr>
        <w:t>The significance of the capital budgeting in financial recovery is to provide assurance that an organization can reclaim its lost finances and enh</w:t>
      </w:r>
      <w:r w:rsidR="00416306">
        <w:rPr>
          <w:rFonts w:ascii="Arial" w:hAnsi="Arial" w:cs="Arial"/>
          <w:sz w:val="24"/>
        </w:rPr>
        <w:t>ance its financial performance.</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Capital budgeting decisions are more critical in companies that are in dire financial conditions, misplaced investment decisions are liable to increase the liquidity constraints and hasten the corporate failure. Modern financial management theory underlines that companies need to focus on those projects that maximise shareholder value and follow their risk-bearing capacity in case of capital rationing (</w:t>
      </w:r>
      <w:proofErr w:type="spellStart"/>
      <w:r w:rsidRPr="007B7EB8">
        <w:rPr>
          <w:rFonts w:ascii="Arial" w:hAnsi="Arial" w:cs="Arial"/>
          <w:sz w:val="24"/>
        </w:rPr>
        <w:t>Brealey</w:t>
      </w:r>
      <w:proofErr w:type="spellEnd"/>
      <w:r w:rsidRPr="007B7EB8">
        <w:rPr>
          <w:rFonts w:ascii="Arial" w:hAnsi="Arial" w:cs="Arial"/>
          <w:sz w:val="24"/>
        </w:rPr>
        <w:t>, Myers and Allen, 2023; Ross et</w:t>
      </w:r>
      <w:r w:rsidR="00416306">
        <w:rPr>
          <w:rFonts w:ascii="Arial" w:hAnsi="Arial" w:cs="Arial"/>
          <w:sz w:val="24"/>
        </w:rPr>
        <w:t xml:space="preserve"> al., 2024).</w:t>
      </w:r>
    </w:p>
    <w:p w:rsidR="00416306" w:rsidRPr="007B7EB8" w:rsidRDefault="007B7EB8" w:rsidP="007B7EB8">
      <w:pPr>
        <w:spacing w:line="360" w:lineRule="auto"/>
        <w:jc w:val="both"/>
        <w:rPr>
          <w:rFonts w:ascii="Arial" w:hAnsi="Arial" w:cs="Arial"/>
          <w:sz w:val="24"/>
        </w:rPr>
      </w:pPr>
      <w:r w:rsidRPr="007B7EB8">
        <w:rPr>
          <w:rFonts w:ascii="Arial" w:hAnsi="Arial" w:cs="Arial"/>
          <w:sz w:val="24"/>
        </w:rPr>
        <w:t xml:space="preserve">In the case of General Electronics, the poor profitability, reduction in cash reserves and the high level of solvency risk require a rigorous and informed method of investment </w:t>
      </w:r>
      <w:r w:rsidRPr="007B7EB8">
        <w:rPr>
          <w:rFonts w:ascii="Arial" w:hAnsi="Arial" w:cs="Arial"/>
          <w:sz w:val="24"/>
        </w:rPr>
        <w:lastRenderedPageBreak/>
        <w:t xml:space="preserve">appraisal. The Board has put forward three mutually exclusive investment projects that have varying cash flow profiles along with risk characteristics. The task of the CFO as the CFO is to assess these projects based on the standard appraisal methods and give a recommendation on the best investment plan with a capital limit </w:t>
      </w:r>
      <w:r w:rsidR="00416306">
        <w:rPr>
          <w:rFonts w:ascii="Arial" w:hAnsi="Arial" w:cs="Arial"/>
          <w:sz w:val="24"/>
        </w:rPr>
        <w:t>of 60 million pounds available.</w:t>
      </w:r>
    </w:p>
    <w:p w:rsidR="007B7EB8" w:rsidRPr="007B7EB8" w:rsidRDefault="007B7EB8" w:rsidP="006662CF">
      <w:pPr>
        <w:pStyle w:val="Heading2"/>
        <w:spacing w:after="240"/>
      </w:pPr>
      <w:bookmarkStart w:id="39" w:name="_Toc217216305"/>
      <w:r w:rsidRPr="007B7EB8">
        <w:t>4.2.</w:t>
      </w:r>
      <w:r w:rsidR="00416306">
        <w:t xml:space="preserve"> Overview of Proposed Projects.</w:t>
      </w:r>
      <w:bookmarkEnd w:id="39"/>
    </w:p>
    <w:p w:rsidR="007B7EB8" w:rsidRDefault="007B7EB8" w:rsidP="006662CF">
      <w:pPr>
        <w:spacing w:after="240" w:line="360" w:lineRule="auto"/>
        <w:jc w:val="both"/>
        <w:rPr>
          <w:rFonts w:ascii="Arial" w:hAnsi="Arial" w:cs="Arial"/>
          <w:sz w:val="24"/>
        </w:rPr>
      </w:pPr>
      <w:r w:rsidRPr="007B7EB8">
        <w:rPr>
          <w:rFonts w:ascii="Arial" w:hAnsi="Arial" w:cs="Arial"/>
          <w:sz w:val="24"/>
        </w:rPr>
        <w:t>The three in</w:t>
      </w:r>
      <w:r w:rsidR="00416306">
        <w:rPr>
          <w:rFonts w:ascii="Arial" w:hAnsi="Arial" w:cs="Arial"/>
          <w:sz w:val="24"/>
        </w:rPr>
        <w:t>vestment projects are as under:</w:t>
      </w:r>
    </w:p>
    <w:tbl>
      <w:tblPr>
        <w:tblStyle w:val="TableGrid"/>
        <w:tblW w:w="0" w:type="auto"/>
        <w:tblLook w:val="04A0" w:firstRow="1" w:lastRow="0" w:firstColumn="1" w:lastColumn="0" w:noHBand="0" w:noVBand="1"/>
      </w:tblPr>
      <w:tblGrid>
        <w:gridCol w:w="1332"/>
        <w:gridCol w:w="1378"/>
        <w:gridCol w:w="1328"/>
        <w:gridCol w:w="1328"/>
        <w:gridCol w:w="1328"/>
        <w:gridCol w:w="1328"/>
        <w:gridCol w:w="1328"/>
      </w:tblGrid>
      <w:tr w:rsidR="00416306" w:rsidRPr="00272B6D" w:rsidTr="00030B82">
        <w:tc>
          <w:tcPr>
            <w:tcW w:w="1335" w:type="dxa"/>
          </w:tcPr>
          <w:p w:rsidR="00416306" w:rsidRPr="00272B6D" w:rsidRDefault="00416306" w:rsidP="00030B82">
            <w:pPr>
              <w:spacing w:line="360" w:lineRule="auto"/>
              <w:jc w:val="both"/>
              <w:rPr>
                <w:rFonts w:ascii="Arial" w:hAnsi="Arial" w:cs="Arial"/>
                <w:b/>
              </w:rPr>
            </w:pPr>
            <w:r w:rsidRPr="00272B6D">
              <w:rPr>
                <w:rFonts w:ascii="Arial" w:hAnsi="Arial" w:cs="Arial"/>
                <w:b/>
              </w:rPr>
              <w:t>Project</w:t>
            </w:r>
          </w:p>
        </w:tc>
        <w:tc>
          <w:tcPr>
            <w:tcW w:w="1335" w:type="dxa"/>
          </w:tcPr>
          <w:p w:rsidR="00416306" w:rsidRPr="00272B6D" w:rsidRDefault="00416306" w:rsidP="00030B82">
            <w:pPr>
              <w:spacing w:line="360" w:lineRule="auto"/>
              <w:jc w:val="both"/>
              <w:rPr>
                <w:rFonts w:ascii="Arial" w:hAnsi="Arial" w:cs="Arial"/>
                <w:b/>
              </w:rPr>
            </w:pPr>
            <w:r w:rsidRPr="00272B6D">
              <w:rPr>
                <w:rFonts w:ascii="Arial" w:hAnsi="Arial" w:cs="Arial"/>
                <w:b/>
              </w:rPr>
              <w:t>Initial Investment (£m)</w:t>
            </w:r>
          </w:p>
        </w:tc>
        <w:tc>
          <w:tcPr>
            <w:tcW w:w="1336" w:type="dxa"/>
          </w:tcPr>
          <w:p w:rsidR="00416306" w:rsidRPr="00272B6D" w:rsidRDefault="00416306" w:rsidP="00030B82">
            <w:pPr>
              <w:spacing w:line="360" w:lineRule="auto"/>
              <w:jc w:val="both"/>
              <w:rPr>
                <w:rFonts w:ascii="Arial" w:hAnsi="Arial" w:cs="Arial"/>
                <w:b/>
              </w:rPr>
            </w:pPr>
            <w:r w:rsidRPr="00272B6D">
              <w:rPr>
                <w:rFonts w:ascii="Arial" w:hAnsi="Arial" w:cs="Arial"/>
                <w:b/>
              </w:rPr>
              <w:t>Year 1 (£m)</w:t>
            </w:r>
          </w:p>
        </w:tc>
        <w:tc>
          <w:tcPr>
            <w:tcW w:w="1336" w:type="dxa"/>
          </w:tcPr>
          <w:p w:rsidR="00416306" w:rsidRPr="00272B6D" w:rsidRDefault="00416306" w:rsidP="00030B82">
            <w:pPr>
              <w:spacing w:line="360" w:lineRule="auto"/>
              <w:jc w:val="both"/>
              <w:rPr>
                <w:rFonts w:ascii="Arial" w:hAnsi="Arial" w:cs="Arial"/>
                <w:b/>
              </w:rPr>
            </w:pPr>
            <w:r w:rsidRPr="00272B6D">
              <w:rPr>
                <w:rFonts w:ascii="Arial" w:hAnsi="Arial" w:cs="Arial"/>
                <w:b/>
              </w:rPr>
              <w:t>Year 2 (£m)</w:t>
            </w:r>
          </w:p>
        </w:tc>
        <w:tc>
          <w:tcPr>
            <w:tcW w:w="1336" w:type="dxa"/>
          </w:tcPr>
          <w:p w:rsidR="00416306" w:rsidRPr="00272B6D" w:rsidRDefault="00416306" w:rsidP="00030B82">
            <w:pPr>
              <w:spacing w:line="360" w:lineRule="auto"/>
              <w:jc w:val="both"/>
              <w:rPr>
                <w:rFonts w:ascii="Arial" w:hAnsi="Arial" w:cs="Arial"/>
                <w:b/>
              </w:rPr>
            </w:pPr>
            <w:r w:rsidRPr="00272B6D">
              <w:rPr>
                <w:rFonts w:ascii="Arial" w:hAnsi="Arial" w:cs="Arial"/>
                <w:b/>
              </w:rPr>
              <w:t>Year 3 (£m)</w:t>
            </w:r>
          </w:p>
        </w:tc>
        <w:tc>
          <w:tcPr>
            <w:tcW w:w="1336" w:type="dxa"/>
          </w:tcPr>
          <w:p w:rsidR="00416306" w:rsidRPr="00272B6D" w:rsidRDefault="00416306" w:rsidP="00030B82">
            <w:pPr>
              <w:spacing w:line="360" w:lineRule="auto"/>
              <w:jc w:val="both"/>
              <w:rPr>
                <w:rFonts w:ascii="Arial" w:hAnsi="Arial" w:cs="Arial"/>
                <w:b/>
              </w:rPr>
            </w:pPr>
            <w:r w:rsidRPr="00272B6D">
              <w:rPr>
                <w:rFonts w:ascii="Arial" w:hAnsi="Arial" w:cs="Arial"/>
                <w:b/>
              </w:rPr>
              <w:t>Year 4 (£m)</w:t>
            </w:r>
          </w:p>
        </w:tc>
        <w:tc>
          <w:tcPr>
            <w:tcW w:w="1336" w:type="dxa"/>
          </w:tcPr>
          <w:p w:rsidR="00416306" w:rsidRPr="00272B6D" w:rsidRDefault="00416306" w:rsidP="00030B82">
            <w:pPr>
              <w:spacing w:line="360" w:lineRule="auto"/>
              <w:jc w:val="both"/>
              <w:rPr>
                <w:rFonts w:ascii="Arial" w:hAnsi="Arial" w:cs="Arial"/>
                <w:b/>
              </w:rPr>
            </w:pPr>
            <w:r w:rsidRPr="00272B6D">
              <w:rPr>
                <w:rFonts w:ascii="Arial" w:hAnsi="Arial" w:cs="Arial"/>
                <w:b/>
              </w:rPr>
              <w:t>Year 5 (£m)</w:t>
            </w:r>
          </w:p>
        </w:tc>
      </w:tr>
      <w:tr w:rsidR="00416306" w:rsidRPr="00272B6D" w:rsidTr="00030B82">
        <w:tc>
          <w:tcPr>
            <w:tcW w:w="1335" w:type="dxa"/>
          </w:tcPr>
          <w:p w:rsidR="00416306" w:rsidRPr="00272B6D" w:rsidRDefault="00416306" w:rsidP="00030B82">
            <w:pPr>
              <w:spacing w:line="360" w:lineRule="auto"/>
              <w:jc w:val="both"/>
              <w:rPr>
                <w:rFonts w:ascii="Arial" w:hAnsi="Arial" w:cs="Arial"/>
              </w:rPr>
            </w:pPr>
            <w:r w:rsidRPr="00272B6D">
              <w:rPr>
                <w:rFonts w:ascii="Arial" w:hAnsi="Arial" w:cs="Arial"/>
              </w:rPr>
              <w:t>A</w:t>
            </w:r>
          </w:p>
        </w:tc>
        <w:tc>
          <w:tcPr>
            <w:tcW w:w="1335" w:type="dxa"/>
          </w:tcPr>
          <w:p w:rsidR="00416306" w:rsidRPr="00272B6D" w:rsidRDefault="00416306" w:rsidP="00030B82">
            <w:pPr>
              <w:spacing w:line="360" w:lineRule="auto"/>
              <w:jc w:val="both"/>
              <w:rPr>
                <w:rFonts w:ascii="Arial" w:hAnsi="Arial" w:cs="Arial"/>
              </w:rPr>
            </w:pPr>
            <w:r w:rsidRPr="00272B6D">
              <w:rPr>
                <w:rFonts w:ascii="Arial" w:hAnsi="Arial" w:cs="Arial"/>
              </w:rPr>
              <w:t>40</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10</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12</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14</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10</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8</w:t>
            </w:r>
          </w:p>
        </w:tc>
      </w:tr>
      <w:tr w:rsidR="00416306" w:rsidRPr="00272B6D" w:rsidTr="00030B82">
        <w:tc>
          <w:tcPr>
            <w:tcW w:w="1335" w:type="dxa"/>
          </w:tcPr>
          <w:p w:rsidR="00416306" w:rsidRPr="00272B6D" w:rsidRDefault="00416306" w:rsidP="00030B82">
            <w:pPr>
              <w:spacing w:line="360" w:lineRule="auto"/>
              <w:jc w:val="both"/>
              <w:rPr>
                <w:rFonts w:ascii="Arial" w:hAnsi="Arial" w:cs="Arial"/>
              </w:rPr>
            </w:pPr>
            <w:r w:rsidRPr="00272B6D">
              <w:rPr>
                <w:rFonts w:ascii="Arial" w:hAnsi="Arial" w:cs="Arial"/>
              </w:rPr>
              <w:t>B</w:t>
            </w:r>
          </w:p>
        </w:tc>
        <w:tc>
          <w:tcPr>
            <w:tcW w:w="1335" w:type="dxa"/>
          </w:tcPr>
          <w:p w:rsidR="00416306" w:rsidRPr="00272B6D" w:rsidRDefault="00416306" w:rsidP="00030B82">
            <w:pPr>
              <w:spacing w:line="360" w:lineRule="auto"/>
              <w:jc w:val="both"/>
              <w:rPr>
                <w:rFonts w:ascii="Arial" w:hAnsi="Arial" w:cs="Arial"/>
              </w:rPr>
            </w:pPr>
            <w:r w:rsidRPr="00272B6D">
              <w:rPr>
                <w:rFonts w:ascii="Arial" w:hAnsi="Arial" w:cs="Arial"/>
              </w:rPr>
              <w:t>30</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6</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6</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6</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6</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6</w:t>
            </w:r>
          </w:p>
        </w:tc>
      </w:tr>
      <w:tr w:rsidR="00416306" w:rsidRPr="00272B6D" w:rsidTr="00030B82">
        <w:tc>
          <w:tcPr>
            <w:tcW w:w="1335" w:type="dxa"/>
          </w:tcPr>
          <w:p w:rsidR="00416306" w:rsidRPr="00272B6D" w:rsidRDefault="00416306" w:rsidP="00030B82">
            <w:pPr>
              <w:spacing w:line="360" w:lineRule="auto"/>
              <w:jc w:val="both"/>
              <w:rPr>
                <w:rFonts w:ascii="Arial" w:hAnsi="Arial" w:cs="Arial"/>
              </w:rPr>
            </w:pPr>
            <w:r w:rsidRPr="00272B6D">
              <w:rPr>
                <w:rFonts w:ascii="Arial" w:hAnsi="Arial" w:cs="Arial"/>
              </w:rPr>
              <w:t>C</w:t>
            </w:r>
          </w:p>
        </w:tc>
        <w:tc>
          <w:tcPr>
            <w:tcW w:w="1335" w:type="dxa"/>
          </w:tcPr>
          <w:p w:rsidR="00416306" w:rsidRPr="00272B6D" w:rsidRDefault="00416306" w:rsidP="00030B82">
            <w:pPr>
              <w:spacing w:line="360" w:lineRule="auto"/>
              <w:jc w:val="both"/>
              <w:rPr>
                <w:rFonts w:ascii="Arial" w:hAnsi="Arial" w:cs="Arial"/>
              </w:rPr>
            </w:pPr>
            <w:r w:rsidRPr="00272B6D">
              <w:rPr>
                <w:rFonts w:ascii="Arial" w:hAnsi="Arial" w:cs="Arial"/>
              </w:rPr>
              <w:t>50</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5</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10</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20</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25</w:t>
            </w:r>
          </w:p>
        </w:tc>
        <w:tc>
          <w:tcPr>
            <w:tcW w:w="1336" w:type="dxa"/>
          </w:tcPr>
          <w:p w:rsidR="00416306" w:rsidRPr="00272B6D" w:rsidRDefault="00416306" w:rsidP="00030B82">
            <w:pPr>
              <w:spacing w:line="360" w:lineRule="auto"/>
              <w:jc w:val="both"/>
              <w:rPr>
                <w:rFonts w:ascii="Arial" w:hAnsi="Arial" w:cs="Arial"/>
              </w:rPr>
            </w:pPr>
            <w:r w:rsidRPr="00272B6D">
              <w:rPr>
                <w:rFonts w:ascii="Arial" w:hAnsi="Arial" w:cs="Arial"/>
              </w:rPr>
              <w:t>15</w:t>
            </w:r>
          </w:p>
        </w:tc>
      </w:tr>
    </w:tbl>
    <w:p w:rsidR="00416306" w:rsidRPr="007B7EB8" w:rsidRDefault="00416306" w:rsidP="007B7EB8">
      <w:pPr>
        <w:spacing w:line="360" w:lineRule="auto"/>
        <w:jc w:val="both"/>
        <w:rPr>
          <w:rFonts w:ascii="Arial" w:hAnsi="Arial" w:cs="Arial"/>
          <w:sz w:val="24"/>
        </w:rPr>
      </w:pPr>
    </w:p>
    <w:p w:rsidR="007B7EB8" w:rsidRPr="00416306" w:rsidRDefault="007B7EB8" w:rsidP="007B7EB8">
      <w:pPr>
        <w:spacing w:line="360" w:lineRule="auto"/>
        <w:jc w:val="both"/>
        <w:rPr>
          <w:rFonts w:ascii="Arial" w:hAnsi="Arial" w:cs="Arial"/>
          <w:b/>
          <w:sz w:val="24"/>
        </w:rPr>
      </w:pPr>
      <w:r w:rsidRPr="00416306">
        <w:rPr>
          <w:rFonts w:ascii="Arial" w:hAnsi="Arial" w:cs="Arial"/>
          <w:b/>
          <w:sz w:val="24"/>
        </w:rPr>
        <w:t>Project A:</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Initial investment: £40m</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Cash inflows (Years 1–</w:t>
      </w:r>
      <w:r w:rsidR="00416306">
        <w:rPr>
          <w:rFonts w:ascii="Arial" w:hAnsi="Arial" w:cs="Arial"/>
          <w:sz w:val="24"/>
        </w:rPr>
        <w:t xml:space="preserve">5): £10m, £12m, £14m, £10m, </w:t>
      </w:r>
      <w:proofErr w:type="gramStart"/>
      <w:r w:rsidR="00416306">
        <w:rPr>
          <w:rFonts w:ascii="Arial" w:hAnsi="Arial" w:cs="Arial"/>
          <w:sz w:val="24"/>
        </w:rPr>
        <w:t>£</w:t>
      </w:r>
      <w:proofErr w:type="gramEnd"/>
      <w:r w:rsidR="00416306">
        <w:rPr>
          <w:rFonts w:ascii="Arial" w:hAnsi="Arial" w:cs="Arial"/>
          <w:sz w:val="24"/>
        </w:rPr>
        <w:t>8m</w:t>
      </w:r>
    </w:p>
    <w:p w:rsidR="007B7EB8" w:rsidRPr="00416306" w:rsidRDefault="007B7EB8" w:rsidP="007B7EB8">
      <w:pPr>
        <w:spacing w:line="360" w:lineRule="auto"/>
        <w:jc w:val="both"/>
        <w:rPr>
          <w:rFonts w:ascii="Arial" w:hAnsi="Arial" w:cs="Arial"/>
          <w:b/>
          <w:sz w:val="24"/>
        </w:rPr>
      </w:pPr>
      <w:r w:rsidRPr="00416306">
        <w:rPr>
          <w:rFonts w:ascii="Arial" w:hAnsi="Arial" w:cs="Arial"/>
          <w:b/>
          <w:sz w:val="24"/>
        </w:rPr>
        <w:t>Project B:</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Initial investment: £30m</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Cash inflo</w:t>
      </w:r>
      <w:r w:rsidR="00416306">
        <w:rPr>
          <w:rFonts w:ascii="Arial" w:hAnsi="Arial" w:cs="Arial"/>
          <w:sz w:val="24"/>
        </w:rPr>
        <w:t>ws (Years 1-5): £ 6m/year.</w:t>
      </w:r>
    </w:p>
    <w:p w:rsidR="007B7EB8" w:rsidRPr="00416306" w:rsidRDefault="007B7EB8" w:rsidP="007B7EB8">
      <w:pPr>
        <w:spacing w:line="360" w:lineRule="auto"/>
        <w:jc w:val="both"/>
        <w:rPr>
          <w:rFonts w:ascii="Arial" w:hAnsi="Arial" w:cs="Arial"/>
          <w:b/>
          <w:sz w:val="24"/>
        </w:rPr>
      </w:pPr>
      <w:r w:rsidRPr="00416306">
        <w:rPr>
          <w:rFonts w:ascii="Arial" w:hAnsi="Arial" w:cs="Arial"/>
          <w:b/>
          <w:sz w:val="24"/>
        </w:rPr>
        <w:t>Project C:</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Initial investment: £50m</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Cash inflows (Years 1–</w:t>
      </w:r>
      <w:r w:rsidR="00416306">
        <w:rPr>
          <w:rFonts w:ascii="Arial" w:hAnsi="Arial" w:cs="Arial"/>
          <w:sz w:val="24"/>
        </w:rPr>
        <w:t xml:space="preserve">5): £5m, £10m, £20m, £25m, </w:t>
      </w:r>
      <w:proofErr w:type="gramStart"/>
      <w:r w:rsidR="00416306">
        <w:rPr>
          <w:rFonts w:ascii="Arial" w:hAnsi="Arial" w:cs="Arial"/>
          <w:sz w:val="24"/>
        </w:rPr>
        <w:t>£</w:t>
      </w:r>
      <w:proofErr w:type="gramEnd"/>
      <w:r w:rsidR="00416306">
        <w:rPr>
          <w:rFonts w:ascii="Arial" w:hAnsi="Arial" w:cs="Arial"/>
          <w:sz w:val="24"/>
        </w:rPr>
        <w:t>15m</w:t>
      </w:r>
    </w:p>
    <w:p w:rsidR="00416306" w:rsidRPr="007B7EB8" w:rsidRDefault="007B7EB8" w:rsidP="007B7EB8">
      <w:pPr>
        <w:spacing w:line="360" w:lineRule="auto"/>
        <w:jc w:val="both"/>
        <w:rPr>
          <w:rFonts w:ascii="Arial" w:hAnsi="Arial" w:cs="Arial"/>
          <w:sz w:val="24"/>
        </w:rPr>
      </w:pPr>
      <w:r w:rsidRPr="007B7EB8">
        <w:rPr>
          <w:rFonts w:ascii="Arial" w:hAnsi="Arial" w:cs="Arial"/>
          <w:sz w:val="24"/>
        </w:rPr>
        <w:t>The discount rate is 10 per cent, which is in tandem with the estimated weighted average cost of capital of the firm. ARR assumes the existence of a stra</w:t>
      </w:r>
      <w:r w:rsidR="00F72FE3">
        <w:rPr>
          <w:rFonts w:ascii="Arial" w:hAnsi="Arial" w:cs="Arial"/>
          <w:sz w:val="24"/>
        </w:rPr>
        <w:t>ight-line depreciation to zero.</w:t>
      </w:r>
    </w:p>
    <w:p w:rsidR="007B7EB8" w:rsidRPr="006662CF" w:rsidRDefault="007B7EB8" w:rsidP="006662CF">
      <w:pPr>
        <w:pStyle w:val="Heading2"/>
        <w:spacing w:after="240"/>
      </w:pPr>
      <w:bookmarkStart w:id="40" w:name="_Toc217216306"/>
      <w:r w:rsidRPr="007B7EB8">
        <w:lastRenderedPageBreak/>
        <w:t>4.3 Payback Period (PBP)</w:t>
      </w:r>
      <w:bookmarkEnd w:id="40"/>
    </w:p>
    <w:p w:rsidR="007B7EB8" w:rsidRPr="007B7EB8" w:rsidRDefault="007B7EB8" w:rsidP="006662CF">
      <w:pPr>
        <w:spacing w:after="240" w:line="360" w:lineRule="auto"/>
        <w:jc w:val="both"/>
        <w:rPr>
          <w:rFonts w:ascii="Arial" w:hAnsi="Arial" w:cs="Arial"/>
          <w:sz w:val="24"/>
        </w:rPr>
      </w:pPr>
      <w:r w:rsidRPr="007B7EB8">
        <w:rPr>
          <w:rFonts w:ascii="Arial" w:hAnsi="Arial" w:cs="Arial"/>
          <w:sz w:val="24"/>
        </w:rPr>
        <w:t>Payback period is the period in which the cumulative inflows of cash can be used to recoup the initial investment. Even though it does not take time value of money and post-payback cash flow into account, it can be used to evaluate the liquidity risk in distressed fi</w:t>
      </w:r>
      <w:r w:rsidR="008A645B">
        <w:rPr>
          <w:rFonts w:ascii="Arial" w:hAnsi="Arial" w:cs="Arial"/>
          <w:sz w:val="24"/>
        </w:rPr>
        <w:t>rms (</w:t>
      </w:r>
      <w:proofErr w:type="spellStart"/>
      <w:r w:rsidR="008A645B">
        <w:rPr>
          <w:rFonts w:ascii="Arial" w:hAnsi="Arial" w:cs="Arial"/>
          <w:sz w:val="24"/>
        </w:rPr>
        <w:t>Atrill</w:t>
      </w:r>
      <w:proofErr w:type="spellEnd"/>
      <w:r w:rsidR="008A645B">
        <w:rPr>
          <w:rFonts w:ascii="Arial" w:hAnsi="Arial" w:cs="Arial"/>
          <w:sz w:val="24"/>
        </w:rPr>
        <w:t xml:space="preserve"> and </w:t>
      </w:r>
      <w:proofErr w:type="spellStart"/>
      <w:r w:rsidR="008A645B">
        <w:rPr>
          <w:rFonts w:ascii="Arial" w:hAnsi="Arial" w:cs="Arial"/>
          <w:sz w:val="24"/>
        </w:rPr>
        <w:t>McLaney</w:t>
      </w:r>
      <w:proofErr w:type="spellEnd"/>
      <w:r w:rsidR="008A645B">
        <w:rPr>
          <w:rFonts w:ascii="Arial" w:hAnsi="Arial" w:cs="Arial"/>
          <w:sz w:val="24"/>
        </w:rPr>
        <w:t>, 2024).</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Project A: The payback p</w:t>
      </w:r>
      <w:r w:rsidR="008A645B">
        <w:rPr>
          <w:rFonts w:ascii="Arial" w:hAnsi="Arial" w:cs="Arial"/>
          <w:sz w:val="24"/>
        </w:rPr>
        <w:t>eriod is between Years 3 and 4.</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 xml:space="preserve">Project B: The payback </w:t>
      </w:r>
      <w:r w:rsidR="008A645B">
        <w:rPr>
          <w:rFonts w:ascii="Arial" w:hAnsi="Arial" w:cs="Arial"/>
          <w:sz w:val="24"/>
        </w:rPr>
        <w:t>is at the conclusion of Year 5.</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Pr</w:t>
      </w:r>
      <w:r w:rsidR="008A645B">
        <w:rPr>
          <w:rFonts w:ascii="Arial" w:hAnsi="Arial" w:cs="Arial"/>
          <w:sz w:val="24"/>
        </w:rPr>
        <w:t>oject C: Payback: after Year 3.</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Project A and Project C are better in terms of liquidity compared to Project B. The long payback period of Project B, however, is not as attractive considering the liquidity constraints Genera</w:t>
      </w:r>
      <w:r w:rsidR="008A645B">
        <w:rPr>
          <w:rFonts w:ascii="Arial" w:hAnsi="Arial" w:cs="Arial"/>
          <w:sz w:val="24"/>
        </w:rPr>
        <w:t>l Electronics is going through.</w:t>
      </w:r>
    </w:p>
    <w:p w:rsidR="008A645B" w:rsidRDefault="007B7EB8" w:rsidP="007B7EB8">
      <w:pPr>
        <w:spacing w:line="360" w:lineRule="auto"/>
        <w:jc w:val="both"/>
        <w:rPr>
          <w:rFonts w:ascii="Arial" w:hAnsi="Arial" w:cs="Arial"/>
          <w:sz w:val="24"/>
        </w:rPr>
      </w:pPr>
      <w:r w:rsidRPr="007B7EB8">
        <w:rPr>
          <w:rFonts w:ascii="Arial" w:hAnsi="Arial" w:cs="Arial"/>
          <w:sz w:val="24"/>
        </w:rPr>
        <w:t>The ARR measures the value of a specific project and is calculated by dividing profits by the a</w:t>
      </w:r>
      <w:r w:rsidR="008A645B">
        <w:rPr>
          <w:rFonts w:ascii="Arial" w:hAnsi="Arial" w:cs="Arial"/>
          <w:sz w:val="24"/>
        </w:rPr>
        <w:t>verage sales price.</w:t>
      </w:r>
    </w:p>
    <w:p w:rsidR="008A645B" w:rsidRDefault="007B7EB8" w:rsidP="006662CF">
      <w:pPr>
        <w:pStyle w:val="Heading2"/>
        <w:spacing w:after="240"/>
      </w:pPr>
      <w:bookmarkStart w:id="41" w:name="_Toc217216307"/>
      <w:r w:rsidRPr="007B7EB8">
        <w:t>4.4 Accounting Rate of Return (ARR)</w:t>
      </w:r>
      <w:bookmarkEnd w:id="41"/>
      <w:r w:rsidRPr="007B7EB8">
        <w:t xml:space="preserve"> </w:t>
      </w:r>
    </w:p>
    <w:p w:rsidR="007B7EB8" w:rsidRPr="007B7EB8" w:rsidRDefault="007B7EB8" w:rsidP="006662CF">
      <w:pPr>
        <w:spacing w:after="240" w:line="360" w:lineRule="auto"/>
        <w:jc w:val="both"/>
        <w:rPr>
          <w:rFonts w:ascii="Arial" w:hAnsi="Arial" w:cs="Arial"/>
          <w:sz w:val="24"/>
        </w:rPr>
      </w:pPr>
      <w:r w:rsidRPr="007B7EB8">
        <w:rPr>
          <w:rFonts w:ascii="Arial" w:hAnsi="Arial" w:cs="Arial"/>
          <w:sz w:val="24"/>
        </w:rPr>
        <w:t>The ARR is used to measure the worth of a particular project and is determined by dividing prof</w:t>
      </w:r>
      <w:r w:rsidR="008A645B">
        <w:rPr>
          <w:rFonts w:ascii="Arial" w:hAnsi="Arial" w:cs="Arial"/>
          <w:sz w:val="24"/>
        </w:rPr>
        <w:t>its by the average sales price.</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ARR measures the relationship of average accounting profit to average investment. Although it is computed on the accounting data instead of on cash flows, it gives an understanding of the reported profitability that can affect how investors are perceived (</w:t>
      </w:r>
      <w:proofErr w:type="spellStart"/>
      <w:r w:rsidRPr="007B7EB8">
        <w:rPr>
          <w:rFonts w:ascii="Arial" w:hAnsi="Arial" w:cs="Arial"/>
          <w:sz w:val="24"/>
        </w:rPr>
        <w:t>B</w:t>
      </w:r>
      <w:r w:rsidR="008A645B">
        <w:rPr>
          <w:rFonts w:ascii="Arial" w:hAnsi="Arial" w:cs="Arial"/>
          <w:sz w:val="24"/>
        </w:rPr>
        <w:t>realey</w:t>
      </w:r>
      <w:proofErr w:type="spellEnd"/>
      <w:r w:rsidR="008A645B">
        <w:rPr>
          <w:rFonts w:ascii="Arial" w:hAnsi="Arial" w:cs="Arial"/>
          <w:sz w:val="24"/>
        </w:rPr>
        <w:t>, Myers and Allen, 2023).</w:t>
      </w:r>
    </w:p>
    <w:p w:rsidR="007B7EB8" w:rsidRDefault="007B7EB8" w:rsidP="007B7EB8">
      <w:pPr>
        <w:spacing w:line="360" w:lineRule="auto"/>
        <w:jc w:val="both"/>
        <w:rPr>
          <w:rFonts w:ascii="Arial" w:hAnsi="Arial" w:cs="Arial"/>
          <w:sz w:val="24"/>
        </w:rPr>
      </w:pPr>
      <w:r w:rsidRPr="007B7EB8">
        <w:rPr>
          <w:rFonts w:ascii="Arial" w:hAnsi="Arial" w:cs="Arial"/>
          <w:sz w:val="24"/>
        </w:rPr>
        <w:t>According to straight-line dep</w:t>
      </w:r>
      <w:r w:rsidR="008A645B">
        <w:rPr>
          <w:rFonts w:ascii="Arial" w:hAnsi="Arial" w:cs="Arial"/>
          <w:sz w:val="24"/>
        </w:rPr>
        <w:t>reciation:</w:t>
      </w:r>
    </w:p>
    <w:p w:rsidR="008A645B" w:rsidRPr="00272B6D" w:rsidRDefault="008A645B" w:rsidP="008A645B">
      <w:pPr>
        <w:spacing w:line="360" w:lineRule="auto"/>
        <w:jc w:val="center"/>
        <w:rPr>
          <w:rFonts w:ascii="Arial" w:hAnsi="Arial" w:cs="Arial"/>
          <w:sz w:val="24"/>
          <w:szCs w:val="24"/>
          <w:lang w:eastAsia="en-GB"/>
        </w:rPr>
      </w:pPr>
      <w:r w:rsidRPr="00272B6D">
        <w:rPr>
          <w:rFonts w:ascii="Arial" w:hAnsi="Arial" w:cs="Arial"/>
          <w:sz w:val="24"/>
        </w:rPr>
        <w:t xml:space="preserve">ARR= </w:t>
      </w:r>
      <m:oMath>
        <m:f>
          <m:fPr>
            <m:ctrlPr>
              <w:rPr>
                <w:rFonts w:ascii="Cambria Math" w:hAnsi="Cambria Math" w:cs="Arial"/>
                <w:i/>
                <w:sz w:val="24"/>
                <w:szCs w:val="24"/>
              </w:rPr>
            </m:ctrlPr>
          </m:fPr>
          <m:num>
            <m:r>
              <w:rPr>
                <w:rFonts w:ascii="Cambria Math" w:hAnsi="Cambria Math" w:cs="Arial"/>
                <w:sz w:val="24"/>
                <w:szCs w:val="24"/>
              </w:rPr>
              <m:t xml:space="preserve">Average Accounting Profit </m:t>
            </m:r>
          </m:num>
          <m:den>
            <m:r>
              <w:rPr>
                <w:rFonts w:ascii="Cambria Math" w:hAnsi="Cambria Math" w:cs="Arial"/>
                <w:sz w:val="24"/>
                <w:szCs w:val="24"/>
              </w:rPr>
              <m:t>Initial Investment</m:t>
            </m:r>
          </m:den>
        </m:f>
        <m:r>
          <w:rPr>
            <w:rFonts w:ascii="Cambria Math" w:hAnsi="Cambria Math" w:cs="Arial"/>
            <w:sz w:val="24"/>
            <w:szCs w:val="24"/>
          </w:rPr>
          <m:t>x100</m:t>
        </m:r>
      </m:oMath>
    </w:p>
    <w:p w:rsidR="008A645B" w:rsidRPr="00272B6D" w:rsidRDefault="008A645B" w:rsidP="008A645B">
      <w:pPr>
        <w:spacing w:line="360" w:lineRule="auto"/>
        <w:jc w:val="both"/>
        <w:rPr>
          <w:rFonts w:ascii="Arial" w:hAnsi="Arial" w:cs="Arial"/>
          <w:b/>
          <w:sz w:val="24"/>
        </w:rPr>
      </w:pPr>
      <w:r w:rsidRPr="00272B6D">
        <w:rPr>
          <w:rFonts w:ascii="Arial" w:hAnsi="Arial" w:cs="Arial"/>
          <w:b/>
          <w:sz w:val="24"/>
        </w:rPr>
        <w:t>Depreciation:</w:t>
      </w:r>
    </w:p>
    <w:p w:rsidR="008A645B" w:rsidRPr="00272B6D" w:rsidRDefault="008A645B" w:rsidP="008A645B">
      <w:pPr>
        <w:numPr>
          <w:ilvl w:val="0"/>
          <w:numId w:val="3"/>
        </w:numPr>
        <w:spacing w:line="360" w:lineRule="auto"/>
        <w:contextualSpacing/>
        <w:jc w:val="both"/>
        <w:rPr>
          <w:rFonts w:ascii="Arial" w:hAnsi="Arial" w:cs="Arial"/>
          <w:sz w:val="24"/>
        </w:rPr>
      </w:pPr>
      <w:r w:rsidRPr="00272B6D">
        <w:rPr>
          <w:rFonts w:ascii="Arial" w:hAnsi="Arial" w:cs="Arial"/>
          <w:sz w:val="24"/>
        </w:rPr>
        <w:t>Project A: £40m/5 = £8m per year</w:t>
      </w:r>
    </w:p>
    <w:p w:rsidR="008A645B" w:rsidRPr="00272B6D" w:rsidRDefault="008A645B" w:rsidP="008A645B">
      <w:pPr>
        <w:numPr>
          <w:ilvl w:val="0"/>
          <w:numId w:val="3"/>
        </w:numPr>
        <w:spacing w:line="360" w:lineRule="auto"/>
        <w:contextualSpacing/>
        <w:jc w:val="both"/>
        <w:rPr>
          <w:rFonts w:ascii="Arial" w:hAnsi="Arial" w:cs="Arial"/>
          <w:sz w:val="24"/>
        </w:rPr>
      </w:pPr>
      <w:r w:rsidRPr="00272B6D">
        <w:rPr>
          <w:rFonts w:ascii="Arial" w:hAnsi="Arial" w:cs="Arial"/>
          <w:sz w:val="24"/>
        </w:rPr>
        <w:t>Project B: £30m/5 = £6m per year</w:t>
      </w:r>
    </w:p>
    <w:p w:rsidR="008A645B" w:rsidRPr="00272B6D" w:rsidRDefault="008A645B" w:rsidP="008A645B">
      <w:pPr>
        <w:numPr>
          <w:ilvl w:val="0"/>
          <w:numId w:val="3"/>
        </w:numPr>
        <w:spacing w:line="360" w:lineRule="auto"/>
        <w:contextualSpacing/>
        <w:jc w:val="both"/>
        <w:rPr>
          <w:rFonts w:ascii="Arial" w:hAnsi="Arial" w:cs="Arial"/>
          <w:sz w:val="24"/>
        </w:rPr>
      </w:pPr>
      <w:r w:rsidRPr="00272B6D">
        <w:rPr>
          <w:rFonts w:ascii="Arial" w:hAnsi="Arial" w:cs="Arial"/>
          <w:sz w:val="24"/>
        </w:rPr>
        <w:lastRenderedPageBreak/>
        <w:t>Project C: £50m/5 = £10m per year</w:t>
      </w:r>
    </w:p>
    <w:p w:rsidR="008A645B" w:rsidRPr="00272B6D" w:rsidRDefault="008A645B" w:rsidP="008A645B">
      <w:pPr>
        <w:spacing w:line="360" w:lineRule="auto"/>
        <w:jc w:val="both"/>
        <w:rPr>
          <w:rFonts w:ascii="Arial" w:hAnsi="Arial" w:cs="Arial"/>
          <w:b/>
          <w:sz w:val="24"/>
        </w:rPr>
      </w:pPr>
      <w:r w:rsidRPr="00272B6D">
        <w:rPr>
          <w:rFonts w:ascii="Arial" w:hAnsi="Arial" w:cs="Arial"/>
          <w:b/>
          <w:sz w:val="24"/>
        </w:rPr>
        <w:t>Average Accounting Profit:</w:t>
      </w:r>
    </w:p>
    <w:p w:rsidR="008A645B" w:rsidRPr="00272B6D" w:rsidRDefault="008A645B" w:rsidP="008A645B">
      <w:pPr>
        <w:numPr>
          <w:ilvl w:val="0"/>
          <w:numId w:val="4"/>
        </w:numPr>
        <w:spacing w:line="360" w:lineRule="auto"/>
        <w:contextualSpacing/>
        <w:jc w:val="both"/>
        <w:rPr>
          <w:rFonts w:ascii="Arial" w:hAnsi="Arial" w:cs="Arial"/>
          <w:sz w:val="24"/>
        </w:rPr>
      </w:pPr>
      <w:r w:rsidRPr="00272B6D">
        <w:rPr>
          <w:rFonts w:ascii="Arial" w:hAnsi="Arial" w:cs="Arial"/>
          <w:sz w:val="24"/>
        </w:rPr>
        <w:t>Project A: [(10−8) +(12−8) +(14−8) +(10−8) +(8−8)] /5 = 2.8 → ARR = 7%</w:t>
      </w:r>
    </w:p>
    <w:p w:rsidR="008A645B" w:rsidRPr="00272B6D" w:rsidRDefault="008A645B" w:rsidP="008A645B">
      <w:pPr>
        <w:numPr>
          <w:ilvl w:val="0"/>
          <w:numId w:val="4"/>
        </w:numPr>
        <w:spacing w:line="360" w:lineRule="auto"/>
        <w:contextualSpacing/>
        <w:jc w:val="both"/>
        <w:rPr>
          <w:rFonts w:ascii="Arial" w:hAnsi="Arial" w:cs="Arial"/>
          <w:sz w:val="24"/>
        </w:rPr>
      </w:pPr>
      <w:r w:rsidRPr="00272B6D">
        <w:rPr>
          <w:rFonts w:ascii="Arial" w:hAnsi="Arial" w:cs="Arial"/>
          <w:sz w:val="24"/>
        </w:rPr>
        <w:t>Project B: [(6−6) +(6−6) +(6−6) +(6−6) +(6−6)] /5 = 0 → ARR = 0%</w:t>
      </w:r>
    </w:p>
    <w:p w:rsidR="008A645B" w:rsidRPr="00272B6D" w:rsidRDefault="008A645B" w:rsidP="008A645B">
      <w:pPr>
        <w:numPr>
          <w:ilvl w:val="0"/>
          <w:numId w:val="4"/>
        </w:numPr>
        <w:spacing w:line="360" w:lineRule="auto"/>
        <w:contextualSpacing/>
        <w:jc w:val="both"/>
        <w:rPr>
          <w:rFonts w:ascii="Arial" w:hAnsi="Arial" w:cs="Arial"/>
          <w:sz w:val="24"/>
        </w:rPr>
      </w:pPr>
      <w:r w:rsidRPr="00272B6D">
        <w:rPr>
          <w:rFonts w:ascii="Arial" w:hAnsi="Arial" w:cs="Arial"/>
          <w:sz w:val="24"/>
        </w:rPr>
        <w:t>Project C: [(5−10) +(10−10) +(20−10) +(25−10) +(15−10)] /5 = 5 → ARR = 10%</w:t>
      </w:r>
    </w:p>
    <w:p w:rsidR="008A645B" w:rsidRPr="007B7EB8" w:rsidRDefault="008A645B" w:rsidP="007B7EB8">
      <w:pPr>
        <w:spacing w:line="360" w:lineRule="auto"/>
        <w:jc w:val="both"/>
        <w:rPr>
          <w:rFonts w:ascii="Arial" w:hAnsi="Arial" w:cs="Arial"/>
          <w:sz w:val="24"/>
        </w:rPr>
      </w:pPr>
    </w:p>
    <w:p w:rsidR="007B7EB8" w:rsidRPr="007B7EB8" w:rsidRDefault="008A645B" w:rsidP="007B7EB8">
      <w:pPr>
        <w:spacing w:line="360" w:lineRule="auto"/>
        <w:jc w:val="both"/>
        <w:rPr>
          <w:rFonts w:ascii="Arial" w:hAnsi="Arial" w:cs="Arial"/>
          <w:sz w:val="24"/>
        </w:rPr>
      </w:pPr>
      <w:r>
        <w:rPr>
          <w:rFonts w:ascii="Arial" w:hAnsi="Arial" w:cs="Arial"/>
          <w:sz w:val="24"/>
        </w:rPr>
        <w:t>Project A: Moderate ARR</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Project B: Low ARR bec</w:t>
      </w:r>
      <w:r w:rsidR="008A645B">
        <w:rPr>
          <w:rFonts w:ascii="Arial" w:hAnsi="Arial" w:cs="Arial"/>
          <w:sz w:val="24"/>
        </w:rPr>
        <w:t>ause it has low annual returns.</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Project C: Best ARR, indicating int</w:t>
      </w:r>
      <w:r w:rsidR="008A645B">
        <w:rPr>
          <w:rFonts w:ascii="Arial" w:hAnsi="Arial" w:cs="Arial"/>
          <w:sz w:val="24"/>
        </w:rPr>
        <w:t>ense cash flows late in a year.</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The ARR rankings place project C at the top, meaning it has a better accounting profitability th</w:t>
      </w:r>
      <w:r w:rsidR="008A645B">
        <w:rPr>
          <w:rFonts w:ascii="Arial" w:hAnsi="Arial" w:cs="Arial"/>
          <w:sz w:val="24"/>
        </w:rPr>
        <w:t>roughout its life.</w:t>
      </w:r>
    </w:p>
    <w:p w:rsidR="007B7EB8" w:rsidRPr="007B7EB8" w:rsidRDefault="00D57925" w:rsidP="007B7EB8">
      <w:pPr>
        <w:spacing w:line="360" w:lineRule="auto"/>
        <w:jc w:val="both"/>
        <w:rPr>
          <w:rFonts w:ascii="Arial" w:hAnsi="Arial" w:cs="Arial"/>
          <w:sz w:val="24"/>
        </w:rPr>
      </w:pPr>
      <w:r>
        <w:rPr>
          <w:rFonts w:ascii="Arial" w:hAnsi="Arial" w:cs="Arial"/>
          <w:sz w:val="24"/>
        </w:rPr>
        <w:t>4.5 Net Present Value (NPV)</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NPV is considered one of the most theoretically sound investment appraisal techniques because it directly assesses a value creation by discounting future cash flows at the cost of capital o</w:t>
      </w:r>
      <w:r w:rsidR="00D57925">
        <w:rPr>
          <w:rFonts w:ascii="Arial" w:hAnsi="Arial" w:cs="Arial"/>
          <w:sz w:val="24"/>
        </w:rPr>
        <w:t>f the firm (Ross et al., 2024).</w:t>
      </w:r>
    </w:p>
    <w:p w:rsidR="007B7EB8" w:rsidRDefault="00D57925" w:rsidP="007B7EB8">
      <w:pPr>
        <w:spacing w:line="360" w:lineRule="auto"/>
        <w:jc w:val="both"/>
        <w:rPr>
          <w:rFonts w:ascii="Arial" w:hAnsi="Arial" w:cs="Arial"/>
          <w:sz w:val="24"/>
        </w:rPr>
      </w:pPr>
      <w:r>
        <w:rPr>
          <w:rFonts w:ascii="Arial" w:hAnsi="Arial" w:cs="Arial"/>
          <w:sz w:val="24"/>
        </w:rPr>
        <w:t>Applying a 10% discount rate:</w:t>
      </w:r>
    </w:p>
    <w:p w:rsidR="00D57925" w:rsidRPr="00272B6D" w:rsidRDefault="00D57925" w:rsidP="00D57925">
      <w:pPr>
        <w:spacing w:line="360" w:lineRule="auto"/>
        <w:jc w:val="both"/>
        <w:rPr>
          <w:rFonts w:ascii="Arial" w:hAnsi="Arial" w:cs="Arial"/>
          <w:sz w:val="24"/>
        </w:rPr>
      </w:pPr>
      <w:r w:rsidRPr="00272B6D">
        <w:rPr>
          <w:rFonts w:ascii="Arial" w:hAnsi="Arial" w:cs="Arial"/>
          <w:sz w:val="24"/>
        </w:rPr>
        <w:t>NPV accounts for time value of money, discounting cash inflows at 10%:</w:t>
      </w:r>
    </w:p>
    <w:p w:rsidR="00D57925" w:rsidRPr="00272B6D" w:rsidRDefault="00D57925" w:rsidP="00D57925">
      <w:pPr>
        <w:spacing w:line="360" w:lineRule="auto"/>
        <w:jc w:val="center"/>
        <w:rPr>
          <w:rFonts w:ascii="Arial" w:hAnsi="Arial" w:cs="Arial"/>
          <w:sz w:val="32"/>
        </w:rPr>
      </w:pPr>
      <w:r w:rsidRPr="00272B6D">
        <w:rPr>
          <w:rFonts w:ascii="Arial" w:hAnsi="Arial" w:cs="Arial"/>
          <w:sz w:val="32"/>
        </w:rPr>
        <w:t xml:space="preserve">NPV= </w:t>
      </w:r>
      <m:oMath>
        <m:nary>
          <m:naryPr>
            <m:chr m:val="∑"/>
            <m:limLoc m:val="undOvr"/>
            <m:ctrlPr>
              <w:rPr>
                <w:rFonts w:ascii="Cambria Math" w:hAnsi="Cambria Math" w:cs="Arial"/>
                <w:i/>
                <w:sz w:val="32"/>
              </w:rPr>
            </m:ctrlPr>
          </m:naryPr>
          <m:sub>
            <m:r>
              <w:rPr>
                <w:rFonts w:ascii="Cambria Math" w:hAnsi="Cambria Math" w:cs="Arial"/>
                <w:sz w:val="32"/>
              </w:rPr>
              <m:t>t=1</m:t>
            </m:r>
          </m:sub>
          <m:sup>
            <m:r>
              <w:rPr>
                <w:rFonts w:ascii="Cambria Math" w:hAnsi="Cambria Math" w:cs="Arial"/>
                <w:sz w:val="32"/>
              </w:rPr>
              <m:t>n</m:t>
            </m:r>
          </m:sup>
          <m:e>
            <m:f>
              <m:fPr>
                <m:ctrlPr>
                  <w:rPr>
                    <w:rFonts w:ascii="Cambria Math" w:hAnsi="Cambria Math" w:cs="Arial"/>
                    <w:i/>
                    <w:sz w:val="32"/>
                  </w:rPr>
                </m:ctrlPr>
              </m:fPr>
              <m:num>
                <m:r>
                  <w:rPr>
                    <w:rFonts w:ascii="Cambria Math" w:hAnsi="Cambria Math" w:cs="Arial"/>
                    <w:sz w:val="32"/>
                  </w:rPr>
                  <m:t>CFt</m:t>
                </m:r>
              </m:num>
              <m:den>
                <m:d>
                  <m:dPr>
                    <m:ctrlPr>
                      <w:rPr>
                        <w:rFonts w:ascii="Cambria Math" w:hAnsi="Cambria Math" w:cs="Arial"/>
                        <w:i/>
                        <w:sz w:val="32"/>
                      </w:rPr>
                    </m:ctrlPr>
                  </m:dPr>
                  <m:e>
                    <m:r>
                      <w:rPr>
                        <w:rFonts w:ascii="Cambria Math" w:hAnsi="Cambria Math" w:cs="Arial"/>
                        <w:sz w:val="32"/>
                      </w:rPr>
                      <m:t>1+r</m:t>
                    </m:r>
                  </m:e>
                </m:d>
                <m:r>
                  <w:rPr>
                    <w:rFonts w:ascii="Cambria Math" w:hAnsi="Cambria Math" w:cs="Arial"/>
                    <w:sz w:val="32"/>
                  </w:rPr>
                  <m:t>t</m:t>
                </m:r>
              </m:den>
            </m:f>
          </m:e>
        </m:nary>
        <m:r>
          <m:rPr>
            <m:sty m:val="b"/>
          </m:rPr>
          <w:rPr>
            <w:rFonts w:ascii="Cambria Math" w:hAnsi="Cambria Math"/>
            <w:sz w:val="28"/>
          </w:rPr>
          <m:t>-</m:t>
        </m:r>
        <m:r>
          <m:rPr>
            <m:sty m:val="p"/>
          </m:rPr>
          <w:rPr>
            <w:rFonts w:ascii="Cambria Math" w:hAnsi="Cambria Math"/>
            <w:sz w:val="28"/>
          </w:rPr>
          <m:t>Initial Investment</m:t>
        </m:r>
      </m:oMath>
    </w:p>
    <w:p w:rsidR="00D57925" w:rsidRPr="00272B6D" w:rsidRDefault="00D57925" w:rsidP="00D57925">
      <w:pPr>
        <w:spacing w:line="360" w:lineRule="auto"/>
        <w:jc w:val="both"/>
        <w:rPr>
          <w:rFonts w:ascii="Arial" w:hAnsi="Arial" w:cs="Arial"/>
          <w:b/>
          <w:sz w:val="24"/>
        </w:rPr>
      </w:pPr>
      <w:r w:rsidRPr="00272B6D">
        <w:rPr>
          <w:rFonts w:ascii="Arial" w:hAnsi="Arial" w:cs="Arial"/>
          <w:b/>
          <w:sz w:val="24"/>
        </w:rPr>
        <w:t>Project A:</w:t>
      </w:r>
    </w:p>
    <w:p w:rsidR="00D57925" w:rsidRPr="00272B6D" w:rsidRDefault="00D57925" w:rsidP="00D57925">
      <w:pPr>
        <w:numPr>
          <w:ilvl w:val="0"/>
          <w:numId w:val="5"/>
        </w:numPr>
        <w:spacing w:line="360" w:lineRule="auto"/>
        <w:contextualSpacing/>
        <w:jc w:val="both"/>
        <w:rPr>
          <w:rFonts w:ascii="Arial" w:hAnsi="Arial" w:cs="Arial"/>
          <w:sz w:val="24"/>
        </w:rPr>
      </w:pPr>
      <w:r w:rsidRPr="00272B6D">
        <w:rPr>
          <w:rFonts w:ascii="Arial" w:hAnsi="Arial" w:cs="Arial"/>
          <w:sz w:val="24"/>
        </w:rPr>
        <w:t>Year 1: 10 / 1.1 = 9.09</w:t>
      </w:r>
    </w:p>
    <w:p w:rsidR="00D57925" w:rsidRPr="00272B6D" w:rsidRDefault="00D57925" w:rsidP="00D57925">
      <w:pPr>
        <w:numPr>
          <w:ilvl w:val="0"/>
          <w:numId w:val="5"/>
        </w:numPr>
        <w:spacing w:line="360" w:lineRule="auto"/>
        <w:contextualSpacing/>
        <w:jc w:val="both"/>
        <w:rPr>
          <w:rFonts w:ascii="Arial" w:hAnsi="Arial" w:cs="Arial"/>
          <w:sz w:val="24"/>
        </w:rPr>
      </w:pPr>
      <w:r w:rsidRPr="00272B6D">
        <w:rPr>
          <w:rFonts w:ascii="Arial" w:hAnsi="Arial" w:cs="Arial"/>
          <w:sz w:val="24"/>
        </w:rPr>
        <w:t>Year 2: 12 / 1.1² = 9.9</w:t>
      </w:r>
    </w:p>
    <w:p w:rsidR="00D57925" w:rsidRPr="00272B6D" w:rsidRDefault="00D57925" w:rsidP="00D57925">
      <w:pPr>
        <w:numPr>
          <w:ilvl w:val="0"/>
          <w:numId w:val="5"/>
        </w:numPr>
        <w:spacing w:line="360" w:lineRule="auto"/>
        <w:contextualSpacing/>
        <w:jc w:val="both"/>
        <w:rPr>
          <w:rFonts w:ascii="Arial" w:hAnsi="Arial" w:cs="Arial"/>
          <w:sz w:val="24"/>
        </w:rPr>
      </w:pPr>
      <w:r w:rsidRPr="00272B6D">
        <w:rPr>
          <w:rFonts w:ascii="Arial" w:hAnsi="Arial" w:cs="Arial"/>
          <w:sz w:val="24"/>
        </w:rPr>
        <w:t>Year 3: 14 / 1.1³ = 10.52</w:t>
      </w:r>
    </w:p>
    <w:p w:rsidR="00D57925" w:rsidRPr="00272B6D" w:rsidRDefault="00D57925" w:rsidP="00D57925">
      <w:pPr>
        <w:numPr>
          <w:ilvl w:val="0"/>
          <w:numId w:val="5"/>
        </w:numPr>
        <w:spacing w:line="360" w:lineRule="auto"/>
        <w:contextualSpacing/>
        <w:jc w:val="both"/>
        <w:rPr>
          <w:rFonts w:ascii="Arial" w:hAnsi="Arial" w:cs="Arial"/>
          <w:sz w:val="24"/>
        </w:rPr>
      </w:pPr>
      <w:r w:rsidRPr="00272B6D">
        <w:rPr>
          <w:rFonts w:ascii="Arial" w:hAnsi="Arial" w:cs="Arial"/>
          <w:sz w:val="24"/>
        </w:rPr>
        <w:t>Year 4: 10 / 1.1⁴ = 6.83</w:t>
      </w:r>
    </w:p>
    <w:p w:rsidR="00D57925" w:rsidRPr="00272B6D" w:rsidRDefault="00D57925" w:rsidP="00D57925">
      <w:pPr>
        <w:numPr>
          <w:ilvl w:val="0"/>
          <w:numId w:val="5"/>
        </w:numPr>
        <w:spacing w:line="360" w:lineRule="auto"/>
        <w:contextualSpacing/>
        <w:jc w:val="both"/>
        <w:rPr>
          <w:rFonts w:ascii="Arial" w:hAnsi="Arial" w:cs="Arial"/>
          <w:sz w:val="24"/>
        </w:rPr>
      </w:pPr>
      <w:r w:rsidRPr="00272B6D">
        <w:rPr>
          <w:rFonts w:ascii="Arial" w:hAnsi="Arial" w:cs="Arial"/>
          <w:sz w:val="24"/>
        </w:rPr>
        <w:t>Year 5: 8 / 1.1⁵ = 4.97</w:t>
      </w:r>
    </w:p>
    <w:p w:rsidR="00D57925" w:rsidRPr="00272B6D" w:rsidRDefault="00D57925" w:rsidP="00D57925">
      <w:pPr>
        <w:spacing w:line="360" w:lineRule="auto"/>
        <w:jc w:val="both"/>
        <w:rPr>
          <w:rFonts w:ascii="Arial" w:hAnsi="Arial" w:cs="Arial"/>
          <w:b/>
          <w:sz w:val="24"/>
        </w:rPr>
      </w:pPr>
      <w:r w:rsidRPr="00272B6D">
        <w:rPr>
          <w:rFonts w:ascii="Arial" w:hAnsi="Arial" w:cs="Arial"/>
          <w:b/>
          <w:sz w:val="24"/>
        </w:rPr>
        <w:t>NPV ≈ £1.33m</w:t>
      </w:r>
    </w:p>
    <w:p w:rsidR="00D57925" w:rsidRPr="00272B6D" w:rsidRDefault="00D57925" w:rsidP="00D57925">
      <w:pPr>
        <w:spacing w:line="360" w:lineRule="auto"/>
        <w:jc w:val="both"/>
        <w:rPr>
          <w:rFonts w:ascii="Arial" w:hAnsi="Arial" w:cs="Arial"/>
          <w:b/>
          <w:sz w:val="24"/>
        </w:rPr>
      </w:pPr>
      <w:r w:rsidRPr="00272B6D">
        <w:rPr>
          <w:rFonts w:ascii="Arial" w:hAnsi="Arial" w:cs="Arial"/>
          <w:b/>
          <w:sz w:val="24"/>
        </w:rPr>
        <w:lastRenderedPageBreak/>
        <w:t>Project B:</w:t>
      </w:r>
    </w:p>
    <w:p w:rsidR="00D57925" w:rsidRPr="00272B6D" w:rsidRDefault="00D57925" w:rsidP="00D57925">
      <w:pPr>
        <w:spacing w:line="360" w:lineRule="auto"/>
        <w:jc w:val="both"/>
        <w:rPr>
          <w:rFonts w:ascii="Arial" w:hAnsi="Arial" w:cs="Arial"/>
          <w:sz w:val="24"/>
        </w:rPr>
      </w:pPr>
      <w:r w:rsidRPr="00272B6D">
        <w:rPr>
          <w:rFonts w:ascii="Arial" w:hAnsi="Arial" w:cs="Arial"/>
          <w:sz w:val="24"/>
        </w:rPr>
        <w:t>PV of inflows = 6 /1.1 + 6 /1.1² + … + 6 /1.1⁵ ≈ 22.75</w:t>
      </w:r>
    </w:p>
    <w:p w:rsidR="00D57925" w:rsidRPr="00272B6D" w:rsidRDefault="00D57925" w:rsidP="00D57925">
      <w:pPr>
        <w:spacing w:line="360" w:lineRule="auto"/>
        <w:jc w:val="both"/>
        <w:rPr>
          <w:rFonts w:ascii="Arial" w:hAnsi="Arial" w:cs="Arial"/>
          <w:sz w:val="24"/>
        </w:rPr>
      </w:pPr>
      <w:r w:rsidRPr="00272B6D">
        <w:rPr>
          <w:rFonts w:ascii="Arial" w:hAnsi="Arial" w:cs="Arial"/>
          <w:sz w:val="24"/>
        </w:rPr>
        <w:t>NPV = 22.75 − 30 ≈ −£7.25m</w:t>
      </w:r>
    </w:p>
    <w:p w:rsidR="00D57925" w:rsidRPr="00272B6D" w:rsidRDefault="00D57925" w:rsidP="00D57925">
      <w:pPr>
        <w:spacing w:line="360" w:lineRule="auto"/>
        <w:jc w:val="both"/>
        <w:rPr>
          <w:rFonts w:ascii="Arial" w:hAnsi="Arial" w:cs="Arial"/>
          <w:b/>
          <w:sz w:val="24"/>
        </w:rPr>
      </w:pPr>
      <w:r w:rsidRPr="00272B6D">
        <w:rPr>
          <w:rFonts w:ascii="Arial" w:hAnsi="Arial" w:cs="Arial"/>
          <w:b/>
          <w:sz w:val="24"/>
        </w:rPr>
        <w:t>Project C:</w:t>
      </w:r>
    </w:p>
    <w:p w:rsidR="00D57925" w:rsidRPr="00272B6D" w:rsidRDefault="00D57925" w:rsidP="00D57925">
      <w:pPr>
        <w:spacing w:line="360" w:lineRule="auto"/>
        <w:jc w:val="both"/>
        <w:rPr>
          <w:rFonts w:ascii="Arial" w:hAnsi="Arial" w:cs="Arial"/>
          <w:sz w:val="24"/>
        </w:rPr>
      </w:pPr>
      <w:r w:rsidRPr="00272B6D">
        <w:rPr>
          <w:rFonts w:ascii="Arial" w:hAnsi="Arial" w:cs="Arial"/>
          <w:sz w:val="24"/>
        </w:rPr>
        <w:t>PV of inflows = 5 /1.1 + 10 /1.1² + 20 /1.1³ + 25 /1.1⁴ + 15 /1.1⁵ ≈ 54.23</w:t>
      </w:r>
    </w:p>
    <w:p w:rsidR="007B7EB8" w:rsidRPr="007B7EB8" w:rsidRDefault="00D57925" w:rsidP="007B7EB8">
      <w:pPr>
        <w:spacing w:line="360" w:lineRule="auto"/>
        <w:jc w:val="both"/>
        <w:rPr>
          <w:rFonts w:ascii="Arial" w:hAnsi="Arial" w:cs="Arial"/>
          <w:sz w:val="24"/>
        </w:rPr>
      </w:pPr>
      <w:r w:rsidRPr="00272B6D">
        <w:rPr>
          <w:rFonts w:ascii="Arial" w:hAnsi="Arial" w:cs="Arial"/>
          <w:sz w:val="24"/>
        </w:rPr>
        <w:t>NPV = 54.23 − 50 ≈ £4.23m</w:t>
      </w:r>
    </w:p>
    <w:p w:rsidR="007B7EB8" w:rsidRPr="00D57925" w:rsidRDefault="007B7EB8" w:rsidP="006662CF">
      <w:pPr>
        <w:pStyle w:val="Heading2"/>
        <w:spacing w:after="240"/>
      </w:pPr>
      <w:bookmarkStart w:id="42" w:name="_Toc217216308"/>
      <w:r w:rsidRPr="007B7EB8">
        <w:t>4.6 Internal Rate of Return (IRR)</w:t>
      </w:r>
      <w:bookmarkEnd w:id="42"/>
    </w:p>
    <w:p w:rsidR="007B7EB8" w:rsidRDefault="007B7EB8" w:rsidP="006662CF">
      <w:pPr>
        <w:spacing w:after="240" w:line="360" w:lineRule="auto"/>
        <w:jc w:val="both"/>
        <w:rPr>
          <w:rFonts w:ascii="Arial" w:hAnsi="Arial" w:cs="Arial"/>
          <w:sz w:val="24"/>
        </w:rPr>
      </w:pPr>
      <w:r w:rsidRPr="007B7EB8">
        <w:rPr>
          <w:rFonts w:ascii="Arial" w:hAnsi="Arial" w:cs="Arial"/>
          <w:sz w:val="24"/>
        </w:rPr>
        <w:t>IRR is a discount rate where NPV is zero. It is also often applied because of its intuitive interpretation, and may be deceptive when comparing projects of different si</w:t>
      </w:r>
      <w:r w:rsidR="00D57925">
        <w:rPr>
          <w:rFonts w:ascii="Arial" w:hAnsi="Arial" w:cs="Arial"/>
          <w:sz w:val="24"/>
        </w:rPr>
        <w:t>zes (</w:t>
      </w:r>
      <w:proofErr w:type="spellStart"/>
      <w:r w:rsidR="00D57925">
        <w:rPr>
          <w:rFonts w:ascii="Arial" w:hAnsi="Arial" w:cs="Arial"/>
          <w:sz w:val="24"/>
        </w:rPr>
        <w:t>Atrill</w:t>
      </w:r>
      <w:proofErr w:type="spellEnd"/>
      <w:r w:rsidR="00D57925">
        <w:rPr>
          <w:rFonts w:ascii="Arial" w:hAnsi="Arial" w:cs="Arial"/>
          <w:sz w:val="24"/>
        </w:rPr>
        <w:t xml:space="preserve"> and </w:t>
      </w:r>
      <w:proofErr w:type="spellStart"/>
      <w:r w:rsidR="00D57925">
        <w:rPr>
          <w:rFonts w:ascii="Arial" w:hAnsi="Arial" w:cs="Arial"/>
          <w:sz w:val="24"/>
        </w:rPr>
        <w:t>McLaney</w:t>
      </w:r>
      <w:proofErr w:type="spellEnd"/>
      <w:r w:rsidR="00D57925">
        <w:rPr>
          <w:rFonts w:ascii="Arial" w:hAnsi="Arial" w:cs="Arial"/>
          <w:sz w:val="24"/>
        </w:rPr>
        <w:t>, 2024).</w:t>
      </w:r>
    </w:p>
    <w:p w:rsidR="007B7EB8" w:rsidRPr="007B7EB8" w:rsidRDefault="00D57925" w:rsidP="007B7EB8">
      <w:pPr>
        <w:spacing w:line="360" w:lineRule="auto"/>
        <w:jc w:val="both"/>
        <w:rPr>
          <w:rFonts w:ascii="Arial" w:hAnsi="Arial" w:cs="Arial"/>
          <w:sz w:val="24"/>
        </w:rPr>
      </w:pPr>
      <w:r>
        <w:rPr>
          <w:rFonts w:ascii="Arial" w:hAnsi="Arial" w:cs="Arial"/>
          <w:sz w:val="24"/>
        </w:rPr>
        <w:t>Project A: IRR above 10%</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Project B: IRR is nearl</w:t>
      </w:r>
      <w:r w:rsidR="00D57925">
        <w:rPr>
          <w:rFonts w:ascii="Arial" w:hAnsi="Arial" w:cs="Arial"/>
          <w:sz w:val="24"/>
        </w:rPr>
        <w:t>y equal to the cost of capital.</w:t>
      </w:r>
    </w:p>
    <w:p w:rsidR="007B7EB8" w:rsidRPr="007B7EB8" w:rsidRDefault="00D57925" w:rsidP="007B7EB8">
      <w:pPr>
        <w:spacing w:line="360" w:lineRule="auto"/>
        <w:jc w:val="both"/>
        <w:rPr>
          <w:rFonts w:ascii="Arial" w:hAnsi="Arial" w:cs="Arial"/>
          <w:sz w:val="24"/>
        </w:rPr>
      </w:pPr>
      <w:r>
        <w:rPr>
          <w:rFonts w:ascii="Arial" w:hAnsi="Arial" w:cs="Arial"/>
          <w:sz w:val="24"/>
        </w:rPr>
        <w:t>Project C: Highest IRR</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Although Project C is again the best, it would not be fair to use IRR as a sole evaluation criteria given the capital constraint and the differences in th</w:t>
      </w:r>
      <w:r w:rsidR="00D57925">
        <w:rPr>
          <w:rFonts w:ascii="Arial" w:hAnsi="Arial" w:cs="Arial"/>
          <w:sz w:val="24"/>
        </w:rPr>
        <w:t>e size of projects of the firm.</w:t>
      </w:r>
    </w:p>
    <w:p w:rsidR="007B7EB8" w:rsidRPr="007B7EB8" w:rsidRDefault="00C9224E" w:rsidP="007B7EB8">
      <w:pPr>
        <w:spacing w:line="360" w:lineRule="auto"/>
        <w:jc w:val="both"/>
        <w:rPr>
          <w:rFonts w:ascii="Arial" w:hAnsi="Arial" w:cs="Arial"/>
          <w:sz w:val="24"/>
        </w:rPr>
      </w:pPr>
      <w:r>
        <w:rPr>
          <w:rFonts w:ascii="Arial" w:hAnsi="Arial" w:cs="Arial"/>
          <w:sz w:val="24"/>
        </w:rPr>
        <w:t>4.7 Profitability Index (PI)</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The profitability Index is a ratio of inflows using the present value of the inflows divided by the initial investment, which is effective in capital rationing circumstances (Hillier et al., 2023).</w:t>
      </w:r>
    </w:p>
    <w:p w:rsidR="00C9224E" w:rsidRPr="00272B6D" w:rsidRDefault="00C9224E" w:rsidP="00C9224E">
      <w:pPr>
        <w:spacing w:line="360" w:lineRule="auto"/>
        <w:jc w:val="center"/>
        <w:rPr>
          <w:rFonts w:ascii="Arial" w:hAnsi="Arial" w:cs="Arial"/>
          <w:sz w:val="28"/>
          <w:szCs w:val="28"/>
        </w:rPr>
      </w:pPr>
      <w:r w:rsidRPr="00272B6D">
        <w:rPr>
          <w:rFonts w:ascii="Arial" w:hAnsi="Arial" w:cs="Arial"/>
          <w:sz w:val="28"/>
          <w:szCs w:val="28"/>
        </w:rPr>
        <w:t xml:space="preserve">PI= </w:t>
      </w:r>
      <m:oMath>
        <m:f>
          <m:fPr>
            <m:ctrlPr>
              <w:rPr>
                <w:rFonts w:ascii="Cambria Math" w:hAnsi="Cambria Math" w:cs="Arial"/>
                <w:i/>
                <w:sz w:val="28"/>
                <w:szCs w:val="28"/>
              </w:rPr>
            </m:ctrlPr>
          </m:fPr>
          <m:num>
            <m:r>
              <w:rPr>
                <w:rFonts w:ascii="Cambria Math" w:hAnsi="Cambria Math" w:cs="Arial"/>
                <w:sz w:val="28"/>
                <w:szCs w:val="28"/>
              </w:rPr>
              <m:t>PV of cash inflows</m:t>
            </m:r>
          </m:num>
          <m:den>
            <m:r>
              <w:rPr>
                <w:rFonts w:ascii="Cambria Math" w:hAnsi="Cambria Math" w:cs="Arial"/>
                <w:sz w:val="28"/>
                <w:szCs w:val="28"/>
              </w:rPr>
              <m:t>Initial Investment</m:t>
            </m:r>
          </m:den>
        </m:f>
      </m:oMath>
    </w:p>
    <w:p w:rsidR="00C9224E" w:rsidRPr="00272B6D" w:rsidRDefault="00C9224E" w:rsidP="00C9224E">
      <w:pPr>
        <w:numPr>
          <w:ilvl w:val="0"/>
          <w:numId w:val="6"/>
        </w:numPr>
        <w:spacing w:line="360" w:lineRule="auto"/>
        <w:contextualSpacing/>
        <w:jc w:val="both"/>
        <w:rPr>
          <w:rFonts w:ascii="Arial" w:hAnsi="Arial" w:cs="Arial"/>
          <w:sz w:val="24"/>
        </w:rPr>
      </w:pPr>
      <w:r w:rsidRPr="00272B6D">
        <w:rPr>
          <w:rFonts w:ascii="Arial" w:hAnsi="Arial" w:cs="Arial"/>
          <w:sz w:val="24"/>
        </w:rPr>
        <w:t>Project A: 41.33/40 ≈ 1.033</w:t>
      </w:r>
    </w:p>
    <w:p w:rsidR="00C9224E" w:rsidRPr="00272B6D" w:rsidRDefault="00C9224E" w:rsidP="00C9224E">
      <w:pPr>
        <w:numPr>
          <w:ilvl w:val="0"/>
          <w:numId w:val="6"/>
        </w:numPr>
        <w:spacing w:line="360" w:lineRule="auto"/>
        <w:contextualSpacing/>
        <w:jc w:val="both"/>
        <w:rPr>
          <w:rFonts w:ascii="Arial" w:hAnsi="Arial" w:cs="Arial"/>
          <w:sz w:val="24"/>
        </w:rPr>
      </w:pPr>
      <w:r w:rsidRPr="00272B6D">
        <w:rPr>
          <w:rFonts w:ascii="Arial" w:hAnsi="Arial" w:cs="Arial"/>
          <w:sz w:val="24"/>
        </w:rPr>
        <w:t>Project B: 22.75/30 ≈ 0.758</w:t>
      </w:r>
    </w:p>
    <w:p w:rsidR="007B7EB8" w:rsidRPr="00BB5C88" w:rsidRDefault="00C9224E" w:rsidP="007B7EB8">
      <w:pPr>
        <w:numPr>
          <w:ilvl w:val="0"/>
          <w:numId w:val="6"/>
        </w:numPr>
        <w:spacing w:line="360" w:lineRule="auto"/>
        <w:contextualSpacing/>
        <w:jc w:val="both"/>
        <w:rPr>
          <w:rFonts w:ascii="Arial" w:hAnsi="Arial" w:cs="Arial"/>
          <w:sz w:val="24"/>
        </w:rPr>
      </w:pPr>
      <w:r w:rsidRPr="00272B6D">
        <w:rPr>
          <w:rFonts w:ascii="Arial" w:hAnsi="Arial" w:cs="Arial"/>
          <w:sz w:val="24"/>
        </w:rPr>
        <w:t>Project C: 54.23/50 ≈ 1.085</w:t>
      </w:r>
    </w:p>
    <w:p w:rsidR="007B7EB8" w:rsidRPr="007B7EB8" w:rsidRDefault="00F72FE3" w:rsidP="007B7EB8">
      <w:pPr>
        <w:spacing w:line="360" w:lineRule="auto"/>
        <w:jc w:val="both"/>
        <w:rPr>
          <w:rFonts w:ascii="Arial" w:hAnsi="Arial" w:cs="Arial"/>
          <w:sz w:val="24"/>
        </w:rPr>
      </w:pPr>
      <w:r>
        <w:rPr>
          <w:rFonts w:ascii="Arial" w:hAnsi="Arial" w:cs="Arial"/>
          <w:sz w:val="24"/>
        </w:rPr>
        <w:t>Project A: PI &gt; 1</w:t>
      </w:r>
    </w:p>
    <w:p w:rsidR="007B7EB8" w:rsidRPr="007B7EB8" w:rsidRDefault="00BB5C88" w:rsidP="007B7EB8">
      <w:pPr>
        <w:spacing w:line="360" w:lineRule="auto"/>
        <w:jc w:val="both"/>
        <w:rPr>
          <w:rFonts w:ascii="Arial" w:hAnsi="Arial" w:cs="Arial"/>
          <w:sz w:val="24"/>
        </w:rPr>
      </w:pPr>
      <w:r>
        <w:rPr>
          <w:rFonts w:ascii="Arial" w:hAnsi="Arial" w:cs="Arial"/>
          <w:sz w:val="24"/>
        </w:rPr>
        <w:lastRenderedPageBreak/>
        <w:t>Project B: PI marginally &gt; 1</w:t>
      </w:r>
    </w:p>
    <w:p w:rsidR="007B7EB8" w:rsidRPr="007B7EB8" w:rsidRDefault="00BB5C88" w:rsidP="007B7EB8">
      <w:pPr>
        <w:spacing w:line="360" w:lineRule="auto"/>
        <w:jc w:val="both"/>
        <w:rPr>
          <w:rFonts w:ascii="Arial" w:hAnsi="Arial" w:cs="Arial"/>
          <w:sz w:val="24"/>
        </w:rPr>
      </w:pPr>
      <w:r>
        <w:rPr>
          <w:rFonts w:ascii="Arial" w:hAnsi="Arial" w:cs="Arial"/>
          <w:sz w:val="24"/>
        </w:rPr>
        <w:t>Project C: Highest PI</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 xml:space="preserve">Project C is the most attractive project in terms of value per pound invested and hence it is more attractive where there </w:t>
      </w:r>
      <w:r w:rsidR="00BB5C88">
        <w:rPr>
          <w:rFonts w:ascii="Arial" w:hAnsi="Arial" w:cs="Arial"/>
          <w:sz w:val="24"/>
        </w:rPr>
        <w:t>is a limited amount of capital.</w:t>
      </w:r>
    </w:p>
    <w:p w:rsidR="007B7EB8" w:rsidRPr="007B7EB8" w:rsidRDefault="007B7EB8" w:rsidP="006662CF">
      <w:pPr>
        <w:pStyle w:val="Heading2"/>
        <w:spacing w:before="0"/>
      </w:pPr>
      <w:bookmarkStart w:id="43" w:name="_Toc217216309"/>
      <w:r w:rsidRPr="007B7EB8">
        <w:t>4.8 Decision of Cap</w:t>
      </w:r>
      <w:r w:rsidR="00F67AB6">
        <w:t>ital Rationing (60m Constraint)</w:t>
      </w:r>
      <w:bookmarkEnd w:id="43"/>
    </w:p>
    <w:p w:rsidR="007B7EB8" w:rsidRPr="007B7EB8" w:rsidRDefault="007B7EB8" w:rsidP="006662CF">
      <w:pPr>
        <w:spacing w:line="360" w:lineRule="auto"/>
        <w:jc w:val="both"/>
        <w:rPr>
          <w:rFonts w:ascii="Arial" w:hAnsi="Arial" w:cs="Arial"/>
          <w:sz w:val="24"/>
        </w:rPr>
      </w:pPr>
      <w:r w:rsidRPr="007B7EB8">
        <w:rPr>
          <w:rFonts w:ascii="Arial" w:hAnsi="Arial" w:cs="Arial"/>
          <w:sz w:val="24"/>
        </w:rPr>
        <w:t>Considering the limit of investing in UK is 60m, the possible comb</w:t>
      </w:r>
      <w:r w:rsidR="00F67AB6">
        <w:rPr>
          <w:rFonts w:ascii="Arial" w:hAnsi="Arial" w:cs="Arial"/>
          <w:sz w:val="24"/>
        </w:rPr>
        <w:t>inations of investments can be:</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 xml:space="preserve">Project </w:t>
      </w:r>
      <w:proofErr w:type="gramStart"/>
      <w:r w:rsidRPr="007B7EB8">
        <w:rPr>
          <w:rFonts w:ascii="Arial" w:hAnsi="Arial" w:cs="Arial"/>
          <w:sz w:val="24"/>
        </w:rPr>
        <w:t>A</w:t>
      </w:r>
      <w:proofErr w:type="gramEnd"/>
      <w:r w:rsidRPr="007B7EB8">
        <w:rPr>
          <w:rFonts w:ascii="Arial" w:hAnsi="Arial" w:cs="Arial"/>
          <w:sz w:val="24"/>
        </w:rPr>
        <w:t xml:space="preserve"> (40m) and Projec</w:t>
      </w:r>
      <w:r w:rsidR="00F67AB6">
        <w:rPr>
          <w:rFonts w:ascii="Arial" w:hAnsi="Arial" w:cs="Arial"/>
          <w:sz w:val="24"/>
        </w:rPr>
        <w:t>t B (30m) + Not possible (70m).</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Project B (£30m) + Project</w:t>
      </w:r>
      <w:r w:rsidR="00F67AB6">
        <w:rPr>
          <w:rFonts w:ascii="Arial" w:hAnsi="Arial" w:cs="Arial"/>
          <w:sz w:val="24"/>
        </w:rPr>
        <w:t xml:space="preserve"> C (£50m) + Not feasible (£80m)</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A + C:</w:t>
      </w:r>
      <w:r w:rsidR="00F67AB6">
        <w:rPr>
          <w:rFonts w:ascii="Arial" w:hAnsi="Arial" w:cs="Arial"/>
          <w:sz w:val="24"/>
        </w:rPr>
        <w:t xml:space="preserve"> Projects Not feasible </w:t>
      </w:r>
      <w:r w:rsidR="006662CF">
        <w:rPr>
          <w:rFonts w:ascii="Arial" w:hAnsi="Arial" w:cs="Arial"/>
          <w:sz w:val="24"/>
        </w:rPr>
        <w:t>(£</w:t>
      </w:r>
      <w:r w:rsidR="00F67AB6">
        <w:rPr>
          <w:rFonts w:ascii="Arial" w:hAnsi="Arial" w:cs="Arial"/>
          <w:sz w:val="24"/>
        </w:rPr>
        <w:t xml:space="preserve"> 90m)</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Ind</w:t>
      </w:r>
      <w:r w:rsidR="00F67AB6">
        <w:rPr>
          <w:rFonts w:ascii="Arial" w:hAnsi="Arial" w:cs="Arial"/>
          <w:sz w:val="24"/>
        </w:rPr>
        <w:t>ividual Project Selection Only.</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With capital rationing, General Electronics is only able</w:t>
      </w:r>
      <w:r w:rsidR="00F67AB6">
        <w:rPr>
          <w:rFonts w:ascii="Arial" w:hAnsi="Arial" w:cs="Arial"/>
          <w:sz w:val="24"/>
        </w:rPr>
        <w:t xml:space="preserve"> to invest in a single project.</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Project C is the best solution based on the NPV and maximisation of the PI although it has higher start-up costs. It is the most effective value creation, higher profitability, and more efficient strategic alignment in the long t</w:t>
      </w:r>
      <w:r w:rsidR="00F67AB6">
        <w:rPr>
          <w:rFonts w:ascii="Arial" w:hAnsi="Arial" w:cs="Arial"/>
          <w:sz w:val="24"/>
        </w:rPr>
        <w:t>erm, although it requires £50m.</w:t>
      </w:r>
    </w:p>
    <w:p w:rsidR="007B7EB8" w:rsidRPr="00F67AB6" w:rsidRDefault="007B7EB8" w:rsidP="006662CF">
      <w:pPr>
        <w:pStyle w:val="Heading2"/>
        <w:spacing w:after="240"/>
      </w:pPr>
      <w:bookmarkStart w:id="44" w:name="_Toc217216310"/>
      <w:r w:rsidRPr="007B7EB8">
        <w:t>4.9 Risk Assessment and Financial Justification.</w:t>
      </w:r>
      <w:bookmarkEnd w:id="44"/>
    </w:p>
    <w:p w:rsidR="007B7EB8" w:rsidRPr="007B7EB8" w:rsidRDefault="007B7EB8" w:rsidP="006662CF">
      <w:pPr>
        <w:spacing w:after="240" w:line="360" w:lineRule="auto"/>
        <w:jc w:val="both"/>
        <w:rPr>
          <w:rFonts w:ascii="Arial" w:hAnsi="Arial" w:cs="Arial"/>
          <w:sz w:val="24"/>
        </w:rPr>
      </w:pPr>
      <w:r w:rsidRPr="007B7EB8">
        <w:rPr>
          <w:rFonts w:ascii="Arial" w:hAnsi="Arial" w:cs="Arial"/>
          <w:sz w:val="24"/>
        </w:rPr>
        <w:t xml:space="preserve">Risk-wise, Project C is more vulnerable because of reduced initial inflows, as well as increased dependency on returns later on. This risk is, however, partially countered by the fact that the project has a good overall NPV and is in </w:t>
      </w:r>
      <w:r w:rsidR="00F67AB6">
        <w:rPr>
          <w:rFonts w:ascii="Arial" w:hAnsi="Arial" w:cs="Arial"/>
          <w:sz w:val="24"/>
        </w:rPr>
        <w:t>line with the long-term growth.</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Project B, on the other hand, is stable with low cash flows, which can seem appealing to risk-averse decision-makers. However, as the profitability of General Electronics has been undermined and the company requires value creation urgently, the conservative projects with the marginal returns cannot be used to help it</w:t>
      </w:r>
      <w:r w:rsidR="00F67AB6">
        <w:rPr>
          <w:rFonts w:ascii="Arial" w:hAnsi="Arial" w:cs="Arial"/>
          <w:sz w:val="24"/>
        </w:rPr>
        <w:t xml:space="preserve"> recover (Altman et al., 2022).</w:t>
      </w:r>
    </w:p>
    <w:p w:rsidR="00F67AB6" w:rsidRPr="007B7EB8" w:rsidRDefault="007B7EB8" w:rsidP="007B7EB8">
      <w:pPr>
        <w:spacing w:line="360" w:lineRule="auto"/>
        <w:jc w:val="both"/>
        <w:rPr>
          <w:rFonts w:ascii="Arial" w:hAnsi="Arial" w:cs="Arial"/>
          <w:sz w:val="24"/>
        </w:rPr>
      </w:pPr>
      <w:r w:rsidRPr="007B7EB8">
        <w:rPr>
          <w:rFonts w:ascii="Arial" w:hAnsi="Arial" w:cs="Arial"/>
          <w:sz w:val="24"/>
        </w:rPr>
        <w:t>Project A is a balanced alternative but it does not do better in measures of</w:t>
      </w:r>
      <w:r w:rsidR="00F67AB6">
        <w:rPr>
          <w:rFonts w:ascii="Arial" w:hAnsi="Arial" w:cs="Arial"/>
          <w:sz w:val="24"/>
        </w:rPr>
        <w:t xml:space="preserve"> value creation than Project C.</w:t>
      </w:r>
    </w:p>
    <w:p w:rsidR="007B7EB8" w:rsidRPr="007B7EB8" w:rsidRDefault="007B7EB8" w:rsidP="00F67AB6">
      <w:pPr>
        <w:pStyle w:val="Heading2"/>
      </w:pPr>
      <w:bookmarkStart w:id="45" w:name="_Toc217216311"/>
      <w:r w:rsidRPr="007B7EB8">
        <w:lastRenderedPageBreak/>
        <w:t>4.10.</w:t>
      </w:r>
      <w:r w:rsidR="00F67AB6" w:rsidRPr="00F67AB6">
        <w:t xml:space="preserve"> Final Investment Recommendation</w:t>
      </w:r>
      <w:bookmarkEnd w:id="45"/>
    </w:p>
    <w:p w:rsidR="007B7EB8" w:rsidRPr="007B7EB8" w:rsidRDefault="007B7EB8" w:rsidP="007B7EB8">
      <w:pPr>
        <w:spacing w:line="360" w:lineRule="auto"/>
        <w:jc w:val="both"/>
        <w:rPr>
          <w:rFonts w:ascii="Arial" w:hAnsi="Arial" w:cs="Arial"/>
          <w:sz w:val="24"/>
        </w:rPr>
      </w:pPr>
    </w:p>
    <w:p w:rsidR="007B7EB8" w:rsidRPr="007B7EB8" w:rsidRDefault="007B7EB8" w:rsidP="007B7EB8">
      <w:pPr>
        <w:spacing w:line="360" w:lineRule="auto"/>
        <w:jc w:val="both"/>
        <w:rPr>
          <w:rFonts w:ascii="Arial" w:hAnsi="Arial" w:cs="Arial"/>
          <w:sz w:val="24"/>
        </w:rPr>
      </w:pPr>
      <w:r w:rsidRPr="007B7EB8">
        <w:rPr>
          <w:rFonts w:ascii="Arial" w:hAnsi="Arial" w:cs="Arial"/>
          <w:sz w:val="24"/>
        </w:rPr>
        <w:t>The best investment choice that can be made as CFO is to invest in Project C only. This proposal can be expl</w:t>
      </w:r>
      <w:r w:rsidR="00F67AB6">
        <w:rPr>
          <w:rFonts w:ascii="Arial" w:hAnsi="Arial" w:cs="Arial"/>
          <w:sz w:val="24"/>
        </w:rPr>
        <w:t>ained by the following reasons:</w:t>
      </w:r>
    </w:p>
    <w:p w:rsidR="007B7EB8" w:rsidRPr="007B7EB8" w:rsidRDefault="00F67AB6" w:rsidP="007B7EB8">
      <w:pPr>
        <w:spacing w:line="360" w:lineRule="auto"/>
        <w:jc w:val="both"/>
        <w:rPr>
          <w:rFonts w:ascii="Arial" w:hAnsi="Arial" w:cs="Arial"/>
          <w:sz w:val="24"/>
        </w:rPr>
      </w:pPr>
      <w:r>
        <w:rPr>
          <w:rFonts w:ascii="Arial" w:hAnsi="Arial" w:cs="Arial"/>
          <w:sz w:val="24"/>
        </w:rPr>
        <w:t>Highest NPV and PI</w:t>
      </w:r>
    </w:p>
    <w:p w:rsidR="007B7EB8" w:rsidRPr="007B7EB8" w:rsidRDefault="00F67AB6" w:rsidP="007B7EB8">
      <w:pPr>
        <w:spacing w:line="360" w:lineRule="auto"/>
        <w:jc w:val="both"/>
        <w:rPr>
          <w:rFonts w:ascii="Arial" w:hAnsi="Arial" w:cs="Arial"/>
          <w:sz w:val="24"/>
        </w:rPr>
      </w:pPr>
      <w:r>
        <w:rPr>
          <w:rFonts w:ascii="Arial" w:hAnsi="Arial" w:cs="Arial"/>
          <w:sz w:val="24"/>
        </w:rPr>
        <w:t>High performance ARR and IRR.</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Correlation</w:t>
      </w:r>
      <w:r w:rsidR="00F67AB6">
        <w:rPr>
          <w:rFonts w:ascii="Arial" w:hAnsi="Arial" w:cs="Arial"/>
          <w:sz w:val="24"/>
        </w:rPr>
        <w:t xml:space="preserve"> with long term value creation.</w:t>
      </w:r>
    </w:p>
    <w:p w:rsidR="007B7EB8" w:rsidRPr="007B7EB8" w:rsidRDefault="007B7EB8" w:rsidP="007B7EB8">
      <w:pPr>
        <w:spacing w:line="360" w:lineRule="auto"/>
        <w:jc w:val="both"/>
        <w:rPr>
          <w:rFonts w:ascii="Arial" w:hAnsi="Arial" w:cs="Arial"/>
          <w:sz w:val="24"/>
        </w:rPr>
      </w:pPr>
      <w:r w:rsidRPr="007B7EB8">
        <w:rPr>
          <w:rFonts w:ascii="Arial" w:hAnsi="Arial" w:cs="Arial"/>
          <w:sz w:val="24"/>
        </w:rPr>
        <w:t>The best ut</w:t>
      </w:r>
      <w:r w:rsidR="00F67AB6">
        <w:rPr>
          <w:rFonts w:ascii="Arial" w:hAnsi="Arial" w:cs="Arial"/>
          <w:sz w:val="24"/>
        </w:rPr>
        <w:t>ilization of a limited capital.</w:t>
      </w:r>
    </w:p>
    <w:p w:rsidR="007B7EB8" w:rsidRDefault="007B7EB8" w:rsidP="007B7EB8">
      <w:pPr>
        <w:spacing w:line="360" w:lineRule="auto"/>
        <w:jc w:val="both"/>
        <w:rPr>
          <w:rFonts w:ascii="Arial" w:hAnsi="Arial" w:cs="Arial"/>
          <w:sz w:val="24"/>
        </w:rPr>
      </w:pPr>
      <w:r w:rsidRPr="007B7EB8">
        <w:rPr>
          <w:rFonts w:ascii="Arial" w:hAnsi="Arial" w:cs="Arial"/>
          <w:sz w:val="24"/>
        </w:rPr>
        <w:t>But, Project C should only be invested in after liquidity stabilisation and concomitant financial restructuring as it was talked about in previous sections. In the absence of such a support, the firm might not be able to absorb cash flow volatility in the short term.</w:t>
      </w:r>
    </w:p>
    <w:p w:rsidR="00667D07" w:rsidRDefault="00667D07" w:rsidP="007B7EB8">
      <w:pPr>
        <w:spacing w:line="360" w:lineRule="auto"/>
        <w:jc w:val="both"/>
        <w:rPr>
          <w:rFonts w:ascii="Arial" w:hAnsi="Arial" w:cs="Arial"/>
          <w:sz w:val="24"/>
        </w:rPr>
      </w:pPr>
    </w:p>
    <w:p w:rsidR="00667D07" w:rsidRDefault="00667D07" w:rsidP="007B7EB8">
      <w:pPr>
        <w:spacing w:line="360" w:lineRule="auto"/>
        <w:jc w:val="both"/>
        <w:rPr>
          <w:rFonts w:ascii="Arial" w:hAnsi="Arial" w:cs="Arial"/>
          <w:sz w:val="24"/>
        </w:rPr>
      </w:pPr>
    </w:p>
    <w:p w:rsidR="00667D07" w:rsidRDefault="00667D07" w:rsidP="007B7EB8">
      <w:pPr>
        <w:spacing w:line="360" w:lineRule="auto"/>
        <w:jc w:val="both"/>
        <w:rPr>
          <w:rFonts w:ascii="Arial" w:hAnsi="Arial" w:cs="Arial"/>
          <w:sz w:val="24"/>
        </w:rPr>
      </w:pPr>
    </w:p>
    <w:p w:rsidR="00667D07" w:rsidRDefault="00667D07" w:rsidP="007B7EB8">
      <w:pPr>
        <w:spacing w:line="360" w:lineRule="auto"/>
        <w:jc w:val="both"/>
        <w:rPr>
          <w:rFonts w:ascii="Arial" w:hAnsi="Arial" w:cs="Arial"/>
          <w:sz w:val="24"/>
        </w:rPr>
      </w:pPr>
    </w:p>
    <w:p w:rsidR="00667D07" w:rsidRDefault="00667D07" w:rsidP="007B7EB8">
      <w:pPr>
        <w:spacing w:line="360" w:lineRule="auto"/>
        <w:jc w:val="both"/>
        <w:rPr>
          <w:rFonts w:ascii="Arial" w:hAnsi="Arial" w:cs="Arial"/>
          <w:sz w:val="24"/>
        </w:rPr>
      </w:pPr>
    </w:p>
    <w:p w:rsidR="00667D07" w:rsidRDefault="00667D07" w:rsidP="007B7EB8">
      <w:pPr>
        <w:spacing w:line="360" w:lineRule="auto"/>
        <w:jc w:val="both"/>
        <w:rPr>
          <w:rFonts w:ascii="Arial" w:hAnsi="Arial" w:cs="Arial"/>
          <w:sz w:val="24"/>
        </w:rPr>
      </w:pPr>
    </w:p>
    <w:p w:rsidR="00667D07" w:rsidRDefault="00667D07" w:rsidP="007B7EB8">
      <w:pPr>
        <w:spacing w:line="360" w:lineRule="auto"/>
        <w:jc w:val="both"/>
        <w:rPr>
          <w:rFonts w:ascii="Arial" w:hAnsi="Arial" w:cs="Arial"/>
          <w:sz w:val="24"/>
        </w:rPr>
      </w:pPr>
    </w:p>
    <w:p w:rsidR="00667D07" w:rsidRDefault="00667D07" w:rsidP="007B7EB8">
      <w:pPr>
        <w:spacing w:line="360" w:lineRule="auto"/>
        <w:jc w:val="both"/>
        <w:rPr>
          <w:rFonts w:ascii="Arial" w:hAnsi="Arial" w:cs="Arial"/>
          <w:sz w:val="24"/>
        </w:rPr>
      </w:pPr>
    </w:p>
    <w:p w:rsidR="00667D07" w:rsidRDefault="00667D07" w:rsidP="007B7EB8">
      <w:pPr>
        <w:spacing w:line="360" w:lineRule="auto"/>
        <w:jc w:val="both"/>
        <w:rPr>
          <w:rFonts w:ascii="Arial" w:hAnsi="Arial" w:cs="Arial"/>
          <w:sz w:val="24"/>
        </w:rPr>
      </w:pPr>
    </w:p>
    <w:p w:rsidR="00667D07" w:rsidRDefault="00667D07" w:rsidP="007B7EB8">
      <w:pPr>
        <w:spacing w:line="360" w:lineRule="auto"/>
        <w:jc w:val="both"/>
        <w:rPr>
          <w:rFonts w:ascii="Arial" w:hAnsi="Arial" w:cs="Arial"/>
          <w:sz w:val="24"/>
        </w:rPr>
      </w:pPr>
    </w:p>
    <w:p w:rsidR="007B7EB8" w:rsidRDefault="007B7EB8" w:rsidP="00542D61">
      <w:pPr>
        <w:spacing w:line="360" w:lineRule="auto"/>
        <w:jc w:val="both"/>
        <w:rPr>
          <w:rFonts w:ascii="Arial" w:hAnsi="Arial" w:cs="Arial"/>
          <w:sz w:val="24"/>
        </w:rPr>
      </w:pPr>
    </w:p>
    <w:p w:rsidR="0067566B" w:rsidRPr="000A677B" w:rsidRDefault="00360C1E" w:rsidP="006662CF">
      <w:pPr>
        <w:pStyle w:val="Heading1"/>
        <w:spacing w:after="240"/>
      </w:pPr>
      <w:bookmarkStart w:id="46" w:name="_Toc217216312"/>
      <w:r>
        <w:lastRenderedPageBreak/>
        <w:t xml:space="preserve">5. </w:t>
      </w:r>
      <w:r w:rsidR="0067566B" w:rsidRPr="0067566B">
        <w:t>Conclusion</w:t>
      </w:r>
      <w:bookmarkEnd w:id="46"/>
    </w:p>
    <w:p w:rsidR="00DB2337" w:rsidRPr="00DB2337" w:rsidRDefault="00DB2337" w:rsidP="006662CF">
      <w:pPr>
        <w:spacing w:after="240" w:line="360" w:lineRule="auto"/>
        <w:jc w:val="both"/>
        <w:rPr>
          <w:rFonts w:ascii="Arial" w:hAnsi="Arial" w:cs="Arial"/>
          <w:sz w:val="24"/>
        </w:rPr>
      </w:pPr>
      <w:r w:rsidRPr="00DB2337">
        <w:rPr>
          <w:rFonts w:ascii="Arial" w:hAnsi="Arial" w:cs="Arial"/>
          <w:sz w:val="24"/>
        </w:rPr>
        <w:t xml:space="preserve">This report has performed a financial analysis and strategic assessment of General Electronics, a transnational consumer electronics corporation that has been in a sustained state of distress. The financial health check showed that the revenue was decreasing, the operating losses continued to exist, </w:t>
      </w:r>
      <w:r w:rsidR="006662CF" w:rsidRPr="00DB2337">
        <w:rPr>
          <w:rFonts w:ascii="Arial" w:hAnsi="Arial" w:cs="Arial"/>
          <w:sz w:val="24"/>
        </w:rPr>
        <w:t>and the</w:t>
      </w:r>
      <w:r w:rsidRPr="00DB2337">
        <w:rPr>
          <w:rFonts w:ascii="Arial" w:hAnsi="Arial" w:cs="Arial"/>
          <w:sz w:val="24"/>
        </w:rPr>
        <w:t xml:space="preserve"> profitability was deteriorating, and the solvency risk was increasing within the years 2020-2024. Ratio analysis, cash flow analysis, and Altman Z-Score analysis revealed the operational inefficiencies as well as structural weaknesses, which meant the increased likelihood of financial collapse unless corrective actions were taken promptly (Altman et al., 2022; </w:t>
      </w:r>
      <w:proofErr w:type="spellStart"/>
      <w:r w:rsidRPr="00DB2337">
        <w:rPr>
          <w:rFonts w:ascii="Arial" w:hAnsi="Arial" w:cs="Arial"/>
          <w:sz w:val="24"/>
        </w:rPr>
        <w:t>B</w:t>
      </w:r>
      <w:r>
        <w:rPr>
          <w:rFonts w:ascii="Arial" w:hAnsi="Arial" w:cs="Arial"/>
          <w:sz w:val="24"/>
        </w:rPr>
        <w:t>realey</w:t>
      </w:r>
      <w:proofErr w:type="spellEnd"/>
      <w:r>
        <w:rPr>
          <w:rFonts w:ascii="Arial" w:hAnsi="Arial" w:cs="Arial"/>
          <w:sz w:val="24"/>
        </w:rPr>
        <w:t>, Myers and Allen, 2023).</w:t>
      </w:r>
    </w:p>
    <w:p w:rsidR="00DB2337" w:rsidRPr="00DB2337" w:rsidRDefault="00DB2337" w:rsidP="00DB2337">
      <w:pPr>
        <w:spacing w:line="360" w:lineRule="auto"/>
        <w:jc w:val="both"/>
        <w:rPr>
          <w:rFonts w:ascii="Arial" w:hAnsi="Arial" w:cs="Arial"/>
          <w:sz w:val="24"/>
        </w:rPr>
      </w:pPr>
      <w:r w:rsidRPr="00DB2337">
        <w:rPr>
          <w:rFonts w:ascii="Arial" w:hAnsi="Arial" w:cs="Arial"/>
          <w:sz w:val="24"/>
        </w:rPr>
        <w:t>The working capital analysis revealed that over investing in inventories and receivables coupled with dependence on short-term borrowing has increased the pressure on liquidity. Inventory optimisation, increased receivables management, and balanced mix of financing are key strategic interventions that are important to put the cash flows and operational flexibility back on track (</w:t>
      </w:r>
      <w:proofErr w:type="spellStart"/>
      <w:r w:rsidRPr="00DB2337">
        <w:rPr>
          <w:rFonts w:ascii="Arial" w:hAnsi="Arial" w:cs="Arial"/>
          <w:sz w:val="24"/>
        </w:rPr>
        <w:t>Atrill</w:t>
      </w:r>
      <w:proofErr w:type="spellEnd"/>
      <w:r w:rsidRPr="00DB2337">
        <w:rPr>
          <w:rFonts w:ascii="Arial" w:hAnsi="Arial" w:cs="Arial"/>
          <w:sz w:val="24"/>
        </w:rPr>
        <w:t xml:space="preserve"> and </w:t>
      </w:r>
      <w:proofErr w:type="spellStart"/>
      <w:r w:rsidRPr="00DB2337">
        <w:rPr>
          <w:rFonts w:ascii="Arial" w:hAnsi="Arial" w:cs="Arial"/>
          <w:sz w:val="24"/>
        </w:rPr>
        <w:t>McL</w:t>
      </w:r>
      <w:r>
        <w:rPr>
          <w:rFonts w:ascii="Arial" w:hAnsi="Arial" w:cs="Arial"/>
          <w:sz w:val="24"/>
        </w:rPr>
        <w:t>aney</w:t>
      </w:r>
      <w:proofErr w:type="spellEnd"/>
      <w:r>
        <w:rPr>
          <w:rFonts w:ascii="Arial" w:hAnsi="Arial" w:cs="Arial"/>
          <w:sz w:val="24"/>
        </w:rPr>
        <w:t>, 2024; Ross et al., 2024).</w:t>
      </w:r>
    </w:p>
    <w:p w:rsidR="00DB2337" w:rsidRPr="00DB2337" w:rsidRDefault="00DB2337" w:rsidP="00DB2337">
      <w:pPr>
        <w:spacing w:line="360" w:lineRule="auto"/>
        <w:jc w:val="both"/>
        <w:rPr>
          <w:rFonts w:ascii="Arial" w:hAnsi="Arial" w:cs="Arial"/>
          <w:sz w:val="24"/>
        </w:rPr>
      </w:pPr>
      <w:r w:rsidRPr="00DB2337">
        <w:rPr>
          <w:rFonts w:ascii="Arial" w:hAnsi="Arial" w:cs="Arial"/>
          <w:sz w:val="24"/>
        </w:rPr>
        <w:t>The strategic financial restructuring plan that has been proposed is multidimensional in that it will enable the firm to stabilise its financial position by asset divestiture, equity injection, and debt refinancing without losing touch of the ethical, CSR as well as the international factors. The rebalancing of the capital structure, leverage reduction, and core assets give the firm an opportunity to enhance solvency, shareholder confidence, and long-term strategic pl</w:t>
      </w:r>
      <w:r>
        <w:rPr>
          <w:rFonts w:ascii="Arial" w:hAnsi="Arial" w:cs="Arial"/>
          <w:sz w:val="24"/>
        </w:rPr>
        <w:t>acement (Hillier et al., 2023).</w:t>
      </w:r>
    </w:p>
    <w:p w:rsidR="00DB2337" w:rsidRPr="00DB2337" w:rsidRDefault="00DB2337" w:rsidP="00DB2337">
      <w:pPr>
        <w:spacing w:line="360" w:lineRule="auto"/>
        <w:jc w:val="both"/>
        <w:rPr>
          <w:rFonts w:ascii="Arial" w:hAnsi="Arial" w:cs="Arial"/>
          <w:sz w:val="24"/>
        </w:rPr>
      </w:pPr>
      <w:r w:rsidRPr="00DB2337">
        <w:rPr>
          <w:rFonts w:ascii="Arial" w:hAnsi="Arial" w:cs="Arial"/>
          <w:sz w:val="24"/>
        </w:rPr>
        <w:t>Lastly, capital rationing based investment appraisal of three suggested projects revealed that Project C was the best project considering it has a high Net Present Value, Profitability Index, and long term growth projection. This investment along with liquidity enhancements and reorganization measures contributes to the recovery trend of the firm as well as value creation through the creation of maximum value in the current limitations.</w:t>
      </w:r>
    </w:p>
    <w:p w:rsidR="00DB2337" w:rsidRPr="00DB2337" w:rsidRDefault="00DB2337" w:rsidP="00DB2337">
      <w:pPr>
        <w:spacing w:line="360" w:lineRule="auto"/>
        <w:jc w:val="both"/>
        <w:rPr>
          <w:rFonts w:ascii="Arial" w:hAnsi="Arial" w:cs="Arial"/>
          <w:sz w:val="24"/>
        </w:rPr>
      </w:pPr>
    </w:p>
    <w:p w:rsidR="0067566B" w:rsidRDefault="0067566B" w:rsidP="0067566B">
      <w:pPr>
        <w:spacing w:line="360" w:lineRule="auto"/>
        <w:jc w:val="both"/>
        <w:rPr>
          <w:rFonts w:ascii="Arial" w:hAnsi="Arial" w:cs="Arial"/>
          <w:sz w:val="24"/>
        </w:rPr>
      </w:pPr>
    </w:p>
    <w:p w:rsidR="00F04187" w:rsidRDefault="00360C1E" w:rsidP="006662CF">
      <w:pPr>
        <w:pStyle w:val="Heading1"/>
        <w:spacing w:after="240"/>
      </w:pPr>
      <w:bookmarkStart w:id="47" w:name="_Toc217216313"/>
      <w:r>
        <w:lastRenderedPageBreak/>
        <w:t xml:space="preserve">6. </w:t>
      </w:r>
      <w:r w:rsidR="009E4A11">
        <w:t>Reference</w:t>
      </w:r>
      <w:bookmarkEnd w:id="47"/>
      <w:r>
        <w:t xml:space="preserve"> </w:t>
      </w:r>
    </w:p>
    <w:p w:rsidR="00C17F2C" w:rsidRPr="00C17F2C" w:rsidRDefault="00C17F2C" w:rsidP="006662CF">
      <w:pPr>
        <w:spacing w:after="240" w:line="360" w:lineRule="auto"/>
        <w:jc w:val="both"/>
        <w:rPr>
          <w:rFonts w:ascii="Arial" w:hAnsi="Arial" w:cs="Arial"/>
          <w:sz w:val="24"/>
        </w:rPr>
      </w:pPr>
      <w:r>
        <w:rPr>
          <w:rFonts w:ascii="Arial" w:hAnsi="Arial" w:cs="Arial"/>
          <w:sz w:val="24"/>
        </w:rPr>
        <w:t>6</w:t>
      </w:r>
      <w:r w:rsidRPr="00C17F2C">
        <w:rPr>
          <w:rFonts w:ascii="Arial" w:hAnsi="Arial" w:cs="Arial"/>
          <w:sz w:val="24"/>
        </w:rPr>
        <w:t xml:space="preserve">Cintyarani, S. &amp; </w:t>
      </w:r>
      <w:proofErr w:type="spellStart"/>
      <w:r w:rsidRPr="00C17F2C">
        <w:rPr>
          <w:rFonts w:ascii="Arial" w:hAnsi="Arial" w:cs="Arial"/>
          <w:sz w:val="24"/>
        </w:rPr>
        <w:t>Indrawati</w:t>
      </w:r>
      <w:proofErr w:type="spellEnd"/>
      <w:r w:rsidRPr="00C17F2C">
        <w:rPr>
          <w:rFonts w:ascii="Arial" w:hAnsi="Arial" w:cs="Arial"/>
          <w:sz w:val="24"/>
        </w:rPr>
        <w:t xml:space="preserve">, N.K., 2024. </w:t>
      </w:r>
      <w:proofErr w:type="spellStart"/>
      <w:r w:rsidRPr="00C17F2C">
        <w:rPr>
          <w:rFonts w:ascii="Arial" w:hAnsi="Arial" w:cs="Arial"/>
          <w:sz w:val="24"/>
        </w:rPr>
        <w:t>Prediksi</w:t>
      </w:r>
      <w:proofErr w:type="spellEnd"/>
      <w:r w:rsidRPr="00C17F2C">
        <w:rPr>
          <w:rFonts w:ascii="Arial" w:hAnsi="Arial" w:cs="Arial"/>
          <w:sz w:val="24"/>
        </w:rPr>
        <w:t xml:space="preserve"> Financial Distress </w:t>
      </w:r>
      <w:proofErr w:type="spellStart"/>
      <w:r w:rsidRPr="00C17F2C">
        <w:rPr>
          <w:rFonts w:ascii="Arial" w:hAnsi="Arial" w:cs="Arial"/>
          <w:sz w:val="24"/>
        </w:rPr>
        <w:t>Dengan</w:t>
      </w:r>
      <w:proofErr w:type="spellEnd"/>
      <w:r w:rsidRPr="00C17F2C">
        <w:rPr>
          <w:rFonts w:ascii="Arial" w:hAnsi="Arial" w:cs="Arial"/>
          <w:sz w:val="24"/>
        </w:rPr>
        <w:t xml:space="preserve"> Model Altman Z</w:t>
      </w:r>
      <w:r w:rsidRPr="00C17F2C">
        <w:rPr>
          <w:rFonts w:ascii="Cambria Math" w:hAnsi="Cambria Math" w:cs="Cambria Math"/>
          <w:sz w:val="24"/>
        </w:rPr>
        <w:t>‑</w:t>
      </w:r>
      <w:r w:rsidRPr="00C17F2C">
        <w:rPr>
          <w:rFonts w:ascii="Arial" w:hAnsi="Arial" w:cs="Arial"/>
          <w:sz w:val="24"/>
        </w:rPr>
        <w:t xml:space="preserve">Score </w:t>
      </w:r>
      <w:proofErr w:type="spellStart"/>
      <w:r w:rsidRPr="00C17F2C">
        <w:rPr>
          <w:rFonts w:ascii="Arial" w:hAnsi="Arial" w:cs="Arial"/>
          <w:sz w:val="24"/>
        </w:rPr>
        <w:t>dan</w:t>
      </w:r>
      <w:proofErr w:type="spellEnd"/>
      <w:r w:rsidRPr="00C17F2C">
        <w:rPr>
          <w:rFonts w:ascii="Arial" w:hAnsi="Arial" w:cs="Arial"/>
          <w:sz w:val="24"/>
        </w:rPr>
        <w:t xml:space="preserve"> Model </w:t>
      </w:r>
      <w:proofErr w:type="spellStart"/>
      <w:r w:rsidRPr="00C17F2C">
        <w:rPr>
          <w:rFonts w:ascii="Arial" w:hAnsi="Arial" w:cs="Arial"/>
          <w:sz w:val="24"/>
        </w:rPr>
        <w:t>Zmijewski</w:t>
      </w:r>
      <w:proofErr w:type="spellEnd"/>
      <w:r w:rsidRPr="00C17F2C">
        <w:rPr>
          <w:rFonts w:ascii="Arial" w:hAnsi="Arial" w:cs="Arial"/>
          <w:sz w:val="24"/>
        </w:rPr>
        <w:t xml:space="preserve"> X</w:t>
      </w:r>
      <w:r w:rsidRPr="00C17F2C">
        <w:rPr>
          <w:rFonts w:ascii="Cambria Math" w:hAnsi="Cambria Math" w:cs="Cambria Math"/>
          <w:sz w:val="24"/>
        </w:rPr>
        <w:t>‑</w:t>
      </w:r>
      <w:r w:rsidRPr="00C17F2C">
        <w:rPr>
          <w:rFonts w:ascii="Arial" w:hAnsi="Arial" w:cs="Arial"/>
          <w:sz w:val="24"/>
        </w:rPr>
        <w:t xml:space="preserve">Score </w:t>
      </w:r>
      <w:proofErr w:type="spellStart"/>
      <w:r w:rsidRPr="00C17F2C">
        <w:rPr>
          <w:rFonts w:ascii="Arial" w:hAnsi="Arial" w:cs="Arial"/>
          <w:sz w:val="24"/>
        </w:rPr>
        <w:t>Selama</w:t>
      </w:r>
      <w:proofErr w:type="spellEnd"/>
      <w:r w:rsidRPr="00C17F2C">
        <w:rPr>
          <w:rFonts w:ascii="Arial" w:hAnsi="Arial" w:cs="Arial"/>
          <w:sz w:val="24"/>
        </w:rPr>
        <w:t xml:space="preserve"> </w:t>
      </w:r>
      <w:proofErr w:type="spellStart"/>
      <w:r w:rsidRPr="00C17F2C">
        <w:rPr>
          <w:rFonts w:ascii="Arial" w:hAnsi="Arial" w:cs="Arial"/>
          <w:sz w:val="24"/>
        </w:rPr>
        <w:t>Pandemi</w:t>
      </w:r>
      <w:proofErr w:type="spellEnd"/>
      <w:r w:rsidRPr="00C17F2C">
        <w:rPr>
          <w:rFonts w:ascii="Arial" w:hAnsi="Arial" w:cs="Arial"/>
          <w:sz w:val="24"/>
        </w:rPr>
        <w:t xml:space="preserve"> COVID</w:t>
      </w:r>
      <w:r w:rsidRPr="00C17F2C">
        <w:rPr>
          <w:rFonts w:ascii="Cambria Math" w:hAnsi="Cambria Math" w:cs="Cambria Math"/>
          <w:sz w:val="24"/>
        </w:rPr>
        <w:t>‑</w:t>
      </w:r>
      <w:r w:rsidRPr="00C17F2C">
        <w:rPr>
          <w:rFonts w:ascii="Arial" w:hAnsi="Arial" w:cs="Arial"/>
          <w:sz w:val="24"/>
        </w:rPr>
        <w:t xml:space="preserve">19. </w:t>
      </w:r>
      <w:proofErr w:type="spellStart"/>
      <w:r w:rsidRPr="00C17F2C">
        <w:rPr>
          <w:rFonts w:ascii="Arial" w:hAnsi="Arial" w:cs="Arial"/>
          <w:sz w:val="24"/>
        </w:rPr>
        <w:t>Jurnal</w:t>
      </w:r>
      <w:proofErr w:type="spellEnd"/>
      <w:r w:rsidRPr="00C17F2C">
        <w:rPr>
          <w:rFonts w:ascii="Arial" w:hAnsi="Arial" w:cs="Arial"/>
          <w:sz w:val="24"/>
        </w:rPr>
        <w:t xml:space="preserve"> Management </w:t>
      </w:r>
      <w:proofErr w:type="spellStart"/>
      <w:r w:rsidRPr="00C17F2C">
        <w:rPr>
          <w:rFonts w:ascii="Arial" w:hAnsi="Arial" w:cs="Arial"/>
          <w:sz w:val="24"/>
        </w:rPr>
        <w:t>Risiko</w:t>
      </w:r>
      <w:proofErr w:type="spellEnd"/>
      <w:r w:rsidRPr="00C17F2C">
        <w:rPr>
          <w:rFonts w:ascii="Arial" w:hAnsi="Arial" w:cs="Arial"/>
          <w:sz w:val="24"/>
        </w:rPr>
        <w:t xml:space="preserve"> </w:t>
      </w:r>
      <w:proofErr w:type="spellStart"/>
      <w:r w:rsidRPr="00C17F2C">
        <w:rPr>
          <w:rFonts w:ascii="Arial" w:hAnsi="Arial" w:cs="Arial"/>
          <w:sz w:val="24"/>
        </w:rPr>
        <w:t>dan</w:t>
      </w:r>
      <w:proofErr w:type="spellEnd"/>
      <w:r w:rsidRPr="00C17F2C">
        <w:rPr>
          <w:rFonts w:ascii="Arial" w:hAnsi="Arial" w:cs="Arial"/>
          <w:sz w:val="24"/>
        </w:rPr>
        <w:t xml:space="preserve"> </w:t>
      </w:r>
      <w:proofErr w:type="spellStart"/>
      <w:r w:rsidRPr="00C17F2C">
        <w:rPr>
          <w:rFonts w:ascii="Arial" w:hAnsi="Arial" w:cs="Arial"/>
          <w:sz w:val="24"/>
        </w:rPr>
        <w:t>Keuangan</w:t>
      </w:r>
      <w:proofErr w:type="spellEnd"/>
      <w:r w:rsidRPr="00C17F2C">
        <w:rPr>
          <w:rFonts w:ascii="Arial" w:hAnsi="Arial" w:cs="Arial"/>
          <w:sz w:val="24"/>
        </w:rPr>
        <w:t xml:space="preserve">, </w:t>
      </w:r>
      <w:r w:rsidR="006662CF">
        <w:rPr>
          <w:rFonts w:ascii="Arial" w:hAnsi="Arial" w:cs="Arial"/>
          <w:sz w:val="24"/>
        </w:rPr>
        <w:t xml:space="preserve">3(4), pp.385–394. Available at: </w:t>
      </w:r>
      <w:hyperlink r:id="rId9" w:history="1">
        <w:r w:rsidRPr="007B488C">
          <w:rPr>
            <w:rStyle w:val="Hyperlink"/>
            <w:rFonts w:ascii="Arial" w:hAnsi="Arial" w:cs="Arial"/>
            <w:sz w:val="24"/>
          </w:rPr>
          <w:t>https://doi.org/10.21776/jmrk.2024.03.4.07</w:t>
        </w:r>
      </w:hyperlink>
      <w:r>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proofErr w:type="spellStart"/>
      <w:r w:rsidRPr="00C17F2C">
        <w:rPr>
          <w:rFonts w:ascii="Arial" w:hAnsi="Arial" w:cs="Arial"/>
          <w:sz w:val="24"/>
        </w:rPr>
        <w:t>Maulana</w:t>
      </w:r>
      <w:proofErr w:type="spellEnd"/>
      <w:r w:rsidRPr="00C17F2C">
        <w:rPr>
          <w:rFonts w:ascii="Arial" w:hAnsi="Arial" w:cs="Arial"/>
          <w:sz w:val="24"/>
        </w:rPr>
        <w:t xml:space="preserve">, F., 2024. Financial Distress Assessment </w:t>
      </w:r>
      <w:r w:rsidR="006662CF" w:rsidRPr="00C17F2C">
        <w:rPr>
          <w:rFonts w:ascii="Arial" w:hAnsi="Arial" w:cs="Arial"/>
          <w:sz w:val="24"/>
        </w:rPr>
        <w:t>through</w:t>
      </w:r>
      <w:r w:rsidRPr="00C17F2C">
        <w:rPr>
          <w:rFonts w:ascii="Arial" w:hAnsi="Arial" w:cs="Arial"/>
          <w:sz w:val="24"/>
        </w:rPr>
        <w:t xml:space="preserve"> Altman Z</w:t>
      </w:r>
      <w:r w:rsidRPr="00C17F2C">
        <w:rPr>
          <w:rFonts w:ascii="Cambria Math" w:hAnsi="Cambria Math" w:cs="Cambria Math"/>
          <w:sz w:val="24"/>
        </w:rPr>
        <w:t>‑</w:t>
      </w:r>
      <w:r w:rsidRPr="00C17F2C">
        <w:rPr>
          <w:rFonts w:ascii="Arial" w:hAnsi="Arial" w:cs="Arial"/>
          <w:sz w:val="24"/>
        </w:rPr>
        <w:t xml:space="preserve">Score. Journal of Economics and Business UBS, 13(1). Available at: </w:t>
      </w:r>
      <w:hyperlink r:id="rId10" w:history="1">
        <w:r w:rsidRPr="007B488C">
          <w:rPr>
            <w:rStyle w:val="Hyperlink"/>
            <w:rFonts w:ascii="Arial" w:hAnsi="Arial" w:cs="Arial"/>
            <w:sz w:val="24"/>
          </w:rPr>
          <w:t>https://doi.org/10.52644/joeb.v13i1.1493</w:t>
        </w:r>
      </w:hyperlink>
      <w:r>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proofErr w:type="spellStart"/>
      <w:r w:rsidRPr="00C17F2C">
        <w:rPr>
          <w:rFonts w:ascii="Arial" w:hAnsi="Arial" w:cs="Arial"/>
          <w:sz w:val="24"/>
        </w:rPr>
        <w:t>Wibowo</w:t>
      </w:r>
      <w:proofErr w:type="spellEnd"/>
      <w:r w:rsidRPr="00C17F2C">
        <w:rPr>
          <w:rFonts w:ascii="Arial" w:hAnsi="Arial" w:cs="Arial"/>
          <w:sz w:val="24"/>
        </w:rPr>
        <w:t xml:space="preserve">, D.T. &amp; </w:t>
      </w:r>
      <w:proofErr w:type="spellStart"/>
      <w:r w:rsidRPr="00C17F2C">
        <w:rPr>
          <w:rFonts w:ascii="Arial" w:hAnsi="Arial" w:cs="Arial"/>
          <w:sz w:val="24"/>
        </w:rPr>
        <w:t>Hidayah</w:t>
      </w:r>
      <w:proofErr w:type="spellEnd"/>
      <w:r w:rsidRPr="00C17F2C">
        <w:rPr>
          <w:rFonts w:ascii="Arial" w:hAnsi="Arial" w:cs="Arial"/>
          <w:sz w:val="24"/>
        </w:rPr>
        <w:t xml:space="preserve">, N., 2023. Altman Z </w:t>
      </w:r>
      <w:r w:rsidR="006662CF" w:rsidRPr="00C17F2C">
        <w:rPr>
          <w:rFonts w:ascii="Arial" w:hAnsi="Arial" w:cs="Arial"/>
          <w:sz w:val="24"/>
        </w:rPr>
        <w:t>score</w:t>
      </w:r>
      <w:r w:rsidRPr="00C17F2C">
        <w:rPr>
          <w:rFonts w:ascii="Arial" w:hAnsi="Arial" w:cs="Arial"/>
          <w:sz w:val="24"/>
        </w:rPr>
        <w:t xml:space="preserve"> Formula Model in Predicting and Assessing Financial Performance. </w:t>
      </w:r>
      <w:proofErr w:type="spellStart"/>
      <w:r w:rsidRPr="00C17F2C">
        <w:rPr>
          <w:rFonts w:ascii="Arial" w:hAnsi="Arial" w:cs="Arial"/>
          <w:sz w:val="24"/>
        </w:rPr>
        <w:t>Dialektika</w:t>
      </w:r>
      <w:proofErr w:type="spellEnd"/>
      <w:r w:rsidRPr="00C17F2C">
        <w:rPr>
          <w:rFonts w:ascii="Arial" w:hAnsi="Arial" w:cs="Arial"/>
          <w:sz w:val="24"/>
        </w:rPr>
        <w:t xml:space="preserve">: </w:t>
      </w:r>
      <w:proofErr w:type="spellStart"/>
      <w:r w:rsidRPr="00C17F2C">
        <w:rPr>
          <w:rFonts w:ascii="Arial" w:hAnsi="Arial" w:cs="Arial"/>
          <w:sz w:val="24"/>
        </w:rPr>
        <w:t>Jurnal</w:t>
      </w:r>
      <w:proofErr w:type="spellEnd"/>
      <w:r w:rsidRPr="00C17F2C">
        <w:rPr>
          <w:rFonts w:ascii="Arial" w:hAnsi="Arial" w:cs="Arial"/>
          <w:sz w:val="24"/>
        </w:rPr>
        <w:t xml:space="preserve"> </w:t>
      </w:r>
      <w:proofErr w:type="spellStart"/>
      <w:r w:rsidRPr="00C17F2C">
        <w:rPr>
          <w:rFonts w:ascii="Arial" w:hAnsi="Arial" w:cs="Arial"/>
          <w:sz w:val="24"/>
        </w:rPr>
        <w:t>Ekonomi</w:t>
      </w:r>
      <w:proofErr w:type="spellEnd"/>
      <w:r w:rsidRPr="00C17F2C">
        <w:rPr>
          <w:rFonts w:ascii="Arial" w:hAnsi="Arial" w:cs="Arial"/>
          <w:sz w:val="24"/>
        </w:rPr>
        <w:t xml:space="preserve"> </w:t>
      </w:r>
      <w:proofErr w:type="spellStart"/>
      <w:r w:rsidRPr="00C17F2C">
        <w:rPr>
          <w:rFonts w:ascii="Arial" w:hAnsi="Arial" w:cs="Arial"/>
          <w:sz w:val="24"/>
        </w:rPr>
        <w:t>dan</w:t>
      </w:r>
      <w:proofErr w:type="spellEnd"/>
      <w:r w:rsidRPr="00C17F2C">
        <w:rPr>
          <w:rFonts w:ascii="Arial" w:hAnsi="Arial" w:cs="Arial"/>
          <w:sz w:val="24"/>
        </w:rPr>
        <w:t xml:space="preserve"> </w:t>
      </w:r>
      <w:proofErr w:type="spellStart"/>
      <w:r w:rsidRPr="00C17F2C">
        <w:rPr>
          <w:rFonts w:ascii="Arial" w:hAnsi="Arial" w:cs="Arial"/>
          <w:sz w:val="24"/>
        </w:rPr>
        <w:t>Ilmu</w:t>
      </w:r>
      <w:proofErr w:type="spellEnd"/>
      <w:r w:rsidRPr="00C17F2C">
        <w:rPr>
          <w:rFonts w:ascii="Arial" w:hAnsi="Arial" w:cs="Arial"/>
          <w:sz w:val="24"/>
        </w:rPr>
        <w:t xml:space="preserve"> </w:t>
      </w:r>
      <w:proofErr w:type="spellStart"/>
      <w:r w:rsidRPr="00C17F2C">
        <w:rPr>
          <w:rFonts w:ascii="Arial" w:hAnsi="Arial" w:cs="Arial"/>
          <w:sz w:val="24"/>
        </w:rPr>
        <w:t>Sosial</w:t>
      </w:r>
      <w:proofErr w:type="spellEnd"/>
      <w:r w:rsidRPr="00C17F2C">
        <w:rPr>
          <w:rFonts w:ascii="Arial" w:hAnsi="Arial" w:cs="Arial"/>
          <w:sz w:val="24"/>
        </w:rPr>
        <w:t xml:space="preserve">, (8)1. Available at: </w:t>
      </w:r>
      <w:hyperlink r:id="rId11" w:history="1">
        <w:r w:rsidRPr="007B488C">
          <w:rPr>
            <w:rStyle w:val="Hyperlink"/>
            <w:rFonts w:ascii="Arial" w:hAnsi="Arial" w:cs="Arial"/>
            <w:sz w:val="24"/>
          </w:rPr>
          <w:t>https://doi.org/10.36636/dialektika.v8i1.2260</w:t>
        </w:r>
      </w:hyperlink>
      <w:r>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proofErr w:type="spellStart"/>
      <w:r w:rsidRPr="00C17F2C">
        <w:rPr>
          <w:rFonts w:ascii="Arial" w:hAnsi="Arial" w:cs="Arial"/>
          <w:sz w:val="24"/>
        </w:rPr>
        <w:t>Nurhayati</w:t>
      </w:r>
      <w:proofErr w:type="spellEnd"/>
      <w:r w:rsidRPr="00C17F2C">
        <w:rPr>
          <w:rFonts w:ascii="Arial" w:hAnsi="Arial" w:cs="Arial"/>
          <w:sz w:val="24"/>
        </w:rPr>
        <w:t xml:space="preserve">, Y. &amp; </w:t>
      </w:r>
      <w:proofErr w:type="spellStart"/>
      <w:r w:rsidRPr="00C17F2C">
        <w:rPr>
          <w:rFonts w:ascii="Arial" w:hAnsi="Arial" w:cs="Arial"/>
          <w:sz w:val="24"/>
        </w:rPr>
        <w:t>Komara</w:t>
      </w:r>
      <w:proofErr w:type="spellEnd"/>
      <w:r w:rsidRPr="00C17F2C">
        <w:rPr>
          <w:rFonts w:ascii="Arial" w:hAnsi="Arial" w:cs="Arial"/>
          <w:sz w:val="24"/>
        </w:rPr>
        <w:t xml:space="preserve">, E.F., 2025. Predictive Analysis of Financial Distress Using the Altman Z-Score Method. Formosa Journal of Applied Sciences, </w:t>
      </w:r>
      <w:proofErr w:type="gramStart"/>
      <w:r w:rsidRPr="00C17F2C">
        <w:rPr>
          <w:rFonts w:ascii="Arial" w:hAnsi="Arial" w:cs="Arial"/>
          <w:sz w:val="24"/>
        </w:rPr>
        <w:t>v4(</w:t>
      </w:r>
      <w:proofErr w:type="gramEnd"/>
      <w:r w:rsidRPr="00C17F2C">
        <w:rPr>
          <w:rFonts w:ascii="Arial" w:hAnsi="Arial" w:cs="Arial"/>
          <w:sz w:val="24"/>
        </w:rPr>
        <w:t xml:space="preserve">8). Available at: </w:t>
      </w:r>
      <w:hyperlink r:id="rId12" w:history="1">
        <w:r w:rsidR="001A7CD3" w:rsidRPr="007B488C">
          <w:rPr>
            <w:rStyle w:val="Hyperlink"/>
            <w:rFonts w:ascii="Arial" w:hAnsi="Arial" w:cs="Arial"/>
            <w:sz w:val="24"/>
          </w:rPr>
          <w:t>https://doi.org/10.55927/fjas.v4i8.299</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proofErr w:type="spellStart"/>
      <w:r w:rsidRPr="00C17F2C">
        <w:rPr>
          <w:rFonts w:ascii="Arial" w:hAnsi="Arial" w:cs="Arial"/>
          <w:sz w:val="24"/>
        </w:rPr>
        <w:t>Kurniawan</w:t>
      </w:r>
      <w:proofErr w:type="spellEnd"/>
      <w:r w:rsidRPr="00C17F2C">
        <w:rPr>
          <w:rFonts w:ascii="Arial" w:hAnsi="Arial" w:cs="Arial"/>
          <w:sz w:val="24"/>
        </w:rPr>
        <w:t xml:space="preserve">, R., 2024. </w:t>
      </w:r>
      <w:proofErr w:type="spellStart"/>
      <w:r w:rsidRPr="00C17F2C">
        <w:rPr>
          <w:rFonts w:ascii="Arial" w:hAnsi="Arial" w:cs="Arial"/>
          <w:sz w:val="24"/>
        </w:rPr>
        <w:t>Analisis</w:t>
      </w:r>
      <w:proofErr w:type="spellEnd"/>
      <w:r w:rsidRPr="00C17F2C">
        <w:rPr>
          <w:rFonts w:ascii="Arial" w:hAnsi="Arial" w:cs="Arial"/>
          <w:sz w:val="24"/>
        </w:rPr>
        <w:t xml:space="preserve"> Financial Distress </w:t>
      </w:r>
      <w:proofErr w:type="spellStart"/>
      <w:r w:rsidRPr="00C17F2C">
        <w:rPr>
          <w:rFonts w:ascii="Arial" w:hAnsi="Arial" w:cs="Arial"/>
          <w:sz w:val="24"/>
        </w:rPr>
        <w:t>dengan</w:t>
      </w:r>
      <w:proofErr w:type="spellEnd"/>
      <w:r w:rsidRPr="00C17F2C">
        <w:rPr>
          <w:rFonts w:ascii="Arial" w:hAnsi="Arial" w:cs="Arial"/>
          <w:sz w:val="24"/>
        </w:rPr>
        <w:t xml:space="preserve"> </w:t>
      </w:r>
      <w:proofErr w:type="spellStart"/>
      <w:r w:rsidRPr="00C17F2C">
        <w:rPr>
          <w:rFonts w:ascii="Arial" w:hAnsi="Arial" w:cs="Arial"/>
          <w:sz w:val="24"/>
        </w:rPr>
        <w:t>Metode</w:t>
      </w:r>
      <w:proofErr w:type="spellEnd"/>
      <w:r w:rsidRPr="00C17F2C">
        <w:rPr>
          <w:rFonts w:ascii="Arial" w:hAnsi="Arial" w:cs="Arial"/>
          <w:sz w:val="24"/>
        </w:rPr>
        <w:t xml:space="preserve"> Z-Score Altman </w:t>
      </w:r>
      <w:proofErr w:type="spellStart"/>
      <w:r w:rsidRPr="00C17F2C">
        <w:rPr>
          <w:rFonts w:ascii="Arial" w:hAnsi="Arial" w:cs="Arial"/>
          <w:sz w:val="24"/>
        </w:rPr>
        <w:t>pada</w:t>
      </w:r>
      <w:proofErr w:type="spellEnd"/>
      <w:r w:rsidRPr="00C17F2C">
        <w:rPr>
          <w:rFonts w:ascii="Arial" w:hAnsi="Arial" w:cs="Arial"/>
          <w:sz w:val="24"/>
        </w:rPr>
        <w:t xml:space="preserve"> Perusahaan </w:t>
      </w:r>
      <w:proofErr w:type="spellStart"/>
      <w:r w:rsidRPr="00C17F2C">
        <w:rPr>
          <w:rFonts w:ascii="Arial" w:hAnsi="Arial" w:cs="Arial"/>
          <w:sz w:val="24"/>
        </w:rPr>
        <w:t>Sektor</w:t>
      </w:r>
      <w:proofErr w:type="spellEnd"/>
      <w:r w:rsidRPr="00C17F2C">
        <w:rPr>
          <w:rFonts w:ascii="Arial" w:hAnsi="Arial" w:cs="Arial"/>
          <w:sz w:val="24"/>
        </w:rPr>
        <w:t xml:space="preserve"> </w:t>
      </w:r>
      <w:proofErr w:type="spellStart"/>
      <w:r w:rsidRPr="00C17F2C">
        <w:rPr>
          <w:rFonts w:ascii="Arial" w:hAnsi="Arial" w:cs="Arial"/>
          <w:sz w:val="24"/>
        </w:rPr>
        <w:t>Teknologi</w:t>
      </w:r>
      <w:proofErr w:type="spellEnd"/>
      <w:r w:rsidRPr="00C17F2C">
        <w:rPr>
          <w:rFonts w:ascii="Arial" w:hAnsi="Arial" w:cs="Arial"/>
          <w:sz w:val="24"/>
        </w:rPr>
        <w:t xml:space="preserve">. </w:t>
      </w:r>
      <w:proofErr w:type="spellStart"/>
      <w:r w:rsidRPr="00C17F2C">
        <w:rPr>
          <w:rFonts w:ascii="Arial" w:hAnsi="Arial" w:cs="Arial"/>
          <w:sz w:val="24"/>
        </w:rPr>
        <w:t>Jurnal</w:t>
      </w:r>
      <w:proofErr w:type="spellEnd"/>
      <w:r w:rsidRPr="00C17F2C">
        <w:rPr>
          <w:rFonts w:ascii="Arial" w:hAnsi="Arial" w:cs="Arial"/>
          <w:sz w:val="24"/>
        </w:rPr>
        <w:t xml:space="preserve"> </w:t>
      </w:r>
      <w:proofErr w:type="spellStart"/>
      <w:r w:rsidRPr="00C17F2C">
        <w:rPr>
          <w:rFonts w:ascii="Arial" w:hAnsi="Arial" w:cs="Arial"/>
          <w:sz w:val="24"/>
        </w:rPr>
        <w:t>Inovasi</w:t>
      </w:r>
      <w:proofErr w:type="spellEnd"/>
      <w:r w:rsidRPr="00C17F2C">
        <w:rPr>
          <w:rFonts w:ascii="Arial" w:hAnsi="Arial" w:cs="Arial"/>
          <w:sz w:val="24"/>
        </w:rPr>
        <w:t xml:space="preserve"> </w:t>
      </w:r>
      <w:proofErr w:type="spellStart"/>
      <w:r w:rsidRPr="00C17F2C">
        <w:rPr>
          <w:rFonts w:ascii="Arial" w:hAnsi="Arial" w:cs="Arial"/>
          <w:sz w:val="24"/>
        </w:rPr>
        <w:t>Akuntansi</w:t>
      </w:r>
      <w:proofErr w:type="spellEnd"/>
      <w:r w:rsidRPr="00C17F2C">
        <w:rPr>
          <w:rFonts w:ascii="Arial" w:hAnsi="Arial" w:cs="Arial"/>
          <w:sz w:val="24"/>
        </w:rPr>
        <w:t xml:space="preserve">, </w:t>
      </w:r>
      <w:proofErr w:type="gramStart"/>
      <w:r w:rsidRPr="00C17F2C">
        <w:rPr>
          <w:rFonts w:ascii="Arial" w:hAnsi="Arial" w:cs="Arial"/>
          <w:sz w:val="24"/>
        </w:rPr>
        <w:t>v1(</w:t>
      </w:r>
      <w:proofErr w:type="gramEnd"/>
      <w:r w:rsidRPr="00C17F2C">
        <w:rPr>
          <w:rFonts w:ascii="Arial" w:hAnsi="Arial" w:cs="Arial"/>
          <w:sz w:val="24"/>
        </w:rPr>
        <w:t xml:space="preserve">2). Available at: </w:t>
      </w:r>
      <w:hyperlink r:id="rId13" w:history="1">
        <w:r w:rsidR="001A7CD3" w:rsidRPr="007B488C">
          <w:rPr>
            <w:rStyle w:val="Hyperlink"/>
            <w:rFonts w:ascii="Arial" w:hAnsi="Arial" w:cs="Arial"/>
            <w:sz w:val="24"/>
          </w:rPr>
          <w:t>https://doi.org/10.36733/jia.v1i2.7591</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proofErr w:type="spellStart"/>
      <w:r w:rsidRPr="00C17F2C">
        <w:rPr>
          <w:rFonts w:ascii="Arial" w:hAnsi="Arial" w:cs="Arial"/>
          <w:sz w:val="24"/>
        </w:rPr>
        <w:t>Brealey</w:t>
      </w:r>
      <w:proofErr w:type="spellEnd"/>
      <w:r w:rsidRPr="00C17F2C">
        <w:rPr>
          <w:rFonts w:ascii="Arial" w:hAnsi="Arial" w:cs="Arial"/>
          <w:sz w:val="24"/>
        </w:rPr>
        <w:t>, R., Myers, S. &amp; Allen, F., 2023. Principles of Corporate Finance. 14th ed. McGraw-Hill. Available at: https://en.wikipedia.org/wiki/Principles_of_Corporate_Finance</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Ross, S., </w:t>
      </w:r>
      <w:proofErr w:type="spellStart"/>
      <w:r w:rsidRPr="00C17F2C">
        <w:rPr>
          <w:rFonts w:ascii="Arial" w:hAnsi="Arial" w:cs="Arial"/>
          <w:sz w:val="24"/>
        </w:rPr>
        <w:t>Westerfield</w:t>
      </w:r>
      <w:proofErr w:type="spellEnd"/>
      <w:r w:rsidRPr="00C17F2C">
        <w:rPr>
          <w:rFonts w:ascii="Arial" w:hAnsi="Arial" w:cs="Arial"/>
          <w:sz w:val="24"/>
        </w:rPr>
        <w:t xml:space="preserve">, R., Jordan, B., Roberts, G. &amp; </w:t>
      </w:r>
      <w:proofErr w:type="spellStart"/>
      <w:r w:rsidRPr="00C17F2C">
        <w:rPr>
          <w:rFonts w:ascii="Arial" w:hAnsi="Arial" w:cs="Arial"/>
          <w:sz w:val="24"/>
        </w:rPr>
        <w:t>Laster</w:t>
      </w:r>
      <w:proofErr w:type="spellEnd"/>
      <w:r w:rsidRPr="00C17F2C">
        <w:rPr>
          <w:rFonts w:ascii="Arial" w:hAnsi="Arial" w:cs="Arial"/>
          <w:sz w:val="24"/>
        </w:rPr>
        <w:t>, D., 2024. Corporate Finance Fundamentals. 5th ed. McGraw-Hill Education.</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Hillier, D. et al., 2023. Corporate Finance: European Edition. 5th ed. McGraw-Hill.</w:t>
      </w:r>
    </w:p>
    <w:p w:rsidR="00C17F2C" w:rsidRPr="00C17F2C" w:rsidRDefault="00C17F2C" w:rsidP="00C17F2C">
      <w:pPr>
        <w:spacing w:line="360" w:lineRule="auto"/>
        <w:jc w:val="both"/>
        <w:rPr>
          <w:rFonts w:ascii="Arial" w:hAnsi="Arial" w:cs="Arial"/>
          <w:sz w:val="24"/>
        </w:rPr>
      </w:pPr>
      <w:proofErr w:type="spellStart"/>
      <w:r w:rsidRPr="00C17F2C">
        <w:rPr>
          <w:rFonts w:ascii="Arial" w:hAnsi="Arial" w:cs="Arial"/>
          <w:sz w:val="24"/>
        </w:rPr>
        <w:t>Atrill</w:t>
      </w:r>
      <w:proofErr w:type="spellEnd"/>
      <w:r w:rsidRPr="00C17F2C">
        <w:rPr>
          <w:rFonts w:ascii="Arial" w:hAnsi="Arial" w:cs="Arial"/>
          <w:sz w:val="24"/>
        </w:rPr>
        <w:t xml:space="preserve">, P. &amp; </w:t>
      </w:r>
      <w:proofErr w:type="spellStart"/>
      <w:r w:rsidRPr="00C17F2C">
        <w:rPr>
          <w:rFonts w:ascii="Arial" w:hAnsi="Arial" w:cs="Arial"/>
          <w:sz w:val="24"/>
        </w:rPr>
        <w:t>McLaney</w:t>
      </w:r>
      <w:proofErr w:type="spellEnd"/>
      <w:r w:rsidRPr="00C17F2C">
        <w:rPr>
          <w:rFonts w:ascii="Arial" w:hAnsi="Arial" w:cs="Arial"/>
          <w:sz w:val="24"/>
        </w:rPr>
        <w:t>, E., 2024. Accounting and Finance for Non-Specialists. 12th ed. Pearson.</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Altman, E.I., Hotchkiss, E. &amp; Wang, W., 2022. Corporate Financial Distress, Restructuring &amp; Bankruptcy. 5th ed. Wiley.</w:t>
      </w:r>
    </w:p>
    <w:p w:rsidR="00C17F2C" w:rsidRPr="00C17F2C" w:rsidRDefault="00C17F2C" w:rsidP="00C17F2C">
      <w:pPr>
        <w:spacing w:line="360" w:lineRule="auto"/>
        <w:jc w:val="both"/>
        <w:rPr>
          <w:rFonts w:ascii="Arial" w:hAnsi="Arial" w:cs="Arial"/>
          <w:sz w:val="24"/>
        </w:rPr>
      </w:pPr>
      <w:proofErr w:type="spellStart"/>
      <w:r w:rsidRPr="00C17F2C">
        <w:rPr>
          <w:rFonts w:ascii="Arial" w:hAnsi="Arial" w:cs="Arial"/>
          <w:sz w:val="24"/>
        </w:rPr>
        <w:lastRenderedPageBreak/>
        <w:t>Springate</w:t>
      </w:r>
      <w:proofErr w:type="spellEnd"/>
      <w:r w:rsidRPr="00C17F2C">
        <w:rPr>
          <w:rFonts w:ascii="Arial" w:hAnsi="Arial" w:cs="Arial"/>
          <w:sz w:val="24"/>
        </w:rPr>
        <w:t xml:space="preserve">, G., 2025. Capital Budgeting Techniques and Financial Performance. Journal of Financial Studies. Available at: </w:t>
      </w:r>
      <w:hyperlink r:id="rId14" w:history="1">
        <w:r w:rsidR="001A7CD3" w:rsidRPr="007B488C">
          <w:rPr>
            <w:rStyle w:val="Hyperlink"/>
            <w:rFonts w:ascii="Arial" w:hAnsi="Arial" w:cs="Arial"/>
            <w:sz w:val="24"/>
          </w:rPr>
          <w:t>https://www.tandfonline.com/doi/full/10.1080/23322039.2024.2404707</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Working capital management and profitability, Journal of Innovation and Entrepreneurship, 13:23 (2024). Available at: </w:t>
      </w:r>
      <w:hyperlink r:id="rId15" w:history="1">
        <w:r w:rsidR="001A7CD3" w:rsidRPr="007B488C">
          <w:rPr>
            <w:rStyle w:val="Hyperlink"/>
            <w:rFonts w:ascii="Arial" w:hAnsi="Arial" w:cs="Arial"/>
            <w:sz w:val="24"/>
          </w:rPr>
          <w:t>https://innovation-entrepreneurship.springeropen.com/articles/10.1186/s13731-024-00379-3</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Discounted cash flow, Wikipedia, 2025. Available at: </w:t>
      </w:r>
      <w:hyperlink r:id="rId16" w:history="1">
        <w:r w:rsidR="001A7CD3" w:rsidRPr="007B488C">
          <w:rPr>
            <w:rStyle w:val="Hyperlink"/>
            <w:rFonts w:ascii="Arial" w:hAnsi="Arial" w:cs="Arial"/>
            <w:sz w:val="24"/>
          </w:rPr>
          <w:t>https://en.wikipedia.org/wiki/Discounted_cash_flow</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Outline of corporate finance (2025). Wikipedia. Available at: </w:t>
      </w:r>
      <w:hyperlink r:id="rId17" w:history="1">
        <w:r w:rsidR="001A7CD3" w:rsidRPr="007B488C">
          <w:rPr>
            <w:rStyle w:val="Hyperlink"/>
            <w:rFonts w:ascii="Arial" w:hAnsi="Arial" w:cs="Arial"/>
            <w:sz w:val="24"/>
          </w:rPr>
          <w:t>https://en.wikipedia.org/wiki/Outline_of_corporate_finance</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proofErr w:type="spellStart"/>
      <w:r w:rsidRPr="00C17F2C">
        <w:rPr>
          <w:rFonts w:ascii="Arial" w:hAnsi="Arial" w:cs="Arial"/>
          <w:sz w:val="24"/>
        </w:rPr>
        <w:t>Brealey</w:t>
      </w:r>
      <w:proofErr w:type="spellEnd"/>
      <w:r w:rsidRPr="00C17F2C">
        <w:rPr>
          <w:rFonts w:ascii="Arial" w:hAnsi="Arial" w:cs="Arial"/>
          <w:sz w:val="24"/>
        </w:rPr>
        <w:t xml:space="preserve"> et al., Principles of Corporate Finance (14th ed.) — foundational corporate finance concepts. Available at: </w:t>
      </w:r>
      <w:hyperlink r:id="rId18" w:history="1">
        <w:r w:rsidR="001A7CD3" w:rsidRPr="007B488C">
          <w:rPr>
            <w:rStyle w:val="Hyperlink"/>
            <w:rFonts w:ascii="Arial" w:hAnsi="Arial" w:cs="Arial"/>
            <w:sz w:val="24"/>
          </w:rPr>
          <w:t>https://en.wikipedia.org/wiki/Principles_of_Corporate_Finance</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Finance Reading: NPV and Capital Budgeting, Harvard Business School. Available at: </w:t>
      </w:r>
      <w:hyperlink r:id="rId19" w:history="1">
        <w:r w:rsidR="001A7CD3" w:rsidRPr="007B488C">
          <w:rPr>
            <w:rStyle w:val="Hyperlink"/>
            <w:rFonts w:ascii="Arial" w:hAnsi="Arial" w:cs="Arial"/>
            <w:sz w:val="24"/>
          </w:rPr>
          <w:t>https://hbsp.harvard.edu/product/5176-PDF-ENG</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International Journal of Economics, Business and Management Research, 2025. Financial Distress and Altman Z-Score Discussion. Available at: </w:t>
      </w:r>
      <w:hyperlink r:id="rId20" w:history="1">
        <w:r w:rsidR="001A7CD3" w:rsidRPr="007B488C">
          <w:rPr>
            <w:rStyle w:val="Hyperlink"/>
            <w:rFonts w:ascii="Arial" w:hAnsi="Arial" w:cs="Arial"/>
            <w:sz w:val="24"/>
          </w:rPr>
          <w:t>https://www.ijebmr.com/uploads/pdf/archivepdf/2025/IJEBMR_1551.pdf</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Sari, D.M. &amp; </w:t>
      </w:r>
      <w:proofErr w:type="spellStart"/>
      <w:r w:rsidRPr="00C17F2C">
        <w:rPr>
          <w:rFonts w:ascii="Arial" w:hAnsi="Arial" w:cs="Arial"/>
          <w:sz w:val="24"/>
        </w:rPr>
        <w:t>Mislinawati</w:t>
      </w:r>
      <w:proofErr w:type="spellEnd"/>
      <w:r w:rsidRPr="00C17F2C">
        <w:rPr>
          <w:rFonts w:ascii="Arial" w:hAnsi="Arial" w:cs="Arial"/>
          <w:sz w:val="24"/>
        </w:rPr>
        <w:t xml:space="preserve">, M., Navigating Financial Distress: Altman Z-Score Predictive Power on Stock Performance. </w:t>
      </w:r>
      <w:proofErr w:type="spellStart"/>
      <w:r w:rsidRPr="00C17F2C">
        <w:rPr>
          <w:rFonts w:ascii="Arial" w:hAnsi="Arial" w:cs="Arial"/>
          <w:sz w:val="24"/>
        </w:rPr>
        <w:t>Jurnal</w:t>
      </w:r>
      <w:proofErr w:type="spellEnd"/>
      <w:r w:rsidRPr="00C17F2C">
        <w:rPr>
          <w:rFonts w:ascii="Arial" w:hAnsi="Arial" w:cs="Arial"/>
          <w:sz w:val="24"/>
        </w:rPr>
        <w:t xml:space="preserve"> </w:t>
      </w:r>
      <w:proofErr w:type="spellStart"/>
      <w:r w:rsidRPr="00C17F2C">
        <w:rPr>
          <w:rFonts w:ascii="Arial" w:hAnsi="Arial" w:cs="Arial"/>
          <w:sz w:val="24"/>
        </w:rPr>
        <w:t>Sains</w:t>
      </w:r>
      <w:proofErr w:type="spellEnd"/>
      <w:r w:rsidRPr="00C17F2C">
        <w:rPr>
          <w:rFonts w:ascii="Arial" w:hAnsi="Arial" w:cs="Arial"/>
          <w:sz w:val="24"/>
        </w:rPr>
        <w:t xml:space="preserve"> </w:t>
      </w:r>
      <w:proofErr w:type="spellStart"/>
      <w:r w:rsidRPr="00C17F2C">
        <w:rPr>
          <w:rFonts w:ascii="Arial" w:hAnsi="Arial" w:cs="Arial"/>
          <w:sz w:val="24"/>
        </w:rPr>
        <w:t>Riset</w:t>
      </w:r>
      <w:proofErr w:type="spellEnd"/>
      <w:r w:rsidRPr="00C17F2C">
        <w:rPr>
          <w:rFonts w:ascii="Arial" w:hAnsi="Arial" w:cs="Arial"/>
          <w:sz w:val="24"/>
        </w:rPr>
        <w:t xml:space="preserve">. Available at: </w:t>
      </w:r>
      <w:hyperlink r:id="rId21" w:history="1">
        <w:r w:rsidR="001A7CD3" w:rsidRPr="007B488C">
          <w:rPr>
            <w:rStyle w:val="Hyperlink"/>
            <w:rFonts w:ascii="Arial" w:hAnsi="Arial" w:cs="Arial"/>
            <w:sz w:val="24"/>
          </w:rPr>
          <w:t>https://journal.unigha.ac.id/index.php/JSR/article/view/2086/0</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International Journal of Business &amp; Management Science, 2025. Altman, </w:t>
      </w:r>
      <w:proofErr w:type="spellStart"/>
      <w:r w:rsidRPr="00C17F2C">
        <w:rPr>
          <w:rFonts w:ascii="Arial" w:hAnsi="Arial" w:cs="Arial"/>
          <w:sz w:val="24"/>
        </w:rPr>
        <w:t>Zmijewski</w:t>
      </w:r>
      <w:proofErr w:type="spellEnd"/>
      <w:r w:rsidRPr="00C17F2C">
        <w:rPr>
          <w:rFonts w:ascii="Arial" w:hAnsi="Arial" w:cs="Arial"/>
          <w:sz w:val="24"/>
        </w:rPr>
        <w:t xml:space="preserve">, and bankruptcy models. Available at: </w:t>
      </w:r>
      <w:hyperlink r:id="rId22" w:history="1">
        <w:r w:rsidR="001A7CD3" w:rsidRPr="007B488C">
          <w:rPr>
            <w:rStyle w:val="Hyperlink"/>
            <w:rFonts w:ascii="Arial" w:hAnsi="Arial" w:cs="Arial"/>
            <w:sz w:val="24"/>
          </w:rPr>
          <w:t>https://eijbms.com/index.php/ms/article/download/224/210/488</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Digital Transformation and Corporate Financial Asset Allocation (2025). Available at: </w:t>
      </w:r>
      <w:hyperlink r:id="rId23" w:history="1">
        <w:r w:rsidR="001A7CD3" w:rsidRPr="007B488C">
          <w:rPr>
            <w:rStyle w:val="Hyperlink"/>
            <w:rFonts w:ascii="Arial" w:hAnsi="Arial" w:cs="Arial"/>
            <w:sz w:val="24"/>
          </w:rPr>
          <w:t>https://arxiv.org/abs/2509.09095</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lastRenderedPageBreak/>
        <w:t xml:space="preserve">Digital transformation: systematic review (2024). Available at: </w:t>
      </w:r>
      <w:hyperlink r:id="rId24" w:history="1">
        <w:r w:rsidR="001A7CD3" w:rsidRPr="007B488C">
          <w:rPr>
            <w:rStyle w:val="Hyperlink"/>
            <w:rFonts w:ascii="Arial" w:hAnsi="Arial" w:cs="Arial"/>
            <w:sz w:val="24"/>
          </w:rPr>
          <w:t>https://arxiv.org/abs/2412.19817</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Working capital, sources &amp; investment appraisal, </w:t>
      </w:r>
      <w:proofErr w:type="spellStart"/>
      <w:r w:rsidRPr="00C17F2C">
        <w:rPr>
          <w:rFonts w:ascii="Arial" w:hAnsi="Arial" w:cs="Arial"/>
          <w:sz w:val="24"/>
        </w:rPr>
        <w:t>Desklib</w:t>
      </w:r>
      <w:proofErr w:type="spellEnd"/>
      <w:r w:rsidRPr="00C17F2C">
        <w:rPr>
          <w:rFonts w:ascii="Arial" w:hAnsi="Arial" w:cs="Arial"/>
          <w:sz w:val="24"/>
        </w:rPr>
        <w:t xml:space="preserve"> (2024). Available at: </w:t>
      </w:r>
      <w:hyperlink r:id="rId25" w:history="1">
        <w:r w:rsidR="001A7CD3" w:rsidRPr="007B488C">
          <w:rPr>
            <w:rStyle w:val="Hyperlink"/>
            <w:rFonts w:ascii="Arial" w:hAnsi="Arial" w:cs="Arial"/>
            <w:sz w:val="24"/>
          </w:rPr>
          <w:t>https://desklib.com/study-documents/business-finance-investment</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Business Finance: Investment Appraisal — </w:t>
      </w:r>
      <w:proofErr w:type="spellStart"/>
      <w:r w:rsidRPr="00C17F2C">
        <w:rPr>
          <w:rFonts w:ascii="Arial" w:hAnsi="Arial" w:cs="Arial"/>
          <w:sz w:val="24"/>
        </w:rPr>
        <w:t>Desklib</w:t>
      </w:r>
      <w:proofErr w:type="spellEnd"/>
      <w:r w:rsidRPr="00C17F2C">
        <w:rPr>
          <w:rFonts w:ascii="Arial" w:hAnsi="Arial" w:cs="Arial"/>
          <w:sz w:val="24"/>
        </w:rPr>
        <w:t xml:space="preserve"> overview (2024). Available at: </w:t>
      </w:r>
      <w:hyperlink r:id="rId26" w:history="1">
        <w:r w:rsidR="001A7CD3" w:rsidRPr="007B488C">
          <w:rPr>
            <w:rStyle w:val="Hyperlink"/>
            <w:rFonts w:ascii="Arial" w:hAnsi="Arial" w:cs="Arial"/>
            <w:sz w:val="24"/>
          </w:rPr>
          <w:t>https://desklib.com/study-documents/finance-investment-appraisal-2/</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proofErr w:type="spellStart"/>
      <w:r w:rsidRPr="00C17F2C">
        <w:rPr>
          <w:rFonts w:ascii="Arial" w:hAnsi="Arial" w:cs="Arial"/>
          <w:sz w:val="24"/>
        </w:rPr>
        <w:t>Puji</w:t>
      </w:r>
      <w:proofErr w:type="spellEnd"/>
      <w:r w:rsidRPr="00C17F2C">
        <w:rPr>
          <w:rFonts w:ascii="Arial" w:hAnsi="Arial" w:cs="Arial"/>
          <w:sz w:val="24"/>
        </w:rPr>
        <w:t xml:space="preserve"> Lestari et al., 2022. Analysis </w:t>
      </w:r>
      <w:proofErr w:type="gramStart"/>
      <w:r w:rsidRPr="00C17F2C">
        <w:rPr>
          <w:rFonts w:ascii="Arial" w:hAnsi="Arial" w:cs="Arial"/>
          <w:sz w:val="24"/>
        </w:rPr>
        <w:t>Of</w:t>
      </w:r>
      <w:proofErr w:type="gramEnd"/>
      <w:r w:rsidRPr="00C17F2C">
        <w:rPr>
          <w:rFonts w:ascii="Arial" w:hAnsi="Arial" w:cs="Arial"/>
          <w:sz w:val="24"/>
        </w:rPr>
        <w:t xml:space="preserve"> The Effect Of The Altman Z-Score Method On Financial Distress. Int. Journal of Educational Research &amp; Social Sciences, </w:t>
      </w:r>
      <w:proofErr w:type="gramStart"/>
      <w:r w:rsidRPr="00C17F2C">
        <w:rPr>
          <w:rFonts w:ascii="Arial" w:hAnsi="Arial" w:cs="Arial"/>
          <w:sz w:val="24"/>
        </w:rPr>
        <w:t>v3(</w:t>
      </w:r>
      <w:proofErr w:type="gramEnd"/>
      <w:r w:rsidRPr="00C17F2C">
        <w:rPr>
          <w:rFonts w:ascii="Arial" w:hAnsi="Arial" w:cs="Arial"/>
          <w:sz w:val="24"/>
        </w:rPr>
        <w:t xml:space="preserve">1). Available at: </w:t>
      </w:r>
      <w:hyperlink r:id="rId27" w:history="1">
        <w:r w:rsidR="001A7CD3" w:rsidRPr="007B488C">
          <w:rPr>
            <w:rStyle w:val="Hyperlink"/>
            <w:rFonts w:ascii="Arial" w:hAnsi="Arial" w:cs="Arial"/>
            <w:sz w:val="24"/>
          </w:rPr>
          <w:t>https://doi.org/10.51601/ijersc.v3i1.254</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Altman Z-Score Model in Corporate Bankruptcy Prediction, International Journal of Business &amp; Management (2025). Available at: </w:t>
      </w:r>
      <w:hyperlink r:id="rId28" w:history="1">
        <w:r w:rsidR="001A7CD3" w:rsidRPr="007B488C">
          <w:rPr>
            <w:rStyle w:val="Hyperlink"/>
            <w:rFonts w:ascii="Arial" w:hAnsi="Arial" w:cs="Arial"/>
            <w:sz w:val="24"/>
          </w:rPr>
          <w:t>https://eijbms.com/index.php/ms/article/download/224/210/488</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Principles of Finance, </w:t>
      </w:r>
      <w:proofErr w:type="spellStart"/>
      <w:r w:rsidRPr="00C17F2C">
        <w:rPr>
          <w:rFonts w:ascii="Arial" w:hAnsi="Arial" w:cs="Arial"/>
          <w:sz w:val="24"/>
        </w:rPr>
        <w:t>OpenStax</w:t>
      </w:r>
      <w:proofErr w:type="spellEnd"/>
      <w:r w:rsidRPr="00C17F2C">
        <w:rPr>
          <w:rFonts w:ascii="Arial" w:hAnsi="Arial" w:cs="Arial"/>
          <w:sz w:val="24"/>
        </w:rPr>
        <w:t xml:space="preserve"> (textbook). Available at: </w:t>
      </w:r>
      <w:hyperlink r:id="rId29" w:history="1">
        <w:r w:rsidR="001A7CD3" w:rsidRPr="007B488C">
          <w:rPr>
            <w:rStyle w:val="Hyperlink"/>
            <w:rFonts w:ascii="Arial" w:hAnsi="Arial" w:cs="Arial"/>
            <w:sz w:val="24"/>
          </w:rPr>
          <w:t>https://assets.openstax.org/oscms-prodcms/media/documents/PrinciplesofFinance-WEB.pdf</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Corporate Finance, 13th Ed. (Ross et al.). </w:t>
      </w:r>
      <w:proofErr w:type="spellStart"/>
      <w:r w:rsidRPr="00C17F2C">
        <w:rPr>
          <w:rFonts w:ascii="Arial" w:hAnsi="Arial" w:cs="Arial"/>
          <w:sz w:val="24"/>
        </w:rPr>
        <w:t>Studylib</w:t>
      </w:r>
      <w:proofErr w:type="spellEnd"/>
      <w:r w:rsidRPr="00C17F2C">
        <w:rPr>
          <w:rFonts w:ascii="Arial" w:hAnsi="Arial" w:cs="Arial"/>
          <w:sz w:val="24"/>
        </w:rPr>
        <w:t xml:space="preserve"> overview. Available at: </w:t>
      </w:r>
      <w:hyperlink r:id="rId30" w:history="1">
        <w:r w:rsidR="001A7CD3" w:rsidRPr="007B488C">
          <w:rPr>
            <w:rStyle w:val="Hyperlink"/>
            <w:rFonts w:ascii="Arial" w:hAnsi="Arial" w:cs="Arial"/>
            <w:sz w:val="24"/>
          </w:rPr>
          <w:t>https://studylib.net/doc/27627577/corporate-finance-13th-edition—ross–westerfield–jaffe-</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Capital budgeting and cash flow analysis — academic overview. Available at: </w:t>
      </w:r>
      <w:hyperlink r:id="rId31" w:history="1">
        <w:r w:rsidR="001A7CD3" w:rsidRPr="007B488C">
          <w:rPr>
            <w:rStyle w:val="Hyperlink"/>
            <w:rFonts w:ascii="Arial" w:hAnsi="Arial" w:cs="Arial"/>
            <w:sz w:val="24"/>
          </w:rPr>
          <w:t>https://hbsp.harvard.edu/product/5176-PDF-ENG</w:t>
        </w:r>
      </w:hyperlink>
      <w:r w:rsidR="001A7CD3">
        <w:rPr>
          <w:rFonts w:ascii="Arial" w:hAnsi="Arial" w:cs="Arial"/>
          <w:sz w:val="24"/>
        </w:rPr>
        <w:t xml:space="preserve"> </w:t>
      </w:r>
    </w:p>
    <w:p w:rsidR="00C17F2C" w:rsidRPr="00C17F2C" w:rsidRDefault="00C17F2C" w:rsidP="00C17F2C">
      <w:pPr>
        <w:spacing w:line="360" w:lineRule="auto"/>
        <w:jc w:val="both"/>
        <w:rPr>
          <w:rFonts w:ascii="Arial" w:hAnsi="Arial" w:cs="Arial"/>
          <w:sz w:val="24"/>
        </w:rPr>
      </w:pPr>
      <w:r w:rsidRPr="00C17F2C">
        <w:rPr>
          <w:rFonts w:ascii="Arial" w:hAnsi="Arial" w:cs="Arial"/>
          <w:sz w:val="24"/>
        </w:rPr>
        <w:t xml:space="preserve">ESG indicators &amp; corporate performance (2025). Available at: </w:t>
      </w:r>
      <w:hyperlink r:id="rId32" w:history="1">
        <w:r w:rsidR="001A7CD3" w:rsidRPr="007B488C">
          <w:rPr>
            <w:rStyle w:val="Hyperlink"/>
            <w:rFonts w:ascii="Arial" w:hAnsi="Arial" w:cs="Arial"/>
            <w:sz w:val="24"/>
          </w:rPr>
          <w:t>https://fbj.springeropen.com/articles/10.1186/s43093-025-00539-1</w:t>
        </w:r>
      </w:hyperlink>
      <w:r w:rsidR="001A7CD3">
        <w:rPr>
          <w:rFonts w:ascii="Arial" w:hAnsi="Arial" w:cs="Arial"/>
          <w:sz w:val="24"/>
        </w:rPr>
        <w:t xml:space="preserve"> </w:t>
      </w:r>
    </w:p>
    <w:p w:rsidR="008C1CBD" w:rsidRDefault="00C17F2C" w:rsidP="00C17F2C">
      <w:pPr>
        <w:spacing w:line="360" w:lineRule="auto"/>
        <w:jc w:val="both"/>
        <w:rPr>
          <w:rFonts w:ascii="Arial" w:hAnsi="Arial" w:cs="Arial"/>
          <w:sz w:val="24"/>
        </w:rPr>
      </w:pPr>
      <w:r w:rsidRPr="00C17F2C">
        <w:rPr>
          <w:rFonts w:ascii="Arial" w:hAnsi="Arial" w:cs="Arial"/>
          <w:sz w:val="24"/>
        </w:rPr>
        <w:t xml:space="preserve">Cost of equity and investment sensitivity to cash flows (2025). Available at: </w:t>
      </w:r>
      <w:hyperlink r:id="rId33" w:history="1">
        <w:r w:rsidR="001A7CD3" w:rsidRPr="007B488C">
          <w:rPr>
            <w:rStyle w:val="Hyperlink"/>
            <w:rFonts w:ascii="Arial" w:hAnsi="Arial" w:cs="Arial"/>
            <w:sz w:val="24"/>
          </w:rPr>
          <w:t>https://fbj.springeropen.com/articles/10.1186/s43093-025-00637-0</w:t>
        </w:r>
      </w:hyperlink>
      <w:r w:rsidR="00AB662C" w:rsidRPr="00C17F2C">
        <w:rPr>
          <w:rFonts w:ascii="Arial" w:hAnsi="Arial" w:cs="Arial"/>
          <w:sz w:val="24"/>
        </w:rPr>
        <w:t>.</w:t>
      </w:r>
      <w:r w:rsidR="001A7CD3">
        <w:rPr>
          <w:rFonts w:ascii="Arial" w:hAnsi="Arial" w:cs="Arial"/>
          <w:sz w:val="24"/>
        </w:rPr>
        <w:t xml:space="preserve"> </w:t>
      </w:r>
    </w:p>
    <w:p w:rsidR="001A7CD3" w:rsidRPr="00C17F2C" w:rsidRDefault="001A7CD3" w:rsidP="00C17F2C">
      <w:pPr>
        <w:spacing w:line="360" w:lineRule="auto"/>
        <w:jc w:val="both"/>
        <w:rPr>
          <w:rFonts w:ascii="Arial" w:hAnsi="Arial" w:cs="Arial"/>
          <w:sz w:val="24"/>
        </w:rPr>
      </w:pPr>
    </w:p>
    <w:p w:rsidR="008C1CBD" w:rsidRDefault="008C1CBD" w:rsidP="00515566">
      <w:pPr>
        <w:spacing w:line="360" w:lineRule="auto"/>
        <w:jc w:val="both"/>
        <w:rPr>
          <w:rFonts w:ascii="Arial" w:hAnsi="Arial" w:cs="Arial"/>
          <w:sz w:val="24"/>
        </w:rPr>
      </w:pPr>
    </w:p>
    <w:p w:rsidR="00E82E35" w:rsidRPr="00E86537" w:rsidRDefault="00360C1E" w:rsidP="006662CF">
      <w:pPr>
        <w:pStyle w:val="Heading1"/>
        <w:spacing w:after="240"/>
        <w:rPr>
          <w:rFonts w:cs="Arial"/>
        </w:rPr>
      </w:pPr>
      <w:bookmarkStart w:id="48" w:name="_Toc217216314"/>
      <w:r w:rsidRPr="00E86537">
        <w:rPr>
          <w:rFonts w:cs="Arial"/>
        </w:rPr>
        <w:lastRenderedPageBreak/>
        <w:t>7</w:t>
      </w:r>
      <w:r w:rsidR="00E82E35" w:rsidRPr="00E86537">
        <w:rPr>
          <w:rFonts w:cs="Arial"/>
        </w:rPr>
        <w:t>. Appendices</w:t>
      </w:r>
      <w:bookmarkEnd w:id="48"/>
    </w:p>
    <w:p w:rsidR="003B255E" w:rsidRPr="00FC0EF0" w:rsidRDefault="003B255E" w:rsidP="006662CF">
      <w:pPr>
        <w:spacing w:after="240"/>
        <w:rPr>
          <w:rFonts w:ascii="Arial" w:hAnsi="Arial" w:cs="Arial"/>
          <w:b/>
          <w:sz w:val="24"/>
          <w:szCs w:val="24"/>
        </w:rPr>
      </w:pPr>
      <w:r w:rsidRPr="00FC0EF0">
        <w:rPr>
          <w:rFonts w:ascii="Arial" w:hAnsi="Arial" w:cs="Arial"/>
          <w:b/>
          <w:sz w:val="24"/>
          <w:szCs w:val="24"/>
        </w:rPr>
        <w:t>Appe</w:t>
      </w:r>
      <w:r w:rsidR="00FC0EF0" w:rsidRPr="00FC0EF0">
        <w:rPr>
          <w:rFonts w:ascii="Arial" w:hAnsi="Arial" w:cs="Arial"/>
          <w:b/>
          <w:sz w:val="24"/>
          <w:szCs w:val="24"/>
        </w:rPr>
        <w:t>ndix A: Financial Ratios Tables</w:t>
      </w:r>
    </w:p>
    <w:p w:rsidR="003B255E" w:rsidRPr="00FC0EF0" w:rsidRDefault="003B255E" w:rsidP="006662CF">
      <w:pPr>
        <w:spacing w:after="240" w:line="360" w:lineRule="auto"/>
        <w:jc w:val="both"/>
        <w:rPr>
          <w:rFonts w:ascii="Arial" w:hAnsi="Arial" w:cs="Arial"/>
          <w:b/>
          <w:sz w:val="24"/>
          <w:szCs w:val="24"/>
        </w:rPr>
      </w:pPr>
      <w:r w:rsidRPr="00FC0EF0">
        <w:rPr>
          <w:rFonts w:ascii="Arial" w:hAnsi="Arial" w:cs="Arial"/>
          <w:b/>
          <w:sz w:val="24"/>
          <w:szCs w:val="24"/>
        </w:rPr>
        <w:t>A.1 Profitability Ratios</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FC0EF0" w:rsidRPr="00FC0EF0" w:rsidTr="00FC0EF0">
        <w:tc>
          <w:tcPr>
            <w:tcW w:w="1558" w:type="dxa"/>
          </w:tcPr>
          <w:p w:rsidR="00FC0EF0" w:rsidRPr="00FC0EF0" w:rsidRDefault="00FC0EF0" w:rsidP="00FC0EF0">
            <w:pPr>
              <w:spacing w:line="360" w:lineRule="auto"/>
              <w:jc w:val="both"/>
              <w:rPr>
                <w:rFonts w:ascii="Arial" w:hAnsi="Arial" w:cs="Arial"/>
                <w:b/>
                <w:sz w:val="24"/>
              </w:rPr>
            </w:pPr>
            <w:r w:rsidRPr="00FC0EF0">
              <w:rPr>
                <w:rFonts w:ascii="Arial" w:hAnsi="Arial" w:cs="Arial"/>
                <w:b/>
                <w:sz w:val="24"/>
              </w:rPr>
              <w:t>Year</w:t>
            </w:r>
          </w:p>
        </w:tc>
        <w:tc>
          <w:tcPr>
            <w:tcW w:w="1558" w:type="dxa"/>
          </w:tcPr>
          <w:p w:rsidR="00FC0EF0" w:rsidRPr="00FC0EF0" w:rsidRDefault="00FC0EF0" w:rsidP="00FC0EF0">
            <w:pPr>
              <w:spacing w:line="360" w:lineRule="auto"/>
              <w:jc w:val="both"/>
              <w:rPr>
                <w:rFonts w:ascii="Arial" w:hAnsi="Arial" w:cs="Arial"/>
                <w:b/>
                <w:sz w:val="24"/>
              </w:rPr>
            </w:pPr>
            <w:r w:rsidRPr="00FC0EF0">
              <w:rPr>
                <w:rFonts w:ascii="Arial" w:hAnsi="Arial" w:cs="Arial"/>
                <w:b/>
                <w:sz w:val="24"/>
              </w:rPr>
              <w:t>GPM (%)</w:t>
            </w:r>
          </w:p>
        </w:tc>
        <w:tc>
          <w:tcPr>
            <w:tcW w:w="1558" w:type="dxa"/>
          </w:tcPr>
          <w:p w:rsidR="00FC0EF0" w:rsidRPr="00FC0EF0" w:rsidRDefault="00FC0EF0" w:rsidP="00FC0EF0">
            <w:pPr>
              <w:spacing w:line="360" w:lineRule="auto"/>
              <w:jc w:val="both"/>
              <w:rPr>
                <w:rFonts w:ascii="Arial" w:hAnsi="Arial" w:cs="Arial"/>
                <w:b/>
                <w:sz w:val="24"/>
              </w:rPr>
            </w:pPr>
            <w:r w:rsidRPr="00FC0EF0">
              <w:rPr>
                <w:rFonts w:ascii="Arial" w:hAnsi="Arial" w:cs="Arial"/>
                <w:b/>
                <w:sz w:val="24"/>
              </w:rPr>
              <w:t>OPM (%)</w:t>
            </w:r>
          </w:p>
        </w:tc>
        <w:tc>
          <w:tcPr>
            <w:tcW w:w="1558" w:type="dxa"/>
          </w:tcPr>
          <w:p w:rsidR="00FC0EF0" w:rsidRPr="00FC0EF0" w:rsidRDefault="00FC0EF0" w:rsidP="00FC0EF0">
            <w:pPr>
              <w:spacing w:line="360" w:lineRule="auto"/>
              <w:jc w:val="both"/>
              <w:rPr>
                <w:rFonts w:ascii="Arial" w:hAnsi="Arial" w:cs="Arial"/>
                <w:b/>
                <w:sz w:val="24"/>
              </w:rPr>
            </w:pPr>
            <w:r w:rsidRPr="00FC0EF0">
              <w:rPr>
                <w:rFonts w:ascii="Arial" w:hAnsi="Arial" w:cs="Arial"/>
                <w:b/>
                <w:sz w:val="24"/>
              </w:rPr>
              <w:t>NPM (%)</w:t>
            </w:r>
          </w:p>
        </w:tc>
        <w:tc>
          <w:tcPr>
            <w:tcW w:w="1559" w:type="dxa"/>
          </w:tcPr>
          <w:p w:rsidR="00FC0EF0" w:rsidRPr="00FC0EF0" w:rsidRDefault="00FC0EF0" w:rsidP="00FC0EF0">
            <w:pPr>
              <w:spacing w:line="360" w:lineRule="auto"/>
              <w:jc w:val="both"/>
              <w:rPr>
                <w:rFonts w:ascii="Arial" w:hAnsi="Arial" w:cs="Arial"/>
                <w:b/>
                <w:sz w:val="24"/>
              </w:rPr>
            </w:pPr>
            <w:r w:rsidRPr="00FC0EF0">
              <w:rPr>
                <w:rFonts w:ascii="Arial" w:hAnsi="Arial" w:cs="Arial"/>
                <w:b/>
                <w:sz w:val="24"/>
              </w:rPr>
              <w:t>ROA (%)</w:t>
            </w:r>
          </w:p>
        </w:tc>
        <w:tc>
          <w:tcPr>
            <w:tcW w:w="1559" w:type="dxa"/>
          </w:tcPr>
          <w:p w:rsidR="00FC0EF0" w:rsidRPr="00FC0EF0" w:rsidRDefault="00FC0EF0" w:rsidP="00FC0EF0">
            <w:pPr>
              <w:spacing w:line="360" w:lineRule="auto"/>
              <w:jc w:val="both"/>
              <w:rPr>
                <w:rFonts w:ascii="Arial" w:hAnsi="Arial" w:cs="Arial"/>
                <w:b/>
                <w:sz w:val="24"/>
              </w:rPr>
            </w:pPr>
            <w:r w:rsidRPr="00FC0EF0">
              <w:rPr>
                <w:rFonts w:ascii="Arial" w:hAnsi="Arial" w:cs="Arial"/>
                <w:b/>
                <w:sz w:val="24"/>
              </w:rPr>
              <w:t>ROE (%)</w:t>
            </w:r>
          </w:p>
        </w:tc>
      </w:tr>
      <w:tr w:rsidR="00FC0EF0" w:rsidRPr="00FC0EF0" w:rsidTr="00FC0EF0">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2024</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28.9</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-3.87</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-6.09</w:t>
            </w:r>
          </w:p>
        </w:tc>
        <w:tc>
          <w:tcPr>
            <w:tcW w:w="1559"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-7.44</w:t>
            </w:r>
          </w:p>
        </w:tc>
        <w:tc>
          <w:tcPr>
            <w:tcW w:w="1559"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-15.7</w:t>
            </w:r>
          </w:p>
        </w:tc>
      </w:tr>
      <w:tr w:rsidR="00FC0EF0" w:rsidRPr="00FC0EF0" w:rsidTr="00FC0EF0">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2023</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23.2</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-20.3</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-23.37</w:t>
            </w:r>
          </w:p>
        </w:tc>
        <w:tc>
          <w:tcPr>
            <w:tcW w:w="1559"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-27.6</w:t>
            </w:r>
          </w:p>
        </w:tc>
        <w:tc>
          <w:tcPr>
            <w:tcW w:w="1559"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-54.9</w:t>
            </w:r>
          </w:p>
        </w:tc>
      </w:tr>
      <w:tr w:rsidR="00FC0EF0" w:rsidRPr="00FC0EF0" w:rsidTr="00FC0EF0">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2022</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28.1</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2.68</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0.07</w:t>
            </w:r>
          </w:p>
        </w:tc>
        <w:tc>
          <w:tcPr>
            <w:tcW w:w="1559"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0.08</w:t>
            </w:r>
          </w:p>
        </w:tc>
        <w:tc>
          <w:tcPr>
            <w:tcW w:w="1559"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0.15</w:t>
            </w:r>
          </w:p>
        </w:tc>
      </w:tr>
      <w:tr w:rsidR="00FC0EF0" w:rsidRPr="00FC0EF0" w:rsidTr="00FC0EF0">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2021</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28.8</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3.87</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0.88</w:t>
            </w:r>
          </w:p>
        </w:tc>
        <w:tc>
          <w:tcPr>
            <w:tcW w:w="1559"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1.04</w:t>
            </w:r>
          </w:p>
        </w:tc>
        <w:tc>
          <w:tcPr>
            <w:tcW w:w="1559"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1.92</w:t>
            </w:r>
          </w:p>
        </w:tc>
      </w:tr>
      <w:tr w:rsidR="00FC0EF0" w:rsidRPr="00FC0EF0" w:rsidTr="00FC0EF0">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2020</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28.7</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6.06</w:t>
            </w:r>
          </w:p>
        </w:tc>
        <w:tc>
          <w:tcPr>
            <w:tcW w:w="1558"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6.28</w:t>
            </w:r>
          </w:p>
        </w:tc>
        <w:tc>
          <w:tcPr>
            <w:tcW w:w="1559"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7.56</w:t>
            </w:r>
          </w:p>
        </w:tc>
        <w:tc>
          <w:tcPr>
            <w:tcW w:w="1559" w:type="dxa"/>
          </w:tcPr>
          <w:p w:rsidR="00FC0EF0" w:rsidRPr="00FC0EF0" w:rsidRDefault="00FC0EF0" w:rsidP="00FC0EF0">
            <w:pPr>
              <w:spacing w:line="360" w:lineRule="auto"/>
              <w:jc w:val="both"/>
              <w:rPr>
                <w:rFonts w:ascii="Arial" w:hAnsi="Arial" w:cs="Arial"/>
                <w:sz w:val="24"/>
              </w:rPr>
            </w:pPr>
            <w:r w:rsidRPr="00FC0EF0">
              <w:rPr>
                <w:rFonts w:ascii="Arial" w:hAnsi="Arial" w:cs="Arial"/>
                <w:sz w:val="24"/>
              </w:rPr>
              <w:t>12.31</w:t>
            </w:r>
          </w:p>
        </w:tc>
      </w:tr>
    </w:tbl>
    <w:p w:rsidR="003B255E" w:rsidRPr="003B255E" w:rsidRDefault="003B255E" w:rsidP="003B255E">
      <w:pPr>
        <w:rPr>
          <w:rFonts w:ascii="Arial" w:hAnsi="Arial" w:cs="Arial"/>
        </w:rPr>
      </w:pPr>
    </w:p>
    <w:p w:rsidR="003B255E" w:rsidRPr="00FC0EF0" w:rsidRDefault="00FC0EF0" w:rsidP="003B255E">
      <w:pPr>
        <w:rPr>
          <w:rFonts w:ascii="Arial" w:hAnsi="Arial" w:cs="Arial"/>
          <w:b/>
          <w:sz w:val="24"/>
        </w:rPr>
      </w:pPr>
      <w:r w:rsidRPr="00FC0EF0">
        <w:rPr>
          <w:rFonts w:ascii="Arial" w:hAnsi="Arial" w:cs="Arial"/>
          <w:b/>
          <w:sz w:val="24"/>
        </w:rPr>
        <w:t>A.2 Liquidity Ratios</w:t>
      </w:r>
    </w:p>
    <w:tbl>
      <w:tblPr>
        <w:tblStyle w:val="TableGrid"/>
        <w:tblW w:w="0" w:type="auto"/>
        <w:tblLook w:val="04A0" w:firstRow="1" w:lastRow="0" w:firstColumn="1" w:lastColumn="0" w:noHBand="0" w:noVBand="1"/>
      </w:tblPr>
      <w:tblGrid>
        <w:gridCol w:w="3116"/>
        <w:gridCol w:w="3117"/>
        <w:gridCol w:w="3117"/>
      </w:tblGrid>
      <w:tr w:rsidR="00FC0EF0" w:rsidRPr="00FC0EF0" w:rsidTr="00FC0EF0">
        <w:tc>
          <w:tcPr>
            <w:tcW w:w="3116" w:type="dxa"/>
          </w:tcPr>
          <w:p w:rsidR="00FC0EF0" w:rsidRPr="00FC0EF0" w:rsidRDefault="00FC0EF0" w:rsidP="00FC0EF0">
            <w:pPr>
              <w:spacing w:line="360" w:lineRule="auto"/>
              <w:rPr>
                <w:rFonts w:ascii="Arial" w:hAnsi="Arial" w:cs="Arial"/>
                <w:sz w:val="24"/>
              </w:rPr>
            </w:pPr>
            <w:r w:rsidRPr="00FC0EF0">
              <w:rPr>
                <w:rFonts w:ascii="Arial" w:hAnsi="Arial" w:cs="Arial"/>
                <w:sz w:val="24"/>
              </w:rPr>
              <w:t>Year</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Current Ratio</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Quick Ratio</w:t>
            </w:r>
          </w:p>
        </w:tc>
      </w:tr>
      <w:tr w:rsidR="00FC0EF0" w:rsidRPr="00FC0EF0" w:rsidTr="00FC0EF0">
        <w:tc>
          <w:tcPr>
            <w:tcW w:w="3116" w:type="dxa"/>
          </w:tcPr>
          <w:p w:rsidR="00FC0EF0" w:rsidRPr="00FC0EF0" w:rsidRDefault="00FC0EF0" w:rsidP="00FC0EF0">
            <w:pPr>
              <w:spacing w:line="360" w:lineRule="auto"/>
              <w:rPr>
                <w:rFonts w:ascii="Arial" w:hAnsi="Arial" w:cs="Arial"/>
                <w:sz w:val="24"/>
              </w:rPr>
            </w:pPr>
            <w:r w:rsidRPr="00FC0EF0">
              <w:rPr>
                <w:rFonts w:ascii="Arial" w:hAnsi="Arial" w:cs="Arial"/>
                <w:sz w:val="24"/>
              </w:rPr>
              <w:t>2024</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1.53</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1.04</w:t>
            </w:r>
          </w:p>
        </w:tc>
      </w:tr>
      <w:tr w:rsidR="00FC0EF0" w:rsidRPr="00FC0EF0" w:rsidTr="00FC0EF0">
        <w:tc>
          <w:tcPr>
            <w:tcW w:w="3116" w:type="dxa"/>
          </w:tcPr>
          <w:p w:rsidR="00FC0EF0" w:rsidRPr="00FC0EF0" w:rsidRDefault="00FC0EF0" w:rsidP="00FC0EF0">
            <w:pPr>
              <w:spacing w:line="360" w:lineRule="auto"/>
              <w:rPr>
                <w:rFonts w:ascii="Arial" w:hAnsi="Arial" w:cs="Arial"/>
                <w:sz w:val="24"/>
              </w:rPr>
            </w:pPr>
            <w:r w:rsidRPr="00FC0EF0">
              <w:rPr>
                <w:rFonts w:ascii="Arial" w:hAnsi="Arial" w:cs="Arial"/>
                <w:sz w:val="24"/>
              </w:rPr>
              <w:t>2023</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1.61</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1.01</w:t>
            </w:r>
          </w:p>
        </w:tc>
      </w:tr>
      <w:tr w:rsidR="00FC0EF0" w:rsidRPr="00FC0EF0" w:rsidTr="00FC0EF0">
        <w:tc>
          <w:tcPr>
            <w:tcW w:w="3116" w:type="dxa"/>
          </w:tcPr>
          <w:p w:rsidR="00FC0EF0" w:rsidRPr="00FC0EF0" w:rsidRDefault="00FC0EF0" w:rsidP="00FC0EF0">
            <w:pPr>
              <w:spacing w:line="360" w:lineRule="auto"/>
              <w:rPr>
                <w:rFonts w:ascii="Arial" w:hAnsi="Arial" w:cs="Arial"/>
                <w:sz w:val="24"/>
              </w:rPr>
            </w:pPr>
            <w:r w:rsidRPr="00FC0EF0">
              <w:rPr>
                <w:rFonts w:ascii="Arial" w:hAnsi="Arial" w:cs="Arial"/>
                <w:sz w:val="24"/>
              </w:rPr>
              <w:t>2022</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1.56</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0.91</w:t>
            </w:r>
          </w:p>
        </w:tc>
      </w:tr>
      <w:tr w:rsidR="00FC0EF0" w:rsidRPr="00FC0EF0" w:rsidTr="00FC0EF0">
        <w:tc>
          <w:tcPr>
            <w:tcW w:w="3116" w:type="dxa"/>
          </w:tcPr>
          <w:p w:rsidR="00FC0EF0" w:rsidRPr="00FC0EF0" w:rsidRDefault="00FC0EF0" w:rsidP="00FC0EF0">
            <w:pPr>
              <w:spacing w:line="360" w:lineRule="auto"/>
              <w:rPr>
                <w:rFonts w:ascii="Arial" w:hAnsi="Arial" w:cs="Arial"/>
                <w:sz w:val="24"/>
              </w:rPr>
            </w:pPr>
            <w:r w:rsidRPr="00FC0EF0">
              <w:rPr>
                <w:rFonts w:ascii="Arial" w:hAnsi="Arial" w:cs="Arial"/>
                <w:sz w:val="24"/>
              </w:rPr>
              <w:t>2021</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1.55</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0.97</w:t>
            </w:r>
          </w:p>
        </w:tc>
      </w:tr>
      <w:tr w:rsidR="00FC0EF0" w:rsidRPr="00FC0EF0" w:rsidTr="00FC0EF0">
        <w:tc>
          <w:tcPr>
            <w:tcW w:w="3116" w:type="dxa"/>
          </w:tcPr>
          <w:p w:rsidR="00FC0EF0" w:rsidRPr="00FC0EF0" w:rsidRDefault="00FC0EF0" w:rsidP="00FC0EF0">
            <w:pPr>
              <w:spacing w:line="360" w:lineRule="auto"/>
              <w:rPr>
                <w:rFonts w:ascii="Arial" w:hAnsi="Arial" w:cs="Arial"/>
                <w:sz w:val="24"/>
              </w:rPr>
            </w:pPr>
            <w:r w:rsidRPr="00FC0EF0">
              <w:rPr>
                <w:rFonts w:ascii="Arial" w:hAnsi="Arial" w:cs="Arial"/>
                <w:sz w:val="24"/>
              </w:rPr>
              <w:t>2020</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1.82</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1.37</w:t>
            </w:r>
          </w:p>
        </w:tc>
      </w:tr>
    </w:tbl>
    <w:p w:rsidR="003B255E" w:rsidRPr="003B255E" w:rsidRDefault="003B255E" w:rsidP="003B255E">
      <w:pPr>
        <w:rPr>
          <w:rFonts w:ascii="Arial" w:hAnsi="Arial" w:cs="Arial"/>
        </w:rPr>
      </w:pPr>
    </w:p>
    <w:p w:rsidR="003B255E" w:rsidRPr="00FC0EF0" w:rsidRDefault="00FC0EF0" w:rsidP="00FC0EF0">
      <w:pPr>
        <w:spacing w:line="360" w:lineRule="auto"/>
        <w:rPr>
          <w:rFonts w:ascii="Arial" w:hAnsi="Arial" w:cs="Arial"/>
          <w:b/>
          <w:sz w:val="24"/>
          <w:szCs w:val="24"/>
        </w:rPr>
      </w:pPr>
      <w:r w:rsidRPr="00FC0EF0">
        <w:rPr>
          <w:rFonts w:ascii="Arial" w:hAnsi="Arial" w:cs="Arial"/>
          <w:b/>
          <w:sz w:val="24"/>
          <w:szCs w:val="24"/>
        </w:rPr>
        <w:t>A.3 Efficiency Ratios</w:t>
      </w:r>
    </w:p>
    <w:tbl>
      <w:tblPr>
        <w:tblStyle w:val="TableGrid"/>
        <w:tblW w:w="0" w:type="auto"/>
        <w:tblLook w:val="04A0" w:firstRow="1" w:lastRow="0" w:firstColumn="1" w:lastColumn="0" w:noHBand="0" w:noVBand="1"/>
      </w:tblPr>
      <w:tblGrid>
        <w:gridCol w:w="3116"/>
        <w:gridCol w:w="3117"/>
        <w:gridCol w:w="3117"/>
      </w:tblGrid>
      <w:tr w:rsidR="00FC0EF0" w:rsidRPr="00FC0EF0" w:rsidTr="00FC0EF0">
        <w:tc>
          <w:tcPr>
            <w:tcW w:w="3116"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Year</w:t>
            </w:r>
          </w:p>
        </w:tc>
        <w:tc>
          <w:tcPr>
            <w:tcW w:w="3117"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Inventory Turnover (x)</w:t>
            </w:r>
          </w:p>
        </w:tc>
        <w:tc>
          <w:tcPr>
            <w:tcW w:w="3117"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AR Turnover (x)</w:t>
            </w:r>
          </w:p>
        </w:tc>
      </w:tr>
      <w:tr w:rsidR="00FC0EF0" w:rsidRPr="00FC0EF0" w:rsidTr="00FC0EF0">
        <w:tc>
          <w:tcPr>
            <w:tcW w:w="3116"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2024</w:t>
            </w:r>
          </w:p>
        </w:tc>
        <w:tc>
          <w:tcPr>
            <w:tcW w:w="3117"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3.54</w:t>
            </w:r>
          </w:p>
        </w:tc>
        <w:tc>
          <w:tcPr>
            <w:tcW w:w="3117"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3.49</w:t>
            </w:r>
          </w:p>
        </w:tc>
      </w:tr>
      <w:tr w:rsidR="00FC0EF0" w:rsidRPr="00FC0EF0" w:rsidTr="00FC0EF0">
        <w:tc>
          <w:tcPr>
            <w:tcW w:w="3116"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2023</w:t>
            </w:r>
          </w:p>
        </w:tc>
        <w:tc>
          <w:tcPr>
            <w:tcW w:w="3117"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3.66</w:t>
            </w:r>
          </w:p>
        </w:tc>
        <w:tc>
          <w:tcPr>
            <w:tcW w:w="3117"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3.74</w:t>
            </w:r>
          </w:p>
        </w:tc>
      </w:tr>
      <w:tr w:rsidR="00FC0EF0" w:rsidRPr="00FC0EF0" w:rsidTr="00FC0EF0">
        <w:tc>
          <w:tcPr>
            <w:tcW w:w="3116"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2022</w:t>
            </w:r>
          </w:p>
        </w:tc>
        <w:tc>
          <w:tcPr>
            <w:tcW w:w="3117"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2.78</w:t>
            </w:r>
          </w:p>
        </w:tc>
        <w:tc>
          <w:tcPr>
            <w:tcW w:w="3117"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4.82</w:t>
            </w:r>
          </w:p>
        </w:tc>
      </w:tr>
      <w:tr w:rsidR="00FC0EF0" w:rsidRPr="00FC0EF0" w:rsidTr="00FC0EF0">
        <w:tc>
          <w:tcPr>
            <w:tcW w:w="3116"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2021</w:t>
            </w:r>
          </w:p>
        </w:tc>
        <w:tc>
          <w:tcPr>
            <w:tcW w:w="3117"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3.19</w:t>
            </w:r>
          </w:p>
        </w:tc>
        <w:tc>
          <w:tcPr>
            <w:tcW w:w="3117"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4.66</w:t>
            </w:r>
          </w:p>
        </w:tc>
      </w:tr>
      <w:tr w:rsidR="00FC0EF0" w:rsidRPr="00FC0EF0" w:rsidTr="00FC0EF0">
        <w:tc>
          <w:tcPr>
            <w:tcW w:w="3116"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2020</w:t>
            </w:r>
          </w:p>
        </w:tc>
        <w:tc>
          <w:tcPr>
            <w:tcW w:w="3117"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3.64</w:t>
            </w:r>
          </w:p>
        </w:tc>
        <w:tc>
          <w:tcPr>
            <w:tcW w:w="3117" w:type="dxa"/>
          </w:tcPr>
          <w:p w:rsidR="00FC0EF0" w:rsidRPr="00FC0EF0" w:rsidRDefault="00FC0EF0" w:rsidP="00FC0EF0">
            <w:pPr>
              <w:spacing w:line="360" w:lineRule="auto"/>
              <w:rPr>
                <w:rFonts w:ascii="Arial" w:hAnsi="Arial" w:cs="Arial"/>
                <w:sz w:val="24"/>
                <w:szCs w:val="24"/>
              </w:rPr>
            </w:pPr>
            <w:r w:rsidRPr="00FC0EF0">
              <w:rPr>
                <w:rFonts w:ascii="Arial" w:hAnsi="Arial" w:cs="Arial"/>
                <w:sz w:val="24"/>
                <w:szCs w:val="24"/>
              </w:rPr>
              <w:t>4.75</w:t>
            </w:r>
          </w:p>
        </w:tc>
      </w:tr>
    </w:tbl>
    <w:p w:rsidR="003B255E" w:rsidRPr="003B255E" w:rsidRDefault="003B255E" w:rsidP="003B255E">
      <w:pPr>
        <w:rPr>
          <w:rFonts w:ascii="Arial" w:hAnsi="Arial" w:cs="Arial"/>
        </w:rPr>
      </w:pPr>
    </w:p>
    <w:p w:rsidR="00FC0EF0" w:rsidRDefault="00FC0EF0" w:rsidP="003B255E">
      <w:pPr>
        <w:rPr>
          <w:rFonts w:ascii="Arial" w:hAnsi="Arial" w:cs="Arial"/>
        </w:rPr>
      </w:pPr>
    </w:p>
    <w:p w:rsidR="00FC0EF0" w:rsidRDefault="00FC0EF0" w:rsidP="003B255E">
      <w:pPr>
        <w:rPr>
          <w:rFonts w:ascii="Arial" w:hAnsi="Arial" w:cs="Arial"/>
        </w:rPr>
      </w:pPr>
    </w:p>
    <w:p w:rsidR="00FC0EF0" w:rsidRDefault="00FC0EF0" w:rsidP="003B255E">
      <w:pPr>
        <w:rPr>
          <w:rFonts w:ascii="Arial" w:hAnsi="Arial" w:cs="Arial"/>
        </w:rPr>
      </w:pPr>
    </w:p>
    <w:p w:rsidR="003B255E" w:rsidRPr="00FC0EF0" w:rsidRDefault="00FC0EF0" w:rsidP="003B255E">
      <w:pPr>
        <w:rPr>
          <w:rFonts w:ascii="Arial" w:hAnsi="Arial" w:cs="Arial"/>
          <w:b/>
        </w:rPr>
      </w:pPr>
      <w:r>
        <w:rPr>
          <w:rFonts w:ascii="Arial" w:hAnsi="Arial" w:cs="Arial"/>
          <w:b/>
        </w:rPr>
        <w:lastRenderedPageBreak/>
        <w:t>A.4 Gearing Ratios</w:t>
      </w:r>
    </w:p>
    <w:tbl>
      <w:tblPr>
        <w:tblStyle w:val="TableGrid"/>
        <w:tblW w:w="0" w:type="auto"/>
        <w:tblLook w:val="04A0" w:firstRow="1" w:lastRow="0" w:firstColumn="1" w:lastColumn="0" w:noHBand="0" w:noVBand="1"/>
      </w:tblPr>
      <w:tblGrid>
        <w:gridCol w:w="3116"/>
        <w:gridCol w:w="3117"/>
        <w:gridCol w:w="3117"/>
      </w:tblGrid>
      <w:tr w:rsidR="00FC0EF0" w:rsidRPr="00FC0EF0" w:rsidTr="00FC0EF0">
        <w:tc>
          <w:tcPr>
            <w:tcW w:w="3116" w:type="dxa"/>
          </w:tcPr>
          <w:p w:rsidR="00FC0EF0" w:rsidRPr="00FC0EF0" w:rsidRDefault="00FC0EF0" w:rsidP="00FC0EF0">
            <w:pPr>
              <w:spacing w:line="360" w:lineRule="auto"/>
              <w:rPr>
                <w:rFonts w:ascii="Arial" w:hAnsi="Arial" w:cs="Arial"/>
                <w:sz w:val="24"/>
              </w:rPr>
            </w:pPr>
            <w:r w:rsidRPr="00FC0EF0">
              <w:rPr>
                <w:rFonts w:ascii="Arial" w:hAnsi="Arial" w:cs="Arial"/>
                <w:sz w:val="24"/>
              </w:rPr>
              <w:t>Year</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Debt-to-Equity (x)</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Interest Coverage (x)</w:t>
            </w:r>
          </w:p>
        </w:tc>
      </w:tr>
      <w:tr w:rsidR="00FC0EF0" w:rsidRPr="00FC0EF0" w:rsidTr="00FC0EF0">
        <w:tc>
          <w:tcPr>
            <w:tcW w:w="3116" w:type="dxa"/>
          </w:tcPr>
          <w:p w:rsidR="00FC0EF0" w:rsidRPr="00FC0EF0" w:rsidRDefault="00FC0EF0" w:rsidP="00FC0EF0">
            <w:pPr>
              <w:spacing w:line="360" w:lineRule="auto"/>
              <w:rPr>
                <w:rFonts w:ascii="Arial" w:hAnsi="Arial" w:cs="Arial"/>
                <w:sz w:val="24"/>
              </w:rPr>
            </w:pPr>
            <w:r w:rsidRPr="00FC0EF0">
              <w:rPr>
                <w:rFonts w:ascii="Arial" w:hAnsi="Arial" w:cs="Arial"/>
                <w:sz w:val="24"/>
              </w:rPr>
              <w:t>2024</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1.11</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-4.55</w:t>
            </w:r>
          </w:p>
        </w:tc>
      </w:tr>
      <w:tr w:rsidR="00FC0EF0" w:rsidRPr="00FC0EF0" w:rsidTr="00FC0EF0">
        <w:tc>
          <w:tcPr>
            <w:tcW w:w="3116" w:type="dxa"/>
          </w:tcPr>
          <w:p w:rsidR="00FC0EF0" w:rsidRPr="00FC0EF0" w:rsidRDefault="00FC0EF0" w:rsidP="00FC0EF0">
            <w:pPr>
              <w:spacing w:line="360" w:lineRule="auto"/>
              <w:rPr>
                <w:rFonts w:ascii="Arial" w:hAnsi="Arial" w:cs="Arial"/>
                <w:sz w:val="24"/>
              </w:rPr>
            </w:pPr>
            <w:r w:rsidRPr="00FC0EF0">
              <w:rPr>
                <w:rFonts w:ascii="Arial" w:hAnsi="Arial" w:cs="Arial"/>
                <w:sz w:val="24"/>
              </w:rPr>
              <w:t>2023</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0.99</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-19.70</w:t>
            </w:r>
          </w:p>
        </w:tc>
      </w:tr>
      <w:tr w:rsidR="00FC0EF0" w:rsidRPr="00FC0EF0" w:rsidTr="00FC0EF0">
        <w:tc>
          <w:tcPr>
            <w:tcW w:w="3116" w:type="dxa"/>
          </w:tcPr>
          <w:p w:rsidR="00FC0EF0" w:rsidRPr="00FC0EF0" w:rsidRDefault="00FC0EF0" w:rsidP="00FC0EF0">
            <w:pPr>
              <w:spacing w:line="360" w:lineRule="auto"/>
              <w:rPr>
                <w:rFonts w:ascii="Arial" w:hAnsi="Arial" w:cs="Arial"/>
                <w:sz w:val="24"/>
              </w:rPr>
            </w:pPr>
            <w:r w:rsidRPr="00FC0EF0">
              <w:rPr>
                <w:rFonts w:ascii="Arial" w:hAnsi="Arial" w:cs="Arial"/>
                <w:sz w:val="24"/>
              </w:rPr>
              <w:t>2022</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0.88</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6.61</w:t>
            </w:r>
          </w:p>
        </w:tc>
      </w:tr>
      <w:tr w:rsidR="00FC0EF0" w:rsidRPr="00FC0EF0" w:rsidTr="00FC0EF0">
        <w:tc>
          <w:tcPr>
            <w:tcW w:w="3116" w:type="dxa"/>
          </w:tcPr>
          <w:p w:rsidR="00FC0EF0" w:rsidRPr="00FC0EF0" w:rsidRDefault="00FC0EF0" w:rsidP="00FC0EF0">
            <w:pPr>
              <w:spacing w:line="360" w:lineRule="auto"/>
              <w:rPr>
                <w:rFonts w:ascii="Arial" w:hAnsi="Arial" w:cs="Arial"/>
                <w:sz w:val="24"/>
              </w:rPr>
            </w:pPr>
            <w:r w:rsidRPr="00FC0EF0">
              <w:rPr>
                <w:rFonts w:ascii="Arial" w:hAnsi="Arial" w:cs="Arial"/>
                <w:sz w:val="24"/>
              </w:rPr>
              <w:t>2021</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0.85</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41.09</w:t>
            </w:r>
          </w:p>
        </w:tc>
      </w:tr>
      <w:tr w:rsidR="00FC0EF0" w:rsidRPr="00FC0EF0" w:rsidTr="00FC0EF0">
        <w:tc>
          <w:tcPr>
            <w:tcW w:w="3116" w:type="dxa"/>
          </w:tcPr>
          <w:p w:rsidR="00FC0EF0" w:rsidRPr="00FC0EF0" w:rsidRDefault="00FC0EF0" w:rsidP="00FC0EF0">
            <w:pPr>
              <w:spacing w:line="360" w:lineRule="auto"/>
              <w:rPr>
                <w:rFonts w:ascii="Arial" w:hAnsi="Arial" w:cs="Arial"/>
                <w:sz w:val="24"/>
              </w:rPr>
            </w:pPr>
            <w:r w:rsidRPr="00FC0EF0">
              <w:rPr>
                <w:rFonts w:ascii="Arial" w:hAnsi="Arial" w:cs="Arial"/>
                <w:sz w:val="24"/>
              </w:rPr>
              <w:t>2020</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0.63</w:t>
            </w:r>
          </w:p>
        </w:tc>
        <w:tc>
          <w:tcPr>
            <w:tcW w:w="3117" w:type="dxa"/>
          </w:tcPr>
          <w:p w:rsidR="00FC0EF0" w:rsidRPr="00FC0EF0" w:rsidRDefault="00FC0EF0" w:rsidP="00FC0EF0">
            <w:pPr>
              <w:spacing w:line="360" w:lineRule="auto"/>
              <w:rPr>
                <w:rFonts w:ascii="Arial" w:hAnsi="Arial" w:cs="Arial"/>
                <w:sz w:val="24"/>
              </w:rPr>
            </w:pPr>
            <w:r w:rsidRPr="00FC0EF0">
              <w:rPr>
                <w:rFonts w:ascii="Arial" w:hAnsi="Arial" w:cs="Arial"/>
                <w:sz w:val="24"/>
              </w:rPr>
              <w:t>26.19</w:t>
            </w:r>
          </w:p>
        </w:tc>
      </w:tr>
    </w:tbl>
    <w:p w:rsidR="003B255E" w:rsidRPr="003B255E" w:rsidRDefault="003B255E" w:rsidP="003B255E">
      <w:pPr>
        <w:rPr>
          <w:rFonts w:ascii="Arial" w:hAnsi="Arial" w:cs="Arial"/>
        </w:rPr>
      </w:pPr>
    </w:p>
    <w:p w:rsidR="003B255E" w:rsidRPr="00FC0EF0" w:rsidRDefault="003B255E" w:rsidP="003B255E">
      <w:pPr>
        <w:rPr>
          <w:rFonts w:ascii="Arial" w:hAnsi="Arial" w:cs="Arial"/>
          <w:b/>
          <w:sz w:val="24"/>
        </w:rPr>
      </w:pPr>
      <w:r w:rsidRPr="00FC0EF0">
        <w:rPr>
          <w:rFonts w:ascii="Arial" w:hAnsi="Arial" w:cs="Arial"/>
          <w:b/>
          <w:sz w:val="24"/>
        </w:rPr>
        <w:t>A.5 Cash Flow</w:t>
      </w:r>
    </w:p>
    <w:p w:rsidR="003B255E" w:rsidRPr="003B255E" w:rsidRDefault="003B255E" w:rsidP="003B255E">
      <w:pPr>
        <w:rPr>
          <w:rFonts w:ascii="Arial" w:hAnsi="Arial" w:cs="Arial"/>
        </w:rPr>
      </w:pPr>
    </w:p>
    <w:tbl>
      <w:tblPr>
        <w:tblStyle w:val="TableGrid"/>
        <w:tblW w:w="0" w:type="auto"/>
        <w:tblLook w:val="04A0" w:firstRow="1" w:lastRow="0" w:firstColumn="1" w:lastColumn="0" w:noHBand="0" w:noVBand="1"/>
      </w:tblPr>
      <w:tblGrid>
        <w:gridCol w:w="4675"/>
        <w:gridCol w:w="4675"/>
      </w:tblGrid>
      <w:tr w:rsidR="00FC0EF0" w:rsidRPr="00FC0EF0" w:rsidTr="00FC0EF0">
        <w:tc>
          <w:tcPr>
            <w:tcW w:w="4675" w:type="dxa"/>
          </w:tcPr>
          <w:p w:rsidR="00FC0EF0" w:rsidRPr="00FC0EF0" w:rsidRDefault="00FC0EF0" w:rsidP="00FC0EF0">
            <w:pPr>
              <w:spacing w:line="360" w:lineRule="auto"/>
              <w:rPr>
                <w:rFonts w:ascii="Arial" w:hAnsi="Arial" w:cs="Arial"/>
                <w:b/>
                <w:sz w:val="24"/>
              </w:rPr>
            </w:pPr>
            <w:r w:rsidRPr="00FC0EF0">
              <w:rPr>
                <w:rFonts w:ascii="Arial" w:hAnsi="Arial" w:cs="Arial"/>
                <w:b/>
                <w:sz w:val="24"/>
              </w:rPr>
              <w:t>Year</w:t>
            </w:r>
          </w:p>
        </w:tc>
        <w:tc>
          <w:tcPr>
            <w:tcW w:w="4675" w:type="dxa"/>
          </w:tcPr>
          <w:p w:rsidR="00FC0EF0" w:rsidRPr="00FC0EF0" w:rsidRDefault="00FC0EF0" w:rsidP="00FC0EF0">
            <w:pPr>
              <w:spacing w:line="360" w:lineRule="auto"/>
              <w:rPr>
                <w:rFonts w:ascii="Arial" w:hAnsi="Arial" w:cs="Arial"/>
                <w:b/>
                <w:sz w:val="24"/>
              </w:rPr>
            </w:pPr>
            <w:r w:rsidRPr="00FC0EF0">
              <w:rPr>
                <w:rFonts w:ascii="Arial" w:hAnsi="Arial" w:cs="Arial"/>
                <w:b/>
                <w:sz w:val="24"/>
              </w:rPr>
              <w:t>Net Cash from Operations (£m)</w:t>
            </w:r>
          </w:p>
        </w:tc>
      </w:tr>
      <w:tr w:rsidR="00FC0EF0" w:rsidRPr="00FC0EF0" w:rsidTr="00FC0EF0">
        <w:tc>
          <w:tcPr>
            <w:tcW w:w="4675" w:type="dxa"/>
          </w:tcPr>
          <w:p w:rsidR="00FC0EF0" w:rsidRPr="00FC0EF0" w:rsidRDefault="00FC0EF0" w:rsidP="00FC0EF0">
            <w:pPr>
              <w:spacing w:line="360" w:lineRule="auto"/>
              <w:rPr>
                <w:rFonts w:ascii="Arial" w:hAnsi="Arial" w:cs="Arial"/>
                <w:sz w:val="24"/>
              </w:rPr>
            </w:pPr>
            <w:r w:rsidRPr="00FC0EF0">
              <w:rPr>
                <w:rFonts w:ascii="Arial" w:hAnsi="Arial" w:cs="Arial"/>
                <w:sz w:val="24"/>
              </w:rPr>
              <w:t>2024</w:t>
            </w:r>
          </w:p>
        </w:tc>
        <w:tc>
          <w:tcPr>
            <w:tcW w:w="4675" w:type="dxa"/>
          </w:tcPr>
          <w:p w:rsidR="00FC0EF0" w:rsidRPr="00FC0EF0" w:rsidRDefault="00FC0EF0" w:rsidP="00FC0EF0">
            <w:pPr>
              <w:spacing w:line="360" w:lineRule="auto"/>
              <w:rPr>
                <w:rFonts w:ascii="Arial" w:hAnsi="Arial" w:cs="Arial"/>
                <w:sz w:val="24"/>
              </w:rPr>
            </w:pPr>
            <w:r w:rsidRPr="00FC0EF0">
              <w:rPr>
                <w:rFonts w:ascii="Arial" w:hAnsi="Arial" w:cs="Arial"/>
                <w:sz w:val="24"/>
              </w:rPr>
              <w:t>14,822</w:t>
            </w:r>
          </w:p>
        </w:tc>
      </w:tr>
      <w:tr w:rsidR="00FC0EF0" w:rsidRPr="00FC0EF0" w:rsidTr="00FC0EF0">
        <w:tc>
          <w:tcPr>
            <w:tcW w:w="4675" w:type="dxa"/>
          </w:tcPr>
          <w:p w:rsidR="00FC0EF0" w:rsidRPr="00FC0EF0" w:rsidRDefault="00FC0EF0" w:rsidP="00FC0EF0">
            <w:pPr>
              <w:spacing w:line="360" w:lineRule="auto"/>
              <w:rPr>
                <w:rFonts w:ascii="Arial" w:hAnsi="Arial" w:cs="Arial"/>
                <w:sz w:val="24"/>
              </w:rPr>
            </w:pPr>
            <w:r w:rsidRPr="00FC0EF0">
              <w:rPr>
                <w:rFonts w:ascii="Arial" w:hAnsi="Arial" w:cs="Arial"/>
                <w:sz w:val="24"/>
              </w:rPr>
              <w:t>2023</w:t>
            </w:r>
          </w:p>
        </w:tc>
        <w:tc>
          <w:tcPr>
            <w:tcW w:w="4675" w:type="dxa"/>
          </w:tcPr>
          <w:p w:rsidR="00FC0EF0" w:rsidRPr="00FC0EF0" w:rsidRDefault="00FC0EF0" w:rsidP="00FC0EF0">
            <w:pPr>
              <w:spacing w:line="360" w:lineRule="auto"/>
              <w:rPr>
                <w:rFonts w:ascii="Arial" w:hAnsi="Arial" w:cs="Arial"/>
                <w:sz w:val="24"/>
              </w:rPr>
            </w:pPr>
            <w:r w:rsidRPr="00FC0EF0">
              <w:rPr>
                <w:rFonts w:ascii="Arial" w:hAnsi="Arial" w:cs="Arial"/>
                <w:sz w:val="24"/>
              </w:rPr>
              <w:t>25,190</w:t>
            </w:r>
          </w:p>
        </w:tc>
      </w:tr>
      <w:tr w:rsidR="00FC0EF0" w:rsidRPr="00FC0EF0" w:rsidTr="00FC0EF0">
        <w:tc>
          <w:tcPr>
            <w:tcW w:w="4675" w:type="dxa"/>
          </w:tcPr>
          <w:p w:rsidR="00FC0EF0" w:rsidRPr="00FC0EF0" w:rsidRDefault="00FC0EF0" w:rsidP="00FC0EF0">
            <w:pPr>
              <w:spacing w:line="360" w:lineRule="auto"/>
              <w:rPr>
                <w:rFonts w:ascii="Arial" w:hAnsi="Arial" w:cs="Arial"/>
                <w:sz w:val="24"/>
              </w:rPr>
            </w:pPr>
            <w:r w:rsidRPr="00FC0EF0">
              <w:rPr>
                <w:rFonts w:ascii="Arial" w:hAnsi="Arial" w:cs="Arial"/>
                <w:sz w:val="24"/>
              </w:rPr>
              <w:t>2022</w:t>
            </w:r>
          </w:p>
        </w:tc>
        <w:tc>
          <w:tcPr>
            <w:tcW w:w="4675" w:type="dxa"/>
          </w:tcPr>
          <w:p w:rsidR="00FC0EF0" w:rsidRPr="00FC0EF0" w:rsidRDefault="00FC0EF0" w:rsidP="00FC0EF0">
            <w:pPr>
              <w:spacing w:line="360" w:lineRule="auto"/>
              <w:rPr>
                <w:rFonts w:ascii="Arial" w:hAnsi="Arial" w:cs="Arial"/>
                <w:sz w:val="24"/>
              </w:rPr>
            </w:pPr>
            <w:r w:rsidRPr="00FC0EF0">
              <w:rPr>
                <w:rFonts w:ascii="Arial" w:hAnsi="Arial" w:cs="Arial"/>
                <w:sz w:val="24"/>
              </w:rPr>
              <w:t>10,926</w:t>
            </w:r>
          </w:p>
        </w:tc>
      </w:tr>
      <w:tr w:rsidR="00FC0EF0" w:rsidRPr="00FC0EF0" w:rsidTr="00FC0EF0">
        <w:tc>
          <w:tcPr>
            <w:tcW w:w="4675" w:type="dxa"/>
          </w:tcPr>
          <w:p w:rsidR="00FC0EF0" w:rsidRPr="00FC0EF0" w:rsidRDefault="00FC0EF0" w:rsidP="00FC0EF0">
            <w:pPr>
              <w:spacing w:line="360" w:lineRule="auto"/>
              <w:rPr>
                <w:rFonts w:ascii="Arial" w:hAnsi="Arial" w:cs="Arial"/>
                <w:sz w:val="24"/>
              </w:rPr>
            </w:pPr>
            <w:r w:rsidRPr="00FC0EF0">
              <w:rPr>
                <w:rFonts w:ascii="Arial" w:hAnsi="Arial" w:cs="Arial"/>
                <w:sz w:val="24"/>
              </w:rPr>
              <w:t>2021</w:t>
            </w:r>
          </w:p>
        </w:tc>
        <w:tc>
          <w:tcPr>
            <w:tcW w:w="4675" w:type="dxa"/>
          </w:tcPr>
          <w:p w:rsidR="00FC0EF0" w:rsidRPr="00FC0EF0" w:rsidRDefault="00FC0EF0" w:rsidP="00FC0EF0">
            <w:pPr>
              <w:spacing w:line="360" w:lineRule="auto"/>
              <w:rPr>
                <w:rFonts w:ascii="Arial" w:hAnsi="Arial" w:cs="Arial"/>
                <w:sz w:val="24"/>
              </w:rPr>
            </w:pPr>
            <w:r w:rsidRPr="00FC0EF0">
              <w:rPr>
                <w:rFonts w:ascii="Arial" w:hAnsi="Arial" w:cs="Arial"/>
                <w:sz w:val="24"/>
              </w:rPr>
              <w:t>40,283</w:t>
            </w:r>
          </w:p>
        </w:tc>
      </w:tr>
      <w:tr w:rsidR="00FC0EF0" w:rsidRPr="00FC0EF0" w:rsidTr="00FC0EF0">
        <w:tc>
          <w:tcPr>
            <w:tcW w:w="4675" w:type="dxa"/>
          </w:tcPr>
          <w:p w:rsidR="00FC0EF0" w:rsidRPr="00FC0EF0" w:rsidRDefault="00FC0EF0" w:rsidP="00FC0EF0">
            <w:pPr>
              <w:spacing w:line="360" w:lineRule="auto"/>
              <w:rPr>
                <w:rFonts w:ascii="Arial" w:hAnsi="Arial" w:cs="Arial"/>
                <w:sz w:val="24"/>
              </w:rPr>
            </w:pPr>
            <w:r w:rsidRPr="00FC0EF0">
              <w:rPr>
                <w:rFonts w:ascii="Arial" w:hAnsi="Arial" w:cs="Arial"/>
                <w:sz w:val="24"/>
              </w:rPr>
              <w:t>2020</w:t>
            </w:r>
          </w:p>
        </w:tc>
        <w:tc>
          <w:tcPr>
            <w:tcW w:w="4675" w:type="dxa"/>
          </w:tcPr>
          <w:p w:rsidR="00FC0EF0" w:rsidRPr="00FC0EF0" w:rsidRDefault="00FC0EF0" w:rsidP="00FC0EF0">
            <w:pPr>
              <w:spacing w:line="360" w:lineRule="auto"/>
              <w:rPr>
                <w:rFonts w:ascii="Arial" w:hAnsi="Arial" w:cs="Arial"/>
                <w:sz w:val="24"/>
              </w:rPr>
            </w:pPr>
            <w:r w:rsidRPr="00FC0EF0">
              <w:rPr>
                <w:rFonts w:ascii="Arial" w:hAnsi="Arial" w:cs="Arial"/>
                <w:sz w:val="24"/>
              </w:rPr>
              <w:t>73,392</w:t>
            </w:r>
          </w:p>
        </w:tc>
      </w:tr>
    </w:tbl>
    <w:p w:rsidR="001B6597" w:rsidRDefault="001B6597" w:rsidP="003B255E">
      <w:pPr>
        <w:rPr>
          <w:rFonts w:ascii="Arial" w:hAnsi="Arial" w:cs="Arial"/>
          <w:b/>
        </w:rPr>
      </w:pPr>
    </w:p>
    <w:p w:rsidR="00F831AD" w:rsidRPr="00F831AD" w:rsidRDefault="001B6597" w:rsidP="00F831AD">
      <w:pPr>
        <w:pStyle w:val="ListParagraph"/>
        <w:numPr>
          <w:ilvl w:val="1"/>
          <w:numId w:val="44"/>
        </w:numPr>
        <w:spacing w:before="100" w:beforeAutospacing="1" w:after="100" w:afterAutospacing="1" w:line="240" w:lineRule="auto"/>
        <w:outlineLvl w:val="1"/>
        <w:rPr>
          <w:rFonts w:ascii="Arial" w:eastAsia="Times New Roman" w:hAnsi="Arial" w:cs="Arial"/>
          <w:b/>
          <w:bCs/>
          <w:sz w:val="36"/>
          <w:szCs w:val="36"/>
          <w:lang w:eastAsia="en-GB"/>
        </w:rPr>
      </w:pPr>
      <w:bookmarkStart w:id="49" w:name="_Toc214715469"/>
      <w:bookmarkStart w:id="50" w:name="_Toc214792392"/>
      <w:bookmarkStart w:id="51" w:name="_Toc214836909"/>
      <w:bookmarkStart w:id="52" w:name="_Toc214838494"/>
      <w:bookmarkStart w:id="53" w:name="_Toc216393917"/>
      <w:bookmarkStart w:id="54" w:name="_Toc217216315"/>
      <w:r w:rsidRPr="00392E10">
        <w:rPr>
          <w:rFonts w:ascii="Arial" w:eastAsia="Times New Roman" w:hAnsi="Arial" w:cs="Arial"/>
          <w:b/>
          <w:bCs/>
          <w:sz w:val="36"/>
          <w:szCs w:val="36"/>
          <w:lang w:eastAsia="en-GB"/>
        </w:rPr>
        <w:t>Graphs</w:t>
      </w:r>
      <w:bookmarkEnd w:id="49"/>
      <w:bookmarkEnd w:id="50"/>
      <w:bookmarkEnd w:id="51"/>
      <w:bookmarkEnd w:id="52"/>
      <w:bookmarkEnd w:id="53"/>
      <w:bookmarkEnd w:id="54"/>
    </w:p>
    <w:p w:rsidR="001B6597" w:rsidRDefault="00F831AD" w:rsidP="003B255E">
      <w:pPr>
        <w:rPr>
          <w:rFonts w:ascii="Arial" w:hAnsi="Arial" w:cs="Arial"/>
          <w:b/>
        </w:rPr>
      </w:pPr>
      <w:r>
        <w:rPr>
          <w:rFonts w:ascii="Arial" w:hAnsi="Arial" w:cs="Arial"/>
          <w:b/>
        </w:rPr>
        <w:t xml:space="preserve">7.2.1 </w:t>
      </w:r>
      <w:r w:rsidRPr="00F831AD">
        <w:rPr>
          <w:rFonts w:ascii="Arial" w:hAnsi="Arial" w:cs="Arial"/>
          <w:b/>
        </w:rPr>
        <w:t>Revenue &amp; Net Income Trends (2020–2024)</w:t>
      </w:r>
    </w:p>
    <w:p w:rsidR="00F831AD" w:rsidRDefault="00F831AD" w:rsidP="00F831AD">
      <w:pPr>
        <w:jc w:val="center"/>
        <w:rPr>
          <w:rFonts w:ascii="Arial" w:hAnsi="Arial" w:cs="Arial"/>
          <w:b/>
        </w:rPr>
      </w:pPr>
      <w:r>
        <w:rPr>
          <w:rFonts w:ascii="Arial" w:hAnsi="Arial" w:cs="Arial"/>
          <w:b/>
        </w:rPr>
        <w:object w:dxaOrig="7247" w:dyaOrig="29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2.5pt;height:146.5pt" o:ole="">
            <v:imagedata r:id="rId34" o:title=""/>
          </v:shape>
          <o:OLEObject Type="Embed" ProgID="Excel.Sheet.12" ShapeID="_x0000_i1025" DrawAspect="Content" ObjectID="_1827831902" r:id="rId35"/>
        </w:object>
      </w:r>
    </w:p>
    <w:p w:rsidR="00416906" w:rsidRDefault="00416906" w:rsidP="003B255E">
      <w:pPr>
        <w:rPr>
          <w:rFonts w:ascii="Arial" w:hAnsi="Arial" w:cs="Arial"/>
          <w:b/>
        </w:rPr>
      </w:pPr>
    </w:p>
    <w:p w:rsidR="00416906" w:rsidRDefault="00416906" w:rsidP="003B255E">
      <w:pPr>
        <w:rPr>
          <w:rFonts w:ascii="Arial" w:hAnsi="Arial" w:cs="Arial"/>
          <w:b/>
        </w:rPr>
      </w:pPr>
    </w:p>
    <w:p w:rsidR="00416906" w:rsidRDefault="00416906" w:rsidP="003B255E">
      <w:pPr>
        <w:rPr>
          <w:rFonts w:ascii="Arial" w:hAnsi="Arial" w:cs="Arial"/>
          <w:b/>
        </w:rPr>
      </w:pPr>
    </w:p>
    <w:p w:rsidR="00416906" w:rsidRPr="00416906" w:rsidRDefault="00416906" w:rsidP="00416906">
      <w:pPr>
        <w:jc w:val="both"/>
        <w:rPr>
          <w:rFonts w:ascii="Arial" w:hAnsi="Arial" w:cs="Arial"/>
          <w:b/>
          <w:sz w:val="24"/>
        </w:rPr>
      </w:pPr>
      <w:r w:rsidRPr="00416906">
        <w:rPr>
          <w:rFonts w:ascii="Arial" w:hAnsi="Arial" w:cs="Arial"/>
          <w:b/>
          <w:sz w:val="24"/>
        </w:rPr>
        <w:lastRenderedPageBreak/>
        <w:t>7.2.2 Margins (Gross, Operating, Net) 2020–2024</w:t>
      </w:r>
    </w:p>
    <w:p w:rsidR="00416906" w:rsidRDefault="00416906" w:rsidP="00416906">
      <w:pPr>
        <w:jc w:val="center"/>
        <w:rPr>
          <w:rFonts w:ascii="Arial" w:hAnsi="Arial" w:cs="Arial"/>
          <w:b/>
        </w:rPr>
      </w:pPr>
      <w:r>
        <w:rPr>
          <w:rFonts w:ascii="Arial" w:hAnsi="Arial" w:cs="Arial"/>
          <w:b/>
        </w:rPr>
        <w:object w:dxaOrig="7247" w:dyaOrig="3500">
          <v:shape id="_x0000_i1026" type="#_x0000_t75" style="width:362.5pt;height:175pt" o:ole="">
            <v:imagedata r:id="rId36" o:title=""/>
          </v:shape>
          <o:OLEObject Type="Embed" ProgID="Excel.Sheet.12" ShapeID="_x0000_i1026" DrawAspect="Content" ObjectID="_1827831903" r:id="rId37"/>
        </w:object>
      </w:r>
    </w:p>
    <w:p w:rsidR="00416906" w:rsidRDefault="00416906" w:rsidP="003B255E">
      <w:pPr>
        <w:rPr>
          <w:rFonts w:ascii="Arial" w:hAnsi="Arial" w:cs="Arial"/>
          <w:b/>
        </w:rPr>
      </w:pPr>
    </w:p>
    <w:p w:rsidR="00B5717D" w:rsidRDefault="00B5717D" w:rsidP="003B255E">
      <w:pPr>
        <w:rPr>
          <w:rFonts w:ascii="Arial" w:hAnsi="Arial" w:cs="Arial"/>
          <w:b/>
        </w:rPr>
      </w:pPr>
    </w:p>
    <w:p w:rsidR="00B5717D" w:rsidRPr="00D45769" w:rsidRDefault="00D45769" w:rsidP="00D45769">
      <w:pPr>
        <w:jc w:val="both"/>
        <w:rPr>
          <w:rFonts w:ascii="Arial" w:hAnsi="Arial" w:cs="Arial"/>
          <w:b/>
          <w:sz w:val="24"/>
        </w:rPr>
      </w:pPr>
      <w:r w:rsidRPr="00D45769">
        <w:rPr>
          <w:rFonts w:ascii="Arial" w:hAnsi="Arial" w:cs="Arial"/>
          <w:b/>
          <w:sz w:val="24"/>
        </w:rPr>
        <w:t>7.2.3 Debt vs Equity Trend (2020–2024)</w:t>
      </w:r>
    </w:p>
    <w:p w:rsidR="00D45769" w:rsidRDefault="00D45769" w:rsidP="00D45769">
      <w:pPr>
        <w:jc w:val="center"/>
        <w:rPr>
          <w:rFonts w:ascii="Arial" w:hAnsi="Arial" w:cs="Arial"/>
          <w:b/>
        </w:rPr>
      </w:pPr>
      <w:r>
        <w:rPr>
          <w:rFonts w:ascii="Arial" w:hAnsi="Arial" w:cs="Arial"/>
          <w:b/>
        </w:rPr>
        <w:object w:dxaOrig="7247" w:dyaOrig="3789">
          <v:shape id="_x0000_i1027" type="#_x0000_t75" style="width:362.5pt;height:190pt" o:ole="">
            <v:imagedata r:id="rId38" o:title=""/>
          </v:shape>
          <o:OLEObject Type="Embed" ProgID="Excel.Sheet.12" ShapeID="_x0000_i1027" DrawAspect="Content" ObjectID="_1827831904" r:id="rId39"/>
        </w:object>
      </w:r>
    </w:p>
    <w:p w:rsidR="00B5717D" w:rsidRDefault="00B5717D" w:rsidP="003B255E">
      <w:pPr>
        <w:rPr>
          <w:rFonts w:ascii="Arial" w:hAnsi="Arial" w:cs="Arial"/>
          <w:b/>
        </w:rPr>
      </w:pPr>
    </w:p>
    <w:p w:rsidR="006662CF" w:rsidRDefault="006662CF">
      <w:pPr>
        <w:rPr>
          <w:rFonts w:ascii="Arial" w:hAnsi="Arial" w:cs="Arial"/>
          <w:b/>
          <w:sz w:val="24"/>
        </w:rPr>
      </w:pPr>
      <w:r>
        <w:rPr>
          <w:rFonts w:ascii="Arial" w:hAnsi="Arial" w:cs="Arial"/>
          <w:b/>
          <w:sz w:val="24"/>
        </w:rPr>
        <w:br w:type="page"/>
      </w:r>
    </w:p>
    <w:p w:rsidR="00E27D7A" w:rsidRPr="00E27D7A" w:rsidRDefault="00E27D7A" w:rsidP="003B255E">
      <w:pPr>
        <w:rPr>
          <w:rFonts w:ascii="Arial" w:hAnsi="Arial" w:cs="Arial"/>
          <w:b/>
          <w:sz w:val="24"/>
        </w:rPr>
      </w:pPr>
      <w:r w:rsidRPr="00E27D7A">
        <w:rPr>
          <w:rFonts w:ascii="Arial" w:hAnsi="Arial" w:cs="Arial"/>
          <w:b/>
          <w:sz w:val="24"/>
        </w:rPr>
        <w:lastRenderedPageBreak/>
        <w:t>7.2.4 Cash Flow Summary (2020–2024)</w:t>
      </w:r>
    </w:p>
    <w:p w:rsidR="00E27D7A" w:rsidRDefault="003A2E98" w:rsidP="003A2E98">
      <w:pPr>
        <w:jc w:val="center"/>
        <w:rPr>
          <w:rFonts w:ascii="Arial" w:hAnsi="Arial" w:cs="Arial"/>
          <w:b/>
        </w:rPr>
      </w:pPr>
      <w:r>
        <w:rPr>
          <w:rFonts w:ascii="Arial" w:hAnsi="Arial" w:cs="Arial"/>
          <w:b/>
        </w:rPr>
        <w:object w:dxaOrig="7247" w:dyaOrig="3500">
          <v:shape id="_x0000_i1028" type="#_x0000_t75" style="width:362.5pt;height:175pt" o:ole="">
            <v:imagedata r:id="rId40" o:title=""/>
          </v:shape>
          <o:OLEObject Type="Embed" ProgID="Excel.Sheet.12" ShapeID="_x0000_i1028" DrawAspect="Content" ObjectID="_1827831905" r:id="rId41"/>
        </w:object>
      </w:r>
    </w:p>
    <w:p w:rsidR="009361FF" w:rsidRDefault="009361FF" w:rsidP="003B255E">
      <w:pPr>
        <w:rPr>
          <w:rFonts w:ascii="Arial" w:hAnsi="Arial" w:cs="Arial"/>
          <w:b/>
        </w:rPr>
      </w:pPr>
    </w:p>
    <w:p w:rsidR="009361FF" w:rsidRDefault="009361FF" w:rsidP="003B255E">
      <w:pPr>
        <w:rPr>
          <w:rFonts w:ascii="Arial" w:hAnsi="Arial" w:cs="Arial"/>
          <w:b/>
        </w:rPr>
      </w:pPr>
    </w:p>
    <w:p w:rsidR="003B255E" w:rsidRPr="006662CF" w:rsidRDefault="003B255E" w:rsidP="003B255E">
      <w:pPr>
        <w:rPr>
          <w:rFonts w:ascii="Arial" w:hAnsi="Arial" w:cs="Arial"/>
          <w:b/>
          <w:sz w:val="24"/>
        </w:rPr>
      </w:pPr>
      <w:r w:rsidRPr="006662CF">
        <w:rPr>
          <w:rFonts w:ascii="Arial" w:hAnsi="Arial" w:cs="Arial"/>
          <w:b/>
          <w:sz w:val="24"/>
        </w:rPr>
        <w:t>Appendix B: Altman Z-Score Calculation</w:t>
      </w:r>
    </w:p>
    <w:p w:rsidR="003B255E" w:rsidRPr="006662CF" w:rsidRDefault="003B255E" w:rsidP="003B255E">
      <w:pPr>
        <w:rPr>
          <w:rFonts w:ascii="Arial" w:hAnsi="Arial" w:cs="Arial"/>
          <w:b/>
          <w:sz w:val="24"/>
        </w:rPr>
      </w:pPr>
    </w:p>
    <w:p w:rsidR="003B255E" w:rsidRPr="006662CF" w:rsidRDefault="003B255E" w:rsidP="003B255E">
      <w:pPr>
        <w:rPr>
          <w:rFonts w:ascii="Arial" w:hAnsi="Arial" w:cs="Arial"/>
          <w:b/>
          <w:sz w:val="24"/>
        </w:rPr>
      </w:pPr>
      <w:r w:rsidRPr="006662CF">
        <w:rPr>
          <w:rFonts w:ascii="Arial" w:hAnsi="Arial" w:cs="Arial"/>
          <w:b/>
          <w:sz w:val="24"/>
        </w:rPr>
        <w:t>2024 Example Calculation:</w:t>
      </w:r>
    </w:p>
    <w:p w:rsidR="003B255E" w:rsidRPr="003B255E" w:rsidRDefault="003B255E" w:rsidP="003B255E">
      <w:pPr>
        <w:rPr>
          <w:rFonts w:ascii="Arial" w:hAnsi="Arial" w:cs="Arial"/>
        </w:rPr>
      </w:pPr>
    </w:p>
    <w:tbl>
      <w:tblPr>
        <w:tblStyle w:val="TableGrid"/>
        <w:tblW w:w="0" w:type="auto"/>
        <w:tblLook w:val="04A0" w:firstRow="1" w:lastRow="0" w:firstColumn="1" w:lastColumn="0" w:noHBand="0" w:noVBand="1"/>
      </w:tblPr>
      <w:tblGrid>
        <w:gridCol w:w="2337"/>
        <w:gridCol w:w="2337"/>
        <w:gridCol w:w="2338"/>
        <w:gridCol w:w="2338"/>
      </w:tblGrid>
      <w:tr w:rsidR="003737EE" w:rsidRPr="003737EE" w:rsidTr="003737EE">
        <w:tc>
          <w:tcPr>
            <w:tcW w:w="2337" w:type="dxa"/>
          </w:tcPr>
          <w:p w:rsidR="003737EE" w:rsidRPr="003737EE" w:rsidRDefault="003737EE" w:rsidP="003737EE">
            <w:pPr>
              <w:spacing w:line="360" w:lineRule="auto"/>
              <w:rPr>
                <w:rFonts w:ascii="Arial" w:hAnsi="Arial" w:cs="Arial"/>
                <w:sz w:val="24"/>
              </w:rPr>
            </w:pPr>
            <w:r w:rsidRPr="003737EE">
              <w:rPr>
                <w:rFonts w:ascii="Arial" w:hAnsi="Arial" w:cs="Arial"/>
                <w:sz w:val="24"/>
              </w:rPr>
              <w:t>Component</w:t>
            </w:r>
          </w:p>
        </w:tc>
        <w:tc>
          <w:tcPr>
            <w:tcW w:w="2337" w:type="dxa"/>
          </w:tcPr>
          <w:p w:rsidR="003737EE" w:rsidRPr="003737EE" w:rsidRDefault="003737EE" w:rsidP="003737EE">
            <w:pPr>
              <w:spacing w:line="360" w:lineRule="auto"/>
              <w:rPr>
                <w:rFonts w:ascii="Arial" w:hAnsi="Arial" w:cs="Arial"/>
                <w:sz w:val="24"/>
              </w:rPr>
            </w:pPr>
            <w:r w:rsidRPr="003737EE">
              <w:rPr>
                <w:rFonts w:ascii="Arial" w:hAnsi="Arial" w:cs="Arial"/>
                <w:sz w:val="24"/>
              </w:rPr>
              <w:t>Value (£m)</w:t>
            </w:r>
          </w:p>
        </w:tc>
        <w:tc>
          <w:tcPr>
            <w:tcW w:w="2338" w:type="dxa"/>
          </w:tcPr>
          <w:p w:rsidR="003737EE" w:rsidRPr="003737EE" w:rsidRDefault="003737EE" w:rsidP="003737EE">
            <w:pPr>
              <w:spacing w:line="360" w:lineRule="auto"/>
              <w:rPr>
                <w:rFonts w:ascii="Arial" w:hAnsi="Arial" w:cs="Arial"/>
                <w:sz w:val="24"/>
              </w:rPr>
            </w:pPr>
            <w:r w:rsidRPr="003737EE">
              <w:rPr>
                <w:rFonts w:ascii="Arial" w:hAnsi="Arial" w:cs="Arial"/>
                <w:sz w:val="24"/>
              </w:rPr>
              <w:t>Formula / Ratio</w:t>
            </w:r>
          </w:p>
        </w:tc>
        <w:tc>
          <w:tcPr>
            <w:tcW w:w="2338" w:type="dxa"/>
          </w:tcPr>
          <w:p w:rsidR="003737EE" w:rsidRPr="003737EE" w:rsidRDefault="003737EE" w:rsidP="003737EE">
            <w:pPr>
              <w:spacing w:line="360" w:lineRule="auto"/>
              <w:rPr>
                <w:rFonts w:ascii="Arial" w:hAnsi="Arial" w:cs="Arial"/>
                <w:sz w:val="24"/>
              </w:rPr>
            </w:pPr>
            <w:r w:rsidRPr="003737EE">
              <w:rPr>
                <w:rFonts w:ascii="Arial" w:hAnsi="Arial" w:cs="Arial"/>
                <w:sz w:val="24"/>
              </w:rPr>
              <w:t>Result</w:t>
            </w:r>
          </w:p>
        </w:tc>
      </w:tr>
      <w:tr w:rsidR="003737EE" w:rsidRPr="003737EE" w:rsidTr="003737EE">
        <w:tc>
          <w:tcPr>
            <w:tcW w:w="2337" w:type="dxa"/>
          </w:tcPr>
          <w:p w:rsidR="003737EE" w:rsidRPr="003737EE" w:rsidRDefault="003737EE" w:rsidP="003737EE">
            <w:pPr>
              <w:spacing w:line="360" w:lineRule="auto"/>
              <w:rPr>
                <w:rFonts w:ascii="Arial" w:hAnsi="Arial" w:cs="Arial"/>
                <w:sz w:val="24"/>
              </w:rPr>
            </w:pPr>
            <w:r w:rsidRPr="003737EE">
              <w:rPr>
                <w:rFonts w:ascii="Arial" w:hAnsi="Arial" w:cs="Arial"/>
                <w:sz w:val="24"/>
              </w:rPr>
              <w:t>Working Capital</w:t>
            </w:r>
          </w:p>
        </w:tc>
        <w:tc>
          <w:tcPr>
            <w:tcW w:w="2337" w:type="dxa"/>
          </w:tcPr>
          <w:p w:rsidR="003737EE" w:rsidRPr="003737EE" w:rsidRDefault="003737EE" w:rsidP="003737EE">
            <w:pPr>
              <w:spacing w:line="360" w:lineRule="auto"/>
              <w:rPr>
                <w:rFonts w:ascii="Arial" w:hAnsi="Arial" w:cs="Arial"/>
                <w:sz w:val="24"/>
              </w:rPr>
            </w:pPr>
            <w:r w:rsidRPr="003737EE">
              <w:rPr>
                <w:rFonts w:ascii="Arial" w:hAnsi="Arial" w:cs="Arial"/>
                <w:sz w:val="24"/>
              </w:rPr>
              <w:t>84,203</w:t>
            </w:r>
          </w:p>
        </w:tc>
        <w:tc>
          <w:tcPr>
            <w:tcW w:w="2338" w:type="dxa"/>
          </w:tcPr>
          <w:p w:rsidR="003737EE" w:rsidRPr="003737EE" w:rsidRDefault="003737EE" w:rsidP="003737EE">
            <w:pPr>
              <w:spacing w:line="360" w:lineRule="auto"/>
              <w:rPr>
                <w:rFonts w:ascii="Arial" w:hAnsi="Arial" w:cs="Arial"/>
                <w:sz w:val="24"/>
              </w:rPr>
            </w:pPr>
            <w:r w:rsidRPr="003737EE">
              <w:rPr>
                <w:rFonts w:ascii="Arial" w:hAnsi="Arial" w:cs="Arial"/>
                <w:sz w:val="24"/>
              </w:rPr>
              <w:t>WC / Total Assets</w:t>
            </w:r>
          </w:p>
        </w:tc>
        <w:tc>
          <w:tcPr>
            <w:tcW w:w="2338" w:type="dxa"/>
          </w:tcPr>
          <w:p w:rsidR="003737EE" w:rsidRPr="003737EE" w:rsidRDefault="003737EE" w:rsidP="003737EE">
            <w:pPr>
              <w:spacing w:line="360" w:lineRule="auto"/>
              <w:rPr>
                <w:rFonts w:ascii="Arial" w:hAnsi="Arial" w:cs="Arial"/>
                <w:sz w:val="24"/>
              </w:rPr>
            </w:pPr>
            <w:r w:rsidRPr="003737EE">
              <w:rPr>
                <w:rFonts w:ascii="Arial" w:hAnsi="Arial" w:cs="Arial"/>
                <w:sz w:val="24"/>
              </w:rPr>
              <w:t>X</w:t>
            </w:r>
            <w:r w:rsidRPr="003737EE">
              <w:rPr>
                <w:rFonts w:ascii="Cambria Math" w:hAnsi="Cambria Math" w:cs="Cambria Math"/>
                <w:sz w:val="24"/>
              </w:rPr>
              <w:t>₁</w:t>
            </w:r>
            <w:r w:rsidRPr="003737EE">
              <w:rPr>
                <w:rFonts w:ascii="Arial" w:hAnsi="Arial" w:cs="Arial"/>
                <w:sz w:val="24"/>
              </w:rPr>
              <w:t xml:space="preserve"> = 0.26</w:t>
            </w:r>
          </w:p>
        </w:tc>
      </w:tr>
      <w:tr w:rsidR="003737EE" w:rsidRPr="003737EE" w:rsidTr="003737EE">
        <w:tc>
          <w:tcPr>
            <w:tcW w:w="2337" w:type="dxa"/>
          </w:tcPr>
          <w:p w:rsidR="003737EE" w:rsidRPr="003737EE" w:rsidRDefault="003737EE" w:rsidP="003737EE">
            <w:pPr>
              <w:spacing w:line="360" w:lineRule="auto"/>
              <w:rPr>
                <w:rFonts w:ascii="Arial" w:hAnsi="Arial" w:cs="Arial"/>
                <w:sz w:val="24"/>
              </w:rPr>
            </w:pPr>
            <w:r w:rsidRPr="003737EE">
              <w:rPr>
                <w:rFonts w:ascii="Arial" w:hAnsi="Arial" w:cs="Arial"/>
                <w:sz w:val="24"/>
              </w:rPr>
              <w:t>Retained Earnings</w:t>
            </w:r>
          </w:p>
        </w:tc>
        <w:tc>
          <w:tcPr>
            <w:tcW w:w="2337" w:type="dxa"/>
          </w:tcPr>
          <w:p w:rsidR="003737EE" w:rsidRPr="003737EE" w:rsidRDefault="003737EE" w:rsidP="003737EE">
            <w:pPr>
              <w:spacing w:line="360" w:lineRule="auto"/>
              <w:rPr>
                <w:rFonts w:ascii="Arial" w:hAnsi="Arial" w:cs="Arial"/>
                <w:sz w:val="24"/>
              </w:rPr>
            </w:pPr>
            <w:r w:rsidRPr="003737EE">
              <w:rPr>
                <w:rFonts w:ascii="Arial" w:hAnsi="Arial" w:cs="Arial"/>
                <w:sz w:val="24"/>
              </w:rPr>
              <w:t>208,431</w:t>
            </w:r>
          </w:p>
        </w:tc>
        <w:tc>
          <w:tcPr>
            <w:tcW w:w="2338" w:type="dxa"/>
          </w:tcPr>
          <w:p w:rsidR="003737EE" w:rsidRPr="003737EE" w:rsidRDefault="003737EE" w:rsidP="003737EE">
            <w:pPr>
              <w:spacing w:line="360" w:lineRule="auto"/>
              <w:rPr>
                <w:rFonts w:ascii="Arial" w:hAnsi="Arial" w:cs="Arial"/>
                <w:sz w:val="24"/>
              </w:rPr>
            </w:pPr>
            <w:r w:rsidRPr="003737EE">
              <w:rPr>
                <w:rFonts w:ascii="Arial" w:hAnsi="Arial" w:cs="Arial"/>
                <w:sz w:val="24"/>
              </w:rPr>
              <w:t>RE / Total Assets</w:t>
            </w:r>
          </w:p>
        </w:tc>
        <w:tc>
          <w:tcPr>
            <w:tcW w:w="2338" w:type="dxa"/>
          </w:tcPr>
          <w:p w:rsidR="003737EE" w:rsidRPr="003737EE" w:rsidRDefault="003737EE" w:rsidP="003737EE">
            <w:pPr>
              <w:spacing w:line="360" w:lineRule="auto"/>
              <w:rPr>
                <w:rFonts w:ascii="Arial" w:hAnsi="Arial" w:cs="Arial"/>
                <w:sz w:val="24"/>
              </w:rPr>
            </w:pPr>
            <w:r w:rsidRPr="003737EE">
              <w:rPr>
                <w:rFonts w:ascii="Arial" w:hAnsi="Arial" w:cs="Arial"/>
                <w:sz w:val="24"/>
              </w:rPr>
              <w:t>X</w:t>
            </w:r>
            <w:r w:rsidRPr="003737EE">
              <w:rPr>
                <w:rFonts w:ascii="Cambria Math" w:hAnsi="Cambria Math" w:cs="Cambria Math"/>
                <w:sz w:val="24"/>
              </w:rPr>
              <w:t>₂</w:t>
            </w:r>
            <w:r w:rsidRPr="003737EE">
              <w:rPr>
                <w:rFonts w:ascii="Arial" w:hAnsi="Arial" w:cs="Arial"/>
                <w:sz w:val="24"/>
              </w:rPr>
              <w:t xml:space="preserve"> = 0.645</w:t>
            </w:r>
          </w:p>
        </w:tc>
      </w:tr>
      <w:tr w:rsidR="003737EE" w:rsidRPr="003737EE" w:rsidTr="003737EE">
        <w:tc>
          <w:tcPr>
            <w:tcW w:w="2337" w:type="dxa"/>
          </w:tcPr>
          <w:p w:rsidR="003737EE" w:rsidRPr="003737EE" w:rsidRDefault="003737EE" w:rsidP="003737EE">
            <w:pPr>
              <w:spacing w:line="360" w:lineRule="auto"/>
              <w:rPr>
                <w:rFonts w:ascii="Arial" w:hAnsi="Arial" w:cs="Arial"/>
                <w:sz w:val="24"/>
              </w:rPr>
            </w:pPr>
            <w:r w:rsidRPr="003737EE">
              <w:rPr>
                <w:rFonts w:ascii="Arial" w:hAnsi="Arial" w:cs="Arial"/>
                <w:sz w:val="24"/>
              </w:rPr>
              <w:t>EBIT</w:t>
            </w:r>
          </w:p>
        </w:tc>
        <w:tc>
          <w:tcPr>
            <w:tcW w:w="2337" w:type="dxa"/>
          </w:tcPr>
          <w:p w:rsidR="003737EE" w:rsidRPr="003737EE" w:rsidRDefault="003737EE" w:rsidP="003737EE">
            <w:pPr>
              <w:spacing w:line="360" w:lineRule="auto"/>
              <w:rPr>
                <w:rFonts w:ascii="Arial" w:hAnsi="Arial" w:cs="Arial"/>
                <w:sz w:val="24"/>
              </w:rPr>
            </w:pPr>
            <w:r w:rsidRPr="003737EE">
              <w:rPr>
                <w:rFonts w:ascii="Arial" w:hAnsi="Arial" w:cs="Arial"/>
                <w:sz w:val="24"/>
              </w:rPr>
              <w:t>-15,297</w:t>
            </w:r>
          </w:p>
        </w:tc>
        <w:tc>
          <w:tcPr>
            <w:tcW w:w="2338" w:type="dxa"/>
          </w:tcPr>
          <w:p w:rsidR="003737EE" w:rsidRPr="003737EE" w:rsidRDefault="003737EE" w:rsidP="003737EE">
            <w:pPr>
              <w:spacing w:line="360" w:lineRule="auto"/>
              <w:rPr>
                <w:rFonts w:ascii="Arial" w:hAnsi="Arial" w:cs="Arial"/>
                <w:sz w:val="24"/>
              </w:rPr>
            </w:pPr>
            <w:r w:rsidRPr="003737EE">
              <w:rPr>
                <w:rFonts w:ascii="Arial" w:hAnsi="Arial" w:cs="Arial"/>
                <w:sz w:val="24"/>
              </w:rPr>
              <w:t>EBIT / Total Assets</w:t>
            </w:r>
          </w:p>
        </w:tc>
        <w:tc>
          <w:tcPr>
            <w:tcW w:w="2338" w:type="dxa"/>
          </w:tcPr>
          <w:p w:rsidR="003737EE" w:rsidRPr="003737EE" w:rsidRDefault="003737EE" w:rsidP="003737EE">
            <w:pPr>
              <w:spacing w:line="360" w:lineRule="auto"/>
              <w:rPr>
                <w:rFonts w:ascii="Arial" w:hAnsi="Arial" w:cs="Arial"/>
                <w:sz w:val="24"/>
              </w:rPr>
            </w:pPr>
            <w:r w:rsidRPr="003737EE">
              <w:rPr>
                <w:rFonts w:ascii="Arial" w:hAnsi="Arial" w:cs="Arial"/>
                <w:sz w:val="24"/>
              </w:rPr>
              <w:t>X</w:t>
            </w:r>
            <w:r w:rsidRPr="003737EE">
              <w:rPr>
                <w:rFonts w:ascii="Cambria Math" w:hAnsi="Cambria Math" w:cs="Cambria Math"/>
                <w:sz w:val="24"/>
              </w:rPr>
              <w:t>₃</w:t>
            </w:r>
            <w:r w:rsidRPr="003737EE">
              <w:rPr>
                <w:rFonts w:ascii="Arial" w:hAnsi="Arial" w:cs="Arial"/>
                <w:sz w:val="24"/>
              </w:rPr>
              <w:t xml:space="preserve"> = -0.047</w:t>
            </w:r>
          </w:p>
        </w:tc>
      </w:tr>
      <w:tr w:rsidR="003737EE" w:rsidRPr="003737EE" w:rsidTr="003737EE">
        <w:tc>
          <w:tcPr>
            <w:tcW w:w="2337" w:type="dxa"/>
          </w:tcPr>
          <w:p w:rsidR="003737EE" w:rsidRPr="003737EE" w:rsidRDefault="003737EE" w:rsidP="003737EE">
            <w:pPr>
              <w:spacing w:line="360" w:lineRule="auto"/>
              <w:rPr>
                <w:rFonts w:ascii="Arial" w:hAnsi="Arial" w:cs="Arial"/>
                <w:sz w:val="24"/>
              </w:rPr>
            </w:pPr>
            <w:r w:rsidRPr="003737EE">
              <w:rPr>
                <w:rFonts w:ascii="Arial" w:hAnsi="Arial" w:cs="Arial"/>
                <w:sz w:val="24"/>
              </w:rPr>
              <w:t>Equity / Liabilities</w:t>
            </w:r>
          </w:p>
        </w:tc>
        <w:tc>
          <w:tcPr>
            <w:tcW w:w="2337" w:type="dxa"/>
          </w:tcPr>
          <w:p w:rsidR="003737EE" w:rsidRPr="003737EE" w:rsidRDefault="003737EE" w:rsidP="003737EE">
            <w:pPr>
              <w:spacing w:line="360" w:lineRule="auto"/>
              <w:rPr>
                <w:rFonts w:ascii="Arial" w:hAnsi="Arial" w:cs="Arial"/>
                <w:sz w:val="24"/>
              </w:rPr>
            </w:pPr>
            <w:r w:rsidRPr="003737EE">
              <w:rPr>
                <w:rFonts w:ascii="Arial" w:hAnsi="Arial" w:cs="Arial"/>
                <w:sz w:val="24"/>
              </w:rPr>
              <w:t>153,105 / 170,249</w:t>
            </w:r>
          </w:p>
        </w:tc>
        <w:tc>
          <w:tcPr>
            <w:tcW w:w="2338" w:type="dxa"/>
          </w:tcPr>
          <w:p w:rsidR="003737EE" w:rsidRPr="003737EE" w:rsidRDefault="003737EE" w:rsidP="003737EE">
            <w:pPr>
              <w:spacing w:line="360" w:lineRule="auto"/>
              <w:rPr>
                <w:rFonts w:ascii="Arial" w:hAnsi="Arial" w:cs="Arial"/>
                <w:sz w:val="24"/>
              </w:rPr>
            </w:pPr>
            <w:r w:rsidRPr="003737EE">
              <w:rPr>
                <w:rFonts w:ascii="Arial" w:hAnsi="Arial" w:cs="Arial"/>
                <w:sz w:val="24"/>
              </w:rPr>
              <w:t>X</w:t>
            </w:r>
            <w:r w:rsidRPr="003737EE">
              <w:rPr>
                <w:rFonts w:ascii="Cambria Math" w:hAnsi="Cambria Math" w:cs="Cambria Math"/>
                <w:sz w:val="24"/>
              </w:rPr>
              <w:t>₄</w:t>
            </w:r>
          </w:p>
        </w:tc>
        <w:tc>
          <w:tcPr>
            <w:tcW w:w="2338" w:type="dxa"/>
          </w:tcPr>
          <w:p w:rsidR="003737EE" w:rsidRPr="003737EE" w:rsidRDefault="003737EE" w:rsidP="003737EE">
            <w:pPr>
              <w:spacing w:line="360" w:lineRule="auto"/>
              <w:rPr>
                <w:rFonts w:ascii="Arial" w:hAnsi="Arial" w:cs="Arial"/>
                <w:sz w:val="24"/>
              </w:rPr>
            </w:pPr>
            <w:r w:rsidRPr="003737EE">
              <w:rPr>
                <w:rFonts w:ascii="Arial" w:hAnsi="Arial" w:cs="Arial"/>
                <w:sz w:val="24"/>
              </w:rPr>
              <w:t>0.899</w:t>
            </w:r>
          </w:p>
        </w:tc>
      </w:tr>
      <w:tr w:rsidR="003737EE" w:rsidRPr="003737EE" w:rsidTr="003737EE">
        <w:tc>
          <w:tcPr>
            <w:tcW w:w="2337" w:type="dxa"/>
          </w:tcPr>
          <w:p w:rsidR="003737EE" w:rsidRPr="003737EE" w:rsidRDefault="003737EE" w:rsidP="003737EE">
            <w:pPr>
              <w:spacing w:line="360" w:lineRule="auto"/>
              <w:rPr>
                <w:rFonts w:ascii="Arial" w:hAnsi="Arial" w:cs="Arial"/>
                <w:sz w:val="24"/>
              </w:rPr>
            </w:pPr>
            <w:r w:rsidRPr="003737EE">
              <w:rPr>
                <w:rFonts w:ascii="Arial" w:hAnsi="Arial" w:cs="Arial"/>
                <w:sz w:val="24"/>
              </w:rPr>
              <w:t>Z"-Score</w:t>
            </w:r>
          </w:p>
        </w:tc>
        <w:tc>
          <w:tcPr>
            <w:tcW w:w="2337" w:type="dxa"/>
          </w:tcPr>
          <w:p w:rsidR="003737EE" w:rsidRPr="003737EE" w:rsidRDefault="003737EE" w:rsidP="003737EE">
            <w:pPr>
              <w:spacing w:line="360" w:lineRule="auto"/>
              <w:rPr>
                <w:rFonts w:ascii="Arial" w:hAnsi="Arial" w:cs="Arial"/>
                <w:sz w:val="24"/>
              </w:rPr>
            </w:pPr>
            <w:r w:rsidRPr="003737EE">
              <w:rPr>
                <w:rFonts w:ascii="Arial" w:hAnsi="Arial" w:cs="Arial"/>
                <w:sz w:val="24"/>
              </w:rPr>
              <w:t>-</w:t>
            </w:r>
          </w:p>
        </w:tc>
        <w:tc>
          <w:tcPr>
            <w:tcW w:w="2338" w:type="dxa"/>
          </w:tcPr>
          <w:p w:rsidR="003737EE" w:rsidRPr="003737EE" w:rsidRDefault="003737EE" w:rsidP="003737EE">
            <w:pPr>
              <w:spacing w:line="360" w:lineRule="auto"/>
              <w:rPr>
                <w:rFonts w:ascii="Arial" w:hAnsi="Arial" w:cs="Arial"/>
                <w:sz w:val="24"/>
              </w:rPr>
            </w:pPr>
            <w:r w:rsidRPr="003737EE">
              <w:rPr>
                <w:rFonts w:ascii="Arial" w:hAnsi="Arial" w:cs="Arial"/>
                <w:sz w:val="24"/>
              </w:rPr>
              <w:t>6.56X</w:t>
            </w:r>
            <w:r w:rsidRPr="003737EE">
              <w:rPr>
                <w:rFonts w:ascii="Cambria Math" w:hAnsi="Cambria Math" w:cs="Cambria Math"/>
                <w:sz w:val="24"/>
              </w:rPr>
              <w:t>₁</w:t>
            </w:r>
            <w:r w:rsidRPr="003737EE">
              <w:rPr>
                <w:rFonts w:ascii="Arial" w:hAnsi="Arial" w:cs="Arial"/>
                <w:sz w:val="24"/>
              </w:rPr>
              <w:t xml:space="preserve"> + 3.26X</w:t>
            </w:r>
            <w:r w:rsidRPr="003737EE">
              <w:rPr>
                <w:rFonts w:ascii="Cambria Math" w:hAnsi="Cambria Math" w:cs="Cambria Math"/>
                <w:sz w:val="24"/>
              </w:rPr>
              <w:t>₂</w:t>
            </w:r>
            <w:r w:rsidRPr="003737EE">
              <w:rPr>
                <w:rFonts w:ascii="Arial" w:hAnsi="Arial" w:cs="Arial"/>
                <w:sz w:val="24"/>
              </w:rPr>
              <w:t xml:space="preserve"> + 6.72X</w:t>
            </w:r>
            <w:r w:rsidRPr="003737EE">
              <w:rPr>
                <w:rFonts w:ascii="Cambria Math" w:hAnsi="Cambria Math" w:cs="Cambria Math"/>
                <w:sz w:val="24"/>
              </w:rPr>
              <w:t>₃</w:t>
            </w:r>
            <w:r w:rsidRPr="003737EE">
              <w:rPr>
                <w:rFonts w:ascii="Arial" w:hAnsi="Arial" w:cs="Arial"/>
                <w:sz w:val="24"/>
              </w:rPr>
              <w:t xml:space="preserve"> + 1.05X</w:t>
            </w:r>
            <w:r w:rsidRPr="003737EE">
              <w:rPr>
                <w:rFonts w:ascii="Cambria Math" w:hAnsi="Cambria Math" w:cs="Cambria Math"/>
                <w:sz w:val="24"/>
              </w:rPr>
              <w:t>₄</w:t>
            </w:r>
          </w:p>
        </w:tc>
        <w:tc>
          <w:tcPr>
            <w:tcW w:w="2338" w:type="dxa"/>
          </w:tcPr>
          <w:p w:rsidR="003737EE" w:rsidRPr="003737EE" w:rsidRDefault="003737EE" w:rsidP="003737EE">
            <w:pPr>
              <w:spacing w:line="360" w:lineRule="auto"/>
              <w:rPr>
                <w:rFonts w:ascii="Arial" w:hAnsi="Arial" w:cs="Arial"/>
                <w:sz w:val="24"/>
              </w:rPr>
            </w:pPr>
            <w:r w:rsidRPr="003737EE">
              <w:rPr>
                <w:rFonts w:ascii="Arial" w:hAnsi="Arial" w:cs="Arial"/>
                <w:sz w:val="24"/>
              </w:rPr>
              <w:t>3.46</w:t>
            </w:r>
          </w:p>
        </w:tc>
      </w:tr>
    </w:tbl>
    <w:p w:rsidR="003737EE" w:rsidRDefault="003737EE" w:rsidP="003B255E">
      <w:pPr>
        <w:rPr>
          <w:rFonts w:ascii="Arial" w:hAnsi="Arial" w:cs="Arial"/>
        </w:rPr>
      </w:pPr>
    </w:p>
    <w:p w:rsidR="003737EE" w:rsidRDefault="003737EE" w:rsidP="003B255E">
      <w:pPr>
        <w:rPr>
          <w:rFonts w:ascii="Arial" w:hAnsi="Arial" w:cs="Arial"/>
        </w:rPr>
      </w:pPr>
    </w:p>
    <w:p w:rsidR="003737EE" w:rsidRDefault="003737EE" w:rsidP="003B255E">
      <w:pPr>
        <w:rPr>
          <w:rFonts w:ascii="Arial" w:hAnsi="Arial" w:cs="Arial"/>
        </w:rPr>
      </w:pPr>
    </w:p>
    <w:p w:rsidR="0063731F" w:rsidRDefault="0063731F" w:rsidP="003B255E">
      <w:pPr>
        <w:rPr>
          <w:rFonts w:ascii="Arial" w:hAnsi="Arial" w:cs="Arial"/>
        </w:rPr>
      </w:pPr>
    </w:p>
    <w:p w:rsidR="0063731F" w:rsidRDefault="0063731F" w:rsidP="003B255E">
      <w:pPr>
        <w:rPr>
          <w:rFonts w:ascii="Arial" w:hAnsi="Arial" w:cs="Arial"/>
        </w:rPr>
      </w:pPr>
    </w:p>
    <w:p w:rsidR="0063731F" w:rsidRDefault="0063731F" w:rsidP="003B255E">
      <w:pPr>
        <w:rPr>
          <w:rFonts w:ascii="Arial" w:hAnsi="Arial" w:cs="Arial"/>
        </w:rPr>
      </w:pPr>
    </w:p>
    <w:p w:rsidR="0063731F" w:rsidRDefault="0063731F" w:rsidP="003B255E">
      <w:pPr>
        <w:rPr>
          <w:rFonts w:ascii="Arial" w:hAnsi="Arial" w:cs="Arial"/>
        </w:rPr>
      </w:pPr>
    </w:p>
    <w:p w:rsidR="003B255E" w:rsidRPr="006662CF" w:rsidRDefault="003B255E" w:rsidP="003B255E">
      <w:pPr>
        <w:rPr>
          <w:rFonts w:ascii="Arial" w:hAnsi="Arial" w:cs="Arial"/>
          <w:b/>
          <w:sz w:val="24"/>
        </w:rPr>
      </w:pPr>
      <w:r w:rsidRPr="006662CF">
        <w:rPr>
          <w:rFonts w:ascii="Arial" w:hAnsi="Arial" w:cs="Arial"/>
          <w:b/>
          <w:sz w:val="24"/>
        </w:rPr>
        <w:lastRenderedPageBreak/>
        <w:t>Appendix C: Investment Appraisal Calculations</w:t>
      </w:r>
    </w:p>
    <w:p w:rsidR="003B255E" w:rsidRPr="006662CF" w:rsidRDefault="003B255E" w:rsidP="003B255E">
      <w:pPr>
        <w:rPr>
          <w:rFonts w:ascii="Arial" w:hAnsi="Arial" w:cs="Arial"/>
          <w:sz w:val="24"/>
        </w:rPr>
      </w:pPr>
    </w:p>
    <w:p w:rsidR="003B255E" w:rsidRPr="006662CF" w:rsidRDefault="003B255E" w:rsidP="003B255E">
      <w:pPr>
        <w:rPr>
          <w:rFonts w:ascii="Arial" w:hAnsi="Arial" w:cs="Arial"/>
          <w:b/>
          <w:sz w:val="24"/>
        </w:rPr>
      </w:pPr>
      <w:r w:rsidRPr="006662CF">
        <w:rPr>
          <w:rFonts w:ascii="Arial" w:hAnsi="Arial" w:cs="Arial"/>
          <w:b/>
          <w:sz w:val="24"/>
        </w:rPr>
        <w:t>C.1 Payback Period (PBP)</w:t>
      </w:r>
    </w:p>
    <w:p w:rsidR="003B255E" w:rsidRPr="003B255E" w:rsidRDefault="003B255E" w:rsidP="003B255E">
      <w:pPr>
        <w:rPr>
          <w:rFonts w:ascii="Arial" w:hAnsi="Arial" w:cs="Arial"/>
        </w:rPr>
      </w:pPr>
    </w:p>
    <w:tbl>
      <w:tblPr>
        <w:tblStyle w:val="TableGrid"/>
        <w:tblW w:w="0" w:type="auto"/>
        <w:tblLook w:val="04A0" w:firstRow="1" w:lastRow="0" w:firstColumn="1" w:lastColumn="0" w:noHBand="0" w:noVBand="1"/>
      </w:tblPr>
      <w:tblGrid>
        <w:gridCol w:w="2337"/>
        <w:gridCol w:w="2337"/>
        <w:gridCol w:w="2338"/>
        <w:gridCol w:w="2338"/>
      </w:tblGrid>
      <w:tr w:rsidR="002352D9" w:rsidRPr="002352D9" w:rsidTr="002352D9">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Project</w:t>
            </w:r>
          </w:p>
        </w:tc>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Initial Investment (£m)</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Cumulative Cash Inflows (£m)</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PBP (Years)</w:t>
            </w:r>
          </w:p>
        </w:tc>
      </w:tr>
      <w:tr w:rsidR="002352D9" w:rsidRPr="002352D9" w:rsidTr="002352D9">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A</w:t>
            </w:r>
          </w:p>
        </w:tc>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40</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10, 22, 36, 46, 54</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3.29</w:t>
            </w:r>
          </w:p>
        </w:tc>
      </w:tr>
      <w:tr w:rsidR="002352D9" w:rsidRPr="002352D9" w:rsidTr="002352D9">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B</w:t>
            </w:r>
          </w:p>
        </w:tc>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30</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6, 12, 18, 24, 30</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5</w:t>
            </w:r>
          </w:p>
        </w:tc>
      </w:tr>
      <w:tr w:rsidR="002352D9" w:rsidRPr="002352D9" w:rsidTr="002352D9">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C</w:t>
            </w:r>
          </w:p>
        </w:tc>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50</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5, 15, 35, 60, 75</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3</w:t>
            </w:r>
          </w:p>
        </w:tc>
      </w:tr>
    </w:tbl>
    <w:p w:rsidR="003B255E" w:rsidRPr="003B255E" w:rsidRDefault="003B255E" w:rsidP="003B255E">
      <w:pPr>
        <w:rPr>
          <w:rFonts w:ascii="Arial" w:hAnsi="Arial" w:cs="Arial"/>
        </w:rPr>
      </w:pPr>
    </w:p>
    <w:p w:rsidR="003B255E" w:rsidRPr="006662CF" w:rsidRDefault="003B255E" w:rsidP="003B255E">
      <w:pPr>
        <w:rPr>
          <w:rFonts w:ascii="Arial" w:hAnsi="Arial" w:cs="Arial"/>
          <w:b/>
          <w:sz w:val="24"/>
        </w:rPr>
      </w:pPr>
      <w:r w:rsidRPr="006662CF">
        <w:rPr>
          <w:rFonts w:ascii="Arial" w:hAnsi="Arial" w:cs="Arial"/>
          <w:b/>
          <w:sz w:val="24"/>
        </w:rPr>
        <w:t>C.2 Accounting Rate of Return (ARR)</w:t>
      </w:r>
    </w:p>
    <w:p w:rsidR="003B255E" w:rsidRPr="003B255E" w:rsidRDefault="003B255E" w:rsidP="003B255E">
      <w:pPr>
        <w:rPr>
          <w:rFonts w:ascii="Arial" w:hAnsi="Arial" w:cs="Arial"/>
        </w:rPr>
      </w:pPr>
    </w:p>
    <w:tbl>
      <w:tblPr>
        <w:tblStyle w:val="TableGrid"/>
        <w:tblW w:w="0" w:type="auto"/>
        <w:tblLook w:val="04A0" w:firstRow="1" w:lastRow="0" w:firstColumn="1" w:lastColumn="0" w:noHBand="0" w:noVBand="1"/>
      </w:tblPr>
      <w:tblGrid>
        <w:gridCol w:w="2337"/>
        <w:gridCol w:w="2337"/>
        <w:gridCol w:w="2338"/>
        <w:gridCol w:w="2338"/>
      </w:tblGrid>
      <w:tr w:rsidR="002352D9" w:rsidRPr="002352D9" w:rsidTr="002352D9">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Project</w:t>
            </w:r>
          </w:p>
        </w:tc>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Avg. Annual Cash Inflow (£m)</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Initial Investment (£m)</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ARR (%)</w:t>
            </w:r>
          </w:p>
        </w:tc>
      </w:tr>
      <w:tr w:rsidR="002352D9" w:rsidRPr="002352D9" w:rsidTr="002352D9">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A</w:t>
            </w:r>
          </w:p>
        </w:tc>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10.8</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40</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27</w:t>
            </w:r>
          </w:p>
        </w:tc>
      </w:tr>
      <w:tr w:rsidR="002352D9" w:rsidRPr="002352D9" w:rsidTr="002352D9">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B</w:t>
            </w:r>
          </w:p>
        </w:tc>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6</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30</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20</w:t>
            </w:r>
          </w:p>
        </w:tc>
      </w:tr>
      <w:tr w:rsidR="002352D9" w:rsidRPr="002352D9" w:rsidTr="002352D9">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C</w:t>
            </w:r>
          </w:p>
        </w:tc>
        <w:tc>
          <w:tcPr>
            <w:tcW w:w="2337" w:type="dxa"/>
          </w:tcPr>
          <w:p w:rsidR="002352D9" w:rsidRPr="002352D9" w:rsidRDefault="002352D9" w:rsidP="002352D9">
            <w:pPr>
              <w:spacing w:line="360" w:lineRule="auto"/>
              <w:rPr>
                <w:rFonts w:ascii="Arial" w:hAnsi="Arial" w:cs="Arial"/>
                <w:sz w:val="24"/>
              </w:rPr>
            </w:pPr>
            <w:r w:rsidRPr="002352D9">
              <w:rPr>
                <w:rFonts w:ascii="Arial" w:hAnsi="Arial" w:cs="Arial"/>
                <w:sz w:val="24"/>
              </w:rPr>
              <w:t>15</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50</w:t>
            </w:r>
          </w:p>
        </w:tc>
        <w:tc>
          <w:tcPr>
            <w:tcW w:w="2338" w:type="dxa"/>
          </w:tcPr>
          <w:p w:rsidR="002352D9" w:rsidRPr="002352D9" w:rsidRDefault="002352D9" w:rsidP="002352D9">
            <w:pPr>
              <w:spacing w:line="360" w:lineRule="auto"/>
              <w:rPr>
                <w:rFonts w:ascii="Arial" w:hAnsi="Arial" w:cs="Arial"/>
                <w:sz w:val="24"/>
              </w:rPr>
            </w:pPr>
            <w:r w:rsidRPr="002352D9">
              <w:rPr>
                <w:rFonts w:ascii="Arial" w:hAnsi="Arial" w:cs="Arial"/>
                <w:sz w:val="24"/>
              </w:rPr>
              <w:t>30</w:t>
            </w:r>
          </w:p>
        </w:tc>
      </w:tr>
    </w:tbl>
    <w:p w:rsidR="003B255E" w:rsidRPr="003B255E" w:rsidRDefault="003B255E" w:rsidP="003B255E">
      <w:pPr>
        <w:rPr>
          <w:rFonts w:ascii="Arial" w:hAnsi="Arial" w:cs="Arial"/>
        </w:rPr>
      </w:pPr>
    </w:p>
    <w:p w:rsidR="003B255E" w:rsidRPr="006662CF" w:rsidRDefault="003B255E" w:rsidP="003B255E">
      <w:pPr>
        <w:rPr>
          <w:rFonts w:ascii="Arial" w:hAnsi="Arial" w:cs="Arial"/>
          <w:b/>
          <w:sz w:val="24"/>
        </w:rPr>
      </w:pPr>
      <w:r w:rsidRPr="006662CF">
        <w:rPr>
          <w:rFonts w:ascii="Arial" w:hAnsi="Arial" w:cs="Arial"/>
          <w:b/>
          <w:sz w:val="24"/>
        </w:rPr>
        <w:t>C.3 Net Present Value (NPV) &amp; Profitability Index (PI)</w:t>
      </w:r>
    </w:p>
    <w:p w:rsidR="003B255E" w:rsidRPr="003B255E" w:rsidRDefault="003B255E" w:rsidP="003B255E">
      <w:pPr>
        <w:rPr>
          <w:rFonts w:ascii="Arial" w:hAnsi="Arial" w:cs="Arial"/>
        </w:rPr>
      </w:pPr>
    </w:p>
    <w:tbl>
      <w:tblPr>
        <w:tblStyle w:val="TableGrid"/>
        <w:tblW w:w="0" w:type="auto"/>
        <w:tblLook w:val="04A0" w:firstRow="1" w:lastRow="0" w:firstColumn="1" w:lastColumn="0" w:noHBand="0" w:noVBand="1"/>
      </w:tblPr>
      <w:tblGrid>
        <w:gridCol w:w="1870"/>
        <w:gridCol w:w="1870"/>
        <w:gridCol w:w="1870"/>
        <w:gridCol w:w="1870"/>
        <w:gridCol w:w="1870"/>
      </w:tblGrid>
      <w:tr w:rsidR="00F37C96" w:rsidRPr="00F37C96" w:rsidTr="00F37C96">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Project</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PV of Cash Inflows (£m)</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Initial Investment (£m)</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NPV (£m)</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PI</w:t>
            </w:r>
          </w:p>
        </w:tc>
      </w:tr>
      <w:tr w:rsidR="00F37C96" w:rsidRPr="00F37C96" w:rsidTr="00F37C96">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A</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41.33</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40</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1.33</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1.03</w:t>
            </w:r>
          </w:p>
        </w:tc>
      </w:tr>
      <w:tr w:rsidR="00F37C96" w:rsidRPr="00F37C96" w:rsidTr="00F37C96">
        <w:trPr>
          <w:trHeight w:val="519"/>
        </w:trPr>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B</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22.75</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30</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-7.25</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0.76</w:t>
            </w:r>
          </w:p>
        </w:tc>
      </w:tr>
      <w:tr w:rsidR="00F37C96" w:rsidRPr="00F37C96" w:rsidTr="00F37C96">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C</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54.24</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50</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4.24</w:t>
            </w:r>
          </w:p>
        </w:tc>
        <w:tc>
          <w:tcPr>
            <w:tcW w:w="1870" w:type="dxa"/>
          </w:tcPr>
          <w:p w:rsidR="00F37C96" w:rsidRPr="00F37C96" w:rsidRDefault="00F37C96" w:rsidP="00F37C96">
            <w:pPr>
              <w:spacing w:line="360" w:lineRule="auto"/>
              <w:rPr>
                <w:rFonts w:ascii="Arial" w:hAnsi="Arial" w:cs="Arial"/>
                <w:sz w:val="24"/>
              </w:rPr>
            </w:pPr>
            <w:r w:rsidRPr="00F37C96">
              <w:rPr>
                <w:rFonts w:ascii="Arial" w:hAnsi="Arial" w:cs="Arial"/>
                <w:sz w:val="24"/>
              </w:rPr>
              <w:t>1.08</w:t>
            </w:r>
          </w:p>
        </w:tc>
      </w:tr>
    </w:tbl>
    <w:p w:rsidR="003B255E" w:rsidRDefault="003B255E" w:rsidP="003B255E">
      <w:pPr>
        <w:rPr>
          <w:rFonts w:ascii="Arial" w:hAnsi="Arial" w:cs="Arial"/>
        </w:rPr>
      </w:pPr>
    </w:p>
    <w:p w:rsidR="00F37C96" w:rsidRDefault="00F37C96" w:rsidP="003B255E">
      <w:pPr>
        <w:rPr>
          <w:rFonts w:ascii="Arial" w:hAnsi="Arial" w:cs="Arial"/>
        </w:rPr>
      </w:pPr>
    </w:p>
    <w:p w:rsidR="00F37C96" w:rsidRDefault="00F37C96" w:rsidP="003B255E">
      <w:pPr>
        <w:rPr>
          <w:rFonts w:ascii="Arial" w:hAnsi="Arial" w:cs="Arial"/>
        </w:rPr>
      </w:pPr>
    </w:p>
    <w:p w:rsidR="00F37C96" w:rsidRPr="003B255E" w:rsidRDefault="00F37C96" w:rsidP="003B255E">
      <w:pPr>
        <w:rPr>
          <w:rFonts w:ascii="Arial" w:hAnsi="Arial" w:cs="Arial"/>
        </w:rPr>
      </w:pPr>
    </w:p>
    <w:p w:rsidR="003B255E" w:rsidRPr="006662CF" w:rsidRDefault="003B255E" w:rsidP="003B255E">
      <w:pPr>
        <w:rPr>
          <w:rFonts w:ascii="Arial" w:hAnsi="Arial" w:cs="Arial"/>
          <w:b/>
          <w:sz w:val="24"/>
        </w:rPr>
      </w:pPr>
      <w:r w:rsidRPr="006662CF">
        <w:rPr>
          <w:rFonts w:ascii="Arial" w:hAnsi="Arial" w:cs="Arial"/>
          <w:b/>
          <w:sz w:val="24"/>
        </w:rPr>
        <w:lastRenderedPageBreak/>
        <w:t>C.4 Internal Rate of Return (IRR)</w:t>
      </w:r>
    </w:p>
    <w:p w:rsidR="003B255E" w:rsidRPr="003B255E" w:rsidRDefault="003B255E" w:rsidP="003B255E">
      <w:pPr>
        <w:rPr>
          <w:rFonts w:ascii="Arial" w:hAnsi="Arial" w:cs="Arial"/>
        </w:rPr>
      </w:pPr>
    </w:p>
    <w:tbl>
      <w:tblPr>
        <w:tblStyle w:val="TableGrid"/>
        <w:tblW w:w="0" w:type="auto"/>
        <w:tblLook w:val="04A0" w:firstRow="1" w:lastRow="0" w:firstColumn="1" w:lastColumn="0" w:noHBand="0" w:noVBand="1"/>
      </w:tblPr>
      <w:tblGrid>
        <w:gridCol w:w="4675"/>
        <w:gridCol w:w="4675"/>
      </w:tblGrid>
      <w:tr w:rsidR="00F37C96" w:rsidRPr="00F37C96" w:rsidTr="00F37C96">
        <w:tc>
          <w:tcPr>
            <w:tcW w:w="4675" w:type="dxa"/>
          </w:tcPr>
          <w:p w:rsidR="00F37C96" w:rsidRPr="00F37C96" w:rsidRDefault="00F37C96" w:rsidP="00F37C96">
            <w:pPr>
              <w:spacing w:line="360" w:lineRule="auto"/>
              <w:rPr>
                <w:rFonts w:ascii="Arial" w:hAnsi="Arial" w:cs="Arial"/>
                <w:sz w:val="24"/>
              </w:rPr>
            </w:pPr>
            <w:r w:rsidRPr="00F37C96">
              <w:rPr>
                <w:rFonts w:ascii="Arial" w:hAnsi="Arial" w:cs="Arial"/>
                <w:sz w:val="24"/>
              </w:rPr>
              <w:t>Project</w:t>
            </w:r>
          </w:p>
        </w:tc>
        <w:tc>
          <w:tcPr>
            <w:tcW w:w="4675" w:type="dxa"/>
          </w:tcPr>
          <w:p w:rsidR="00F37C96" w:rsidRPr="00F37C96" w:rsidRDefault="00F37C96" w:rsidP="00F37C96">
            <w:pPr>
              <w:spacing w:line="360" w:lineRule="auto"/>
              <w:rPr>
                <w:rFonts w:ascii="Arial" w:hAnsi="Arial" w:cs="Arial"/>
                <w:sz w:val="24"/>
              </w:rPr>
            </w:pPr>
            <w:r w:rsidRPr="00F37C96">
              <w:rPr>
                <w:rFonts w:ascii="Arial" w:hAnsi="Arial" w:cs="Arial"/>
                <w:sz w:val="24"/>
              </w:rPr>
              <w:t>IRR (%)</w:t>
            </w:r>
          </w:p>
        </w:tc>
      </w:tr>
      <w:tr w:rsidR="00F37C96" w:rsidRPr="00F37C96" w:rsidTr="00F37C96">
        <w:tc>
          <w:tcPr>
            <w:tcW w:w="4675" w:type="dxa"/>
          </w:tcPr>
          <w:p w:rsidR="00F37C96" w:rsidRPr="00F37C96" w:rsidRDefault="00F37C96" w:rsidP="00F37C96">
            <w:pPr>
              <w:spacing w:line="360" w:lineRule="auto"/>
              <w:rPr>
                <w:rFonts w:ascii="Arial" w:hAnsi="Arial" w:cs="Arial"/>
                <w:sz w:val="24"/>
              </w:rPr>
            </w:pPr>
            <w:r w:rsidRPr="00F37C96">
              <w:rPr>
                <w:rFonts w:ascii="Arial" w:hAnsi="Arial" w:cs="Arial"/>
                <w:sz w:val="24"/>
              </w:rPr>
              <w:t>A</w:t>
            </w:r>
          </w:p>
        </w:tc>
        <w:tc>
          <w:tcPr>
            <w:tcW w:w="4675" w:type="dxa"/>
          </w:tcPr>
          <w:p w:rsidR="00F37C96" w:rsidRPr="00F37C96" w:rsidRDefault="00F37C96" w:rsidP="00F37C96">
            <w:pPr>
              <w:spacing w:line="360" w:lineRule="auto"/>
              <w:rPr>
                <w:rFonts w:ascii="Arial" w:hAnsi="Arial" w:cs="Arial"/>
                <w:sz w:val="24"/>
              </w:rPr>
            </w:pPr>
            <w:r w:rsidRPr="00F37C96">
              <w:rPr>
                <w:rFonts w:ascii="Arial" w:hAnsi="Arial" w:cs="Arial"/>
                <w:sz w:val="24"/>
              </w:rPr>
              <w:t>11</w:t>
            </w:r>
          </w:p>
        </w:tc>
      </w:tr>
      <w:tr w:rsidR="00F37C96" w:rsidRPr="00F37C96" w:rsidTr="00F37C96">
        <w:tc>
          <w:tcPr>
            <w:tcW w:w="4675" w:type="dxa"/>
          </w:tcPr>
          <w:p w:rsidR="00F37C96" w:rsidRPr="00F37C96" w:rsidRDefault="00F37C96" w:rsidP="00F37C96">
            <w:pPr>
              <w:spacing w:line="360" w:lineRule="auto"/>
              <w:rPr>
                <w:rFonts w:ascii="Arial" w:hAnsi="Arial" w:cs="Arial"/>
                <w:sz w:val="24"/>
              </w:rPr>
            </w:pPr>
            <w:r w:rsidRPr="00F37C96">
              <w:rPr>
                <w:rFonts w:ascii="Arial" w:hAnsi="Arial" w:cs="Arial"/>
                <w:sz w:val="24"/>
              </w:rPr>
              <w:t>B</w:t>
            </w:r>
          </w:p>
        </w:tc>
        <w:tc>
          <w:tcPr>
            <w:tcW w:w="4675" w:type="dxa"/>
          </w:tcPr>
          <w:p w:rsidR="00F37C96" w:rsidRPr="00F37C96" w:rsidRDefault="00F37C96" w:rsidP="00F37C96">
            <w:pPr>
              <w:spacing w:line="360" w:lineRule="auto"/>
              <w:rPr>
                <w:rFonts w:ascii="Arial" w:hAnsi="Arial" w:cs="Arial"/>
                <w:sz w:val="24"/>
              </w:rPr>
            </w:pPr>
            <w:r w:rsidRPr="00F37C96">
              <w:rPr>
                <w:rFonts w:ascii="Arial" w:hAnsi="Arial" w:cs="Arial"/>
                <w:sz w:val="24"/>
              </w:rPr>
              <w:t>6</w:t>
            </w:r>
          </w:p>
        </w:tc>
      </w:tr>
      <w:tr w:rsidR="00F37C96" w:rsidRPr="00F37C96" w:rsidTr="00F37C96">
        <w:tc>
          <w:tcPr>
            <w:tcW w:w="4675" w:type="dxa"/>
          </w:tcPr>
          <w:p w:rsidR="00F37C96" w:rsidRPr="00F37C96" w:rsidRDefault="00F37C96" w:rsidP="00F37C96">
            <w:pPr>
              <w:spacing w:line="360" w:lineRule="auto"/>
              <w:rPr>
                <w:rFonts w:ascii="Arial" w:hAnsi="Arial" w:cs="Arial"/>
                <w:sz w:val="24"/>
              </w:rPr>
            </w:pPr>
            <w:r w:rsidRPr="00F37C96">
              <w:rPr>
                <w:rFonts w:ascii="Arial" w:hAnsi="Arial" w:cs="Arial"/>
                <w:sz w:val="24"/>
              </w:rPr>
              <w:t>C</w:t>
            </w:r>
          </w:p>
        </w:tc>
        <w:tc>
          <w:tcPr>
            <w:tcW w:w="4675" w:type="dxa"/>
          </w:tcPr>
          <w:p w:rsidR="00F37C96" w:rsidRPr="00F37C96" w:rsidRDefault="00F37C96" w:rsidP="00F37C96">
            <w:pPr>
              <w:spacing w:line="360" w:lineRule="auto"/>
              <w:rPr>
                <w:rFonts w:ascii="Arial" w:hAnsi="Arial" w:cs="Arial"/>
                <w:sz w:val="24"/>
              </w:rPr>
            </w:pPr>
            <w:r w:rsidRPr="00F37C96">
              <w:rPr>
                <w:rFonts w:ascii="Arial" w:hAnsi="Arial" w:cs="Arial"/>
                <w:sz w:val="24"/>
              </w:rPr>
              <w:t>13</w:t>
            </w:r>
          </w:p>
        </w:tc>
      </w:tr>
    </w:tbl>
    <w:p w:rsidR="006B6D83" w:rsidRPr="00E86537" w:rsidRDefault="002054F6" w:rsidP="006B6D83">
      <w:pPr>
        <w:spacing w:beforeAutospacing="1" w:after="100" w:afterAutospacing="1" w:line="240" w:lineRule="auto"/>
        <w:rPr>
          <w:rFonts w:ascii="Arial" w:eastAsia="Times New Roman" w:hAnsi="Arial" w:cs="Arial"/>
          <w:b/>
          <w:sz w:val="24"/>
          <w:szCs w:val="24"/>
          <w:lang w:eastAsia="en-GB"/>
        </w:rPr>
      </w:pPr>
      <w:r w:rsidRPr="00E86537">
        <w:rPr>
          <w:rFonts w:ascii="Arial" w:eastAsia="Times New Roman" w:hAnsi="Arial" w:cs="Arial"/>
          <w:b/>
          <w:sz w:val="24"/>
          <w:szCs w:val="24"/>
          <w:lang w:eastAsia="en-GB"/>
        </w:rPr>
        <w:t>Project A</w:t>
      </w:r>
    </w:p>
    <w:tbl>
      <w:tblPr>
        <w:tblStyle w:val="TableGrid"/>
        <w:tblW w:w="0" w:type="auto"/>
        <w:tblLook w:val="04A0" w:firstRow="1" w:lastRow="0" w:firstColumn="1" w:lastColumn="0" w:noHBand="0" w:noVBand="1"/>
      </w:tblPr>
      <w:tblGrid>
        <w:gridCol w:w="2337"/>
        <w:gridCol w:w="2337"/>
        <w:gridCol w:w="2338"/>
        <w:gridCol w:w="2338"/>
      </w:tblGrid>
      <w:tr w:rsidR="006B6D83" w:rsidRPr="00E86537" w:rsidTr="006B6D83">
        <w:tc>
          <w:tcPr>
            <w:tcW w:w="2337" w:type="dxa"/>
          </w:tcPr>
          <w:p w:rsidR="006B6D83" w:rsidRPr="00E86537" w:rsidRDefault="006B6D83" w:rsidP="00037DCA">
            <w:pPr>
              <w:spacing w:beforeAutospacing="1" w:after="100" w:afterAutospacing="1"/>
              <w:rPr>
                <w:rFonts w:ascii="Arial" w:eastAsia="Times New Roman" w:hAnsi="Arial" w:cs="Arial"/>
                <w:b/>
                <w:sz w:val="24"/>
                <w:szCs w:val="24"/>
                <w:lang w:eastAsia="en-GB"/>
              </w:rPr>
            </w:pPr>
            <w:r w:rsidRPr="00E86537">
              <w:rPr>
                <w:rFonts w:ascii="Arial" w:eastAsia="Times New Roman" w:hAnsi="Arial" w:cs="Arial"/>
                <w:b/>
                <w:sz w:val="24"/>
                <w:szCs w:val="24"/>
                <w:lang w:eastAsia="en-GB"/>
              </w:rPr>
              <w:t>Year</w:t>
            </w:r>
          </w:p>
        </w:tc>
        <w:tc>
          <w:tcPr>
            <w:tcW w:w="2337" w:type="dxa"/>
          </w:tcPr>
          <w:p w:rsidR="006B6D83" w:rsidRPr="00E86537" w:rsidRDefault="006B6D83" w:rsidP="00037DCA">
            <w:pPr>
              <w:spacing w:beforeAutospacing="1" w:after="100" w:afterAutospacing="1"/>
              <w:rPr>
                <w:rFonts w:ascii="Arial" w:eastAsia="Times New Roman" w:hAnsi="Arial" w:cs="Arial"/>
                <w:b/>
                <w:sz w:val="24"/>
                <w:szCs w:val="24"/>
                <w:lang w:eastAsia="en-GB"/>
              </w:rPr>
            </w:pPr>
            <w:r w:rsidRPr="00E86537">
              <w:rPr>
                <w:rFonts w:ascii="Arial" w:eastAsia="Times New Roman" w:hAnsi="Arial" w:cs="Arial"/>
                <w:b/>
                <w:sz w:val="24"/>
                <w:szCs w:val="24"/>
                <w:lang w:eastAsia="en-GB"/>
              </w:rPr>
              <w:t>Cash Inflow (£m)</w:t>
            </w:r>
          </w:p>
        </w:tc>
        <w:tc>
          <w:tcPr>
            <w:tcW w:w="2338" w:type="dxa"/>
          </w:tcPr>
          <w:p w:rsidR="006B6D83" w:rsidRPr="00E86537" w:rsidRDefault="006B6D83" w:rsidP="00037DCA">
            <w:pPr>
              <w:spacing w:beforeAutospacing="1" w:after="100" w:afterAutospacing="1"/>
              <w:rPr>
                <w:rFonts w:ascii="Arial" w:eastAsia="Times New Roman" w:hAnsi="Arial" w:cs="Arial"/>
                <w:b/>
                <w:sz w:val="24"/>
                <w:szCs w:val="24"/>
                <w:lang w:eastAsia="en-GB"/>
              </w:rPr>
            </w:pPr>
            <w:r w:rsidRPr="00E86537">
              <w:rPr>
                <w:rFonts w:ascii="Arial" w:eastAsia="Times New Roman" w:hAnsi="Arial" w:cs="Arial"/>
                <w:b/>
                <w:sz w:val="24"/>
                <w:szCs w:val="24"/>
                <w:lang w:eastAsia="en-GB"/>
              </w:rPr>
              <w:t>PV Factor @10%</w:t>
            </w:r>
          </w:p>
        </w:tc>
        <w:tc>
          <w:tcPr>
            <w:tcW w:w="2338" w:type="dxa"/>
          </w:tcPr>
          <w:p w:rsidR="006B6D83" w:rsidRPr="00E86537" w:rsidRDefault="006B6D83" w:rsidP="00037DCA">
            <w:pPr>
              <w:spacing w:beforeAutospacing="1" w:after="100" w:afterAutospacing="1"/>
              <w:rPr>
                <w:rFonts w:ascii="Arial" w:eastAsia="Times New Roman" w:hAnsi="Arial" w:cs="Arial"/>
                <w:b/>
                <w:sz w:val="24"/>
                <w:szCs w:val="24"/>
                <w:lang w:eastAsia="en-GB"/>
              </w:rPr>
            </w:pPr>
            <w:r w:rsidRPr="00E86537">
              <w:rPr>
                <w:rFonts w:ascii="Arial" w:eastAsia="Times New Roman" w:hAnsi="Arial" w:cs="Arial"/>
                <w:b/>
                <w:sz w:val="24"/>
                <w:szCs w:val="24"/>
                <w:lang w:eastAsia="en-GB"/>
              </w:rPr>
              <w:t>Discounted Cash Flow (£m)</w:t>
            </w:r>
          </w:p>
        </w:tc>
      </w:tr>
      <w:tr w:rsidR="006B6D83" w:rsidRPr="00E86537" w:rsidTr="006B6D83">
        <w:tc>
          <w:tcPr>
            <w:tcW w:w="2337"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1</w:t>
            </w:r>
          </w:p>
        </w:tc>
        <w:tc>
          <w:tcPr>
            <w:tcW w:w="2337"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10</w:t>
            </w:r>
          </w:p>
        </w:tc>
        <w:tc>
          <w:tcPr>
            <w:tcW w:w="2338"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0.909</w:t>
            </w:r>
          </w:p>
        </w:tc>
        <w:tc>
          <w:tcPr>
            <w:tcW w:w="2338"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9.09</w:t>
            </w:r>
          </w:p>
        </w:tc>
      </w:tr>
      <w:tr w:rsidR="006B6D83" w:rsidRPr="00E86537" w:rsidTr="006B6D83">
        <w:tc>
          <w:tcPr>
            <w:tcW w:w="2337"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2</w:t>
            </w:r>
          </w:p>
        </w:tc>
        <w:tc>
          <w:tcPr>
            <w:tcW w:w="2337"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12</w:t>
            </w:r>
          </w:p>
        </w:tc>
        <w:tc>
          <w:tcPr>
            <w:tcW w:w="2338"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0.826</w:t>
            </w:r>
          </w:p>
        </w:tc>
        <w:tc>
          <w:tcPr>
            <w:tcW w:w="2338"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9.92</w:t>
            </w:r>
          </w:p>
        </w:tc>
      </w:tr>
      <w:tr w:rsidR="006B6D83" w:rsidRPr="00E86537" w:rsidTr="006B6D83">
        <w:tc>
          <w:tcPr>
            <w:tcW w:w="2337"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3</w:t>
            </w:r>
          </w:p>
        </w:tc>
        <w:tc>
          <w:tcPr>
            <w:tcW w:w="2337"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14</w:t>
            </w:r>
          </w:p>
        </w:tc>
        <w:tc>
          <w:tcPr>
            <w:tcW w:w="2338"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0.751</w:t>
            </w:r>
          </w:p>
        </w:tc>
        <w:tc>
          <w:tcPr>
            <w:tcW w:w="2338"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10.51</w:t>
            </w:r>
          </w:p>
        </w:tc>
      </w:tr>
      <w:tr w:rsidR="006B6D83" w:rsidRPr="00E86537" w:rsidTr="006B6D83">
        <w:tc>
          <w:tcPr>
            <w:tcW w:w="2337"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4</w:t>
            </w:r>
          </w:p>
        </w:tc>
        <w:tc>
          <w:tcPr>
            <w:tcW w:w="2337"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10</w:t>
            </w:r>
          </w:p>
        </w:tc>
        <w:tc>
          <w:tcPr>
            <w:tcW w:w="2338"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0.683</w:t>
            </w:r>
          </w:p>
        </w:tc>
        <w:tc>
          <w:tcPr>
            <w:tcW w:w="2338"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6.83</w:t>
            </w:r>
          </w:p>
        </w:tc>
      </w:tr>
      <w:tr w:rsidR="006B6D83" w:rsidRPr="00E86537" w:rsidTr="006B6D83">
        <w:tc>
          <w:tcPr>
            <w:tcW w:w="2337"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5</w:t>
            </w:r>
          </w:p>
        </w:tc>
        <w:tc>
          <w:tcPr>
            <w:tcW w:w="2337"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8</w:t>
            </w:r>
          </w:p>
        </w:tc>
        <w:tc>
          <w:tcPr>
            <w:tcW w:w="2338"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0.621</w:t>
            </w:r>
          </w:p>
        </w:tc>
        <w:tc>
          <w:tcPr>
            <w:tcW w:w="2338"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4.97</w:t>
            </w:r>
          </w:p>
        </w:tc>
      </w:tr>
      <w:tr w:rsidR="006B6D83" w:rsidRPr="00E86537" w:rsidTr="006B6D83">
        <w:tc>
          <w:tcPr>
            <w:tcW w:w="2337"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Total PV</w:t>
            </w:r>
          </w:p>
        </w:tc>
        <w:tc>
          <w:tcPr>
            <w:tcW w:w="2337"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w:t>
            </w:r>
          </w:p>
        </w:tc>
        <w:tc>
          <w:tcPr>
            <w:tcW w:w="2338"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w:t>
            </w:r>
          </w:p>
        </w:tc>
        <w:tc>
          <w:tcPr>
            <w:tcW w:w="2338"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41.33</w:t>
            </w:r>
          </w:p>
        </w:tc>
      </w:tr>
      <w:tr w:rsidR="006B6D83" w:rsidRPr="00E86537" w:rsidTr="006B6D83">
        <w:tc>
          <w:tcPr>
            <w:tcW w:w="2337"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Initial Investment</w:t>
            </w:r>
          </w:p>
        </w:tc>
        <w:tc>
          <w:tcPr>
            <w:tcW w:w="2337"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40</w:t>
            </w:r>
          </w:p>
        </w:tc>
        <w:tc>
          <w:tcPr>
            <w:tcW w:w="2338"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w:t>
            </w:r>
          </w:p>
        </w:tc>
        <w:tc>
          <w:tcPr>
            <w:tcW w:w="2338" w:type="dxa"/>
          </w:tcPr>
          <w:p w:rsidR="006B6D83" w:rsidRPr="00E86537" w:rsidRDefault="006B6D83" w:rsidP="00037DCA">
            <w:pPr>
              <w:spacing w:beforeAutospacing="1" w:after="100" w:afterAutospacing="1"/>
              <w:rPr>
                <w:rFonts w:ascii="Arial" w:eastAsia="Times New Roman" w:hAnsi="Arial" w:cs="Arial"/>
                <w:sz w:val="24"/>
                <w:szCs w:val="24"/>
                <w:lang w:eastAsia="en-GB"/>
              </w:rPr>
            </w:pPr>
            <w:r w:rsidRPr="00E86537">
              <w:rPr>
                <w:rFonts w:ascii="Arial" w:eastAsia="Times New Roman" w:hAnsi="Arial" w:cs="Arial"/>
                <w:sz w:val="24"/>
                <w:szCs w:val="24"/>
                <w:lang w:eastAsia="en-GB"/>
              </w:rPr>
              <w:t>NPV = 1.33</w:t>
            </w:r>
          </w:p>
        </w:tc>
      </w:tr>
    </w:tbl>
    <w:p w:rsidR="002054F6" w:rsidRPr="00E86537" w:rsidRDefault="002054F6" w:rsidP="00CF7CC4">
      <w:pPr>
        <w:spacing w:line="360" w:lineRule="auto"/>
        <w:jc w:val="both"/>
        <w:rPr>
          <w:rFonts w:ascii="Arial" w:hAnsi="Arial" w:cs="Arial"/>
          <w:sz w:val="24"/>
        </w:rPr>
      </w:pPr>
    </w:p>
    <w:p w:rsidR="00CF7CC4" w:rsidRPr="00E86537" w:rsidRDefault="002054F6" w:rsidP="00CF7CC4">
      <w:pPr>
        <w:spacing w:line="360" w:lineRule="auto"/>
        <w:jc w:val="both"/>
        <w:rPr>
          <w:rFonts w:ascii="Arial" w:hAnsi="Arial" w:cs="Arial"/>
          <w:b/>
          <w:sz w:val="24"/>
        </w:rPr>
      </w:pPr>
      <w:r w:rsidRPr="00E86537">
        <w:rPr>
          <w:rFonts w:ascii="Arial" w:hAnsi="Arial" w:cs="Arial"/>
          <w:b/>
          <w:sz w:val="24"/>
        </w:rPr>
        <w:t>Project B</w:t>
      </w:r>
    </w:p>
    <w:tbl>
      <w:tblPr>
        <w:tblStyle w:val="TableGrid"/>
        <w:tblW w:w="0" w:type="auto"/>
        <w:tblLook w:val="04A0" w:firstRow="1" w:lastRow="0" w:firstColumn="1" w:lastColumn="0" w:noHBand="0" w:noVBand="1"/>
      </w:tblPr>
      <w:tblGrid>
        <w:gridCol w:w="2337"/>
        <w:gridCol w:w="2337"/>
        <w:gridCol w:w="2338"/>
        <w:gridCol w:w="2338"/>
      </w:tblGrid>
      <w:tr w:rsidR="00CF7CC4" w:rsidRPr="00E86537" w:rsidTr="00CF7CC4">
        <w:tc>
          <w:tcPr>
            <w:tcW w:w="2337" w:type="dxa"/>
          </w:tcPr>
          <w:p w:rsidR="00CF7CC4" w:rsidRPr="00E86537" w:rsidRDefault="00CF7CC4" w:rsidP="00037DCA">
            <w:pPr>
              <w:spacing w:line="360" w:lineRule="auto"/>
              <w:jc w:val="both"/>
              <w:rPr>
                <w:rFonts w:ascii="Arial" w:hAnsi="Arial" w:cs="Arial"/>
                <w:b/>
                <w:sz w:val="24"/>
              </w:rPr>
            </w:pPr>
            <w:r w:rsidRPr="00E86537">
              <w:rPr>
                <w:rFonts w:ascii="Arial" w:hAnsi="Arial" w:cs="Arial"/>
                <w:b/>
                <w:sz w:val="24"/>
              </w:rPr>
              <w:t>Year</w:t>
            </w:r>
          </w:p>
        </w:tc>
        <w:tc>
          <w:tcPr>
            <w:tcW w:w="2337" w:type="dxa"/>
          </w:tcPr>
          <w:p w:rsidR="00CF7CC4" w:rsidRPr="00E86537" w:rsidRDefault="00CF7CC4" w:rsidP="00037DCA">
            <w:pPr>
              <w:spacing w:line="360" w:lineRule="auto"/>
              <w:jc w:val="both"/>
              <w:rPr>
                <w:rFonts w:ascii="Arial" w:hAnsi="Arial" w:cs="Arial"/>
                <w:b/>
                <w:sz w:val="24"/>
              </w:rPr>
            </w:pPr>
            <w:r w:rsidRPr="00E86537">
              <w:rPr>
                <w:rFonts w:ascii="Arial" w:hAnsi="Arial" w:cs="Arial"/>
                <w:b/>
                <w:sz w:val="24"/>
              </w:rPr>
              <w:t>Cash Inflow (£m)</w:t>
            </w:r>
          </w:p>
        </w:tc>
        <w:tc>
          <w:tcPr>
            <w:tcW w:w="2338" w:type="dxa"/>
          </w:tcPr>
          <w:p w:rsidR="00CF7CC4" w:rsidRPr="00E86537" w:rsidRDefault="00CF7CC4" w:rsidP="00037DCA">
            <w:pPr>
              <w:spacing w:line="360" w:lineRule="auto"/>
              <w:jc w:val="both"/>
              <w:rPr>
                <w:rFonts w:ascii="Arial" w:hAnsi="Arial" w:cs="Arial"/>
                <w:b/>
                <w:sz w:val="24"/>
              </w:rPr>
            </w:pPr>
            <w:r w:rsidRPr="00E86537">
              <w:rPr>
                <w:rFonts w:ascii="Arial" w:hAnsi="Arial" w:cs="Arial"/>
                <w:b/>
                <w:sz w:val="24"/>
              </w:rPr>
              <w:t>PV Factor @10%</w:t>
            </w:r>
          </w:p>
        </w:tc>
        <w:tc>
          <w:tcPr>
            <w:tcW w:w="2338" w:type="dxa"/>
          </w:tcPr>
          <w:p w:rsidR="00CF7CC4" w:rsidRPr="00E86537" w:rsidRDefault="00CF7CC4" w:rsidP="00037DCA">
            <w:pPr>
              <w:spacing w:line="360" w:lineRule="auto"/>
              <w:jc w:val="both"/>
              <w:rPr>
                <w:rFonts w:ascii="Arial" w:hAnsi="Arial" w:cs="Arial"/>
                <w:b/>
                <w:sz w:val="24"/>
              </w:rPr>
            </w:pPr>
            <w:r w:rsidRPr="00E86537">
              <w:rPr>
                <w:rFonts w:ascii="Arial" w:hAnsi="Arial" w:cs="Arial"/>
                <w:b/>
                <w:sz w:val="24"/>
              </w:rPr>
              <w:t>Discounted Cash Flow (£m)</w:t>
            </w:r>
          </w:p>
        </w:tc>
      </w:tr>
      <w:tr w:rsidR="00CF7CC4" w:rsidRPr="00E86537" w:rsidTr="00CF7CC4">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1-5</w:t>
            </w:r>
          </w:p>
        </w:tc>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6 each</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0.909, 0.826…</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22.75</w:t>
            </w:r>
          </w:p>
        </w:tc>
      </w:tr>
      <w:tr w:rsidR="00CF7CC4" w:rsidRPr="00E86537" w:rsidTr="00CF7CC4">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Initial Investment</w:t>
            </w:r>
          </w:p>
        </w:tc>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30</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NPV = -7.25</w:t>
            </w:r>
          </w:p>
        </w:tc>
      </w:tr>
    </w:tbl>
    <w:p w:rsidR="00CF7CC4" w:rsidRPr="00E86537" w:rsidRDefault="00CF7CC4" w:rsidP="00CF7CC4">
      <w:pPr>
        <w:spacing w:line="360" w:lineRule="auto"/>
        <w:jc w:val="both"/>
        <w:rPr>
          <w:rFonts w:ascii="Arial" w:hAnsi="Arial" w:cs="Arial"/>
          <w:sz w:val="24"/>
        </w:rPr>
      </w:pPr>
    </w:p>
    <w:p w:rsidR="00CF7CC4" w:rsidRPr="00E86537" w:rsidRDefault="00E86537" w:rsidP="00CF7CC4">
      <w:pPr>
        <w:spacing w:line="360" w:lineRule="auto"/>
        <w:jc w:val="both"/>
        <w:rPr>
          <w:rFonts w:ascii="Arial" w:hAnsi="Arial" w:cs="Arial"/>
          <w:b/>
          <w:sz w:val="24"/>
        </w:rPr>
      </w:pPr>
      <w:r w:rsidRPr="00E86537">
        <w:rPr>
          <w:rFonts w:ascii="Arial" w:hAnsi="Arial" w:cs="Arial"/>
          <w:b/>
          <w:sz w:val="24"/>
        </w:rPr>
        <w:t>Project C</w:t>
      </w:r>
    </w:p>
    <w:tbl>
      <w:tblPr>
        <w:tblStyle w:val="TableGrid"/>
        <w:tblW w:w="0" w:type="auto"/>
        <w:tblLook w:val="04A0" w:firstRow="1" w:lastRow="0" w:firstColumn="1" w:lastColumn="0" w:noHBand="0" w:noVBand="1"/>
      </w:tblPr>
      <w:tblGrid>
        <w:gridCol w:w="2337"/>
        <w:gridCol w:w="2337"/>
        <w:gridCol w:w="2338"/>
        <w:gridCol w:w="2338"/>
      </w:tblGrid>
      <w:tr w:rsidR="00CF7CC4" w:rsidRPr="00E86537" w:rsidTr="00CF7CC4">
        <w:tc>
          <w:tcPr>
            <w:tcW w:w="2337" w:type="dxa"/>
          </w:tcPr>
          <w:p w:rsidR="00CF7CC4" w:rsidRPr="00E86537" w:rsidRDefault="00CF7CC4" w:rsidP="00037DCA">
            <w:pPr>
              <w:spacing w:line="360" w:lineRule="auto"/>
              <w:jc w:val="both"/>
              <w:rPr>
                <w:rFonts w:ascii="Arial" w:hAnsi="Arial" w:cs="Arial"/>
                <w:b/>
                <w:sz w:val="24"/>
              </w:rPr>
            </w:pPr>
            <w:r w:rsidRPr="00E86537">
              <w:rPr>
                <w:rFonts w:ascii="Arial" w:hAnsi="Arial" w:cs="Arial"/>
                <w:b/>
                <w:sz w:val="24"/>
              </w:rPr>
              <w:t>Year</w:t>
            </w:r>
          </w:p>
        </w:tc>
        <w:tc>
          <w:tcPr>
            <w:tcW w:w="2337" w:type="dxa"/>
          </w:tcPr>
          <w:p w:rsidR="00CF7CC4" w:rsidRPr="00E86537" w:rsidRDefault="00CF7CC4" w:rsidP="00037DCA">
            <w:pPr>
              <w:spacing w:line="360" w:lineRule="auto"/>
              <w:jc w:val="both"/>
              <w:rPr>
                <w:rFonts w:ascii="Arial" w:hAnsi="Arial" w:cs="Arial"/>
                <w:b/>
                <w:sz w:val="24"/>
              </w:rPr>
            </w:pPr>
            <w:r w:rsidRPr="00E86537">
              <w:rPr>
                <w:rFonts w:ascii="Arial" w:hAnsi="Arial" w:cs="Arial"/>
                <w:b/>
                <w:sz w:val="24"/>
              </w:rPr>
              <w:t>Cash Inflow (£m)</w:t>
            </w:r>
          </w:p>
        </w:tc>
        <w:tc>
          <w:tcPr>
            <w:tcW w:w="2338" w:type="dxa"/>
          </w:tcPr>
          <w:p w:rsidR="00CF7CC4" w:rsidRPr="00E86537" w:rsidRDefault="00CF7CC4" w:rsidP="00037DCA">
            <w:pPr>
              <w:spacing w:line="360" w:lineRule="auto"/>
              <w:jc w:val="both"/>
              <w:rPr>
                <w:rFonts w:ascii="Arial" w:hAnsi="Arial" w:cs="Arial"/>
                <w:b/>
                <w:sz w:val="24"/>
              </w:rPr>
            </w:pPr>
            <w:r w:rsidRPr="00E86537">
              <w:rPr>
                <w:rFonts w:ascii="Arial" w:hAnsi="Arial" w:cs="Arial"/>
                <w:b/>
                <w:sz w:val="24"/>
              </w:rPr>
              <w:t>PV Factor @10%</w:t>
            </w:r>
          </w:p>
        </w:tc>
        <w:tc>
          <w:tcPr>
            <w:tcW w:w="2338" w:type="dxa"/>
          </w:tcPr>
          <w:p w:rsidR="00CF7CC4" w:rsidRPr="00E86537" w:rsidRDefault="00CF7CC4" w:rsidP="00037DCA">
            <w:pPr>
              <w:spacing w:line="360" w:lineRule="auto"/>
              <w:jc w:val="both"/>
              <w:rPr>
                <w:rFonts w:ascii="Arial" w:hAnsi="Arial" w:cs="Arial"/>
                <w:b/>
                <w:sz w:val="24"/>
              </w:rPr>
            </w:pPr>
            <w:r w:rsidRPr="00E86537">
              <w:rPr>
                <w:rFonts w:ascii="Arial" w:hAnsi="Arial" w:cs="Arial"/>
                <w:b/>
                <w:sz w:val="24"/>
              </w:rPr>
              <w:t>Discounted Cash Flow (£m)</w:t>
            </w:r>
          </w:p>
        </w:tc>
      </w:tr>
      <w:tr w:rsidR="00CF7CC4" w:rsidRPr="00E86537" w:rsidTr="00CF7CC4">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1</w:t>
            </w:r>
          </w:p>
        </w:tc>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5</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0.909</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4.55</w:t>
            </w:r>
          </w:p>
        </w:tc>
      </w:tr>
      <w:tr w:rsidR="00CF7CC4" w:rsidRPr="00E86537" w:rsidTr="00CF7CC4">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2</w:t>
            </w:r>
          </w:p>
        </w:tc>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10</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0.826</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8.26</w:t>
            </w:r>
          </w:p>
        </w:tc>
      </w:tr>
      <w:tr w:rsidR="00CF7CC4" w:rsidRPr="00E86537" w:rsidTr="00CF7CC4">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3</w:t>
            </w:r>
          </w:p>
        </w:tc>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20</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0.751</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15.02</w:t>
            </w:r>
          </w:p>
        </w:tc>
      </w:tr>
      <w:tr w:rsidR="00CF7CC4" w:rsidRPr="00E86537" w:rsidTr="00CF7CC4">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4</w:t>
            </w:r>
          </w:p>
        </w:tc>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25</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0.683</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17.08</w:t>
            </w:r>
          </w:p>
        </w:tc>
      </w:tr>
      <w:tr w:rsidR="00CF7CC4" w:rsidRPr="00E86537" w:rsidTr="00CF7CC4">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lastRenderedPageBreak/>
              <w:t>5</w:t>
            </w:r>
          </w:p>
        </w:tc>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15</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0.621</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9.32</w:t>
            </w:r>
          </w:p>
        </w:tc>
      </w:tr>
      <w:tr w:rsidR="00CF7CC4" w:rsidRPr="00E86537" w:rsidTr="00CF7CC4">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Total PV</w:t>
            </w:r>
          </w:p>
        </w:tc>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54.23</w:t>
            </w:r>
          </w:p>
        </w:tc>
      </w:tr>
      <w:tr w:rsidR="00CF7CC4" w:rsidRPr="00E86537" w:rsidTr="00CF7CC4">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Initial Investment</w:t>
            </w:r>
          </w:p>
        </w:tc>
        <w:tc>
          <w:tcPr>
            <w:tcW w:w="2337"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50</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w:t>
            </w:r>
          </w:p>
        </w:tc>
        <w:tc>
          <w:tcPr>
            <w:tcW w:w="2338" w:type="dxa"/>
          </w:tcPr>
          <w:p w:rsidR="00CF7CC4" w:rsidRPr="00E86537" w:rsidRDefault="00CF7CC4" w:rsidP="00037DCA">
            <w:pPr>
              <w:spacing w:line="360" w:lineRule="auto"/>
              <w:jc w:val="both"/>
              <w:rPr>
                <w:rFonts w:ascii="Arial" w:hAnsi="Arial" w:cs="Arial"/>
                <w:sz w:val="24"/>
              </w:rPr>
            </w:pPr>
            <w:r w:rsidRPr="00E86537">
              <w:rPr>
                <w:rFonts w:ascii="Arial" w:hAnsi="Arial" w:cs="Arial"/>
                <w:sz w:val="24"/>
              </w:rPr>
              <w:t>NPV = 4.23</w:t>
            </w:r>
          </w:p>
        </w:tc>
      </w:tr>
    </w:tbl>
    <w:p w:rsidR="00CF7CC4" w:rsidRPr="00E86537" w:rsidRDefault="00CF7CC4" w:rsidP="00CF7CC4">
      <w:pPr>
        <w:spacing w:line="360" w:lineRule="auto"/>
        <w:jc w:val="both"/>
        <w:rPr>
          <w:rFonts w:ascii="Arial" w:hAnsi="Arial" w:cs="Arial"/>
          <w:sz w:val="24"/>
        </w:rPr>
      </w:pPr>
    </w:p>
    <w:p w:rsidR="0092081E" w:rsidRPr="00E86537" w:rsidRDefault="0092081E" w:rsidP="0092081E">
      <w:pPr>
        <w:spacing w:line="360" w:lineRule="auto"/>
        <w:jc w:val="both"/>
        <w:rPr>
          <w:rFonts w:ascii="Arial" w:hAnsi="Arial" w:cs="Arial"/>
          <w:b/>
          <w:sz w:val="24"/>
        </w:rPr>
      </w:pPr>
      <w:r w:rsidRPr="00E86537">
        <w:rPr>
          <w:rFonts w:ascii="Arial" w:hAnsi="Arial" w:cs="Arial"/>
          <w:b/>
          <w:sz w:val="24"/>
        </w:rPr>
        <w:t>1. Cash Flow Table (for Projects A, B, C)</w:t>
      </w:r>
    </w:p>
    <w:tbl>
      <w:tblPr>
        <w:tblStyle w:val="TableGrid"/>
        <w:tblW w:w="0" w:type="auto"/>
        <w:tblLook w:val="04A0" w:firstRow="1" w:lastRow="0" w:firstColumn="1" w:lastColumn="0" w:noHBand="0" w:noVBand="1"/>
      </w:tblPr>
      <w:tblGrid>
        <w:gridCol w:w="709"/>
        <w:gridCol w:w="1562"/>
        <w:gridCol w:w="1636"/>
        <w:gridCol w:w="1611"/>
        <w:gridCol w:w="892"/>
        <w:gridCol w:w="972"/>
        <w:gridCol w:w="984"/>
        <w:gridCol w:w="984"/>
      </w:tblGrid>
      <w:tr w:rsidR="0092081E" w:rsidRPr="00E86537" w:rsidTr="0092081E">
        <w:tc>
          <w:tcPr>
            <w:tcW w:w="1168" w:type="dxa"/>
          </w:tcPr>
          <w:p w:rsidR="0092081E" w:rsidRPr="00E86537" w:rsidRDefault="0092081E" w:rsidP="00037DCA">
            <w:pPr>
              <w:spacing w:line="360" w:lineRule="auto"/>
              <w:jc w:val="both"/>
              <w:rPr>
                <w:rFonts w:ascii="Arial" w:hAnsi="Arial" w:cs="Arial"/>
                <w:b/>
                <w:sz w:val="24"/>
              </w:rPr>
            </w:pPr>
            <w:r w:rsidRPr="00E86537">
              <w:rPr>
                <w:rFonts w:ascii="Arial" w:hAnsi="Arial" w:cs="Arial"/>
                <w:b/>
                <w:sz w:val="24"/>
              </w:rPr>
              <w:t>Year</w:t>
            </w:r>
          </w:p>
        </w:tc>
        <w:tc>
          <w:tcPr>
            <w:tcW w:w="1168" w:type="dxa"/>
          </w:tcPr>
          <w:p w:rsidR="0092081E" w:rsidRPr="00E86537" w:rsidRDefault="0092081E" w:rsidP="00037DCA">
            <w:pPr>
              <w:spacing w:line="360" w:lineRule="auto"/>
              <w:jc w:val="both"/>
              <w:rPr>
                <w:rFonts w:ascii="Arial" w:hAnsi="Arial" w:cs="Arial"/>
                <w:b/>
                <w:sz w:val="24"/>
              </w:rPr>
            </w:pPr>
            <w:r w:rsidRPr="00E86537">
              <w:rPr>
                <w:rFonts w:ascii="Arial" w:hAnsi="Arial" w:cs="Arial"/>
                <w:b/>
                <w:sz w:val="24"/>
              </w:rPr>
              <w:t>Project A (£m)</w:t>
            </w:r>
          </w:p>
        </w:tc>
        <w:tc>
          <w:tcPr>
            <w:tcW w:w="1169" w:type="dxa"/>
          </w:tcPr>
          <w:p w:rsidR="0092081E" w:rsidRPr="00E86537" w:rsidRDefault="0092081E" w:rsidP="00037DCA">
            <w:pPr>
              <w:spacing w:line="360" w:lineRule="auto"/>
              <w:jc w:val="both"/>
              <w:rPr>
                <w:rFonts w:ascii="Arial" w:hAnsi="Arial" w:cs="Arial"/>
                <w:b/>
                <w:sz w:val="24"/>
              </w:rPr>
            </w:pPr>
            <w:r w:rsidRPr="00E86537">
              <w:rPr>
                <w:rFonts w:ascii="Arial" w:hAnsi="Arial" w:cs="Arial"/>
                <w:b/>
                <w:sz w:val="24"/>
              </w:rPr>
              <w:t>Project B (£m)</w:t>
            </w:r>
          </w:p>
        </w:tc>
        <w:tc>
          <w:tcPr>
            <w:tcW w:w="1169" w:type="dxa"/>
          </w:tcPr>
          <w:p w:rsidR="0092081E" w:rsidRPr="00E86537" w:rsidRDefault="0092081E" w:rsidP="00037DCA">
            <w:pPr>
              <w:spacing w:line="360" w:lineRule="auto"/>
              <w:jc w:val="both"/>
              <w:rPr>
                <w:rFonts w:ascii="Arial" w:hAnsi="Arial" w:cs="Arial"/>
                <w:b/>
                <w:sz w:val="24"/>
              </w:rPr>
            </w:pPr>
            <w:r w:rsidRPr="00E86537">
              <w:rPr>
                <w:rFonts w:ascii="Arial" w:hAnsi="Arial" w:cs="Arial"/>
                <w:b/>
                <w:sz w:val="24"/>
              </w:rPr>
              <w:t>Project C (£m)</w:t>
            </w:r>
          </w:p>
        </w:tc>
        <w:tc>
          <w:tcPr>
            <w:tcW w:w="1169" w:type="dxa"/>
          </w:tcPr>
          <w:p w:rsidR="0092081E" w:rsidRPr="00E86537" w:rsidRDefault="0092081E" w:rsidP="00037DCA">
            <w:pPr>
              <w:spacing w:line="360" w:lineRule="auto"/>
              <w:jc w:val="both"/>
              <w:rPr>
                <w:rFonts w:ascii="Arial" w:hAnsi="Arial" w:cs="Arial"/>
                <w:b/>
                <w:sz w:val="24"/>
              </w:rPr>
            </w:pPr>
            <w:r w:rsidRPr="00E86537">
              <w:rPr>
                <w:rFonts w:ascii="Arial" w:hAnsi="Arial" w:cs="Arial"/>
                <w:b/>
                <w:sz w:val="24"/>
              </w:rPr>
              <w:t>PV Factor @10%</w:t>
            </w:r>
          </w:p>
        </w:tc>
        <w:tc>
          <w:tcPr>
            <w:tcW w:w="1169" w:type="dxa"/>
          </w:tcPr>
          <w:p w:rsidR="0092081E" w:rsidRPr="00E86537" w:rsidRDefault="0092081E" w:rsidP="00037DCA">
            <w:pPr>
              <w:spacing w:line="360" w:lineRule="auto"/>
              <w:jc w:val="both"/>
              <w:rPr>
                <w:rFonts w:ascii="Arial" w:hAnsi="Arial" w:cs="Arial"/>
                <w:b/>
                <w:sz w:val="24"/>
              </w:rPr>
            </w:pPr>
            <w:r w:rsidRPr="00E86537">
              <w:rPr>
                <w:rFonts w:ascii="Arial" w:hAnsi="Arial" w:cs="Arial"/>
                <w:b/>
                <w:sz w:val="24"/>
              </w:rPr>
              <w:t>Project A PV</w:t>
            </w:r>
          </w:p>
        </w:tc>
        <w:tc>
          <w:tcPr>
            <w:tcW w:w="1169" w:type="dxa"/>
          </w:tcPr>
          <w:p w:rsidR="0092081E" w:rsidRPr="00E86537" w:rsidRDefault="0092081E" w:rsidP="00037DCA">
            <w:pPr>
              <w:spacing w:line="360" w:lineRule="auto"/>
              <w:jc w:val="both"/>
              <w:rPr>
                <w:rFonts w:ascii="Arial" w:hAnsi="Arial" w:cs="Arial"/>
                <w:b/>
                <w:sz w:val="24"/>
              </w:rPr>
            </w:pPr>
            <w:r w:rsidRPr="00E86537">
              <w:rPr>
                <w:rFonts w:ascii="Arial" w:hAnsi="Arial" w:cs="Arial"/>
                <w:b/>
                <w:sz w:val="24"/>
              </w:rPr>
              <w:t>Project B PV</w:t>
            </w:r>
          </w:p>
        </w:tc>
        <w:tc>
          <w:tcPr>
            <w:tcW w:w="1169" w:type="dxa"/>
          </w:tcPr>
          <w:p w:rsidR="0092081E" w:rsidRPr="00E86537" w:rsidRDefault="0092081E" w:rsidP="00037DCA">
            <w:pPr>
              <w:spacing w:line="360" w:lineRule="auto"/>
              <w:jc w:val="both"/>
              <w:rPr>
                <w:rFonts w:ascii="Arial" w:hAnsi="Arial" w:cs="Arial"/>
                <w:b/>
                <w:sz w:val="24"/>
              </w:rPr>
            </w:pPr>
            <w:r w:rsidRPr="00E86537">
              <w:rPr>
                <w:rFonts w:ascii="Arial" w:hAnsi="Arial" w:cs="Arial"/>
                <w:b/>
                <w:sz w:val="24"/>
              </w:rPr>
              <w:t>Project C PV</w:t>
            </w:r>
          </w:p>
        </w:tc>
      </w:tr>
      <w:tr w:rsidR="0092081E" w:rsidRPr="00E86537" w:rsidTr="0092081E">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0</w:t>
            </w:r>
          </w:p>
        </w:tc>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-40</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-30</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-50</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-40</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-30</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-50</w:t>
            </w:r>
          </w:p>
        </w:tc>
      </w:tr>
      <w:tr w:rsidR="0092081E" w:rsidRPr="00E86537" w:rsidTr="0092081E">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w:t>
            </w:r>
          </w:p>
        </w:tc>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10</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6</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5</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0.909</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=B2*E2</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=C2*E2</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=D2*E2</w:t>
            </w:r>
          </w:p>
        </w:tc>
      </w:tr>
      <w:tr w:rsidR="0092081E" w:rsidRPr="00E86537" w:rsidTr="0092081E">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2</w:t>
            </w:r>
          </w:p>
        </w:tc>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12</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6</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10</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0.826</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=B3*E3</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=C3*E3</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=D3*E3</w:t>
            </w:r>
          </w:p>
        </w:tc>
      </w:tr>
      <w:tr w:rsidR="0092081E" w:rsidRPr="00E86537" w:rsidTr="0092081E">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3</w:t>
            </w:r>
          </w:p>
        </w:tc>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14</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6</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20</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0.751</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=B4*E4</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=C4*E4</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=D4*E4</w:t>
            </w:r>
          </w:p>
        </w:tc>
      </w:tr>
      <w:tr w:rsidR="0092081E" w:rsidRPr="00E86537" w:rsidTr="0092081E">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4</w:t>
            </w:r>
          </w:p>
        </w:tc>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10</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6</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25</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0.683</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=B5*E5</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=C5*E5</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=D5*E5</w:t>
            </w:r>
          </w:p>
        </w:tc>
      </w:tr>
      <w:tr w:rsidR="0092081E" w:rsidRPr="00E86537" w:rsidTr="0092081E">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5</w:t>
            </w:r>
          </w:p>
        </w:tc>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8</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6</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15</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0.621</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=B6*E6</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=C6*E6</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=D6*E6</w:t>
            </w:r>
          </w:p>
        </w:tc>
      </w:tr>
      <w:tr w:rsidR="0092081E" w:rsidRPr="00E86537" w:rsidTr="0092081E">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Total PV</w:t>
            </w:r>
          </w:p>
        </w:tc>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=SUM(F2:F6)</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=SUM(G2:G6)</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=SUM(H2:H6)</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w:t>
            </w:r>
          </w:p>
        </w:tc>
      </w:tr>
      <w:tr w:rsidR="0092081E" w:rsidRPr="00E86537" w:rsidTr="0092081E">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NPV</w:t>
            </w:r>
          </w:p>
        </w:tc>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=F7-B1</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=G7-C1</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=H7-D1</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w:t>
            </w:r>
          </w:p>
        </w:tc>
      </w:tr>
      <w:tr w:rsidR="0092081E" w:rsidRPr="00E86537" w:rsidTr="0092081E">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PI</w:t>
            </w:r>
          </w:p>
        </w:tc>
        <w:tc>
          <w:tcPr>
            <w:tcW w:w="1168"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=F7/ABS(B1)</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=G7/ABS(C1)</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=H7/ABS(D1)</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w:t>
            </w:r>
          </w:p>
        </w:tc>
        <w:tc>
          <w:tcPr>
            <w:tcW w:w="1169"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w:t>
            </w:r>
          </w:p>
        </w:tc>
        <w:tc>
          <w:tcPr>
            <w:tcW w:w="1169" w:type="dxa"/>
          </w:tcPr>
          <w:p w:rsidR="0092081E" w:rsidRPr="00E86537" w:rsidRDefault="0092081E" w:rsidP="00037DCA">
            <w:pPr>
              <w:spacing w:line="360" w:lineRule="auto"/>
              <w:jc w:val="both"/>
              <w:rPr>
                <w:rFonts w:ascii="Arial" w:hAnsi="Arial" w:cs="Arial"/>
                <w:sz w:val="24"/>
              </w:rPr>
            </w:pPr>
          </w:p>
        </w:tc>
      </w:tr>
    </w:tbl>
    <w:p w:rsidR="0092081E" w:rsidRPr="00E86537" w:rsidRDefault="0092081E" w:rsidP="0092081E">
      <w:pPr>
        <w:spacing w:line="360" w:lineRule="auto"/>
        <w:jc w:val="both"/>
        <w:rPr>
          <w:rFonts w:ascii="Arial" w:hAnsi="Arial" w:cs="Arial"/>
          <w:sz w:val="24"/>
        </w:rPr>
      </w:pPr>
    </w:p>
    <w:p w:rsidR="0063731F" w:rsidRDefault="0063731F" w:rsidP="0092081E">
      <w:pPr>
        <w:spacing w:line="360" w:lineRule="auto"/>
        <w:jc w:val="both"/>
        <w:rPr>
          <w:rFonts w:ascii="Arial" w:hAnsi="Arial" w:cs="Arial"/>
          <w:b/>
          <w:sz w:val="24"/>
        </w:rPr>
      </w:pPr>
    </w:p>
    <w:p w:rsidR="0092081E" w:rsidRPr="00E86537" w:rsidRDefault="0092081E" w:rsidP="0092081E">
      <w:pPr>
        <w:spacing w:line="360" w:lineRule="auto"/>
        <w:jc w:val="both"/>
        <w:rPr>
          <w:rFonts w:ascii="Arial" w:hAnsi="Arial" w:cs="Arial"/>
          <w:b/>
          <w:sz w:val="24"/>
        </w:rPr>
      </w:pPr>
      <w:r w:rsidRPr="00E86537">
        <w:rPr>
          <w:rFonts w:ascii="Arial" w:hAnsi="Arial" w:cs="Arial"/>
          <w:b/>
          <w:sz w:val="24"/>
        </w:rPr>
        <w:lastRenderedPageBreak/>
        <w:t>3. P</w:t>
      </w:r>
      <w:r w:rsidR="002054F6" w:rsidRPr="00E86537">
        <w:rPr>
          <w:rFonts w:ascii="Arial" w:hAnsi="Arial" w:cs="Arial"/>
          <w:b/>
          <w:sz w:val="24"/>
        </w:rPr>
        <w:t>ayback Period (PBP) Calculation</w:t>
      </w:r>
    </w:p>
    <w:p w:rsidR="0092081E" w:rsidRPr="00E86537" w:rsidRDefault="00E86537" w:rsidP="0092081E">
      <w:pPr>
        <w:spacing w:line="360" w:lineRule="auto"/>
        <w:jc w:val="both"/>
        <w:rPr>
          <w:rFonts w:ascii="Arial" w:hAnsi="Arial" w:cs="Arial"/>
          <w:b/>
          <w:sz w:val="24"/>
        </w:rPr>
      </w:pPr>
      <w:r w:rsidRPr="00E86537">
        <w:rPr>
          <w:rFonts w:ascii="Arial" w:hAnsi="Arial" w:cs="Arial"/>
          <w:b/>
          <w:sz w:val="24"/>
        </w:rPr>
        <w:t>Cumulative Cash Flow:</w:t>
      </w:r>
    </w:p>
    <w:tbl>
      <w:tblPr>
        <w:tblStyle w:val="TableGrid"/>
        <w:tblW w:w="0" w:type="auto"/>
        <w:tblLook w:val="04A0" w:firstRow="1" w:lastRow="0" w:firstColumn="1" w:lastColumn="0" w:noHBand="0" w:noVBand="1"/>
      </w:tblPr>
      <w:tblGrid>
        <w:gridCol w:w="1335"/>
        <w:gridCol w:w="1335"/>
        <w:gridCol w:w="1336"/>
        <w:gridCol w:w="1336"/>
        <w:gridCol w:w="1336"/>
        <w:gridCol w:w="1336"/>
        <w:gridCol w:w="1336"/>
      </w:tblGrid>
      <w:tr w:rsidR="0092081E" w:rsidRPr="00E86537" w:rsidTr="0092081E">
        <w:tc>
          <w:tcPr>
            <w:tcW w:w="1335"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Year</w:t>
            </w:r>
          </w:p>
        </w:tc>
        <w:tc>
          <w:tcPr>
            <w:tcW w:w="1335"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Project A CF</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Project A Cum CF</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Project B CF</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Project B Cum CF</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Project C CF</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Project C Cum CF</w:t>
            </w:r>
          </w:p>
        </w:tc>
      </w:tr>
      <w:tr w:rsidR="0092081E" w:rsidRPr="00E86537" w:rsidTr="0092081E">
        <w:tc>
          <w:tcPr>
            <w:tcW w:w="1335"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0</w:t>
            </w:r>
          </w:p>
        </w:tc>
        <w:tc>
          <w:tcPr>
            <w:tcW w:w="1335"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-40</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-40</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-30</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-30</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-50</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-50</w:t>
            </w:r>
          </w:p>
        </w:tc>
      </w:tr>
      <w:tr w:rsidR="0092081E" w:rsidRPr="00E86537" w:rsidTr="0092081E">
        <w:tc>
          <w:tcPr>
            <w:tcW w:w="1335"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w:t>
            </w:r>
          </w:p>
        </w:tc>
        <w:tc>
          <w:tcPr>
            <w:tcW w:w="1335"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10</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=B2+B1</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6</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=D2+D1</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5</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=F2+F1</w:t>
            </w:r>
          </w:p>
        </w:tc>
      </w:tr>
      <w:tr w:rsidR="0092081E" w:rsidRPr="00E86537" w:rsidTr="0092081E">
        <w:tc>
          <w:tcPr>
            <w:tcW w:w="1335"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2</w:t>
            </w:r>
          </w:p>
        </w:tc>
        <w:tc>
          <w:tcPr>
            <w:tcW w:w="1335"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12</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=B3+B2</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6</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=D3+D2</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10</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=F3+F2</w:t>
            </w:r>
          </w:p>
        </w:tc>
      </w:tr>
      <w:tr w:rsidR="0092081E" w:rsidRPr="00E86537" w:rsidTr="0092081E">
        <w:tc>
          <w:tcPr>
            <w:tcW w:w="1335"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3</w:t>
            </w:r>
          </w:p>
        </w:tc>
        <w:tc>
          <w:tcPr>
            <w:tcW w:w="1335"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14</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=B4+B3</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6</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=D4+D3</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20</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=F4+F3</w:t>
            </w:r>
          </w:p>
        </w:tc>
      </w:tr>
      <w:tr w:rsidR="0092081E" w:rsidRPr="00E86537" w:rsidTr="0092081E">
        <w:tc>
          <w:tcPr>
            <w:tcW w:w="1335"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4</w:t>
            </w:r>
          </w:p>
        </w:tc>
        <w:tc>
          <w:tcPr>
            <w:tcW w:w="1335"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10</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=B5+B4</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6</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=D5+D4</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25</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=F5+F4</w:t>
            </w:r>
          </w:p>
        </w:tc>
      </w:tr>
      <w:tr w:rsidR="0092081E" w:rsidRPr="00E86537" w:rsidTr="0092081E">
        <w:tc>
          <w:tcPr>
            <w:tcW w:w="1335"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5</w:t>
            </w:r>
          </w:p>
        </w:tc>
        <w:tc>
          <w:tcPr>
            <w:tcW w:w="1335"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8</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=B6+B5</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6</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=D6+D5</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15</w:t>
            </w:r>
          </w:p>
        </w:tc>
        <w:tc>
          <w:tcPr>
            <w:tcW w:w="1336" w:type="dxa"/>
          </w:tcPr>
          <w:p w:rsidR="0092081E" w:rsidRPr="00E86537" w:rsidRDefault="0092081E" w:rsidP="00037DCA">
            <w:pPr>
              <w:spacing w:line="360" w:lineRule="auto"/>
              <w:jc w:val="both"/>
              <w:rPr>
                <w:rFonts w:ascii="Arial" w:hAnsi="Arial" w:cs="Arial"/>
                <w:sz w:val="24"/>
              </w:rPr>
            </w:pPr>
            <w:r w:rsidRPr="00E86537">
              <w:rPr>
                <w:rFonts w:ascii="Arial" w:hAnsi="Arial" w:cs="Arial"/>
                <w:sz w:val="24"/>
              </w:rPr>
              <w:t>=F6+F5</w:t>
            </w:r>
          </w:p>
        </w:tc>
      </w:tr>
    </w:tbl>
    <w:p w:rsidR="0092081E" w:rsidRPr="00A61D27" w:rsidRDefault="0092081E" w:rsidP="0092081E">
      <w:pPr>
        <w:spacing w:line="360" w:lineRule="auto"/>
        <w:jc w:val="both"/>
        <w:rPr>
          <w:rFonts w:ascii="Arial" w:hAnsi="Arial" w:cs="Arial"/>
          <w:sz w:val="24"/>
        </w:rPr>
      </w:pPr>
    </w:p>
    <w:sectPr w:rsidR="0092081E" w:rsidRPr="00A61D27" w:rsidSect="00EF3123">
      <w:footerReference w:type="default" r:id="rId42"/>
      <w:pgSz w:w="12240" w:h="15840"/>
      <w:pgMar w:top="1440" w:right="1440" w:bottom="1440" w:left="1440" w:header="720" w:footer="720" w:gutter="0"/>
      <w:pgBorders w:offsetFrom="page">
        <w:top w:val="flowersTiny" w:sz="14" w:space="24" w:color="auto"/>
        <w:left w:val="flowersTiny" w:sz="14" w:space="24" w:color="auto"/>
        <w:bottom w:val="flowersTiny" w:sz="14" w:space="24" w:color="auto"/>
        <w:right w:val="flowersTiny" w:sz="1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642B6" w:rsidRDefault="00C642B6" w:rsidP="002246A5">
      <w:pPr>
        <w:spacing w:after="0" w:line="240" w:lineRule="auto"/>
      </w:pPr>
      <w:r>
        <w:separator/>
      </w:r>
    </w:p>
  </w:endnote>
  <w:endnote w:type="continuationSeparator" w:id="0">
    <w:p w:rsidR="00C642B6" w:rsidRDefault="00C642B6" w:rsidP="002246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9785374"/>
      <w:docPartObj>
        <w:docPartGallery w:val="Page Numbers (Bottom of Page)"/>
        <w:docPartUnique/>
      </w:docPartObj>
    </w:sdtPr>
    <w:sdtEndPr>
      <w:rPr>
        <w:noProof/>
      </w:rPr>
    </w:sdtEndPr>
    <w:sdtContent>
      <w:p w:rsidR="00355995" w:rsidRDefault="00355995">
        <w:pPr>
          <w:pStyle w:val="Footer"/>
          <w:jc w:val="center"/>
        </w:pPr>
        <w:r>
          <w:fldChar w:fldCharType="begin"/>
        </w:r>
        <w:r>
          <w:instrText xml:space="preserve"> PAGE   \* MERGEFORMAT </w:instrText>
        </w:r>
        <w:r>
          <w:fldChar w:fldCharType="separate"/>
        </w:r>
        <w:r w:rsidR="006662CF">
          <w:rPr>
            <w:noProof/>
          </w:rPr>
          <w:t>ii</w:t>
        </w:r>
        <w:r>
          <w:rPr>
            <w:noProof/>
          </w:rPr>
          <w:fldChar w:fldCharType="end"/>
        </w:r>
      </w:p>
    </w:sdtContent>
  </w:sdt>
  <w:p w:rsidR="00355995" w:rsidRDefault="00355995" w:rsidP="00037DCA">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25417519"/>
      <w:docPartObj>
        <w:docPartGallery w:val="Page Numbers (Bottom of Page)"/>
        <w:docPartUnique/>
      </w:docPartObj>
    </w:sdtPr>
    <w:sdtEndPr>
      <w:rPr>
        <w:noProof/>
      </w:rPr>
    </w:sdtEndPr>
    <w:sdtContent>
      <w:p w:rsidR="00355995" w:rsidRDefault="00355995">
        <w:pPr>
          <w:pStyle w:val="Footer"/>
          <w:jc w:val="center"/>
        </w:pPr>
        <w:r>
          <w:fldChar w:fldCharType="begin"/>
        </w:r>
        <w:r>
          <w:instrText xml:space="preserve"> PAGE   \* MERGEFORMAT </w:instrText>
        </w:r>
        <w:r>
          <w:fldChar w:fldCharType="separate"/>
        </w:r>
        <w:r w:rsidR="006662CF">
          <w:rPr>
            <w:noProof/>
          </w:rPr>
          <w:t>5</w:t>
        </w:r>
        <w:r>
          <w:rPr>
            <w:noProof/>
          </w:rPr>
          <w:fldChar w:fldCharType="end"/>
        </w:r>
      </w:p>
    </w:sdtContent>
  </w:sdt>
  <w:p w:rsidR="00355995" w:rsidRDefault="00355995" w:rsidP="00037DC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642B6" w:rsidRDefault="00C642B6" w:rsidP="002246A5">
      <w:pPr>
        <w:spacing w:after="0" w:line="240" w:lineRule="auto"/>
      </w:pPr>
      <w:r>
        <w:separator/>
      </w:r>
    </w:p>
  </w:footnote>
  <w:footnote w:type="continuationSeparator" w:id="0">
    <w:p w:rsidR="00C642B6" w:rsidRDefault="00C642B6" w:rsidP="002246A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D24F8F"/>
    <w:multiLevelType w:val="hybridMultilevel"/>
    <w:tmpl w:val="BCEC62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126925"/>
    <w:multiLevelType w:val="hybridMultilevel"/>
    <w:tmpl w:val="DAE052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A458AD"/>
    <w:multiLevelType w:val="hybridMultilevel"/>
    <w:tmpl w:val="80C218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AAD2ECB"/>
    <w:multiLevelType w:val="hybridMultilevel"/>
    <w:tmpl w:val="D0E20B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D7751B3"/>
    <w:multiLevelType w:val="hybridMultilevel"/>
    <w:tmpl w:val="EF0095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03E4E1B"/>
    <w:multiLevelType w:val="hybridMultilevel"/>
    <w:tmpl w:val="585063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0E13894"/>
    <w:multiLevelType w:val="hybridMultilevel"/>
    <w:tmpl w:val="A104C8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1273711"/>
    <w:multiLevelType w:val="hybridMultilevel"/>
    <w:tmpl w:val="9A2610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33C12E3"/>
    <w:multiLevelType w:val="hybridMultilevel"/>
    <w:tmpl w:val="66541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6DF1DF5"/>
    <w:multiLevelType w:val="hybridMultilevel"/>
    <w:tmpl w:val="01F2D9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92B2C27"/>
    <w:multiLevelType w:val="hybridMultilevel"/>
    <w:tmpl w:val="42A88E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2070DFC"/>
    <w:multiLevelType w:val="hybridMultilevel"/>
    <w:tmpl w:val="43F8FD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3954466"/>
    <w:multiLevelType w:val="hybridMultilevel"/>
    <w:tmpl w:val="8974C1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3B924F5"/>
    <w:multiLevelType w:val="hybridMultilevel"/>
    <w:tmpl w:val="274E23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46C0BF2"/>
    <w:multiLevelType w:val="hybridMultilevel"/>
    <w:tmpl w:val="0B0C21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86A2866"/>
    <w:multiLevelType w:val="hybridMultilevel"/>
    <w:tmpl w:val="33E0A6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3CE327C"/>
    <w:multiLevelType w:val="hybridMultilevel"/>
    <w:tmpl w:val="D528DB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6C0286D"/>
    <w:multiLevelType w:val="multilevel"/>
    <w:tmpl w:val="388E13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39EA0260"/>
    <w:multiLevelType w:val="hybridMultilevel"/>
    <w:tmpl w:val="942A8A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1D60083"/>
    <w:multiLevelType w:val="hybridMultilevel"/>
    <w:tmpl w:val="91BA27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1E07978"/>
    <w:multiLevelType w:val="hybridMultilevel"/>
    <w:tmpl w:val="66DEE3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2091D93"/>
    <w:multiLevelType w:val="hybridMultilevel"/>
    <w:tmpl w:val="748CA7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43A230D"/>
    <w:multiLevelType w:val="hybridMultilevel"/>
    <w:tmpl w:val="CBCAC2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8E35E25"/>
    <w:multiLevelType w:val="hybridMultilevel"/>
    <w:tmpl w:val="E034CF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98071C1"/>
    <w:multiLevelType w:val="hybridMultilevel"/>
    <w:tmpl w:val="7FC663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BBC2D4A"/>
    <w:multiLevelType w:val="hybridMultilevel"/>
    <w:tmpl w:val="363863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BF35D0D"/>
    <w:multiLevelType w:val="multilevel"/>
    <w:tmpl w:val="1CAEC4FA"/>
    <w:lvl w:ilvl="0">
      <w:start w:val="7"/>
      <w:numFmt w:val="decimal"/>
      <w:lvlText w:val="%1"/>
      <w:lvlJc w:val="left"/>
      <w:pPr>
        <w:ind w:left="495" w:hanging="495"/>
      </w:pPr>
      <w:rPr>
        <w:rFonts w:hint="default"/>
      </w:rPr>
    </w:lvl>
    <w:lvl w:ilvl="1">
      <w:start w:val="2"/>
      <w:numFmt w:val="decimal"/>
      <w:lvlText w:val="%1.%2"/>
      <w:lvlJc w:val="left"/>
      <w:pPr>
        <w:ind w:left="495" w:hanging="49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nsid w:val="4CDB2E01"/>
    <w:multiLevelType w:val="hybridMultilevel"/>
    <w:tmpl w:val="332C84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4DB1D71"/>
    <w:multiLevelType w:val="hybridMultilevel"/>
    <w:tmpl w:val="4AAE55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5D8078C"/>
    <w:multiLevelType w:val="hybridMultilevel"/>
    <w:tmpl w:val="65D2B6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9543135"/>
    <w:multiLevelType w:val="hybridMultilevel"/>
    <w:tmpl w:val="0B6ECF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C557002"/>
    <w:multiLevelType w:val="hybridMultilevel"/>
    <w:tmpl w:val="7D14D6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2F768E7"/>
    <w:multiLevelType w:val="hybridMultilevel"/>
    <w:tmpl w:val="72BCF5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5DD25E7"/>
    <w:multiLevelType w:val="hybridMultilevel"/>
    <w:tmpl w:val="918C52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6552114"/>
    <w:multiLevelType w:val="hybridMultilevel"/>
    <w:tmpl w:val="451009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92F72EE"/>
    <w:multiLevelType w:val="hybridMultilevel"/>
    <w:tmpl w:val="A344F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6CC22BBD"/>
    <w:multiLevelType w:val="hybridMultilevel"/>
    <w:tmpl w:val="5E4A94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6D8273DC"/>
    <w:multiLevelType w:val="hybridMultilevel"/>
    <w:tmpl w:val="090A22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DF820B8"/>
    <w:multiLevelType w:val="hybridMultilevel"/>
    <w:tmpl w:val="DFAA21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020477B"/>
    <w:multiLevelType w:val="hybridMultilevel"/>
    <w:tmpl w:val="E0E89F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47B5B73"/>
    <w:multiLevelType w:val="hybridMultilevel"/>
    <w:tmpl w:val="2DFC92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4CD3D2C"/>
    <w:multiLevelType w:val="hybridMultilevel"/>
    <w:tmpl w:val="CDDC2386"/>
    <w:lvl w:ilvl="0" w:tplc="08C60B8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6062349"/>
    <w:multiLevelType w:val="hybridMultilevel"/>
    <w:tmpl w:val="BB88E4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A3B6DA3"/>
    <w:multiLevelType w:val="hybridMultilevel"/>
    <w:tmpl w:val="AA5E41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nsid w:val="7E490E2A"/>
    <w:multiLevelType w:val="hybridMultilevel"/>
    <w:tmpl w:val="B3BE3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7F413CFC"/>
    <w:multiLevelType w:val="hybridMultilevel"/>
    <w:tmpl w:val="7F2C5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nsid w:val="7F6E0334"/>
    <w:multiLevelType w:val="hybridMultilevel"/>
    <w:tmpl w:val="114C12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nsid w:val="7F750ED0"/>
    <w:multiLevelType w:val="hybridMultilevel"/>
    <w:tmpl w:val="F3EE84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17"/>
  </w:num>
  <w:num w:numId="3">
    <w:abstractNumId w:val="25"/>
  </w:num>
  <w:num w:numId="4">
    <w:abstractNumId w:val="23"/>
  </w:num>
  <w:num w:numId="5">
    <w:abstractNumId w:val="36"/>
  </w:num>
  <w:num w:numId="6">
    <w:abstractNumId w:val="9"/>
  </w:num>
  <w:num w:numId="7">
    <w:abstractNumId w:val="27"/>
  </w:num>
  <w:num w:numId="8">
    <w:abstractNumId w:val="21"/>
  </w:num>
  <w:num w:numId="9">
    <w:abstractNumId w:val="20"/>
  </w:num>
  <w:num w:numId="10">
    <w:abstractNumId w:val="16"/>
  </w:num>
  <w:num w:numId="11">
    <w:abstractNumId w:val="41"/>
  </w:num>
  <w:num w:numId="12">
    <w:abstractNumId w:val="35"/>
  </w:num>
  <w:num w:numId="13">
    <w:abstractNumId w:val="33"/>
  </w:num>
  <w:num w:numId="14">
    <w:abstractNumId w:val="44"/>
  </w:num>
  <w:num w:numId="15">
    <w:abstractNumId w:val="32"/>
  </w:num>
  <w:num w:numId="16">
    <w:abstractNumId w:val="40"/>
  </w:num>
  <w:num w:numId="17">
    <w:abstractNumId w:val="45"/>
  </w:num>
  <w:num w:numId="18">
    <w:abstractNumId w:val="13"/>
  </w:num>
  <w:num w:numId="19">
    <w:abstractNumId w:val="3"/>
  </w:num>
  <w:num w:numId="20">
    <w:abstractNumId w:val="43"/>
  </w:num>
  <w:num w:numId="21">
    <w:abstractNumId w:val="19"/>
  </w:num>
  <w:num w:numId="22">
    <w:abstractNumId w:val="18"/>
  </w:num>
  <w:num w:numId="23">
    <w:abstractNumId w:val="28"/>
  </w:num>
  <w:num w:numId="24">
    <w:abstractNumId w:val="29"/>
  </w:num>
  <w:num w:numId="25">
    <w:abstractNumId w:val="7"/>
  </w:num>
  <w:num w:numId="26">
    <w:abstractNumId w:val="42"/>
  </w:num>
  <w:num w:numId="27">
    <w:abstractNumId w:val="31"/>
  </w:num>
  <w:num w:numId="28">
    <w:abstractNumId w:val="1"/>
  </w:num>
  <w:num w:numId="29">
    <w:abstractNumId w:val="14"/>
  </w:num>
  <w:num w:numId="30">
    <w:abstractNumId w:val="34"/>
  </w:num>
  <w:num w:numId="31">
    <w:abstractNumId w:val="39"/>
  </w:num>
  <w:num w:numId="32">
    <w:abstractNumId w:val="6"/>
  </w:num>
  <w:num w:numId="33">
    <w:abstractNumId w:val="12"/>
  </w:num>
  <w:num w:numId="34">
    <w:abstractNumId w:val="4"/>
  </w:num>
  <w:num w:numId="35">
    <w:abstractNumId w:val="47"/>
  </w:num>
  <w:num w:numId="36">
    <w:abstractNumId w:val="5"/>
  </w:num>
  <w:num w:numId="37">
    <w:abstractNumId w:val="38"/>
  </w:num>
  <w:num w:numId="38">
    <w:abstractNumId w:val="0"/>
  </w:num>
  <w:num w:numId="39">
    <w:abstractNumId w:val="22"/>
  </w:num>
  <w:num w:numId="40">
    <w:abstractNumId w:val="11"/>
  </w:num>
  <w:num w:numId="41">
    <w:abstractNumId w:val="37"/>
  </w:num>
  <w:num w:numId="42">
    <w:abstractNumId w:val="46"/>
  </w:num>
  <w:num w:numId="43">
    <w:abstractNumId w:val="15"/>
  </w:num>
  <w:num w:numId="44">
    <w:abstractNumId w:val="26"/>
  </w:num>
  <w:num w:numId="45">
    <w:abstractNumId w:val="10"/>
  </w:num>
  <w:num w:numId="46">
    <w:abstractNumId w:val="2"/>
  </w:num>
  <w:num w:numId="47">
    <w:abstractNumId w:val="30"/>
  </w:num>
  <w:num w:numId="48">
    <w:abstractNumId w:val="8"/>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2DEE"/>
    <w:rsid w:val="00003321"/>
    <w:rsid w:val="000156F1"/>
    <w:rsid w:val="00023367"/>
    <w:rsid w:val="000310CD"/>
    <w:rsid w:val="00031A22"/>
    <w:rsid w:val="00036947"/>
    <w:rsid w:val="00037DCA"/>
    <w:rsid w:val="00044876"/>
    <w:rsid w:val="0004719C"/>
    <w:rsid w:val="00054A98"/>
    <w:rsid w:val="0007170B"/>
    <w:rsid w:val="000734BB"/>
    <w:rsid w:val="00074436"/>
    <w:rsid w:val="000871BF"/>
    <w:rsid w:val="00094596"/>
    <w:rsid w:val="000A13EE"/>
    <w:rsid w:val="000A1D03"/>
    <w:rsid w:val="000A677B"/>
    <w:rsid w:val="000B4152"/>
    <w:rsid w:val="000D0E32"/>
    <w:rsid w:val="000D4138"/>
    <w:rsid w:val="000D512A"/>
    <w:rsid w:val="000E172E"/>
    <w:rsid w:val="000E30ED"/>
    <w:rsid w:val="001015DA"/>
    <w:rsid w:val="001066A6"/>
    <w:rsid w:val="00121B46"/>
    <w:rsid w:val="0014360B"/>
    <w:rsid w:val="001515CA"/>
    <w:rsid w:val="0015228E"/>
    <w:rsid w:val="00163F0C"/>
    <w:rsid w:val="001700A3"/>
    <w:rsid w:val="001703A3"/>
    <w:rsid w:val="00175466"/>
    <w:rsid w:val="00182DDD"/>
    <w:rsid w:val="001852B1"/>
    <w:rsid w:val="00187293"/>
    <w:rsid w:val="0019748C"/>
    <w:rsid w:val="001A069B"/>
    <w:rsid w:val="001A1BB6"/>
    <w:rsid w:val="001A1CD6"/>
    <w:rsid w:val="001A7CD3"/>
    <w:rsid w:val="001B2251"/>
    <w:rsid w:val="001B271F"/>
    <w:rsid w:val="001B4C0A"/>
    <w:rsid w:val="001B6597"/>
    <w:rsid w:val="001C04D2"/>
    <w:rsid w:val="001C5CE5"/>
    <w:rsid w:val="001C7BBC"/>
    <w:rsid w:val="001D2C40"/>
    <w:rsid w:val="001E3A3E"/>
    <w:rsid w:val="001E7B34"/>
    <w:rsid w:val="001F048F"/>
    <w:rsid w:val="001F2EB1"/>
    <w:rsid w:val="002054F6"/>
    <w:rsid w:val="002100B5"/>
    <w:rsid w:val="002178CA"/>
    <w:rsid w:val="0022395C"/>
    <w:rsid w:val="002246A5"/>
    <w:rsid w:val="00224FE3"/>
    <w:rsid w:val="002352D9"/>
    <w:rsid w:val="00247724"/>
    <w:rsid w:val="00256E48"/>
    <w:rsid w:val="00263055"/>
    <w:rsid w:val="00264010"/>
    <w:rsid w:val="00267763"/>
    <w:rsid w:val="0027493A"/>
    <w:rsid w:val="0028226D"/>
    <w:rsid w:val="00282CB1"/>
    <w:rsid w:val="002877F8"/>
    <w:rsid w:val="00293D43"/>
    <w:rsid w:val="002A08CC"/>
    <w:rsid w:val="002A0F1C"/>
    <w:rsid w:val="002A19A2"/>
    <w:rsid w:val="002B0361"/>
    <w:rsid w:val="002C0DD0"/>
    <w:rsid w:val="002C21E2"/>
    <w:rsid w:val="002C69AD"/>
    <w:rsid w:val="002D388F"/>
    <w:rsid w:val="002D6B6F"/>
    <w:rsid w:val="002E12A5"/>
    <w:rsid w:val="002E214F"/>
    <w:rsid w:val="002E4B38"/>
    <w:rsid w:val="002E53FA"/>
    <w:rsid w:val="00313AA8"/>
    <w:rsid w:val="00313E9A"/>
    <w:rsid w:val="00317AA6"/>
    <w:rsid w:val="0032073E"/>
    <w:rsid w:val="00325CB9"/>
    <w:rsid w:val="0033321D"/>
    <w:rsid w:val="0034701A"/>
    <w:rsid w:val="00347A6A"/>
    <w:rsid w:val="00355995"/>
    <w:rsid w:val="00360C1E"/>
    <w:rsid w:val="00361EBE"/>
    <w:rsid w:val="0036664A"/>
    <w:rsid w:val="00371815"/>
    <w:rsid w:val="003737EE"/>
    <w:rsid w:val="003779A7"/>
    <w:rsid w:val="00392E10"/>
    <w:rsid w:val="0039398E"/>
    <w:rsid w:val="003A2E98"/>
    <w:rsid w:val="003A4450"/>
    <w:rsid w:val="003B0607"/>
    <w:rsid w:val="003B255E"/>
    <w:rsid w:val="003C1611"/>
    <w:rsid w:val="003C50D7"/>
    <w:rsid w:val="003C61F1"/>
    <w:rsid w:val="003C65BC"/>
    <w:rsid w:val="003D2E7C"/>
    <w:rsid w:val="003E10C6"/>
    <w:rsid w:val="003E71E5"/>
    <w:rsid w:val="003F61AA"/>
    <w:rsid w:val="0040010A"/>
    <w:rsid w:val="0040116E"/>
    <w:rsid w:val="00416306"/>
    <w:rsid w:val="00416705"/>
    <w:rsid w:val="00416906"/>
    <w:rsid w:val="004260E1"/>
    <w:rsid w:val="00426B1D"/>
    <w:rsid w:val="00430164"/>
    <w:rsid w:val="00447298"/>
    <w:rsid w:val="00450606"/>
    <w:rsid w:val="004527C1"/>
    <w:rsid w:val="0046595B"/>
    <w:rsid w:val="004724E1"/>
    <w:rsid w:val="00480017"/>
    <w:rsid w:val="00490D98"/>
    <w:rsid w:val="00494ABE"/>
    <w:rsid w:val="004C4909"/>
    <w:rsid w:val="004C618C"/>
    <w:rsid w:val="004D061D"/>
    <w:rsid w:val="004D4468"/>
    <w:rsid w:val="004E16F8"/>
    <w:rsid w:val="004E4CBC"/>
    <w:rsid w:val="004E6034"/>
    <w:rsid w:val="004F1BD9"/>
    <w:rsid w:val="004F468F"/>
    <w:rsid w:val="004F4E5C"/>
    <w:rsid w:val="00502EC8"/>
    <w:rsid w:val="00503058"/>
    <w:rsid w:val="005078E5"/>
    <w:rsid w:val="00515007"/>
    <w:rsid w:val="00515566"/>
    <w:rsid w:val="0051744E"/>
    <w:rsid w:val="00520ACC"/>
    <w:rsid w:val="005215B3"/>
    <w:rsid w:val="005237D7"/>
    <w:rsid w:val="00525D65"/>
    <w:rsid w:val="00533BC9"/>
    <w:rsid w:val="00534277"/>
    <w:rsid w:val="00542D61"/>
    <w:rsid w:val="00550C55"/>
    <w:rsid w:val="0055138F"/>
    <w:rsid w:val="005638DE"/>
    <w:rsid w:val="00565D26"/>
    <w:rsid w:val="00570B0D"/>
    <w:rsid w:val="00574804"/>
    <w:rsid w:val="00586A66"/>
    <w:rsid w:val="005A5363"/>
    <w:rsid w:val="005A7143"/>
    <w:rsid w:val="005B131D"/>
    <w:rsid w:val="005C03D2"/>
    <w:rsid w:val="005C04B2"/>
    <w:rsid w:val="005C5891"/>
    <w:rsid w:val="005C6D6F"/>
    <w:rsid w:val="005D124D"/>
    <w:rsid w:val="005D2B97"/>
    <w:rsid w:val="005E2ED7"/>
    <w:rsid w:val="005E4003"/>
    <w:rsid w:val="005F38A8"/>
    <w:rsid w:val="006120CF"/>
    <w:rsid w:val="0061618C"/>
    <w:rsid w:val="00627CFE"/>
    <w:rsid w:val="0063731F"/>
    <w:rsid w:val="00640A84"/>
    <w:rsid w:val="006434B2"/>
    <w:rsid w:val="00644488"/>
    <w:rsid w:val="00652E0C"/>
    <w:rsid w:val="0065309F"/>
    <w:rsid w:val="00657EF4"/>
    <w:rsid w:val="00662464"/>
    <w:rsid w:val="00664A77"/>
    <w:rsid w:val="006662CF"/>
    <w:rsid w:val="00666365"/>
    <w:rsid w:val="00667D07"/>
    <w:rsid w:val="0067069C"/>
    <w:rsid w:val="006738A6"/>
    <w:rsid w:val="0067566B"/>
    <w:rsid w:val="00677F84"/>
    <w:rsid w:val="00683409"/>
    <w:rsid w:val="0068494E"/>
    <w:rsid w:val="00694E6F"/>
    <w:rsid w:val="00696A16"/>
    <w:rsid w:val="00696EC3"/>
    <w:rsid w:val="006A329D"/>
    <w:rsid w:val="006A7644"/>
    <w:rsid w:val="006B6D83"/>
    <w:rsid w:val="006D52F3"/>
    <w:rsid w:val="006D6850"/>
    <w:rsid w:val="006D6CFD"/>
    <w:rsid w:val="006D720E"/>
    <w:rsid w:val="006E1FA8"/>
    <w:rsid w:val="006E29AC"/>
    <w:rsid w:val="006E47FD"/>
    <w:rsid w:val="006E6188"/>
    <w:rsid w:val="006E643C"/>
    <w:rsid w:val="006F2763"/>
    <w:rsid w:val="006F3A9E"/>
    <w:rsid w:val="007020DF"/>
    <w:rsid w:val="00702EDB"/>
    <w:rsid w:val="007038DC"/>
    <w:rsid w:val="00705CC4"/>
    <w:rsid w:val="007154A6"/>
    <w:rsid w:val="007302F4"/>
    <w:rsid w:val="00734DC8"/>
    <w:rsid w:val="007416F6"/>
    <w:rsid w:val="00744B29"/>
    <w:rsid w:val="00751930"/>
    <w:rsid w:val="00752E55"/>
    <w:rsid w:val="00755943"/>
    <w:rsid w:val="00773252"/>
    <w:rsid w:val="00773BF4"/>
    <w:rsid w:val="00776301"/>
    <w:rsid w:val="00783E9A"/>
    <w:rsid w:val="00792503"/>
    <w:rsid w:val="00794F25"/>
    <w:rsid w:val="00795B00"/>
    <w:rsid w:val="0079694D"/>
    <w:rsid w:val="00797FAC"/>
    <w:rsid w:val="007A7FA0"/>
    <w:rsid w:val="007B60B9"/>
    <w:rsid w:val="007B7EB8"/>
    <w:rsid w:val="007D29F5"/>
    <w:rsid w:val="007D440E"/>
    <w:rsid w:val="007E5A3B"/>
    <w:rsid w:val="007F1ABA"/>
    <w:rsid w:val="00803B4C"/>
    <w:rsid w:val="00806DCB"/>
    <w:rsid w:val="00814436"/>
    <w:rsid w:val="0082388A"/>
    <w:rsid w:val="00825DD9"/>
    <w:rsid w:val="00851107"/>
    <w:rsid w:val="00857507"/>
    <w:rsid w:val="008641C0"/>
    <w:rsid w:val="00865BDC"/>
    <w:rsid w:val="00865F69"/>
    <w:rsid w:val="00867F64"/>
    <w:rsid w:val="008812A2"/>
    <w:rsid w:val="00890A64"/>
    <w:rsid w:val="008A645B"/>
    <w:rsid w:val="008B6A30"/>
    <w:rsid w:val="008C12F1"/>
    <w:rsid w:val="008C15FF"/>
    <w:rsid w:val="008C1CBD"/>
    <w:rsid w:val="008C4F5E"/>
    <w:rsid w:val="008C5652"/>
    <w:rsid w:val="008C74DF"/>
    <w:rsid w:val="008D01C1"/>
    <w:rsid w:val="008D06B3"/>
    <w:rsid w:val="008D2814"/>
    <w:rsid w:val="008D3CE9"/>
    <w:rsid w:val="008D4839"/>
    <w:rsid w:val="008E15C6"/>
    <w:rsid w:val="008E2FA0"/>
    <w:rsid w:val="008E47CD"/>
    <w:rsid w:val="008E7448"/>
    <w:rsid w:val="008F2463"/>
    <w:rsid w:val="00900CC8"/>
    <w:rsid w:val="00901C2A"/>
    <w:rsid w:val="00905AAA"/>
    <w:rsid w:val="00910FCE"/>
    <w:rsid w:val="0091546B"/>
    <w:rsid w:val="009167F8"/>
    <w:rsid w:val="0092081E"/>
    <w:rsid w:val="00930161"/>
    <w:rsid w:val="00932640"/>
    <w:rsid w:val="009327CB"/>
    <w:rsid w:val="00932CA3"/>
    <w:rsid w:val="00932EF1"/>
    <w:rsid w:val="00933267"/>
    <w:rsid w:val="00933286"/>
    <w:rsid w:val="009361FF"/>
    <w:rsid w:val="009370B8"/>
    <w:rsid w:val="00940A8A"/>
    <w:rsid w:val="0094785E"/>
    <w:rsid w:val="0095083C"/>
    <w:rsid w:val="00951E7B"/>
    <w:rsid w:val="00952881"/>
    <w:rsid w:val="00953F2C"/>
    <w:rsid w:val="00954A7F"/>
    <w:rsid w:val="00954F34"/>
    <w:rsid w:val="00955519"/>
    <w:rsid w:val="009573B6"/>
    <w:rsid w:val="00957775"/>
    <w:rsid w:val="009649F2"/>
    <w:rsid w:val="0097175D"/>
    <w:rsid w:val="00977F23"/>
    <w:rsid w:val="009808EE"/>
    <w:rsid w:val="009858B9"/>
    <w:rsid w:val="0099311A"/>
    <w:rsid w:val="009B3CBE"/>
    <w:rsid w:val="009B7F07"/>
    <w:rsid w:val="009C35DE"/>
    <w:rsid w:val="009C3786"/>
    <w:rsid w:val="009C60FA"/>
    <w:rsid w:val="009D103E"/>
    <w:rsid w:val="009D2C12"/>
    <w:rsid w:val="009D49BE"/>
    <w:rsid w:val="009D790D"/>
    <w:rsid w:val="009E4696"/>
    <w:rsid w:val="009E4A11"/>
    <w:rsid w:val="009E60E4"/>
    <w:rsid w:val="009E7D9B"/>
    <w:rsid w:val="009F532A"/>
    <w:rsid w:val="009F55BA"/>
    <w:rsid w:val="009F6BCB"/>
    <w:rsid w:val="00A0416F"/>
    <w:rsid w:val="00A10809"/>
    <w:rsid w:val="00A25F7D"/>
    <w:rsid w:val="00A2603E"/>
    <w:rsid w:val="00A30417"/>
    <w:rsid w:val="00A3177E"/>
    <w:rsid w:val="00A41C6B"/>
    <w:rsid w:val="00A455D3"/>
    <w:rsid w:val="00A459A4"/>
    <w:rsid w:val="00A473AD"/>
    <w:rsid w:val="00A50380"/>
    <w:rsid w:val="00A50ED1"/>
    <w:rsid w:val="00A52DEE"/>
    <w:rsid w:val="00A5461C"/>
    <w:rsid w:val="00A56C9B"/>
    <w:rsid w:val="00A5741E"/>
    <w:rsid w:val="00A61D27"/>
    <w:rsid w:val="00A6259B"/>
    <w:rsid w:val="00A64A4D"/>
    <w:rsid w:val="00A65DD9"/>
    <w:rsid w:val="00A66D34"/>
    <w:rsid w:val="00A71D38"/>
    <w:rsid w:val="00A83B90"/>
    <w:rsid w:val="00A859D2"/>
    <w:rsid w:val="00A87EA1"/>
    <w:rsid w:val="00A91FBF"/>
    <w:rsid w:val="00A95D0A"/>
    <w:rsid w:val="00AA3071"/>
    <w:rsid w:val="00AA57C7"/>
    <w:rsid w:val="00AA5E19"/>
    <w:rsid w:val="00AA7934"/>
    <w:rsid w:val="00AB2BA7"/>
    <w:rsid w:val="00AB4B34"/>
    <w:rsid w:val="00AB54FD"/>
    <w:rsid w:val="00AB662C"/>
    <w:rsid w:val="00AC4F0E"/>
    <w:rsid w:val="00AE3903"/>
    <w:rsid w:val="00AE7B9D"/>
    <w:rsid w:val="00AF4ECE"/>
    <w:rsid w:val="00AF55F7"/>
    <w:rsid w:val="00B01242"/>
    <w:rsid w:val="00B042E3"/>
    <w:rsid w:val="00B1428C"/>
    <w:rsid w:val="00B17602"/>
    <w:rsid w:val="00B2380A"/>
    <w:rsid w:val="00B23A8D"/>
    <w:rsid w:val="00B32091"/>
    <w:rsid w:val="00B53EC2"/>
    <w:rsid w:val="00B55A6E"/>
    <w:rsid w:val="00B5717D"/>
    <w:rsid w:val="00B66BD9"/>
    <w:rsid w:val="00B71133"/>
    <w:rsid w:val="00B71F27"/>
    <w:rsid w:val="00B81A68"/>
    <w:rsid w:val="00B8387D"/>
    <w:rsid w:val="00B8573F"/>
    <w:rsid w:val="00B85757"/>
    <w:rsid w:val="00B94FD8"/>
    <w:rsid w:val="00BA0403"/>
    <w:rsid w:val="00BA3D8F"/>
    <w:rsid w:val="00BA60EA"/>
    <w:rsid w:val="00BB5C88"/>
    <w:rsid w:val="00BB7EBF"/>
    <w:rsid w:val="00BD085B"/>
    <w:rsid w:val="00BD0C3B"/>
    <w:rsid w:val="00BD7900"/>
    <w:rsid w:val="00BF04EC"/>
    <w:rsid w:val="00BF6263"/>
    <w:rsid w:val="00C07024"/>
    <w:rsid w:val="00C072CF"/>
    <w:rsid w:val="00C11C5B"/>
    <w:rsid w:val="00C169CE"/>
    <w:rsid w:val="00C17F2C"/>
    <w:rsid w:val="00C22ABD"/>
    <w:rsid w:val="00C31073"/>
    <w:rsid w:val="00C33A72"/>
    <w:rsid w:val="00C45F8F"/>
    <w:rsid w:val="00C50CBF"/>
    <w:rsid w:val="00C642B6"/>
    <w:rsid w:val="00C67D81"/>
    <w:rsid w:val="00C84012"/>
    <w:rsid w:val="00C9224E"/>
    <w:rsid w:val="00CA2277"/>
    <w:rsid w:val="00CA73E4"/>
    <w:rsid w:val="00CB0635"/>
    <w:rsid w:val="00CB74E8"/>
    <w:rsid w:val="00CC40FD"/>
    <w:rsid w:val="00CC70D6"/>
    <w:rsid w:val="00CD1A8E"/>
    <w:rsid w:val="00CD7775"/>
    <w:rsid w:val="00CE70DF"/>
    <w:rsid w:val="00CE7B05"/>
    <w:rsid w:val="00CF7CC4"/>
    <w:rsid w:val="00D00E41"/>
    <w:rsid w:val="00D0724F"/>
    <w:rsid w:val="00D12B30"/>
    <w:rsid w:val="00D131F0"/>
    <w:rsid w:val="00D23BD0"/>
    <w:rsid w:val="00D313A2"/>
    <w:rsid w:val="00D3321B"/>
    <w:rsid w:val="00D3384D"/>
    <w:rsid w:val="00D36BF0"/>
    <w:rsid w:val="00D371EA"/>
    <w:rsid w:val="00D43663"/>
    <w:rsid w:val="00D45769"/>
    <w:rsid w:val="00D50FBA"/>
    <w:rsid w:val="00D57340"/>
    <w:rsid w:val="00D57925"/>
    <w:rsid w:val="00D669D7"/>
    <w:rsid w:val="00D84E07"/>
    <w:rsid w:val="00D86311"/>
    <w:rsid w:val="00D910FE"/>
    <w:rsid w:val="00D92EC0"/>
    <w:rsid w:val="00D97A4A"/>
    <w:rsid w:val="00DA12AB"/>
    <w:rsid w:val="00DA3B0A"/>
    <w:rsid w:val="00DA6AE0"/>
    <w:rsid w:val="00DB2337"/>
    <w:rsid w:val="00DB34A0"/>
    <w:rsid w:val="00DC127F"/>
    <w:rsid w:val="00DC3100"/>
    <w:rsid w:val="00DC4DC4"/>
    <w:rsid w:val="00DC7252"/>
    <w:rsid w:val="00DD1541"/>
    <w:rsid w:val="00DD5BA9"/>
    <w:rsid w:val="00DD6583"/>
    <w:rsid w:val="00DE1FC2"/>
    <w:rsid w:val="00DF345F"/>
    <w:rsid w:val="00DF41BD"/>
    <w:rsid w:val="00E02615"/>
    <w:rsid w:val="00E039D4"/>
    <w:rsid w:val="00E06623"/>
    <w:rsid w:val="00E06855"/>
    <w:rsid w:val="00E1050B"/>
    <w:rsid w:val="00E11C9F"/>
    <w:rsid w:val="00E158B7"/>
    <w:rsid w:val="00E17EED"/>
    <w:rsid w:val="00E2168D"/>
    <w:rsid w:val="00E26955"/>
    <w:rsid w:val="00E27D7A"/>
    <w:rsid w:val="00E35CAE"/>
    <w:rsid w:val="00E37140"/>
    <w:rsid w:val="00E42D4E"/>
    <w:rsid w:val="00E4382A"/>
    <w:rsid w:val="00E443ED"/>
    <w:rsid w:val="00E50D66"/>
    <w:rsid w:val="00E538E9"/>
    <w:rsid w:val="00E539EC"/>
    <w:rsid w:val="00E53CC1"/>
    <w:rsid w:val="00E61344"/>
    <w:rsid w:val="00E62FA9"/>
    <w:rsid w:val="00E64E65"/>
    <w:rsid w:val="00E661B5"/>
    <w:rsid w:val="00E71C0C"/>
    <w:rsid w:val="00E73FA0"/>
    <w:rsid w:val="00E76CC1"/>
    <w:rsid w:val="00E82E35"/>
    <w:rsid w:val="00E86537"/>
    <w:rsid w:val="00E878AA"/>
    <w:rsid w:val="00EB367B"/>
    <w:rsid w:val="00EC0E6F"/>
    <w:rsid w:val="00EC372D"/>
    <w:rsid w:val="00EC63DA"/>
    <w:rsid w:val="00ED3507"/>
    <w:rsid w:val="00ED3E3A"/>
    <w:rsid w:val="00ED6770"/>
    <w:rsid w:val="00ED7167"/>
    <w:rsid w:val="00EF2621"/>
    <w:rsid w:val="00EF3123"/>
    <w:rsid w:val="00EF36FA"/>
    <w:rsid w:val="00F01938"/>
    <w:rsid w:val="00F02A0C"/>
    <w:rsid w:val="00F03D27"/>
    <w:rsid w:val="00F04084"/>
    <w:rsid w:val="00F04187"/>
    <w:rsid w:val="00F31D8D"/>
    <w:rsid w:val="00F379EC"/>
    <w:rsid w:val="00F37C96"/>
    <w:rsid w:val="00F42579"/>
    <w:rsid w:val="00F50995"/>
    <w:rsid w:val="00F50BDB"/>
    <w:rsid w:val="00F511EF"/>
    <w:rsid w:val="00F57F71"/>
    <w:rsid w:val="00F61974"/>
    <w:rsid w:val="00F62D32"/>
    <w:rsid w:val="00F67AB6"/>
    <w:rsid w:val="00F71E6C"/>
    <w:rsid w:val="00F72FE3"/>
    <w:rsid w:val="00F740A4"/>
    <w:rsid w:val="00F75296"/>
    <w:rsid w:val="00F831AD"/>
    <w:rsid w:val="00F978D5"/>
    <w:rsid w:val="00FA07F6"/>
    <w:rsid w:val="00FB567C"/>
    <w:rsid w:val="00FB747E"/>
    <w:rsid w:val="00FC0EF0"/>
    <w:rsid w:val="00FC1E56"/>
    <w:rsid w:val="00FC248B"/>
    <w:rsid w:val="00FC254C"/>
    <w:rsid w:val="00FC3D07"/>
    <w:rsid w:val="00FC4217"/>
    <w:rsid w:val="00FC56DD"/>
    <w:rsid w:val="00FD172A"/>
    <w:rsid w:val="00FD3B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3A1B9E-4E29-404C-B68A-4E8064F38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1E6C"/>
    <w:rPr>
      <w:lang w:val="en-GB"/>
    </w:rPr>
  </w:style>
  <w:style w:type="paragraph" w:styleId="Heading1">
    <w:name w:val="heading 1"/>
    <w:basedOn w:val="Normal"/>
    <w:next w:val="Normal"/>
    <w:link w:val="Heading1Char"/>
    <w:uiPriority w:val="9"/>
    <w:qFormat/>
    <w:rsid w:val="00640A84"/>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A473AD"/>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unhideWhenUsed/>
    <w:qFormat/>
    <w:rsid w:val="00A473AD"/>
    <w:pPr>
      <w:keepNext/>
      <w:keepLines/>
      <w:spacing w:before="40" w:after="0"/>
      <w:outlineLvl w:val="2"/>
    </w:pPr>
    <w:rPr>
      <w:rFonts w:ascii="Arial" w:eastAsiaTheme="majorEastAsia" w:hAnsi="Arial"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basedOn w:val="Normal"/>
    <w:next w:val="Normal"/>
    <w:autoRedefine/>
    <w:uiPriority w:val="99"/>
    <w:unhideWhenUsed/>
    <w:qFormat/>
    <w:rsid w:val="00E11C9F"/>
    <w:pPr>
      <w:spacing w:after="0"/>
      <w:ind w:left="440" w:hanging="440"/>
      <w:jc w:val="center"/>
    </w:pPr>
    <w:rPr>
      <w:rFonts w:ascii="Arial" w:hAnsi="Arial"/>
      <w:b/>
      <w:bCs/>
      <w:i/>
      <w:iCs/>
      <w:sz w:val="20"/>
      <w:szCs w:val="20"/>
    </w:rPr>
  </w:style>
  <w:style w:type="character" w:customStyle="1" w:styleId="Heading1Char">
    <w:name w:val="Heading 1 Char"/>
    <w:basedOn w:val="DefaultParagraphFont"/>
    <w:link w:val="Heading1"/>
    <w:uiPriority w:val="9"/>
    <w:rsid w:val="00640A84"/>
    <w:rPr>
      <w:rFonts w:ascii="Arial" w:eastAsiaTheme="majorEastAsia" w:hAnsi="Arial" w:cstheme="majorBidi"/>
      <w:b/>
      <w:color w:val="000000" w:themeColor="text1"/>
      <w:sz w:val="32"/>
      <w:szCs w:val="32"/>
      <w:lang w:val="en-GB"/>
    </w:rPr>
  </w:style>
  <w:style w:type="character" w:customStyle="1" w:styleId="Heading2Char">
    <w:name w:val="Heading 2 Char"/>
    <w:basedOn w:val="DefaultParagraphFont"/>
    <w:link w:val="Heading2"/>
    <w:uiPriority w:val="9"/>
    <w:rsid w:val="00A473AD"/>
    <w:rPr>
      <w:rFonts w:ascii="Arial" w:eastAsiaTheme="majorEastAsia" w:hAnsi="Arial" w:cstheme="majorBidi"/>
      <w:b/>
      <w:color w:val="000000" w:themeColor="text1"/>
      <w:sz w:val="28"/>
      <w:szCs w:val="26"/>
      <w:lang w:val="en-GB"/>
    </w:rPr>
  </w:style>
  <w:style w:type="character" w:customStyle="1" w:styleId="Heading3Char">
    <w:name w:val="Heading 3 Char"/>
    <w:basedOn w:val="DefaultParagraphFont"/>
    <w:link w:val="Heading3"/>
    <w:uiPriority w:val="9"/>
    <w:rsid w:val="00A473AD"/>
    <w:rPr>
      <w:rFonts w:ascii="Arial" w:eastAsiaTheme="majorEastAsia" w:hAnsi="Arial" w:cstheme="majorBidi"/>
      <w:b/>
      <w:color w:val="000000" w:themeColor="text1"/>
      <w:sz w:val="24"/>
      <w:szCs w:val="24"/>
      <w:lang w:val="en-GB"/>
    </w:rPr>
  </w:style>
  <w:style w:type="paragraph" w:styleId="ListParagraph">
    <w:name w:val="List Paragraph"/>
    <w:basedOn w:val="Normal"/>
    <w:uiPriority w:val="34"/>
    <w:qFormat/>
    <w:rsid w:val="00D92EC0"/>
    <w:pPr>
      <w:ind w:left="720"/>
      <w:contextualSpacing/>
    </w:pPr>
  </w:style>
  <w:style w:type="character" w:styleId="Hyperlink">
    <w:name w:val="Hyperlink"/>
    <w:basedOn w:val="DefaultParagraphFont"/>
    <w:uiPriority w:val="99"/>
    <w:unhideWhenUsed/>
    <w:rsid w:val="00D92EC0"/>
    <w:rPr>
      <w:color w:val="0000FF"/>
      <w:u w:val="single"/>
    </w:rPr>
  </w:style>
  <w:style w:type="table" w:styleId="TableGrid">
    <w:name w:val="Table Grid"/>
    <w:basedOn w:val="TableNormal"/>
    <w:uiPriority w:val="39"/>
    <w:rsid w:val="00D92EC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D92EC0"/>
    <w:pPr>
      <w:spacing w:after="200" w:line="240" w:lineRule="auto"/>
    </w:pPr>
    <w:rPr>
      <w:i/>
      <w:iCs/>
      <w:color w:val="44546A" w:themeColor="text2"/>
      <w:sz w:val="18"/>
      <w:szCs w:val="18"/>
    </w:rPr>
  </w:style>
  <w:style w:type="table" w:customStyle="1" w:styleId="TableGrid1">
    <w:name w:val="Table Grid1"/>
    <w:basedOn w:val="TableNormal"/>
    <w:next w:val="TableGrid"/>
    <w:uiPriority w:val="39"/>
    <w:rsid w:val="002246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2246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46A5"/>
    <w:rPr>
      <w:lang w:val="en-GB"/>
    </w:rPr>
  </w:style>
  <w:style w:type="paragraph" w:styleId="Header">
    <w:name w:val="header"/>
    <w:basedOn w:val="Normal"/>
    <w:link w:val="HeaderChar"/>
    <w:uiPriority w:val="99"/>
    <w:unhideWhenUsed/>
    <w:rsid w:val="002246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46A5"/>
    <w:rPr>
      <w:lang w:val="en-GB"/>
    </w:rPr>
  </w:style>
  <w:style w:type="paragraph" w:styleId="TOC1">
    <w:name w:val="toc 1"/>
    <w:basedOn w:val="Normal"/>
    <w:next w:val="Normal"/>
    <w:autoRedefine/>
    <w:uiPriority w:val="39"/>
    <w:unhideWhenUsed/>
    <w:rsid w:val="00662464"/>
    <w:pPr>
      <w:spacing w:after="100"/>
    </w:pPr>
  </w:style>
  <w:style w:type="paragraph" w:styleId="TOC2">
    <w:name w:val="toc 2"/>
    <w:basedOn w:val="Normal"/>
    <w:next w:val="Normal"/>
    <w:autoRedefine/>
    <w:uiPriority w:val="39"/>
    <w:unhideWhenUsed/>
    <w:rsid w:val="00662464"/>
    <w:pPr>
      <w:spacing w:after="100"/>
      <w:ind w:left="220"/>
    </w:pPr>
  </w:style>
  <w:style w:type="paragraph" w:styleId="TOC3">
    <w:name w:val="toc 3"/>
    <w:basedOn w:val="Normal"/>
    <w:next w:val="Normal"/>
    <w:autoRedefine/>
    <w:uiPriority w:val="39"/>
    <w:unhideWhenUsed/>
    <w:rsid w:val="00662464"/>
    <w:pPr>
      <w:spacing w:after="100"/>
      <w:ind w:left="440"/>
    </w:pPr>
  </w:style>
  <w:style w:type="character" w:styleId="PlaceholderText">
    <w:name w:val="Placeholder Text"/>
    <w:basedOn w:val="DefaultParagraphFont"/>
    <w:uiPriority w:val="99"/>
    <w:semiHidden/>
    <w:rsid w:val="00A473AD"/>
    <w:rPr>
      <w:color w:val="808080"/>
    </w:rPr>
  </w:style>
  <w:style w:type="character" w:customStyle="1" w:styleId="mopen">
    <w:name w:val="mopen"/>
    <w:basedOn w:val="DefaultParagraphFont"/>
    <w:rsid w:val="00313E9A"/>
  </w:style>
  <w:style w:type="character" w:customStyle="1" w:styleId="mord">
    <w:name w:val="mord"/>
    <w:basedOn w:val="DefaultParagraphFont"/>
    <w:rsid w:val="00313E9A"/>
  </w:style>
  <w:style w:type="character" w:customStyle="1" w:styleId="mpunct">
    <w:name w:val="mpunct"/>
    <w:basedOn w:val="DefaultParagraphFont"/>
    <w:rsid w:val="00313E9A"/>
  </w:style>
  <w:style w:type="character" w:customStyle="1" w:styleId="mbin">
    <w:name w:val="mbin"/>
    <w:basedOn w:val="DefaultParagraphFont"/>
    <w:rsid w:val="00313E9A"/>
  </w:style>
  <w:style w:type="character" w:customStyle="1" w:styleId="mclose">
    <w:name w:val="mclose"/>
    <w:basedOn w:val="DefaultParagraphFont"/>
    <w:rsid w:val="00313E9A"/>
  </w:style>
  <w:style w:type="character" w:customStyle="1" w:styleId="mrel">
    <w:name w:val="mrel"/>
    <w:basedOn w:val="DefaultParagraphFont"/>
    <w:rsid w:val="00263055"/>
  </w:style>
  <w:style w:type="character" w:styleId="Emphasis">
    <w:name w:val="Emphasis"/>
    <w:basedOn w:val="DefaultParagraphFont"/>
    <w:uiPriority w:val="20"/>
    <w:qFormat/>
    <w:rsid w:val="008F246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6161381">
      <w:bodyDiv w:val="1"/>
      <w:marLeft w:val="0"/>
      <w:marRight w:val="0"/>
      <w:marTop w:val="0"/>
      <w:marBottom w:val="0"/>
      <w:divBdr>
        <w:top w:val="none" w:sz="0" w:space="0" w:color="auto"/>
        <w:left w:val="none" w:sz="0" w:space="0" w:color="auto"/>
        <w:bottom w:val="none" w:sz="0" w:space="0" w:color="auto"/>
        <w:right w:val="none" w:sz="0" w:space="0" w:color="auto"/>
      </w:divBdr>
    </w:div>
    <w:div w:id="1635981387">
      <w:bodyDiv w:val="1"/>
      <w:marLeft w:val="0"/>
      <w:marRight w:val="0"/>
      <w:marTop w:val="0"/>
      <w:marBottom w:val="0"/>
      <w:divBdr>
        <w:top w:val="none" w:sz="0" w:space="0" w:color="auto"/>
        <w:left w:val="none" w:sz="0" w:space="0" w:color="auto"/>
        <w:bottom w:val="none" w:sz="0" w:space="0" w:color="auto"/>
        <w:right w:val="none" w:sz="0" w:space="0" w:color="auto"/>
      </w:divBdr>
      <w:divsChild>
        <w:div w:id="2099474321">
          <w:blockQuote w:val="1"/>
          <w:marLeft w:val="720"/>
          <w:marRight w:val="720"/>
          <w:marTop w:val="100"/>
          <w:marBottom w:val="100"/>
          <w:divBdr>
            <w:top w:val="none" w:sz="0" w:space="0" w:color="auto"/>
            <w:left w:val="none" w:sz="0" w:space="0" w:color="auto"/>
            <w:bottom w:val="none" w:sz="0" w:space="0" w:color="auto"/>
            <w:right w:val="none" w:sz="0" w:space="0" w:color="auto"/>
          </w:divBdr>
        </w:div>
        <w:div w:id="1971323109">
          <w:marLeft w:val="0"/>
          <w:marRight w:val="0"/>
          <w:marTop w:val="0"/>
          <w:marBottom w:val="0"/>
          <w:divBdr>
            <w:top w:val="none" w:sz="0" w:space="0" w:color="auto"/>
            <w:left w:val="none" w:sz="0" w:space="0" w:color="auto"/>
            <w:bottom w:val="none" w:sz="0" w:space="0" w:color="auto"/>
            <w:right w:val="none" w:sz="0" w:space="0" w:color="auto"/>
          </w:divBdr>
          <w:divsChild>
            <w:div w:id="233051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032231">
      <w:bodyDiv w:val="1"/>
      <w:marLeft w:val="0"/>
      <w:marRight w:val="0"/>
      <w:marTop w:val="0"/>
      <w:marBottom w:val="0"/>
      <w:divBdr>
        <w:top w:val="none" w:sz="0" w:space="0" w:color="auto"/>
        <w:left w:val="none" w:sz="0" w:space="0" w:color="auto"/>
        <w:bottom w:val="none" w:sz="0" w:space="0" w:color="auto"/>
        <w:right w:val="none" w:sz="0" w:space="0" w:color="auto"/>
      </w:divBdr>
    </w:div>
    <w:div w:id="1992058270">
      <w:bodyDiv w:val="1"/>
      <w:marLeft w:val="0"/>
      <w:marRight w:val="0"/>
      <w:marTop w:val="0"/>
      <w:marBottom w:val="0"/>
      <w:divBdr>
        <w:top w:val="none" w:sz="0" w:space="0" w:color="auto"/>
        <w:left w:val="none" w:sz="0" w:space="0" w:color="auto"/>
        <w:bottom w:val="none" w:sz="0" w:space="0" w:color="auto"/>
        <w:right w:val="none" w:sz="0" w:space="0" w:color="auto"/>
      </w:divBdr>
      <w:divsChild>
        <w:div w:id="13206169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6733/jia.v1i2.7591" TargetMode="External"/><Relationship Id="rId18" Type="http://schemas.openxmlformats.org/officeDocument/2006/relationships/hyperlink" Target="https://en.wikipedia.org/wiki/Principles_of_Corporate_Finance" TargetMode="External"/><Relationship Id="rId26" Type="http://schemas.openxmlformats.org/officeDocument/2006/relationships/hyperlink" Target="https://desklib.com/study-documents/finance-investment-appraisal-2/" TargetMode="External"/><Relationship Id="rId39" Type="http://schemas.openxmlformats.org/officeDocument/2006/relationships/package" Target="embeddings/Microsoft_Excel_Worksheet3.xlsx"/><Relationship Id="rId21" Type="http://schemas.openxmlformats.org/officeDocument/2006/relationships/hyperlink" Target="https://journal.unigha.ac.id/index.php/JSR/article/view/2086/0" TargetMode="External"/><Relationship Id="rId34" Type="http://schemas.openxmlformats.org/officeDocument/2006/relationships/image" Target="media/image2.emf"/><Relationship Id="rId42"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en.wikipedia.org/wiki/Discounted_cash_flow" TargetMode="External"/><Relationship Id="rId20" Type="http://schemas.openxmlformats.org/officeDocument/2006/relationships/hyperlink" Target="https://www.ijebmr.com/uploads/pdf/archivepdf/2025/IJEBMR_1551.pdf" TargetMode="External"/><Relationship Id="rId29" Type="http://schemas.openxmlformats.org/officeDocument/2006/relationships/hyperlink" Target="https://assets.openstax.org/oscms-prodcms/media/documents/PrinciplesofFinance-WEB.pdf" TargetMode="External"/><Relationship Id="rId41" Type="http://schemas.openxmlformats.org/officeDocument/2006/relationships/package" Target="embeddings/Microsoft_Excel_Worksheet4.xlsx"/><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6636/dialektika.v8i1.2260" TargetMode="External"/><Relationship Id="rId24" Type="http://schemas.openxmlformats.org/officeDocument/2006/relationships/hyperlink" Target="https://arxiv.org/abs/2412.19817" TargetMode="External"/><Relationship Id="rId32" Type="http://schemas.openxmlformats.org/officeDocument/2006/relationships/hyperlink" Target="https://fbj.springeropen.com/articles/10.1186/s43093-025-00539-1" TargetMode="External"/><Relationship Id="rId37" Type="http://schemas.openxmlformats.org/officeDocument/2006/relationships/package" Target="embeddings/Microsoft_Excel_Worksheet2.xlsx"/><Relationship Id="rId40"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hyperlink" Target="https://innovation-entrepreneurship.springeropen.com/articles/10.1186/s13731-024-00379-3" TargetMode="External"/><Relationship Id="rId23" Type="http://schemas.openxmlformats.org/officeDocument/2006/relationships/hyperlink" Target="https://arxiv.org/abs/2509.09095" TargetMode="External"/><Relationship Id="rId28" Type="http://schemas.openxmlformats.org/officeDocument/2006/relationships/hyperlink" Target="https://eijbms.com/index.php/ms/article/download/224/210/488" TargetMode="External"/><Relationship Id="rId36" Type="http://schemas.openxmlformats.org/officeDocument/2006/relationships/image" Target="media/image3.emf"/><Relationship Id="rId10" Type="http://schemas.openxmlformats.org/officeDocument/2006/relationships/hyperlink" Target="https://doi.org/10.52644/joeb.v13i1.1493" TargetMode="External"/><Relationship Id="rId19" Type="http://schemas.openxmlformats.org/officeDocument/2006/relationships/hyperlink" Target="https://hbsp.harvard.edu/product/5176-PDF-ENG" TargetMode="External"/><Relationship Id="rId31" Type="http://schemas.openxmlformats.org/officeDocument/2006/relationships/hyperlink" Target="https://hbsp.harvard.edu/product/5176-PDF-ENG"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21776/jmrk.2024.03.4.07" TargetMode="External"/><Relationship Id="rId14" Type="http://schemas.openxmlformats.org/officeDocument/2006/relationships/hyperlink" Target="https://www.tandfonline.com/doi/full/10.1080/23322039.2024.2404707" TargetMode="External"/><Relationship Id="rId22" Type="http://schemas.openxmlformats.org/officeDocument/2006/relationships/hyperlink" Target="https://eijbms.com/index.php/ms/article/download/224/210/488" TargetMode="External"/><Relationship Id="rId27" Type="http://schemas.openxmlformats.org/officeDocument/2006/relationships/hyperlink" Target="https://doi.org/10.51601/ijersc.v3i1.254" TargetMode="External"/><Relationship Id="rId30" Type="http://schemas.openxmlformats.org/officeDocument/2006/relationships/hyperlink" Target="https://studylib.net/doc/27627577/corporate-finance-13th-edition&#8212;ross&#8211;westerfield&#8211;jaffe-" TargetMode="External"/><Relationship Id="rId35" Type="http://schemas.openxmlformats.org/officeDocument/2006/relationships/package" Target="embeddings/Microsoft_Excel_Worksheet1.xlsx"/><Relationship Id="rId43" Type="http://schemas.openxmlformats.org/officeDocument/2006/relationships/fontTable" Target="fontTable.xm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doi.org/10.55927/fjas.v4i8.299" TargetMode="External"/><Relationship Id="rId17" Type="http://schemas.openxmlformats.org/officeDocument/2006/relationships/hyperlink" Target="https://en.wikipedia.org/wiki/Outline_of_corporate_finance" TargetMode="External"/><Relationship Id="rId25" Type="http://schemas.openxmlformats.org/officeDocument/2006/relationships/hyperlink" Target="https://desklib.com/study-documents/business-finance-investment" TargetMode="External"/><Relationship Id="rId33" Type="http://schemas.openxmlformats.org/officeDocument/2006/relationships/hyperlink" Target="https://fbj.springeropen.com/articles/10.1186/s43093-025-00637-0" TargetMode="External"/><Relationship Id="rId38"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38</Pages>
  <Words>7657</Words>
  <Characters>43648</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account</cp:lastModifiedBy>
  <cp:revision>42</cp:revision>
  <dcterms:created xsi:type="dcterms:W3CDTF">2025-12-21T06:17:00Z</dcterms:created>
  <dcterms:modified xsi:type="dcterms:W3CDTF">2025-12-21T08:18:00Z</dcterms:modified>
</cp:coreProperties>
</file>