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F555D" w14:textId="77777777" w:rsidR="00BE751D" w:rsidRDefault="00BE751D" w:rsidP="00615C8E">
      <w:pPr>
        <w:pStyle w:val="NormalWeb"/>
        <w:spacing w:line="360" w:lineRule="auto"/>
        <w:jc w:val="center"/>
        <w:rPr>
          <w:rFonts w:ascii="Arial" w:hAnsi="Arial" w:cs="Arial"/>
          <w:sz w:val="23"/>
          <w:szCs w:val="23"/>
        </w:rPr>
      </w:pPr>
    </w:p>
    <w:p w14:paraId="109BB643" w14:textId="77777777" w:rsidR="00BE751D" w:rsidRDefault="00BE751D" w:rsidP="00615C8E">
      <w:pPr>
        <w:pStyle w:val="NormalWeb"/>
        <w:spacing w:line="360" w:lineRule="auto"/>
        <w:jc w:val="center"/>
        <w:rPr>
          <w:rFonts w:ascii="Arial" w:hAnsi="Arial" w:cs="Arial"/>
          <w:sz w:val="23"/>
          <w:szCs w:val="23"/>
        </w:rPr>
      </w:pPr>
    </w:p>
    <w:p w14:paraId="1EA095A2" w14:textId="77777777" w:rsidR="00BE751D" w:rsidRDefault="00BE751D" w:rsidP="00615C8E">
      <w:pPr>
        <w:pStyle w:val="NormalWeb"/>
        <w:spacing w:line="360" w:lineRule="auto"/>
        <w:jc w:val="center"/>
        <w:rPr>
          <w:rFonts w:ascii="Arial" w:hAnsi="Arial" w:cs="Arial"/>
          <w:sz w:val="23"/>
          <w:szCs w:val="23"/>
        </w:rPr>
      </w:pPr>
    </w:p>
    <w:p w14:paraId="394CFC1A" w14:textId="77777777" w:rsidR="00BE751D" w:rsidRDefault="00BE751D" w:rsidP="00615C8E">
      <w:pPr>
        <w:pStyle w:val="NormalWeb"/>
        <w:spacing w:line="360" w:lineRule="auto"/>
        <w:jc w:val="center"/>
        <w:rPr>
          <w:rFonts w:ascii="Arial" w:hAnsi="Arial" w:cs="Arial"/>
          <w:sz w:val="23"/>
          <w:szCs w:val="23"/>
        </w:rPr>
      </w:pPr>
    </w:p>
    <w:p w14:paraId="446C7C89" w14:textId="77777777" w:rsidR="00BE751D" w:rsidRDefault="00BE751D" w:rsidP="00615C8E">
      <w:pPr>
        <w:pStyle w:val="NormalWeb"/>
        <w:spacing w:line="360" w:lineRule="auto"/>
        <w:jc w:val="center"/>
        <w:rPr>
          <w:rFonts w:ascii="Arial" w:hAnsi="Arial" w:cs="Arial"/>
          <w:sz w:val="23"/>
          <w:szCs w:val="23"/>
        </w:rPr>
      </w:pPr>
    </w:p>
    <w:p w14:paraId="05150F34" w14:textId="77777777" w:rsidR="00CB1058" w:rsidRDefault="00CB1058" w:rsidP="00615C8E">
      <w:pPr>
        <w:pStyle w:val="NormalWeb"/>
        <w:spacing w:line="360" w:lineRule="auto"/>
        <w:jc w:val="center"/>
        <w:rPr>
          <w:rFonts w:ascii="Arial" w:hAnsi="Arial" w:cs="Arial"/>
          <w:sz w:val="23"/>
          <w:szCs w:val="23"/>
        </w:rPr>
      </w:pPr>
    </w:p>
    <w:p w14:paraId="089FA519" w14:textId="77777777" w:rsidR="00391CD1" w:rsidRDefault="00391CD1" w:rsidP="00615C8E">
      <w:pPr>
        <w:pStyle w:val="NormalWeb"/>
        <w:spacing w:line="360" w:lineRule="auto"/>
        <w:jc w:val="center"/>
        <w:rPr>
          <w:rFonts w:ascii="Arial" w:hAnsi="Arial" w:cs="Arial"/>
          <w:sz w:val="23"/>
          <w:szCs w:val="23"/>
        </w:rPr>
      </w:pPr>
    </w:p>
    <w:p w14:paraId="55B49405" w14:textId="56258599" w:rsidR="0098221D" w:rsidRPr="00F34FAC" w:rsidRDefault="00102FF0" w:rsidP="00024D5E">
      <w:pPr>
        <w:pStyle w:val="NormalWeb"/>
        <w:spacing w:line="360" w:lineRule="auto"/>
        <w:jc w:val="center"/>
        <w:rPr>
          <w:rFonts w:ascii="Arial" w:hAnsi="Arial" w:cs="Arial"/>
          <w:b/>
          <w:bCs/>
          <w:i/>
          <w:iCs/>
        </w:rPr>
      </w:pPr>
      <w:r w:rsidRPr="00F34FAC">
        <w:rPr>
          <w:rFonts w:ascii="Arial" w:hAnsi="Arial" w:cs="Arial"/>
          <w:b/>
          <w:bCs/>
          <w:i/>
          <w:iCs/>
        </w:rPr>
        <w:t>Module</w:t>
      </w:r>
      <w:r w:rsidR="00024D5E" w:rsidRPr="00F34FAC">
        <w:rPr>
          <w:rFonts w:ascii="Arial" w:hAnsi="Arial" w:cs="Arial"/>
          <w:b/>
          <w:bCs/>
          <w:i/>
          <w:iCs/>
        </w:rPr>
        <w:t xml:space="preserve"> – ECAD6007 </w:t>
      </w:r>
    </w:p>
    <w:p w14:paraId="0C5FBC56" w14:textId="583117F3" w:rsidR="00454DBC" w:rsidRPr="00F34FAC" w:rsidRDefault="00CE7B1A" w:rsidP="00102FF0">
      <w:pPr>
        <w:pStyle w:val="NormalWeb"/>
        <w:spacing w:line="360" w:lineRule="auto"/>
        <w:jc w:val="center"/>
        <w:rPr>
          <w:rFonts w:ascii="Arial" w:hAnsi="Arial" w:cs="Arial"/>
          <w:b/>
          <w:bCs/>
          <w:i/>
          <w:iCs/>
        </w:rPr>
      </w:pPr>
      <w:r w:rsidRPr="00F34FAC">
        <w:rPr>
          <w:rFonts w:ascii="Arial" w:hAnsi="Arial" w:cs="Arial"/>
          <w:b/>
          <w:bCs/>
          <w:i/>
          <w:iCs/>
        </w:rPr>
        <w:t>A critical evaluation and the identification of next teaching and learning steps focusing on a case study of an individual learner or a group of learners, based on an observed critical incident.</w:t>
      </w:r>
    </w:p>
    <w:p w14:paraId="5D6E8EFA" w14:textId="77777777" w:rsidR="00102FF0" w:rsidRPr="00F34FAC" w:rsidRDefault="00102FF0" w:rsidP="00102FF0">
      <w:pPr>
        <w:pStyle w:val="NormalWeb"/>
        <w:spacing w:line="360" w:lineRule="auto"/>
        <w:jc w:val="center"/>
        <w:rPr>
          <w:rFonts w:ascii="Arial" w:hAnsi="Arial" w:cs="Arial"/>
          <w:b/>
          <w:bCs/>
          <w:i/>
          <w:iCs/>
        </w:rPr>
      </w:pPr>
    </w:p>
    <w:p w14:paraId="5B086831" w14:textId="0AABEB89" w:rsidR="00454DBC" w:rsidRPr="00F34FAC" w:rsidRDefault="00454DBC" w:rsidP="00CB1058">
      <w:pPr>
        <w:pStyle w:val="NormalWeb"/>
        <w:spacing w:line="360" w:lineRule="auto"/>
        <w:jc w:val="center"/>
        <w:rPr>
          <w:rFonts w:ascii="Arial" w:hAnsi="Arial" w:cs="Arial"/>
          <w:b/>
          <w:bCs/>
          <w:i/>
          <w:iCs/>
        </w:rPr>
      </w:pPr>
      <w:r w:rsidRPr="00F34FAC">
        <w:rPr>
          <w:rFonts w:ascii="Arial" w:hAnsi="Arial" w:cs="Arial"/>
          <w:b/>
          <w:bCs/>
          <w:i/>
          <w:iCs/>
        </w:rPr>
        <w:t xml:space="preserve">Laura Townsend - </w:t>
      </w:r>
      <w:r w:rsidR="00391CD1" w:rsidRPr="00F34FAC">
        <w:rPr>
          <w:rFonts w:ascii="Arial" w:hAnsi="Arial" w:cs="Arial"/>
          <w:b/>
          <w:bCs/>
          <w:i/>
          <w:iCs/>
        </w:rPr>
        <w:t>2305843</w:t>
      </w:r>
    </w:p>
    <w:p w14:paraId="369BC054" w14:textId="6465919C" w:rsidR="00454DBC" w:rsidRPr="00F34FAC" w:rsidRDefault="00CB1058" w:rsidP="00BE751D">
      <w:pPr>
        <w:pStyle w:val="NormalWeb"/>
        <w:spacing w:line="360" w:lineRule="auto"/>
        <w:jc w:val="center"/>
        <w:rPr>
          <w:rFonts w:ascii="Arial" w:hAnsi="Arial" w:cs="Arial"/>
          <w:b/>
          <w:bCs/>
          <w:i/>
          <w:iCs/>
        </w:rPr>
      </w:pPr>
      <w:r w:rsidRPr="00F34FAC">
        <w:rPr>
          <w:rFonts w:ascii="Arial" w:hAnsi="Arial" w:cs="Arial"/>
          <w:b/>
          <w:bCs/>
          <w:i/>
          <w:iCs/>
        </w:rPr>
        <w:t xml:space="preserve">Word Count - </w:t>
      </w:r>
      <w:r w:rsidR="005402BB">
        <w:rPr>
          <w:rFonts w:ascii="Arial" w:hAnsi="Arial" w:cs="Arial"/>
          <w:b/>
          <w:bCs/>
          <w:i/>
          <w:iCs/>
        </w:rPr>
        <w:t>4389</w:t>
      </w:r>
    </w:p>
    <w:p w14:paraId="573B6225" w14:textId="77777777" w:rsidR="00454DBC" w:rsidRPr="00F34FAC" w:rsidRDefault="00454DBC" w:rsidP="00BE751D">
      <w:pPr>
        <w:pStyle w:val="NormalWeb"/>
        <w:spacing w:line="360" w:lineRule="auto"/>
        <w:jc w:val="center"/>
        <w:rPr>
          <w:rFonts w:ascii="Arial" w:hAnsi="Arial" w:cs="Arial"/>
        </w:rPr>
      </w:pPr>
    </w:p>
    <w:p w14:paraId="13A034EF" w14:textId="77777777" w:rsidR="00BE751D" w:rsidRPr="00F34FAC" w:rsidRDefault="00BE751D" w:rsidP="00BE751D">
      <w:pPr>
        <w:pStyle w:val="NormalWeb"/>
        <w:spacing w:line="360" w:lineRule="auto"/>
        <w:rPr>
          <w:rFonts w:ascii="Arial" w:hAnsi="Arial" w:cs="Arial"/>
        </w:rPr>
      </w:pPr>
    </w:p>
    <w:p w14:paraId="209BA6FB" w14:textId="77777777" w:rsidR="00BE751D" w:rsidRPr="00F34FAC" w:rsidRDefault="00BE751D" w:rsidP="00DC5DFB">
      <w:pPr>
        <w:pStyle w:val="NormalWeb"/>
        <w:spacing w:line="360" w:lineRule="auto"/>
        <w:jc w:val="center"/>
        <w:rPr>
          <w:rFonts w:ascii="Arial" w:hAnsi="Arial" w:cs="Arial"/>
        </w:rPr>
      </w:pPr>
    </w:p>
    <w:p w14:paraId="53247EA6" w14:textId="77777777" w:rsidR="00BE751D" w:rsidRPr="00F34FAC" w:rsidRDefault="00BE751D" w:rsidP="00DC5DFB">
      <w:pPr>
        <w:pStyle w:val="NormalWeb"/>
        <w:spacing w:line="360" w:lineRule="auto"/>
        <w:jc w:val="center"/>
        <w:rPr>
          <w:rFonts w:ascii="Arial" w:hAnsi="Arial" w:cs="Arial"/>
        </w:rPr>
      </w:pPr>
    </w:p>
    <w:p w14:paraId="4FF2705E" w14:textId="77777777" w:rsidR="00BE751D" w:rsidRPr="00F34FAC" w:rsidRDefault="00BE751D" w:rsidP="00DC5DFB">
      <w:pPr>
        <w:pStyle w:val="NormalWeb"/>
        <w:spacing w:line="360" w:lineRule="auto"/>
        <w:jc w:val="center"/>
        <w:rPr>
          <w:rFonts w:ascii="Arial" w:hAnsi="Arial" w:cs="Arial"/>
        </w:rPr>
      </w:pPr>
    </w:p>
    <w:p w14:paraId="44770A7B" w14:textId="77777777" w:rsidR="00BE751D" w:rsidRPr="00F34FAC" w:rsidRDefault="00BE751D" w:rsidP="00DC5DFB">
      <w:pPr>
        <w:pStyle w:val="NormalWeb"/>
        <w:spacing w:line="360" w:lineRule="auto"/>
        <w:jc w:val="center"/>
        <w:rPr>
          <w:rFonts w:ascii="Arial" w:hAnsi="Arial" w:cs="Arial"/>
        </w:rPr>
      </w:pPr>
    </w:p>
    <w:p w14:paraId="334930E3" w14:textId="77777777" w:rsidR="00BE751D" w:rsidRPr="00F34FAC" w:rsidRDefault="00BE751D" w:rsidP="00DC5DFB">
      <w:pPr>
        <w:pStyle w:val="NormalWeb"/>
        <w:spacing w:line="360" w:lineRule="auto"/>
        <w:jc w:val="center"/>
        <w:rPr>
          <w:rFonts w:ascii="Arial" w:hAnsi="Arial" w:cs="Arial"/>
        </w:rPr>
      </w:pPr>
    </w:p>
    <w:p w14:paraId="71E3B06D" w14:textId="77777777" w:rsidR="00F618B8" w:rsidRPr="00F34FAC" w:rsidRDefault="00F618B8" w:rsidP="00AE20A3">
      <w:pPr>
        <w:pStyle w:val="NormalWeb"/>
        <w:spacing w:line="360" w:lineRule="auto"/>
        <w:rPr>
          <w:rFonts w:ascii="Arial" w:hAnsi="Arial" w:cs="Arial"/>
        </w:rPr>
        <w:sectPr w:rsidR="00F618B8" w:rsidRPr="00F34FAC">
          <w:pgSz w:w="11906" w:h="16838"/>
          <w:pgMar w:top="1440" w:right="1440" w:bottom="1440" w:left="1440" w:header="708" w:footer="708" w:gutter="0"/>
          <w:cols w:space="708"/>
          <w:docGrid w:linePitch="360"/>
        </w:sectPr>
      </w:pPr>
    </w:p>
    <w:p w14:paraId="5FF9D951" w14:textId="2DF33FE3" w:rsidR="00CD3DA0" w:rsidRPr="00F34FAC" w:rsidRDefault="00CD3DA0" w:rsidP="00F34FAC">
      <w:pPr>
        <w:pStyle w:val="NormalWeb"/>
        <w:spacing w:line="480" w:lineRule="auto"/>
        <w:ind w:firstLine="284"/>
        <w:rPr>
          <w:rFonts w:ascii="Arial" w:hAnsi="Arial" w:cs="Arial"/>
          <w:b/>
          <w:bCs/>
        </w:rPr>
      </w:pPr>
      <w:r w:rsidRPr="00F34FAC">
        <w:rPr>
          <w:rFonts w:ascii="Arial" w:hAnsi="Arial" w:cs="Arial"/>
          <w:b/>
          <w:bCs/>
        </w:rPr>
        <w:lastRenderedPageBreak/>
        <w:t>Introduction</w:t>
      </w:r>
    </w:p>
    <w:p w14:paraId="16F16BFF" w14:textId="77777777" w:rsidR="00E938AF" w:rsidRPr="00E938AF" w:rsidRDefault="0095087D" w:rsidP="007622F1">
      <w:pPr>
        <w:pStyle w:val="NormalWeb"/>
        <w:spacing w:before="0" w:beforeAutospacing="0" w:after="0" w:afterAutospacing="0" w:line="480" w:lineRule="auto"/>
        <w:ind w:firstLine="284"/>
        <w:rPr>
          <w:rFonts w:ascii="Arial" w:hAnsi="Arial" w:cs="Arial"/>
          <w:color w:val="0E101A"/>
        </w:rPr>
      </w:pPr>
      <w:r w:rsidRPr="00F34FAC">
        <w:rPr>
          <w:rFonts w:ascii="Arial" w:hAnsi="Arial" w:cs="Arial"/>
        </w:rPr>
        <w:tab/>
      </w:r>
      <w:r w:rsidR="00E938AF" w:rsidRPr="00E938AF">
        <w:rPr>
          <w:rFonts w:ascii="Arial" w:hAnsi="Arial" w:cs="Arial"/>
          <w:color w:val="0E101A"/>
        </w:rPr>
        <w:t>This essay aims to evaluate a specific incident observed in a classroom setting critically and to discern its implications for teaching and learning practices. The concept of a critical incident, as understood in this context, refers to a significant event or occurrence within an educational environment that warrants detailed examination and reflection (Tripp, 2012). Such incidents can offer valuable insights, challenge assumptions, and inform pedagogical decision-making. In tandem with (Tripp's, 2012) critical incident theory, this case study aims to comprehend the dynamics of inclusive education, the integration of technology in supporting learners with additional learning needs, and the broader implications for the classroom environment. </w:t>
      </w:r>
    </w:p>
    <w:p w14:paraId="46C8E42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44E3302C" w14:textId="08591EA3"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The critical incident that I observed and will examine in this essay involves a disruption in the use of Visual Impairment (VI) technology by a student, subsequently leading to a temporary disengagement from the learning process. In this Year Four, Progression Step Three classroom, consisting of approximately twenty-three pupils, a single class teacher, and a teaching assistant, the incident unfolded during a language, literacy, and communication session where the children were learning about inferences. </w:t>
      </w:r>
    </w:p>
    <w:p w14:paraId="5ABBEA5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761ADE94"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In the observed incident, one student, Child E, encountered difficulties with their VI technology, which was crucial for their participation in the learning activities. As a result, Child E felt compelled to approach the board to examine the content being displayed closely. While this was happening, the teacher and students were actively </w:t>
      </w:r>
      <w:r w:rsidRPr="00E938AF">
        <w:rPr>
          <w:rFonts w:ascii="Arial" w:hAnsi="Arial" w:cs="Arial"/>
          <w:color w:val="0E101A"/>
        </w:rPr>
        <w:lastRenderedPageBreak/>
        <w:t>engaged in the session. It took some time before they realised the issue with Child E's VI technology and addressed it.</w:t>
      </w:r>
    </w:p>
    <w:p w14:paraId="7FD9CA13"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612A33E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This critical incident aligns with the 'Four Purposes' by promoting emotional well-being, resilience, problem-solving, effective communication, and empathy among students, thus contributing to developing well-rounded and resilient individuals, ethical citizens, and capable learners (GovWales, 2015). It underscored the importance of creating an educational environment that not only prioritises academic learning but also nurtures students' emotional and social development, aligning with the principles of the New Curriculum for Wales. </w:t>
      </w:r>
    </w:p>
    <w:p w14:paraId="2B1658F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13600E71"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considering the theoretical context, my knowledge of learning theory, especially constructivist learning theory, is relevant. Constructivism emphasises active engagement and knowledge construction by learners, which resonates with the incident. Child E's active effort to approach the board to access the content demonstrates an attempt to construct their knowledge independently. Moreover, the incident highlights the importance of the zone of proximal development. Child E needed support from the teacher and peers to address the technology issue, bridging the gap between their current abilities and desired learning outcomes (Vygotsky, 1978).</w:t>
      </w:r>
    </w:p>
    <w:p w14:paraId="6716D18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7171F984"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In summary, this essay aims to critically evaluate the impact of a specific classroom incident on teaching and learning practices. The understanding of a critical incident in this context pertains to significant events that demand reflection and analysis. The incident involving the disruption of VI technology in a Year Four, </w:t>
      </w:r>
      <w:r w:rsidRPr="00E938AF">
        <w:rPr>
          <w:rFonts w:ascii="Arial" w:hAnsi="Arial" w:cs="Arial"/>
          <w:color w:val="0E101A"/>
        </w:rPr>
        <w:lastRenderedPageBreak/>
        <w:t>Progression Step Three classroom, within the theoretical framework of constructivist learning theory, serves as the focal point for this examination.</w:t>
      </w:r>
    </w:p>
    <w:p w14:paraId="3C7E415A"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Subsequent sections will explore the theoretical concepts related to reflective practice and its relevance to the teaching profession. I will outline and discuss the selected incident in the context of curriculum reform in Wales, followed by a brief description of the school environment. A literature review will highlight key areas to comprehend the incident's significance better. Lastly, I will share my reflections on the incident, pointing towards future steps for my professional practice. </w:t>
      </w:r>
    </w:p>
    <w:p w14:paraId="529DF20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105B2308" w14:textId="77777777" w:rsidR="00E938AF" w:rsidRPr="007622F1" w:rsidRDefault="00E938AF" w:rsidP="007622F1">
      <w:pPr>
        <w:pStyle w:val="NormalWeb"/>
        <w:spacing w:before="0" w:beforeAutospacing="0" w:after="0" w:afterAutospacing="0" w:line="480" w:lineRule="auto"/>
        <w:ind w:firstLine="284"/>
        <w:rPr>
          <w:rFonts w:ascii="Arial" w:hAnsi="Arial" w:cs="Arial"/>
          <w:b/>
          <w:bCs/>
          <w:color w:val="0E101A"/>
        </w:rPr>
      </w:pPr>
      <w:r w:rsidRPr="007622F1">
        <w:rPr>
          <w:rFonts w:ascii="Arial" w:hAnsi="Arial" w:cs="Arial"/>
          <w:b/>
          <w:bCs/>
          <w:color w:val="0E101A"/>
        </w:rPr>
        <w:t>Literature Review</w:t>
      </w:r>
    </w:p>
    <w:p w14:paraId="135BA2A1"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3D7AC13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critical incident observed in a primary school classroom, where a visually impaired student (Child E) encountered difficulties with their VI technology, has provided a compelling context to explore relevant literature on inclusive education, technology integration, and the broader implications for teaching and learning practices. This literature review aims to synthesise key findings, analyse their significance concerning the critical incident, critically evaluate the strengths and weaknesses of sources, and delineate connections, comparisons, and contrasts among the literature. By examining these sources, we can gain valuable insights that inform the identification of next steps in teaching and learning. </w:t>
      </w:r>
    </w:p>
    <w:p w14:paraId="29536D2B"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008FCCB6" w14:textId="77777777" w:rsidR="00E938AF" w:rsidRPr="007622F1" w:rsidRDefault="00E938AF" w:rsidP="007622F1">
      <w:pPr>
        <w:pStyle w:val="NormalWeb"/>
        <w:spacing w:before="0" w:beforeAutospacing="0" w:after="0" w:afterAutospacing="0" w:line="480" w:lineRule="auto"/>
        <w:ind w:firstLine="284"/>
        <w:rPr>
          <w:rFonts w:ascii="Arial" w:hAnsi="Arial" w:cs="Arial"/>
          <w:b/>
          <w:bCs/>
          <w:i/>
          <w:iCs/>
          <w:color w:val="0E101A"/>
        </w:rPr>
      </w:pPr>
      <w:r w:rsidRPr="007622F1">
        <w:rPr>
          <w:rFonts w:ascii="Arial" w:hAnsi="Arial" w:cs="Arial"/>
          <w:b/>
          <w:bCs/>
          <w:i/>
          <w:iCs/>
          <w:color w:val="0E101A"/>
        </w:rPr>
        <w:t>Inclusive Education and its Implications </w:t>
      </w:r>
    </w:p>
    <w:p w14:paraId="27AD1D8A"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Inclusive education emphasises the integration of students with disabilities into mainstream classrooms and provides appropriate support and accommodations to ensure their participation and learning (Florian and Black-Hawkins, 2011). According </w:t>
      </w:r>
      <w:r w:rsidRPr="00E938AF">
        <w:rPr>
          <w:rFonts w:ascii="Arial" w:hAnsi="Arial" w:cs="Arial"/>
          <w:color w:val="0E101A"/>
        </w:rPr>
        <w:lastRenderedPageBreak/>
        <w:t>to (Ainscow, 2005), inclusive education is a transformative approach that seeks to address the diverse needs of students, fostering a sense of belonging and participation. The critical incident involving Child E highlights the necessity of inclusive education (Slee, 2011). Child E's challenges with VI technology emphasise the importance of accommodating and supporting students with additional learning needs in mainstream classrooms. This literature stresses the significance of creating inclusive environments where all students can access learning materials effectively, aligning with the incident's implications for teaching and learning practices (UNESCO, 1994). </w:t>
      </w:r>
    </w:p>
    <w:p w14:paraId="3752EC2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033B9D22"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Assistive Technology in Inclusive Education </w:t>
      </w:r>
    </w:p>
    <w:p w14:paraId="2107D940"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use of the magnifying electronic device is an example of assistive technology, which is designed to enhance the functional capabilities of individuals with disabilities. This concept underscores the importance of using technology to support and accommodate learners with additional needs (Thomas and Loxley, 2007). The incident involving Child E underscores the vital role of assistive technology in inclusive education (Schwab and Winter, 2004). Assistive technology plays a significant part in enhancing their access to educational materials and promoting active engagement (Schwab and Winter, 2004). The observed incident emphasises the need for educators to not only understand how to operate assistive technology but also troubleshoot it effectively when issues arise. This aligns with the literature's emphasis on teacher professional development (Sailor, 2009) and equipping educators with the knowledge and skills to address technological barriers.  </w:t>
      </w:r>
    </w:p>
    <w:p w14:paraId="4526330F" w14:textId="77777777" w:rsidR="00E938AF" w:rsidRDefault="00E938AF" w:rsidP="007622F1">
      <w:pPr>
        <w:pStyle w:val="NormalWeb"/>
        <w:spacing w:before="0" w:beforeAutospacing="0" w:after="0" w:afterAutospacing="0" w:line="480" w:lineRule="auto"/>
        <w:ind w:firstLine="284"/>
        <w:rPr>
          <w:rFonts w:ascii="Arial" w:hAnsi="Arial" w:cs="Arial"/>
          <w:color w:val="0E101A"/>
        </w:rPr>
      </w:pPr>
    </w:p>
    <w:p w14:paraId="52232226" w14:textId="77777777" w:rsidR="009627CB" w:rsidRPr="00E938AF" w:rsidRDefault="009627CB" w:rsidP="007622F1">
      <w:pPr>
        <w:pStyle w:val="NormalWeb"/>
        <w:spacing w:before="0" w:beforeAutospacing="0" w:after="0" w:afterAutospacing="0" w:line="480" w:lineRule="auto"/>
        <w:ind w:firstLine="284"/>
        <w:rPr>
          <w:rFonts w:ascii="Arial" w:hAnsi="Arial" w:cs="Arial"/>
          <w:color w:val="0E101A"/>
        </w:rPr>
      </w:pPr>
    </w:p>
    <w:p w14:paraId="6581A9E1"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lastRenderedPageBreak/>
        <w:t>Universal Design for Learning (UDL) </w:t>
      </w:r>
    </w:p>
    <w:p w14:paraId="52154700" w14:textId="0847C84C" w:rsidR="00E938AF" w:rsidRPr="00E938AF" w:rsidRDefault="00E938AF" w:rsidP="00D90664">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Universal Design for Learning (UDL) is an educational framework that aims to provide multiple means of representation, engagement, and expression to accommodate the diverse needs of all students, including those with disabilities (Rose and Meyer, 2002). The critical incident highlights the importance of applying UDL principles in the classroom, particularly for students with visual impairments. Using a magnifying electronic device aligns with providing multiple means of representation for visually impaired students. The incident reveals how barriers to accessing technology can hinder a student's engagement and participation. (Rose and Meyer, 2002) argue that UDL principles promote multiple means of representation, engagement, and expression, which can benefit all students, including those with disabilities, by applying UDL principles. Educators can proactively address barriers, ensure accessibility, and offer personalised learning experiences, aligning with the incident's implications for enhancing teaching and learning practices. </w:t>
      </w:r>
    </w:p>
    <w:p w14:paraId="1551A05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77812589"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Zone of Proximal Development (ZPD) </w:t>
      </w:r>
    </w:p>
    <w:p w14:paraId="3089E33E"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This concept from Vygotsky's theory suggests that learning occurs in the zone between what a learner can do independently and what they can do with support. Child E's experience with the disruption of their visual impairment technology (VI) offers insight into the Zone of Proximal Development (ZPD) within inclusive education (Vygotsky, 1978). </w:t>
      </w:r>
    </w:p>
    <w:p w14:paraId="34DF9FB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Vygotsky's theory highlights the importance of social interaction and collaborative learning within the ZPD. In the observed incident, Child E not only required help from the teacher but also peers to resolve the VI technology issue. This collaboration </w:t>
      </w:r>
      <w:r w:rsidRPr="00E938AF">
        <w:rPr>
          <w:rFonts w:ascii="Arial" w:hAnsi="Arial" w:cs="Arial"/>
          <w:color w:val="0E101A"/>
        </w:rPr>
        <w:lastRenderedPageBreak/>
        <w:t>reflects Vygotsky's idea that ZPD is the dynamic and social context where learning occurs through interaction and support from more knowledgeable individuals (Vygotsky, 1978). The incident demonstrates that when educators and peers collaborate to address technological challenges, students like Child E can enhance their skills effectively. </w:t>
      </w:r>
    </w:p>
    <w:p w14:paraId="01FEC8F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literature on ZPD in inclusive education suggests that educators should know each student's ZPD and provide tailored support and challenges (Daniels, 2014). In the case of Child E, educators should recognise their ZPD related to technology use and their autism. This awareness enables educators to provide specific support to help students overcome barriers and advance their learning. </w:t>
      </w:r>
    </w:p>
    <w:p w14:paraId="26702F8E"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38DD182E"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Operant Conditioning and Behaviourism in VI Technology Challenges </w:t>
      </w:r>
    </w:p>
    <w:p w14:paraId="14F57308"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critical incident involving Child E's struggle with disrupting their VI technology offers insights into applying operant conditioning principles within a behaviourist framework (Skinner, 1938). In this incident, Child E's behaviour, explicitly approaching the board to address the VI technology issue, can be analysed through the lens of operant conditioning. </w:t>
      </w:r>
    </w:p>
    <w:p w14:paraId="274AB6FA"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Operant conditioning, as developed by Skinner, asserts that consequences influence behaviour. In this case, Child E's approach to the board can be understood as a response to the immediate challenge posed by the VI technology issue. When the technology failed, Child E's behaviour was reinforced by gaining closer access to the learning material, illustrating how consequences shape behaviour (Skinner, 1938). </w:t>
      </w:r>
    </w:p>
    <w:p w14:paraId="785A49B7"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The incident aligns with behaviourist principles by emphasising the role of environmental factors and consequences in shaping student behaviour. Educators </w:t>
      </w:r>
      <w:r w:rsidRPr="00E938AF">
        <w:rPr>
          <w:rFonts w:ascii="Arial" w:hAnsi="Arial" w:cs="Arial"/>
          <w:color w:val="0E101A"/>
        </w:rPr>
        <w:lastRenderedPageBreak/>
        <w:t>must consider the consequences of behaviour and provide appropriate reinforcement to guide students' actions effectively. </w:t>
      </w:r>
    </w:p>
    <w:p w14:paraId="3ACAFAD3"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teaching and learning, behaviourism suggests that educators can use operant conditioning principles to shape desired behaviours (Skinner, 1958). In Child E's case, the teacher had to stop helping another student to fix the device quickly. In future, this may involve providing positive reinforcement when the VI technology functions correctly, encouraging independent use, and gradually reducing reinforcement as desired behaviour becomes consistent. </w:t>
      </w:r>
    </w:p>
    <w:p w14:paraId="1805488C"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conclusion, the strengths of the sources include the extensive research and scholarship in the field of inclusive education, with well-established experts like Ainscow (2005), Rose and Meyer (2002), and Skinner (1938). Their work provides a robust theoretical foundation for analysing the critical incident.</w:t>
      </w:r>
    </w:p>
    <w:p w14:paraId="1DBCD8C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literature is highly relevant to the critical incident, emphasising the importance of accommodating and supporting students with additional learning needs within mainstream classrooms. It underscores the role of assistive technology in enhancing students' access to educational materials and promoting active engagement. Additionally, the literature highlights the significance of applying UDL principles, recognising the ZPD for individual students, and considering behaviourist principles to shape desired behaviours effectively.</w:t>
      </w:r>
    </w:p>
    <w:p w14:paraId="70D64EA5"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Weaknesses in the sources may include limitations in generalising certain principles to specific classroom incidents and the age of some references. The dynamic nature of individual classroom scenarios may sometimes align with theoretical frameworks. Some sources, like Skinner (1958), were published decades ago, raising questions about the applicability of behaviourist principles to modern educational contexts.</w:t>
      </w:r>
    </w:p>
    <w:p w14:paraId="6893FAC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lastRenderedPageBreak/>
        <w:t>Regarding the critical incident, the literature has informed the identification of the following teaching and learning steps by stressing the need for personalised support and accommodations, especially in the context of technology use. It has highlighted the importance of teacher professional development to address technological barriers effectively and the value of creating inclusive environments that foster a sense of belonging and participation for all students.</w:t>
      </w:r>
    </w:p>
    <w:p w14:paraId="1008F1F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summary, the literature provides a strong foundation for understanding the critical incident and its implications. While there are weaknesses in generalizability and dated sources, the strengths lie in the expertise and relevance to the critical incident and the identification of following teaching and learning steps. </w:t>
      </w:r>
    </w:p>
    <w:p w14:paraId="2E9796ED" w14:textId="77777777" w:rsidR="00E938AF" w:rsidRPr="00E938AF" w:rsidRDefault="00E938AF" w:rsidP="00D90664">
      <w:pPr>
        <w:pStyle w:val="NormalWeb"/>
        <w:spacing w:before="0" w:beforeAutospacing="0" w:after="0" w:afterAutospacing="0" w:line="480" w:lineRule="auto"/>
        <w:rPr>
          <w:rFonts w:ascii="Arial" w:hAnsi="Arial" w:cs="Arial"/>
          <w:color w:val="0E101A"/>
        </w:rPr>
      </w:pPr>
    </w:p>
    <w:p w14:paraId="0885BFD8" w14:textId="77777777" w:rsidR="00E938AF" w:rsidRPr="00D90664" w:rsidRDefault="00E938AF" w:rsidP="007622F1">
      <w:pPr>
        <w:pStyle w:val="NormalWeb"/>
        <w:spacing w:before="0" w:beforeAutospacing="0" w:after="0" w:afterAutospacing="0" w:line="480" w:lineRule="auto"/>
        <w:ind w:firstLine="284"/>
        <w:rPr>
          <w:rFonts w:ascii="Arial" w:hAnsi="Arial" w:cs="Arial"/>
          <w:b/>
          <w:bCs/>
          <w:color w:val="0E101A"/>
        </w:rPr>
      </w:pPr>
      <w:r w:rsidRPr="00D90664">
        <w:rPr>
          <w:rFonts w:ascii="Arial" w:hAnsi="Arial" w:cs="Arial"/>
          <w:b/>
          <w:bCs/>
          <w:color w:val="0E101A"/>
        </w:rPr>
        <w:t>Explanation of Case Study </w:t>
      </w:r>
    </w:p>
    <w:p w14:paraId="0E1D685C"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19394F51"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case study centres around an individual learner, Child E, and a critical incident observed in a mainstream classroom setting. Child E, a student with visual impairment, encountered a disruption with their Visual Impairment (VI) technology during a language, literacy, and communication session. As well as previous literature and theories discussed, this incident also serves as a valuable point of reflection and examination, illuminating the dynamics of inclusive education and its relationship with educational theories such as differentiated instruction, constructivism, sociocultural theory, and self-determination theory. </w:t>
      </w:r>
    </w:p>
    <w:p w14:paraId="46A48B40"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317EF243"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In a Year Four, Progression Step Three classroom, comprising approximately Twenty-Three pupils, one class teacher, and a teaching assistant, a 'Hot Write' session on inferences was in progress. The session aimed to encourage the children </w:t>
      </w:r>
      <w:r w:rsidRPr="00E938AF">
        <w:rPr>
          <w:rFonts w:ascii="Arial" w:hAnsi="Arial" w:cs="Arial"/>
          <w:color w:val="0E101A"/>
        </w:rPr>
        <w:lastRenderedPageBreak/>
        <w:t>to enhance their writing and communication skills by exploring inferences in different types of shoes placed on their class tables independently. The students were seated at their tables, actively participating in the session as the teacher and teaching assistant facilitated the learning process. Child E, a student with visual impairment, relied on VI technology to access and interact with learning materials effectively. </w:t>
      </w:r>
    </w:p>
    <w:p w14:paraId="6E20D04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critical incident occurred when Child E faced difficulties with their magnifying electronic device, which was integral for their participation in the learning activities. The VI technology malfunctioned, and Child E felt compelled to approach the interactive whiteboard at the front of the classroom to examine the content being displayed closely. Meanwhile, the teacher and other students were fully engaged in the session, unaware of Child E's struggle with VI technology. It took some time before they realised the issue and addressed it, indicating the need for educators to be vigilant in promptly assisting students with additional learning needs. </w:t>
      </w:r>
    </w:p>
    <w:p w14:paraId="7BE308C2"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4FD3F9EE" w14:textId="77777777" w:rsid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Many educational theories have been discussed on this incident, such as the Zone of Proximal Development (Vygotsky, 1978) and Behavioural Conditioning (Skinner, 1958). However, there are a few more theories that can be discussed and related to this critical incident reflection and previously discussed theories.  </w:t>
      </w:r>
    </w:p>
    <w:p w14:paraId="595B0619" w14:textId="77777777" w:rsidR="00E405B5" w:rsidRPr="00E938AF" w:rsidRDefault="00E405B5" w:rsidP="007622F1">
      <w:pPr>
        <w:pStyle w:val="NormalWeb"/>
        <w:spacing w:before="0" w:beforeAutospacing="0" w:after="0" w:afterAutospacing="0" w:line="480" w:lineRule="auto"/>
        <w:ind w:firstLine="284"/>
        <w:rPr>
          <w:rFonts w:ascii="Arial" w:hAnsi="Arial" w:cs="Arial"/>
          <w:color w:val="0E101A"/>
        </w:rPr>
      </w:pPr>
    </w:p>
    <w:p w14:paraId="1227F841" w14:textId="77777777" w:rsidR="00E938AF" w:rsidRPr="00E405B5" w:rsidRDefault="00E938AF" w:rsidP="007622F1">
      <w:pPr>
        <w:pStyle w:val="NormalWeb"/>
        <w:spacing w:before="0" w:beforeAutospacing="0" w:after="0" w:afterAutospacing="0" w:line="480" w:lineRule="auto"/>
        <w:ind w:firstLine="284"/>
        <w:rPr>
          <w:rFonts w:ascii="Arial" w:hAnsi="Arial" w:cs="Arial"/>
          <w:b/>
          <w:bCs/>
          <w:i/>
          <w:iCs/>
          <w:color w:val="0E101A"/>
        </w:rPr>
      </w:pPr>
      <w:r w:rsidRPr="00E405B5">
        <w:rPr>
          <w:rFonts w:ascii="Arial" w:hAnsi="Arial" w:cs="Arial"/>
          <w:b/>
          <w:bCs/>
          <w:i/>
          <w:iCs/>
          <w:color w:val="0E101A"/>
        </w:rPr>
        <w:t>Differentiated Instruction </w:t>
      </w:r>
    </w:p>
    <w:p w14:paraId="226B9275"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Differentiated instruction involves tailoring teaching methods and materials to meet the diverse needs of all students (Tomlinson, 2001). In the case study, Child E's unique learning needs due to visual impairment required differentiated instruction using VI technology. The incident underscores the importance of educators being adept at providing such differentiation to meet the individual needs of students. </w:t>
      </w:r>
    </w:p>
    <w:p w14:paraId="13DE58D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5403DF44"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Assessment for Learning and Theoretical Approach </w:t>
      </w:r>
    </w:p>
    <w:p w14:paraId="33990A65"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the observed incident involving Child E, there was a straightforward application of the 'See Three Before Me' concept, a form of assessment for learning. The idea behind this AFL strategy is that students are encouraged to seek support from their peers or classroom resources before turning to the teacher for assistance (Gregory, 2012). Child E's initial response to the malfunctioning VI technology aligns with the concept as they attempt to address the issue independently. This approach can be analysed through the lens of constructivism, emphasising the learner's role in knowledge construction (Piaget, 1973). In this context, Child E's decision to explore potential solutions before seeking teacher intervention reflects their constructive learning process. </w:t>
      </w:r>
    </w:p>
    <w:p w14:paraId="1130A49A"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Child E's adherence to 'See Three Before Me' also resonated with Vygotsky's sociocultural theory, which emphasises social interaction and collaborative learning (Vygotsky, 1978). By initially attempting to resolve the technology issue without immediate teacher involvement, Child E engaged in peer collaboration and knowledge sharing, fostering relatedness as described in self-determination theory (Deci and Ryan, 1985). These theories highlight the significance of allowing students to explore problem-solving strategies within their zone of proximal development, which includes seeking assistance from peers before turning to the teacher. </w:t>
      </w:r>
    </w:p>
    <w:p w14:paraId="12276E9B"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0DCAEECD"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Self-Determination Theory (SDT)</w:t>
      </w:r>
    </w:p>
    <w:p w14:paraId="3D37F4AE"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Self-determination theory (SDT) posits that individuals have basic psychological needs for autonomy, competence, and relatedness (Deci and Ryan, 1985). The incident, while reflecting the importance of autonomy as Child E attempted to </w:t>
      </w:r>
      <w:r w:rsidRPr="00E938AF">
        <w:rPr>
          <w:rFonts w:ascii="Arial" w:hAnsi="Arial" w:cs="Arial"/>
          <w:color w:val="0E101A"/>
        </w:rPr>
        <w:lastRenderedPageBreak/>
        <w:t>address the technology issue independently, also highlights the role of relatedness, as the support of both peers and educators played a crucial part in resolving the situation. In an inclusive classroom, supporting students' autonomy and relatedness is crucial to fostering self-determined learners. </w:t>
      </w:r>
    </w:p>
    <w:p w14:paraId="26B2989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w:t>
      </w:r>
    </w:p>
    <w:p w14:paraId="18702D31" w14:textId="0015718D" w:rsidR="001904DB" w:rsidRDefault="00E938AF" w:rsidP="001904DB">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summary, the case study provides a valuable opportunity to understand the intricacies of inclusive education and its connection with various educational theories. The incident with Child E is a practical example of the theories discussed, highlighting the importance of differentiated instruction, assessment for learning strategies, constructivism, sociocultural theory, and self-determination theory in creating an inclusive and supportive learning environment. These theories enrich our understanding of teaching and learning practices and emphasise the significance of considering individual students' needs and abilities within the broader context of education. </w:t>
      </w:r>
    </w:p>
    <w:p w14:paraId="52F8DCAC" w14:textId="77777777" w:rsidR="001904DB" w:rsidRPr="00E938AF" w:rsidRDefault="001904DB" w:rsidP="009627CB">
      <w:pPr>
        <w:pStyle w:val="NormalWeb"/>
        <w:spacing w:before="0" w:beforeAutospacing="0" w:after="0" w:afterAutospacing="0" w:line="480" w:lineRule="auto"/>
        <w:rPr>
          <w:rFonts w:ascii="Arial" w:hAnsi="Arial" w:cs="Arial"/>
          <w:color w:val="0E101A"/>
        </w:rPr>
      </w:pPr>
    </w:p>
    <w:p w14:paraId="0FCEDD56" w14:textId="77777777" w:rsidR="00E938AF" w:rsidRPr="00D90664" w:rsidRDefault="00E938AF" w:rsidP="007622F1">
      <w:pPr>
        <w:pStyle w:val="NormalWeb"/>
        <w:spacing w:before="0" w:beforeAutospacing="0" w:after="0" w:afterAutospacing="0" w:line="480" w:lineRule="auto"/>
        <w:ind w:firstLine="284"/>
        <w:rPr>
          <w:rFonts w:ascii="Arial" w:hAnsi="Arial" w:cs="Arial"/>
          <w:b/>
          <w:bCs/>
          <w:color w:val="0E101A"/>
        </w:rPr>
      </w:pPr>
      <w:r w:rsidRPr="00D90664">
        <w:rPr>
          <w:rFonts w:ascii="Arial" w:hAnsi="Arial" w:cs="Arial"/>
          <w:b/>
          <w:bCs/>
          <w:color w:val="0E101A"/>
        </w:rPr>
        <w:t>Teaching and Learning Methods </w:t>
      </w:r>
    </w:p>
    <w:p w14:paraId="0E0DED95"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47602F97" w14:textId="77777777" w:rsid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Inclusive education calls for a flexible and personalised approach to teaching and learning, particularly for students with additional learning needs such as visual impairment. In response to the critical incident involving Child E's struggle with VI technology, it is essential to consider effective teaching and learning methods to address the challenges Child E faced for the future of teaching. </w:t>
      </w:r>
    </w:p>
    <w:p w14:paraId="30FA60C9" w14:textId="77777777" w:rsidR="009627CB" w:rsidRDefault="009627CB" w:rsidP="007622F1">
      <w:pPr>
        <w:pStyle w:val="NormalWeb"/>
        <w:spacing w:before="0" w:beforeAutospacing="0" w:after="0" w:afterAutospacing="0" w:line="480" w:lineRule="auto"/>
        <w:ind w:firstLine="284"/>
        <w:rPr>
          <w:rFonts w:ascii="Arial" w:hAnsi="Arial" w:cs="Arial"/>
          <w:color w:val="0E101A"/>
        </w:rPr>
      </w:pPr>
    </w:p>
    <w:p w14:paraId="48851C4B" w14:textId="77777777" w:rsidR="009627CB" w:rsidRPr="00E938AF" w:rsidRDefault="009627CB" w:rsidP="007622F1">
      <w:pPr>
        <w:pStyle w:val="NormalWeb"/>
        <w:spacing w:before="0" w:beforeAutospacing="0" w:after="0" w:afterAutospacing="0" w:line="480" w:lineRule="auto"/>
        <w:ind w:firstLine="284"/>
        <w:rPr>
          <w:rFonts w:ascii="Arial" w:hAnsi="Arial" w:cs="Arial"/>
          <w:color w:val="0E101A"/>
        </w:rPr>
      </w:pPr>
    </w:p>
    <w:p w14:paraId="500E921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5A084FB4"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lastRenderedPageBreak/>
        <w:t>Method One: Accessible Classroom Materials </w:t>
      </w:r>
    </w:p>
    <w:p w14:paraId="0BE69F2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Accessible classroom materials are essential for visually impaired students (Kamei-Hannan, 2018). Materials must be provided in large print, electronic formats, or braille to ensure equitable access. Accessible materials may not include textbooks but also handouts, presentations, and visual aids. </w:t>
      </w:r>
    </w:p>
    <w:p w14:paraId="29758C0B"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Strengths and Limitations </w:t>
      </w:r>
    </w:p>
    <w:p w14:paraId="5B714646" w14:textId="388C6118" w:rsidR="00E938AF" w:rsidRPr="00E938AF" w:rsidRDefault="00E938AF" w:rsidP="00D90664">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strength of accessible classroom materials is that they cater to the diverse needs of visually impaired students, promoting independence and a sense of belonging (Holbrook, 2014). However, it requires additional preparation and time for educators to create and provide these materials, which may only sometimes be feasible in resource-constrained environments. </w:t>
      </w:r>
    </w:p>
    <w:p w14:paraId="23A1C7BE"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Impact on the Progression of the Pupil </w:t>
      </w:r>
    </w:p>
    <w:p w14:paraId="1078957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By offering accessible classroom materials, visually impaired students can engage more actively in class and access information independently, mitigating the impact of malfunctioning assistive devices. This approach promotes inclusivity, aligning with the principles of Universal Design for Learning (Rose and Meyer, 2002). </w:t>
      </w:r>
    </w:p>
    <w:p w14:paraId="7D0B0770"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2B2954A4"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Method Two: Universal Design for Learning (UDL) </w:t>
      </w:r>
    </w:p>
    <w:p w14:paraId="6BA0E247"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Universal Design for Learning (UDL) is a pivotal framework for creating an inclusive learning environment for visually impaired students and students with diverse needs. UDL emphasises the need to design lessons and materials accessible to all students, regardless of their abilities (Rose &amp; Meyer, 2002). By providing multiple means of representation, engagement, and expression, educators can ensure that content is adaptable and accessible to a wide range of learners. The adoption of UDL principles in teaching methods fosters a more inclusive classroom </w:t>
      </w:r>
      <w:r w:rsidRPr="00E938AF">
        <w:rPr>
          <w:rFonts w:ascii="Arial" w:hAnsi="Arial" w:cs="Arial"/>
          <w:color w:val="0E101A"/>
        </w:rPr>
        <w:lastRenderedPageBreak/>
        <w:t>that caters to the diverse learning preferences of students, including those with visual impairments. Through the incorporation of UDL, educators can promote independence and participation, mitigating the impact of unexpected incidents such as malfunctioning assistive devices, as students have a range of accessible resources and options at their disposal (CAST, 2021). UDL aligns with the inclusive education philosophy, supporting the principle that all students, regardless of their abilities, should have equal opportunities to succeed in the classroom.</w:t>
      </w:r>
    </w:p>
    <w:p w14:paraId="1615C1AB"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5BB38AF8"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Method Three: Professional Development Opportunities </w:t>
      </w:r>
    </w:p>
    <w:p w14:paraId="11E741BC"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Professional development opportunities are crucial in equipping educators with the knowledge and skills to support students with visual impairments (Ferrell and McConnell, 2009). These opportunities provide training on assistive technologies, inclusive teaching practices, and strategies to create accessible learning materials. </w:t>
      </w:r>
    </w:p>
    <w:p w14:paraId="6FD18383"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Strengths and Limitations </w:t>
      </w:r>
    </w:p>
    <w:p w14:paraId="53AF3DF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Professional development enhances educator's capacity to create inclusive and accessible learning environments. It ensures educators are current with best practices and aligns with the inclusive education philosophy. However, the availability of such opportunities and the investment of time and resources can be challenging. </w:t>
      </w:r>
    </w:p>
    <w:p w14:paraId="04E8EC80"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Impact on the Progression of the Pupil</w:t>
      </w:r>
    </w:p>
    <w:p w14:paraId="76C58DB7"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Engaging in professional development opportunities equips educators to address the diverse needs of visually impaired students, such as dealing with technological challenges or adapting materials. This empowers educators to support the student's progression in the face of unforeseen incidents (Dettmer et al., 2005). </w:t>
      </w:r>
    </w:p>
    <w:p w14:paraId="13DA8D8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427565F7"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lastRenderedPageBreak/>
        <w:t>Method Four: Collaboration with Additional Education Professionals </w:t>
      </w:r>
    </w:p>
    <w:p w14:paraId="70DC66F4" w14:textId="0BF6E2A8" w:rsidR="00E938AF" w:rsidRPr="00E938AF" w:rsidRDefault="00E938AF" w:rsidP="00D90664">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Collaboration with additional education professionals (ALNCO), including teachers, orientation and mobility specialists, and assistive technology experts, is crucial for creating an inclusive classroom environment (Giangreco et al., 2019). Specialised expertise can guide educators in developing effective strategies instead of applying specific assessments for learning strategies such as 'See Three Before Me' as this may not work or benefit some children with learning needs. </w:t>
      </w:r>
    </w:p>
    <w:p w14:paraId="52668B83"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Strengths and Limitations </w:t>
      </w:r>
    </w:p>
    <w:p w14:paraId="63E0E48C" w14:textId="72C78036" w:rsidR="00E938AF" w:rsidRPr="00E938AF" w:rsidRDefault="00E938AF" w:rsidP="00D90664">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Collaboration with ALNCO experts brings expertise and support to the classroom, leading to better outcomes for visually impaired students. However, not all schools have the funding or staff to have this luxury of training provided for confident children struggling in the classroom. </w:t>
      </w:r>
    </w:p>
    <w:p w14:paraId="45ACAB65"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Impact on the Progression of the Pupil </w:t>
      </w:r>
    </w:p>
    <w:p w14:paraId="0C38280C"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Collaboration or potential one-to-one support for Child E in future can guide on addressing incidents and challenges and be there continuously for the child so that future incidents like this would not happen to affect their learning, thus positively impacting the student's progression in the classroom (Pei-Chen and Chung, 2014). </w:t>
      </w:r>
    </w:p>
    <w:p w14:paraId="7C9CA664" w14:textId="5C8533E9" w:rsidR="00E938AF" w:rsidRDefault="00E938AF" w:rsidP="00D90664">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In cases where there is a lack of resources or support for visually impaired students within the school, educators should advocate for improved access to assistive technology, specialised training, and support services. Educators can be pivotal in advocating for inclusive education and fostering a more inclusive learning environment (Gorrell et al., 2015).</w:t>
      </w:r>
    </w:p>
    <w:p w14:paraId="1DF28183" w14:textId="77777777" w:rsidR="00D90664" w:rsidRPr="00E938AF" w:rsidRDefault="00D90664" w:rsidP="00D90664">
      <w:pPr>
        <w:pStyle w:val="NormalWeb"/>
        <w:spacing w:before="0" w:beforeAutospacing="0" w:after="0" w:afterAutospacing="0" w:line="480" w:lineRule="auto"/>
        <w:ind w:firstLine="284"/>
        <w:rPr>
          <w:rFonts w:ascii="Arial" w:hAnsi="Arial" w:cs="Arial"/>
          <w:color w:val="0E101A"/>
        </w:rPr>
      </w:pPr>
    </w:p>
    <w:p w14:paraId="20A8571F" w14:textId="1063A818"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In the case of the visually impaired student experiencing difficulties due to a malfunctioning assistive device, adopting proactive </w:t>
      </w:r>
      <w:r w:rsidR="005F4ABA" w:rsidRPr="00E938AF">
        <w:rPr>
          <w:rFonts w:ascii="Arial" w:hAnsi="Arial" w:cs="Arial"/>
          <w:color w:val="0E101A"/>
        </w:rPr>
        <w:t>teaching,</w:t>
      </w:r>
      <w:r w:rsidRPr="00E938AF">
        <w:rPr>
          <w:rFonts w:ascii="Arial" w:hAnsi="Arial" w:cs="Arial"/>
          <w:color w:val="0E101A"/>
        </w:rPr>
        <w:t xml:space="preserve"> and learning methods, </w:t>
      </w:r>
      <w:r w:rsidRPr="00E938AF">
        <w:rPr>
          <w:rFonts w:ascii="Arial" w:hAnsi="Arial" w:cs="Arial"/>
          <w:color w:val="0E101A"/>
        </w:rPr>
        <w:lastRenderedPageBreak/>
        <w:t>including accessible classroom materials, individualised learning plans, professional development opportunities, universal design for learning, and collaboration with exceptional education professionals, is essential. These strategies, informed by the literature, empower educators to create a more inclusive and supportive learning environment. They enable educators to address critical incidents effectively and provide equitable educational opportunities to visually impaired students, aligning with the principles of inclusive education.</w:t>
      </w:r>
    </w:p>
    <w:p w14:paraId="7522FF6C"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5AADD728" w14:textId="77777777" w:rsidR="00E938AF" w:rsidRPr="00D90664" w:rsidRDefault="00E938AF" w:rsidP="007622F1">
      <w:pPr>
        <w:pStyle w:val="NormalWeb"/>
        <w:spacing w:before="0" w:beforeAutospacing="0" w:after="0" w:afterAutospacing="0" w:line="480" w:lineRule="auto"/>
        <w:ind w:firstLine="284"/>
        <w:rPr>
          <w:rFonts w:ascii="Arial" w:hAnsi="Arial" w:cs="Arial"/>
          <w:b/>
          <w:bCs/>
          <w:color w:val="0E101A"/>
        </w:rPr>
      </w:pPr>
      <w:r w:rsidRPr="00D90664">
        <w:rPr>
          <w:rFonts w:ascii="Arial" w:hAnsi="Arial" w:cs="Arial"/>
          <w:b/>
          <w:bCs/>
          <w:color w:val="0E101A"/>
        </w:rPr>
        <w:t>Discussion</w:t>
      </w:r>
    </w:p>
    <w:p w14:paraId="5A23FC3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318F85E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critical incident observed in the Year Four classroom, where a visually impaired student (Child E) encountered difficulties with their Visual Impairment (VI) technology, provides significant insights into the implications for pedagogical choices, classroom practices, and broader school settings. This section will delve into what these findings mean for pedagogical choices, the classroom, and the school while drawing connections to the relevant literature.</w:t>
      </w:r>
    </w:p>
    <w:p w14:paraId="6A11948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3F7D2C62"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Implications for Pedagogical Choices </w:t>
      </w:r>
    </w:p>
    <w:p w14:paraId="401C7DCC"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The critical incident underscores the importance of adopting a flexible and inclusive approach to pedagogy. Educators must be prepared to cater to the diverse learning needs of their students, as highlighted in the literature on inclusive education (Florian &amp; Black-Hawkins, 2011). In the case of Child E, accessible classroom materials played a pivotal role in ensuring equitable access to learning content. This method, aligned with the Universal Design for Learning (UDL) framework (Rose &amp; Meyer, 2002), empowers educators to create accessible </w:t>
      </w:r>
      <w:r w:rsidRPr="00E938AF">
        <w:rPr>
          <w:rFonts w:ascii="Arial" w:hAnsi="Arial" w:cs="Arial"/>
          <w:color w:val="0E101A"/>
        </w:rPr>
        <w:lastRenderedPageBreak/>
        <w:t>materials for all students, including those with disabilities. To integrate this pedagogical choice effectively, educators must invest time and effort in producing accessible materials, embracing the principle that inclusivity should be at the core of their teaching practices.</w:t>
      </w:r>
    </w:p>
    <w:p w14:paraId="2012DEEB"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Additionally, professional development opportunities are essential to equip educators with the necessary knowledge and skills to address the technological challenges faced by students like Child E. The incident reinforces the literature's emphasis on teacher professional development (Ferrell &amp; McConnell, 2009) to create a supportive learning environment. Educators must actively seek opportunities for training and professional growth to address the needs of students with additional learning needs effectively.</w:t>
      </w:r>
    </w:p>
    <w:p w14:paraId="0EFE8EC1"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collaborative approach with additional education professionals, including special education teachers, orientation and mobility specialists, and assistive technology experts, is another critical pedagogical choice. This method, as discussed in the literature, ensures that students receive specialised support and guidance (Giangreco et al., 2019). Educators must advocate for improved access to these professionals within the school setting to ensure that students with disabilities receive the required support.</w:t>
      </w:r>
    </w:p>
    <w:p w14:paraId="56B72A20"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4BD7E750" w14:textId="77777777" w:rsidR="00E938AF" w:rsidRPr="00D90664" w:rsidRDefault="00E938AF" w:rsidP="007622F1">
      <w:pPr>
        <w:pStyle w:val="NormalWeb"/>
        <w:spacing w:before="0" w:beforeAutospacing="0" w:after="0" w:afterAutospacing="0" w:line="480" w:lineRule="auto"/>
        <w:ind w:firstLine="284"/>
        <w:rPr>
          <w:rFonts w:ascii="Arial" w:hAnsi="Arial" w:cs="Arial"/>
          <w:b/>
          <w:bCs/>
          <w:i/>
          <w:iCs/>
          <w:color w:val="0E101A"/>
        </w:rPr>
      </w:pPr>
      <w:r w:rsidRPr="00D90664">
        <w:rPr>
          <w:rFonts w:ascii="Arial" w:hAnsi="Arial" w:cs="Arial"/>
          <w:b/>
          <w:bCs/>
          <w:i/>
          <w:iCs/>
          <w:color w:val="0E101A"/>
        </w:rPr>
        <w:t>Implications for the Classroom and School </w:t>
      </w:r>
    </w:p>
    <w:p w14:paraId="34D1D229"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At the classroom level, the incident underscores the necessity of fostering an inclusive learning environment where students feel a sense of belonging and are provided the support they need (Ainscow, 2005). Educators are pivotal in creating this environment, ensuring students like Child E can participate actively. Accessible classroom materials, as a pedagogical choice, promote independence and belonging </w:t>
      </w:r>
      <w:r w:rsidRPr="00E938AF">
        <w:rPr>
          <w:rFonts w:ascii="Arial" w:hAnsi="Arial" w:cs="Arial"/>
          <w:color w:val="0E101A"/>
        </w:rPr>
        <w:lastRenderedPageBreak/>
        <w:t>(Holbrook, 2014), ultimately leading to a more inclusive classroom where all students can access information effectively.</w:t>
      </w:r>
    </w:p>
    <w:p w14:paraId="7078508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use of UDL principles further strengthens the inclusive classroom setting by providing multiple means of representation, engagement, and expression (Rose &amp; Meyer, 2002). This pedagogical choice aligns with the literature's emphasis on accommodating diverse learning preferences and needs. It empowers educators to proactively address barriers to learning, ensuring that incidents like Child E's struggle with VI technology do not hinder a student's engagement or participation.</w:t>
      </w:r>
    </w:p>
    <w:p w14:paraId="52B61885"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At the school level, there is a need to advocate for allocating resources and support for visually impaired students and students with additional learning needs. Collaboration with additional education professionals is integral to this process (Gorrell et al., 2015). School leaders must recognise the importance of these professionals in creating an inclusive learning environment and allocate the necessary resources to ensure their presence within the school.</w:t>
      </w:r>
    </w:p>
    <w:p w14:paraId="2ED7791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1B4E1C5D"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The findings from this critical incident align closely with the literature on inclusive education, pedagogical strategies, and the importance of creating an inclusive classroom and school environment. The incident highlights the significance of accessible classroom materials and their role in promoting independence and inclusivity (Florian &amp; Black-Hawkins, 2011; Holbrook, 2014). It underscores the need for teacher professional development, as emphasised in the literature, to address the technological challenges faced by students with disabilities effectively (Ferrell &amp; McConnell, 2009). The adoption of UDL principles reflects the literature's emphasis on accommodating diverse learning preferences and needs, ensuring that all students can access information effectively (Rose &amp; Meyer, 2002). Collaborating with </w:t>
      </w:r>
      <w:r w:rsidRPr="00E938AF">
        <w:rPr>
          <w:rFonts w:ascii="Arial" w:hAnsi="Arial" w:cs="Arial"/>
          <w:color w:val="0E101A"/>
        </w:rPr>
        <w:lastRenderedPageBreak/>
        <w:t>additional education professionals aligns with the literature on creating an inclusive learning environment through specialised support and guidance (Giangreco et al., 2019).</w:t>
      </w:r>
    </w:p>
    <w:p w14:paraId="1EA2D28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67748952" w14:textId="77777777" w:rsidR="00E938AF" w:rsidRPr="001D4E36" w:rsidRDefault="00E938AF" w:rsidP="007622F1">
      <w:pPr>
        <w:pStyle w:val="NormalWeb"/>
        <w:spacing w:before="0" w:beforeAutospacing="0" w:after="0" w:afterAutospacing="0" w:line="480" w:lineRule="auto"/>
        <w:ind w:firstLine="284"/>
        <w:rPr>
          <w:rFonts w:ascii="Arial" w:hAnsi="Arial" w:cs="Arial"/>
          <w:b/>
          <w:bCs/>
          <w:color w:val="0E101A"/>
        </w:rPr>
      </w:pPr>
      <w:r w:rsidRPr="001D4E36">
        <w:rPr>
          <w:rFonts w:ascii="Arial" w:hAnsi="Arial" w:cs="Arial"/>
          <w:b/>
          <w:bCs/>
          <w:color w:val="0E101A"/>
        </w:rPr>
        <w:t>Conclusions and Recommendations </w:t>
      </w:r>
    </w:p>
    <w:p w14:paraId="7CC4F2AA"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2A9E68D5"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preparation and execution of this case study have provided a deeper understanding of the impact and validity of various teaching and learning pedagogies in inclusive education. The incident involving Child E's struggle with VI technology highlighted the critical role of accessible classroom materials, Universal Design for Learning (UDL), professional development opportunities, and collaboration with additional education professionals. These methods have been examined and found to be highly impactful within the context, aligning with the principles of inclusive education (Florian &amp; Black-Hawkins, 2011).</w:t>
      </w:r>
    </w:p>
    <w:p w14:paraId="1A287DA3"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1E6889EB"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validity of these methods is supported by existing literature, such as the emphasis on accommodating diverse learning needs (Rose &amp; Meyer, 2002) and the importance of teacher professional development (Ferrell &amp; McConnell, 2009). The critical incident methodology has allowed for a direct application of these methods in a real-world scenario, confirming their validity in addressing the diverse needs of students with disabilities.</w:t>
      </w:r>
    </w:p>
    <w:p w14:paraId="2B7FBC96"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5E729384"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The understanding gained from this case study has significantly impacted my comprehension of theories of learning and child development. It has reinforced the significance of differentiation, constructivism, sociocultural theory, self-determination </w:t>
      </w:r>
      <w:r w:rsidRPr="00E938AF">
        <w:rPr>
          <w:rFonts w:ascii="Arial" w:hAnsi="Arial" w:cs="Arial"/>
          <w:color w:val="0E101A"/>
        </w:rPr>
        <w:lastRenderedPageBreak/>
        <w:t>theory, and operant conditioning in creating an inclusive and supportive learning environment. These theoretical foundations have enhanced my understanding of how students with additional learning needs can benefit from tailored teaching approaches and support.</w:t>
      </w:r>
    </w:p>
    <w:p w14:paraId="6C9224AA"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3D95754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On a practical level, this understanding will influence my practice in schools by promoting the use of accessible classroom materials, the adoption of UDL principles, active engagement in professional development opportunities, and collaboration with additional education professionals. These practices will ensure that students with disabilities, like Child E, have equal access to education and the necessary support to overcome barriers and progress effectively.</w:t>
      </w:r>
    </w:p>
    <w:p w14:paraId="29C23297"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p>
    <w:p w14:paraId="1A1B8AFF" w14:textId="77777777" w:rsidR="00E938AF" w:rsidRPr="00E938AF" w:rsidRDefault="00E938AF" w:rsidP="007622F1">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The link to the Professional Standards is evident, particularly in the emphasis on creating an inclusive learning environment, fostering resilience and emotional well-being, and promoting problem-solving, effective communication, and empathy among students (GovWales, 2015). The methods and practices discussed align with these standards and provide a framework for educators to enhance their teaching and support students with diverse needs.</w:t>
      </w:r>
    </w:p>
    <w:p w14:paraId="2B0B3ED8" w14:textId="3BC507BA" w:rsidR="00E45224" w:rsidRPr="009627CB" w:rsidRDefault="00E938AF" w:rsidP="009627CB">
      <w:pPr>
        <w:pStyle w:val="NormalWeb"/>
        <w:spacing w:before="0" w:beforeAutospacing="0" w:after="0" w:afterAutospacing="0" w:line="480" w:lineRule="auto"/>
        <w:ind w:firstLine="284"/>
        <w:rPr>
          <w:rFonts w:ascii="Arial" w:hAnsi="Arial" w:cs="Arial"/>
          <w:color w:val="0E101A"/>
        </w:rPr>
      </w:pPr>
      <w:r w:rsidRPr="00E938AF">
        <w:rPr>
          <w:rFonts w:ascii="Arial" w:hAnsi="Arial" w:cs="Arial"/>
          <w:color w:val="0E101A"/>
        </w:rPr>
        <w:t xml:space="preserve">In conclusion, the case study has not only shed light on the impact and validity of various teaching and learning pedagogies but also deepened my understanding of theories of learning and child development. It has </w:t>
      </w:r>
      <w:r w:rsidR="001D4E36" w:rsidRPr="00E938AF">
        <w:rPr>
          <w:rFonts w:ascii="Arial" w:hAnsi="Arial" w:cs="Arial"/>
          <w:color w:val="0E101A"/>
        </w:rPr>
        <w:t>provided</w:t>
      </w:r>
      <w:r w:rsidR="001D4E36">
        <w:rPr>
          <w:rFonts w:ascii="Arial" w:hAnsi="Arial" w:cs="Arial"/>
          <w:color w:val="0E101A"/>
        </w:rPr>
        <w:t xml:space="preserve"> </w:t>
      </w:r>
      <w:r w:rsidRPr="00E938AF">
        <w:rPr>
          <w:rFonts w:ascii="Arial" w:hAnsi="Arial" w:cs="Arial"/>
          <w:color w:val="0E101A"/>
        </w:rPr>
        <w:t>a practical roadmap for implementing inclusive education practices,</w:t>
      </w:r>
      <w:r w:rsidR="001D4E36">
        <w:rPr>
          <w:rFonts w:ascii="Arial" w:hAnsi="Arial" w:cs="Arial"/>
          <w:color w:val="0E101A"/>
        </w:rPr>
        <w:t xml:space="preserve"> </w:t>
      </w:r>
      <w:r w:rsidRPr="00E938AF">
        <w:rPr>
          <w:rFonts w:ascii="Arial" w:hAnsi="Arial" w:cs="Arial"/>
          <w:color w:val="0E101A"/>
        </w:rPr>
        <w:t>connecting directly to the Professional Standards, and</w:t>
      </w:r>
      <w:r w:rsidR="001D4E36">
        <w:rPr>
          <w:rFonts w:ascii="Arial" w:hAnsi="Arial" w:cs="Arial"/>
          <w:color w:val="0E101A"/>
        </w:rPr>
        <w:t xml:space="preserve"> </w:t>
      </w:r>
      <w:r w:rsidRPr="00E938AF">
        <w:rPr>
          <w:rFonts w:ascii="Arial" w:hAnsi="Arial" w:cs="Arial"/>
          <w:color w:val="0E101A"/>
        </w:rPr>
        <w:t>paving the way for more inclusive and equitable educational experiences for all student</w:t>
      </w:r>
      <w:r w:rsidR="009627CB">
        <w:rPr>
          <w:rFonts w:ascii="Arial" w:hAnsi="Arial" w:cs="Arial"/>
          <w:color w:val="0E101A"/>
        </w:rPr>
        <w:t xml:space="preserve">s. </w:t>
      </w:r>
    </w:p>
    <w:p w14:paraId="063CCA41" w14:textId="77777777" w:rsidR="00E45224" w:rsidRDefault="00E45224" w:rsidP="006054C9">
      <w:pPr>
        <w:spacing w:line="360" w:lineRule="auto"/>
        <w:ind w:firstLine="720"/>
        <w:rPr>
          <w:rFonts w:ascii="Arial" w:hAnsi="Arial" w:cs="Arial"/>
          <w:sz w:val="23"/>
          <w:szCs w:val="23"/>
        </w:rPr>
      </w:pPr>
    </w:p>
    <w:p w14:paraId="42449D43" w14:textId="77777777" w:rsidR="00E45224" w:rsidRDefault="00E45224" w:rsidP="006054C9">
      <w:pPr>
        <w:spacing w:line="360" w:lineRule="auto"/>
        <w:ind w:firstLine="720"/>
        <w:rPr>
          <w:rFonts w:ascii="Arial" w:hAnsi="Arial" w:cs="Arial"/>
          <w:sz w:val="23"/>
          <w:szCs w:val="23"/>
        </w:rPr>
      </w:pPr>
    </w:p>
    <w:p w14:paraId="57D3CD3C" w14:textId="27E51085" w:rsidR="00A926E3" w:rsidRDefault="00A926E3" w:rsidP="00102397">
      <w:pPr>
        <w:spacing w:line="360" w:lineRule="auto"/>
        <w:ind w:firstLine="720"/>
        <w:rPr>
          <w:rFonts w:ascii="Arial" w:hAnsi="Arial" w:cs="Arial"/>
          <w:b/>
          <w:bCs/>
          <w:sz w:val="23"/>
          <w:szCs w:val="23"/>
        </w:rPr>
      </w:pPr>
      <w:r>
        <w:rPr>
          <w:rFonts w:ascii="Arial" w:hAnsi="Arial" w:cs="Arial"/>
          <w:b/>
          <w:bCs/>
          <w:sz w:val="23"/>
          <w:szCs w:val="23"/>
        </w:rPr>
        <w:lastRenderedPageBreak/>
        <w:t xml:space="preserve">Appendices </w:t>
      </w:r>
    </w:p>
    <w:p w14:paraId="374D1A04" w14:textId="3FEE350C" w:rsidR="00E45224" w:rsidRDefault="000D6061" w:rsidP="00102397">
      <w:pPr>
        <w:spacing w:line="360" w:lineRule="auto"/>
        <w:ind w:firstLine="720"/>
        <w:rPr>
          <w:rFonts w:ascii="Arial" w:hAnsi="Arial" w:cs="Arial"/>
          <w:b/>
          <w:bCs/>
          <w:sz w:val="23"/>
          <w:szCs w:val="23"/>
        </w:rPr>
      </w:pPr>
      <w:r>
        <w:rPr>
          <w:rFonts w:ascii="Arial" w:hAnsi="Arial" w:cs="Arial"/>
          <w:b/>
          <w:bCs/>
          <w:noProof/>
          <w:sz w:val="23"/>
          <w:szCs w:val="23"/>
        </w:rPr>
        <w:drawing>
          <wp:inline distT="0" distB="0" distL="0" distR="0" wp14:anchorId="33DC167D" wp14:editId="7EDCAFCE">
            <wp:extent cx="5732780" cy="8356256"/>
            <wp:effectExtent l="0" t="0" r="0" b="635"/>
            <wp:docPr id="39659280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92800" name="Picture 1" descr="A close-up of a questionnair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44832" cy="8373823"/>
                    </a:xfrm>
                    <a:prstGeom prst="rect">
                      <a:avLst/>
                    </a:prstGeom>
                  </pic:spPr>
                </pic:pic>
              </a:graphicData>
            </a:graphic>
          </wp:inline>
        </w:drawing>
      </w:r>
    </w:p>
    <w:p w14:paraId="2886A56D" w14:textId="77777777" w:rsidR="00E45224" w:rsidRDefault="00E45224" w:rsidP="006A1397">
      <w:pPr>
        <w:spacing w:line="360" w:lineRule="auto"/>
        <w:ind w:firstLine="720"/>
        <w:jc w:val="center"/>
        <w:rPr>
          <w:rFonts w:ascii="Arial" w:hAnsi="Arial" w:cs="Arial"/>
          <w:b/>
          <w:bCs/>
          <w:sz w:val="23"/>
          <w:szCs w:val="23"/>
        </w:rPr>
      </w:pPr>
    </w:p>
    <w:p w14:paraId="03112A23" w14:textId="0670F167" w:rsidR="006A1397" w:rsidRPr="006A1397" w:rsidRDefault="006A1397" w:rsidP="009627CB">
      <w:pPr>
        <w:spacing w:line="480" w:lineRule="auto"/>
        <w:ind w:firstLine="284"/>
        <w:rPr>
          <w:rFonts w:ascii="Arial" w:hAnsi="Arial" w:cs="Arial"/>
          <w:b/>
          <w:bCs/>
          <w:sz w:val="23"/>
          <w:szCs w:val="23"/>
        </w:rPr>
      </w:pPr>
      <w:r w:rsidRPr="006A1397">
        <w:rPr>
          <w:rFonts w:ascii="Arial" w:hAnsi="Arial" w:cs="Arial"/>
          <w:b/>
          <w:bCs/>
          <w:sz w:val="23"/>
          <w:szCs w:val="23"/>
        </w:rPr>
        <w:lastRenderedPageBreak/>
        <w:t>Reference</w:t>
      </w:r>
      <w:r w:rsidR="00C04874">
        <w:rPr>
          <w:rFonts w:ascii="Arial" w:hAnsi="Arial" w:cs="Arial"/>
          <w:b/>
          <w:bCs/>
          <w:sz w:val="23"/>
          <w:szCs w:val="23"/>
        </w:rPr>
        <w:t xml:space="preserve"> List </w:t>
      </w:r>
    </w:p>
    <w:p w14:paraId="1CBE9373" w14:textId="77777777" w:rsidR="00B96E28" w:rsidRDefault="00B96E28" w:rsidP="009627CB">
      <w:pPr>
        <w:spacing w:line="480" w:lineRule="auto"/>
        <w:ind w:firstLine="284"/>
        <w:rPr>
          <w:rFonts w:ascii="Arial" w:hAnsi="Arial" w:cs="Arial"/>
          <w:sz w:val="23"/>
          <w:szCs w:val="23"/>
        </w:rPr>
      </w:pPr>
    </w:p>
    <w:p w14:paraId="1893F1D6" w14:textId="77777777" w:rsidR="00133A31" w:rsidRDefault="00133A31" w:rsidP="009627CB">
      <w:pPr>
        <w:pStyle w:val="NormalWeb"/>
        <w:spacing w:before="0" w:beforeAutospacing="0" w:after="240" w:afterAutospacing="0" w:line="480" w:lineRule="auto"/>
        <w:ind w:firstLine="284"/>
        <w:rPr>
          <w:color w:val="000000"/>
        </w:rPr>
      </w:pPr>
      <w:r>
        <w:rPr>
          <w:color w:val="000000"/>
        </w:rPr>
        <w:t>Ainscow, M., Dyson, A., Goldrick, S. and West, M. (2013).</w:t>
      </w:r>
      <w:r>
        <w:rPr>
          <w:rStyle w:val="apple-converted-space"/>
          <w:rFonts w:eastAsiaTheme="minorEastAsia"/>
          <w:color w:val="000000"/>
        </w:rPr>
        <w:t> </w:t>
      </w:r>
      <w:r>
        <w:rPr>
          <w:i/>
          <w:iCs/>
          <w:color w:val="000000"/>
        </w:rPr>
        <w:t>Developing Equitable Education Systems</w:t>
      </w:r>
      <w:r>
        <w:rPr>
          <w:color w:val="000000"/>
        </w:rPr>
        <w:t>. Routledge.</w:t>
      </w:r>
    </w:p>
    <w:p w14:paraId="7EB16E9D" w14:textId="77777777" w:rsidR="00133A31" w:rsidRDefault="00133A31" w:rsidP="009627CB">
      <w:pPr>
        <w:pStyle w:val="NormalWeb"/>
        <w:spacing w:before="0" w:beforeAutospacing="0" w:after="240" w:afterAutospacing="0" w:line="480" w:lineRule="auto"/>
        <w:ind w:firstLine="284"/>
        <w:rPr>
          <w:color w:val="000000"/>
        </w:rPr>
      </w:pPr>
      <w:r>
        <w:rPr>
          <w:color w:val="000000"/>
        </w:rPr>
        <w:t>Bakken, J.P. and Obiakor, F.E. (2023).</w:t>
      </w:r>
      <w:r>
        <w:rPr>
          <w:rStyle w:val="apple-converted-space"/>
          <w:rFonts w:eastAsiaTheme="minorEastAsia"/>
          <w:color w:val="000000"/>
        </w:rPr>
        <w:t> </w:t>
      </w:r>
      <w:r>
        <w:rPr>
          <w:i/>
          <w:iCs/>
          <w:color w:val="000000"/>
        </w:rPr>
        <w:t>Using Technology to Enhance Special Education</w:t>
      </w:r>
      <w:r>
        <w:rPr>
          <w:color w:val="000000"/>
        </w:rPr>
        <w:t>. Emerald Group Publishing.</w:t>
      </w:r>
    </w:p>
    <w:p w14:paraId="77ED6EFF" w14:textId="4ACAAE3F" w:rsidR="00133A31" w:rsidRDefault="00133A31" w:rsidP="009627CB">
      <w:pPr>
        <w:pStyle w:val="NormalWeb"/>
        <w:spacing w:before="0" w:beforeAutospacing="0" w:after="240" w:afterAutospacing="0" w:line="480" w:lineRule="auto"/>
        <w:ind w:firstLine="284"/>
        <w:rPr>
          <w:color w:val="000000"/>
        </w:rPr>
      </w:pPr>
      <w:r>
        <w:rPr>
          <w:color w:val="000000"/>
        </w:rPr>
        <w:t>Banks, J.A. and Mcgee, C.A. (2010).</w:t>
      </w:r>
      <w:r>
        <w:rPr>
          <w:rStyle w:val="apple-converted-space"/>
          <w:rFonts w:eastAsiaTheme="minorEastAsia"/>
          <w:color w:val="000000"/>
        </w:rPr>
        <w:t> </w:t>
      </w:r>
      <w:r>
        <w:rPr>
          <w:i/>
          <w:iCs/>
          <w:color w:val="000000"/>
        </w:rPr>
        <w:t xml:space="preserve">Multicultural </w:t>
      </w:r>
      <w:r w:rsidR="00A926E3">
        <w:rPr>
          <w:i/>
          <w:iCs/>
          <w:color w:val="000000"/>
        </w:rPr>
        <w:t>education:</w:t>
      </w:r>
      <w:r>
        <w:rPr>
          <w:i/>
          <w:iCs/>
          <w:color w:val="000000"/>
        </w:rPr>
        <w:t xml:space="preserve"> Issues and perspectives</w:t>
      </w:r>
      <w:r>
        <w:rPr>
          <w:color w:val="000000"/>
        </w:rPr>
        <w:t>. Hoboken, N.J.: Wiley.</w:t>
      </w:r>
    </w:p>
    <w:p w14:paraId="6AC8377A" w14:textId="57BA1F80" w:rsidR="00133A31" w:rsidRDefault="00133A31" w:rsidP="009627CB">
      <w:pPr>
        <w:pStyle w:val="NormalWeb"/>
        <w:spacing w:before="0" w:beforeAutospacing="0" w:after="240" w:afterAutospacing="0" w:line="480" w:lineRule="auto"/>
        <w:ind w:firstLine="284"/>
        <w:rPr>
          <w:color w:val="000000"/>
        </w:rPr>
      </w:pPr>
      <w:r>
        <w:rPr>
          <w:color w:val="000000"/>
        </w:rPr>
        <w:t>Booth, T. and Ainscow, M. (2011).</w:t>
      </w:r>
      <w:r>
        <w:rPr>
          <w:rStyle w:val="apple-converted-space"/>
          <w:rFonts w:eastAsiaTheme="minorEastAsia"/>
          <w:color w:val="000000"/>
        </w:rPr>
        <w:t> </w:t>
      </w:r>
      <w:r>
        <w:rPr>
          <w:i/>
          <w:iCs/>
          <w:color w:val="000000"/>
        </w:rPr>
        <w:t xml:space="preserve">Index for </w:t>
      </w:r>
      <w:r w:rsidR="00A926E3">
        <w:rPr>
          <w:i/>
          <w:iCs/>
          <w:color w:val="000000"/>
        </w:rPr>
        <w:t>inclusion:</w:t>
      </w:r>
      <w:r>
        <w:rPr>
          <w:i/>
          <w:iCs/>
          <w:color w:val="000000"/>
        </w:rPr>
        <w:t xml:space="preserve"> developing learning and participation in schools.</w:t>
      </w:r>
      <w:r>
        <w:rPr>
          <w:color w:val="000000"/>
        </w:rPr>
        <w:t xml:space="preserve">3rd ed. Bristol: Centre </w:t>
      </w:r>
      <w:r w:rsidR="00A926E3">
        <w:rPr>
          <w:color w:val="000000"/>
        </w:rPr>
        <w:t>for</w:t>
      </w:r>
      <w:r>
        <w:rPr>
          <w:color w:val="000000"/>
        </w:rPr>
        <w:t xml:space="preserve"> Studies </w:t>
      </w:r>
      <w:r w:rsidR="00024D5E">
        <w:rPr>
          <w:color w:val="000000"/>
        </w:rPr>
        <w:t>on</w:t>
      </w:r>
      <w:r>
        <w:rPr>
          <w:color w:val="000000"/>
        </w:rPr>
        <w:t xml:space="preserve"> Inclusive Education.</w:t>
      </w:r>
    </w:p>
    <w:p w14:paraId="1E05337E" w14:textId="77777777" w:rsidR="00133A31" w:rsidRDefault="00133A31" w:rsidP="009627CB">
      <w:pPr>
        <w:pStyle w:val="NormalWeb"/>
        <w:spacing w:before="0" w:beforeAutospacing="0" w:after="240" w:afterAutospacing="0" w:line="480" w:lineRule="auto"/>
        <w:ind w:firstLine="284"/>
        <w:rPr>
          <w:color w:val="000000"/>
        </w:rPr>
      </w:pPr>
      <w:r>
        <w:rPr>
          <w:color w:val="000000"/>
        </w:rPr>
        <w:t>Boyle, C. and Allen, K.-A. (2022).</w:t>
      </w:r>
      <w:r>
        <w:rPr>
          <w:rStyle w:val="apple-converted-space"/>
          <w:rFonts w:eastAsiaTheme="minorEastAsia"/>
          <w:color w:val="000000"/>
        </w:rPr>
        <w:t> </w:t>
      </w:r>
      <w:r>
        <w:rPr>
          <w:i/>
          <w:iCs/>
          <w:color w:val="000000"/>
        </w:rPr>
        <w:t>Research for Inclusive Quality Education</w:t>
      </w:r>
      <w:r>
        <w:rPr>
          <w:color w:val="000000"/>
        </w:rPr>
        <w:t>. Springer Nature.</w:t>
      </w:r>
    </w:p>
    <w:p w14:paraId="4895191A" w14:textId="24A3FB3E" w:rsidR="00133A31" w:rsidRDefault="00133A31" w:rsidP="009627CB">
      <w:pPr>
        <w:pStyle w:val="NormalWeb"/>
        <w:spacing w:before="0" w:beforeAutospacing="0" w:after="240" w:afterAutospacing="0" w:line="480" w:lineRule="auto"/>
        <w:ind w:firstLine="284"/>
        <w:rPr>
          <w:color w:val="000000"/>
        </w:rPr>
      </w:pPr>
      <w:r>
        <w:rPr>
          <w:color w:val="000000"/>
        </w:rPr>
        <w:t xml:space="preserve">British Educational Research Association and Universities Council </w:t>
      </w:r>
      <w:r w:rsidR="00A926E3">
        <w:rPr>
          <w:color w:val="000000"/>
        </w:rPr>
        <w:t>for</w:t>
      </w:r>
      <w:r>
        <w:rPr>
          <w:color w:val="000000"/>
        </w:rPr>
        <w:t xml:space="preserve"> The Education </w:t>
      </w:r>
      <w:r w:rsidR="00024D5E">
        <w:rPr>
          <w:color w:val="000000"/>
        </w:rPr>
        <w:t>of</w:t>
      </w:r>
      <w:r>
        <w:rPr>
          <w:color w:val="000000"/>
        </w:rPr>
        <w:t xml:space="preserve"> Teachers (Great Britain (2010).</w:t>
      </w:r>
      <w:r>
        <w:rPr>
          <w:rStyle w:val="apple-converted-space"/>
          <w:rFonts w:eastAsiaTheme="minorEastAsia"/>
          <w:color w:val="000000"/>
        </w:rPr>
        <w:t> </w:t>
      </w:r>
      <w:r>
        <w:rPr>
          <w:i/>
          <w:iCs/>
          <w:color w:val="000000"/>
        </w:rPr>
        <w:t>The BERA</w:t>
      </w:r>
      <w:r>
        <w:rPr>
          <w:color w:val="000000"/>
        </w:rPr>
        <w:t>. London: Bera.</w:t>
      </w:r>
    </w:p>
    <w:p w14:paraId="1AF0DA5B" w14:textId="77777777" w:rsidR="00133A31" w:rsidRDefault="00133A31" w:rsidP="009627CB">
      <w:pPr>
        <w:pStyle w:val="NormalWeb"/>
        <w:spacing w:before="0" w:beforeAutospacing="0" w:after="240" w:afterAutospacing="0" w:line="480" w:lineRule="auto"/>
        <w:ind w:firstLine="284"/>
        <w:rPr>
          <w:color w:val="000000"/>
        </w:rPr>
      </w:pPr>
      <w:r>
        <w:rPr>
          <w:color w:val="000000"/>
        </w:rPr>
        <w:t>Brookfield, S. (2017).</w:t>
      </w:r>
      <w:r>
        <w:rPr>
          <w:rStyle w:val="apple-converted-space"/>
          <w:rFonts w:eastAsiaTheme="minorEastAsia"/>
          <w:color w:val="000000"/>
        </w:rPr>
        <w:t> </w:t>
      </w:r>
      <w:r>
        <w:rPr>
          <w:i/>
          <w:iCs/>
          <w:color w:val="000000"/>
        </w:rPr>
        <w:t>Becoming a Critically Reflective Teacher</w:t>
      </w:r>
      <w:r>
        <w:rPr>
          <w:color w:val="000000"/>
        </w:rPr>
        <w:t>. 2nd ed. San Francisco: Jossey-Bass.</w:t>
      </w:r>
    </w:p>
    <w:p w14:paraId="24F59BB8" w14:textId="77777777" w:rsidR="00133A31" w:rsidRDefault="00133A31" w:rsidP="009627CB">
      <w:pPr>
        <w:pStyle w:val="NormalWeb"/>
        <w:spacing w:before="0" w:beforeAutospacing="0" w:after="240" w:afterAutospacing="0" w:line="480" w:lineRule="auto"/>
        <w:ind w:firstLine="284"/>
        <w:rPr>
          <w:color w:val="000000"/>
        </w:rPr>
      </w:pPr>
      <w:r>
        <w:rPr>
          <w:color w:val="000000"/>
        </w:rPr>
        <w:t>David Howard Rose, Meyer, A., Strangman, N. and Rappolt, G. (2002).</w:t>
      </w:r>
      <w:r>
        <w:rPr>
          <w:rStyle w:val="apple-converted-space"/>
          <w:rFonts w:eastAsiaTheme="minorEastAsia"/>
          <w:color w:val="000000"/>
        </w:rPr>
        <w:t> </w:t>
      </w:r>
      <w:r>
        <w:rPr>
          <w:i/>
          <w:iCs/>
          <w:color w:val="000000"/>
        </w:rPr>
        <w:t>Teaching Every Student in the Digital Age</w:t>
      </w:r>
      <w:r>
        <w:rPr>
          <w:color w:val="000000"/>
        </w:rPr>
        <w:t>.</w:t>
      </w:r>
    </w:p>
    <w:p w14:paraId="7D63A055" w14:textId="77777777" w:rsidR="00133A31" w:rsidRDefault="00133A31" w:rsidP="009627CB">
      <w:pPr>
        <w:pStyle w:val="NormalWeb"/>
        <w:spacing w:before="0" w:beforeAutospacing="0" w:after="240" w:afterAutospacing="0" w:line="480" w:lineRule="auto"/>
        <w:ind w:firstLine="284"/>
        <w:rPr>
          <w:color w:val="000000"/>
        </w:rPr>
      </w:pPr>
      <w:r>
        <w:rPr>
          <w:color w:val="000000"/>
        </w:rPr>
        <w:t>Gordon, D., Meyer, A. and Rose, D. (2016).</w:t>
      </w:r>
      <w:r>
        <w:rPr>
          <w:rStyle w:val="apple-converted-space"/>
          <w:rFonts w:eastAsiaTheme="minorEastAsia"/>
          <w:color w:val="000000"/>
        </w:rPr>
        <w:t> </w:t>
      </w:r>
      <w:r>
        <w:rPr>
          <w:i/>
          <w:iCs/>
          <w:color w:val="000000"/>
        </w:rPr>
        <w:t>Universal Design for Learning.</w:t>
      </w:r>
      <w:r>
        <w:rPr>
          <w:rStyle w:val="apple-converted-space"/>
          <w:rFonts w:eastAsiaTheme="minorEastAsia"/>
          <w:color w:val="000000"/>
        </w:rPr>
        <w:t> </w:t>
      </w:r>
      <w:r>
        <w:rPr>
          <w:color w:val="000000"/>
        </w:rPr>
        <w:t>Peabody: Cast Professional Publishing.</w:t>
      </w:r>
    </w:p>
    <w:p w14:paraId="720AC973" w14:textId="77777777" w:rsidR="00133A31" w:rsidRDefault="00133A31" w:rsidP="009627CB">
      <w:pPr>
        <w:pStyle w:val="NormalWeb"/>
        <w:spacing w:before="0" w:beforeAutospacing="0" w:after="240" w:afterAutospacing="0" w:line="480" w:lineRule="auto"/>
        <w:ind w:firstLine="284"/>
        <w:rPr>
          <w:color w:val="000000"/>
        </w:rPr>
      </w:pPr>
      <w:r>
        <w:rPr>
          <w:color w:val="000000"/>
        </w:rPr>
        <w:lastRenderedPageBreak/>
        <w:t>Hersh, M.A. and Johnson, M.A. (2008).</w:t>
      </w:r>
      <w:r>
        <w:rPr>
          <w:rStyle w:val="apple-converted-space"/>
          <w:rFonts w:eastAsiaTheme="minorEastAsia"/>
          <w:color w:val="000000"/>
        </w:rPr>
        <w:t> </w:t>
      </w:r>
      <w:r>
        <w:rPr>
          <w:i/>
          <w:iCs/>
          <w:color w:val="000000"/>
        </w:rPr>
        <w:t>Assistive technology for visually impaired and blind people</w:t>
      </w:r>
      <w:r>
        <w:rPr>
          <w:color w:val="000000"/>
        </w:rPr>
        <w:t>. Londres (Inglaterra) Springer - Verlag London Limited.</w:t>
      </w:r>
    </w:p>
    <w:p w14:paraId="22DF2243" w14:textId="77777777" w:rsidR="00133A31" w:rsidRDefault="00133A31" w:rsidP="009627CB">
      <w:pPr>
        <w:pStyle w:val="NormalWeb"/>
        <w:spacing w:before="0" w:beforeAutospacing="0" w:after="240" w:afterAutospacing="0" w:line="480" w:lineRule="auto"/>
        <w:ind w:firstLine="284"/>
        <w:rPr>
          <w:color w:val="000000"/>
        </w:rPr>
      </w:pPr>
      <w:r>
        <w:rPr>
          <w:color w:val="000000"/>
        </w:rPr>
        <w:t>Kauffman, J.M., Hallahan, D.P. and Pullen, P.C. (2017).</w:t>
      </w:r>
      <w:r>
        <w:rPr>
          <w:rStyle w:val="apple-converted-space"/>
          <w:rFonts w:eastAsiaTheme="minorEastAsia"/>
          <w:color w:val="000000"/>
        </w:rPr>
        <w:t> </w:t>
      </w:r>
      <w:r>
        <w:rPr>
          <w:i/>
          <w:iCs/>
          <w:color w:val="000000"/>
        </w:rPr>
        <w:t>Handbook of Special Education</w:t>
      </w:r>
      <w:r>
        <w:rPr>
          <w:color w:val="000000"/>
        </w:rPr>
        <w:t>. Milton: Taylor and Francis.</w:t>
      </w:r>
    </w:p>
    <w:p w14:paraId="653223F4" w14:textId="77777777" w:rsidR="00133A31" w:rsidRDefault="00133A31" w:rsidP="009627CB">
      <w:pPr>
        <w:pStyle w:val="NormalWeb"/>
        <w:spacing w:before="0" w:beforeAutospacing="0" w:after="240" w:afterAutospacing="0" w:line="480" w:lineRule="auto"/>
        <w:ind w:firstLine="284"/>
        <w:rPr>
          <w:color w:val="000000"/>
        </w:rPr>
      </w:pPr>
      <w:r>
        <w:rPr>
          <w:color w:val="000000"/>
        </w:rPr>
        <w:t>Kitano, M. (2008).</w:t>
      </w:r>
      <w:r>
        <w:rPr>
          <w:rStyle w:val="apple-converted-space"/>
          <w:rFonts w:eastAsiaTheme="minorEastAsia"/>
          <w:color w:val="000000"/>
        </w:rPr>
        <w:t> </w:t>
      </w:r>
      <w:r>
        <w:rPr>
          <w:i/>
          <w:iCs/>
          <w:color w:val="000000"/>
        </w:rPr>
        <w:t>Using the National Gifted Education Standards for PreK-12 Professional Development</w:t>
      </w:r>
      <w:r>
        <w:rPr>
          <w:color w:val="000000"/>
        </w:rPr>
        <w:t>. Corwin Press.</w:t>
      </w:r>
    </w:p>
    <w:p w14:paraId="4F9A29A5" w14:textId="50FDDCF6" w:rsidR="00133A31" w:rsidRDefault="00133A31" w:rsidP="009627CB">
      <w:pPr>
        <w:pStyle w:val="NormalWeb"/>
        <w:spacing w:before="0" w:beforeAutospacing="0" w:after="240" w:afterAutospacing="0" w:line="480" w:lineRule="auto"/>
        <w:ind w:firstLine="284"/>
        <w:rPr>
          <w:color w:val="000000"/>
        </w:rPr>
      </w:pPr>
      <w:r>
        <w:rPr>
          <w:color w:val="000000"/>
        </w:rPr>
        <w:t>Kong, S.-C. and Abelson, H. (2019).</w:t>
      </w:r>
      <w:r>
        <w:rPr>
          <w:rStyle w:val="apple-converted-space"/>
          <w:rFonts w:eastAsiaTheme="minorEastAsia"/>
          <w:color w:val="000000"/>
        </w:rPr>
        <w:t> </w:t>
      </w:r>
      <w:r>
        <w:rPr>
          <w:i/>
          <w:iCs/>
          <w:color w:val="000000"/>
        </w:rPr>
        <w:t>Computational Thinking Education</w:t>
      </w:r>
      <w:r>
        <w:rPr>
          <w:color w:val="000000"/>
        </w:rPr>
        <w:t xml:space="preserve">. Singapore: The Education University </w:t>
      </w:r>
      <w:r w:rsidR="00024D5E">
        <w:rPr>
          <w:color w:val="000000"/>
        </w:rPr>
        <w:t>of</w:t>
      </w:r>
      <w:r>
        <w:rPr>
          <w:color w:val="000000"/>
        </w:rPr>
        <w:t xml:space="preserve"> Hong Kong.</w:t>
      </w:r>
    </w:p>
    <w:p w14:paraId="683C8F42" w14:textId="2E4CD11A" w:rsidR="00133A31" w:rsidRDefault="00133A31" w:rsidP="009627CB">
      <w:pPr>
        <w:pStyle w:val="NormalWeb"/>
        <w:spacing w:before="0" w:beforeAutospacing="0" w:after="240" w:afterAutospacing="0" w:line="480" w:lineRule="auto"/>
        <w:ind w:firstLine="284"/>
        <w:rPr>
          <w:color w:val="000000"/>
        </w:rPr>
      </w:pPr>
      <w:r>
        <w:rPr>
          <w:color w:val="000000"/>
        </w:rPr>
        <w:t>Lyons, N. (2018).</w:t>
      </w:r>
      <w:r>
        <w:rPr>
          <w:rStyle w:val="apple-converted-space"/>
          <w:rFonts w:eastAsiaTheme="minorEastAsia"/>
          <w:color w:val="000000"/>
        </w:rPr>
        <w:t> </w:t>
      </w:r>
      <w:r>
        <w:rPr>
          <w:i/>
          <w:iCs/>
          <w:color w:val="000000"/>
        </w:rPr>
        <w:t xml:space="preserve">Handbook of Reflection and Reflective </w:t>
      </w:r>
      <w:r>
        <w:rPr>
          <w:i/>
          <w:iCs/>
          <w:color w:val="000000"/>
        </w:rPr>
        <w:t>Inquiry:</w:t>
      </w:r>
      <w:r>
        <w:rPr>
          <w:i/>
          <w:iCs/>
          <w:color w:val="000000"/>
        </w:rPr>
        <w:t xml:space="preserve"> Mapping a Way of Knowing for Professional Reflective Inquiry</w:t>
      </w:r>
      <w:r>
        <w:rPr>
          <w:color w:val="000000"/>
        </w:rPr>
        <w:t>. Boston, Ma: Springer Us.</w:t>
      </w:r>
    </w:p>
    <w:p w14:paraId="7650BB87" w14:textId="3B04C9B2" w:rsidR="00133A31" w:rsidRDefault="00133A31" w:rsidP="009627CB">
      <w:pPr>
        <w:pStyle w:val="NormalWeb"/>
        <w:spacing w:before="0" w:beforeAutospacing="0" w:after="240" w:afterAutospacing="0" w:line="480" w:lineRule="auto"/>
        <w:ind w:firstLine="284"/>
        <w:rPr>
          <w:color w:val="000000"/>
        </w:rPr>
      </w:pPr>
      <w:r>
        <w:rPr>
          <w:color w:val="000000"/>
        </w:rPr>
        <w:t>Marie Tejero Hughes and Talbott, E. (2017).</w:t>
      </w:r>
      <w:r>
        <w:rPr>
          <w:rStyle w:val="apple-converted-space"/>
          <w:rFonts w:eastAsiaTheme="minorEastAsia"/>
          <w:color w:val="000000"/>
        </w:rPr>
        <w:t> </w:t>
      </w:r>
      <w:r>
        <w:rPr>
          <w:i/>
          <w:iCs/>
          <w:color w:val="000000"/>
        </w:rPr>
        <w:t>The Wiley handbook of diversity in special education</w:t>
      </w:r>
      <w:r>
        <w:rPr>
          <w:color w:val="000000"/>
        </w:rPr>
        <w:t xml:space="preserve">. Chichester, West </w:t>
      </w:r>
      <w:r>
        <w:rPr>
          <w:color w:val="000000"/>
        </w:rPr>
        <w:t>Sussex;</w:t>
      </w:r>
      <w:r>
        <w:rPr>
          <w:color w:val="000000"/>
        </w:rPr>
        <w:t xml:space="preserve"> Malden, Ma: John Wiley &amp; Sons Ltd.</w:t>
      </w:r>
    </w:p>
    <w:p w14:paraId="1237211B" w14:textId="77777777" w:rsidR="00133A31" w:rsidRDefault="00133A31" w:rsidP="009627CB">
      <w:pPr>
        <w:pStyle w:val="NormalWeb"/>
        <w:spacing w:before="0" w:beforeAutospacing="0" w:after="240" w:afterAutospacing="0" w:line="480" w:lineRule="auto"/>
        <w:ind w:firstLine="284"/>
        <w:rPr>
          <w:color w:val="000000"/>
        </w:rPr>
      </w:pPr>
      <w:r>
        <w:rPr>
          <w:color w:val="000000"/>
        </w:rPr>
        <w:t>Mastropieri, M.A. and Scruggs, T.E. (2012).</w:t>
      </w:r>
      <w:r>
        <w:rPr>
          <w:rStyle w:val="apple-converted-space"/>
          <w:rFonts w:eastAsiaTheme="minorEastAsia"/>
          <w:color w:val="000000"/>
        </w:rPr>
        <w:t> </w:t>
      </w:r>
      <w:r>
        <w:rPr>
          <w:i/>
          <w:iCs/>
          <w:color w:val="000000"/>
        </w:rPr>
        <w:t>The Inclusive Classroom</w:t>
      </w:r>
      <w:r>
        <w:rPr>
          <w:color w:val="000000"/>
        </w:rPr>
        <w:t>. Pearson Higher Ed.</w:t>
      </w:r>
    </w:p>
    <w:p w14:paraId="67FDD469" w14:textId="77777777" w:rsidR="00133A31" w:rsidRDefault="00133A31" w:rsidP="009627CB">
      <w:pPr>
        <w:pStyle w:val="NormalWeb"/>
        <w:spacing w:before="0" w:beforeAutospacing="0" w:after="240" w:afterAutospacing="0" w:line="480" w:lineRule="auto"/>
        <w:ind w:firstLine="284"/>
        <w:rPr>
          <w:color w:val="000000"/>
        </w:rPr>
      </w:pPr>
      <w:r>
        <w:rPr>
          <w:color w:val="000000"/>
        </w:rPr>
        <w:t>Mcmillan, J.H. (2013).</w:t>
      </w:r>
      <w:r>
        <w:rPr>
          <w:rStyle w:val="apple-converted-space"/>
          <w:rFonts w:eastAsiaTheme="minorEastAsia"/>
          <w:color w:val="000000"/>
        </w:rPr>
        <w:t> </w:t>
      </w:r>
      <w:r>
        <w:rPr>
          <w:i/>
          <w:iCs/>
          <w:color w:val="000000"/>
        </w:rPr>
        <w:t>Sage handbook of research on classroom assessment</w:t>
      </w:r>
      <w:r>
        <w:rPr>
          <w:color w:val="000000"/>
        </w:rPr>
        <w:t>. Los Angeles: Sage Publications.</w:t>
      </w:r>
    </w:p>
    <w:p w14:paraId="0FCAA48D" w14:textId="6C3B3D28" w:rsidR="00133A31" w:rsidRDefault="00133A31" w:rsidP="009627CB">
      <w:pPr>
        <w:pStyle w:val="NormalWeb"/>
        <w:spacing w:before="0" w:beforeAutospacing="0" w:after="240" w:afterAutospacing="0" w:line="480" w:lineRule="auto"/>
        <w:ind w:firstLine="284"/>
        <w:rPr>
          <w:color w:val="000000"/>
        </w:rPr>
      </w:pPr>
      <w:r>
        <w:rPr>
          <w:color w:val="000000"/>
        </w:rPr>
        <w:t>Plows, V. and Whitburn, B. (2017).</w:t>
      </w:r>
      <w:r>
        <w:rPr>
          <w:rStyle w:val="apple-converted-space"/>
          <w:rFonts w:eastAsiaTheme="minorEastAsia"/>
          <w:color w:val="000000"/>
        </w:rPr>
        <w:t> </w:t>
      </w:r>
      <w:r>
        <w:rPr>
          <w:i/>
          <w:iCs/>
          <w:color w:val="000000"/>
        </w:rPr>
        <w:t xml:space="preserve">Inclusive </w:t>
      </w:r>
      <w:r>
        <w:rPr>
          <w:i/>
          <w:iCs/>
          <w:color w:val="000000"/>
        </w:rPr>
        <w:t>Education:</w:t>
      </w:r>
      <w:r>
        <w:rPr>
          <w:i/>
          <w:iCs/>
          <w:color w:val="000000"/>
        </w:rPr>
        <w:t xml:space="preserve"> Making Sense of Everyday Practice</w:t>
      </w:r>
      <w:r>
        <w:rPr>
          <w:color w:val="000000"/>
        </w:rPr>
        <w:t>. Leiden, Boston: Brill | Sense.</w:t>
      </w:r>
    </w:p>
    <w:p w14:paraId="6C1777FB" w14:textId="77777777" w:rsidR="00133A31" w:rsidRDefault="00133A31" w:rsidP="009627CB">
      <w:pPr>
        <w:pStyle w:val="NormalWeb"/>
        <w:spacing w:before="0" w:beforeAutospacing="0" w:after="240" w:afterAutospacing="0" w:line="480" w:lineRule="auto"/>
        <w:ind w:firstLine="284"/>
        <w:rPr>
          <w:color w:val="000000"/>
        </w:rPr>
      </w:pPr>
      <w:r>
        <w:rPr>
          <w:color w:val="000000"/>
        </w:rPr>
        <w:t>Ravenscroft, J. (2019).</w:t>
      </w:r>
      <w:r>
        <w:rPr>
          <w:rStyle w:val="apple-converted-space"/>
          <w:rFonts w:eastAsiaTheme="minorEastAsia"/>
          <w:color w:val="000000"/>
        </w:rPr>
        <w:t> </w:t>
      </w:r>
      <w:r>
        <w:rPr>
          <w:i/>
          <w:iCs/>
          <w:color w:val="000000"/>
        </w:rPr>
        <w:t>The Routledge handbook of visual impairment</w:t>
      </w:r>
      <w:r>
        <w:rPr>
          <w:color w:val="000000"/>
        </w:rPr>
        <w:t>. Milton Park, Abingdon, Oxon: Routledge.</w:t>
      </w:r>
    </w:p>
    <w:p w14:paraId="5B62D251" w14:textId="77777777" w:rsidR="00133A31" w:rsidRDefault="00133A31" w:rsidP="009627CB">
      <w:pPr>
        <w:pStyle w:val="NormalWeb"/>
        <w:spacing w:before="0" w:beforeAutospacing="0" w:after="240" w:afterAutospacing="0" w:line="480" w:lineRule="auto"/>
        <w:ind w:firstLine="284"/>
        <w:rPr>
          <w:color w:val="000000"/>
        </w:rPr>
      </w:pPr>
      <w:r>
        <w:rPr>
          <w:color w:val="000000"/>
        </w:rPr>
        <w:t>Rickinson, M. and McKenzie, M. (2023).</w:t>
      </w:r>
      <w:r>
        <w:rPr>
          <w:rStyle w:val="apple-converted-space"/>
          <w:rFonts w:eastAsiaTheme="minorEastAsia"/>
          <w:color w:val="000000"/>
        </w:rPr>
        <w:t> </w:t>
      </w:r>
      <w:r>
        <w:rPr>
          <w:i/>
          <w:iCs/>
          <w:color w:val="000000"/>
        </w:rPr>
        <w:t>Navigating the Research-Policy Relationship</w:t>
      </w:r>
      <w:r>
        <w:rPr>
          <w:color w:val="000000"/>
        </w:rPr>
        <w:t>. Taylor &amp; Francis.</w:t>
      </w:r>
    </w:p>
    <w:p w14:paraId="792B4A1C" w14:textId="77777777" w:rsidR="00133A31" w:rsidRDefault="00133A31" w:rsidP="009627CB">
      <w:pPr>
        <w:pStyle w:val="NormalWeb"/>
        <w:spacing w:before="0" w:beforeAutospacing="0" w:after="240" w:afterAutospacing="0" w:line="480" w:lineRule="auto"/>
        <w:ind w:firstLine="284"/>
        <w:rPr>
          <w:color w:val="000000"/>
        </w:rPr>
      </w:pPr>
      <w:r>
        <w:rPr>
          <w:color w:val="000000"/>
        </w:rPr>
        <w:lastRenderedPageBreak/>
        <w:t>Rose, R. and Tilstone, C. (2003).</w:t>
      </w:r>
      <w:r>
        <w:rPr>
          <w:rStyle w:val="apple-converted-space"/>
          <w:rFonts w:eastAsiaTheme="minorEastAsia"/>
          <w:color w:val="000000"/>
        </w:rPr>
        <w:t> </w:t>
      </w:r>
      <w:r>
        <w:rPr>
          <w:i/>
          <w:iCs/>
          <w:color w:val="000000"/>
        </w:rPr>
        <w:t>Strategies to Promote Inclusive Practice</w:t>
      </w:r>
      <w:r>
        <w:rPr>
          <w:color w:val="000000"/>
        </w:rPr>
        <w:t>. Routledge.</w:t>
      </w:r>
    </w:p>
    <w:p w14:paraId="0BB1687E" w14:textId="485F032D" w:rsidR="00D73A94" w:rsidRPr="00E774FF" w:rsidRDefault="00AE0217" w:rsidP="009627CB">
      <w:pPr>
        <w:pStyle w:val="NormalWeb"/>
        <w:spacing w:before="0" w:beforeAutospacing="0" w:after="240" w:afterAutospacing="0" w:line="480" w:lineRule="auto"/>
        <w:ind w:firstLine="284"/>
        <w:rPr>
          <w:color w:val="000000"/>
        </w:rPr>
      </w:pPr>
      <w:r>
        <w:rPr>
          <w:color w:val="000000"/>
        </w:rPr>
        <w:t xml:space="preserve">Services, D. (2023). </w:t>
      </w:r>
      <w:r>
        <w:rPr>
          <w:i/>
          <w:iCs/>
          <w:color w:val="000000"/>
        </w:rPr>
        <w:t xml:space="preserve">StThomas Tom Insta 360 8K. </w:t>
      </w:r>
      <w:r w:rsidR="00E774FF">
        <w:rPr>
          <w:color w:val="000000"/>
        </w:rPr>
        <w:t>[online]</w:t>
      </w:r>
      <w:r w:rsidR="00E774FF">
        <w:rPr>
          <w:color w:val="000000"/>
        </w:rPr>
        <w:t xml:space="preserve"> </w:t>
      </w:r>
      <w:r w:rsidR="005D3F0D">
        <w:rPr>
          <w:color w:val="000000"/>
        </w:rPr>
        <w:t>www.youtube.com.</w:t>
      </w:r>
      <w:r w:rsidR="00397E1B">
        <w:rPr>
          <w:color w:val="000000"/>
        </w:rPr>
        <w:t xml:space="preserve"> Available at: </w:t>
      </w:r>
      <w:hyperlink r:id="rId6" w:history="1">
        <w:r w:rsidR="005D3F0D" w:rsidRPr="004D0CB8">
          <w:rPr>
            <w:rStyle w:val="Hyperlink"/>
          </w:rPr>
          <w:t>https://www.youtube.com/watch?v=m9ZkxEvzbn0</w:t>
        </w:r>
      </w:hyperlink>
      <w:r w:rsidR="005D3F0D">
        <w:rPr>
          <w:color w:val="000000"/>
        </w:rPr>
        <w:t xml:space="preserve">. </w:t>
      </w:r>
    </w:p>
    <w:p w14:paraId="0CC70877" w14:textId="77777777" w:rsidR="00133A31" w:rsidRDefault="00133A31" w:rsidP="009627CB">
      <w:pPr>
        <w:pStyle w:val="NormalWeb"/>
        <w:spacing w:before="0" w:beforeAutospacing="0" w:after="240" w:afterAutospacing="0" w:line="480" w:lineRule="auto"/>
        <w:ind w:firstLine="284"/>
        <w:rPr>
          <w:color w:val="000000"/>
        </w:rPr>
      </w:pPr>
      <w:r>
        <w:rPr>
          <w:color w:val="000000"/>
        </w:rPr>
        <w:t>Skinner, B.F. (1938).</w:t>
      </w:r>
      <w:r>
        <w:rPr>
          <w:rStyle w:val="apple-converted-space"/>
          <w:rFonts w:eastAsiaTheme="minorEastAsia"/>
          <w:color w:val="000000"/>
        </w:rPr>
        <w:t> </w:t>
      </w:r>
      <w:r>
        <w:rPr>
          <w:i/>
          <w:iCs/>
          <w:color w:val="000000"/>
        </w:rPr>
        <w:t>The Behavior of Organisms</w:t>
      </w:r>
      <w:r>
        <w:rPr>
          <w:color w:val="000000"/>
        </w:rPr>
        <w:t>. B. F. Skinner Foundation.</w:t>
      </w:r>
    </w:p>
    <w:p w14:paraId="4A9C6D1C" w14:textId="77777777" w:rsidR="00133A31" w:rsidRDefault="00133A31" w:rsidP="009627CB">
      <w:pPr>
        <w:pStyle w:val="NormalWeb"/>
        <w:spacing w:before="0" w:beforeAutospacing="0" w:after="240" w:afterAutospacing="0" w:line="480" w:lineRule="auto"/>
        <w:ind w:firstLine="284"/>
        <w:rPr>
          <w:color w:val="000000"/>
        </w:rPr>
      </w:pPr>
      <w:r>
        <w:rPr>
          <w:color w:val="000000"/>
        </w:rPr>
        <w:t>Slanda, D.D. and Pike, L. (2022).</w:t>
      </w:r>
      <w:r>
        <w:rPr>
          <w:rStyle w:val="apple-converted-space"/>
          <w:rFonts w:eastAsiaTheme="minorEastAsia"/>
          <w:color w:val="000000"/>
        </w:rPr>
        <w:t> </w:t>
      </w:r>
      <w:r>
        <w:rPr>
          <w:i/>
          <w:iCs/>
          <w:color w:val="000000"/>
        </w:rPr>
        <w:t>Handbook of Research on Interdisciplinary Preparation for Equitable Special Education</w:t>
      </w:r>
      <w:r>
        <w:rPr>
          <w:color w:val="000000"/>
        </w:rPr>
        <w:t>. IGI Global.</w:t>
      </w:r>
    </w:p>
    <w:p w14:paraId="6E12A7A2" w14:textId="77777777" w:rsidR="00133A31" w:rsidRDefault="00133A31" w:rsidP="009627CB">
      <w:pPr>
        <w:pStyle w:val="NormalWeb"/>
        <w:spacing w:before="0" w:beforeAutospacing="0" w:after="240" w:afterAutospacing="0" w:line="480" w:lineRule="auto"/>
        <w:ind w:firstLine="284"/>
        <w:rPr>
          <w:color w:val="000000"/>
        </w:rPr>
      </w:pPr>
      <w:r>
        <w:rPr>
          <w:color w:val="000000"/>
        </w:rPr>
        <w:t>Slee, R. (2011).</w:t>
      </w:r>
      <w:r>
        <w:rPr>
          <w:rStyle w:val="apple-converted-space"/>
          <w:rFonts w:eastAsiaTheme="minorEastAsia"/>
          <w:color w:val="000000"/>
        </w:rPr>
        <w:t> </w:t>
      </w:r>
      <w:r>
        <w:rPr>
          <w:i/>
          <w:iCs/>
          <w:color w:val="000000"/>
        </w:rPr>
        <w:t>The Irregular School</w:t>
      </w:r>
      <w:r>
        <w:rPr>
          <w:color w:val="000000"/>
        </w:rPr>
        <w:t>. Taylor &amp; Francis.</w:t>
      </w:r>
    </w:p>
    <w:p w14:paraId="5CB5D13C" w14:textId="77777777" w:rsidR="00133A31" w:rsidRDefault="00133A31" w:rsidP="009627CB">
      <w:pPr>
        <w:pStyle w:val="NormalWeb"/>
        <w:spacing w:before="0" w:beforeAutospacing="0" w:after="240" w:afterAutospacing="0" w:line="480" w:lineRule="auto"/>
        <w:ind w:firstLine="284"/>
        <w:rPr>
          <w:color w:val="000000"/>
        </w:rPr>
      </w:pPr>
      <w:r>
        <w:rPr>
          <w:color w:val="000000"/>
        </w:rPr>
        <w:t>Sohan Modgil and Modgil, C. (2005).</w:t>
      </w:r>
      <w:r>
        <w:rPr>
          <w:rStyle w:val="apple-converted-space"/>
          <w:rFonts w:eastAsiaTheme="minorEastAsia"/>
          <w:color w:val="000000"/>
        </w:rPr>
        <w:t> </w:t>
      </w:r>
      <w:r>
        <w:rPr>
          <w:i/>
          <w:iCs/>
          <w:color w:val="000000"/>
        </w:rPr>
        <w:t>B.F. Skinner: Consensus And Controversy</w:t>
      </w:r>
      <w:r>
        <w:rPr>
          <w:color w:val="000000"/>
        </w:rPr>
        <w:t>. Routledge.</w:t>
      </w:r>
    </w:p>
    <w:p w14:paraId="4628CD7A" w14:textId="77777777" w:rsidR="00133A31" w:rsidRDefault="00133A31" w:rsidP="009627CB">
      <w:pPr>
        <w:pStyle w:val="NormalWeb"/>
        <w:spacing w:before="0" w:beforeAutospacing="0" w:after="240" w:afterAutospacing="0" w:line="480" w:lineRule="auto"/>
        <w:ind w:firstLine="284"/>
        <w:rPr>
          <w:color w:val="000000"/>
        </w:rPr>
      </w:pPr>
      <w:r>
        <w:rPr>
          <w:color w:val="000000"/>
        </w:rPr>
        <w:t>Thomas, G. and Loxley, A. (2022).</w:t>
      </w:r>
      <w:r>
        <w:rPr>
          <w:rStyle w:val="apple-converted-space"/>
          <w:rFonts w:eastAsiaTheme="minorEastAsia"/>
          <w:color w:val="000000"/>
        </w:rPr>
        <w:t> </w:t>
      </w:r>
      <w:r>
        <w:rPr>
          <w:i/>
          <w:iCs/>
          <w:color w:val="000000"/>
        </w:rPr>
        <w:t>Deconstructing special education and constructing inclusion</w:t>
      </w:r>
      <w:r>
        <w:rPr>
          <w:color w:val="000000"/>
        </w:rPr>
        <w:t>. Maidenhead: Open University Press.</w:t>
      </w:r>
    </w:p>
    <w:p w14:paraId="265FA3A1" w14:textId="77777777" w:rsidR="00133A31" w:rsidRDefault="00133A31" w:rsidP="009627CB">
      <w:pPr>
        <w:pStyle w:val="NormalWeb"/>
        <w:spacing w:before="0" w:beforeAutospacing="0" w:after="240" w:afterAutospacing="0" w:line="480" w:lineRule="auto"/>
        <w:ind w:firstLine="284"/>
        <w:rPr>
          <w:color w:val="000000"/>
        </w:rPr>
      </w:pPr>
      <w:r>
        <w:rPr>
          <w:color w:val="000000"/>
        </w:rPr>
        <w:t>Tripp, D. (1993).</w:t>
      </w:r>
      <w:r>
        <w:rPr>
          <w:rStyle w:val="apple-converted-space"/>
          <w:rFonts w:eastAsiaTheme="minorEastAsia"/>
          <w:color w:val="000000"/>
        </w:rPr>
        <w:t> </w:t>
      </w:r>
      <w:r>
        <w:rPr>
          <w:i/>
          <w:iCs/>
          <w:color w:val="000000"/>
        </w:rPr>
        <w:t>Critical Incidents in teaching: Developing Professional Judgement</w:t>
      </w:r>
      <w:r>
        <w:rPr>
          <w:color w:val="000000"/>
        </w:rPr>
        <w:t>. London: Routledge, pp.24–25.</w:t>
      </w:r>
    </w:p>
    <w:p w14:paraId="3E1516F4" w14:textId="77777777" w:rsidR="00133A31" w:rsidRDefault="00133A31" w:rsidP="009627CB">
      <w:pPr>
        <w:pStyle w:val="NormalWeb"/>
        <w:spacing w:before="0" w:beforeAutospacing="0" w:after="240" w:afterAutospacing="0" w:line="480" w:lineRule="auto"/>
        <w:ind w:firstLine="284"/>
        <w:rPr>
          <w:color w:val="000000"/>
        </w:rPr>
      </w:pPr>
      <w:r>
        <w:rPr>
          <w:color w:val="000000"/>
        </w:rPr>
        <w:t>UNESCO (1994).</w:t>
      </w:r>
      <w:r>
        <w:rPr>
          <w:rStyle w:val="apple-converted-space"/>
          <w:rFonts w:eastAsiaTheme="minorEastAsia"/>
          <w:color w:val="000000"/>
        </w:rPr>
        <w:t> </w:t>
      </w:r>
      <w:r>
        <w:rPr>
          <w:i/>
          <w:iCs/>
          <w:color w:val="000000"/>
        </w:rPr>
        <w:t>THE SALAMANCA STATEMENT</w:t>
      </w:r>
      <w:r>
        <w:rPr>
          <w:color w:val="000000"/>
        </w:rPr>
        <w:t>. [online] Available at: http://www.unesco.org/education/pdf/SALAMA_E.PDF.</w:t>
      </w:r>
    </w:p>
    <w:p w14:paraId="4A1E62B6" w14:textId="77777777" w:rsidR="00133A31" w:rsidRDefault="00133A31" w:rsidP="009627CB">
      <w:pPr>
        <w:pStyle w:val="NormalWeb"/>
        <w:spacing w:before="0" w:beforeAutospacing="0" w:after="240" w:afterAutospacing="0" w:line="480" w:lineRule="auto"/>
        <w:ind w:firstLine="284"/>
        <w:rPr>
          <w:color w:val="000000"/>
        </w:rPr>
      </w:pPr>
      <w:r>
        <w:rPr>
          <w:color w:val="000000"/>
        </w:rPr>
        <w:t>Vygotsky, L. (1978).</w:t>
      </w:r>
      <w:r>
        <w:rPr>
          <w:rStyle w:val="apple-converted-space"/>
          <w:rFonts w:eastAsiaTheme="minorEastAsia"/>
          <w:color w:val="000000"/>
        </w:rPr>
        <w:t> </w:t>
      </w:r>
      <w:r>
        <w:rPr>
          <w:i/>
          <w:iCs/>
          <w:color w:val="000000"/>
        </w:rPr>
        <w:t>Mind in society: The Development of Higher Psychological Processes</w:t>
      </w:r>
      <w:r>
        <w:rPr>
          <w:color w:val="000000"/>
        </w:rPr>
        <w:t>. Cambridge: Harvard University Press, p.57.</w:t>
      </w:r>
    </w:p>
    <w:p w14:paraId="34738C5D" w14:textId="77777777" w:rsidR="006A1397" w:rsidRDefault="006A1397" w:rsidP="00B96E28">
      <w:pPr>
        <w:spacing w:line="360" w:lineRule="auto"/>
        <w:rPr>
          <w:rFonts w:ascii="Arial" w:hAnsi="Arial" w:cs="Arial"/>
          <w:sz w:val="23"/>
          <w:szCs w:val="23"/>
        </w:rPr>
      </w:pPr>
    </w:p>
    <w:p w14:paraId="2453E26D" w14:textId="77777777" w:rsidR="00D9212D" w:rsidRPr="00D9212D" w:rsidRDefault="00D9212D" w:rsidP="00D9212D">
      <w:pPr>
        <w:spacing w:line="360" w:lineRule="auto"/>
        <w:jc w:val="center"/>
        <w:rPr>
          <w:rFonts w:ascii="Arial" w:hAnsi="Arial" w:cs="Arial"/>
          <w:sz w:val="23"/>
          <w:szCs w:val="23"/>
        </w:rPr>
      </w:pPr>
    </w:p>
    <w:p w14:paraId="2D77B9E9" w14:textId="16209962" w:rsidR="00E71FA8" w:rsidRPr="00E71FA8" w:rsidRDefault="00E71FA8" w:rsidP="00615971">
      <w:pPr>
        <w:spacing w:line="360" w:lineRule="auto"/>
        <w:rPr>
          <w:rFonts w:ascii="Arial" w:hAnsi="Arial" w:cs="Arial"/>
          <w:sz w:val="23"/>
          <w:szCs w:val="23"/>
        </w:rPr>
      </w:pPr>
    </w:p>
    <w:p w14:paraId="5960CE03" w14:textId="77777777" w:rsidR="00CF48BB" w:rsidRDefault="00CF48BB" w:rsidP="00961EFC">
      <w:pPr>
        <w:spacing w:line="360" w:lineRule="auto"/>
        <w:rPr>
          <w:rFonts w:ascii="Arial" w:hAnsi="Arial" w:cs="Arial"/>
          <w:sz w:val="23"/>
          <w:szCs w:val="23"/>
        </w:rPr>
      </w:pPr>
    </w:p>
    <w:p w14:paraId="50007A25" w14:textId="77777777" w:rsidR="00482CA0" w:rsidRDefault="00482CA0" w:rsidP="00961EFC">
      <w:pPr>
        <w:spacing w:line="360" w:lineRule="auto"/>
        <w:rPr>
          <w:rFonts w:ascii="Arial" w:hAnsi="Arial" w:cs="Arial"/>
          <w:sz w:val="23"/>
          <w:szCs w:val="23"/>
        </w:rPr>
      </w:pPr>
    </w:p>
    <w:p w14:paraId="293C9BBB" w14:textId="77777777" w:rsidR="007576CA" w:rsidRDefault="007576CA" w:rsidP="00C62E47">
      <w:pPr>
        <w:spacing w:line="360" w:lineRule="auto"/>
        <w:rPr>
          <w:rFonts w:ascii="Arial" w:hAnsi="Arial" w:cs="Arial"/>
          <w:sz w:val="23"/>
          <w:szCs w:val="23"/>
        </w:rPr>
      </w:pPr>
    </w:p>
    <w:p w14:paraId="545E5707" w14:textId="0153C6F5" w:rsidR="002942D2" w:rsidRPr="002942D2" w:rsidRDefault="002942D2" w:rsidP="00C561A1">
      <w:pPr>
        <w:jc w:val="center"/>
        <w:rPr>
          <w:rFonts w:ascii="Arial" w:hAnsi="Arial" w:cs="Arial"/>
          <w:sz w:val="23"/>
          <w:szCs w:val="23"/>
        </w:rPr>
      </w:pPr>
    </w:p>
    <w:sectPr w:rsidR="002942D2" w:rsidRPr="002942D2" w:rsidSect="00F618B8">
      <w:type w:val="oddPag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1847"/>
    <w:multiLevelType w:val="multilevel"/>
    <w:tmpl w:val="32C8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2848B5"/>
    <w:multiLevelType w:val="hybridMultilevel"/>
    <w:tmpl w:val="3DD476D2"/>
    <w:lvl w:ilvl="0" w:tplc="B94638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95F41"/>
    <w:multiLevelType w:val="hybridMultilevel"/>
    <w:tmpl w:val="3328F770"/>
    <w:lvl w:ilvl="0" w:tplc="FFE6E2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617C31"/>
    <w:multiLevelType w:val="hybridMultilevel"/>
    <w:tmpl w:val="6EBC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34132"/>
    <w:multiLevelType w:val="hybridMultilevel"/>
    <w:tmpl w:val="CBE6B6D4"/>
    <w:lvl w:ilvl="0" w:tplc="6854D3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AB6FDD"/>
    <w:multiLevelType w:val="multilevel"/>
    <w:tmpl w:val="61BA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7611627">
    <w:abstractNumId w:val="3"/>
  </w:num>
  <w:num w:numId="2" w16cid:durableId="949706914">
    <w:abstractNumId w:val="2"/>
  </w:num>
  <w:num w:numId="3" w16cid:durableId="1819221182">
    <w:abstractNumId w:val="1"/>
  </w:num>
  <w:num w:numId="4" w16cid:durableId="104278863">
    <w:abstractNumId w:val="4"/>
  </w:num>
  <w:num w:numId="5" w16cid:durableId="1554193388">
    <w:abstractNumId w:val="0"/>
  </w:num>
  <w:num w:numId="6" w16cid:durableId="1691762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E82"/>
    <w:rsid w:val="000003AE"/>
    <w:rsid w:val="00000D8C"/>
    <w:rsid w:val="000034F1"/>
    <w:rsid w:val="00005B52"/>
    <w:rsid w:val="00007509"/>
    <w:rsid w:val="000133FD"/>
    <w:rsid w:val="00017EC1"/>
    <w:rsid w:val="00024D5E"/>
    <w:rsid w:val="0005799C"/>
    <w:rsid w:val="00057FA4"/>
    <w:rsid w:val="00067665"/>
    <w:rsid w:val="00082AAE"/>
    <w:rsid w:val="000874BF"/>
    <w:rsid w:val="00094C5D"/>
    <w:rsid w:val="00097085"/>
    <w:rsid w:val="000B1DFE"/>
    <w:rsid w:val="000C1D16"/>
    <w:rsid w:val="000C4098"/>
    <w:rsid w:val="000D6061"/>
    <w:rsid w:val="000E008F"/>
    <w:rsid w:val="000F550E"/>
    <w:rsid w:val="000F7DBE"/>
    <w:rsid w:val="00102397"/>
    <w:rsid w:val="00102FF0"/>
    <w:rsid w:val="00103C29"/>
    <w:rsid w:val="00114235"/>
    <w:rsid w:val="001143AD"/>
    <w:rsid w:val="0012308F"/>
    <w:rsid w:val="00125CDD"/>
    <w:rsid w:val="00133A31"/>
    <w:rsid w:val="00134620"/>
    <w:rsid w:val="0014649E"/>
    <w:rsid w:val="001532FC"/>
    <w:rsid w:val="00157515"/>
    <w:rsid w:val="00161E9A"/>
    <w:rsid w:val="00170004"/>
    <w:rsid w:val="0017236D"/>
    <w:rsid w:val="00176532"/>
    <w:rsid w:val="001904DB"/>
    <w:rsid w:val="00196664"/>
    <w:rsid w:val="001A1801"/>
    <w:rsid w:val="001A1830"/>
    <w:rsid w:val="001A3B4E"/>
    <w:rsid w:val="001B137D"/>
    <w:rsid w:val="001B29D0"/>
    <w:rsid w:val="001B48CF"/>
    <w:rsid w:val="001B6527"/>
    <w:rsid w:val="001C1488"/>
    <w:rsid w:val="001C5694"/>
    <w:rsid w:val="001C66EF"/>
    <w:rsid w:val="001D36B9"/>
    <w:rsid w:val="001D4E36"/>
    <w:rsid w:val="001E2092"/>
    <w:rsid w:val="001E2DD6"/>
    <w:rsid w:val="00210AC5"/>
    <w:rsid w:val="00211457"/>
    <w:rsid w:val="00217306"/>
    <w:rsid w:val="00221F27"/>
    <w:rsid w:val="00234CBC"/>
    <w:rsid w:val="0024515F"/>
    <w:rsid w:val="002465E7"/>
    <w:rsid w:val="00253511"/>
    <w:rsid w:val="002632F8"/>
    <w:rsid w:val="00275B4D"/>
    <w:rsid w:val="002903F4"/>
    <w:rsid w:val="002942D2"/>
    <w:rsid w:val="0029481A"/>
    <w:rsid w:val="002A0044"/>
    <w:rsid w:val="002B4601"/>
    <w:rsid w:val="002D262A"/>
    <w:rsid w:val="002D5888"/>
    <w:rsid w:val="002E3960"/>
    <w:rsid w:val="002E43C8"/>
    <w:rsid w:val="00306CBB"/>
    <w:rsid w:val="00317745"/>
    <w:rsid w:val="003203F2"/>
    <w:rsid w:val="00330E82"/>
    <w:rsid w:val="003334E5"/>
    <w:rsid w:val="00337EE7"/>
    <w:rsid w:val="00352D07"/>
    <w:rsid w:val="003532B6"/>
    <w:rsid w:val="003602A7"/>
    <w:rsid w:val="003646DD"/>
    <w:rsid w:val="00372E53"/>
    <w:rsid w:val="00374633"/>
    <w:rsid w:val="003750D0"/>
    <w:rsid w:val="00387F78"/>
    <w:rsid w:val="00391CD1"/>
    <w:rsid w:val="0039484B"/>
    <w:rsid w:val="00397E1B"/>
    <w:rsid w:val="003A203A"/>
    <w:rsid w:val="003A401D"/>
    <w:rsid w:val="003A42CA"/>
    <w:rsid w:val="003A5B98"/>
    <w:rsid w:val="003B481D"/>
    <w:rsid w:val="003B6313"/>
    <w:rsid w:val="003B7E6A"/>
    <w:rsid w:val="003C1B7A"/>
    <w:rsid w:val="003C500C"/>
    <w:rsid w:val="003C6BA4"/>
    <w:rsid w:val="003D0358"/>
    <w:rsid w:val="003D4618"/>
    <w:rsid w:val="003E4806"/>
    <w:rsid w:val="003F2153"/>
    <w:rsid w:val="003F6431"/>
    <w:rsid w:val="00401AA6"/>
    <w:rsid w:val="004046EC"/>
    <w:rsid w:val="00415668"/>
    <w:rsid w:val="00417396"/>
    <w:rsid w:val="00417B0D"/>
    <w:rsid w:val="00437070"/>
    <w:rsid w:val="004444F0"/>
    <w:rsid w:val="004449FB"/>
    <w:rsid w:val="004460C4"/>
    <w:rsid w:val="004524E2"/>
    <w:rsid w:val="00454729"/>
    <w:rsid w:val="00454DBC"/>
    <w:rsid w:val="004550B4"/>
    <w:rsid w:val="00461228"/>
    <w:rsid w:val="0046274D"/>
    <w:rsid w:val="00466D51"/>
    <w:rsid w:val="00472D29"/>
    <w:rsid w:val="004738B1"/>
    <w:rsid w:val="00473EB8"/>
    <w:rsid w:val="00475D55"/>
    <w:rsid w:val="00482CA0"/>
    <w:rsid w:val="004903AC"/>
    <w:rsid w:val="00491DF2"/>
    <w:rsid w:val="004968A0"/>
    <w:rsid w:val="004A1E9A"/>
    <w:rsid w:val="004A2D03"/>
    <w:rsid w:val="004A4801"/>
    <w:rsid w:val="004A6E39"/>
    <w:rsid w:val="004B44C2"/>
    <w:rsid w:val="004B790F"/>
    <w:rsid w:val="004C3739"/>
    <w:rsid w:val="004C579D"/>
    <w:rsid w:val="004C6A6B"/>
    <w:rsid w:val="004D0B4B"/>
    <w:rsid w:val="004D7CD1"/>
    <w:rsid w:val="004E3F95"/>
    <w:rsid w:val="00511910"/>
    <w:rsid w:val="00514FE5"/>
    <w:rsid w:val="00516080"/>
    <w:rsid w:val="00525261"/>
    <w:rsid w:val="00527E6F"/>
    <w:rsid w:val="00536E7D"/>
    <w:rsid w:val="005402BB"/>
    <w:rsid w:val="0054323F"/>
    <w:rsid w:val="00543517"/>
    <w:rsid w:val="00551989"/>
    <w:rsid w:val="00551CF5"/>
    <w:rsid w:val="00561896"/>
    <w:rsid w:val="0056501C"/>
    <w:rsid w:val="005775B0"/>
    <w:rsid w:val="00581E58"/>
    <w:rsid w:val="005828DF"/>
    <w:rsid w:val="005907F6"/>
    <w:rsid w:val="00592976"/>
    <w:rsid w:val="00592F20"/>
    <w:rsid w:val="00593AA7"/>
    <w:rsid w:val="00594A3E"/>
    <w:rsid w:val="005A00F0"/>
    <w:rsid w:val="005A1197"/>
    <w:rsid w:val="005A411B"/>
    <w:rsid w:val="005A64B7"/>
    <w:rsid w:val="005C32D7"/>
    <w:rsid w:val="005C5160"/>
    <w:rsid w:val="005D3F0D"/>
    <w:rsid w:val="005D4331"/>
    <w:rsid w:val="005F4ABA"/>
    <w:rsid w:val="005F6E38"/>
    <w:rsid w:val="006054C9"/>
    <w:rsid w:val="00615971"/>
    <w:rsid w:val="00615C8E"/>
    <w:rsid w:val="00615EC4"/>
    <w:rsid w:val="006163AF"/>
    <w:rsid w:val="0062345D"/>
    <w:rsid w:val="006338B9"/>
    <w:rsid w:val="00635CEF"/>
    <w:rsid w:val="00651E0F"/>
    <w:rsid w:val="00652859"/>
    <w:rsid w:val="00653056"/>
    <w:rsid w:val="0066185A"/>
    <w:rsid w:val="006629C4"/>
    <w:rsid w:val="006650DF"/>
    <w:rsid w:val="006667CF"/>
    <w:rsid w:val="0066797B"/>
    <w:rsid w:val="006709A8"/>
    <w:rsid w:val="006727EC"/>
    <w:rsid w:val="006740E1"/>
    <w:rsid w:val="0067697A"/>
    <w:rsid w:val="00680CA2"/>
    <w:rsid w:val="00686FFF"/>
    <w:rsid w:val="00687C6F"/>
    <w:rsid w:val="006939CE"/>
    <w:rsid w:val="0069483B"/>
    <w:rsid w:val="006A1397"/>
    <w:rsid w:val="006A75A4"/>
    <w:rsid w:val="006C3BDB"/>
    <w:rsid w:val="006D0FC6"/>
    <w:rsid w:val="006D7954"/>
    <w:rsid w:val="00702CEF"/>
    <w:rsid w:val="00711BFD"/>
    <w:rsid w:val="00731B4C"/>
    <w:rsid w:val="00732005"/>
    <w:rsid w:val="00737226"/>
    <w:rsid w:val="00742B5C"/>
    <w:rsid w:val="00750F36"/>
    <w:rsid w:val="0075533D"/>
    <w:rsid w:val="007576CA"/>
    <w:rsid w:val="007622F1"/>
    <w:rsid w:val="007649B3"/>
    <w:rsid w:val="00764D3A"/>
    <w:rsid w:val="00771954"/>
    <w:rsid w:val="0077279E"/>
    <w:rsid w:val="00785CCD"/>
    <w:rsid w:val="00786479"/>
    <w:rsid w:val="00786D6B"/>
    <w:rsid w:val="0078749C"/>
    <w:rsid w:val="007944CD"/>
    <w:rsid w:val="00797489"/>
    <w:rsid w:val="00797F09"/>
    <w:rsid w:val="007A33EC"/>
    <w:rsid w:val="007A7D9A"/>
    <w:rsid w:val="007C0C29"/>
    <w:rsid w:val="007C1A9E"/>
    <w:rsid w:val="007C3024"/>
    <w:rsid w:val="007C7BED"/>
    <w:rsid w:val="007D656D"/>
    <w:rsid w:val="007F0859"/>
    <w:rsid w:val="007F1F9E"/>
    <w:rsid w:val="007F5079"/>
    <w:rsid w:val="00806ADC"/>
    <w:rsid w:val="00816A20"/>
    <w:rsid w:val="00816DF7"/>
    <w:rsid w:val="00823BB0"/>
    <w:rsid w:val="0082754F"/>
    <w:rsid w:val="00827BF7"/>
    <w:rsid w:val="00843129"/>
    <w:rsid w:val="00843871"/>
    <w:rsid w:val="00851039"/>
    <w:rsid w:val="00851A53"/>
    <w:rsid w:val="0085226B"/>
    <w:rsid w:val="008556FD"/>
    <w:rsid w:val="00861D1A"/>
    <w:rsid w:val="00863145"/>
    <w:rsid w:val="008742AE"/>
    <w:rsid w:val="00882982"/>
    <w:rsid w:val="00891606"/>
    <w:rsid w:val="00891641"/>
    <w:rsid w:val="00894EBC"/>
    <w:rsid w:val="008A27E7"/>
    <w:rsid w:val="008A60B4"/>
    <w:rsid w:val="008B3C99"/>
    <w:rsid w:val="008C20C8"/>
    <w:rsid w:val="008C78E2"/>
    <w:rsid w:val="008D017E"/>
    <w:rsid w:val="008D0D90"/>
    <w:rsid w:val="008E1AB2"/>
    <w:rsid w:val="008E4B62"/>
    <w:rsid w:val="008E6C25"/>
    <w:rsid w:val="008F1515"/>
    <w:rsid w:val="008F2550"/>
    <w:rsid w:val="008F4336"/>
    <w:rsid w:val="00904089"/>
    <w:rsid w:val="009067E2"/>
    <w:rsid w:val="009115F7"/>
    <w:rsid w:val="009168D9"/>
    <w:rsid w:val="009209F1"/>
    <w:rsid w:val="009337D1"/>
    <w:rsid w:val="0093397C"/>
    <w:rsid w:val="00935B8E"/>
    <w:rsid w:val="0094456F"/>
    <w:rsid w:val="00944C6D"/>
    <w:rsid w:val="009466C6"/>
    <w:rsid w:val="0095087D"/>
    <w:rsid w:val="009533F9"/>
    <w:rsid w:val="00961EFC"/>
    <w:rsid w:val="009627CB"/>
    <w:rsid w:val="00972F88"/>
    <w:rsid w:val="0098221D"/>
    <w:rsid w:val="00985BBE"/>
    <w:rsid w:val="0099231E"/>
    <w:rsid w:val="00992BEC"/>
    <w:rsid w:val="00993758"/>
    <w:rsid w:val="009950D5"/>
    <w:rsid w:val="00997F4B"/>
    <w:rsid w:val="009A4D37"/>
    <w:rsid w:val="009A51F1"/>
    <w:rsid w:val="009A75C2"/>
    <w:rsid w:val="009A7E78"/>
    <w:rsid w:val="009B714C"/>
    <w:rsid w:val="009C680E"/>
    <w:rsid w:val="009F1BA6"/>
    <w:rsid w:val="00A00945"/>
    <w:rsid w:val="00A0114A"/>
    <w:rsid w:val="00A1522E"/>
    <w:rsid w:val="00A20EED"/>
    <w:rsid w:val="00A21EDA"/>
    <w:rsid w:val="00A378CB"/>
    <w:rsid w:val="00A40F84"/>
    <w:rsid w:val="00A4529F"/>
    <w:rsid w:val="00A53B04"/>
    <w:rsid w:val="00A708E4"/>
    <w:rsid w:val="00A7133C"/>
    <w:rsid w:val="00A828F6"/>
    <w:rsid w:val="00A878A4"/>
    <w:rsid w:val="00A90577"/>
    <w:rsid w:val="00A90F79"/>
    <w:rsid w:val="00A926E3"/>
    <w:rsid w:val="00A94776"/>
    <w:rsid w:val="00AA19D2"/>
    <w:rsid w:val="00AA5C14"/>
    <w:rsid w:val="00AA655D"/>
    <w:rsid w:val="00AB6A7F"/>
    <w:rsid w:val="00AD10AC"/>
    <w:rsid w:val="00AE0217"/>
    <w:rsid w:val="00AE041F"/>
    <w:rsid w:val="00AE20A3"/>
    <w:rsid w:val="00AE7B68"/>
    <w:rsid w:val="00AF0391"/>
    <w:rsid w:val="00B02852"/>
    <w:rsid w:val="00B0359E"/>
    <w:rsid w:val="00B0514B"/>
    <w:rsid w:val="00B36BBA"/>
    <w:rsid w:val="00B4678A"/>
    <w:rsid w:val="00B472AF"/>
    <w:rsid w:val="00B54A2F"/>
    <w:rsid w:val="00B55F52"/>
    <w:rsid w:val="00B608D8"/>
    <w:rsid w:val="00B60B8C"/>
    <w:rsid w:val="00B61EF5"/>
    <w:rsid w:val="00B65B9F"/>
    <w:rsid w:val="00B75091"/>
    <w:rsid w:val="00B82DB8"/>
    <w:rsid w:val="00B938CF"/>
    <w:rsid w:val="00B96E28"/>
    <w:rsid w:val="00B97A15"/>
    <w:rsid w:val="00B97AD8"/>
    <w:rsid w:val="00BA0CB7"/>
    <w:rsid w:val="00BA556A"/>
    <w:rsid w:val="00BA60BA"/>
    <w:rsid w:val="00BB1B0E"/>
    <w:rsid w:val="00BB2E0B"/>
    <w:rsid w:val="00BE0426"/>
    <w:rsid w:val="00BE4C91"/>
    <w:rsid w:val="00BE751D"/>
    <w:rsid w:val="00BF6D2B"/>
    <w:rsid w:val="00C00A8E"/>
    <w:rsid w:val="00C04874"/>
    <w:rsid w:val="00C110A6"/>
    <w:rsid w:val="00C14154"/>
    <w:rsid w:val="00C23B21"/>
    <w:rsid w:val="00C24FC5"/>
    <w:rsid w:val="00C317AD"/>
    <w:rsid w:val="00C36060"/>
    <w:rsid w:val="00C44E77"/>
    <w:rsid w:val="00C541B6"/>
    <w:rsid w:val="00C55457"/>
    <w:rsid w:val="00C561A1"/>
    <w:rsid w:val="00C57F08"/>
    <w:rsid w:val="00C62E47"/>
    <w:rsid w:val="00C674E0"/>
    <w:rsid w:val="00C8060B"/>
    <w:rsid w:val="00C808BF"/>
    <w:rsid w:val="00C83F56"/>
    <w:rsid w:val="00C954C5"/>
    <w:rsid w:val="00CA1942"/>
    <w:rsid w:val="00CA2B38"/>
    <w:rsid w:val="00CA337F"/>
    <w:rsid w:val="00CB1058"/>
    <w:rsid w:val="00CB1C57"/>
    <w:rsid w:val="00CB3274"/>
    <w:rsid w:val="00CB3FC5"/>
    <w:rsid w:val="00CC4A86"/>
    <w:rsid w:val="00CD3DA0"/>
    <w:rsid w:val="00CE0275"/>
    <w:rsid w:val="00CE1962"/>
    <w:rsid w:val="00CE3782"/>
    <w:rsid w:val="00CE5122"/>
    <w:rsid w:val="00CE676A"/>
    <w:rsid w:val="00CE7B1A"/>
    <w:rsid w:val="00CF48BB"/>
    <w:rsid w:val="00D07316"/>
    <w:rsid w:val="00D243AD"/>
    <w:rsid w:val="00D32FE9"/>
    <w:rsid w:val="00D45D04"/>
    <w:rsid w:val="00D5447D"/>
    <w:rsid w:val="00D57205"/>
    <w:rsid w:val="00D57F3F"/>
    <w:rsid w:val="00D57F87"/>
    <w:rsid w:val="00D7202F"/>
    <w:rsid w:val="00D72592"/>
    <w:rsid w:val="00D73A94"/>
    <w:rsid w:val="00D80BCB"/>
    <w:rsid w:val="00D87812"/>
    <w:rsid w:val="00D87E45"/>
    <w:rsid w:val="00D90664"/>
    <w:rsid w:val="00D91EB9"/>
    <w:rsid w:val="00D9212D"/>
    <w:rsid w:val="00D933F5"/>
    <w:rsid w:val="00D971A8"/>
    <w:rsid w:val="00DB26A5"/>
    <w:rsid w:val="00DC2DD6"/>
    <w:rsid w:val="00DC5DFB"/>
    <w:rsid w:val="00DD2696"/>
    <w:rsid w:val="00DD2FBB"/>
    <w:rsid w:val="00DD338F"/>
    <w:rsid w:val="00DF75DD"/>
    <w:rsid w:val="00DF7B74"/>
    <w:rsid w:val="00E066E1"/>
    <w:rsid w:val="00E07C0E"/>
    <w:rsid w:val="00E14201"/>
    <w:rsid w:val="00E152E1"/>
    <w:rsid w:val="00E22EBC"/>
    <w:rsid w:val="00E35A8F"/>
    <w:rsid w:val="00E36214"/>
    <w:rsid w:val="00E405B5"/>
    <w:rsid w:val="00E45224"/>
    <w:rsid w:val="00E539DF"/>
    <w:rsid w:val="00E67154"/>
    <w:rsid w:val="00E7034E"/>
    <w:rsid w:val="00E7045A"/>
    <w:rsid w:val="00E71024"/>
    <w:rsid w:val="00E71FA8"/>
    <w:rsid w:val="00E72343"/>
    <w:rsid w:val="00E72C80"/>
    <w:rsid w:val="00E767D9"/>
    <w:rsid w:val="00E774FF"/>
    <w:rsid w:val="00E809DA"/>
    <w:rsid w:val="00E8489D"/>
    <w:rsid w:val="00E84F8F"/>
    <w:rsid w:val="00E86769"/>
    <w:rsid w:val="00E938AF"/>
    <w:rsid w:val="00EA1317"/>
    <w:rsid w:val="00EB28EA"/>
    <w:rsid w:val="00EB2958"/>
    <w:rsid w:val="00EB38D5"/>
    <w:rsid w:val="00EB5487"/>
    <w:rsid w:val="00EB7E93"/>
    <w:rsid w:val="00EF14B9"/>
    <w:rsid w:val="00EF7268"/>
    <w:rsid w:val="00F00149"/>
    <w:rsid w:val="00F03787"/>
    <w:rsid w:val="00F07917"/>
    <w:rsid w:val="00F133D2"/>
    <w:rsid w:val="00F15C61"/>
    <w:rsid w:val="00F163AC"/>
    <w:rsid w:val="00F21A97"/>
    <w:rsid w:val="00F325EC"/>
    <w:rsid w:val="00F32EE0"/>
    <w:rsid w:val="00F34FAC"/>
    <w:rsid w:val="00F37DC9"/>
    <w:rsid w:val="00F4145A"/>
    <w:rsid w:val="00F447CD"/>
    <w:rsid w:val="00F618B8"/>
    <w:rsid w:val="00F637A2"/>
    <w:rsid w:val="00F64DBB"/>
    <w:rsid w:val="00F80451"/>
    <w:rsid w:val="00F81A26"/>
    <w:rsid w:val="00F81ABA"/>
    <w:rsid w:val="00F823F3"/>
    <w:rsid w:val="00F84E0B"/>
    <w:rsid w:val="00FB4F38"/>
    <w:rsid w:val="00FB561A"/>
    <w:rsid w:val="00FB643C"/>
    <w:rsid w:val="00FC05B1"/>
    <w:rsid w:val="00FC25B3"/>
    <w:rsid w:val="00FD46B0"/>
    <w:rsid w:val="00FD6DE0"/>
    <w:rsid w:val="00FE7C4F"/>
    <w:rsid w:val="00FF2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3FB6C"/>
  <w15:chartTrackingRefBased/>
  <w15:docId w15:val="{A5509464-E962-0649-B5F9-D069AB01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8A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7B1A"/>
    <w:pPr>
      <w:spacing w:before="100" w:beforeAutospacing="1" w:after="100" w:afterAutospacing="1"/>
    </w:pPr>
  </w:style>
  <w:style w:type="paragraph" w:styleId="NoSpacing">
    <w:name w:val="No Spacing"/>
    <w:link w:val="NoSpacingChar"/>
    <w:uiPriority w:val="1"/>
    <w:qFormat/>
    <w:rsid w:val="00BE751D"/>
    <w:rPr>
      <w:rFonts w:eastAsiaTheme="minorEastAsia"/>
      <w:sz w:val="22"/>
      <w:szCs w:val="22"/>
      <w:lang w:val="en-US" w:eastAsia="zh-CN"/>
    </w:rPr>
  </w:style>
  <w:style w:type="character" w:customStyle="1" w:styleId="NoSpacingChar">
    <w:name w:val="No Spacing Char"/>
    <w:basedOn w:val="DefaultParagraphFont"/>
    <w:link w:val="NoSpacing"/>
    <w:uiPriority w:val="1"/>
    <w:rsid w:val="00BE751D"/>
    <w:rPr>
      <w:rFonts w:eastAsiaTheme="minorEastAsia"/>
      <w:sz w:val="22"/>
      <w:szCs w:val="22"/>
      <w:lang w:val="en-US" w:eastAsia="zh-CN"/>
    </w:rPr>
  </w:style>
  <w:style w:type="paragraph" w:styleId="ListParagraph">
    <w:name w:val="List Paragraph"/>
    <w:basedOn w:val="Normal"/>
    <w:uiPriority w:val="34"/>
    <w:qFormat/>
    <w:rsid w:val="001A1801"/>
    <w:pPr>
      <w:ind w:left="720"/>
      <w:contextualSpacing/>
    </w:pPr>
  </w:style>
  <w:style w:type="character" w:customStyle="1" w:styleId="apple-converted-space">
    <w:name w:val="apple-converted-space"/>
    <w:basedOn w:val="DefaultParagraphFont"/>
    <w:rsid w:val="00133A31"/>
  </w:style>
  <w:style w:type="character" w:styleId="Hyperlink">
    <w:name w:val="Hyperlink"/>
    <w:basedOn w:val="DefaultParagraphFont"/>
    <w:uiPriority w:val="99"/>
    <w:unhideWhenUsed/>
    <w:rsid w:val="00397E1B"/>
    <w:rPr>
      <w:color w:val="0563C1" w:themeColor="hyperlink"/>
      <w:u w:val="single"/>
    </w:rPr>
  </w:style>
  <w:style w:type="character" w:styleId="UnresolvedMention">
    <w:name w:val="Unresolved Mention"/>
    <w:basedOn w:val="DefaultParagraphFont"/>
    <w:uiPriority w:val="99"/>
    <w:semiHidden/>
    <w:unhideWhenUsed/>
    <w:rsid w:val="00397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84713">
      <w:bodyDiv w:val="1"/>
      <w:marLeft w:val="0"/>
      <w:marRight w:val="0"/>
      <w:marTop w:val="0"/>
      <w:marBottom w:val="0"/>
      <w:divBdr>
        <w:top w:val="none" w:sz="0" w:space="0" w:color="auto"/>
        <w:left w:val="none" w:sz="0" w:space="0" w:color="auto"/>
        <w:bottom w:val="none" w:sz="0" w:space="0" w:color="auto"/>
        <w:right w:val="none" w:sz="0" w:space="0" w:color="auto"/>
      </w:divBdr>
    </w:div>
    <w:div w:id="243996491">
      <w:bodyDiv w:val="1"/>
      <w:marLeft w:val="0"/>
      <w:marRight w:val="0"/>
      <w:marTop w:val="0"/>
      <w:marBottom w:val="0"/>
      <w:divBdr>
        <w:top w:val="none" w:sz="0" w:space="0" w:color="auto"/>
        <w:left w:val="none" w:sz="0" w:space="0" w:color="auto"/>
        <w:bottom w:val="none" w:sz="0" w:space="0" w:color="auto"/>
        <w:right w:val="none" w:sz="0" w:space="0" w:color="auto"/>
      </w:divBdr>
    </w:div>
    <w:div w:id="332421360">
      <w:bodyDiv w:val="1"/>
      <w:marLeft w:val="0"/>
      <w:marRight w:val="0"/>
      <w:marTop w:val="0"/>
      <w:marBottom w:val="0"/>
      <w:divBdr>
        <w:top w:val="none" w:sz="0" w:space="0" w:color="auto"/>
        <w:left w:val="none" w:sz="0" w:space="0" w:color="auto"/>
        <w:bottom w:val="none" w:sz="0" w:space="0" w:color="auto"/>
        <w:right w:val="none" w:sz="0" w:space="0" w:color="auto"/>
      </w:divBdr>
    </w:div>
    <w:div w:id="362092429">
      <w:bodyDiv w:val="1"/>
      <w:marLeft w:val="0"/>
      <w:marRight w:val="0"/>
      <w:marTop w:val="0"/>
      <w:marBottom w:val="0"/>
      <w:divBdr>
        <w:top w:val="none" w:sz="0" w:space="0" w:color="auto"/>
        <w:left w:val="none" w:sz="0" w:space="0" w:color="auto"/>
        <w:bottom w:val="none" w:sz="0" w:space="0" w:color="auto"/>
        <w:right w:val="none" w:sz="0" w:space="0" w:color="auto"/>
      </w:divBdr>
    </w:div>
    <w:div w:id="678318094">
      <w:bodyDiv w:val="1"/>
      <w:marLeft w:val="0"/>
      <w:marRight w:val="0"/>
      <w:marTop w:val="0"/>
      <w:marBottom w:val="0"/>
      <w:divBdr>
        <w:top w:val="none" w:sz="0" w:space="0" w:color="auto"/>
        <w:left w:val="none" w:sz="0" w:space="0" w:color="auto"/>
        <w:bottom w:val="none" w:sz="0" w:space="0" w:color="auto"/>
        <w:right w:val="none" w:sz="0" w:space="0" w:color="auto"/>
      </w:divBdr>
      <w:divsChild>
        <w:div w:id="1076442911">
          <w:marLeft w:val="0"/>
          <w:marRight w:val="0"/>
          <w:marTop w:val="0"/>
          <w:marBottom w:val="0"/>
          <w:divBdr>
            <w:top w:val="single" w:sz="2" w:space="0" w:color="auto"/>
            <w:left w:val="single" w:sz="2" w:space="0" w:color="auto"/>
            <w:bottom w:val="single" w:sz="6" w:space="0" w:color="auto"/>
            <w:right w:val="single" w:sz="2" w:space="0" w:color="auto"/>
          </w:divBdr>
          <w:divsChild>
            <w:div w:id="420377563">
              <w:marLeft w:val="0"/>
              <w:marRight w:val="0"/>
              <w:marTop w:val="100"/>
              <w:marBottom w:val="100"/>
              <w:divBdr>
                <w:top w:val="single" w:sz="2" w:space="0" w:color="D9D9E3"/>
                <w:left w:val="single" w:sz="2" w:space="0" w:color="D9D9E3"/>
                <w:bottom w:val="single" w:sz="2" w:space="0" w:color="D9D9E3"/>
                <w:right w:val="single" w:sz="2" w:space="0" w:color="D9D9E3"/>
              </w:divBdr>
              <w:divsChild>
                <w:div w:id="1726294116">
                  <w:marLeft w:val="0"/>
                  <w:marRight w:val="0"/>
                  <w:marTop w:val="0"/>
                  <w:marBottom w:val="0"/>
                  <w:divBdr>
                    <w:top w:val="single" w:sz="2" w:space="0" w:color="D9D9E3"/>
                    <w:left w:val="single" w:sz="2" w:space="0" w:color="D9D9E3"/>
                    <w:bottom w:val="single" w:sz="2" w:space="0" w:color="D9D9E3"/>
                    <w:right w:val="single" w:sz="2" w:space="0" w:color="D9D9E3"/>
                  </w:divBdr>
                  <w:divsChild>
                    <w:div w:id="2016222643">
                      <w:marLeft w:val="0"/>
                      <w:marRight w:val="0"/>
                      <w:marTop w:val="0"/>
                      <w:marBottom w:val="0"/>
                      <w:divBdr>
                        <w:top w:val="single" w:sz="2" w:space="0" w:color="D9D9E3"/>
                        <w:left w:val="single" w:sz="2" w:space="0" w:color="D9D9E3"/>
                        <w:bottom w:val="single" w:sz="2" w:space="0" w:color="D9D9E3"/>
                        <w:right w:val="single" w:sz="2" w:space="0" w:color="D9D9E3"/>
                      </w:divBdr>
                      <w:divsChild>
                        <w:div w:id="2091999168">
                          <w:marLeft w:val="0"/>
                          <w:marRight w:val="0"/>
                          <w:marTop w:val="0"/>
                          <w:marBottom w:val="0"/>
                          <w:divBdr>
                            <w:top w:val="single" w:sz="2" w:space="0" w:color="D9D9E3"/>
                            <w:left w:val="single" w:sz="2" w:space="0" w:color="D9D9E3"/>
                            <w:bottom w:val="single" w:sz="2" w:space="0" w:color="D9D9E3"/>
                            <w:right w:val="single" w:sz="2" w:space="0" w:color="D9D9E3"/>
                          </w:divBdr>
                          <w:divsChild>
                            <w:div w:id="1354264851">
                              <w:marLeft w:val="0"/>
                              <w:marRight w:val="0"/>
                              <w:marTop w:val="0"/>
                              <w:marBottom w:val="0"/>
                              <w:divBdr>
                                <w:top w:val="single" w:sz="2" w:space="0" w:color="D9D9E3"/>
                                <w:left w:val="single" w:sz="2" w:space="0" w:color="D9D9E3"/>
                                <w:bottom w:val="single" w:sz="2" w:space="0" w:color="D9D9E3"/>
                                <w:right w:val="single" w:sz="2" w:space="0" w:color="D9D9E3"/>
                              </w:divBdr>
                              <w:divsChild>
                                <w:div w:id="913735531">
                                  <w:marLeft w:val="0"/>
                                  <w:marRight w:val="0"/>
                                  <w:marTop w:val="0"/>
                                  <w:marBottom w:val="0"/>
                                  <w:divBdr>
                                    <w:top w:val="single" w:sz="2" w:space="0" w:color="D9D9E3"/>
                                    <w:left w:val="single" w:sz="2" w:space="0" w:color="D9D9E3"/>
                                    <w:bottom w:val="single" w:sz="2" w:space="0" w:color="D9D9E3"/>
                                    <w:right w:val="single" w:sz="2" w:space="0" w:color="D9D9E3"/>
                                  </w:divBdr>
                                  <w:divsChild>
                                    <w:div w:id="150566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02554591">
      <w:bodyDiv w:val="1"/>
      <w:marLeft w:val="0"/>
      <w:marRight w:val="0"/>
      <w:marTop w:val="0"/>
      <w:marBottom w:val="0"/>
      <w:divBdr>
        <w:top w:val="none" w:sz="0" w:space="0" w:color="auto"/>
        <w:left w:val="none" w:sz="0" w:space="0" w:color="auto"/>
        <w:bottom w:val="none" w:sz="0" w:space="0" w:color="auto"/>
        <w:right w:val="none" w:sz="0" w:space="0" w:color="auto"/>
      </w:divBdr>
    </w:div>
    <w:div w:id="980689435">
      <w:bodyDiv w:val="1"/>
      <w:marLeft w:val="0"/>
      <w:marRight w:val="0"/>
      <w:marTop w:val="0"/>
      <w:marBottom w:val="0"/>
      <w:divBdr>
        <w:top w:val="none" w:sz="0" w:space="0" w:color="auto"/>
        <w:left w:val="none" w:sz="0" w:space="0" w:color="auto"/>
        <w:bottom w:val="none" w:sz="0" w:space="0" w:color="auto"/>
        <w:right w:val="none" w:sz="0" w:space="0" w:color="auto"/>
      </w:divBdr>
    </w:div>
    <w:div w:id="990016855">
      <w:bodyDiv w:val="1"/>
      <w:marLeft w:val="0"/>
      <w:marRight w:val="0"/>
      <w:marTop w:val="0"/>
      <w:marBottom w:val="0"/>
      <w:divBdr>
        <w:top w:val="none" w:sz="0" w:space="0" w:color="auto"/>
        <w:left w:val="none" w:sz="0" w:space="0" w:color="auto"/>
        <w:bottom w:val="none" w:sz="0" w:space="0" w:color="auto"/>
        <w:right w:val="none" w:sz="0" w:space="0" w:color="auto"/>
      </w:divBdr>
    </w:div>
    <w:div w:id="1214777189">
      <w:bodyDiv w:val="1"/>
      <w:marLeft w:val="0"/>
      <w:marRight w:val="0"/>
      <w:marTop w:val="0"/>
      <w:marBottom w:val="0"/>
      <w:divBdr>
        <w:top w:val="none" w:sz="0" w:space="0" w:color="auto"/>
        <w:left w:val="none" w:sz="0" w:space="0" w:color="auto"/>
        <w:bottom w:val="none" w:sz="0" w:space="0" w:color="auto"/>
        <w:right w:val="none" w:sz="0" w:space="0" w:color="auto"/>
      </w:divBdr>
    </w:div>
    <w:div w:id="1435245430">
      <w:bodyDiv w:val="1"/>
      <w:marLeft w:val="0"/>
      <w:marRight w:val="0"/>
      <w:marTop w:val="0"/>
      <w:marBottom w:val="0"/>
      <w:divBdr>
        <w:top w:val="none" w:sz="0" w:space="0" w:color="auto"/>
        <w:left w:val="none" w:sz="0" w:space="0" w:color="auto"/>
        <w:bottom w:val="none" w:sz="0" w:space="0" w:color="auto"/>
        <w:right w:val="none" w:sz="0" w:space="0" w:color="auto"/>
      </w:divBdr>
    </w:div>
    <w:div w:id="1565411700">
      <w:bodyDiv w:val="1"/>
      <w:marLeft w:val="0"/>
      <w:marRight w:val="0"/>
      <w:marTop w:val="0"/>
      <w:marBottom w:val="0"/>
      <w:divBdr>
        <w:top w:val="none" w:sz="0" w:space="0" w:color="auto"/>
        <w:left w:val="none" w:sz="0" w:space="0" w:color="auto"/>
        <w:bottom w:val="none" w:sz="0" w:space="0" w:color="auto"/>
        <w:right w:val="none" w:sz="0" w:space="0" w:color="auto"/>
      </w:divBdr>
    </w:div>
    <w:div w:id="1597790799">
      <w:bodyDiv w:val="1"/>
      <w:marLeft w:val="0"/>
      <w:marRight w:val="0"/>
      <w:marTop w:val="0"/>
      <w:marBottom w:val="0"/>
      <w:divBdr>
        <w:top w:val="none" w:sz="0" w:space="0" w:color="auto"/>
        <w:left w:val="none" w:sz="0" w:space="0" w:color="auto"/>
        <w:bottom w:val="none" w:sz="0" w:space="0" w:color="auto"/>
        <w:right w:val="none" w:sz="0" w:space="0" w:color="auto"/>
      </w:divBdr>
    </w:div>
    <w:div w:id="1611662127">
      <w:bodyDiv w:val="1"/>
      <w:marLeft w:val="0"/>
      <w:marRight w:val="0"/>
      <w:marTop w:val="0"/>
      <w:marBottom w:val="0"/>
      <w:divBdr>
        <w:top w:val="none" w:sz="0" w:space="0" w:color="auto"/>
        <w:left w:val="none" w:sz="0" w:space="0" w:color="auto"/>
        <w:bottom w:val="none" w:sz="0" w:space="0" w:color="auto"/>
        <w:right w:val="none" w:sz="0" w:space="0" w:color="auto"/>
      </w:divBdr>
    </w:div>
    <w:div w:id="1951353385">
      <w:bodyDiv w:val="1"/>
      <w:marLeft w:val="0"/>
      <w:marRight w:val="0"/>
      <w:marTop w:val="0"/>
      <w:marBottom w:val="0"/>
      <w:divBdr>
        <w:top w:val="none" w:sz="0" w:space="0" w:color="auto"/>
        <w:left w:val="none" w:sz="0" w:space="0" w:color="auto"/>
        <w:bottom w:val="none" w:sz="0" w:space="0" w:color="auto"/>
        <w:right w:val="none" w:sz="0" w:space="0" w:color="auto"/>
      </w:divBdr>
    </w:div>
    <w:div w:id="2030712418">
      <w:bodyDiv w:val="1"/>
      <w:marLeft w:val="0"/>
      <w:marRight w:val="0"/>
      <w:marTop w:val="0"/>
      <w:marBottom w:val="0"/>
      <w:divBdr>
        <w:top w:val="none" w:sz="0" w:space="0" w:color="auto"/>
        <w:left w:val="none" w:sz="0" w:space="0" w:color="auto"/>
        <w:bottom w:val="none" w:sz="0" w:space="0" w:color="auto"/>
        <w:right w:val="none" w:sz="0" w:space="0" w:color="auto"/>
      </w:divBdr>
      <w:divsChild>
        <w:div w:id="1438023482">
          <w:marLeft w:val="0"/>
          <w:marRight w:val="0"/>
          <w:marTop w:val="0"/>
          <w:marBottom w:val="0"/>
          <w:divBdr>
            <w:top w:val="none" w:sz="0" w:space="0" w:color="auto"/>
            <w:left w:val="none" w:sz="0" w:space="0" w:color="auto"/>
            <w:bottom w:val="none" w:sz="0" w:space="0" w:color="auto"/>
            <w:right w:val="none" w:sz="0" w:space="0" w:color="auto"/>
          </w:divBdr>
          <w:divsChild>
            <w:div w:id="465589112">
              <w:marLeft w:val="0"/>
              <w:marRight w:val="0"/>
              <w:marTop w:val="0"/>
              <w:marBottom w:val="0"/>
              <w:divBdr>
                <w:top w:val="none" w:sz="0" w:space="0" w:color="auto"/>
                <w:left w:val="none" w:sz="0" w:space="0" w:color="auto"/>
                <w:bottom w:val="none" w:sz="0" w:space="0" w:color="auto"/>
                <w:right w:val="none" w:sz="0" w:space="0" w:color="auto"/>
              </w:divBdr>
              <w:divsChild>
                <w:div w:id="86887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m9ZkxEvzbn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5131</Words>
  <Characters>30787</Characters>
  <Application>Microsoft Office Word</Application>
  <DocSecurity>0</DocSecurity>
  <Lines>932</Lines>
  <Paragraphs>124</Paragraphs>
  <ScaleCrop>false</ScaleCrop>
  <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lauratownsend2001@gmail.com</dc:creator>
  <cp:keywords/>
  <dc:description/>
  <cp:lastModifiedBy>lauratownsend2001@gmail.com</cp:lastModifiedBy>
  <cp:revision>2</cp:revision>
  <dcterms:created xsi:type="dcterms:W3CDTF">2023-11-05T16:27:00Z</dcterms:created>
  <dcterms:modified xsi:type="dcterms:W3CDTF">2023-11-05T16:27:00Z</dcterms:modified>
</cp:coreProperties>
</file>