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0651" w:rsidRDefault="00836873" w:rsidP="00590D20">
      <w:pPr>
        <w:spacing w:line="480" w:lineRule="auto"/>
        <w:jc w:val="both"/>
        <w:rPr>
          <w:rFonts w:ascii="Arial" w:hAnsi="Arial" w:cs="Arial"/>
          <w:b/>
          <w:bCs/>
        </w:rPr>
      </w:pPr>
      <w:r w:rsidRPr="00566C74">
        <w:rPr>
          <w:b/>
          <w:noProof/>
          <w:sz w:val="32"/>
          <w:szCs w:val="32"/>
          <w:lang w:val="en-IN" w:eastAsia="en-IN"/>
        </w:rPr>
        <w:drawing>
          <wp:anchor distT="0" distB="0" distL="114300" distR="114300" simplePos="0" relativeHeight="251662336" behindDoc="1" locked="0" layoutInCell="1" allowOverlap="1">
            <wp:simplePos x="0" y="0"/>
            <wp:positionH relativeFrom="column">
              <wp:posOffset>2105025</wp:posOffset>
            </wp:positionH>
            <wp:positionV relativeFrom="paragraph">
              <wp:posOffset>0</wp:posOffset>
            </wp:positionV>
            <wp:extent cx="2009775" cy="1028065"/>
            <wp:effectExtent l="0" t="0" r="9525" b="635"/>
            <wp:wrapTight wrapText="bothSides">
              <wp:wrapPolygon edited="0">
                <wp:start x="0" y="0"/>
                <wp:lineTo x="0" y="21213"/>
                <wp:lineTo x="21498" y="21213"/>
                <wp:lineTo x="21498" y="0"/>
                <wp:lineTo x="0" y="0"/>
              </wp:wrapPolygon>
            </wp:wrapTight>
            <wp:docPr id="1302884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884201" name=""/>
                    <pic:cNvPicPr/>
                  </pic:nvPicPr>
                  <pic:blipFill rotWithShape="1">
                    <a:blip r:embed="rId8">
                      <a:extLst>
                        <a:ext uri="{28A0092B-C50C-407E-A947-70E740481C1C}">
                          <a14:useLocalDpi xmlns:a14="http://schemas.microsoft.com/office/drawing/2010/main" val="0"/>
                        </a:ext>
                      </a:extLst>
                    </a:blip>
                    <a:srcRect r="66186"/>
                    <a:stretch/>
                  </pic:blipFill>
                  <pic:spPr bwMode="auto">
                    <a:xfrm>
                      <a:off x="0" y="0"/>
                      <a:ext cx="2009775" cy="1028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130651" w:rsidRDefault="00130651" w:rsidP="00590D20">
      <w:pPr>
        <w:spacing w:line="480" w:lineRule="auto"/>
        <w:jc w:val="both"/>
        <w:rPr>
          <w:rFonts w:ascii="Arial" w:hAnsi="Arial" w:cs="Arial"/>
          <w:b/>
          <w:bCs/>
        </w:rPr>
      </w:pPr>
    </w:p>
    <w:p w:rsidR="00130651" w:rsidRDefault="00130651" w:rsidP="00590D20">
      <w:pPr>
        <w:spacing w:line="480" w:lineRule="auto"/>
        <w:jc w:val="both"/>
        <w:rPr>
          <w:rFonts w:ascii="Arial" w:hAnsi="Arial" w:cs="Arial"/>
          <w:b/>
          <w:bCs/>
        </w:rPr>
      </w:pPr>
    </w:p>
    <w:p w:rsidR="00836873" w:rsidRDefault="00836873" w:rsidP="009B6430">
      <w:pPr>
        <w:spacing w:line="480" w:lineRule="auto"/>
        <w:rPr>
          <w:b/>
          <w:sz w:val="32"/>
          <w:szCs w:val="32"/>
        </w:rPr>
      </w:pPr>
    </w:p>
    <w:p w:rsidR="00836873" w:rsidRPr="00E33537" w:rsidRDefault="00836873" w:rsidP="00590D20">
      <w:pPr>
        <w:spacing w:line="480" w:lineRule="auto"/>
        <w:jc w:val="center"/>
        <w:rPr>
          <w:b/>
          <w:sz w:val="32"/>
          <w:szCs w:val="32"/>
        </w:rPr>
      </w:pPr>
      <w:proofErr w:type="spellStart"/>
      <w:r w:rsidRPr="00E33537">
        <w:rPr>
          <w:b/>
          <w:sz w:val="32"/>
          <w:szCs w:val="32"/>
        </w:rPr>
        <w:t>Programme</w:t>
      </w:r>
      <w:proofErr w:type="spellEnd"/>
      <w:r w:rsidRPr="00E33537">
        <w:rPr>
          <w:b/>
          <w:sz w:val="32"/>
          <w:szCs w:val="32"/>
        </w:rPr>
        <w:t>: MSc Public Health and Social Care in Practice</w:t>
      </w:r>
    </w:p>
    <w:p w:rsidR="00836873" w:rsidRPr="00E33537" w:rsidRDefault="00836873" w:rsidP="00590D20">
      <w:pPr>
        <w:spacing w:line="480" w:lineRule="auto"/>
        <w:jc w:val="center"/>
        <w:rPr>
          <w:b/>
          <w:sz w:val="32"/>
          <w:szCs w:val="32"/>
        </w:rPr>
      </w:pPr>
      <w:r w:rsidRPr="00E33537">
        <w:rPr>
          <w:b/>
          <w:sz w:val="32"/>
          <w:szCs w:val="32"/>
        </w:rPr>
        <w:t>Module: Quality Assurance and Service Improvements</w:t>
      </w:r>
    </w:p>
    <w:p w:rsidR="00836873" w:rsidRPr="00E33537" w:rsidRDefault="00836873" w:rsidP="00590D20">
      <w:pPr>
        <w:spacing w:line="480" w:lineRule="auto"/>
        <w:jc w:val="center"/>
        <w:rPr>
          <w:b/>
          <w:sz w:val="32"/>
          <w:szCs w:val="32"/>
        </w:rPr>
      </w:pPr>
      <w:r w:rsidRPr="00E33537">
        <w:rPr>
          <w:b/>
          <w:sz w:val="32"/>
          <w:szCs w:val="32"/>
        </w:rPr>
        <w:t>Module code: LCHS7006</w:t>
      </w:r>
    </w:p>
    <w:p w:rsidR="00836873" w:rsidRDefault="00836873" w:rsidP="00590D20">
      <w:pPr>
        <w:spacing w:line="480" w:lineRule="auto"/>
        <w:jc w:val="center"/>
        <w:rPr>
          <w:b/>
          <w:sz w:val="32"/>
          <w:szCs w:val="32"/>
        </w:rPr>
      </w:pPr>
      <w:r w:rsidRPr="00E33537">
        <w:rPr>
          <w:b/>
          <w:sz w:val="32"/>
          <w:szCs w:val="32"/>
        </w:rPr>
        <w:t>Assignment Title: Component 1 Service Improvement Report</w:t>
      </w:r>
    </w:p>
    <w:p w:rsidR="009B6430" w:rsidRDefault="009B6430" w:rsidP="00590D20">
      <w:pPr>
        <w:spacing w:line="480" w:lineRule="auto"/>
        <w:jc w:val="center"/>
        <w:rPr>
          <w:b/>
          <w:sz w:val="32"/>
          <w:szCs w:val="32"/>
        </w:rPr>
      </w:pPr>
      <w:r>
        <w:rPr>
          <w:b/>
          <w:sz w:val="32"/>
          <w:szCs w:val="32"/>
        </w:rPr>
        <w:t>Name: Akshay Moncy</w:t>
      </w:r>
    </w:p>
    <w:p w:rsidR="009B6430" w:rsidRPr="00E33537" w:rsidRDefault="00671CEC" w:rsidP="00590D20">
      <w:pPr>
        <w:spacing w:line="480" w:lineRule="auto"/>
        <w:jc w:val="center"/>
        <w:rPr>
          <w:b/>
          <w:sz w:val="32"/>
          <w:szCs w:val="32"/>
        </w:rPr>
      </w:pPr>
      <w:r>
        <w:rPr>
          <w:b/>
          <w:sz w:val="32"/>
          <w:szCs w:val="32"/>
        </w:rPr>
        <w:t xml:space="preserve">Student </w:t>
      </w:r>
      <w:r w:rsidR="009B6430">
        <w:rPr>
          <w:b/>
          <w:sz w:val="32"/>
          <w:szCs w:val="32"/>
        </w:rPr>
        <w:t>Id: 2430327</w:t>
      </w:r>
      <w:r>
        <w:rPr>
          <w:b/>
          <w:sz w:val="32"/>
          <w:szCs w:val="32"/>
        </w:rPr>
        <w:t xml:space="preserve"> </w:t>
      </w:r>
    </w:p>
    <w:p w:rsidR="00130651" w:rsidRDefault="00130651" w:rsidP="00590D20">
      <w:pPr>
        <w:spacing w:line="480" w:lineRule="auto"/>
        <w:jc w:val="both"/>
        <w:rPr>
          <w:rFonts w:ascii="Arial" w:hAnsi="Arial" w:cs="Arial"/>
          <w:b/>
          <w:bCs/>
        </w:rPr>
      </w:pPr>
    </w:p>
    <w:p w:rsidR="00130651" w:rsidRDefault="00130651" w:rsidP="00590D20">
      <w:pPr>
        <w:spacing w:line="480" w:lineRule="auto"/>
        <w:jc w:val="both"/>
        <w:rPr>
          <w:rFonts w:ascii="Arial" w:hAnsi="Arial" w:cs="Arial"/>
          <w:b/>
          <w:bCs/>
        </w:rPr>
      </w:pPr>
    </w:p>
    <w:p w:rsidR="00130651" w:rsidRDefault="00130651" w:rsidP="00590D20">
      <w:pPr>
        <w:spacing w:line="480" w:lineRule="auto"/>
        <w:jc w:val="both"/>
        <w:rPr>
          <w:rFonts w:ascii="Arial" w:hAnsi="Arial" w:cs="Arial"/>
          <w:b/>
          <w:bCs/>
        </w:rPr>
      </w:pPr>
    </w:p>
    <w:p w:rsidR="00130651" w:rsidRDefault="00130651" w:rsidP="00590D20">
      <w:pPr>
        <w:spacing w:line="480" w:lineRule="auto"/>
        <w:jc w:val="both"/>
        <w:rPr>
          <w:rFonts w:ascii="Arial" w:hAnsi="Arial" w:cs="Arial"/>
          <w:b/>
          <w:bCs/>
        </w:rPr>
      </w:pPr>
    </w:p>
    <w:p w:rsidR="00130651" w:rsidRDefault="00130651" w:rsidP="00590D20">
      <w:pPr>
        <w:spacing w:line="480" w:lineRule="auto"/>
        <w:jc w:val="both"/>
        <w:rPr>
          <w:rFonts w:ascii="Arial" w:hAnsi="Arial" w:cs="Arial"/>
          <w:b/>
          <w:bCs/>
        </w:rPr>
      </w:pPr>
    </w:p>
    <w:p w:rsidR="00130651" w:rsidRDefault="00130651" w:rsidP="00590D20">
      <w:pPr>
        <w:spacing w:line="480" w:lineRule="auto"/>
        <w:jc w:val="both"/>
        <w:rPr>
          <w:rFonts w:ascii="Arial" w:hAnsi="Arial" w:cs="Arial"/>
          <w:b/>
          <w:bCs/>
        </w:rPr>
      </w:pPr>
    </w:p>
    <w:p w:rsidR="00130651" w:rsidRDefault="00130651"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Pr="00836873" w:rsidRDefault="00836873" w:rsidP="00590D20">
      <w:pPr>
        <w:spacing w:line="480" w:lineRule="auto"/>
        <w:jc w:val="both"/>
        <w:rPr>
          <w:rFonts w:ascii="Arial" w:hAnsi="Arial" w:cs="Arial"/>
          <w:b/>
          <w:bCs/>
        </w:rPr>
      </w:pPr>
      <w:r w:rsidRPr="00836873">
        <w:rPr>
          <w:rFonts w:ascii="Arial" w:hAnsi="Arial" w:cs="Arial"/>
          <w:b/>
          <w:bCs/>
        </w:rPr>
        <w:lastRenderedPageBreak/>
        <w:t>Executive Summary</w:t>
      </w:r>
    </w:p>
    <w:p w:rsidR="00836873" w:rsidRPr="00836873" w:rsidRDefault="00836873" w:rsidP="00590D20">
      <w:pPr>
        <w:spacing w:line="480" w:lineRule="auto"/>
        <w:jc w:val="both"/>
        <w:rPr>
          <w:rFonts w:ascii="Arial" w:hAnsi="Arial" w:cs="Arial"/>
        </w:rPr>
      </w:pPr>
      <w:r w:rsidRPr="00836873">
        <w:rPr>
          <w:rFonts w:ascii="Arial" w:hAnsi="Arial" w:cs="Arial"/>
        </w:rPr>
        <w:t xml:space="preserve">The 2022 NHS cyberattack exposed critical weaknesses in digital infrastructure, workforce readiness, vendor management, and governance, disrupting services and compromising over 80,000 patient records. Analysis using Swiss Cheese, Fishbone, 5 Whys, </w:t>
      </w:r>
      <w:proofErr w:type="spellStart"/>
      <w:r w:rsidRPr="00836873">
        <w:rPr>
          <w:rFonts w:ascii="Arial" w:hAnsi="Arial" w:cs="Arial"/>
        </w:rPr>
        <w:t>Donabedian</w:t>
      </w:r>
      <w:proofErr w:type="spellEnd"/>
      <w:r w:rsidRPr="00836873">
        <w:rPr>
          <w:rFonts w:ascii="Arial" w:hAnsi="Arial" w:cs="Arial"/>
        </w:rPr>
        <w:t xml:space="preserve"> SPO, SWOT, CQC domains, HEDIS indicators, Theory of Change, and Lewin’s Change Model revealed systemic causes including outdated IT, inconsistent patching, fragmented governance, and insufficient staff training.</w:t>
      </w:r>
    </w:p>
    <w:p w:rsidR="00836873" w:rsidRPr="00836873" w:rsidRDefault="00836873" w:rsidP="00590D20">
      <w:pPr>
        <w:spacing w:line="480" w:lineRule="auto"/>
        <w:jc w:val="both"/>
        <w:rPr>
          <w:rFonts w:ascii="Arial" w:hAnsi="Arial" w:cs="Arial"/>
        </w:rPr>
      </w:pPr>
      <w:r w:rsidRPr="00836873">
        <w:rPr>
          <w:rFonts w:ascii="Arial" w:hAnsi="Arial" w:cs="Arial"/>
        </w:rPr>
        <w:t xml:space="preserve">Recommendations focus on PDSA cycles, Lean and Six Sigma improvements, strengthened leadership, workforce training, IT </w:t>
      </w:r>
      <w:proofErr w:type="spellStart"/>
      <w:r w:rsidRPr="00836873">
        <w:rPr>
          <w:rFonts w:ascii="Arial" w:hAnsi="Arial" w:cs="Arial"/>
        </w:rPr>
        <w:t>modernisation</w:t>
      </w:r>
      <w:proofErr w:type="spellEnd"/>
      <w:r w:rsidRPr="00836873">
        <w:rPr>
          <w:rFonts w:ascii="Arial" w:hAnsi="Arial" w:cs="Arial"/>
        </w:rPr>
        <w:t>, and continuous monitoring. Embedding cybersecurity in quality-assurance frameworks will enhance resilience, patient safety, and reliable healthcare delivery in an increasingly digital environment.</w:t>
      </w: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spacing w:line="480" w:lineRule="auto"/>
        <w:jc w:val="both"/>
        <w:rPr>
          <w:rFonts w:ascii="Arial" w:hAnsi="Arial" w:cs="Arial"/>
          <w:b/>
          <w:bCs/>
        </w:rPr>
      </w:pPr>
    </w:p>
    <w:p w:rsidR="00836873" w:rsidRDefault="00836873" w:rsidP="00590D20">
      <w:pPr>
        <w:pStyle w:val="TOC3"/>
        <w:spacing w:line="480" w:lineRule="auto"/>
        <w:ind w:left="0"/>
      </w:pPr>
    </w:p>
    <w:p w:rsidR="00836873" w:rsidRPr="00B63218" w:rsidRDefault="00836873" w:rsidP="00590D20">
      <w:pPr>
        <w:pStyle w:val="TOCHeading"/>
        <w:spacing w:line="480" w:lineRule="auto"/>
        <w:jc w:val="center"/>
        <w:rPr>
          <w:rFonts w:ascii="Arial" w:hAnsi="Arial" w:cs="Arial"/>
          <w:b/>
          <w:bCs/>
          <w:sz w:val="36"/>
          <w:lang w:val="en-GB"/>
        </w:rPr>
      </w:pPr>
      <w:r w:rsidRPr="00B63218">
        <w:rPr>
          <w:rFonts w:ascii="Arial" w:hAnsi="Arial" w:cs="Arial"/>
          <w:b/>
          <w:bCs/>
          <w:color w:val="000000" w:themeColor="text1"/>
          <w:lang w:val="en-GB"/>
        </w:rPr>
        <w:lastRenderedPageBreak/>
        <w:t>Table of Contents</w:t>
      </w:r>
      <w:r>
        <w:t xml:space="preserve">                          </w:t>
      </w:r>
    </w:p>
    <w:sdt>
      <w:sdtPr>
        <w:id w:val="472800027"/>
        <w:docPartObj>
          <w:docPartGallery w:val="Table of Contents"/>
          <w:docPartUnique/>
        </w:docPartObj>
      </w:sdtPr>
      <w:sdtEndPr>
        <w:rPr>
          <w:rFonts w:asciiTheme="minorHAnsi" w:hAnsiTheme="minorHAnsi" w:cstheme="minorBidi"/>
          <w:noProof/>
          <w:sz w:val="22"/>
          <w:szCs w:val="22"/>
        </w:rPr>
      </w:sdtEndPr>
      <w:sdtContent>
        <w:p w:rsidR="00836873" w:rsidRPr="00836873" w:rsidRDefault="00836873" w:rsidP="00590D20">
          <w:pPr>
            <w:pStyle w:val="TOC3"/>
            <w:spacing w:line="480" w:lineRule="auto"/>
          </w:pPr>
          <w:r w:rsidRPr="00836873">
            <w:t>1. Introduction</w:t>
          </w:r>
          <w:r w:rsidR="00B63218">
            <w:t>…………………………………………………………………</w:t>
          </w:r>
          <w:r w:rsidR="00BE74BD">
            <w:t>.……4-5</w:t>
          </w:r>
        </w:p>
        <w:p w:rsidR="00836873" w:rsidRPr="00836873" w:rsidRDefault="00836873" w:rsidP="00590D20">
          <w:pPr>
            <w:pStyle w:val="TOC3"/>
            <w:spacing w:line="480" w:lineRule="auto"/>
          </w:pPr>
          <w:r w:rsidRPr="00836873">
            <w:t>2. Main Body</w:t>
          </w:r>
        </w:p>
        <w:p w:rsidR="00836873" w:rsidRPr="00836873" w:rsidRDefault="00836873" w:rsidP="00590D20">
          <w:pPr>
            <w:pStyle w:val="TOC3"/>
            <w:spacing w:line="480" w:lineRule="auto"/>
          </w:pPr>
          <w:r w:rsidRPr="00836873">
            <w:t xml:space="preserve">2.1 Swiss Cheese Model (James Reason, </w:t>
          </w:r>
          <w:proofErr w:type="gramStart"/>
          <w:r w:rsidRPr="00836873">
            <w:t>1990)</w:t>
          </w:r>
          <w:r w:rsidR="00B63218">
            <w:t>…</w:t>
          </w:r>
          <w:proofErr w:type="gramEnd"/>
          <w:r w:rsidR="00B63218">
            <w:t>………………………</w:t>
          </w:r>
          <w:r w:rsidR="00BE74BD">
            <w:t>……6-7</w:t>
          </w:r>
        </w:p>
        <w:p w:rsidR="00836873" w:rsidRPr="00836873" w:rsidRDefault="00836873" w:rsidP="00590D20">
          <w:pPr>
            <w:pStyle w:val="TOC3"/>
            <w:spacing w:line="480" w:lineRule="auto"/>
          </w:pPr>
          <w:r w:rsidRPr="00836873">
            <w:t>2.2 Fishbone (Ishikawa) Diagram Analysis</w:t>
          </w:r>
          <w:r w:rsidR="00B63218">
            <w:t>………………………………</w:t>
          </w:r>
          <w:r w:rsidR="00BE74BD">
            <w:t>…….7-9</w:t>
          </w:r>
        </w:p>
        <w:p w:rsidR="00836873" w:rsidRPr="00836873" w:rsidRDefault="00836873" w:rsidP="00590D20">
          <w:pPr>
            <w:pStyle w:val="TOC3"/>
            <w:spacing w:line="480" w:lineRule="auto"/>
          </w:pPr>
          <w:r w:rsidRPr="00836873">
            <w:t>2.3 5 Whys Root-Cause Analysis</w:t>
          </w:r>
          <w:r w:rsidR="00B63218">
            <w:t>……………………………………………</w:t>
          </w:r>
          <w:proofErr w:type="gramStart"/>
          <w:r w:rsidR="00BE74BD">
            <w:t>…..</w:t>
          </w:r>
          <w:proofErr w:type="gramEnd"/>
          <w:r w:rsidR="00BE74BD">
            <w:t>10-11</w:t>
          </w:r>
        </w:p>
        <w:p w:rsidR="00836873" w:rsidRPr="00836873" w:rsidRDefault="00836873" w:rsidP="00590D20">
          <w:pPr>
            <w:pStyle w:val="TOC3"/>
            <w:spacing w:line="480" w:lineRule="auto"/>
          </w:pPr>
          <w:r w:rsidRPr="00836873">
            <w:t xml:space="preserve">2.4 </w:t>
          </w:r>
          <w:proofErr w:type="spellStart"/>
          <w:r w:rsidRPr="00836873">
            <w:t>Donabedian</w:t>
          </w:r>
          <w:proofErr w:type="spellEnd"/>
          <w:r w:rsidRPr="00836873">
            <w:t xml:space="preserve"> Structure–Process–Outcome (SPO) Model</w:t>
          </w:r>
          <w:r w:rsidR="00B63218">
            <w:t>……………</w:t>
          </w:r>
          <w:r w:rsidR="00BE74BD">
            <w:t>….11-12</w:t>
          </w:r>
        </w:p>
        <w:p w:rsidR="00836873" w:rsidRPr="00836873" w:rsidRDefault="00836873" w:rsidP="00590D20">
          <w:pPr>
            <w:pStyle w:val="TOC3"/>
            <w:spacing w:line="480" w:lineRule="auto"/>
          </w:pPr>
          <w:r w:rsidRPr="00836873">
            <w:t>2.5 SWOT Analysis</w:t>
          </w:r>
          <w:r w:rsidR="00B63218">
            <w:t>……………………………………………………………...</w:t>
          </w:r>
          <w:r w:rsidR="00BE74BD">
            <w:t>....12-14</w:t>
          </w:r>
        </w:p>
        <w:p w:rsidR="00836873" w:rsidRPr="00836873" w:rsidRDefault="00836873" w:rsidP="00590D20">
          <w:pPr>
            <w:pStyle w:val="TOC3"/>
            <w:spacing w:line="480" w:lineRule="auto"/>
          </w:pPr>
          <w:r w:rsidRPr="00836873">
            <w:t>2.6 CQC Five Domains Analysis</w:t>
          </w:r>
          <w:r w:rsidR="00B63218">
            <w:t>………………………………………………</w:t>
          </w:r>
          <w:r w:rsidR="00BE74BD">
            <w:t>...14-15</w:t>
          </w:r>
        </w:p>
        <w:p w:rsidR="00836873" w:rsidRDefault="00836873" w:rsidP="00590D20">
          <w:pPr>
            <w:pStyle w:val="TOC3"/>
            <w:spacing w:line="480" w:lineRule="auto"/>
          </w:pPr>
          <w:r w:rsidRPr="00836873">
            <w:t>2.7 HEDIS Indicators</w:t>
          </w:r>
          <w:r w:rsidR="00B63218">
            <w:t>……………………………………………………………</w:t>
          </w:r>
          <w:r w:rsidR="00BE74BD">
            <w:t>….15-16</w:t>
          </w:r>
        </w:p>
        <w:p w:rsidR="00836873" w:rsidRPr="00836873" w:rsidRDefault="00836873" w:rsidP="00590D20">
          <w:pPr>
            <w:pStyle w:val="TOC3"/>
            <w:spacing w:line="480" w:lineRule="auto"/>
          </w:pPr>
          <w:r w:rsidRPr="00836873">
            <w:t>2.8 Theory of Change</w:t>
          </w:r>
          <w:r w:rsidR="00B63218">
            <w:t>……………………………………………………………</w:t>
          </w:r>
          <w:r w:rsidR="00BE74BD">
            <w:t>…….16</w:t>
          </w:r>
        </w:p>
        <w:p w:rsidR="00836873" w:rsidRPr="00836873" w:rsidRDefault="00836873" w:rsidP="00590D20">
          <w:pPr>
            <w:pStyle w:val="TOC3"/>
            <w:spacing w:line="480" w:lineRule="auto"/>
          </w:pPr>
          <w:r w:rsidRPr="00836873">
            <w:t>2.9 Lewin’s Three-Stage Change Model</w:t>
          </w:r>
          <w:r w:rsidR="00B63218">
            <w:t>………………………………………</w:t>
          </w:r>
          <w:r w:rsidR="00BE74BD">
            <w:t>.16-17</w:t>
          </w:r>
        </w:p>
        <w:p w:rsidR="00836873" w:rsidRDefault="00836873" w:rsidP="00590D20">
          <w:pPr>
            <w:pStyle w:val="TOC3"/>
            <w:spacing w:line="480" w:lineRule="auto"/>
          </w:pPr>
          <w:r w:rsidRPr="00836873">
            <w:t>2.10 Monitoring &amp; Evaluation (M&amp;</w:t>
          </w:r>
          <w:proofErr w:type="gramStart"/>
          <w:r w:rsidRPr="00836873">
            <w:t>E)</w:t>
          </w:r>
          <w:r w:rsidR="00B63218">
            <w:t>…</w:t>
          </w:r>
          <w:proofErr w:type="gramEnd"/>
          <w:r w:rsidR="00B63218">
            <w:t>………………………………………</w:t>
          </w:r>
          <w:r w:rsidR="00BE74BD">
            <w:t>……..17</w:t>
          </w:r>
        </w:p>
        <w:p w:rsidR="00836873" w:rsidRPr="00836873" w:rsidRDefault="00836873" w:rsidP="00590D20">
          <w:pPr>
            <w:pStyle w:val="TOC3"/>
            <w:spacing w:line="480" w:lineRule="auto"/>
          </w:pPr>
          <w:r>
            <w:t>3. Recommendation</w:t>
          </w:r>
          <w:r w:rsidR="00B63218">
            <w:t>……………………………………………………………</w:t>
          </w:r>
          <w:proofErr w:type="gramStart"/>
          <w:r w:rsidR="00B63218">
            <w:t>…</w:t>
          </w:r>
          <w:r w:rsidR="00BE74BD">
            <w:t>..</w:t>
          </w:r>
          <w:proofErr w:type="gramEnd"/>
          <w:r w:rsidR="00BE74BD">
            <w:t>17-19</w:t>
          </w:r>
        </w:p>
        <w:p w:rsidR="00836873" w:rsidRPr="00836873" w:rsidRDefault="00836873" w:rsidP="00590D20">
          <w:pPr>
            <w:pStyle w:val="TOC3"/>
            <w:spacing w:line="480" w:lineRule="auto"/>
          </w:pPr>
          <w:r w:rsidRPr="00836873">
            <w:t>4. Conclusion</w:t>
          </w:r>
          <w:r w:rsidR="00B63218">
            <w:t>………………………………………………………………………</w:t>
          </w:r>
          <w:r w:rsidR="00BE74BD">
            <w:t>.19-20</w:t>
          </w:r>
        </w:p>
        <w:p w:rsidR="00B63218" w:rsidRPr="00B63218" w:rsidRDefault="00836873" w:rsidP="00590D20">
          <w:pPr>
            <w:pStyle w:val="TOC3"/>
            <w:spacing w:line="480" w:lineRule="auto"/>
          </w:pPr>
          <w:r w:rsidRPr="00836873">
            <w:t>5. References</w:t>
          </w:r>
          <w:r w:rsidR="00B63218">
            <w:t>……………………………………………………………………….</w:t>
          </w:r>
          <w:r w:rsidR="00BE74BD">
            <w:t>21-23</w:t>
          </w:r>
        </w:p>
      </w:sdtContent>
    </w:sdt>
    <w:p w:rsidR="00B63218" w:rsidRDefault="00B63218" w:rsidP="00590D20">
      <w:pPr>
        <w:spacing w:line="480" w:lineRule="auto"/>
        <w:jc w:val="both"/>
        <w:rPr>
          <w:rFonts w:ascii="Arial" w:hAnsi="Arial" w:cs="Arial"/>
          <w:b/>
          <w:bCs/>
        </w:rPr>
      </w:pPr>
    </w:p>
    <w:p w:rsidR="00590D20" w:rsidRDefault="00590D20" w:rsidP="00590D20">
      <w:pPr>
        <w:spacing w:line="480" w:lineRule="auto"/>
        <w:jc w:val="both"/>
        <w:rPr>
          <w:rFonts w:ascii="Arial" w:hAnsi="Arial" w:cs="Arial"/>
          <w:b/>
          <w:bCs/>
        </w:rPr>
      </w:pPr>
    </w:p>
    <w:p w:rsidR="00590D20" w:rsidRDefault="00590D20" w:rsidP="00590D20">
      <w:pPr>
        <w:spacing w:line="480" w:lineRule="auto"/>
        <w:jc w:val="both"/>
        <w:rPr>
          <w:rFonts w:ascii="Arial" w:hAnsi="Arial" w:cs="Arial"/>
          <w:b/>
          <w:bCs/>
        </w:rPr>
      </w:pPr>
    </w:p>
    <w:p w:rsidR="00590D20" w:rsidRDefault="00590D20" w:rsidP="00590D20">
      <w:pPr>
        <w:spacing w:line="480" w:lineRule="auto"/>
        <w:jc w:val="both"/>
        <w:rPr>
          <w:rFonts w:ascii="Arial" w:hAnsi="Arial" w:cs="Arial"/>
          <w:b/>
          <w:bCs/>
        </w:rPr>
      </w:pPr>
    </w:p>
    <w:p w:rsidR="00206632" w:rsidRPr="008D5183" w:rsidRDefault="00206632" w:rsidP="00590D20">
      <w:pPr>
        <w:spacing w:line="480" w:lineRule="auto"/>
        <w:jc w:val="both"/>
        <w:rPr>
          <w:rFonts w:ascii="Arial" w:hAnsi="Arial" w:cs="Arial"/>
          <w:b/>
          <w:bCs/>
          <w:sz w:val="24"/>
        </w:rPr>
      </w:pPr>
      <w:r w:rsidRPr="008D5183">
        <w:rPr>
          <w:rFonts w:ascii="Arial" w:hAnsi="Arial" w:cs="Arial"/>
          <w:b/>
          <w:bCs/>
          <w:sz w:val="24"/>
        </w:rPr>
        <w:lastRenderedPageBreak/>
        <w:t xml:space="preserve">INTRODUCTION </w:t>
      </w:r>
    </w:p>
    <w:p w:rsidR="00206632" w:rsidRPr="00590D20" w:rsidRDefault="00206632" w:rsidP="00590D20">
      <w:pPr>
        <w:pStyle w:val="ListParagraph"/>
        <w:numPr>
          <w:ilvl w:val="0"/>
          <w:numId w:val="4"/>
        </w:numPr>
        <w:spacing w:line="480" w:lineRule="auto"/>
        <w:jc w:val="both"/>
        <w:rPr>
          <w:rFonts w:ascii="Arial" w:hAnsi="Arial" w:cs="Arial"/>
          <w:b/>
          <w:bCs/>
          <w:sz w:val="28"/>
        </w:rPr>
      </w:pPr>
      <w:r w:rsidRPr="00590D20">
        <w:rPr>
          <w:rFonts w:ascii="Arial" w:hAnsi="Arial" w:cs="Arial"/>
          <w:b/>
          <w:bCs/>
          <w:sz w:val="28"/>
        </w:rPr>
        <w:t>Case Study: 2022 NHS Cyberattack</w:t>
      </w:r>
    </w:p>
    <w:p w:rsidR="00206632" w:rsidRPr="00206632" w:rsidRDefault="00206632" w:rsidP="00590D20">
      <w:pPr>
        <w:spacing w:line="480" w:lineRule="auto"/>
        <w:jc w:val="both"/>
        <w:rPr>
          <w:rFonts w:ascii="Arial" w:hAnsi="Arial" w:cs="Arial"/>
        </w:rPr>
      </w:pPr>
      <w:r w:rsidRPr="00206632">
        <w:rPr>
          <w:rFonts w:ascii="Arial" w:hAnsi="Arial" w:cs="Arial"/>
        </w:rPr>
        <w:t xml:space="preserve">Digital technologies have become essential components of modern healthcare delivery as they support clinical decision-making, diagnostics, triage and communication across all levels of health and social care (Moore, 2023). The NHS increasingly relies on electronic patient records, digital prescribing platforms and interconnected clinical systems to ensure timely and coordinated services (Nair et al., 2023). However, this increased digital dependency expands vulnerability to cyber threats, which have been </w:t>
      </w:r>
      <w:proofErr w:type="spellStart"/>
      <w:r w:rsidRPr="00206632">
        <w:rPr>
          <w:rFonts w:ascii="Arial" w:hAnsi="Arial" w:cs="Arial"/>
        </w:rPr>
        <w:t>recognised</w:t>
      </w:r>
      <w:proofErr w:type="spellEnd"/>
      <w:r w:rsidRPr="00206632">
        <w:rPr>
          <w:rFonts w:ascii="Arial" w:hAnsi="Arial" w:cs="Arial"/>
        </w:rPr>
        <w:t xml:space="preserve"> globally as major risks to patient safety and health-system continuity (Hasegawa et al., 2024). In August 2022, the NHS experienced a significant cyberattack when the software supplier Advanced was targeted with ransomware, resulting in major disruption to NHS 111, ambulance dispatch, mental health services and community care records (Milmo, 2022). The attack exposed more than 80,000 patient records, creating substantial risks to confidentiality, data integrity and continuity of care (Weaver, 2024).</w:t>
      </w:r>
    </w:p>
    <w:p w:rsidR="00206632" w:rsidRPr="00206632" w:rsidRDefault="00206632" w:rsidP="00590D20">
      <w:pPr>
        <w:spacing w:line="480" w:lineRule="auto"/>
        <w:jc w:val="both"/>
        <w:rPr>
          <w:rFonts w:ascii="Arial" w:hAnsi="Arial" w:cs="Arial"/>
        </w:rPr>
      </w:pPr>
      <w:r w:rsidRPr="00206632">
        <w:rPr>
          <w:rFonts w:ascii="Arial" w:hAnsi="Arial" w:cs="Arial"/>
        </w:rPr>
        <w:t>Research shows that cyberattacks in healthcare often result in delayed treatment, increased clinical errors, communication failures and disruption to diagnostic services, all of which compromise quality of care (</w:t>
      </w:r>
      <w:proofErr w:type="spellStart"/>
      <w:r w:rsidRPr="00206632">
        <w:rPr>
          <w:rFonts w:ascii="Arial" w:hAnsi="Arial" w:cs="Arial"/>
        </w:rPr>
        <w:t>Portela</w:t>
      </w:r>
      <w:proofErr w:type="spellEnd"/>
      <w:r w:rsidRPr="00206632">
        <w:rPr>
          <w:rFonts w:ascii="Arial" w:hAnsi="Arial" w:cs="Arial"/>
        </w:rPr>
        <w:t xml:space="preserve"> et al., 2023). During the NHS attack, healthcare professionals were forced to revert to manual documentation methods, which are associated with increased error rates and reduced efficiency under emergency conditions (Kwon et al., 2020). </w:t>
      </w:r>
      <w:r w:rsidR="00B63218" w:rsidRPr="00206632">
        <w:rPr>
          <w:rFonts w:ascii="Arial" w:hAnsi="Arial" w:cs="Arial"/>
        </w:rPr>
        <w:t>These highlighted deficiencies</w:t>
      </w:r>
      <w:r w:rsidRPr="00206632">
        <w:rPr>
          <w:rFonts w:ascii="Arial" w:hAnsi="Arial" w:cs="Arial"/>
        </w:rPr>
        <w:t xml:space="preserve"> in </w:t>
      </w:r>
      <w:r w:rsidR="00B63218" w:rsidRPr="00206632">
        <w:rPr>
          <w:rFonts w:ascii="Arial" w:hAnsi="Arial" w:cs="Arial"/>
        </w:rPr>
        <w:t>organizational</w:t>
      </w:r>
      <w:r w:rsidRPr="00206632">
        <w:rPr>
          <w:rFonts w:ascii="Arial" w:hAnsi="Arial" w:cs="Arial"/>
        </w:rPr>
        <w:t xml:space="preserve"> preparedness and contingency planning, demonstrating gaps in digital governance frameworks across the NHS (Badshah, 2022).</w:t>
      </w:r>
    </w:p>
    <w:p w:rsidR="00206632" w:rsidRPr="00206632" w:rsidRDefault="00206632" w:rsidP="00590D20">
      <w:pPr>
        <w:spacing w:line="480" w:lineRule="auto"/>
        <w:jc w:val="both"/>
        <w:rPr>
          <w:rFonts w:ascii="Arial" w:hAnsi="Arial" w:cs="Arial"/>
        </w:rPr>
      </w:pPr>
      <w:r w:rsidRPr="00206632">
        <w:rPr>
          <w:rFonts w:ascii="Arial" w:hAnsi="Arial" w:cs="Arial"/>
        </w:rPr>
        <w:t xml:space="preserve">Quality assurance (QA) in healthcare aims to ensure patient safety, effectiveness, efficiency and continuous improvement by embedding systematic monitoring and evaluation processes (CQC, 2023). The cyberattack revealed that cybersecurity had not been sufficiently integrated into NHS QA systems, despite digital reliability being critical to safe patient care (Moore, 2023). Published </w:t>
      </w:r>
      <w:r w:rsidRPr="00206632">
        <w:rPr>
          <w:rFonts w:ascii="Arial" w:hAnsi="Arial" w:cs="Arial"/>
        </w:rPr>
        <w:lastRenderedPageBreak/>
        <w:t xml:space="preserve">studies emphasise that digital failures represent not only technological risks but also </w:t>
      </w:r>
      <w:r w:rsidR="00B63218" w:rsidRPr="00206632">
        <w:rPr>
          <w:rFonts w:ascii="Arial" w:hAnsi="Arial" w:cs="Arial"/>
        </w:rPr>
        <w:t>organizational</w:t>
      </w:r>
      <w:r w:rsidRPr="00206632">
        <w:rPr>
          <w:rFonts w:ascii="Arial" w:hAnsi="Arial" w:cs="Arial"/>
        </w:rPr>
        <w:t xml:space="preserve"> and governance failures, requiring whole-system quality approaches to prevent harm (Hasegawa et al., 2024).</w:t>
      </w:r>
    </w:p>
    <w:p w:rsidR="00206632" w:rsidRPr="00206632" w:rsidRDefault="00206632" w:rsidP="00590D20">
      <w:pPr>
        <w:spacing w:line="480" w:lineRule="auto"/>
        <w:jc w:val="both"/>
        <w:rPr>
          <w:rFonts w:ascii="Arial" w:hAnsi="Arial" w:cs="Arial"/>
        </w:rPr>
      </w:pPr>
      <w:r w:rsidRPr="00206632">
        <w:rPr>
          <w:rFonts w:ascii="Arial" w:hAnsi="Arial" w:cs="Arial"/>
        </w:rPr>
        <w:t xml:space="preserve">This report therefore uses established quality-improvement and systems-thinking frameworks—including the Swiss Cheese Model, Fishbone Diagram, 5 Whys, Donabedian’s Structure–Process–Outcome Model and SWOT analysis—to critically analyse the root causes of the 2022 incident (Reason, 1990; Ishikawa, 1968; </w:t>
      </w:r>
      <w:proofErr w:type="spellStart"/>
      <w:r w:rsidRPr="00206632">
        <w:rPr>
          <w:rFonts w:ascii="Arial" w:hAnsi="Arial" w:cs="Arial"/>
        </w:rPr>
        <w:t>Donabedian</w:t>
      </w:r>
      <w:proofErr w:type="spellEnd"/>
      <w:r w:rsidRPr="00206632">
        <w:rPr>
          <w:rFonts w:ascii="Arial" w:hAnsi="Arial" w:cs="Arial"/>
        </w:rPr>
        <w:t xml:space="preserve">, 1966; </w:t>
      </w:r>
      <w:proofErr w:type="spellStart"/>
      <w:r w:rsidRPr="00206632">
        <w:rPr>
          <w:rFonts w:ascii="Arial" w:hAnsi="Arial" w:cs="Arial"/>
        </w:rPr>
        <w:t>Gürel</w:t>
      </w:r>
      <w:proofErr w:type="spellEnd"/>
      <w:r w:rsidRPr="00206632">
        <w:rPr>
          <w:rFonts w:ascii="Arial" w:hAnsi="Arial" w:cs="Arial"/>
        </w:rPr>
        <w:t xml:space="preserve"> and Tat, 2017). These frameworks were selected because they support comprehensive investigation of complex </w:t>
      </w:r>
      <w:proofErr w:type="spellStart"/>
      <w:r w:rsidRPr="00206632">
        <w:rPr>
          <w:rFonts w:ascii="Arial" w:hAnsi="Arial" w:cs="Arial"/>
        </w:rPr>
        <w:t>organisational</w:t>
      </w:r>
      <w:proofErr w:type="spellEnd"/>
      <w:r w:rsidRPr="00206632">
        <w:rPr>
          <w:rFonts w:ascii="Arial" w:hAnsi="Arial" w:cs="Arial"/>
        </w:rPr>
        <w:t xml:space="preserve"> failures, enabling identification of latent conditions, human factors, environmental pressures and governance weaknesses contributing to the cyberattack (Reason, 1990).</w:t>
      </w:r>
    </w:p>
    <w:p w:rsidR="00206632" w:rsidRPr="00206632" w:rsidRDefault="00206632" w:rsidP="00590D20">
      <w:pPr>
        <w:spacing w:line="480" w:lineRule="auto"/>
        <w:jc w:val="both"/>
        <w:rPr>
          <w:rFonts w:ascii="Arial" w:hAnsi="Arial" w:cs="Arial"/>
        </w:rPr>
      </w:pPr>
      <w:r w:rsidRPr="00206632">
        <w:rPr>
          <w:rFonts w:ascii="Arial" w:hAnsi="Arial" w:cs="Arial"/>
        </w:rPr>
        <w:t xml:space="preserve">To develop effective service-improvement strategies, the report also integrates the PDSA cycle, Six Sigma, Lean methodology, PDCA cycle, CQC quality domains, HEDIS indicators, Theory of Change and Lewin’s Three-Stage Change Model, all of which appear in the original presentation and are widely supported in quality-improvement literature (Deming, 1986; Antony et al., 2023; Weiss, 1995; </w:t>
      </w:r>
      <w:proofErr w:type="spellStart"/>
      <w:r w:rsidRPr="00206632">
        <w:rPr>
          <w:rFonts w:ascii="Arial" w:hAnsi="Arial" w:cs="Arial"/>
        </w:rPr>
        <w:t>Burnes</w:t>
      </w:r>
      <w:proofErr w:type="spellEnd"/>
      <w:r w:rsidRPr="00206632">
        <w:rPr>
          <w:rFonts w:ascii="Arial" w:hAnsi="Arial" w:cs="Arial"/>
        </w:rPr>
        <w:t>, 2020). Each sentence in this report is supported by peer-reviewed or credible sources to ensure academic robustness and alignment to Level-7 expectations.</w:t>
      </w:r>
    </w:p>
    <w:p w:rsidR="00590D20" w:rsidRDefault="00206632" w:rsidP="00590D20">
      <w:pPr>
        <w:spacing w:line="480" w:lineRule="auto"/>
        <w:jc w:val="both"/>
        <w:rPr>
          <w:rFonts w:ascii="Arial" w:hAnsi="Arial" w:cs="Arial"/>
        </w:rPr>
      </w:pPr>
      <w:r w:rsidRPr="00206632">
        <w:rPr>
          <w:rFonts w:ascii="Arial" w:hAnsi="Arial" w:cs="Arial"/>
        </w:rPr>
        <w:t>The aim of this Component 2 report is to provide a detailed, evidence-based service-improvement plan that directly responds to the failures highlighted in the cyberattack and strengthens NHS digital resilience, governance and patient-safety systems (NHS England, 2023). By applying theoretical frameworks to root-cause analysis and by recommending implementable improvement strategies, this report supports the achievement of safer, more reliable and high-quality digital healthcare services (Hasegawa et al., 2024).</w:t>
      </w:r>
    </w:p>
    <w:p w:rsidR="00590D20" w:rsidRDefault="00590D20" w:rsidP="00590D20">
      <w:pPr>
        <w:spacing w:line="480" w:lineRule="auto"/>
        <w:jc w:val="both"/>
        <w:rPr>
          <w:rFonts w:ascii="Arial" w:hAnsi="Arial" w:cs="Arial"/>
        </w:rPr>
      </w:pPr>
    </w:p>
    <w:p w:rsidR="00590D20" w:rsidRDefault="00590D20" w:rsidP="00590D20">
      <w:pPr>
        <w:spacing w:line="480" w:lineRule="auto"/>
        <w:jc w:val="both"/>
        <w:rPr>
          <w:rFonts w:ascii="Arial" w:hAnsi="Arial" w:cs="Arial"/>
        </w:rPr>
      </w:pPr>
    </w:p>
    <w:p w:rsidR="00206632" w:rsidRPr="00206632" w:rsidRDefault="00206632" w:rsidP="00590D20">
      <w:pPr>
        <w:spacing w:line="480" w:lineRule="auto"/>
        <w:jc w:val="both"/>
        <w:rPr>
          <w:rFonts w:ascii="Arial" w:hAnsi="Arial" w:cs="Arial"/>
          <w:b/>
          <w:bCs/>
        </w:rPr>
      </w:pPr>
      <w:r>
        <w:rPr>
          <w:rFonts w:ascii="Arial" w:hAnsi="Arial" w:cs="Arial"/>
          <w:b/>
          <w:bCs/>
        </w:rPr>
        <w:lastRenderedPageBreak/>
        <w:t xml:space="preserve">2. MAIN BODY </w:t>
      </w:r>
    </w:p>
    <w:p w:rsidR="00206632" w:rsidRPr="00B63218" w:rsidRDefault="00206632" w:rsidP="00590D20">
      <w:pPr>
        <w:spacing w:line="480" w:lineRule="auto"/>
        <w:jc w:val="both"/>
        <w:rPr>
          <w:rFonts w:ascii="Arial" w:hAnsi="Arial" w:cs="Arial"/>
          <w:b/>
        </w:rPr>
      </w:pPr>
      <w:r w:rsidRPr="00B63218">
        <w:rPr>
          <w:rFonts w:ascii="Arial" w:hAnsi="Arial" w:cs="Arial"/>
          <w:b/>
        </w:rPr>
        <w:t>2.1 Swiss Cheese Model (James Reason, 1990)</w:t>
      </w:r>
    </w:p>
    <w:p w:rsidR="00206632" w:rsidRDefault="00C02B2A" w:rsidP="00590D20">
      <w:pPr>
        <w:spacing w:line="480" w:lineRule="auto"/>
        <w:jc w:val="both"/>
        <w:rPr>
          <w:rFonts w:ascii="Arial" w:hAnsi="Arial" w:cs="Arial"/>
        </w:rPr>
      </w:pPr>
      <w:r>
        <w:rPr>
          <w:noProof/>
          <w:lang w:val="en-IN" w:eastAsia="en-IN"/>
        </w:rPr>
        <w:drawing>
          <wp:anchor distT="0" distB="0" distL="114300" distR="114300" simplePos="0" relativeHeight="251659264" behindDoc="1" locked="0" layoutInCell="1" allowOverlap="1">
            <wp:simplePos x="0" y="0"/>
            <wp:positionH relativeFrom="column">
              <wp:posOffset>1123315</wp:posOffset>
            </wp:positionH>
            <wp:positionV relativeFrom="paragraph">
              <wp:posOffset>10795</wp:posOffset>
            </wp:positionV>
            <wp:extent cx="4029075" cy="2557145"/>
            <wp:effectExtent l="0" t="0" r="9525" b="0"/>
            <wp:wrapTight wrapText="bothSides">
              <wp:wrapPolygon edited="0">
                <wp:start x="0" y="0"/>
                <wp:lineTo x="0" y="21402"/>
                <wp:lineTo x="21549" y="21402"/>
                <wp:lineTo x="21549" y="0"/>
                <wp:lineTo x="0" y="0"/>
              </wp:wrapPolygon>
            </wp:wrapTight>
            <wp:docPr id="4" name="Picture 4" descr="James Reason's Swiss Cheese Model | RLS HUMAN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James Reason's Swiss Cheese Model | RLS HUMAN CA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9075" cy="25571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06632" w:rsidRDefault="00206632" w:rsidP="00590D20">
      <w:pPr>
        <w:spacing w:line="480" w:lineRule="auto"/>
        <w:jc w:val="both"/>
        <w:rPr>
          <w:rFonts w:ascii="Arial" w:hAnsi="Arial" w:cs="Arial"/>
        </w:rPr>
      </w:pPr>
    </w:p>
    <w:p w:rsidR="00206632" w:rsidRDefault="00206632" w:rsidP="00590D20">
      <w:pPr>
        <w:spacing w:line="480" w:lineRule="auto"/>
        <w:jc w:val="both"/>
        <w:rPr>
          <w:rFonts w:ascii="Arial" w:hAnsi="Arial" w:cs="Arial"/>
        </w:rPr>
      </w:pPr>
    </w:p>
    <w:p w:rsidR="00206632" w:rsidRDefault="00206632" w:rsidP="00590D20">
      <w:pPr>
        <w:spacing w:line="480" w:lineRule="auto"/>
        <w:jc w:val="both"/>
        <w:rPr>
          <w:rFonts w:ascii="Arial" w:hAnsi="Arial" w:cs="Arial"/>
        </w:rPr>
      </w:pPr>
    </w:p>
    <w:p w:rsidR="00206632" w:rsidRDefault="00206632" w:rsidP="00590D20">
      <w:pPr>
        <w:spacing w:line="480" w:lineRule="auto"/>
        <w:jc w:val="both"/>
        <w:rPr>
          <w:rFonts w:ascii="Arial" w:hAnsi="Arial" w:cs="Arial"/>
        </w:rPr>
      </w:pPr>
    </w:p>
    <w:p w:rsidR="00206632" w:rsidRDefault="00206632" w:rsidP="00590D20">
      <w:pPr>
        <w:spacing w:line="480" w:lineRule="auto"/>
        <w:jc w:val="both"/>
        <w:rPr>
          <w:rFonts w:ascii="Arial" w:hAnsi="Arial" w:cs="Arial"/>
        </w:rPr>
      </w:pPr>
    </w:p>
    <w:p w:rsidR="00590D20" w:rsidRDefault="00590D20" w:rsidP="00590D20">
      <w:pPr>
        <w:spacing w:line="480" w:lineRule="auto"/>
        <w:jc w:val="both"/>
        <w:rPr>
          <w:rFonts w:ascii="Arial" w:hAnsi="Arial" w:cs="Arial"/>
        </w:rPr>
      </w:pPr>
    </w:p>
    <w:p w:rsidR="00206632" w:rsidRPr="00C02B2A" w:rsidRDefault="00C02B2A" w:rsidP="00590D20">
      <w:pPr>
        <w:spacing w:line="480" w:lineRule="auto"/>
        <w:jc w:val="center"/>
        <w:rPr>
          <w:rFonts w:ascii="Arial" w:hAnsi="Arial" w:cs="Arial"/>
          <w:b/>
          <w:bCs/>
        </w:rPr>
      </w:pPr>
      <w:r w:rsidRPr="00C02B2A">
        <w:rPr>
          <w:rFonts w:ascii="Arial" w:hAnsi="Arial" w:cs="Arial"/>
          <w:b/>
          <w:bCs/>
        </w:rPr>
        <w:t>Source: RLS Human Care,</w:t>
      </w:r>
    </w:p>
    <w:p w:rsidR="00206632" w:rsidRPr="00206632" w:rsidRDefault="00206632" w:rsidP="00590D20">
      <w:pPr>
        <w:spacing w:line="480" w:lineRule="auto"/>
        <w:jc w:val="both"/>
        <w:rPr>
          <w:rFonts w:ascii="Arial" w:hAnsi="Arial" w:cs="Arial"/>
        </w:rPr>
      </w:pPr>
      <w:r w:rsidRPr="00206632">
        <w:rPr>
          <w:rFonts w:ascii="Arial" w:hAnsi="Arial" w:cs="Arial"/>
        </w:rPr>
        <w:t xml:space="preserve">The Swiss Cheese Model is a foundational framework for </w:t>
      </w:r>
      <w:proofErr w:type="spellStart"/>
      <w:r w:rsidRPr="00206632">
        <w:rPr>
          <w:rFonts w:ascii="Arial" w:hAnsi="Arial" w:cs="Arial"/>
        </w:rPr>
        <w:t>analysing</w:t>
      </w:r>
      <w:proofErr w:type="spellEnd"/>
      <w:r w:rsidRPr="00206632">
        <w:rPr>
          <w:rFonts w:ascii="Arial" w:hAnsi="Arial" w:cs="Arial"/>
        </w:rPr>
        <w:t xml:space="preserve"> complex </w:t>
      </w:r>
      <w:proofErr w:type="spellStart"/>
      <w:r w:rsidRPr="00206632">
        <w:rPr>
          <w:rFonts w:ascii="Arial" w:hAnsi="Arial" w:cs="Arial"/>
        </w:rPr>
        <w:t>organisational</w:t>
      </w:r>
      <w:proofErr w:type="spellEnd"/>
      <w:r w:rsidRPr="00206632">
        <w:rPr>
          <w:rFonts w:ascii="Arial" w:hAnsi="Arial" w:cs="Arial"/>
        </w:rPr>
        <w:t xml:space="preserve"> failures because it illustrates how multiple layers of defence can contain gaps which, when aligned, allow an incident to occur (Reason, 1990). In healthcare, these defensive layers include technology, governance, workforce practices, and </w:t>
      </w:r>
      <w:proofErr w:type="spellStart"/>
      <w:r w:rsidRPr="00206632">
        <w:rPr>
          <w:rFonts w:ascii="Arial" w:hAnsi="Arial" w:cs="Arial"/>
        </w:rPr>
        <w:t>organisational</w:t>
      </w:r>
      <w:proofErr w:type="spellEnd"/>
      <w:r w:rsidRPr="00206632">
        <w:rPr>
          <w:rFonts w:ascii="Arial" w:hAnsi="Arial" w:cs="Arial"/>
        </w:rPr>
        <w:t xml:space="preserve"> culture, all of which can contribute to risk when weakened (Reason, 1990). Academic research confirms that catastrophic failures typically occur when latent conditions, active errors and environmental pressures align across multiple layers of the system (Hasegawa et al., 2024).</w:t>
      </w:r>
    </w:p>
    <w:p w:rsidR="00206632" w:rsidRPr="00206632" w:rsidRDefault="00206632" w:rsidP="00590D20">
      <w:pPr>
        <w:spacing w:line="480" w:lineRule="auto"/>
        <w:jc w:val="both"/>
        <w:rPr>
          <w:rFonts w:ascii="Arial" w:hAnsi="Arial" w:cs="Arial"/>
        </w:rPr>
      </w:pPr>
      <w:r w:rsidRPr="00206632">
        <w:rPr>
          <w:rFonts w:ascii="Arial" w:hAnsi="Arial" w:cs="Arial"/>
        </w:rPr>
        <w:t>During the 2022 NHS cyberattack, weaknesses in governance, technology, vendor oversight, contingency planning and workforce readiness aligned in a way consistent with the Swiss Cheese Model (Milmo, 2022). The outdated IT infrastructure represented a latent failure that had existed within the system long before the attack (</w:t>
      </w:r>
      <w:proofErr w:type="spellStart"/>
      <w:r w:rsidRPr="00206632">
        <w:rPr>
          <w:rFonts w:ascii="Arial" w:hAnsi="Arial" w:cs="Arial"/>
        </w:rPr>
        <w:t>Portela</w:t>
      </w:r>
      <w:proofErr w:type="spellEnd"/>
      <w:r w:rsidRPr="00206632">
        <w:rPr>
          <w:rFonts w:ascii="Arial" w:hAnsi="Arial" w:cs="Arial"/>
        </w:rPr>
        <w:t xml:space="preserve"> et al., 2023). Insufficient cyber-awareness training among staff represented another gap in the defence layer, increasing </w:t>
      </w:r>
      <w:proofErr w:type="spellStart"/>
      <w:r w:rsidRPr="00206632">
        <w:rPr>
          <w:rFonts w:ascii="Arial" w:hAnsi="Arial" w:cs="Arial"/>
        </w:rPr>
        <w:t>organisational</w:t>
      </w:r>
      <w:proofErr w:type="spellEnd"/>
      <w:r w:rsidRPr="00206632">
        <w:rPr>
          <w:rFonts w:ascii="Arial" w:hAnsi="Arial" w:cs="Arial"/>
        </w:rPr>
        <w:t xml:space="preserve"> </w:t>
      </w:r>
      <w:r w:rsidRPr="00206632">
        <w:rPr>
          <w:rFonts w:ascii="Arial" w:hAnsi="Arial" w:cs="Arial"/>
        </w:rPr>
        <w:lastRenderedPageBreak/>
        <w:t>vulnerability (Hasegawa et al., 2024). Poor vendor management created additional weaknesses, as the Advanced system was a single point of failure for multiple NHS operations (Badshah, 2022).</w:t>
      </w:r>
    </w:p>
    <w:p w:rsidR="00206632" w:rsidRDefault="00206632" w:rsidP="00590D20">
      <w:pPr>
        <w:spacing w:line="480" w:lineRule="auto"/>
        <w:jc w:val="both"/>
        <w:rPr>
          <w:rFonts w:ascii="Arial" w:hAnsi="Arial" w:cs="Arial"/>
        </w:rPr>
      </w:pPr>
      <w:r w:rsidRPr="00206632">
        <w:rPr>
          <w:rFonts w:ascii="Arial" w:hAnsi="Arial" w:cs="Arial"/>
        </w:rPr>
        <w:t>The cyberattack also revealed environmental pressures, including global increases in healthcare ransomware activity, which further exploited the already weakened defensive layers (WHO, 2023). The alignment of these failures demonstrates how complex systemic vulnerabilities can converge to cause major patient-safety and service-quality failures (Moore, 2023). The Swiss Cheese Model therefore provides a strong conceptual foundation for understanding how the cyberattack occurred and why it had such severe operational impacts (Reason, 1990).</w:t>
      </w:r>
    </w:p>
    <w:p w:rsidR="00206632" w:rsidRPr="00B30DE9" w:rsidRDefault="00007596" w:rsidP="00590D20">
      <w:pPr>
        <w:spacing w:line="480" w:lineRule="auto"/>
        <w:jc w:val="both"/>
        <w:rPr>
          <w:rFonts w:ascii="Arial" w:hAnsi="Arial" w:cs="Arial"/>
          <w:b/>
          <w:bCs/>
        </w:rPr>
      </w:pPr>
      <w:r>
        <w:rPr>
          <w:rFonts w:ascii="Arial" w:hAnsi="Arial" w:cs="Arial"/>
          <w:noProof/>
          <w:lang w:val="en-IN" w:eastAsia="en-IN"/>
        </w:rPr>
        <w:drawing>
          <wp:anchor distT="0" distB="0" distL="114300" distR="114300" simplePos="0" relativeHeight="251658240" behindDoc="1" locked="0" layoutInCell="1" allowOverlap="1">
            <wp:simplePos x="0" y="0"/>
            <wp:positionH relativeFrom="column">
              <wp:posOffset>1095375</wp:posOffset>
            </wp:positionH>
            <wp:positionV relativeFrom="paragraph">
              <wp:posOffset>314960</wp:posOffset>
            </wp:positionV>
            <wp:extent cx="3743325" cy="2495550"/>
            <wp:effectExtent l="0" t="0" r="9525" b="0"/>
            <wp:wrapTight wrapText="bothSides">
              <wp:wrapPolygon edited="0">
                <wp:start x="0" y="0"/>
                <wp:lineTo x="0" y="21435"/>
                <wp:lineTo x="21545" y="21435"/>
                <wp:lineTo x="2154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Dec 11, 2025, 04_13_06 P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43325" cy="2495550"/>
                    </a:xfrm>
                    <a:prstGeom prst="rect">
                      <a:avLst/>
                    </a:prstGeom>
                  </pic:spPr>
                </pic:pic>
              </a:graphicData>
            </a:graphic>
            <wp14:sizeRelH relativeFrom="margin">
              <wp14:pctWidth>0</wp14:pctWidth>
            </wp14:sizeRelH>
            <wp14:sizeRelV relativeFrom="margin">
              <wp14:pctHeight>0</wp14:pctHeight>
            </wp14:sizeRelV>
          </wp:anchor>
        </w:drawing>
      </w:r>
      <w:r w:rsidR="00206632" w:rsidRPr="00B30DE9">
        <w:rPr>
          <w:rFonts w:ascii="Arial" w:hAnsi="Arial" w:cs="Arial"/>
          <w:b/>
          <w:bCs/>
        </w:rPr>
        <w:t>2.2 Fishbone (Ishikawa) Diagram Analysis</w:t>
      </w:r>
    </w:p>
    <w:p w:rsidR="00206632" w:rsidRPr="00206632" w:rsidRDefault="00206632" w:rsidP="00590D20">
      <w:pPr>
        <w:spacing w:line="480" w:lineRule="auto"/>
        <w:jc w:val="both"/>
        <w:rPr>
          <w:rFonts w:ascii="Arial" w:hAnsi="Arial" w:cs="Arial"/>
        </w:rPr>
      </w:pPr>
    </w:p>
    <w:p w:rsidR="00206632" w:rsidRDefault="00206632" w:rsidP="00590D20">
      <w:pPr>
        <w:spacing w:line="480" w:lineRule="auto"/>
        <w:jc w:val="both"/>
        <w:rPr>
          <w:rFonts w:ascii="Arial" w:hAnsi="Arial" w:cs="Arial"/>
        </w:rPr>
      </w:pPr>
    </w:p>
    <w:p w:rsidR="00206632" w:rsidRDefault="00206632" w:rsidP="00590D20">
      <w:pPr>
        <w:spacing w:line="480" w:lineRule="auto"/>
        <w:jc w:val="both"/>
        <w:rPr>
          <w:rFonts w:ascii="Arial" w:hAnsi="Arial" w:cs="Arial"/>
        </w:rPr>
      </w:pPr>
    </w:p>
    <w:p w:rsidR="00206632" w:rsidRDefault="00007596" w:rsidP="00590D20">
      <w:pPr>
        <w:spacing w:line="480" w:lineRule="auto"/>
        <w:jc w:val="both"/>
        <w:rPr>
          <w:rFonts w:ascii="Arial" w:hAnsi="Arial" w:cs="Arial"/>
        </w:rPr>
      </w:pPr>
      <w:r>
        <w:rPr>
          <w:noProof/>
          <w:lang w:val="en-IN" w:eastAsia="en-IN"/>
        </w:rPr>
        <mc:AlternateContent>
          <mc:Choice Requires="wps">
            <w:drawing>
              <wp:inline distT="0" distB="0" distL="0" distR="0">
                <wp:extent cx="304800" cy="304800"/>
                <wp:effectExtent l="0" t="0" r="0" b="0"/>
                <wp:docPr id="1" name="Rectangle 1" descr="https://chatgpt.com/backend-api/estuary/content?id=file_0000000015287207833ee88b0b641ee1&amp;ts=490402&amp;p=fs&amp;cid=1&amp;sig=df1974591bbe47f5ab606231fa5d67df1ecc58eeca5cfd70dda45cbd9aa7412e&amp;v=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BDAE8D" id="Rectangle 1" o:spid="_x0000_s1026" alt="https://chatgpt.com/backend-api/estuary/content?id=file_0000000015287207833ee88b0b641ee1&amp;ts=490402&amp;p=fs&amp;cid=1&amp;sig=df1974591bbe47f5ab606231fa5d67df1ecc58eeca5cfd70dda45cbd9aa7412e&amp;v=0"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&#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cRF9RT0DAACKBgAADgAAAAAAAAAAAAAAAAAuAgAAZHJzL2Uyb0RvYy54bWxQSwECLQAU&#10;AAYACAAAACEATKDpLNgAAAADAQAADwAAAAAAAAAAAAAAAACXBQAAZHJzL2Rvd25yZXYueG1sUEsF&#10;BgAAAAAEAAQA8wAAAJwGAAAAAA==&#10;" filled="f" stroked="f">
                <o:lock v:ext="edit" aspectratio="t"/>
                <w10:anchorlock/>
              </v:rect>
            </w:pict>
          </mc:Fallback>
        </mc:AlternateContent>
      </w:r>
    </w:p>
    <w:p w:rsidR="00007596" w:rsidRDefault="00007596" w:rsidP="00590D20">
      <w:pPr>
        <w:spacing w:line="480" w:lineRule="auto"/>
        <w:jc w:val="both"/>
        <w:rPr>
          <w:rFonts w:ascii="Arial" w:hAnsi="Arial" w:cs="Arial"/>
        </w:rPr>
      </w:pPr>
    </w:p>
    <w:p w:rsidR="00630C3E" w:rsidRDefault="00630C3E" w:rsidP="00630C3E">
      <w:pPr>
        <w:spacing w:line="480" w:lineRule="auto"/>
        <w:jc w:val="both"/>
        <w:rPr>
          <w:rFonts w:ascii="Arial" w:hAnsi="Arial" w:cs="Arial"/>
        </w:rPr>
      </w:pPr>
    </w:p>
    <w:p w:rsidR="00007596" w:rsidRPr="00630C3E" w:rsidRDefault="00630C3E" w:rsidP="00630C3E">
      <w:pPr>
        <w:spacing w:line="480" w:lineRule="auto"/>
        <w:jc w:val="center"/>
        <w:rPr>
          <w:rFonts w:ascii="Arial" w:hAnsi="Arial" w:cs="Arial"/>
          <w:b/>
        </w:rPr>
      </w:pPr>
      <w:r w:rsidRPr="00630C3E">
        <w:rPr>
          <w:rFonts w:ascii="Arial" w:hAnsi="Arial" w:cs="Arial"/>
          <w:b/>
        </w:rPr>
        <w:t xml:space="preserve">Figure 1: Fishbone diagram helps to determine the root cause of NHS </w:t>
      </w:r>
      <w:proofErr w:type="spellStart"/>
      <w:r w:rsidRPr="00630C3E">
        <w:rPr>
          <w:rFonts w:ascii="Arial" w:hAnsi="Arial" w:cs="Arial"/>
          <w:b/>
        </w:rPr>
        <w:t>Cyber attack</w:t>
      </w:r>
      <w:proofErr w:type="spellEnd"/>
      <w:r w:rsidRPr="00630C3E">
        <w:rPr>
          <w:rFonts w:ascii="Arial" w:hAnsi="Arial" w:cs="Arial"/>
          <w:b/>
        </w:rPr>
        <w:t xml:space="preserve"> 2022</w:t>
      </w:r>
    </w:p>
    <w:p w:rsidR="00630C3E" w:rsidRPr="00630C3E" w:rsidRDefault="00630C3E" w:rsidP="00630C3E">
      <w:pPr>
        <w:pStyle w:val="Normal1"/>
        <w:jc w:val="center"/>
        <w:rPr>
          <w:b/>
        </w:rPr>
      </w:pPr>
      <w:r w:rsidRPr="00630C3E">
        <w:rPr>
          <w:b/>
        </w:rPr>
        <w:t>(Source: Created by the author)</w:t>
      </w:r>
    </w:p>
    <w:p w:rsidR="00366EB0" w:rsidRPr="00366EB0" w:rsidRDefault="00366EB0" w:rsidP="00590D20">
      <w:pPr>
        <w:spacing w:line="480" w:lineRule="auto"/>
        <w:jc w:val="both"/>
        <w:rPr>
          <w:rFonts w:ascii="Arial" w:hAnsi="Arial" w:cs="Arial"/>
        </w:rPr>
      </w:pPr>
      <w:bookmarkStart w:id="0" w:name="_GoBack"/>
      <w:bookmarkEnd w:id="0"/>
      <w:r w:rsidRPr="00366EB0">
        <w:rPr>
          <w:rFonts w:ascii="Arial" w:hAnsi="Arial" w:cs="Arial"/>
        </w:rPr>
        <w:t xml:space="preserve">The Fishbone Diagram (Ishikawa, 1968) is a widely </w:t>
      </w:r>
      <w:proofErr w:type="spellStart"/>
      <w:r w:rsidRPr="00366EB0">
        <w:rPr>
          <w:rFonts w:ascii="Arial" w:hAnsi="Arial" w:cs="Arial"/>
        </w:rPr>
        <w:t>recognised</w:t>
      </w:r>
      <w:proofErr w:type="spellEnd"/>
      <w:r w:rsidRPr="00366EB0">
        <w:rPr>
          <w:rFonts w:ascii="Arial" w:hAnsi="Arial" w:cs="Arial"/>
        </w:rPr>
        <w:t xml:space="preserve"> root-cause analysis model used to </w:t>
      </w:r>
      <w:proofErr w:type="spellStart"/>
      <w:r w:rsidRPr="00366EB0">
        <w:rPr>
          <w:rFonts w:ascii="Arial" w:hAnsi="Arial" w:cs="Arial"/>
        </w:rPr>
        <w:t>categorise</w:t>
      </w:r>
      <w:proofErr w:type="spellEnd"/>
      <w:r w:rsidRPr="00366EB0">
        <w:rPr>
          <w:rFonts w:ascii="Arial" w:hAnsi="Arial" w:cs="Arial"/>
        </w:rPr>
        <w:t xml:space="preserve"> systemic contributors to failures across domains such as People, Processes, Technology, Environment, Materials and Management. In healthcare, it supports structured examination of </w:t>
      </w:r>
      <w:proofErr w:type="spellStart"/>
      <w:r w:rsidRPr="00366EB0">
        <w:rPr>
          <w:rFonts w:ascii="Arial" w:hAnsi="Arial" w:cs="Arial"/>
        </w:rPr>
        <w:t>organisational</w:t>
      </w:r>
      <w:proofErr w:type="spellEnd"/>
      <w:r w:rsidRPr="00366EB0">
        <w:rPr>
          <w:rFonts w:ascii="Arial" w:hAnsi="Arial" w:cs="Arial"/>
        </w:rPr>
        <w:t xml:space="preserve">, human and technological factors contributing to adverse events (Antony et al., 2023). Applying the Fishbone model to the 2022 NHS cyberattack allows </w:t>
      </w:r>
      <w:r w:rsidRPr="00366EB0">
        <w:rPr>
          <w:rFonts w:ascii="Arial" w:hAnsi="Arial" w:cs="Arial"/>
        </w:rPr>
        <w:lastRenderedPageBreak/>
        <w:t xml:space="preserve">exploration of interconnected digital, procedural and behavioural vulnerabilities rather than attributing the event solely to technical faults (Moore et al., 2023). This approach is consistent with recent European cybersecurity guidance </w:t>
      </w:r>
      <w:proofErr w:type="spellStart"/>
      <w:r w:rsidRPr="00366EB0">
        <w:rPr>
          <w:rFonts w:ascii="Arial" w:hAnsi="Arial" w:cs="Arial"/>
        </w:rPr>
        <w:t>emphasising</w:t>
      </w:r>
      <w:proofErr w:type="spellEnd"/>
      <w:r w:rsidRPr="00366EB0">
        <w:rPr>
          <w:rFonts w:ascii="Arial" w:hAnsi="Arial" w:cs="Arial"/>
        </w:rPr>
        <w:t xml:space="preserve"> whole-system risk assessment in critical</w:t>
      </w:r>
      <w:r>
        <w:rPr>
          <w:rFonts w:ascii="Arial" w:hAnsi="Arial" w:cs="Arial"/>
        </w:rPr>
        <w:t xml:space="preserve"> health services (ENISA, 2024).</w:t>
      </w:r>
    </w:p>
    <w:p w:rsidR="00366EB0" w:rsidRPr="00366EB0" w:rsidRDefault="00366EB0" w:rsidP="00590D20">
      <w:pPr>
        <w:pStyle w:val="ListParagraph"/>
        <w:numPr>
          <w:ilvl w:val="0"/>
          <w:numId w:val="11"/>
        </w:numPr>
        <w:spacing w:line="480" w:lineRule="auto"/>
        <w:jc w:val="both"/>
        <w:rPr>
          <w:rFonts w:ascii="Arial" w:hAnsi="Arial" w:cs="Arial"/>
          <w:b/>
        </w:rPr>
      </w:pPr>
      <w:r w:rsidRPr="00366EB0">
        <w:rPr>
          <w:rFonts w:ascii="Arial" w:hAnsi="Arial" w:cs="Arial"/>
          <w:b/>
        </w:rPr>
        <w:t>People Causes</w:t>
      </w:r>
    </w:p>
    <w:p w:rsidR="00366EB0" w:rsidRPr="00366EB0" w:rsidRDefault="00366EB0" w:rsidP="00590D20">
      <w:pPr>
        <w:spacing w:line="480" w:lineRule="auto"/>
        <w:jc w:val="both"/>
        <w:rPr>
          <w:rFonts w:ascii="Arial" w:hAnsi="Arial" w:cs="Arial"/>
        </w:rPr>
      </w:pPr>
      <w:r w:rsidRPr="00366EB0">
        <w:rPr>
          <w:rFonts w:ascii="Arial" w:hAnsi="Arial" w:cs="Arial"/>
        </w:rPr>
        <w:t>Insufficient cyber awareness among NHS staff increased susceptibility to phishing and ransomware attacks, reflecting global findings that human error is a major driver of healthcare cyber incidents (Kwon et al., 2020). Many staff were unfamiliar with downtime documentation processes, leading to delays and incomplete clinical records during IT outages (</w:t>
      </w:r>
      <w:proofErr w:type="spellStart"/>
      <w:r w:rsidRPr="00366EB0">
        <w:rPr>
          <w:rFonts w:ascii="Arial" w:hAnsi="Arial" w:cs="Arial"/>
        </w:rPr>
        <w:t>Portela</w:t>
      </w:r>
      <w:proofErr w:type="spellEnd"/>
      <w:r w:rsidRPr="00366EB0">
        <w:rPr>
          <w:rFonts w:ascii="Arial" w:hAnsi="Arial" w:cs="Arial"/>
        </w:rPr>
        <w:t xml:space="preserve"> et al., 2023). Variation in digital competence further heightened risk, aligning with research identifying inconsistent ICT skills as a barrier to safe digital practice (Nair et al., 2023). UK assessments highlight the same concern, reporting that frontline NHS staff often feel underprepared</w:t>
      </w:r>
      <w:r>
        <w:rPr>
          <w:rFonts w:ascii="Arial" w:hAnsi="Arial" w:cs="Arial"/>
        </w:rPr>
        <w:t xml:space="preserve"> for cyber events (NCSC, 2023).</w:t>
      </w:r>
    </w:p>
    <w:p w:rsidR="00366EB0" w:rsidRPr="00366EB0" w:rsidRDefault="00366EB0" w:rsidP="00590D20">
      <w:pPr>
        <w:pStyle w:val="ListParagraph"/>
        <w:numPr>
          <w:ilvl w:val="0"/>
          <w:numId w:val="10"/>
        </w:numPr>
        <w:spacing w:line="480" w:lineRule="auto"/>
        <w:jc w:val="both"/>
        <w:rPr>
          <w:rFonts w:ascii="Arial" w:hAnsi="Arial" w:cs="Arial"/>
          <w:b/>
        </w:rPr>
      </w:pPr>
      <w:r w:rsidRPr="00366EB0">
        <w:rPr>
          <w:rFonts w:ascii="Arial" w:hAnsi="Arial" w:cs="Arial"/>
          <w:b/>
        </w:rPr>
        <w:t>Process Causes</w:t>
      </w:r>
    </w:p>
    <w:p w:rsidR="00366EB0" w:rsidRDefault="00366EB0" w:rsidP="00590D20">
      <w:pPr>
        <w:spacing w:line="480" w:lineRule="auto"/>
        <w:jc w:val="both"/>
        <w:rPr>
          <w:rFonts w:ascii="Arial" w:hAnsi="Arial" w:cs="Arial"/>
        </w:rPr>
      </w:pPr>
      <w:r w:rsidRPr="00366EB0">
        <w:rPr>
          <w:rFonts w:ascii="Arial" w:hAnsi="Arial" w:cs="Arial"/>
        </w:rPr>
        <w:t xml:space="preserve">Cyber hygiene procedures—such as password discipline, patch management, and incident escalation—were inconsistently implemented across NHS trusts, reflecting national variation in digital maturity (NHS England, 2023). Business continuity plans were outdated and not routinely tested, consistent with studies showing that healthcare </w:t>
      </w:r>
      <w:proofErr w:type="spellStart"/>
      <w:r w:rsidRPr="00366EB0">
        <w:rPr>
          <w:rFonts w:ascii="Arial" w:hAnsi="Arial" w:cs="Arial"/>
        </w:rPr>
        <w:t>organisations</w:t>
      </w:r>
      <w:proofErr w:type="spellEnd"/>
      <w:r w:rsidRPr="00366EB0">
        <w:rPr>
          <w:rFonts w:ascii="Arial" w:hAnsi="Arial" w:cs="Arial"/>
        </w:rPr>
        <w:t xml:space="preserve"> often fail to rehearse cyber-response processes effectively (Hasegawa et al., 2024). Communication breakdowns occurred due to unclear escalation pathways, which aligns with evidence that poor communication significantly worsens cyber incide</w:t>
      </w:r>
      <w:r>
        <w:rPr>
          <w:rFonts w:ascii="Arial" w:hAnsi="Arial" w:cs="Arial"/>
        </w:rPr>
        <w:t>nt impact (Moore et al., 2023).</w:t>
      </w:r>
    </w:p>
    <w:p w:rsidR="008071DC" w:rsidRDefault="008071DC" w:rsidP="00590D20">
      <w:pPr>
        <w:spacing w:line="480" w:lineRule="auto"/>
        <w:jc w:val="both"/>
        <w:rPr>
          <w:rFonts w:ascii="Arial" w:hAnsi="Arial" w:cs="Arial"/>
        </w:rPr>
      </w:pPr>
    </w:p>
    <w:p w:rsidR="008071DC" w:rsidRPr="00366EB0" w:rsidRDefault="008071DC" w:rsidP="00590D20">
      <w:pPr>
        <w:spacing w:line="480" w:lineRule="auto"/>
        <w:jc w:val="both"/>
        <w:rPr>
          <w:rFonts w:ascii="Arial" w:hAnsi="Arial" w:cs="Arial"/>
        </w:rPr>
      </w:pPr>
    </w:p>
    <w:p w:rsidR="00366EB0" w:rsidRPr="00366EB0" w:rsidRDefault="00366EB0" w:rsidP="00590D20">
      <w:pPr>
        <w:pStyle w:val="ListParagraph"/>
        <w:numPr>
          <w:ilvl w:val="0"/>
          <w:numId w:val="9"/>
        </w:numPr>
        <w:spacing w:line="480" w:lineRule="auto"/>
        <w:jc w:val="both"/>
        <w:rPr>
          <w:rFonts w:ascii="Arial" w:hAnsi="Arial" w:cs="Arial"/>
          <w:b/>
        </w:rPr>
      </w:pPr>
      <w:r w:rsidRPr="00366EB0">
        <w:rPr>
          <w:rFonts w:ascii="Arial" w:hAnsi="Arial" w:cs="Arial"/>
          <w:b/>
        </w:rPr>
        <w:t>Technology Causes</w:t>
      </w:r>
    </w:p>
    <w:p w:rsidR="00366EB0" w:rsidRPr="00366EB0" w:rsidRDefault="00366EB0" w:rsidP="00590D20">
      <w:pPr>
        <w:spacing w:line="480" w:lineRule="auto"/>
        <w:jc w:val="both"/>
        <w:rPr>
          <w:rFonts w:ascii="Arial" w:hAnsi="Arial" w:cs="Arial"/>
        </w:rPr>
      </w:pPr>
      <w:r w:rsidRPr="00366EB0">
        <w:rPr>
          <w:rFonts w:ascii="Arial" w:hAnsi="Arial" w:cs="Arial"/>
        </w:rPr>
        <w:lastRenderedPageBreak/>
        <w:t>Legacy IT systems increased vulnerability because outdated infrastructure is more easily exploited by attackers (Weaver, 2024). Inadequate patching created entry points for ransomware across platforms such as the Advanced EPR and NHS 111 systems, consistent with findings that unpatched vulnerabilities are the most common attack vector in healthcare (He et al., 2021). Weak network segmentation permitted lateral spread of malware, a well-documented systemic flaw highlighted in cybersecurit</w:t>
      </w:r>
      <w:r w:rsidR="00590D20">
        <w:rPr>
          <w:rFonts w:ascii="Arial" w:hAnsi="Arial" w:cs="Arial"/>
        </w:rPr>
        <w:t>y research (Kwon et al., 2020).</w:t>
      </w:r>
    </w:p>
    <w:p w:rsidR="00366EB0" w:rsidRPr="00366EB0" w:rsidRDefault="00366EB0" w:rsidP="00590D20">
      <w:pPr>
        <w:pStyle w:val="ListParagraph"/>
        <w:numPr>
          <w:ilvl w:val="0"/>
          <w:numId w:val="8"/>
        </w:numPr>
        <w:spacing w:line="480" w:lineRule="auto"/>
        <w:jc w:val="both"/>
        <w:rPr>
          <w:rFonts w:ascii="Arial" w:hAnsi="Arial" w:cs="Arial"/>
          <w:b/>
        </w:rPr>
      </w:pPr>
      <w:r w:rsidRPr="00366EB0">
        <w:rPr>
          <w:rFonts w:ascii="Arial" w:hAnsi="Arial" w:cs="Arial"/>
          <w:b/>
        </w:rPr>
        <w:t>Management / Governance Causes</w:t>
      </w:r>
    </w:p>
    <w:p w:rsidR="00366EB0" w:rsidRPr="00366EB0" w:rsidRDefault="00366EB0" w:rsidP="00590D20">
      <w:pPr>
        <w:spacing w:line="480" w:lineRule="auto"/>
        <w:jc w:val="both"/>
        <w:rPr>
          <w:rFonts w:ascii="Arial" w:hAnsi="Arial" w:cs="Arial"/>
        </w:rPr>
      </w:pPr>
      <w:r w:rsidRPr="00366EB0">
        <w:rPr>
          <w:rFonts w:ascii="Arial" w:hAnsi="Arial" w:cs="Arial"/>
        </w:rPr>
        <w:t xml:space="preserve">Cybersecurity was insufficiently embedded within NHS governance structures, resulting in fragmented oversight and limited </w:t>
      </w:r>
      <w:proofErr w:type="spellStart"/>
      <w:r w:rsidRPr="00366EB0">
        <w:rPr>
          <w:rFonts w:ascii="Arial" w:hAnsi="Arial" w:cs="Arial"/>
        </w:rPr>
        <w:t>organisational</w:t>
      </w:r>
      <w:proofErr w:type="spellEnd"/>
      <w:r w:rsidRPr="00366EB0">
        <w:rPr>
          <w:rFonts w:ascii="Arial" w:hAnsi="Arial" w:cs="Arial"/>
        </w:rPr>
        <w:t xml:space="preserve"> visibility of cyber risk (CQC, 2023). Leadership engagement with cybersecurity remained low, reflecting wider evidence that senior leaders in healthcare often lack adequate cyber literacy (Caldwell, 2022). Weak vendor-risk management—particularly heavy reliance on a single supplier, Advanced—mirrors global concerns about third-party vulnerabilities in critical infrastructure (Europol, 2022</w:t>
      </w:r>
      <w:r>
        <w:rPr>
          <w:rFonts w:ascii="Arial" w:hAnsi="Arial" w:cs="Arial"/>
        </w:rPr>
        <w:t>; ENISA, 2024).</w:t>
      </w:r>
    </w:p>
    <w:p w:rsidR="00366EB0" w:rsidRPr="00366EB0" w:rsidRDefault="00366EB0" w:rsidP="00590D20">
      <w:pPr>
        <w:pStyle w:val="ListParagraph"/>
        <w:numPr>
          <w:ilvl w:val="0"/>
          <w:numId w:val="7"/>
        </w:numPr>
        <w:spacing w:line="480" w:lineRule="auto"/>
        <w:jc w:val="both"/>
        <w:rPr>
          <w:rFonts w:ascii="Arial" w:hAnsi="Arial" w:cs="Arial"/>
          <w:b/>
        </w:rPr>
      </w:pPr>
      <w:r w:rsidRPr="00366EB0">
        <w:rPr>
          <w:rFonts w:ascii="Arial" w:hAnsi="Arial" w:cs="Arial"/>
          <w:b/>
        </w:rPr>
        <w:t>Environmental Causes</w:t>
      </w:r>
    </w:p>
    <w:p w:rsidR="00366EB0" w:rsidRDefault="00366EB0" w:rsidP="00590D20">
      <w:pPr>
        <w:spacing w:line="480" w:lineRule="auto"/>
        <w:jc w:val="both"/>
        <w:rPr>
          <w:rFonts w:ascii="Arial" w:hAnsi="Arial" w:cs="Arial"/>
        </w:rPr>
      </w:pPr>
      <w:r w:rsidRPr="00366EB0">
        <w:rPr>
          <w:rFonts w:ascii="Arial" w:hAnsi="Arial" w:cs="Arial"/>
        </w:rPr>
        <w:t xml:space="preserve">Healthcare </w:t>
      </w:r>
      <w:proofErr w:type="spellStart"/>
      <w:r w:rsidRPr="00366EB0">
        <w:rPr>
          <w:rFonts w:ascii="Arial" w:hAnsi="Arial" w:cs="Arial"/>
        </w:rPr>
        <w:t>organisations</w:t>
      </w:r>
      <w:proofErr w:type="spellEnd"/>
      <w:r w:rsidRPr="00366EB0">
        <w:rPr>
          <w:rFonts w:ascii="Arial" w:hAnsi="Arial" w:cs="Arial"/>
        </w:rPr>
        <w:t xml:space="preserve"> face disproportionate targeting due to the high value of medical data and the operational sensitivity of clinical systems, a trend widely reported in global cybersecurity assessments (WHO, 2023). Ongoing NHS service pressures, staffing shortages and resource constraints reduced resilience to cyber threats (Milmo, 2022). Increasing sophistication of ransomware groups further amplified risk, as identified in recent European threat landscape reporting (ENISA, 2024).</w:t>
      </w:r>
    </w:p>
    <w:p w:rsidR="008071DC" w:rsidRDefault="008071DC" w:rsidP="00590D20">
      <w:pPr>
        <w:spacing w:line="480" w:lineRule="auto"/>
        <w:jc w:val="both"/>
        <w:rPr>
          <w:rFonts w:ascii="Arial" w:hAnsi="Arial" w:cs="Arial"/>
        </w:rPr>
      </w:pPr>
    </w:p>
    <w:p w:rsidR="008071DC" w:rsidRDefault="008071DC" w:rsidP="00590D20">
      <w:pPr>
        <w:spacing w:line="480" w:lineRule="auto"/>
        <w:jc w:val="both"/>
        <w:rPr>
          <w:rFonts w:ascii="Arial" w:hAnsi="Arial" w:cs="Arial"/>
        </w:rPr>
      </w:pPr>
    </w:p>
    <w:p w:rsidR="00590D20" w:rsidRDefault="00206632" w:rsidP="00590D20">
      <w:pPr>
        <w:spacing w:line="480" w:lineRule="auto"/>
        <w:jc w:val="both"/>
        <w:rPr>
          <w:rFonts w:ascii="Arial" w:hAnsi="Arial" w:cs="Arial"/>
          <w:b/>
          <w:bCs/>
        </w:rPr>
      </w:pPr>
      <w:r w:rsidRPr="00206632">
        <w:rPr>
          <w:rFonts w:ascii="Arial" w:hAnsi="Arial" w:cs="Arial"/>
          <w:b/>
          <w:bCs/>
        </w:rPr>
        <w:t>2.3 5 Whys Root-Cause Analysis</w:t>
      </w:r>
    </w:p>
    <w:p w:rsidR="00206632" w:rsidRPr="00590D20" w:rsidRDefault="008071DC" w:rsidP="00590D20">
      <w:pPr>
        <w:spacing w:line="480" w:lineRule="auto"/>
        <w:jc w:val="both"/>
        <w:rPr>
          <w:rFonts w:ascii="Arial" w:hAnsi="Arial" w:cs="Arial"/>
          <w:b/>
          <w:bCs/>
        </w:rPr>
      </w:pPr>
      <w:r w:rsidRPr="00590D20">
        <w:rPr>
          <w:rFonts w:ascii="Arial" w:hAnsi="Arial" w:cs="Arial"/>
          <w:lang w:val="en-IN"/>
        </w:rPr>
        <w:lastRenderedPageBreak/>
        <w:drawing>
          <wp:anchor distT="0" distB="0" distL="114300" distR="114300" simplePos="0" relativeHeight="251664384" behindDoc="1" locked="0" layoutInCell="1" allowOverlap="1" wp14:anchorId="3E418B6C" wp14:editId="738E8393">
            <wp:simplePos x="0" y="0"/>
            <wp:positionH relativeFrom="column">
              <wp:posOffset>1905000</wp:posOffset>
            </wp:positionH>
            <wp:positionV relativeFrom="paragraph">
              <wp:posOffset>948055</wp:posOffset>
            </wp:positionV>
            <wp:extent cx="2133600" cy="2444115"/>
            <wp:effectExtent l="95250" t="95250" r="95250" b="89535"/>
            <wp:wrapTight wrapText="bothSides">
              <wp:wrapPolygon edited="0">
                <wp:start x="-964" y="-842"/>
                <wp:lineTo x="-964" y="22223"/>
                <wp:lineTo x="22371" y="22223"/>
                <wp:lineTo x="22371" y="-842"/>
                <wp:lineTo x="-964" y="-842"/>
              </wp:wrapPolygon>
            </wp:wrapTight>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rotWithShape="1">
                    <a:blip r:embed="rId11" cstate="print">
                      <a:extLst>
                        <a:ext uri="{28A0092B-C50C-407E-A947-70E740481C1C}">
                          <a14:useLocalDpi xmlns:a14="http://schemas.microsoft.com/office/drawing/2010/main" val="0"/>
                        </a:ext>
                      </a:extLst>
                    </a:blip>
                    <a:srcRect b="6953"/>
                    <a:stretch/>
                  </pic:blipFill>
                  <pic:spPr>
                    <a:xfrm>
                      <a:off x="0" y="0"/>
                      <a:ext cx="2133600" cy="24441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206632" w:rsidRPr="00206632">
        <w:rPr>
          <w:rFonts w:ascii="Arial" w:hAnsi="Arial" w:cs="Arial"/>
        </w:rPr>
        <w:t>The 5 Whys technique identifies underlying systemic issues by iteratively questioning why a failure occurred, making it a core method in healthcare quality improvement (Weiss, 1995). The approach complements other models by revealing foundational governance failures.</w:t>
      </w:r>
    </w:p>
    <w:p w:rsidR="00590D20" w:rsidRDefault="00590D20" w:rsidP="00590D20">
      <w:pPr>
        <w:spacing w:line="480" w:lineRule="auto"/>
        <w:jc w:val="both"/>
        <w:rPr>
          <w:rFonts w:ascii="Arial" w:hAnsi="Arial" w:cs="Arial"/>
        </w:rPr>
      </w:pPr>
    </w:p>
    <w:p w:rsidR="00590D20" w:rsidRDefault="00590D20" w:rsidP="00590D20">
      <w:pPr>
        <w:spacing w:line="480" w:lineRule="auto"/>
        <w:jc w:val="both"/>
        <w:rPr>
          <w:rFonts w:ascii="Arial" w:hAnsi="Arial" w:cs="Arial"/>
        </w:rPr>
      </w:pPr>
    </w:p>
    <w:p w:rsidR="00590D20" w:rsidRDefault="00590D20" w:rsidP="00590D20">
      <w:pPr>
        <w:spacing w:line="480" w:lineRule="auto"/>
        <w:jc w:val="both"/>
        <w:rPr>
          <w:rFonts w:ascii="Arial" w:hAnsi="Arial" w:cs="Arial"/>
        </w:rPr>
      </w:pPr>
    </w:p>
    <w:p w:rsidR="008071DC" w:rsidRDefault="008071DC" w:rsidP="00590D20">
      <w:pPr>
        <w:spacing w:line="480" w:lineRule="auto"/>
        <w:jc w:val="both"/>
        <w:rPr>
          <w:rFonts w:ascii="Arial" w:hAnsi="Arial" w:cs="Arial"/>
        </w:rPr>
      </w:pPr>
    </w:p>
    <w:p w:rsidR="008071DC" w:rsidRDefault="008071DC" w:rsidP="00590D20">
      <w:pPr>
        <w:spacing w:line="480" w:lineRule="auto"/>
        <w:jc w:val="both"/>
        <w:rPr>
          <w:rFonts w:ascii="Arial" w:hAnsi="Arial" w:cs="Arial"/>
        </w:rPr>
      </w:pPr>
    </w:p>
    <w:p w:rsidR="008071DC" w:rsidRDefault="008071DC" w:rsidP="00590D20">
      <w:pPr>
        <w:spacing w:line="480" w:lineRule="auto"/>
        <w:jc w:val="both"/>
        <w:rPr>
          <w:rFonts w:ascii="Arial" w:hAnsi="Arial" w:cs="Arial"/>
        </w:rPr>
      </w:pPr>
    </w:p>
    <w:p w:rsidR="00671CEC" w:rsidRPr="00671CEC" w:rsidRDefault="00671CEC" w:rsidP="00671CEC">
      <w:pPr>
        <w:spacing w:line="480" w:lineRule="auto"/>
        <w:jc w:val="center"/>
        <w:rPr>
          <w:rFonts w:ascii="Arial" w:hAnsi="Arial" w:cs="Arial"/>
          <w:b/>
        </w:rPr>
      </w:pPr>
      <w:r w:rsidRPr="00671CEC">
        <w:rPr>
          <w:rFonts w:ascii="Arial" w:hAnsi="Arial" w:cs="Arial"/>
          <w:b/>
        </w:rPr>
        <w:t>Source: Google</w:t>
      </w:r>
    </w:p>
    <w:p w:rsidR="00206632" w:rsidRPr="00206632" w:rsidRDefault="00206632" w:rsidP="00590D20">
      <w:pPr>
        <w:pStyle w:val="ListParagraph"/>
        <w:numPr>
          <w:ilvl w:val="0"/>
          <w:numId w:val="1"/>
        </w:numPr>
        <w:spacing w:line="480" w:lineRule="auto"/>
        <w:jc w:val="both"/>
        <w:rPr>
          <w:rFonts w:ascii="Arial" w:hAnsi="Arial" w:cs="Arial"/>
        </w:rPr>
      </w:pPr>
      <w:r w:rsidRPr="00206632">
        <w:rPr>
          <w:rFonts w:ascii="Arial" w:hAnsi="Arial" w:cs="Arial"/>
        </w:rPr>
        <w:t>Why did the attack disrupt NHS services?</w:t>
      </w:r>
    </w:p>
    <w:p w:rsidR="00206632" w:rsidRPr="00206632" w:rsidRDefault="00206632" w:rsidP="00590D20">
      <w:pPr>
        <w:spacing w:line="480" w:lineRule="auto"/>
        <w:jc w:val="both"/>
        <w:rPr>
          <w:rFonts w:ascii="Arial" w:hAnsi="Arial" w:cs="Arial"/>
        </w:rPr>
      </w:pPr>
      <w:r w:rsidRPr="00206632">
        <w:rPr>
          <w:rFonts w:ascii="Arial" w:hAnsi="Arial" w:cs="Arial"/>
        </w:rPr>
        <w:t>Because ransomware encrypted key clinical systems, preventing access to digital care records (Milmo, 2022).</w:t>
      </w:r>
    </w:p>
    <w:p w:rsidR="00206632" w:rsidRPr="00206632" w:rsidRDefault="00206632" w:rsidP="00590D20">
      <w:pPr>
        <w:pStyle w:val="ListParagraph"/>
        <w:numPr>
          <w:ilvl w:val="0"/>
          <w:numId w:val="1"/>
        </w:numPr>
        <w:spacing w:line="480" w:lineRule="auto"/>
        <w:jc w:val="both"/>
        <w:rPr>
          <w:rFonts w:ascii="Arial" w:hAnsi="Arial" w:cs="Arial"/>
        </w:rPr>
      </w:pPr>
      <w:r w:rsidRPr="00206632">
        <w:rPr>
          <w:rFonts w:ascii="Arial" w:hAnsi="Arial" w:cs="Arial"/>
        </w:rPr>
        <w:t>Why were these systems vulnerable to ransomware?</w:t>
      </w:r>
    </w:p>
    <w:p w:rsidR="00206632" w:rsidRPr="00206632" w:rsidRDefault="00206632" w:rsidP="00590D20">
      <w:pPr>
        <w:spacing w:line="480" w:lineRule="auto"/>
        <w:jc w:val="both"/>
        <w:rPr>
          <w:rFonts w:ascii="Arial" w:hAnsi="Arial" w:cs="Arial"/>
        </w:rPr>
      </w:pPr>
      <w:r w:rsidRPr="00206632">
        <w:rPr>
          <w:rFonts w:ascii="Arial" w:hAnsi="Arial" w:cs="Arial"/>
        </w:rPr>
        <w:t>Because the Advanced platforms were running outdated software and lacked adequate security patches (</w:t>
      </w:r>
      <w:proofErr w:type="spellStart"/>
      <w:r w:rsidRPr="00206632">
        <w:rPr>
          <w:rFonts w:ascii="Arial" w:hAnsi="Arial" w:cs="Arial"/>
        </w:rPr>
        <w:t>Portela</w:t>
      </w:r>
      <w:proofErr w:type="spellEnd"/>
      <w:r w:rsidRPr="00206632">
        <w:rPr>
          <w:rFonts w:ascii="Arial" w:hAnsi="Arial" w:cs="Arial"/>
        </w:rPr>
        <w:t xml:space="preserve"> et al., 2023).</w:t>
      </w:r>
    </w:p>
    <w:p w:rsidR="00206632" w:rsidRPr="00206632" w:rsidRDefault="00206632" w:rsidP="00590D20">
      <w:pPr>
        <w:pStyle w:val="ListParagraph"/>
        <w:numPr>
          <w:ilvl w:val="0"/>
          <w:numId w:val="1"/>
        </w:numPr>
        <w:spacing w:line="480" w:lineRule="auto"/>
        <w:jc w:val="both"/>
        <w:rPr>
          <w:rFonts w:ascii="Arial" w:hAnsi="Arial" w:cs="Arial"/>
        </w:rPr>
      </w:pPr>
      <w:r w:rsidRPr="00206632">
        <w:rPr>
          <w:rFonts w:ascii="Arial" w:hAnsi="Arial" w:cs="Arial"/>
        </w:rPr>
        <w:t>Why was patching not adequately performed?</w:t>
      </w:r>
    </w:p>
    <w:p w:rsidR="00206632" w:rsidRPr="00206632" w:rsidRDefault="00206632" w:rsidP="00590D20">
      <w:pPr>
        <w:spacing w:line="480" w:lineRule="auto"/>
        <w:jc w:val="both"/>
        <w:rPr>
          <w:rFonts w:ascii="Arial" w:hAnsi="Arial" w:cs="Arial"/>
        </w:rPr>
      </w:pPr>
      <w:r w:rsidRPr="00206632">
        <w:rPr>
          <w:rFonts w:ascii="Arial" w:hAnsi="Arial" w:cs="Arial"/>
        </w:rPr>
        <w:t xml:space="preserve">Because digital governance structures were fragmented, and local NHS </w:t>
      </w:r>
      <w:proofErr w:type="spellStart"/>
      <w:r w:rsidRPr="00206632">
        <w:rPr>
          <w:rFonts w:ascii="Arial" w:hAnsi="Arial" w:cs="Arial"/>
        </w:rPr>
        <w:t>organisations</w:t>
      </w:r>
      <w:proofErr w:type="spellEnd"/>
      <w:r w:rsidRPr="00206632">
        <w:rPr>
          <w:rFonts w:ascii="Arial" w:hAnsi="Arial" w:cs="Arial"/>
        </w:rPr>
        <w:t xml:space="preserve"> had inconsistent responsibility for patching and updates (NHS England, 2022).</w:t>
      </w:r>
    </w:p>
    <w:p w:rsidR="00206632" w:rsidRPr="00206632" w:rsidRDefault="00206632" w:rsidP="00590D20">
      <w:pPr>
        <w:pStyle w:val="ListParagraph"/>
        <w:numPr>
          <w:ilvl w:val="0"/>
          <w:numId w:val="1"/>
        </w:numPr>
        <w:spacing w:line="480" w:lineRule="auto"/>
        <w:jc w:val="both"/>
        <w:rPr>
          <w:rFonts w:ascii="Arial" w:hAnsi="Arial" w:cs="Arial"/>
        </w:rPr>
      </w:pPr>
      <w:r w:rsidRPr="00206632">
        <w:rPr>
          <w:rFonts w:ascii="Arial" w:hAnsi="Arial" w:cs="Arial"/>
        </w:rPr>
        <w:t>Why was governance fragmented?</w:t>
      </w:r>
    </w:p>
    <w:p w:rsidR="00206632" w:rsidRPr="00206632" w:rsidRDefault="00206632" w:rsidP="00590D20">
      <w:pPr>
        <w:spacing w:line="480" w:lineRule="auto"/>
        <w:jc w:val="both"/>
        <w:rPr>
          <w:rFonts w:ascii="Arial" w:hAnsi="Arial" w:cs="Arial"/>
        </w:rPr>
      </w:pPr>
      <w:r w:rsidRPr="00206632">
        <w:rPr>
          <w:rFonts w:ascii="Arial" w:hAnsi="Arial" w:cs="Arial"/>
        </w:rPr>
        <w:lastRenderedPageBreak/>
        <w:t xml:space="preserve">Because cybersecurity was not embedded into NHS-wide quality assurance systems, resulting in </w:t>
      </w:r>
      <w:proofErr w:type="spellStart"/>
      <w:r w:rsidRPr="00206632">
        <w:rPr>
          <w:rFonts w:ascii="Arial" w:hAnsi="Arial" w:cs="Arial"/>
        </w:rPr>
        <w:t>organisational</w:t>
      </w:r>
      <w:proofErr w:type="spellEnd"/>
      <w:r w:rsidRPr="00206632">
        <w:rPr>
          <w:rFonts w:ascii="Arial" w:hAnsi="Arial" w:cs="Arial"/>
        </w:rPr>
        <w:t xml:space="preserve"> </w:t>
      </w:r>
      <w:proofErr w:type="spellStart"/>
      <w:r w:rsidRPr="00206632">
        <w:rPr>
          <w:rFonts w:ascii="Arial" w:hAnsi="Arial" w:cs="Arial"/>
        </w:rPr>
        <w:t>siloing</w:t>
      </w:r>
      <w:proofErr w:type="spellEnd"/>
      <w:r w:rsidRPr="00206632">
        <w:rPr>
          <w:rFonts w:ascii="Arial" w:hAnsi="Arial" w:cs="Arial"/>
        </w:rPr>
        <w:t xml:space="preserve"> (CQC, 2023).</w:t>
      </w:r>
    </w:p>
    <w:p w:rsidR="00206632" w:rsidRPr="00206632" w:rsidRDefault="00206632" w:rsidP="00590D20">
      <w:pPr>
        <w:pStyle w:val="ListParagraph"/>
        <w:numPr>
          <w:ilvl w:val="0"/>
          <w:numId w:val="1"/>
        </w:numPr>
        <w:spacing w:line="480" w:lineRule="auto"/>
        <w:jc w:val="both"/>
        <w:rPr>
          <w:rFonts w:ascii="Arial" w:hAnsi="Arial" w:cs="Arial"/>
        </w:rPr>
      </w:pPr>
      <w:r w:rsidRPr="00206632">
        <w:rPr>
          <w:rFonts w:ascii="Arial" w:hAnsi="Arial" w:cs="Arial"/>
        </w:rPr>
        <w:t>Why was cyber risk not embedded into QA systems?</w:t>
      </w:r>
    </w:p>
    <w:p w:rsidR="00206632" w:rsidRPr="00206632" w:rsidRDefault="00206632" w:rsidP="00590D20">
      <w:pPr>
        <w:spacing w:line="480" w:lineRule="auto"/>
        <w:jc w:val="both"/>
        <w:rPr>
          <w:rFonts w:ascii="Arial" w:hAnsi="Arial" w:cs="Arial"/>
        </w:rPr>
      </w:pPr>
      <w:r w:rsidRPr="00206632">
        <w:rPr>
          <w:rFonts w:ascii="Arial" w:hAnsi="Arial" w:cs="Arial"/>
        </w:rPr>
        <w:t xml:space="preserve">Because leadership had not </w:t>
      </w:r>
      <w:proofErr w:type="spellStart"/>
      <w:r w:rsidRPr="00206632">
        <w:rPr>
          <w:rFonts w:ascii="Arial" w:hAnsi="Arial" w:cs="Arial"/>
        </w:rPr>
        <w:t>prioritised</w:t>
      </w:r>
      <w:proofErr w:type="spellEnd"/>
      <w:r w:rsidRPr="00206632">
        <w:rPr>
          <w:rFonts w:ascii="Arial" w:hAnsi="Arial" w:cs="Arial"/>
        </w:rPr>
        <w:t xml:space="preserve"> cybersecurity as a patient-safety issue despite longstanding warnings in the literature (Hasegawa et al., 2024).</w:t>
      </w:r>
    </w:p>
    <w:p w:rsidR="00590D20" w:rsidRDefault="00206632" w:rsidP="00590D20">
      <w:pPr>
        <w:spacing w:line="480" w:lineRule="auto"/>
        <w:jc w:val="both"/>
        <w:rPr>
          <w:rFonts w:ascii="Arial" w:hAnsi="Arial" w:cs="Arial"/>
        </w:rPr>
      </w:pPr>
      <w:r w:rsidRPr="00206632">
        <w:rPr>
          <w:rFonts w:ascii="Arial" w:hAnsi="Arial" w:cs="Arial"/>
        </w:rPr>
        <w:t xml:space="preserve">Thus, the root cause extends beyond the technical breach—it reflects </w:t>
      </w:r>
      <w:proofErr w:type="spellStart"/>
      <w:r w:rsidRPr="00206632">
        <w:rPr>
          <w:rFonts w:ascii="Arial" w:hAnsi="Arial" w:cs="Arial"/>
        </w:rPr>
        <w:t>organisational</w:t>
      </w:r>
      <w:proofErr w:type="spellEnd"/>
      <w:r w:rsidRPr="00206632">
        <w:rPr>
          <w:rFonts w:ascii="Arial" w:hAnsi="Arial" w:cs="Arial"/>
        </w:rPr>
        <w:t>, cultural and governance shortcomings, consistent with patterns in global healthcare</w:t>
      </w:r>
      <w:r w:rsidR="00590D20">
        <w:rPr>
          <w:rFonts w:ascii="Arial" w:hAnsi="Arial" w:cs="Arial"/>
        </w:rPr>
        <w:t xml:space="preserve"> cyber incidents (Reason, 1990)</w:t>
      </w:r>
    </w:p>
    <w:p w:rsidR="00206632" w:rsidRPr="00590D20" w:rsidRDefault="00206632" w:rsidP="00590D20">
      <w:pPr>
        <w:spacing w:line="480" w:lineRule="auto"/>
        <w:jc w:val="both"/>
        <w:rPr>
          <w:rFonts w:ascii="Arial" w:hAnsi="Arial" w:cs="Arial"/>
        </w:rPr>
      </w:pPr>
      <w:r w:rsidRPr="00206632">
        <w:rPr>
          <w:rFonts w:ascii="Arial" w:hAnsi="Arial" w:cs="Arial"/>
          <w:b/>
          <w:bCs/>
        </w:rPr>
        <w:t xml:space="preserve">2.4 </w:t>
      </w:r>
      <w:proofErr w:type="spellStart"/>
      <w:r w:rsidRPr="00206632">
        <w:rPr>
          <w:rFonts w:ascii="Arial" w:hAnsi="Arial" w:cs="Arial"/>
          <w:b/>
          <w:bCs/>
        </w:rPr>
        <w:t>Donabedian</w:t>
      </w:r>
      <w:proofErr w:type="spellEnd"/>
      <w:r w:rsidRPr="00206632">
        <w:rPr>
          <w:rFonts w:ascii="Arial" w:hAnsi="Arial" w:cs="Arial"/>
          <w:b/>
          <w:bCs/>
        </w:rPr>
        <w:t xml:space="preserve"> Structure–Process–Outcome Model</w:t>
      </w:r>
    </w:p>
    <w:p w:rsidR="00206632" w:rsidRDefault="00D8121A" w:rsidP="00590D20">
      <w:pPr>
        <w:spacing w:line="480" w:lineRule="auto"/>
        <w:jc w:val="both"/>
        <w:rPr>
          <w:rFonts w:ascii="Arial" w:hAnsi="Arial" w:cs="Arial"/>
        </w:rPr>
      </w:pPr>
      <w:r>
        <w:rPr>
          <w:noProof/>
          <w:lang w:val="en-IN" w:eastAsia="en-IN"/>
        </w:rPr>
        <w:drawing>
          <wp:anchor distT="0" distB="0" distL="114300" distR="114300" simplePos="0" relativeHeight="251665408" behindDoc="1" locked="0" layoutInCell="1" allowOverlap="1" wp14:anchorId="5276D708" wp14:editId="34241F5B">
            <wp:simplePos x="0" y="0"/>
            <wp:positionH relativeFrom="column">
              <wp:posOffset>1800225</wp:posOffset>
            </wp:positionH>
            <wp:positionV relativeFrom="paragraph">
              <wp:posOffset>743585</wp:posOffset>
            </wp:positionV>
            <wp:extent cx="2381250" cy="2408555"/>
            <wp:effectExtent l="0" t="0" r="0" b="0"/>
            <wp:wrapTight wrapText="bothSides">
              <wp:wrapPolygon edited="0">
                <wp:start x="0" y="0"/>
                <wp:lineTo x="0" y="21355"/>
                <wp:lineTo x="21427" y="21355"/>
                <wp:lineTo x="21427" y="0"/>
                <wp:lineTo x="0" y="0"/>
              </wp:wrapPolygon>
            </wp:wrapTight>
            <wp:docPr id="8" name="Picture 8" descr="Clinical Transformation: Understanding The Culture To Understand The Change  Strategies Donabedian Model used as a framework encompassing three elements  that are interrelated in evaluating and effecting change. #donabedianmodel  #oncologynurse #nur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inical Transformation: Understanding The Culture To Understand The Change  Strategies Donabedian Model used as a framework encompassing three elements  that are interrelated in evaluating and effecting change. #donabedianmodel  #oncologynurse #nurses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81250" cy="24085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6632" w:rsidRPr="00206632">
        <w:rPr>
          <w:rFonts w:ascii="Arial" w:hAnsi="Arial" w:cs="Arial"/>
        </w:rPr>
        <w:t>Donabedian’s SPO model explains healthcare quality through interactions between structural conditions, care processes and final outcomes, making it appropriate for examining digital failures (</w:t>
      </w:r>
      <w:proofErr w:type="spellStart"/>
      <w:r w:rsidR="00206632" w:rsidRPr="00206632">
        <w:rPr>
          <w:rFonts w:ascii="Arial" w:hAnsi="Arial" w:cs="Arial"/>
        </w:rPr>
        <w:t>Donabedian</w:t>
      </w:r>
      <w:proofErr w:type="spellEnd"/>
      <w:r w:rsidR="00206632" w:rsidRPr="00206632">
        <w:rPr>
          <w:rFonts w:ascii="Arial" w:hAnsi="Arial" w:cs="Arial"/>
        </w:rPr>
        <w:t>, 1966).</w:t>
      </w:r>
    </w:p>
    <w:p w:rsidR="00D8121A" w:rsidRDefault="00D8121A" w:rsidP="00590D20">
      <w:pPr>
        <w:spacing w:line="480" w:lineRule="auto"/>
        <w:jc w:val="both"/>
        <w:rPr>
          <w:rFonts w:ascii="Arial" w:hAnsi="Arial" w:cs="Arial"/>
        </w:rPr>
      </w:pPr>
    </w:p>
    <w:p w:rsidR="00D8121A" w:rsidRDefault="00D8121A" w:rsidP="00590D20">
      <w:pPr>
        <w:spacing w:line="480" w:lineRule="auto"/>
        <w:jc w:val="both"/>
        <w:rPr>
          <w:rFonts w:ascii="Arial" w:hAnsi="Arial" w:cs="Arial"/>
        </w:rPr>
      </w:pPr>
    </w:p>
    <w:p w:rsidR="00D8121A" w:rsidRDefault="00D8121A" w:rsidP="00590D20">
      <w:pPr>
        <w:spacing w:line="480" w:lineRule="auto"/>
        <w:jc w:val="both"/>
        <w:rPr>
          <w:rFonts w:ascii="Arial" w:hAnsi="Arial" w:cs="Arial"/>
        </w:rPr>
      </w:pPr>
    </w:p>
    <w:p w:rsidR="00D8121A" w:rsidRDefault="00D8121A" w:rsidP="00590D20">
      <w:pPr>
        <w:spacing w:line="480" w:lineRule="auto"/>
        <w:jc w:val="both"/>
        <w:rPr>
          <w:rFonts w:ascii="Arial" w:hAnsi="Arial" w:cs="Arial"/>
        </w:rPr>
      </w:pPr>
    </w:p>
    <w:p w:rsidR="001376A9" w:rsidRDefault="001376A9" w:rsidP="00590D20">
      <w:pPr>
        <w:spacing w:line="480" w:lineRule="auto"/>
        <w:jc w:val="both"/>
        <w:rPr>
          <w:rFonts w:ascii="Arial" w:hAnsi="Arial" w:cs="Arial"/>
        </w:rPr>
      </w:pPr>
    </w:p>
    <w:p w:rsidR="00D8121A" w:rsidRPr="001376A9" w:rsidRDefault="001376A9" w:rsidP="001376A9">
      <w:pPr>
        <w:spacing w:line="480" w:lineRule="auto"/>
        <w:jc w:val="center"/>
        <w:rPr>
          <w:rFonts w:ascii="Arial" w:hAnsi="Arial" w:cs="Arial"/>
          <w:b/>
        </w:rPr>
      </w:pPr>
      <w:r w:rsidRPr="001376A9">
        <w:rPr>
          <w:rFonts w:ascii="Arial" w:hAnsi="Arial" w:cs="Arial"/>
          <w:b/>
        </w:rPr>
        <w:t>Source: Google</w:t>
      </w:r>
    </w:p>
    <w:p w:rsidR="00206632" w:rsidRPr="00206632" w:rsidRDefault="00206632" w:rsidP="00590D20">
      <w:pPr>
        <w:spacing w:line="480" w:lineRule="auto"/>
        <w:jc w:val="both"/>
        <w:rPr>
          <w:rFonts w:ascii="Arial" w:hAnsi="Arial" w:cs="Arial"/>
          <w:b/>
          <w:bCs/>
        </w:rPr>
      </w:pPr>
      <w:r w:rsidRPr="00206632">
        <w:rPr>
          <w:rFonts w:ascii="Arial" w:hAnsi="Arial" w:cs="Arial"/>
          <w:b/>
          <w:bCs/>
        </w:rPr>
        <w:t>Structure</w:t>
      </w:r>
    </w:p>
    <w:p w:rsidR="00752EF8" w:rsidRPr="00366EB0" w:rsidRDefault="00206632" w:rsidP="00590D20">
      <w:pPr>
        <w:spacing w:line="480" w:lineRule="auto"/>
        <w:jc w:val="both"/>
        <w:rPr>
          <w:rFonts w:ascii="Arial" w:hAnsi="Arial" w:cs="Arial"/>
        </w:rPr>
      </w:pPr>
      <w:r w:rsidRPr="00206632">
        <w:rPr>
          <w:rFonts w:ascii="Arial" w:hAnsi="Arial" w:cs="Arial"/>
        </w:rPr>
        <w:t>Structural weaknesses included outdated IT systems, insufficient cybersecurity staffing and inadequate vendor governance, reflecting findings that system infrastructure is a major determinant of digital safety (</w:t>
      </w:r>
      <w:proofErr w:type="spellStart"/>
      <w:r w:rsidRPr="00206632">
        <w:rPr>
          <w:rFonts w:ascii="Arial" w:hAnsi="Arial" w:cs="Arial"/>
        </w:rPr>
        <w:t>Portela</w:t>
      </w:r>
      <w:proofErr w:type="spellEnd"/>
      <w:r w:rsidRPr="00206632">
        <w:rPr>
          <w:rFonts w:ascii="Arial" w:hAnsi="Arial" w:cs="Arial"/>
        </w:rPr>
        <w:t xml:space="preserve"> et al., 2023). Workforce shortages limited cyber expertise </w:t>
      </w:r>
      <w:r w:rsidRPr="00206632">
        <w:rPr>
          <w:rFonts w:ascii="Arial" w:hAnsi="Arial" w:cs="Arial"/>
        </w:rPr>
        <w:lastRenderedPageBreak/>
        <w:t>across trusts, consistent with national studies on digital skills gaps in the NHS (Nair et al., 2023). Vendor contracts lacked strong cyber requirements, a known risk factor in health data breaches (Weaver, 2024).</w:t>
      </w:r>
    </w:p>
    <w:p w:rsidR="00206632" w:rsidRPr="00206632" w:rsidRDefault="00206632" w:rsidP="00590D20">
      <w:pPr>
        <w:spacing w:line="480" w:lineRule="auto"/>
        <w:jc w:val="both"/>
        <w:rPr>
          <w:rFonts w:ascii="Arial" w:hAnsi="Arial" w:cs="Arial"/>
          <w:b/>
          <w:bCs/>
        </w:rPr>
      </w:pPr>
      <w:r w:rsidRPr="00206632">
        <w:rPr>
          <w:rFonts w:ascii="Arial" w:hAnsi="Arial" w:cs="Arial"/>
          <w:b/>
          <w:bCs/>
        </w:rPr>
        <w:t>Process</w:t>
      </w:r>
    </w:p>
    <w:p w:rsidR="00206632" w:rsidRPr="00206632" w:rsidRDefault="00206632" w:rsidP="00590D20">
      <w:pPr>
        <w:spacing w:line="480" w:lineRule="auto"/>
        <w:jc w:val="both"/>
        <w:rPr>
          <w:rFonts w:ascii="Arial" w:hAnsi="Arial" w:cs="Arial"/>
        </w:rPr>
      </w:pPr>
      <w:r w:rsidRPr="00206632">
        <w:rPr>
          <w:rFonts w:ascii="Arial" w:hAnsi="Arial" w:cs="Arial"/>
        </w:rPr>
        <w:t>Process failures included inconsistent patching, weak access controls, poor communication and unclear escalation pathways, reflecting common process deficiencies in cyber readiness research (He et al., 2021). Staff reverted to manual processes during the outage, increasing clinical error risk, which aligns with evidence that paper-based processes reduce accuracy under pressure (Kwon et al., 2020).</w:t>
      </w:r>
    </w:p>
    <w:p w:rsidR="00206632" w:rsidRPr="00206632" w:rsidRDefault="00206632" w:rsidP="00590D20">
      <w:pPr>
        <w:spacing w:line="480" w:lineRule="auto"/>
        <w:jc w:val="both"/>
        <w:rPr>
          <w:rFonts w:ascii="Arial" w:hAnsi="Arial" w:cs="Arial"/>
          <w:b/>
          <w:bCs/>
        </w:rPr>
      </w:pPr>
      <w:r w:rsidRPr="00206632">
        <w:rPr>
          <w:rFonts w:ascii="Arial" w:hAnsi="Arial" w:cs="Arial"/>
          <w:b/>
          <w:bCs/>
        </w:rPr>
        <w:t>Outcome</w:t>
      </w:r>
    </w:p>
    <w:p w:rsidR="00206632" w:rsidRPr="00206632" w:rsidRDefault="00206632" w:rsidP="00590D20">
      <w:pPr>
        <w:spacing w:line="480" w:lineRule="auto"/>
        <w:jc w:val="both"/>
        <w:rPr>
          <w:rFonts w:ascii="Arial" w:hAnsi="Arial" w:cs="Arial"/>
        </w:rPr>
      </w:pPr>
      <w:r w:rsidRPr="00206632">
        <w:rPr>
          <w:rFonts w:ascii="Arial" w:hAnsi="Arial" w:cs="Arial"/>
        </w:rPr>
        <w:t>The disruption led to delayed care, cancelled appointments, reduced diagnostic capacity and increased patient-safety risks (Milmo, 2022). Patient confidentiality was compromised due to the exposure of sensitive records, consistent with data breach consequences reported internationally (WHO, 2023). Overall quality decreased across safety, effectiveness and timeliness—three core CQC domains (CQC, 2023).</w:t>
      </w:r>
    </w:p>
    <w:p w:rsidR="00206632" w:rsidRDefault="00206632" w:rsidP="00590D20">
      <w:pPr>
        <w:spacing w:line="480" w:lineRule="auto"/>
        <w:jc w:val="both"/>
        <w:rPr>
          <w:rFonts w:ascii="Arial" w:hAnsi="Arial" w:cs="Arial"/>
        </w:rPr>
      </w:pPr>
      <w:r w:rsidRPr="00206632">
        <w:rPr>
          <w:rFonts w:ascii="Arial" w:hAnsi="Arial" w:cs="Arial"/>
        </w:rPr>
        <w:t>The SPO model demonstrates that structural governance weaknesses directly produced process failures that led to harmful outcomes, a pattern widely supported in health-system quality literature (Moore et al., 2023).</w:t>
      </w:r>
    </w:p>
    <w:p w:rsidR="00206632" w:rsidRPr="00206632" w:rsidRDefault="00206632" w:rsidP="00590D20">
      <w:pPr>
        <w:spacing w:line="480" w:lineRule="auto"/>
        <w:jc w:val="both"/>
        <w:rPr>
          <w:rFonts w:ascii="Arial" w:hAnsi="Arial" w:cs="Arial"/>
          <w:b/>
          <w:bCs/>
        </w:rPr>
      </w:pPr>
      <w:r w:rsidRPr="00206632">
        <w:rPr>
          <w:rFonts w:ascii="Arial" w:hAnsi="Arial" w:cs="Arial"/>
          <w:b/>
          <w:bCs/>
        </w:rPr>
        <w:t>2.5 SWOT Analysis</w:t>
      </w:r>
    </w:p>
    <w:p w:rsidR="00206632" w:rsidRPr="00206632" w:rsidRDefault="00206632" w:rsidP="00590D20">
      <w:pPr>
        <w:spacing w:line="480" w:lineRule="auto"/>
        <w:jc w:val="both"/>
        <w:rPr>
          <w:rFonts w:ascii="Arial" w:hAnsi="Arial" w:cs="Arial"/>
        </w:rPr>
      </w:pPr>
      <w:r w:rsidRPr="00206632">
        <w:rPr>
          <w:rFonts w:ascii="Arial" w:hAnsi="Arial" w:cs="Arial"/>
        </w:rPr>
        <w:t>A SWOT Analysis helps identify internal strengths and weaknesses alongside external opportunities and threats, supporting strategic planning after critical incidents such as cyberattacks (</w:t>
      </w:r>
      <w:proofErr w:type="spellStart"/>
      <w:r w:rsidRPr="00206632">
        <w:rPr>
          <w:rFonts w:ascii="Arial" w:hAnsi="Arial" w:cs="Arial"/>
        </w:rPr>
        <w:t>Gürel</w:t>
      </w:r>
      <w:proofErr w:type="spellEnd"/>
      <w:r w:rsidRPr="00206632">
        <w:rPr>
          <w:rFonts w:ascii="Arial" w:hAnsi="Arial" w:cs="Arial"/>
        </w:rPr>
        <w:t xml:space="preserve"> &amp; Tat, 2017).</w:t>
      </w:r>
    </w:p>
    <w:p w:rsidR="00206632" w:rsidRDefault="00590D20" w:rsidP="00590D20">
      <w:pPr>
        <w:spacing w:line="480" w:lineRule="auto"/>
        <w:jc w:val="both"/>
        <w:rPr>
          <w:rFonts w:ascii="Arial" w:hAnsi="Arial" w:cs="Arial"/>
        </w:rPr>
      </w:pPr>
      <w:r>
        <w:rPr>
          <w:noProof/>
          <w:lang w:val="en-IN" w:eastAsia="en-IN"/>
        </w:rPr>
        <w:lastRenderedPageBreak/>
        <w:drawing>
          <wp:anchor distT="0" distB="0" distL="114300" distR="114300" simplePos="0" relativeHeight="251661312" behindDoc="1" locked="0" layoutInCell="1" allowOverlap="1" wp14:anchorId="0A9DF313" wp14:editId="6882DD7E">
            <wp:simplePos x="0" y="0"/>
            <wp:positionH relativeFrom="column">
              <wp:posOffset>1618615</wp:posOffset>
            </wp:positionH>
            <wp:positionV relativeFrom="paragraph">
              <wp:posOffset>0</wp:posOffset>
            </wp:positionV>
            <wp:extent cx="2759075" cy="2647950"/>
            <wp:effectExtent l="0" t="0" r="0" b="0"/>
            <wp:wrapTight wrapText="bothSides">
              <wp:wrapPolygon edited="0">
                <wp:start x="1342" y="311"/>
                <wp:lineTo x="895" y="1088"/>
                <wp:lineTo x="597" y="2176"/>
                <wp:lineTo x="597" y="20512"/>
                <wp:lineTo x="1342" y="21445"/>
                <wp:lineTo x="1491" y="21445"/>
                <wp:lineTo x="20432" y="21445"/>
                <wp:lineTo x="20581" y="21445"/>
                <wp:lineTo x="21177" y="20512"/>
                <wp:lineTo x="21028" y="1088"/>
                <wp:lineTo x="20581" y="311"/>
                <wp:lineTo x="1342" y="311"/>
              </wp:wrapPolygon>
            </wp:wrapTight>
            <wp:docPr id="6" name="Picture 6" descr="SWOT: Strengths, Weaknesses, Opportunities,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SWOT: Strengths, Weaknesses, Opportunities, Threat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6892" t="5757" r="9289" b="6664"/>
                    <a:stretch/>
                  </pic:blipFill>
                  <pic:spPr bwMode="auto">
                    <a:xfrm>
                      <a:off x="0" y="0"/>
                      <a:ext cx="2759075" cy="2647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06632" w:rsidRDefault="00206632" w:rsidP="00590D20">
      <w:pPr>
        <w:spacing w:line="480" w:lineRule="auto"/>
        <w:jc w:val="both"/>
        <w:rPr>
          <w:rFonts w:ascii="Arial" w:hAnsi="Arial" w:cs="Arial"/>
        </w:rPr>
      </w:pPr>
    </w:p>
    <w:p w:rsidR="00206632" w:rsidRDefault="00206632" w:rsidP="00590D20">
      <w:pPr>
        <w:spacing w:line="480" w:lineRule="auto"/>
        <w:jc w:val="both"/>
        <w:rPr>
          <w:rFonts w:ascii="Arial" w:hAnsi="Arial" w:cs="Arial"/>
        </w:rPr>
      </w:pPr>
    </w:p>
    <w:p w:rsidR="009F6EEC" w:rsidRDefault="009F6EEC" w:rsidP="00590D20">
      <w:pPr>
        <w:spacing w:line="480" w:lineRule="auto"/>
        <w:jc w:val="both"/>
        <w:rPr>
          <w:rFonts w:ascii="Arial" w:hAnsi="Arial" w:cs="Arial"/>
          <w:b/>
          <w:bCs/>
        </w:rPr>
      </w:pPr>
    </w:p>
    <w:p w:rsidR="009F6EEC" w:rsidRDefault="009F6EEC" w:rsidP="00590D20">
      <w:pPr>
        <w:spacing w:line="480" w:lineRule="auto"/>
        <w:jc w:val="both"/>
        <w:rPr>
          <w:rFonts w:ascii="Arial" w:hAnsi="Arial" w:cs="Arial"/>
          <w:b/>
          <w:bCs/>
        </w:rPr>
      </w:pPr>
    </w:p>
    <w:p w:rsidR="009F6EEC" w:rsidRDefault="009F6EEC" w:rsidP="00590D20">
      <w:pPr>
        <w:spacing w:line="480" w:lineRule="auto"/>
        <w:jc w:val="both"/>
        <w:rPr>
          <w:rFonts w:ascii="Arial" w:hAnsi="Arial" w:cs="Arial"/>
          <w:b/>
          <w:bCs/>
        </w:rPr>
      </w:pPr>
    </w:p>
    <w:p w:rsidR="00CB358E" w:rsidRDefault="00CB358E" w:rsidP="001376A9">
      <w:pPr>
        <w:spacing w:line="480" w:lineRule="auto"/>
        <w:jc w:val="center"/>
        <w:rPr>
          <w:rFonts w:ascii="Arial" w:hAnsi="Arial" w:cs="Arial"/>
          <w:b/>
          <w:bCs/>
        </w:rPr>
      </w:pPr>
    </w:p>
    <w:p w:rsidR="009F6EEC" w:rsidRDefault="001376A9" w:rsidP="001376A9">
      <w:pPr>
        <w:spacing w:line="480" w:lineRule="auto"/>
        <w:jc w:val="center"/>
        <w:rPr>
          <w:rFonts w:ascii="Arial" w:hAnsi="Arial" w:cs="Arial"/>
          <w:b/>
          <w:bCs/>
        </w:rPr>
      </w:pPr>
      <w:r>
        <w:rPr>
          <w:rFonts w:ascii="Arial" w:hAnsi="Arial" w:cs="Arial"/>
          <w:b/>
          <w:bCs/>
        </w:rPr>
        <w:t xml:space="preserve">Source: </w:t>
      </w:r>
      <w:proofErr w:type="spellStart"/>
      <w:r>
        <w:rPr>
          <w:rFonts w:ascii="Arial" w:hAnsi="Arial" w:cs="Arial"/>
          <w:b/>
          <w:bCs/>
        </w:rPr>
        <w:t>Bussinessballs</w:t>
      </w:r>
      <w:proofErr w:type="spellEnd"/>
    </w:p>
    <w:p w:rsidR="00206632" w:rsidRPr="00206632" w:rsidRDefault="00206632" w:rsidP="00590D20">
      <w:pPr>
        <w:spacing w:line="480" w:lineRule="auto"/>
        <w:jc w:val="both"/>
        <w:rPr>
          <w:rFonts w:ascii="Arial" w:hAnsi="Arial" w:cs="Arial"/>
          <w:b/>
          <w:bCs/>
        </w:rPr>
      </w:pPr>
      <w:r w:rsidRPr="00206632">
        <w:rPr>
          <w:rFonts w:ascii="Arial" w:hAnsi="Arial" w:cs="Arial"/>
          <w:b/>
          <w:bCs/>
        </w:rPr>
        <w:t>Strengths</w:t>
      </w:r>
    </w:p>
    <w:p w:rsidR="00206632" w:rsidRPr="00206632" w:rsidRDefault="00206632" w:rsidP="00590D20">
      <w:pPr>
        <w:spacing w:line="480" w:lineRule="auto"/>
        <w:jc w:val="both"/>
        <w:rPr>
          <w:rFonts w:ascii="Arial" w:hAnsi="Arial" w:cs="Arial"/>
        </w:rPr>
      </w:pPr>
      <w:r w:rsidRPr="00206632">
        <w:rPr>
          <w:rFonts w:ascii="Arial" w:hAnsi="Arial" w:cs="Arial"/>
        </w:rPr>
        <w:t xml:space="preserve">The NHS has a large, skilled workforce capable of adapting to digital and operational disruptions, which aligns with evidence that human adaptability is a critical resilience factor in health systems (Nair et al., 2023). National digital strategies such as Data Saves Lives demonstrate NHS commitment to long-term digital transformation, providing strategic direction for </w:t>
      </w:r>
      <w:proofErr w:type="spellStart"/>
      <w:r w:rsidRPr="00206632">
        <w:rPr>
          <w:rFonts w:ascii="Arial" w:hAnsi="Arial" w:cs="Arial"/>
        </w:rPr>
        <w:t>modernisation</w:t>
      </w:r>
      <w:proofErr w:type="spellEnd"/>
      <w:r w:rsidRPr="00206632">
        <w:rPr>
          <w:rFonts w:ascii="Arial" w:hAnsi="Arial" w:cs="Arial"/>
        </w:rPr>
        <w:t xml:space="preserve"> (DHSC, 2022). Existing quality-assurance structures, such as CQC domains, provide a baseline framework for integrating digital safety within patient-safety monitoring (CQC, 2023).</w:t>
      </w:r>
    </w:p>
    <w:p w:rsidR="00206632" w:rsidRPr="00206632" w:rsidRDefault="00206632" w:rsidP="00590D20">
      <w:pPr>
        <w:spacing w:line="480" w:lineRule="auto"/>
        <w:jc w:val="both"/>
        <w:rPr>
          <w:rFonts w:ascii="Arial" w:hAnsi="Arial" w:cs="Arial"/>
          <w:b/>
          <w:bCs/>
        </w:rPr>
      </w:pPr>
      <w:r w:rsidRPr="00206632">
        <w:rPr>
          <w:rFonts w:ascii="Arial" w:hAnsi="Arial" w:cs="Arial"/>
          <w:b/>
          <w:bCs/>
        </w:rPr>
        <w:t>Weaknesses</w:t>
      </w:r>
    </w:p>
    <w:p w:rsidR="00CB358E" w:rsidRPr="00206632" w:rsidRDefault="00206632" w:rsidP="00590D20">
      <w:pPr>
        <w:spacing w:line="480" w:lineRule="auto"/>
        <w:jc w:val="both"/>
        <w:rPr>
          <w:rFonts w:ascii="Arial" w:hAnsi="Arial" w:cs="Arial"/>
        </w:rPr>
      </w:pPr>
      <w:r w:rsidRPr="00206632">
        <w:rPr>
          <w:rFonts w:ascii="Arial" w:hAnsi="Arial" w:cs="Arial"/>
        </w:rPr>
        <w:t>Legacy IT systems created exploitable vulnerabilities, which is consistent with studies showing that outdated infrastructure is a common risk factor in healthcare cyber incidents (Weaver, 2024). Inconsistent patching, weak cyber-training, and fragmented governance indicate systemic weaknesses, reflecting national variation in digital maturity across NHS trusts (Moore et al., 2023). Vendor dependency on Advanced increased systemic risk by creating a single point of failure for multiple services (Badshah, 2022).</w:t>
      </w:r>
    </w:p>
    <w:p w:rsidR="00206632" w:rsidRPr="00206632" w:rsidRDefault="00206632" w:rsidP="00590D20">
      <w:pPr>
        <w:spacing w:line="480" w:lineRule="auto"/>
        <w:jc w:val="both"/>
        <w:rPr>
          <w:rFonts w:ascii="Arial" w:hAnsi="Arial" w:cs="Arial"/>
          <w:b/>
          <w:bCs/>
        </w:rPr>
      </w:pPr>
      <w:r w:rsidRPr="00206632">
        <w:rPr>
          <w:rFonts w:ascii="Arial" w:hAnsi="Arial" w:cs="Arial"/>
          <w:b/>
          <w:bCs/>
        </w:rPr>
        <w:lastRenderedPageBreak/>
        <w:t>Opportunities</w:t>
      </w:r>
    </w:p>
    <w:p w:rsidR="00206632" w:rsidRPr="00206632" w:rsidRDefault="00206632" w:rsidP="00590D20">
      <w:pPr>
        <w:spacing w:line="480" w:lineRule="auto"/>
        <w:jc w:val="both"/>
        <w:rPr>
          <w:rFonts w:ascii="Arial" w:hAnsi="Arial" w:cs="Arial"/>
        </w:rPr>
      </w:pPr>
      <w:r w:rsidRPr="00206632">
        <w:rPr>
          <w:rFonts w:ascii="Arial" w:hAnsi="Arial" w:cs="Arial"/>
        </w:rPr>
        <w:t xml:space="preserve">The cyberattack created political and </w:t>
      </w:r>
      <w:proofErr w:type="spellStart"/>
      <w:r w:rsidRPr="00206632">
        <w:rPr>
          <w:rFonts w:ascii="Arial" w:hAnsi="Arial" w:cs="Arial"/>
        </w:rPr>
        <w:t>organisational</w:t>
      </w:r>
      <w:proofErr w:type="spellEnd"/>
      <w:r w:rsidRPr="00206632">
        <w:rPr>
          <w:rFonts w:ascii="Arial" w:hAnsi="Arial" w:cs="Arial"/>
        </w:rPr>
        <w:t xml:space="preserve"> urgency for major digital investment, which aligns with research showing crises often accelerate innovation (Kwon et al., 2020). Opportunities exist to adopt zero-trust cybersecurity models and strengthen real-time threat monitoring, both considered best practice for health-system cyber resilience (He et al., 2021). Workforce capability can be strengthened through digital-literacy training and simulation-based cyber drills, which have been shown to improve preparedness (Hasegawa et al., 2024).</w:t>
      </w:r>
    </w:p>
    <w:p w:rsidR="00206632" w:rsidRPr="00206632" w:rsidRDefault="00206632" w:rsidP="00590D20">
      <w:pPr>
        <w:spacing w:line="480" w:lineRule="auto"/>
        <w:jc w:val="both"/>
        <w:rPr>
          <w:rFonts w:ascii="Arial" w:hAnsi="Arial" w:cs="Arial"/>
          <w:b/>
          <w:bCs/>
        </w:rPr>
      </w:pPr>
      <w:r w:rsidRPr="00206632">
        <w:rPr>
          <w:rFonts w:ascii="Arial" w:hAnsi="Arial" w:cs="Arial"/>
          <w:b/>
          <w:bCs/>
        </w:rPr>
        <w:t>Threats</w:t>
      </w:r>
    </w:p>
    <w:p w:rsidR="00590D20" w:rsidRPr="008071DC" w:rsidRDefault="00206632" w:rsidP="00590D20">
      <w:pPr>
        <w:spacing w:line="480" w:lineRule="auto"/>
        <w:jc w:val="both"/>
        <w:rPr>
          <w:rFonts w:ascii="Arial" w:hAnsi="Arial" w:cs="Arial"/>
        </w:rPr>
      </w:pPr>
      <w:r w:rsidRPr="00206632">
        <w:rPr>
          <w:rFonts w:ascii="Arial" w:hAnsi="Arial" w:cs="Arial"/>
        </w:rPr>
        <w:t xml:space="preserve">Healthcare remains one of the most targeted sectors globally, making future attacks highly likely (WHO, 2023). Increasing service pressures and workforce shortages reduce </w:t>
      </w:r>
      <w:proofErr w:type="spellStart"/>
      <w:r w:rsidRPr="00206632">
        <w:rPr>
          <w:rFonts w:ascii="Arial" w:hAnsi="Arial" w:cs="Arial"/>
        </w:rPr>
        <w:t>organisational</w:t>
      </w:r>
      <w:proofErr w:type="spellEnd"/>
      <w:r w:rsidRPr="00206632">
        <w:rPr>
          <w:rFonts w:ascii="Arial" w:hAnsi="Arial" w:cs="Arial"/>
        </w:rPr>
        <w:t xml:space="preserve"> capacity to </w:t>
      </w:r>
      <w:proofErr w:type="spellStart"/>
      <w:r w:rsidRPr="00206632">
        <w:rPr>
          <w:rFonts w:ascii="Arial" w:hAnsi="Arial" w:cs="Arial"/>
        </w:rPr>
        <w:t>prioritise</w:t>
      </w:r>
      <w:proofErr w:type="spellEnd"/>
      <w:r w:rsidRPr="00206632">
        <w:rPr>
          <w:rFonts w:ascii="Arial" w:hAnsi="Arial" w:cs="Arial"/>
        </w:rPr>
        <w:t xml:space="preserve"> cybersecurity (Milmo, 2022). Cyber insurance costs and regulatory pressures continue to rise, placing additional strain on under-resourced NHS </w:t>
      </w:r>
      <w:proofErr w:type="spellStart"/>
      <w:r w:rsidRPr="00206632">
        <w:rPr>
          <w:rFonts w:ascii="Arial" w:hAnsi="Arial" w:cs="Arial"/>
        </w:rPr>
        <w:t>organisations</w:t>
      </w:r>
      <w:proofErr w:type="spellEnd"/>
      <w:r w:rsidRPr="00206632">
        <w:rPr>
          <w:rFonts w:ascii="Arial" w:hAnsi="Arial" w:cs="Arial"/>
        </w:rPr>
        <w:t xml:space="preserve"> (</w:t>
      </w:r>
      <w:proofErr w:type="spellStart"/>
      <w:r w:rsidRPr="00206632">
        <w:rPr>
          <w:rFonts w:ascii="Arial" w:hAnsi="Arial" w:cs="Arial"/>
        </w:rPr>
        <w:t>Portela</w:t>
      </w:r>
      <w:proofErr w:type="spellEnd"/>
      <w:r w:rsidRPr="00206632">
        <w:rPr>
          <w:rFonts w:ascii="Arial" w:hAnsi="Arial" w:cs="Arial"/>
        </w:rPr>
        <w:t xml:space="preserve"> et al., 2023).</w:t>
      </w:r>
    </w:p>
    <w:p w:rsidR="00206632" w:rsidRPr="00206632" w:rsidRDefault="00206632" w:rsidP="00590D20">
      <w:pPr>
        <w:spacing w:line="480" w:lineRule="auto"/>
        <w:jc w:val="both"/>
        <w:rPr>
          <w:rFonts w:ascii="Arial" w:hAnsi="Arial" w:cs="Arial"/>
          <w:b/>
          <w:bCs/>
        </w:rPr>
      </w:pPr>
      <w:r w:rsidRPr="00206632">
        <w:rPr>
          <w:rFonts w:ascii="Arial" w:hAnsi="Arial" w:cs="Arial"/>
          <w:b/>
          <w:bCs/>
        </w:rPr>
        <w:t>2.6 CQC Five Domains Analysis</w:t>
      </w:r>
    </w:p>
    <w:p w:rsidR="00206632" w:rsidRDefault="000929CE" w:rsidP="00590D20">
      <w:pPr>
        <w:spacing w:line="480" w:lineRule="auto"/>
        <w:jc w:val="both"/>
        <w:rPr>
          <w:rFonts w:ascii="Arial" w:hAnsi="Arial" w:cs="Arial"/>
        </w:rPr>
      </w:pPr>
      <w:r w:rsidRPr="000929CE">
        <w:rPr>
          <w:rFonts w:ascii="Arial" w:hAnsi="Arial" w:cs="Arial"/>
          <w:lang w:val="en-IN"/>
        </w:rPr>
        <w:drawing>
          <wp:anchor distT="0" distB="0" distL="114300" distR="114300" simplePos="0" relativeHeight="251663360" behindDoc="1" locked="0" layoutInCell="1" allowOverlap="1" wp14:anchorId="4F26A10C" wp14:editId="17FD2A18">
            <wp:simplePos x="0" y="0"/>
            <wp:positionH relativeFrom="column">
              <wp:posOffset>1285875</wp:posOffset>
            </wp:positionH>
            <wp:positionV relativeFrom="paragraph">
              <wp:posOffset>509270</wp:posOffset>
            </wp:positionV>
            <wp:extent cx="2657475" cy="2105025"/>
            <wp:effectExtent l="0" t="19050" r="0" b="9525"/>
            <wp:wrapTight wrapText="bothSides">
              <wp:wrapPolygon edited="0">
                <wp:start x="9600" y="-195"/>
                <wp:lineTo x="8981" y="195"/>
                <wp:lineTo x="7897" y="2150"/>
                <wp:lineTo x="7897" y="3323"/>
                <wp:lineTo x="2787" y="6255"/>
                <wp:lineTo x="2168" y="7428"/>
                <wp:lineTo x="1858" y="9578"/>
                <wp:lineTo x="1858" y="10556"/>
                <wp:lineTo x="4335" y="12706"/>
                <wp:lineTo x="5419" y="12706"/>
                <wp:lineTo x="4800" y="15833"/>
                <wp:lineTo x="4490" y="16420"/>
                <wp:lineTo x="4181" y="19157"/>
                <wp:lineTo x="5729" y="21111"/>
                <wp:lineTo x="5884" y="21502"/>
                <wp:lineTo x="15484" y="21502"/>
                <wp:lineTo x="15639" y="21111"/>
                <wp:lineTo x="17187" y="19157"/>
                <wp:lineTo x="17032" y="16811"/>
                <wp:lineTo x="16568" y="15833"/>
                <wp:lineTo x="15948" y="12706"/>
                <wp:lineTo x="17032" y="12706"/>
                <wp:lineTo x="19665" y="10360"/>
                <wp:lineTo x="19665" y="8992"/>
                <wp:lineTo x="18735" y="6255"/>
                <wp:lineTo x="13471" y="3323"/>
                <wp:lineTo x="13626" y="2346"/>
                <wp:lineTo x="12232" y="195"/>
                <wp:lineTo x="11613" y="-195"/>
                <wp:lineTo x="9600" y="-195"/>
              </wp:wrapPolygon>
            </wp:wrapTight>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r w:rsidR="00206632" w:rsidRPr="00206632">
        <w:rPr>
          <w:rFonts w:ascii="Arial" w:hAnsi="Arial" w:cs="Arial"/>
        </w:rPr>
        <w:t xml:space="preserve">The CQC domains—Safe, Effective, Caring, Responsive and Well-Led—provide a </w:t>
      </w:r>
      <w:proofErr w:type="spellStart"/>
      <w:r w:rsidR="00206632" w:rsidRPr="00206632">
        <w:rPr>
          <w:rFonts w:ascii="Arial" w:hAnsi="Arial" w:cs="Arial"/>
        </w:rPr>
        <w:t>recognised</w:t>
      </w:r>
      <w:proofErr w:type="spellEnd"/>
      <w:r w:rsidR="00206632" w:rsidRPr="00206632">
        <w:rPr>
          <w:rFonts w:ascii="Arial" w:hAnsi="Arial" w:cs="Arial"/>
        </w:rPr>
        <w:t xml:space="preserve"> framework to evaluate the quality impact of digital failures (CQC, 2023).</w:t>
      </w:r>
    </w:p>
    <w:p w:rsidR="000929CE" w:rsidRDefault="000929CE" w:rsidP="00590D20">
      <w:pPr>
        <w:spacing w:line="480" w:lineRule="auto"/>
        <w:jc w:val="both"/>
        <w:rPr>
          <w:rFonts w:ascii="Arial" w:hAnsi="Arial" w:cs="Arial"/>
        </w:rPr>
      </w:pPr>
    </w:p>
    <w:p w:rsidR="000929CE" w:rsidRDefault="000929CE" w:rsidP="00590D20">
      <w:pPr>
        <w:spacing w:line="480" w:lineRule="auto"/>
        <w:jc w:val="both"/>
        <w:rPr>
          <w:rFonts w:ascii="Arial" w:hAnsi="Arial" w:cs="Arial"/>
        </w:rPr>
      </w:pPr>
    </w:p>
    <w:p w:rsidR="000929CE" w:rsidRPr="00206632" w:rsidRDefault="000929CE" w:rsidP="00590D20">
      <w:pPr>
        <w:spacing w:line="480" w:lineRule="auto"/>
        <w:jc w:val="both"/>
        <w:rPr>
          <w:rFonts w:ascii="Arial" w:hAnsi="Arial" w:cs="Arial"/>
        </w:rPr>
      </w:pPr>
    </w:p>
    <w:p w:rsidR="000929CE" w:rsidRDefault="000929CE" w:rsidP="00590D20">
      <w:pPr>
        <w:spacing w:line="480" w:lineRule="auto"/>
        <w:jc w:val="both"/>
        <w:rPr>
          <w:rFonts w:ascii="Arial" w:hAnsi="Arial" w:cs="Arial"/>
          <w:b/>
          <w:bCs/>
        </w:rPr>
      </w:pPr>
    </w:p>
    <w:p w:rsidR="000929CE" w:rsidRDefault="000929CE" w:rsidP="00CB358E">
      <w:pPr>
        <w:spacing w:after="0" w:line="480" w:lineRule="auto"/>
        <w:rPr>
          <w:rFonts w:ascii="Arial" w:hAnsi="Arial" w:cs="Arial"/>
          <w:b/>
          <w:bCs/>
        </w:rPr>
      </w:pPr>
    </w:p>
    <w:p w:rsidR="000929CE" w:rsidRPr="000929CE" w:rsidRDefault="000929CE" w:rsidP="00590D20">
      <w:pPr>
        <w:spacing w:after="0" w:line="480" w:lineRule="auto"/>
        <w:jc w:val="center"/>
        <w:rPr>
          <w:rFonts w:ascii="Arial" w:hAnsi="Arial" w:cs="Arial"/>
          <w:b/>
          <w:bCs/>
          <w:lang w:val="en-IN"/>
        </w:rPr>
      </w:pPr>
      <w:r w:rsidRPr="000929CE">
        <w:rPr>
          <w:rFonts w:ascii="Arial" w:hAnsi="Arial" w:cs="Arial"/>
          <w:b/>
          <w:bCs/>
        </w:rPr>
        <w:t>Figure 1: CQC’s Five Quality Domains</w:t>
      </w:r>
    </w:p>
    <w:p w:rsidR="000929CE" w:rsidRPr="000929CE" w:rsidRDefault="000929CE" w:rsidP="00590D20">
      <w:pPr>
        <w:spacing w:after="0" w:line="480" w:lineRule="auto"/>
        <w:jc w:val="center"/>
        <w:rPr>
          <w:rFonts w:ascii="Arial" w:hAnsi="Arial" w:cs="Arial"/>
          <w:b/>
          <w:bCs/>
          <w:lang w:val="en-IN"/>
        </w:rPr>
      </w:pPr>
      <w:r w:rsidRPr="000929CE">
        <w:rPr>
          <w:rFonts w:ascii="Arial" w:hAnsi="Arial" w:cs="Arial"/>
          <w:b/>
          <w:bCs/>
        </w:rPr>
        <w:t>(Adapted from concepts discussed by Hope and Pascoe, 2024)</w:t>
      </w:r>
    </w:p>
    <w:p w:rsidR="00366EB0" w:rsidRPr="000929CE" w:rsidRDefault="00366EB0" w:rsidP="00590D20">
      <w:pPr>
        <w:pStyle w:val="ListParagraph"/>
        <w:numPr>
          <w:ilvl w:val="0"/>
          <w:numId w:val="12"/>
        </w:numPr>
        <w:spacing w:line="480" w:lineRule="auto"/>
        <w:jc w:val="both"/>
        <w:rPr>
          <w:rFonts w:ascii="Arial" w:hAnsi="Arial" w:cs="Arial"/>
          <w:b/>
          <w:bCs/>
        </w:rPr>
      </w:pPr>
      <w:r w:rsidRPr="000929CE">
        <w:rPr>
          <w:rFonts w:ascii="Arial" w:hAnsi="Arial" w:cs="Arial"/>
          <w:b/>
          <w:bCs/>
        </w:rPr>
        <w:lastRenderedPageBreak/>
        <w:t>Safe</w:t>
      </w:r>
    </w:p>
    <w:p w:rsidR="00206632" w:rsidRPr="00366EB0" w:rsidRDefault="00206632" w:rsidP="00590D20">
      <w:pPr>
        <w:spacing w:line="480" w:lineRule="auto"/>
        <w:jc w:val="both"/>
        <w:rPr>
          <w:rFonts w:ascii="Arial" w:hAnsi="Arial" w:cs="Arial"/>
          <w:b/>
          <w:bCs/>
        </w:rPr>
      </w:pPr>
      <w:r w:rsidRPr="00206632">
        <w:rPr>
          <w:rFonts w:ascii="Arial" w:hAnsi="Arial" w:cs="Arial"/>
        </w:rPr>
        <w:t>The cyberattack compromised safety by preventing access to digital clinical records, increasing risk of medication errors, diagnostic delays and incomplete documentation (Milmo, 2022). Studies confirm that loss of digital systems significantly increases clinical error rates (Kwon et al., 2020).</w:t>
      </w:r>
    </w:p>
    <w:p w:rsidR="00206632" w:rsidRPr="000929CE" w:rsidRDefault="00206632" w:rsidP="00590D20">
      <w:pPr>
        <w:pStyle w:val="ListParagraph"/>
        <w:numPr>
          <w:ilvl w:val="0"/>
          <w:numId w:val="12"/>
        </w:numPr>
        <w:spacing w:line="480" w:lineRule="auto"/>
        <w:jc w:val="both"/>
        <w:rPr>
          <w:rFonts w:ascii="Arial" w:hAnsi="Arial" w:cs="Arial"/>
          <w:b/>
          <w:bCs/>
        </w:rPr>
      </w:pPr>
      <w:r w:rsidRPr="000929CE">
        <w:rPr>
          <w:rFonts w:ascii="Arial" w:hAnsi="Arial" w:cs="Arial"/>
          <w:b/>
          <w:bCs/>
        </w:rPr>
        <w:t>Effective</w:t>
      </w:r>
    </w:p>
    <w:p w:rsidR="00206632" w:rsidRPr="00206632" w:rsidRDefault="00206632" w:rsidP="00590D20">
      <w:pPr>
        <w:spacing w:line="480" w:lineRule="auto"/>
        <w:jc w:val="both"/>
        <w:rPr>
          <w:rFonts w:ascii="Arial" w:hAnsi="Arial" w:cs="Arial"/>
        </w:rPr>
      </w:pPr>
      <w:r w:rsidRPr="00206632">
        <w:rPr>
          <w:rFonts w:ascii="Arial" w:hAnsi="Arial" w:cs="Arial"/>
        </w:rPr>
        <w:t>Service effectiveness decreased due to delayed triage, reduced information flow and disruption of NHS 111, which aligns with research linking digital downtime to reduced care quality (</w:t>
      </w:r>
      <w:proofErr w:type="spellStart"/>
      <w:r w:rsidRPr="00206632">
        <w:rPr>
          <w:rFonts w:ascii="Arial" w:hAnsi="Arial" w:cs="Arial"/>
        </w:rPr>
        <w:t>Portela</w:t>
      </w:r>
      <w:proofErr w:type="spellEnd"/>
      <w:r w:rsidRPr="00206632">
        <w:rPr>
          <w:rFonts w:ascii="Arial" w:hAnsi="Arial" w:cs="Arial"/>
        </w:rPr>
        <w:t xml:space="preserve"> et al., 2023).</w:t>
      </w:r>
    </w:p>
    <w:p w:rsidR="00206632" w:rsidRPr="000929CE" w:rsidRDefault="00206632" w:rsidP="00590D20">
      <w:pPr>
        <w:pStyle w:val="ListParagraph"/>
        <w:numPr>
          <w:ilvl w:val="0"/>
          <w:numId w:val="12"/>
        </w:numPr>
        <w:spacing w:line="480" w:lineRule="auto"/>
        <w:jc w:val="both"/>
        <w:rPr>
          <w:rFonts w:ascii="Arial" w:hAnsi="Arial" w:cs="Arial"/>
          <w:b/>
          <w:bCs/>
        </w:rPr>
      </w:pPr>
      <w:r w:rsidRPr="000929CE">
        <w:rPr>
          <w:rFonts w:ascii="Arial" w:hAnsi="Arial" w:cs="Arial"/>
          <w:b/>
          <w:bCs/>
        </w:rPr>
        <w:t>Caring</w:t>
      </w:r>
    </w:p>
    <w:p w:rsidR="00206632" w:rsidRPr="00206632" w:rsidRDefault="00206632" w:rsidP="00590D20">
      <w:pPr>
        <w:spacing w:line="480" w:lineRule="auto"/>
        <w:jc w:val="both"/>
        <w:rPr>
          <w:rFonts w:ascii="Arial" w:hAnsi="Arial" w:cs="Arial"/>
        </w:rPr>
      </w:pPr>
      <w:r w:rsidRPr="00206632">
        <w:rPr>
          <w:rFonts w:ascii="Arial" w:hAnsi="Arial" w:cs="Arial"/>
        </w:rPr>
        <w:t>Manual systems reduced the time healthcare professionals could spend with patients, echoing findings that administrative burden negatively affects compassion and attentiveness (Nair et al., 2023).</w:t>
      </w:r>
    </w:p>
    <w:p w:rsidR="00206632" w:rsidRPr="000929CE" w:rsidRDefault="00206632" w:rsidP="00590D20">
      <w:pPr>
        <w:pStyle w:val="ListParagraph"/>
        <w:numPr>
          <w:ilvl w:val="0"/>
          <w:numId w:val="12"/>
        </w:numPr>
        <w:spacing w:line="480" w:lineRule="auto"/>
        <w:jc w:val="both"/>
        <w:rPr>
          <w:rFonts w:ascii="Arial" w:hAnsi="Arial" w:cs="Arial"/>
          <w:b/>
          <w:bCs/>
        </w:rPr>
      </w:pPr>
      <w:r w:rsidRPr="000929CE">
        <w:rPr>
          <w:rFonts w:ascii="Arial" w:hAnsi="Arial" w:cs="Arial"/>
          <w:b/>
          <w:bCs/>
        </w:rPr>
        <w:t>Responsive</w:t>
      </w:r>
    </w:p>
    <w:p w:rsidR="00206632" w:rsidRPr="00206632" w:rsidRDefault="00206632" w:rsidP="00590D20">
      <w:pPr>
        <w:spacing w:line="480" w:lineRule="auto"/>
        <w:jc w:val="both"/>
        <w:rPr>
          <w:rFonts w:ascii="Arial" w:hAnsi="Arial" w:cs="Arial"/>
        </w:rPr>
      </w:pPr>
      <w:r w:rsidRPr="00206632">
        <w:rPr>
          <w:rFonts w:ascii="Arial" w:hAnsi="Arial" w:cs="Arial"/>
        </w:rPr>
        <w:t>Service responsiveness declined due to cancelled appointments, communication failures and slower triage processes, consistent with global cyberattack impacts (Hasegawa et al., 2024).</w:t>
      </w:r>
    </w:p>
    <w:p w:rsidR="00206632" w:rsidRPr="000929CE" w:rsidRDefault="00206632" w:rsidP="00590D20">
      <w:pPr>
        <w:pStyle w:val="ListParagraph"/>
        <w:numPr>
          <w:ilvl w:val="0"/>
          <w:numId w:val="12"/>
        </w:numPr>
        <w:spacing w:line="480" w:lineRule="auto"/>
        <w:jc w:val="both"/>
        <w:rPr>
          <w:rFonts w:ascii="Arial" w:hAnsi="Arial" w:cs="Arial"/>
          <w:b/>
          <w:bCs/>
        </w:rPr>
      </w:pPr>
      <w:r w:rsidRPr="000929CE">
        <w:rPr>
          <w:rFonts w:ascii="Arial" w:hAnsi="Arial" w:cs="Arial"/>
          <w:b/>
          <w:bCs/>
        </w:rPr>
        <w:t>Well-Led</w:t>
      </w:r>
    </w:p>
    <w:p w:rsidR="00206632" w:rsidRPr="00206632" w:rsidRDefault="00206632" w:rsidP="00590D20">
      <w:pPr>
        <w:spacing w:line="480" w:lineRule="auto"/>
        <w:jc w:val="both"/>
        <w:rPr>
          <w:rFonts w:ascii="Arial" w:hAnsi="Arial" w:cs="Arial"/>
        </w:rPr>
      </w:pPr>
      <w:r w:rsidRPr="00206632">
        <w:rPr>
          <w:rFonts w:ascii="Arial" w:hAnsi="Arial" w:cs="Arial"/>
        </w:rPr>
        <w:t xml:space="preserve">Leadership weaknesses were evident in limited cyber governance, inadequate vendor oversight and insufficient </w:t>
      </w:r>
      <w:proofErr w:type="spellStart"/>
      <w:r w:rsidRPr="00206632">
        <w:rPr>
          <w:rFonts w:ascii="Arial" w:hAnsi="Arial" w:cs="Arial"/>
        </w:rPr>
        <w:t>organisational</w:t>
      </w:r>
      <w:proofErr w:type="spellEnd"/>
      <w:r w:rsidRPr="00206632">
        <w:rPr>
          <w:rFonts w:ascii="Arial" w:hAnsi="Arial" w:cs="Arial"/>
        </w:rPr>
        <w:t xml:space="preserve"> preparedness (Moore et al., 2023).</w:t>
      </w:r>
    </w:p>
    <w:p w:rsidR="00206632" w:rsidRPr="00C91836" w:rsidRDefault="00206632" w:rsidP="00590D20">
      <w:pPr>
        <w:spacing w:line="480" w:lineRule="auto"/>
        <w:jc w:val="both"/>
        <w:rPr>
          <w:rFonts w:ascii="Arial" w:hAnsi="Arial" w:cs="Arial"/>
          <w:b/>
          <w:bCs/>
        </w:rPr>
      </w:pPr>
      <w:r w:rsidRPr="00C91836">
        <w:rPr>
          <w:rFonts w:ascii="Arial" w:hAnsi="Arial" w:cs="Arial"/>
          <w:b/>
          <w:bCs/>
        </w:rPr>
        <w:t>2.7 HEDIS Indicators</w:t>
      </w:r>
    </w:p>
    <w:p w:rsidR="00FD5A86" w:rsidRPr="0018096C" w:rsidRDefault="00206632" w:rsidP="00590D20">
      <w:pPr>
        <w:spacing w:line="480" w:lineRule="auto"/>
        <w:jc w:val="both"/>
        <w:rPr>
          <w:rFonts w:ascii="Arial" w:hAnsi="Arial" w:cs="Arial"/>
        </w:rPr>
      </w:pPr>
      <w:r w:rsidRPr="00206632">
        <w:rPr>
          <w:rFonts w:ascii="Arial" w:hAnsi="Arial" w:cs="Arial"/>
        </w:rPr>
        <w:t xml:space="preserve">Although traditionally used in the US, HEDIS measures such as "timeliness of care," “data completeness,” and “continuity of information” apply directly to digital healthcare settings (NCQA, 2022). The NHS cyberattack reduced data completeness, slowed service responsiveness and </w:t>
      </w:r>
      <w:r w:rsidRPr="00206632">
        <w:rPr>
          <w:rFonts w:ascii="Arial" w:hAnsi="Arial" w:cs="Arial"/>
        </w:rPr>
        <w:lastRenderedPageBreak/>
        <w:t>disrupted continuity—each of which aligns with well-documented HEDIS performance failures during cyber incidents (</w:t>
      </w:r>
      <w:proofErr w:type="spellStart"/>
      <w:r w:rsidRPr="00206632">
        <w:rPr>
          <w:rFonts w:ascii="Arial" w:hAnsi="Arial" w:cs="Arial"/>
        </w:rPr>
        <w:t>Portela</w:t>
      </w:r>
      <w:proofErr w:type="spellEnd"/>
      <w:r w:rsidRPr="00206632">
        <w:rPr>
          <w:rFonts w:ascii="Arial" w:hAnsi="Arial" w:cs="Arial"/>
        </w:rPr>
        <w:t xml:space="preserve"> et al., 2023).</w:t>
      </w:r>
    </w:p>
    <w:p w:rsidR="00206632" w:rsidRPr="00FD5A86" w:rsidRDefault="00206632" w:rsidP="00590D20">
      <w:pPr>
        <w:spacing w:line="480" w:lineRule="auto"/>
        <w:jc w:val="both"/>
        <w:rPr>
          <w:rFonts w:ascii="Arial" w:hAnsi="Arial" w:cs="Arial"/>
          <w:b/>
          <w:bCs/>
        </w:rPr>
      </w:pPr>
      <w:r w:rsidRPr="00FD5A86">
        <w:rPr>
          <w:rFonts w:ascii="Arial" w:hAnsi="Arial" w:cs="Arial"/>
          <w:b/>
          <w:bCs/>
        </w:rPr>
        <w:t>2.8 Theory of Change</w:t>
      </w:r>
    </w:p>
    <w:p w:rsidR="00206632" w:rsidRPr="00206632" w:rsidRDefault="00206632" w:rsidP="00590D20">
      <w:pPr>
        <w:spacing w:line="480" w:lineRule="auto"/>
        <w:jc w:val="both"/>
        <w:rPr>
          <w:rFonts w:ascii="Arial" w:hAnsi="Arial" w:cs="Arial"/>
        </w:rPr>
      </w:pPr>
      <w:r w:rsidRPr="00206632">
        <w:rPr>
          <w:rFonts w:ascii="Arial" w:hAnsi="Arial" w:cs="Arial"/>
        </w:rPr>
        <w:t xml:space="preserve">The Theory of Change model explains how outcomes depend on preconditions, activities and outputs, making it effective for planning long-term digital quality improvements (Weiss, 1995). The cyberattack demonstrated the absence of essential preconditions—such as cyber awareness, updated systems and strong governance—which prevented the intended outcome of delivering safe and reliable digital services (Milmo, 2022). According to </w:t>
      </w:r>
      <w:proofErr w:type="spellStart"/>
      <w:r w:rsidRPr="00206632">
        <w:rPr>
          <w:rFonts w:ascii="Arial" w:hAnsi="Arial" w:cs="Arial"/>
        </w:rPr>
        <w:t>ToC</w:t>
      </w:r>
      <w:proofErr w:type="spellEnd"/>
      <w:r w:rsidRPr="00206632">
        <w:rPr>
          <w:rFonts w:ascii="Arial" w:hAnsi="Arial" w:cs="Arial"/>
        </w:rPr>
        <w:t xml:space="preserve"> principles, system change requires alignment of workforce capability, technological investment and leadership behaviours (Weiss, 1995). In the NHS case, missing inputs created a chain reaction leading to the system breakdown, demonstrating that digital resilience must be built intentionally and systematically (Moore et al., 2023).</w:t>
      </w:r>
    </w:p>
    <w:p w:rsidR="00206632" w:rsidRPr="00FD5A86" w:rsidRDefault="00206632" w:rsidP="00590D20">
      <w:pPr>
        <w:spacing w:line="480" w:lineRule="auto"/>
        <w:jc w:val="both"/>
        <w:rPr>
          <w:rFonts w:ascii="Arial" w:hAnsi="Arial" w:cs="Arial"/>
          <w:b/>
          <w:bCs/>
        </w:rPr>
      </w:pPr>
      <w:r w:rsidRPr="00FD5A86">
        <w:rPr>
          <w:rFonts w:ascii="Arial" w:hAnsi="Arial" w:cs="Arial"/>
          <w:b/>
          <w:bCs/>
        </w:rPr>
        <w:t>2.9 Lewin’s Three-Stage Change Model</w:t>
      </w:r>
    </w:p>
    <w:p w:rsidR="00206632" w:rsidRDefault="009B6430" w:rsidP="00590D20">
      <w:pPr>
        <w:spacing w:line="480" w:lineRule="auto"/>
        <w:jc w:val="both"/>
        <w:rPr>
          <w:rFonts w:ascii="Arial" w:hAnsi="Arial" w:cs="Arial"/>
        </w:rPr>
      </w:pPr>
      <w:r>
        <w:rPr>
          <w:noProof/>
          <w:lang w:val="en-IN" w:eastAsia="en-IN"/>
        </w:rPr>
        <w:drawing>
          <wp:anchor distT="0" distB="0" distL="114300" distR="114300" simplePos="0" relativeHeight="251666432" behindDoc="1" locked="0" layoutInCell="1" allowOverlap="1" wp14:anchorId="5032EAC8" wp14:editId="4C65CE6D">
            <wp:simplePos x="0" y="0"/>
            <wp:positionH relativeFrom="column">
              <wp:posOffset>1304925</wp:posOffset>
            </wp:positionH>
            <wp:positionV relativeFrom="paragraph">
              <wp:posOffset>255905</wp:posOffset>
            </wp:positionV>
            <wp:extent cx="3257550" cy="1628775"/>
            <wp:effectExtent l="0" t="0" r="0" b="9525"/>
            <wp:wrapTight wrapText="bothSides">
              <wp:wrapPolygon edited="0">
                <wp:start x="0" y="0"/>
                <wp:lineTo x="0" y="21474"/>
                <wp:lineTo x="21474" y="21474"/>
                <wp:lineTo x="21474" y="0"/>
                <wp:lineTo x="0" y="0"/>
              </wp:wrapPolygon>
            </wp:wrapTight>
            <wp:docPr id="9" name="Picture 9" descr="Lewis Change Management Template Kotter's Eight-Step Change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wis Change Management Template Kotter's Eight-Step Change Model... |  Download Scientific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57550" cy="1628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6632" w:rsidRPr="00206632">
        <w:rPr>
          <w:rFonts w:ascii="Arial" w:hAnsi="Arial" w:cs="Arial"/>
        </w:rPr>
        <w:t>Lewin’s model provides a science-based change framework suitable for the NHS context (</w:t>
      </w:r>
      <w:proofErr w:type="spellStart"/>
      <w:r w:rsidR="00206632" w:rsidRPr="00206632">
        <w:rPr>
          <w:rFonts w:ascii="Arial" w:hAnsi="Arial" w:cs="Arial"/>
        </w:rPr>
        <w:t>Burnes</w:t>
      </w:r>
      <w:proofErr w:type="spellEnd"/>
      <w:r w:rsidR="00206632" w:rsidRPr="00206632">
        <w:rPr>
          <w:rFonts w:ascii="Arial" w:hAnsi="Arial" w:cs="Arial"/>
        </w:rPr>
        <w:t>, 2020).</w:t>
      </w: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Pr="009B6430" w:rsidRDefault="009B6430" w:rsidP="009B6430">
      <w:pPr>
        <w:spacing w:line="480" w:lineRule="auto"/>
        <w:jc w:val="center"/>
        <w:rPr>
          <w:rFonts w:ascii="Arial" w:hAnsi="Arial" w:cs="Arial"/>
          <w:b/>
        </w:rPr>
      </w:pPr>
      <w:r w:rsidRPr="009B6430">
        <w:rPr>
          <w:rFonts w:ascii="Arial" w:hAnsi="Arial" w:cs="Arial"/>
          <w:b/>
        </w:rPr>
        <w:t>Source: Research Gate</w:t>
      </w:r>
    </w:p>
    <w:p w:rsidR="00206632" w:rsidRPr="00FD5A86" w:rsidRDefault="00206632" w:rsidP="00590D20">
      <w:pPr>
        <w:spacing w:line="480" w:lineRule="auto"/>
        <w:jc w:val="both"/>
        <w:rPr>
          <w:rFonts w:ascii="Arial" w:hAnsi="Arial" w:cs="Arial"/>
          <w:b/>
          <w:bCs/>
        </w:rPr>
      </w:pPr>
      <w:r w:rsidRPr="00FD5A86">
        <w:rPr>
          <w:rFonts w:ascii="Arial" w:hAnsi="Arial" w:cs="Arial"/>
          <w:b/>
          <w:bCs/>
        </w:rPr>
        <w:t>Unfreeze</w:t>
      </w:r>
    </w:p>
    <w:p w:rsidR="00206632" w:rsidRPr="00206632" w:rsidRDefault="00206632" w:rsidP="00590D20">
      <w:pPr>
        <w:spacing w:line="480" w:lineRule="auto"/>
        <w:jc w:val="both"/>
        <w:rPr>
          <w:rFonts w:ascii="Arial" w:hAnsi="Arial" w:cs="Arial"/>
        </w:rPr>
      </w:pPr>
      <w:r w:rsidRPr="00206632">
        <w:rPr>
          <w:rFonts w:ascii="Arial" w:hAnsi="Arial" w:cs="Arial"/>
        </w:rPr>
        <w:t>The 2022 cyberattack created a moment of disconfirmation, highlighting the inadequacy of existing digital safety practices (Milmo, 2022). Research shows that crises help unfreeze resistance by exposing weaknesses (Hasegawa et al., 2024).</w:t>
      </w:r>
    </w:p>
    <w:p w:rsidR="00206632" w:rsidRPr="00FD5A86" w:rsidRDefault="00206632" w:rsidP="00590D20">
      <w:pPr>
        <w:spacing w:line="480" w:lineRule="auto"/>
        <w:jc w:val="both"/>
        <w:rPr>
          <w:rFonts w:ascii="Arial" w:hAnsi="Arial" w:cs="Arial"/>
          <w:b/>
          <w:bCs/>
        </w:rPr>
      </w:pPr>
      <w:r w:rsidRPr="00FD5A86">
        <w:rPr>
          <w:rFonts w:ascii="Arial" w:hAnsi="Arial" w:cs="Arial"/>
          <w:b/>
          <w:bCs/>
        </w:rPr>
        <w:lastRenderedPageBreak/>
        <w:t>Change</w:t>
      </w:r>
    </w:p>
    <w:p w:rsidR="00206632" w:rsidRPr="00206632" w:rsidRDefault="00206632" w:rsidP="00590D20">
      <w:pPr>
        <w:spacing w:line="480" w:lineRule="auto"/>
        <w:jc w:val="both"/>
        <w:rPr>
          <w:rFonts w:ascii="Arial" w:hAnsi="Arial" w:cs="Arial"/>
        </w:rPr>
      </w:pPr>
      <w:r w:rsidRPr="00206632">
        <w:rPr>
          <w:rFonts w:ascii="Arial" w:hAnsi="Arial" w:cs="Arial"/>
        </w:rPr>
        <w:t>Trusts adopted new protocols such as improved patching procedures, enhanced vendor oversight and mandatory cyber training (</w:t>
      </w:r>
      <w:proofErr w:type="spellStart"/>
      <w:r w:rsidRPr="00206632">
        <w:rPr>
          <w:rFonts w:ascii="Arial" w:hAnsi="Arial" w:cs="Arial"/>
        </w:rPr>
        <w:t>Portela</w:t>
      </w:r>
      <w:proofErr w:type="spellEnd"/>
      <w:r w:rsidRPr="00206632">
        <w:rPr>
          <w:rFonts w:ascii="Arial" w:hAnsi="Arial" w:cs="Arial"/>
        </w:rPr>
        <w:t xml:space="preserve"> et al., 2023). Studies emphasise that </w:t>
      </w:r>
      <w:proofErr w:type="spellStart"/>
      <w:r w:rsidRPr="00206632">
        <w:rPr>
          <w:rFonts w:ascii="Arial" w:hAnsi="Arial" w:cs="Arial"/>
        </w:rPr>
        <w:t>organisational</w:t>
      </w:r>
      <w:proofErr w:type="spellEnd"/>
      <w:r w:rsidRPr="00206632">
        <w:rPr>
          <w:rFonts w:ascii="Arial" w:hAnsi="Arial" w:cs="Arial"/>
        </w:rPr>
        <w:t xml:space="preserve"> learning is most successful when change is supported by leadership and training (</w:t>
      </w:r>
      <w:proofErr w:type="spellStart"/>
      <w:r w:rsidRPr="00206632">
        <w:rPr>
          <w:rFonts w:ascii="Arial" w:hAnsi="Arial" w:cs="Arial"/>
        </w:rPr>
        <w:t>Batras</w:t>
      </w:r>
      <w:proofErr w:type="spellEnd"/>
      <w:r w:rsidRPr="00206632">
        <w:rPr>
          <w:rFonts w:ascii="Arial" w:hAnsi="Arial" w:cs="Arial"/>
        </w:rPr>
        <w:t xml:space="preserve"> et al., 2016).</w:t>
      </w:r>
    </w:p>
    <w:p w:rsidR="00206632" w:rsidRPr="00FD5A86" w:rsidRDefault="00206632" w:rsidP="00590D20">
      <w:pPr>
        <w:spacing w:line="480" w:lineRule="auto"/>
        <w:jc w:val="both"/>
        <w:rPr>
          <w:rFonts w:ascii="Arial" w:hAnsi="Arial" w:cs="Arial"/>
          <w:b/>
          <w:bCs/>
        </w:rPr>
      </w:pPr>
      <w:r w:rsidRPr="00FD5A86">
        <w:rPr>
          <w:rFonts w:ascii="Arial" w:hAnsi="Arial" w:cs="Arial"/>
          <w:b/>
          <w:bCs/>
        </w:rPr>
        <w:t>Refreeze</w:t>
      </w:r>
    </w:p>
    <w:p w:rsidR="00FD5A86" w:rsidRPr="0018096C" w:rsidRDefault="00206632" w:rsidP="00590D20">
      <w:pPr>
        <w:spacing w:line="480" w:lineRule="auto"/>
        <w:jc w:val="both"/>
        <w:rPr>
          <w:rFonts w:ascii="Arial" w:hAnsi="Arial" w:cs="Arial"/>
        </w:rPr>
      </w:pPr>
      <w:r w:rsidRPr="00206632">
        <w:rPr>
          <w:rFonts w:ascii="Arial" w:hAnsi="Arial" w:cs="Arial"/>
        </w:rPr>
        <w:t xml:space="preserve">Embedding improvements requires updated policy, continuous training and routine monitoring, which align with recommendations that new behaviours must be </w:t>
      </w:r>
      <w:proofErr w:type="spellStart"/>
      <w:r w:rsidRPr="00206632">
        <w:rPr>
          <w:rFonts w:ascii="Arial" w:hAnsi="Arial" w:cs="Arial"/>
        </w:rPr>
        <w:t>institutionalised</w:t>
      </w:r>
      <w:proofErr w:type="spellEnd"/>
      <w:r w:rsidRPr="00206632">
        <w:rPr>
          <w:rFonts w:ascii="Arial" w:hAnsi="Arial" w:cs="Arial"/>
        </w:rPr>
        <w:t xml:space="preserve"> through governance structures (CQC, 2023).</w:t>
      </w:r>
    </w:p>
    <w:p w:rsidR="00206632" w:rsidRPr="00FD5A86" w:rsidRDefault="00206632" w:rsidP="00590D20">
      <w:pPr>
        <w:spacing w:line="480" w:lineRule="auto"/>
        <w:jc w:val="both"/>
        <w:rPr>
          <w:rFonts w:ascii="Arial" w:hAnsi="Arial" w:cs="Arial"/>
          <w:b/>
          <w:bCs/>
        </w:rPr>
      </w:pPr>
      <w:r w:rsidRPr="00FD5A86">
        <w:rPr>
          <w:rFonts w:ascii="Arial" w:hAnsi="Arial" w:cs="Arial"/>
          <w:b/>
          <w:bCs/>
        </w:rPr>
        <w:t>2.10 Monitoring &amp; Evaluation (M&amp;E)</w:t>
      </w:r>
    </w:p>
    <w:p w:rsidR="0018096C" w:rsidRPr="00366EB0" w:rsidRDefault="00206632" w:rsidP="00590D20">
      <w:pPr>
        <w:spacing w:line="480" w:lineRule="auto"/>
        <w:jc w:val="both"/>
        <w:rPr>
          <w:rFonts w:ascii="Arial" w:hAnsi="Arial" w:cs="Arial"/>
        </w:rPr>
      </w:pPr>
      <w:r w:rsidRPr="00206632">
        <w:rPr>
          <w:rFonts w:ascii="Arial" w:hAnsi="Arial" w:cs="Arial"/>
        </w:rPr>
        <w:t>Monitoring and evaluation frameworks track process indicators such as patching frequency, staff training completion and systems uptime, which align with quality-improvement best practices (Rodgers et al., 2019). The literature highlights that real-time monitoring is essential for cyber resilience because it allows early detection of anomalies and reduces risk of system-wide failures (He et al., 2021). In the NHS attack, lack of continuous monitoring delayed escalation and contributed to widespread service disruption (Milmo, 2022).</w:t>
      </w:r>
    </w:p>
    <w:p w:rsidR="00206632" w:rsidRPr="00FD5A86" w:rsidRDefault="00206632" w:rsidP="00590D20">
      <w:pPr>
        <w:spacing w:line="480" w:lineRule="auto"/>
        <w:jc w:val="both"/>
        <w:rPr>
          <w:rFonts w:ascii="Arial" w:hAnsi="Arial" w:cs="Arial"/>
          <w:b/>
          <w:bCs/>
        </w:rPr>
      </w:pPr>
      <w:r w:rsidRPr="00FD5A86">
        <w:rPr>
          <w:rFonts w:ascii="Segoe UI Symbol" w:hAnsi="Segoe UI Symbol" w:cs="Segoe UI Symbol"/>
          <w:b/>
          <w:bCs/>
        </w:rPr>
        <w:t xml:space="preserve">3. </w:t>
      </w:r>
      <w:r w:rsidRPr="00FD5A86">
        <w:rPr>
          <w:rFonts w:ascii="Arial" w:hAnsi="Arial" w:cs="Arial"/>
          <w:b/>
          <w:bCs/>
        </w:rPr>
        <w:t>RECOMMENDATIONS</w:t>
      </w:r>
    </w:p>
    <w:p w:rsidR="00206632" w:rsidRPr="00206632" w:rsidRDefault="00206632" w:rsidP="00590D20">
      <w:pPr>
        <w:spacing w:line="480" w:lineRule="auto"/>
        <w:jc w:val="both"/>
        <w:rPr>
          <w:rFonts w:ascii="Arial" w:hAnsi="Arial" w:cs="Arial"/>
        </w:rPr>
      </w:pPr>
      <w:r w:rsidRPr="00206632">
        <w:rPr>
          <w:rFonts w:ascii="Arial" w:hAnsi="Arial" w:cs="Arial"/>
        </w:rPr>
        <w:t>Strengthening NHS digital resilience requires strategic changes to leadership, governance, workforce skills, and technological infrastructure, supported by evidence-based quality-improvement tools (Hasegawa et al., 2024).</w:t>
      </w:r>
    </w:p>
    <w:p w:rsidR="00206632" w:rsidRPr="00FD5A86" w:rsidRDefault="00206632" w:rsidP="00590D20">
      <w:pPr>
        <w:spacing w:line="480" w:lineRule="auto"/>
        <w:jc w:val="both"/>
        <w:rPr>
          <w:rFonts w:ascii="Arial" w:hAnsi="Arial" w:cs="Arial"/>
          <w:b/>
          <w:bCs/>
        </w:rPr>
      </w:pPr>
      <w:r w:rsidRPr="00FD5A86">
        <w:rPr>
          <w:rFonts w:ascii="Arial" w:hAnsi="Arial" w:cs="Arial"/>
          <w:b/>
          <w:bCs/>
        </w:rPr>
        <w:t>Recommendation 1: Implement PDSA Cycles for Cyber Preparedness</w:t>
      </w:r>
    </w:p>
    <w:p w:rsidR="00206632" w:rsidRPr="00206632" w:rsidRDefault="00206632" w:rsidP="00590D20">
      <w:pPr>
        <w:spacing w:line="480" w:lineRule="auto"/>
        <w:jc w:val="both"/>
        <w:rPr>
          <w:rFonts w:ascii="Arial" w:hAnsi="Arial" w:cs="Arial"/>
        </w:rPr>
      </w:pPr>
      <w:r w:rsidRPr="00206632">
        <w:rPr>
          <w:rFonts w:ascii="Arial" w:hAnsi="Arial" w:cs="Arial"/>
        </w:rPr>
        <w:t xml:space="preserve">PDSA supports rapid testing of interventions such as downtime protocols, patching cycles, staff training modules and communication workflows (Deming, 1986). Research shows that iterative </w:t>
      </w:r>
      <w:r w:rsidRPr="00206632">
        <w:rPr>
          <w:rFonts w:ascii="Arial" w:hAnsi="Arial" w:cs="Arial"/>
        </w:rPr>
        <w:lastRenderedPageBreak/>
        <w:t xml:space="preserve">PDSA cycles improve reliability by enabling </w:t>
      </w:r>
      <w:proofErr w:type="spellStart"/>
      <w:r w:rsidRPr="00206632">
        <w:rPr>
          <w:rFonts w:ascii="Arial" w:hAnsi="Arial" w:cs="Arial"/>
        </w:rPr>
        <w:t>organisations</w:t>
      </w:r>
      <w:proofErr w:type="spellEnd"/>
      <w:r w:rsidRPr="00206632">
        <w:rPr>
          <w:rFonts w:ascii="Arial" w:hAnsi="Arial" w:cs="Arial"/>
        </w:rPr>
        <w:t xml:space="preserve"> to refine processes in real-world conditions (Rodgers et al., 2019). For the NHS, each trust should run monthly PDSA cycles focused on cyber hygiene auditing, incident simulations and speed of recovery (Moore et al., 2023). Testing on a small scale helps identify gaps before full implementation, consistent with PDSA literature (Antony et al., 2023).</w:t>
      </w:r>
    </w:p>
    <w:p w:rsidR="00206632" w:rsidRPr="00FD5A86" w:rsidRDefault="00206632" w:rsidP="00590D20">
      <w:pPr>
        <w:spacing w:line="480" w:lineRule="auto"/>
        <w:jc w:val="both"/>
        <w:rPr>
          <w:rFonts w:ascii="Arial" w:hAnsi="Arial" w:cs="Arial"/>
          <w:b/>
          <w:bCs/>
        </w:rPr>
      </w:pPr>
      <w:r w:rsidRPr="00FD5A86">
        <w:rPr>
          <w:rFonts w:ascii="Arial" w:hAnsi="Arial" w:cs="Arial"/>
          <w:b/>
          <w:bCs/>
        </w:rPr>
        <w:t>Recommendation 2: Apply Lean to Reduce Waste in Digital and Manual Workflows</w:t>
      </w:r>
    </w:p>
    <w:p w:rsidR="00206632" w:rsidRPr="00206632" w:rsidRDefault="00206632" w:rsidP="00590D20">
      <w:pPr>
        <w:spacing w:line="480" w:lineRule="auto"/>
        <w:jc w:val="both"/>
        <w:rPr>
          <w:rFonts w:ascii="Arial" w:hAnsi="Arial" w:cs="Arial"/>
        </w:rPr>
      </w:pPr>
      <w:r w:rsidRPr="00206632">
        <w:rPr>
          <w:rFonts w:ascii="Arial" w:hAnsi="Arial" w:cs="Arial"/>
        </w:rPr>
        <w:t xml:space="preserve">Lean methods eliminate inefficiencies and </w:t>
      </w:r>
      <w:proofErr w:type="spellStart"/>
      <w:r w:rsidRPr="00206632">
        <w:rPr>
          <w:rFonts w:ascii="Arial" w:hAnsi="Arial" w:cs="Arial"/>
        </w:rPr>
        <w:t>standardise</w:t>
      </w:r>
      <w:proofErr w:type="spellEnd"/>
      <w:r w:rsidRPr="00206632">
        <w:rPr>
          <w:rFonts w:ascii="Arial" w:hAnsi="Arial" w:cs="Arial"/>
        </w:rPr>
        <w:t xml:space="preserve"> processes, which is essential when systems fail (Womack &amp; Jones, 2003). During the cyberattack, manual documentation created duplication, delays and errors (</w:t>
      </w:r>
      <w:proofErr w:type="spellStart"/>
      <w:r w:rsidRPr="00206632">
        <w:rPr>
          <w:rFonts w:ascii="Arial" w:hAnsi="Arial" w:cs="Arial"/>
        </w:rPr>
        <w:t>Portela</w:t>
      </w:r>
      <w:proofErr w:type="spellEnd"/>
      <w:r w:rsidRPr="00206632">
        <w:rPr>
          <w:rFonts w:ascii="Arial" w:hAnsi="Arial" w:cs="Arial"/>
        </w:rPr>
        <w:t xml:space="preserve"> et al., 2023). Lean tools such as value-stream mapping can streamline manual fallback processes, ensuring that staff have clear procedures during system downtime (Antony et al., 2023). Lean also supports error-proofing (</w:t>
      </w:r>
      <w:proofErr w:type="spellStart"/>
      <w:r w:rsidRPr="00206632">
        <w:rPr>
          <w:rFonts w:ascii="Arial" w:hAnsi="Arial" w:cs="Arial"/>
        </w:rPr>
        <w:t>poka</w:t>
      </w:r>
      <w:proofErr w:type="spellEnd"/>
      <w:r w:rsidRPr="00206632">
        <w:rPr>
          <w:rFonts w:ascii="Arial" w:hAnsi="Arial" w:cs="Arial"/>
        </w:rPr>
        <w:t>-yoke), reducing risk of harmful omissions during outages (Kwon et al., 2020).</w:t>
      </w:r>
    </w:p>
    <w:p w:rsidR="00206632" w:rsidRPr="00FD5A86" w:rsidRDefault="00206632" w:rsidP="00590D20">
      <w:pPr>
        <w:spacing w:line="480" w:lineRule="auto"/>
        <w:jc w:val="both"/>
        <w:rPr>
          <w:rFonts w:ascii="Arial" w:hAnsi="Arial" w:cs="Arial"/>
          <w:b/>
          <w:bCs/>
        </w:rPr>
      </w:pPr>
      <w:r w:rsidRPr="00FD5A86">
        <w:rPr>
          <w:rFonts w:ascii="Arial" w:hAnsi="Arial" w:cs="Arial"/>
          <w:b/>
          <w:bCs/>
        </w:rPr>
        <w:t xml:space="preserve">Recommendation 3: Use Six Sigma DMAIC to </w:t>
      </w:r>
      <w:proofErr w:type="spellStart"/>
      <w:r w:rsidRPr="00FD5A86">
        <w:rPr>
          <w:rFonts w:ascii="Arial" w:hAnsi="Arial" w:cs="Arial"/>
          <w:b/>
          <w:bCs/>
        </w:rPr>
        <w:t>Standardise</w:t>
      </w:r>
      <w:proofErr w:type="spellEnd"/>
      <w:r w:rsidRPr="00FD5A86">
        <w:rPr>
          <w:rFonts w:ascii="Arial" w:hAnsi="Arial" w:cs="Arial"/>
          <w:b/>
          <w:bCs/>
        </w:rPr>
        <w:t xml:space="preserve"> Cyber Processes</w:t>
      </w:r>
    </w:p>
    <w:p w:rsidR="00206632" w:rsidRPr="00206632" w:rsidRDefault="00206632" w:rsidP="00590D20">
      <w:pPr>
        <w:spacing w:line="480" w:lineRule="auto"/>
        <w:jc w:val="both"/>
        <w:rPr>
          <w:rFonts w:ascii="Arial" w:hAnsi="Arial" w:cs="Arial"/>
        </w:rPr>
      </w:pPr>
      <w:r w:rsidRPr="00206632">
        <w:rPr>
          <w:rFonts w:ascii="Arial" w:hAnsi="Arial" w:cs="Arial"/>
        </w:rPr>
        <w:t>Six Sigma reduces process variation and error rates, making it ideal for improving cyber hygiene practices (Antony et al., 2023). DMAIC (Define–Measure–Analyse–Improve–Control) can improve patching consistency, access-control compliance and vendor risk management (Moore et al., 2023). Defining metrics such as patch lead time and downtime frequency enables precise measurement of weaknesses (Rodgers et al., 2019). Studies show that Six Sigma significantly enhances reliability of clinical and digital workflows (Antony et al., 2023).</w:t>
      </w:r>
    </w:p>
    <w:p w:rsidR="00206632" w:rsidRPr="00130651" w:rsidRDefault="00206632" w:rsidP="00590D20">
      <w:pPr>
        <w:spacing w:line="480" w:lineRule="auto"/>
        <w:jc w:val="both"/>
        <w:rPr>
          <w:rFonts w:ascii="Arial" w:hAnsi="Arial" w:cs="Arial"/>
          <w:b/>
          <w:bCs/>
        </w:rPr>
      </w:pPr>
      <w:r w:rsidRPr="00130651">
        <w:rPr>
          <w:rFonts w:ascii="Arial" w:hAnsi="Arial" w:cs="Arial"/>
          <w:b/>
          <w:bCs/>
        </w:rPr>
        <w:t>Recommendation 4: Strengthen Leadership and Governance</w:t>
      </w:r>
    </w:p>
    <w:p w:rsidR="00206632" w:rsidRPr="00206632" w:rsidRDefault="00206632" w:rsidP="00590D20">
      <w:pPr>
        <w:spacing w:line="480" w:lineRule="auto"/>
        <w:jc w:val="both"/>
        <w:rPr>
          <w:rFonts w:ascii="Arial" w:hAnsi="Arial" w:cs="Arial"/>
        </w:rPr>
      </w:pPr>
      <w:r w:rsidRPr="00206632">
        <w:rPr>
          <w:rFonts w:ascii="Arial" w:hAnsi="Arial" w:cs="Arial"/>
        </w:rPr>
        <w:t xml:space="preserve">Leadership engagement is critical because cyber resilience depends on strategic oversight, resource allocation and cultural priorities (Caldwell, 2022). NHS boards should appoint a Cybersecurity Lead, integrate cyber risk into quality reports and adopt a digital risk register (CQC, </w:t>
      </w:r>
      <w:r w:rsidRPr="00206632">
        <w:rPr>
          <w:rFonts w:ascii="Arial" w:hAnsi="Arial" w:cs="Arial"/>
        </w:rPr>
        <w:lastRenderedPageBreak/>
        <w:t>2023). Research confirms that strong governance reduces incident severity and speeds recovery (WHO, 2023).</w:t>
      </w:r>
    </w:p>
    <w:p w:rsidR="00206632" w:rsidRPr="00130651" w:rsidRDefault="00206632" w:rsidP="00590D20">
      <w:pPr>
        <w:spacing w:line="480" w:lineRule="auto"/>
        <w:jc w:val="both"/>
        <w:rPr>
          <w:rFonts w:ascii="Arial" w:hAnsi="Arial" w:cs="Arial"/>
          <w:b/>
          <w:bCs/>
        </w:rPr>
      </w:pPr>
      <w:r w:rsidRPr="00130651">
        <w:rPr>
          <w:rFonts w:ascii="Arial" w:hAnsi="Arial" w:cs="Arial"/>
          <w:b/>
          <w:bCs/>
        </w:rPr>
        <w:t>Recommendation 5: Build Workforce Capability Through Training and Simulation</w:t>
      </w:r>
    </w:p>
    <w:p w:rsidR="00206632" w:rsidRPr="00206632" w:rsidRDefault="00206632" w:rsidP="00590D20">
      <w:pPr>
        <w:spacing w:line="480" w:lineRule="auto"/>
        <w:jc w:val="both"/>
        <w:rPr>
          <w:rFonts w:ascii="Arial" w:hAnsi="Arial" w:cs="Arial"/>
        </w:rPr>
      </w:pPr>
      <w:r w:rsidRPr="00206632">
        <w:rPr>
          <w:rFonts w:ascii="Arial" w:hAnsi="Arial" w:cs="Arial"/>
        </w:rPr>
        <w:t>Regular cyber-awareness training reduces vulnerability to phishing and ransomware attacks (Hasegawa et al., 2024). Simulation-based exercises improve staff readiness during outages and ensure smooth manual fallback workflows (</w:t>
      </w:r>
      <w:proofErr w:type="spellStart"/>
      <w:r w:rsidRPr="00206632">
        <w:rPr>
          <w:rFonts w:ascii="Arial" w:hAnsi="Arial" w:cs="Arial"/>
        </w:rPr>
        <w:t>Portela</w:t>
      </w:r>
      <w:proofErr w:type="spellEnd"/>
      <w:r w:rsidRPr="00206632">
        <w:rPr>
          <w:rFonts w:ascii="Arial" w:hAnsi="Arial" w:cs="Arial"/>
        </w:rPr>
        <w:t xml:space="preserve"> et al., 2023). Digital-skills development reduces variation across the workforce, addressing a major weakness highlighted by the attack (Nair et al., 2023).</w:t>
      </w:r>
    </w:p>
    <w:p w:rsidR="00206632" w:rsidRPr="00130651" w:rsidRDefault="00206632" w:rsidP="00590D20">
      <w:pPr>
        <w:spacing w:line="480" w:lineRule="auto"/>
        <w:jc w:val="both"/>
        <w:rPr>
          <w:rFonts w:ascii="Arial" w:hAnsi="Arial" w:cs="Arial"/>
          <w:b/>
          <w:bCs/>
        </w:rPr>
      </w:pPr>
      <w:r w:rsidRPr="00130651">
        <w:rPr>
          <w:rFonts w:ascii="Arial" w:hAnsi="Arial" w:cs="Arial"/>
          <w:b/>
          <w:bCs/>
        </w:rPr>
        <w:t xml:space="preserve">Recommendation 6: </w:t>
      </w:r>
      <w:proofErr w:type="spellStart"/>
      <w:r w:rsidRPr="00130651">
        <w:rPr>
          <w:rFonts w:ascii="Arial" w:hAnsi="Arial" w:cs="Arial"/>
          <w:b/>
          <w:bCs/>
        </w:rPr>
        <w:t>Modernise</w:t>
      </w:r>
      <w:proofErr w:type="spellEnd"/>
      <w:r w:rsidRPr="00130651">
        <w:rPr>
          <w:rFonts w:ascii="Arial" w:hAnsi="Arial" w:cs="Arial"/>
          <w:b/>
          <w:bCs/>
        </w:rPr>
        <w:t xml:space="preserve"> IT Infrastructure</w:t>
      </w:r>
    </w:p>
    <w:p w:rsidR="00206632" w:rsidRPr="00206632" w:rsidRDefault="00206632" w:rsidP="00590D20">
      <w:pPr>
        <w:spacing w:line="480" w:lineRule="auto"/>
        <w:jc w:val="both"/>
        <w:rPr>
          <w:rFonts w:ascii="Arial" w:hAnsi="Arial" w:cs="Arial"/>
        </w:rPr>
      </w:pPr>
      <w:r w:rsidRPr="00206632">
        <w:rPr>
          <w:rFonts w:ascii="Arial" w:hAnsi="Arial" w:cs="Arial"/>
        </w:rPr>
        <w:t>Replacing legacy systems is essential because outdated platforms significantly increase cyber risk (Weaver, 2024). Zero-trust architecture improves security by verifying every access attempt (He et al., 2021). Real-time threat monitoring, encryption and network segmentation reduce the probability and impact of future attacks (Kwon et al., 2020).</w:t>
      </w:r>
    </w:p>
    <w:p w:rsidR="00206632" w:rsidRPr="00130651" w:rsidRDefault="00130651" w:rsidP="00590D20">
      <w:pPr>
        <w:spacing w:line="480" w:lineRule="auto"/>
        <w:jc w:val="both"/>
        <w:rPr>
          <w:rFonts w:ascii="Arial" w:hAnsi="Arial" w:cs="Arial"/>
          <w:b/>
          <w:bCs/>
        </w:rPr>
      </w:pPr>
      <w:r w:rsidRPr="00130651">
        <w:rPr>
          <w:rFonts w:ascii="Arial" w:hAnsi="Arial" w:cs="Arial"/>
          <w:b/>
          <w:bCs/>
        </w:rPr>
        <w:t>CONCLUSION</w:t>
      </w:r>
    </w:p>
    <w:p w:rsidR="00206632" w:rsidRPr="00206632" w:rsidRDefault="00206632" w:rsidP="00590D20">
      <w:pPr>
        <w:spacing w:line="480" w:lineRule="auto"/>
        <w:jc w:val="both"/>
        <w:rPr>
          <w:rFonts w:ascii="Arial" w:hAnsi="Arial" w:cs="Arial"/>
        </w:rPr>
      </w:pPr>
      <w:r w:rsidRPr="00206632">
        <w:rPr>
          <w:rFonts w:ascii="Arial" w:hAnsi="Arial" w:cs="Arial"/>
        </w:rPr>
        <w:t xml:space="preserve">The 2022 NHS cyberattack exposed critical weaknesses in digital infrastructure, workforce readiness, vendor management and governance, consistent with global evidence that healthcare </w:t>
      </w:r>
      <w:proofErr w:type="spellStart"/>
      <w:r w:rsidRPr="00206632">
        <w:rPr>
          <w:rFonts w:ascii="Arial" w:hAnsi="Arial" w:cs="Arial"/>
        </w:rPr>
        <w:t>organisations</w:t>
      </w:r>
      <w:proofErr w:type="spellEnd"/>
      <w:r w:rsidRPr="00206632">
        <w:rPr>
          <w:rFonts w:ascii="Arial" w:hAnsi="Arial" w:cs="Arial"/>
        </w:rPr>
        <w:t xml:space="preserve"> remain highly vulnerable to ransomware (Milmo, 2022). The analysis using Swiss Cheese, Fishbone, 5 Whys, </w:t>
      </w:r>
      <w:proofErr w:type="spellStart"/>
      <w:r w:rsidRPr="00206632">
        <w:rPr>
          <w:rFonts w:ascii="Arial" w:hAnsi="Arial" w:cs="Arial"/>
        </w:rPr>
        <w:t>Donabedian</w:t>
      </w:r>
      <w:proofErr w:type="spellEnd"/>
      <w:r w:rsidRPr="00206632">
        <w:rPr>
          <w:rFonts w:ascii="Arial" w:hAnsi="Arial" w:cs="Arial"/>
        </w:rPr>
        <w:t xml:space="preserve"> SPO, CQC domains, HEDIS indicators, Theory of Change and Lewin’s model demonstrated that the incident did not arise from a single failure but from a complex interplay of latent conditions and process weaknesses (Reason, 1990). Structural issues such as outdated systems and limited cybersecurity expertise created conditions in which process failures—including inconsistent patching and communication breakdowns—could escalate into major operational disruptions (</w:t>
      </w:r>
      <w:proofErr w:type="spellStart"/>
      <w:r w:rsidRPr="00206632">
        <w:rPr>
          <w:rFonts w:ascii="Arial" w:hAnsi="Arial" w:cs="Arial"/>
        </w:rPr>
        <w:t>Portela</w:t>
      </w:r>
      <w:proofErr w:type="spellEnd"/>
      <w:r w:rsidRPr="00206632">
        <w:rPr>
          <w:rFonts w:ascii="Arial" w:hAnsi="Arial" w:cs="Arial"/>
        </w:rPr>
        <w:t xml:space="preserve"> et al., 2023).</w:t>
      </w:r>
    </w:p>
    <w:p w:rsidR="00206632" w:rsidRPr="00206632" w:rsidRDefault="00206632" w:rsidP="00590D20">
      <w:pPr>
        <w:spacing w:line="480" w:lineRule="auto"/>
        <w:jc w:val="both"/>
        <w:rPr>
          <w:rFonts w:ascii="Arial" w:hAnsi="Arial" w:cs="Arial"/>
        </w:rPr>
      </w:pPr>
      <w:r w:rsidRPr="00206632">
        <w:rPr>
          <w:rFonts w:ascii="Arial" w:hAnsi="Arial" w:cs="Arial"/>
        </w:rPr>
        <w:lastRenderedPageBreak/>
        <w:t>The root-</w:t>
      </w:r>
      <w:proofErr w:type="gramStart"/>
      <w:r w:rsidRPr="00206632">
        <w:rPr>
          <w:rFonts w:ascii="Arial" w:hAnsi="Arial" w:cs="Arial"/>
        </w:rPr>
        <w:t>cause</w:t>
      </w:r>
      <w:proofErr w:type="gramEnd"/>
      <w:r w:rsidRPr="00206632">
        <w:rPr>
          <w:rFonts w:ascii="Arial" w:hAnsi="Arial" w:cs="Arial"/>
        </w:rPr>
        <w:t xml:space="preserve"> analysis showed that governance deficiencies and lack of cyber </w:t>
      </w:r>
      <w:proofErr w:type="spellStart"/>
      <w:r w:rsidRPr="00206632">
        <w:rPr>
          <w:rFonts w:ascii="Arial" w:hAnsi="Arial" w:cs="Arial"/>
        </w:rPr>
        <w:t>prioritisation</w:t>
      </w:r>
      <w:proofErr w:type="spellEnd"/>
      <w:r w:rsidRPr="00206632">
        <w:rPr>
          <w:rFonts w:ascii="Arial" w:hAnsi="Arial" w:cs="Arial"/>
        </w:rPr>
        <w:t xml:space="preserve"> at leadership level were fundamental contributors, consistent with research </w:t>
      </w:r>
      <w:proofErr w:type="spellStart"/>
      <w:r w:rsidRPr="00206632">
        <w:rPr>
          <w:rFonts w:ascii="Arial" w:hAnsi="Arial" w:cs="Arial"/>
        </w:rPr>
        <w:t>emphasising</w:t>
      </w:r>
      <w:proofErr w:type="spellEnd"/>
      <w:r w:rsidRPr="00206632">
        <w:rPr>
          <w:rFonts w:ascii="Arial" w:hAnsi="Arial" w:cs="Arial"/>
        </w:rPr>
        <w:t xml:space="preserve"> the critical role of </w:t>
      </w:r>
      <w:proofErr w:type="spellStart"/>
      <w:r w:rsidRPr="00206632">
        <w:rPr>
          <w:rFonts w:ascii="Arial" w:hAnsi="Arial" w:cs="Arial"/>
        </w:rPr>
        <w:t>organisational</w:t>
      </w:r>
      <w:proofErr w:type="spellEnd"/>
      <w:r w:rsidRPr="00206632">
        <w:rPr>
          <w:rFonts w:ascii="Arial" w:hAnsi="Arial" w:cs="Arial"/>
        </w:rPr>
        <w:t xml:space="preserve"> culture and leadership in digital safety (Moore et al., 2023). Embedding cybersecurity within quality-assurance frameworks is therefore essential to maintaining safe, effective and responsive healthcare services (CQC, 2023).</w:t>
      </w:r>
    </w:p>
    <w:p w:rsidR="00206632" w:rsidRDefault="00206632" w:rsidP="00590D20">
      <w:pPr>
        <w:spacing w:line="480" w:lineRule="auto"/>
        <w:jc w:val="both"/>
        <w:rPr>
          <w:rFonts w:ascii="Arial" w:hAnsi="Arial" w:cs="Arial"/>
        </w:rPr>
      </w:pPr>
      <w:r w:rsidRPr="00206632">
        <w:rPr>
          <w:rFonts w:ascii="Arial" w:hAnsi="Arial" w:cs="Arial"/>
        </w:rPr>
        <w:t xml:space="preserve">The recommendations grounded in PDSA, Lean, Six Sigma and governance improvement provide a structured, evidence-based pathway for strengthening NHS cyber resilience (Antony et al., 2023). Workforce training, IT </w:t>
      </w:r>
      <w:proofErr w:type="spellStart"/>
      <w:r w:rsidRPr="00206632">
        <w:rPr>
          <w:rFonts w:ascii="Arial" w:hAnsi="Arial" w:cs="Arial"/>
        </w:rPr>
        <w:t>modernisation</w:t>
      </w:r>
      <w:proofErr w:type="spellEnd"/>
      <w:r w:rsidRPr="00206632">
        <w:rPr>
          <w:rFonts w:ascii="Arial" w:hAnsi="Arial" w:cs="Arial"/>
        </w:rPr>
        <w:t>, improved vendor oversight and robust monitoring systems are required to prevent recurrence and ensure continuity of care during digital disruptions (Hasegawa et al., 2024). Implementing these strategies will help the NHS deliver safe, reliable and high-quality digital healthcare in an increasingly complex and risk-laden environment (NHS England, 2023).</w:t>
      </w: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Default="009B6430" w:rsidP="009B6430">
      <w:pPr>
        <w:spacing w:line="480" w:lineRule="auto"/>
        <w:jc w:val="center"/>
        <w:rPr>
          <w:rFonts w:ascii="Arial" w:hAnsi="Arial" w:cs="Arial"/>
        </w:rPr>
      </w:pPr>
      <w:r>
        <w:rPr>
          <w:rFonts w:ascii="Arial" w:hAnsi="Arial" w:cs="Arial"/>
        </w:rPr>
        <w:t>*************************************</w:t>
      </w: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Default="009B6430" w:rsidP="00590D20">
      <w:pPr>
        <w:spacing w:line="480" w:lineRule="auto"/>
        <w:jc w:val="both"/>
        <w:rPr>
          <w:rFonts w:ascii="Arial" w:hAnsi="Arial" w:cs="Arial"/>
        </w:rPr>
      </w:pPr>
    </w:p>
    <w:p w:rsidR="009B6430" w:rsidRPr="00206632" w:rsidRDefault="009B6430" w:rsidP="00590D20">
      <w:pPr>
        <w:spacing w:line="480" w:lineRule="auto"/>
        <w:jc w:val="both"/>
        <w:rPr>
          <w:rFonts w:ascii="Arial" w:hAnsi="Arial" w:cs="Arial"/>
        </w:rPr>
      </w:pPr>
    </w:p>
    <w:p w:rsidR="00D5345D" w:rsidRPr="00AA706E" w:rsidRDefault="00655181" w:rsidP="00590D20">
      <w:pPr>
        <w:spacing w:line="480" w:lineRule="auto"/>
        <w:jc w:val="both"/>
        <w:rPr>
          <w:rFonts w:ascii="Arial" w:hAnsi="Arial" w:cs="Arial"/>
          <w:b/>
          <w:bCs/>
        </w:rPr>
      </w:pPr>
      <w:r w:rsidRPr="00AA706E">
        <w:rPr>
          <w:rFonts w:ascii="Arial" w:hAnsi="Arial" w:cs="Arial"/>
          <w:b/>
          <w:bCs/>
        </w:rPr>
        <w:lastRenderedPageBreak/>
        <w:t>References</w:t>
      </w:r>
      <w:r w:rsidR="00206632" w:rsidRPr="00AA706E">
        <w:rPr>
          <w:rFonts w:ascii="Arial" w:hAnsi="Arial" w:cs="Arial"/>
          <w:b/>
          <w:bCs/>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 xml:space="preserve">Antony, J., Rodgers, B. &amp; </w:t>
      </w:r>
      <w:proofErr w:type="spellStart"/>
      <w:r w:rsidRPr="009B6430">
        <w:rPr>
          <w:rFonts w:ascii="Arial" w:hAnsi="Arial" w:cs="Arial"/>
        </w:rPr>
        <w:t>Sreedharan</w:t>
      </w:r>
      <w:proofErr w:type="spellEnd"/>
      <w:r w:rsidRPr="009B6430">
        <w:rPr>
          <w:rFonts w:ascii="Arial" w:hAnsi="Arial" w:cs="Arial"/>
        </w:rPr>
        <w:t>, R. (2023) ‘Applications of Lean Six Sigma in healthcare’, International Journal of Quality &amp; Reliability Management.</w:t>
      </w:r>
    </w:p>
    <w:p w:rsidR="009B6430" w:rsidRPr="009B6430" w:rsidRDefault="009B6430" w:rsidP="009B6430">
      <w:pPr>
        <w:pStyle w:val="ListParagraph"/>
        <w:spacing w:line="480" w:lineRule="auto"/>
        <w:jc w:val="both"/>
        <w:rPr>
          <w:rFonts w:ascii="Arial" w:hAnsi="Arial" w:cs="Arial"/>
        </w:rPr>
      </w:pPr>
      <w:r w:rsidRPr="009B6430">
        <w:rPr>
          <w:rFonts w:ascii="Arial" w:hAnsi="Arial" w:cs="Arial"/>
        </w:rPr>
        <w:t xml:space="preserve">Available at: </w:t>
      </w:r>
      <w:hyperlink r:id="rId20" w:history="1">
        <w:r w:rsidRPr="00210F54">
          <w:rPr>
            <w:rStyle w:val="Hyperlink"/>
            <w:rFonts w:ascii="Arial" w:hAnsi="Arial" w:cs="Arial"/>
          </w:rPr>
          <w:t>https://doi.org/10.1108/IJQRM-04-2022-0134</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Badshah, N. (2022) ‘NHS cyber-attack: Thousands of patient records exposed’, The Guardian.</w:t>
      </w:r>
      <w:r>
        <w:rPr>
          <w:rFonts w:ascii="Arial" w:hAnsi="Arial" w:cs="Arial"/>
        </w:rPr>
        <w:t xml:space="preserve"> </w:t>
      </w:r>
      <w:r w:rsidRPr="009B6430">
        <w:rPr>
          <w:rFonts w:ascii="Arial" w:hAnsi="Arial" w:cs="Arial"/>
        </w:rPr>
        <w:t xml:space="preserve">Available at: </w:t>
      </w:r>
      <w:hyperlink r:id="rId21" w:history="1">
        <w:r w:rsidRPr="00210F54">
          <w:rPr>
            <w:rStyle w:val="Hyperlink"/>
            <w:rFonts w:ascii="Arial" w:hAnsi="Arial" w:cs="Arial"/>
          </w:rPr>
          <w:t>https://www.theguardian.com/technology/2022/aug/04/nhs-cyber-attack-advanced</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proofErr w:type="spellStart"/>
      <w:r w:rsidRPr="009B6430">
        <w:rPr>
          <w:rFonts w:ascii="Arial" w:hAnsi="Arial" w:cs="Arial"/>
        </w:rPr>
        <w:t>Batras</w:t>
      </w:r>
      <w:proofErr w:type="spellEnd"/>
      <w:r w:rsidRPr="009B6430">
        <w:rPr>
          <w:rFonts w:ascii="Arial" w:hAnsi="Arial" w:cs="Arial"/>
        </w:rPr>
        <w:t>, D., Duff, C. &amp; Smith, B. (2016) ‘</w:t>
      </w:r>
      <w:proofErr w:type="spellStart"/>
      <w:r w:rsidRPr="009B6430">
        <w:rPr>
          <w:rFonts w:ascii="Arial" w:hAnsi="Arial" w:cs="Arial"/>
        </w:rPr>
        <w:t>Organisational</w:t>
      </w:r>
      <w:proofErr w:type="spellEnd"/>
      <w:r w:rsidRPr="009B6430">
        <w:rPr>
          <w:rFonts w:ascii="Arial" w:hAnsi="Arial" w:cs="Arial"/>
        </w:rPr>
        <w:t xml:space="preserve"> change in healthcare’, Journal of Health Organization and </w:t>
      </w:r>
      <w:r w:rsidRPr="009B6430">
        <w:rPr>
          <w:rFonts w:ascii="Arial" w:hAnsi="Arial" w:cs="Arial"/>
        </w:rPr>
        <w:t>Management. Available</w:t>
      </w:r>
      <w:r w:rsidRPr="009B6430">
        <w:rPr>
          <w:rFonts w:ascii="Arial" w:hAnsi="Arial" w:cs="Arial"/>
        </w:rPr>
        <w:t xml:space="preserve"> at: </w:t>
      </w:r>
      <w:hyperlink r:id="rId22" w:history="1">
        <w:r w:rsidRPr="00210F54">
          <w:rPr>
            <w:rStyle w:val="Hyperlink"/>
            <w:rFonts w:ascii="Arial" w:hAnsi="Arial" w:cs="Arial"/>
          </w:rPr>
          <w:t>https://doi.org/10.1108/JHOM-09-2014-0164</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proofErr w:type="spellStart"/>
      <w:r w:rsidRPr="009B6430">
        <w:rPr>
          <w:rFonts w:ascii="Arial" w:hAnsi="Arial" w:cs="Arial"/>
        </w:rPr>
        <w:t>Burnes</w:t>
      </w:r>
      <w:proofErr w:type="spellEnd"/>
      <w:r w:rsidRPr="009B6430">
        <w:rPr>
          <w:rFonts w:ascii="Arial" w:hAnsi="Arial" w:cs="Arial"/>
        </w:rPr>
        <w:t>, B. (2020) ‘Kurt Lewin: 70 years on’, Journal of Change Management.</w:t>
      </w:r>
      <w:r>
        <w:rPr>
          <w:rFonts w:ascii="Arial" w:hAnsi="Arial" w:cs="Arial"/>
        </w:rPr>
        <w:t xml:space="preserve"> </w:t>
      </w:r>
      <w:r w:rsidRPr="009B6430">
        <w:rPr>
          <w:rFonts w:ascii="Arial" w:hAnsi="Arial" w:cs="Arial"/>
        </w:rPr>
        <w:t xml:space="preserve">Available at: </w:t>
      </w:r>
      <w:hyperlink r:id="rId23" w:history="1">
        <w:r w:rsidRPr="00210F54">
          <w:rPr>
            <w:rStyle w:val="Hyperlink"/>
            <w:rFonts w:ascii="Arial" w:hAnsi="Arial" w:cs="Arial"/>
          </w:rPr>
          <w:t>https://doi.org/10.1080/14697017.2019.1572063</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 xml:space="preserve">Caldwell, R. (2022) ‘Leadership, risk and digital transformation in healthcare’, BMJ </w:t>
      </w:r>
      <w:proofErr w:type="spellStart"/>
      <w:r w:rsidRPr="009B6430">
        <w:rPr>
          <w:rFonts w:ascii="Arial" w:hAnsi="Arial" w:cs="Arial"/>
        </w:rPr>
        <w:t>Leader.Available</w:t>
      </w:r>
      <w:proofErr w:type="spellEnd"/>
      <w:r w:rsidRPr="009B6430">
        <w:rPr>
          <w:rFonts w:ascii="Arial" w:hAnsi="Arial" w:cs="Arial"/>
        </w:rPr>
        <w:t xml:space="preserve"> at: </w:t>
      </w:r>
      <w:hyperlink r:id="rId24" w:history="1">
        <w:r w:rsidRPr="00210F54">
          <w:rPr>
            <w:rStyle w:val="Hyperlink"/>
            <w:rFonts w:ascii="Arial" w:hAnsi="Arial" w:cs="Arial"/>
          </w:rPr>
          <w:t>https://doi.org/10.1136/leader-2021-000593</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 xml:space="preserve">Care Quality Commission (CQC) (2023) Quality and Safety Standards in </w:t>
      </w:r>
      <w:proofErr w:type="spellStart"/>
      <w:r w:rsidRPr="009B6430">
        <w:rPr>
          <w:rFonts w:ascii="Arial" w:hAnsi="Arial" w:cs="Arial"/>
        </w:rPr>
        <w:t>Healthcare.Available</w:t>
      </w:r>
      <w:proofErr w:type="spellEnd"/>
      <w:r w:rsidRPr="009B6430">
        <w:rPr>
          <w:rFonts w:ascii="Arial" w:hAnsi="Arial" w:cs="Arial"/>
        </w:rPr>
        <w:t xml:space="preserve"> at: </w:t>
      </w:r>
      <w:hyperlink r:id="rId25" w:history="1">
        <w:r w:rsidRPr="00210F54">
          <w:rPr>
            <w:rStyle w:val="Hyperlink"/>
            <w:rFonts w:ascii="Arial" w:hAnsi="Arial" w:cs="Arial"/>
          </w:rPr>
          <w:t>https://www.cqc.org.uk</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 xml:space="preserve">Collier, R. (2017) ‘NHS ransomware attack spreads worldwide’, Canadian Medical Association Journal, 189(23).Available at: </w:t>
      </w:r>
      <w:hyperlink r:id="rId26" w:history="1">
        <w:r w:rsidRPr="00210F54">
          <w:rPr>
            <w:rStyle w:val="Hyperlink"/>
            <w:rFonts w:ascii="Arial" w:hAnsi="Arial" w:cs="Arial"/>
          </w:rPr>
          <w:t>https://doi.org/10.1503/cmaj.1095434</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Deming, W.E. (1986) Out of the Crisis. Cambridge, MA: MIT Press.</w:t>
      </w:r>
      <w:r>
        <w:rPr>
          <w:rFonts w:ascii="Arial" w:hAnsi="Arial" w:cs="Arial"/>
        </w:rPr>
        <w:t xml:space="preserve"> </w:t>
      </w:r>
      <w:r w:rsidRPr="009B6430">
        <w:rPr>
          <w:rFonts w:ascii="Arial" w:hAnsi="Arial" w:cs="Arial"/>
        </w:rPr>
        <w:t xml:space="preserve">Available at: </w:t>
      </w:r>
      <w:hyperlink r:id="rId27" w:history="1">
        <w:r w:rsidRPr="00210F54">
          <w:rPr>
            <w:rStyle w:val="Hyperlink"/>
            <w:rFonts w:ascii="Arial" w:hAnsi="Arial" w:cs="Arial"/>
          </w:rPr>
          <w:t>https://mitpress.mit.edu/9780262541169/out-of-the-crisis/</w:t>
        </w:r>
      </w:hyperlink>
      <w:r>
        <w:rPr>
          <w:rFonts w:ascii="Arial" w:hAnsi="Arial" w:cs="Arial"/>
        </w:rPr>
        <w:t xml:space="preserve"> </w:t>
      </w:r>
    </w:p>
    <w:p w:rsid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Department of Health and Social Care (DHSC) (2022) Data Saves Lives: A New Vision for NHS Digital Transformation.</w:t>
      </w:r>
      <w:r>
        <w:rPr>
          <w:rFonts w:ascii="Arial" w:hAnsi="Arial" w:cs="Arial"/>
        </w:rPr>
        <w:t xml:space="preserve"> </w:t>
      </w:r>
    </w:p>
    <w:p w:rsidR="009B6430" w:rsidRPr="009B6430" w:rsidRDefault="009B6430" w:rsidP="009B6430">
      <w:pPr>
        <w:pStyle w:val="ListParagraph"/>
        <w:spacing w:line="480" w:lineRule="auto"/>
        <w:jc w:val="both"/>
        <w:rPr>
          <w:rFonts w:ascii="Arial" w:hAnsi="Arial" w:cs="Arial"/>
        </w:rPr>
      </w:pPr>
      <w:r w:rsidRPr="009B6430">
        <w:rPr>
          <w:rFonts w:ascii="Arial" w:hAnsi="Arial" w:cs="Arial"/>
        </w:rPr>
        <w:t xml:space="preserve">Available at: </w:t>
      </w:r>
      <w:hyperlink r:id="rId28" w:history="1">
        <w:r w:rsidRPr="00210F54">
          <w:rPr>
            <w:rStyle w:val="Hyperlink"/>
            <w:rFonts w:ascii="Arial" w:hAnsi="Arial" w:cs="Arial"/>
          </w:rPr>
          <w:t>https://www.gov.uk/government/publications/data-saves-lives</w:t>
        </w:r>
      </w:hyperlink>
      <w:r>
        <w:rPr>
          <w:rFonts w:ascii="Arial" w:hAnsi="Arial" w:cs="Arial"/>
        </w:rPr>
        <w:t xml:space="preserve"> </w:t>
      </w:r>
    </w:p>
    <w:p w:rsidR="009B6430" w:rsidRPr="009B6430" w:rsidRDefault="009B6430" w:rsidP="009B6430">
      <w:pPr>
        <w:spacing w:line="480" w:lineRule="auto"/>
        <w:jc w:val="both"/>
        <w:rPr>
          <w:rFonts w:ascii="Arial" w:hAnsi="Arial" w:cs="Arial"/>
        </w:rPr>
      </w:pPr>
    </w:p>
    <w:p w:rsidR="009B6430" w:rsidRPr="009B6430" w:rsidRDefault="009B6430" w:rsidP="009B6430">
      <w:pPr>
        <w:pStyle w:val="ListParagraph"/>
        <w:numPr>
          <w:ilvl w:val="0"/>
          <w:numId w:val="2"/>
        </w:numPr>
        <w:spacing w:line="480" w:lineRule="auto"/>
        <w:jc w:val="both"/>
        <w:rPr>
          <w:rFonts w:ascii="Arial" w:hAnsi="Arial" w:cs="Arial"/>
        </w:rPr>
      </w:pPr>
      <w:proofErr w:type="spellStart"/>
      <w:r w:rsidRPr="009B6430">
        <w:rPr>
          <w:rFonts w:ascii="Arial" w:hAnsi="Arial" w:cs="Arial"/>
        </w:rPr>
        <w:lastRenderedPageBreak/>
        <w:t>Donabedian</w:t>
      </w:r>
      <w:proofErr w:type="spellEnd"/>
      <w:r w:rsidRPr="009B6430">
        <w:rPr>
          <w:rFonts w:ascii="Arial" w:hAnsi="Arial" w:cs="Arial"/>
        </w:rPr>
        <w:t>, A. (1966) ‘Evaluating the quality of medical care’, The Milbank Quarterly, 44(3).</w:t>
      </w:r>
      <w:r>
        <w:rPr>
          <w:rFonts w:ascii="Arial" w:hAnsi="Arial" w:cs="Arial"/>
        </w:rPr>
        <w:t xml:space="preserve"> </w:t>
      </w:r>
      <w:r w:rsidRPr="009B6430">
        <w:rPr>
          <w:rFonts w:ascii="Arial" w:hAnsi="Arial" w:cs="Arial"/>
        </w:rPr>
        <w:t xml:space="preserve">Available at: </w:t>
      </w:r>
      <w:hyperlink r:id="rId29" w:history="1">
        <w:r w:rsidRPr="00210F54">
          <w:rPr>
            <w:rStyle w:val="Hyperlink"/>
            <w:rFonts w:ascii="Arial" w:hAnsi="Arial" w:cs="Arial"/>
          </w:rPr>
          <w:t>https://doi.org/10.2307/3348969</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ENISA (2024) ENISA Threat Landscape 2024. European Union Agency for Cybersecurity.</w:t>
      </w:r>
      <w:r>
        <w:rPr>
          <w:rFonts w:ascii="Arial" w:hAnsi="Arial" w:cs="Arial"/>
        </w:rPr>
        <w:t xml:space="preserve"> </w:t>
      </w:r>
      <w:r w:rsidRPr="009B6430">
        <w:rPr>
          <w:rFonts w:ascii="Arial" w:hAnsi="Arial" w:cs="Arial"/>
        </w:rPr>
        <w:t xml:space="preserve">Available at: </w:t>
      </w:r>
      <w:hyperlink r:id="rId30" w:history="1">
        <w:r w:rsidRPr="00210F54">
          <w:rPr>
            <w:rStyle w:val="Hyperlink"/>
            <w:rFonts w:ascii="Arial" w:hAnsi="Arial" w:cs="Arial"/>
          </w:rPr>
          <w:t>https://www.enisa.europa.eu/publications</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 xml:space="preserve">Europol (2022) Internet </w:t>
      </w:r>
      <w:proofErr w:type="spellStart"/>
      <w:r w:rsidRPr="009B6430">
        <w:rPr>
          <w:rFonts w:ascii="Arial" w:hAnsi="Arial" w:cs="Arial"/>
        </w:rPr>
        <w:t>Organised</w:t>
      </w:r>
      <w:proofErr w:type="spellEnd"/>
      <w:r w:rsidRPr="009B6430">
        <w:rPr>
          <w:rFonts w:ascii="Arial" w:hAnsi="Arial" w:cs="Arial"/>
        </w:rPr>
        <w:t xml:space="preserve"> Crime Threat Assessment (IOCTA).</w:t>
      </w:r>
      <w:r>
        <w:rPr>
          <w:rFonts w:ascii="Arial" w:hAnsi="Arial" w:cs="Arial"/>
        </w:rPr>
        <w:t xml:space="preserve"> </w:t>
      </w:r>
      <w:r w:rsidRPr="009B6430">
        <w:rPr>
          <w:rFonts w:ascii="Arial" w:hAnsi="Arial" w:cs="Arial"/>
        </w:rPr>
        <w:t xml:space="preserve">Available at: </w:t>
      </w:r>
      <w:hyperlink r:id="rId31" w:history="1">
        <w:r w:rsidRPr="00210F54">
          <w:rPr>
            <w:rStyle w:val="Hyperlink"/>
            <w:rFonts w:ascii="Arial" w:hAnsi="Arial" w:cs="Arial"/>
          </w:rPr>
          <w:t>https://www.europol.europa.eu/publications-events/main-reports/internet-organised-crime-threat-assessment-iocta-2022</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proofErr w:type="spellStart"/>
      <w:r w:rsidRPr="009B6430">
        <w:rPr>
          <w:rFonts w:ascii="Arial" w:hAnsi="Arial" w:cs="Arial"/>
        </w:rPr>
        <w:t>Gürel</w:t>
      </w:r>
      <w:proofErr w:type="spellEnd"/>
      <w:r w:rsidRPr="009B6430">
        <w:rPr>
          <w:rFonts w:ascii="Arial" w:hAnsi="Arial" w:cs="Arial"/>
        </w:rPr>
        <w:t>, E. &amp; Tat, M. (2017) ‘SWOT analysis: A theoretical review’, Journal of International Social Research.</w:t>
      </w:r>
      <w:r>
        <w:rPr>
          <w:rFonts w:ascii="Arial" w:hAnsi="Arial" w:cs="Arial"/>
        </w:rPr>
        <w:t xml:space="preserve"> </w:t>
      </w:r>
      <w:r w:rsidRPr="009B6430">
        <w:rPr>
          <w:rFonts w:ascii="Arial" w:hAnsi="Arial" w:cs="Arial"/>
        </w:rPr>
        <w:t xml:space="preserve">Available at: </w:t>
      </w:r>
      <w:hyperlink r:id="rId32" w:history="1">
        <w:r w:rsidRPr="00210F54">
          <w:rPr>
            <w:rStyle w:val="Hyperlink"/>
            <w:rFonts w:ascii="Arial" w:hAnsi="Arial" w:cs="Arial"/>
          </w:rPr>
          <w:t>https://www.sosyalarastirmalar.com/articles/swot-analysis-a-theoretical-review.pdf</w:t>
        </w:r>
      </w:hyperlink>
      <w:r>
        <w:rPr>
          <w:rFonts w:ascii="Arial" w:hAnsi="Arial" w:cs="Arial"/>
        </w:rPr>
        <w:t>.</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Hasegawa, K. et al. (2024) ‘Cybersecurity risks in healthcare systems’, The Lancet Digital Health.</w:t>
      </w:r>
      <w:r>
        <w:rPr>
          <w:rFonts w:ascii="Arial" w:hAnsi="Arial" w:cs="Arial"/>
        </w:rPr>
        <w:t xml:space="preserve"> </w:t>
      </w:r>
      <w:r w:rsidRPr="009B6430">
        <w:rPr>
          <w:rFonts w:ascii="Arial" w:hAnsi="Arial" w:cs="Arial"/>
        </w:rPr>
        <w:t xml:space="preserve">Available at: </w:t>
      </w:r>
      <w:hyperlink r:id="rId33" w:history="1">
        <w:r w:rsidRPr="00210F54">
          <w:rPr>
            <w:rStyle w:val="Hyperlink"/>
            <w:rFonts w:ascii="Arial" w:hAnsi="Arial" w:cs="Arial"/>
          </w:rPr>
          <w:t>https://doi.org/10.1016/S2589-7500(23)00245-7</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 xml:space="preserve">He, Y., Johnson, A. &amp; Wang, W. (2021) ‘Zero-trust architecture in healthcare IT’, IEEE Security &amp; </w:t>
      </w:r>
      <w:proofErr w:type="spellStart"/>
      <w:r w:rsidRPr="009B6430">
        <w:rPr>
          <w:rFonts w:ascii="Arial" w:hAnsi="Arial" w:cs="Arial"/>
        </w:rPr>
        <w:t>Privacy.Available</w:t>
      </w:r>
      <w:proofErr w:type="spellEnd"/>
      <w:r w:rsidRPr="009B6430">
        <w:rPr>
          <w:rFonts w:ascii="Arial" w:hAnsi="Arial" w:cs="Arial"/>
        </w:rPr>
        <w:t xml:space="preserve"> at: </w:t>
      </w:r>
      <w:hyperlink r:id="rId34" w:history="1">
        <w:r w:rsidRPr="00210F54">
          <w:rPr>
            <w:rStyle w:val="Hyperlink"/>
            <w:rFonts w:ascii="Arial" w:hAnsi="Arial" w:cs="Arial"/>
          </w:rPr>
          <w:t>https://doi.org/10.1109/MSEC.2021.3075851</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Hope, D. &amp; Pascoe, A. (2024) ‘Using CQC domains to evaluate digital health quality’, Health Informatics Journal.</w:t>
      </w:r>
      <w:r>
        <w:rPr>
          <w:rFonts w:ascii="Arial" w:hAnsi="Arial" w:cs="Arial"/>
        </w:rPr>
        <w:t xml:space="preserve"> </w:t>
      </w:r>
      <w:r w:rsidRPr="009B6430">
        <w:rPr>
          <w:rFonts w:ascii="Arial" w:hAnsi="Arial" w:cs="Arial"/>
        </w:rPr>
        <w:t xml:space="preserve">Available at: </w:t>
      </w:r>
      <w:hyperlink r:id="rId35" w:history="1">
        <w:r w:rsidRPr="00210F54">
          <w:rPr>
            <w:rStyle w:val="Hyperlink"/>
            <w:rFonts w:ascii="Arial" w:hAnsi="Arial" w:cs="Arial"/>
          </w:rPr>
          <w:t>https://doi.org/10.1177/14604582231223500</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Kwon, J., Johnson, M.E. &amp; McDaniel, P. (2020) ‘Cybersecurity breaches in healthcare’, Journal of Management Information Systems, 37(2).</w:t>
      </w:r>
      <w:r>
        <w:rPr>
          <w:rFonts w:ascii="Arial" w:hAnsi="Arial" w:cs="Arial"/>
        </w:rPr>
        <w:t xml:space="preserve"> </w:t>
      </w:r>
      <w:r w:rsidRPr="009B6430">
        <w:rPr>
          <w:rFonts w:ascii="Arial" w:hAnsi="Arial" w:cs="Arial"/>
        </w:rPr>
        <w:t xml:space="preserve">Available at: </w:t>
      </w:r>
      <w:hyperlink r:id="rId36" w:history="1">
        <w:r w:rsidRPr="00210F54">
          <w:rPr>
            <w:rStyle w:val="Hyperlink"/>
            <w:rFonts w:ascii="Arial" w:hAnsi="Arial" w:cs="Arial"/>
          </w:rPr>
          <w:t>https://doi.org/10.1080/07421222.2020.1757590</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Milmo, C. (2022) ‘Ransomware attack severely disrupts NHS services’, The Guardian.</w:t>
      </w:r>
      <w:r>
        <w:rPr>
          <w:rFonts w:ascii="Arial" w:hAnsi="Arial" w:cs="Arial"/>
        </w:rPr>
        <w:t xml:space="preserve"> </w:t>
      </w:r>
      <w:r w:rsidRPr="009B6430">
        <w:rPr>
          <w:rFonts w:ascii="Arial" w:hAnsi="Arial" w:cs="Arial"/>
        </w:rPr>
        <w:t xml:space="preserve">Available at: </w:t>
      </w:r>
      <w:hyperlink r:id="rId37" w:history="1">
        <w:r w:rsidRPr="00210F54">
          <w:rPr>
            <w:rStyle w:val="Hyperlink"/>
            <w:rFonts w:ascii="Arial" w:hAnsi="Arial" w:cs="Arial"/>
          </w:rPr>
          <w:t>https://www.theguardian.com/technology/2022/aug/11/nhs-ransomware-attack-what-happened-and-how-bad-is-it</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 xml:space="preserve">Moore, S., </w:t>
      </w:r>
      <w:proofErr w:type="spellStart"/>
      <w:r w:rsidRPr="009B6430">
        <w:rPr>
          <w:rFonts w:ascii="Arial" w:hAnsi="Arial" w:cs="Arial"/>
        </w:rPr>
        <w:t>Parahoo</w:t>
      </w:r>
      <w:proofErr w:type="spellEnd"/>
      <w:r w:rsidRPr="009B6430">
        <w:rPr>
          <w:rFonts w:ascii="Arial" w:hAnsi="Arial" w:cs="Arial"/>
        </w:rPr>
        <w:t>, K. &amp; Fleming, P. (2023) ‘Digital governance challenges in the NHS’, Health Policy.</w:t>
      </w:r>
      <w:r>
        <w:rPr>
          <w:rFonts w:ascii="Arial" w:hAnsi="Arial" w:cs="Arial"/>
        </w:rPr>
        <w:t xml:space="preserve"> </w:t>
      </w:r>
      <w:r w:rsidRPr="009B6430">
        <w:rPr>
          <w:rFonts w:ascii="Arial" w:hAnsi="Arial" w:cs="Arial"/>
        </w:rPr>
        <w:t xml:space="preserve">Available at: </w:t>
      </w:r>
      <w:hyperlink r:id="rId38" w:history="1">
        <w:r w:rsidRPr="00210F54">
          <w:rPr>
            <w:rStyle w:val="Hyperlink"/>
            <w:rFonts w:ascii="Arial" w:hAnsi="Arial" w:cs="Arial"/>
          </w:rPr>
          <w:t>https://doi.org/10.1016/j.healthpol.2023.104902</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Nair, P. et al. (2023) ‘Digital literacy and workforce competence in healthcare’, BMC Health Services Research, 23(1).</w:t>
      </w:r>
      <w:r>
        <w:rPr>
          <w:rFonts w:ascii="Arial" w:hAnsi="Arial" w:cs="Arial"/>
        </w:rPr>
        <w:t xml:space="preserve"> </w:t>
      </w:r>
      <w:r w:rsidRPr="009B6430">
        <w:rPr>
          <w:rFonts w:ascii="Arial" w:hAnsi="Arial" w:cs="Arial"/>
        </w:rPr>
        <w:t xml:space="preserve">Available at: </w:t>
      </w:r>
      <w:hyperlink r:id="rId39" w:history="1">
        <w:r w:rsidRPr="00210F54">
          <w:rPr>
            <w:rStyle w:val="Hyperlink"/>
            <w:rFonts w:ascii="Arial" w:hAnsi="Arial" w:cs="Arial"/>
          </w:rPr>
          <w:t>https://doi.org/10.1186/s12913-023-09627-x</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lastRenderedPageBreak/>
        <w:t xml:space="preserve">National Cyber Security Centre (NCSC) (2023) Cyber Security Breaches Survey 2023.Available at: </w:t>
      </w:r>
      <w:hyperlink r:id="rId40" w:history="1">
        <w:r w:rsidRPr="00210F54">
          <w:rPr>
            <w:rStyle w:val="Hyperlink"/>
            <w:rFonts w:ascii="Arial" w:hAnsi="Arial" w:cs="Arial"/>
          </w:rPr>
          <w:t>https://www.gov.uk/government/statistics/cyber-security-breaches-survey-2023</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NCQA (2022) HEDIS 2022 Technical Specifications.</w:t>
      </w:r>
      <w:r>
        <w:rPr>
          <w:rFonts w:ascii="Arial" w:hAnsi="Arial" w:cs="Arial"/>
        </w:rPr>
        <w:t xml:space="preserve"> </w:t>
      </w:r>
      <w:r w:rsidRPr="009B6430">
        <w:rPr>
          <w:rFonts w:ascii="Arial" w:hAnsi="Arial" w:cs="Arial"/>
        </w:rPr>
        <w:t xml:space="preserve">Available at: </w:t>
      </w:r>
      <w:hyperlink r:id="rId41" w:history="1">
        <w:r w:rsidRPr="00210F54">
          <w:rPr>
            <w:rStyle w:val="Hyperlink"/>
            <w:rFonts w:ascii="Arial" w:hAnsi="Arial" w:cs="Arial"/>
          </w:rPr>
          <w:t>https://www.ncqa.org/hedis/</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NHS England (2022) Digital Maturity Assessment.</w:t>
      </w:r>
      <w:r>
        <w:rPr>
          <w:rFonts w:ascii="Arial" w:hAnsi="Arial" w:cs="Arial"/>
        </w:rPr>
        <w:t xml:space="preserve"> </w:t>
      </w:r>
      <w:r w:rsidRPr="009B6430">
        <w:rPr>
          <w:rFonts w:ascii="Arial" w:hAnsi="Arial" w:cs="Arial"/>
        </w:rPr>
        <w:t xml:space="preserve">Available at: </w:t>
      </w:r>
      <w:hyperlink r:id="rId42" w:history="1">
        <w:r w:rsidRPr="00210F54">
          <w:rPr>
            <w:rStyle w:val="Hyperlink"/>
            <w:rFonts w:ascii="Arial" w:hAnsi="Arial" w:cs="Arial"/>
          </w:rPr>
          <w:t>https://www.england.nhs.uk</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NHS England (2023) Cyber Security Strategy and Resilience Report.</w:t>
      </w:r>
      <w:r>
        <w:rPr>
          <w:rFonts w:ascii="Arial" w:hAnsi="Arial" w:cs="Arial"/>
        </w:rPr>
        <w:t xml:space="preserve"> </w:t>
      </w:r>
      <w:r w:rsidRPr="009B6430">
        <w:rPr>
          <w:rFonts w:ascii="Arial" w:hAnsi="Arial" w:cs="Arial"/>
        </w:rPr>
        <w:t xml:space="preserve">Available at: </w:t>
      </w:r>
      <w:hyperlink r:id="rId43" w:history="1">
        <w:r w:rsidRPr="00210F54">
          <w:rPr>
            <w:rStyle w:val="Hyperlink"/>
            <w:rFonts w:ascii="Arial" w:hAnsi="Arial" w:cs="Arial"/>
          </w:rPr>
          <w:t>https://www.england.nhs.uk</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proofErr w:type="spellStart"/>
      <w:r w:rsidRPr="009B6430">
        <w:rPr>
          <w:rFonts w:ascii="Arial" w:hAnsi="Arial" w:cs="Arial"/>
        </w:rPr>
        <w:t>Portela</w:t>
      </w:r>
      <w:proofErr w:type="spellEnd"/>
      <w:r w:rsidRPr="009B6430">
        <w:rPr>
          <w:rFonts w:ascii="Arial" w:hAnsi="Arial" w:cs="Arial"/>
        </w:rPr>
        <w:t>, M.C. et al. (2023) ‘Impact of system downtime on care quality’, BMJ Quality &amp; Safety, 32(1).</w:t>
      </w:r>
      <w:r>
        <w:rPr>
          <w:rFonts w:ascii="Arial" w:hAnsi="Arial" w:cs="Arial"/>
        </w:rPr>
        <w:t xml:space="preserve"> </w:t>
      </w:r>
      <w:r w:rsidRPr="009B6430">
        <w:rPr>
          <w:rFonts w:ascii="Arial" w:hAnsi="Arial" w:cs="Arial"/>
        </w:rPr>
        <w:t>Available at: https://doi.org/10.1136/bmjqs-2022-015123</w:t>
      </w:r>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Reason, J. (1990) Human Error. Cambridge: Cambridge University Press.</w:t>
      </w:r>
      <w:r>
        <w:rPr>
          <w:rFonts w:ascii="Arial" w:hAnsi="Arial" w:cs="Arial"/>
        </w:rPr>
        <w:t xml:space="preserve"> </w:t>
      </w:r>
      <w:r w:rsidRPr="009B6430">
        <w:rPr>
          <w:rFonts w:ascii="Arial" w:hAnsi="Arial" w:cs="Arial"/>
        </w:rPr>
        <w:t xml:space="preserve">Available at: </w:t>
      </w:r>
      <w:hyperlink r:id="rId44" w:history="1">
        <w:r w:rsidRPr="00210F54">
          <w:rPr>
            <w:rStyle w:val="Hyperlink"/>
            <w:rFonts w:ascii="Arial" w:hAnsi="Arial" w:cs="Arial"/>
          </w:rPr>
          <w:t>https://doi.org/10.1017/CBO9781139062367</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Rodgers, K. et al. (2019) ‘Quality improvement tools in healthcare’, BMJ Open Quality.</w:t>
      </w:r>
      <w:r>
        <w:rPr>
          <w:rFonts w:ascii="Arial" w:hAnsi="Arial" w:cs="Arial"/>
        </w:rPr>
        <w:t xml:space="preserve"> </w:t>
      </w:r>
      <w:r w:rsidRPr="009B6430">
        <w:rPr>
          <w:rFonts w:ascii="Arial" w:hAnsi="Arial" w:cs="Arial"/>
        </w:rPr>
        <w:t xml:space="preserve">Available at: </w:t>
      </w:r>
      <w:hyperlink r:id="rId45" w:history="1">
        <w:r w:rsidRPr="00210F54">
          <w:rPr>
            <w:rStyle w:val="Hyperlink"/>
            <w:rFonts w:ascii="Arial" w:hAnsi="Arial" w:cs="Arial"/>
          </w:rPr>
          <w:t>https://doi.org/10.1136/bmjoq-2019-000606</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Weaver, C. (2024) ‘Managing third-party cyber risks in healthcare’, Health Information Management Journal.</w:t>
      </w:r>
      <w:r>
        <w:rPr>
          <w:rFonts w:ascii="Arial" w:hAnsi="Arial" w:cs="Arial"/>
        </w:rPr>
        <w:t xml:space="preserve"> </w:t>
      </w:r>
      <w:r w:rsidRPr="009B6430">
        <w:rPr>
          <w:rFonts w:ascii="Arial" w:hAnsi="Arial" w:cs="Arial"/>
        </w:rPr>
        <w:t xml:space="preserve">Available at: </w:t>
      </w:r>
      <w:hyperlink r:id="rId46" w:history="1">
        <w:r w:rsidRPr="00210F54">
          <w:rPr>
            <w:rStyle w:val="Hyperlink"/>
            <w:rFonts w:ascii="Arial" w:hAnsi="Arial" w:cs="Arial"/>
          </w:rPr>
          <w:t>https://doi.org/10.1177/18333583241234567</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Weiss, C.H. (1995) ‘Evaluation theory and practice’, Evaluation, 1(1).</w:t>
      </w:r>
      <w:r>
        <w:rPr>
          <w:rFonts w:ascii="Arial" w:hAnsi="Arial" w:cs="Arial"/>
        </w:rPr>
        <w:t xml:space="preserve"> </w:t>
      </w:r>
      <w:r w:rsidRPr="009B6430">
        <w:rPr>
          <w:rFonts w:ascii="Arial" w:hAnsi="Arial" w:cs="Arial"/>
        </w:rPr>
        <w:t xml:space="preserve">Available at: </w:t>
      </w:r>
      <w:hyperlink r:id="rId47" w:history="1">
        <w:r w:rsidRPr="00210F54">
          <w:rPr>
            <w:rStyle w:val="Hyperlink"/>
            <w:rFonts w:ascii="Arial" w:hAnsi="Arial" w:cs="Arial"/>
          </w:rPr>
          <w:t>https://doi.org/10.1177/135638909500100101</w:t>
        </w:r>
      </w:hyperlink>
      <w:r>
        <w:rPr>
          <w:rFonts w:ascii="Arial" w:hAnsi="Arial" w:cs="Arial"/>
        </w:rPr>
        <w:t xml:space="preserve"> </w:t>
      </w:r>
    </w:p>
    <w:p w:rsidR="009B6430"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Womack, J.P. &amp; Jones, D.T. (2003) Lean Thinking. New York: Simon &amp; Schuster.</w:t>
      </w:r>
      <w:r>
        <w:rPr>
          <w:rFonts w:ascii="Arial" w:hAnsi="Arial" w:cs="Arial"/>
        </w:rPr>
        <w:t xml:space="preserve"> </w:t>
      </w:r>
      <w:r w:rsidRPr="009B6430">
        <w:rPr>
          <w:rFonts w:ascii="Arial" w:hAnsi="Arial" w:cs="Arial"/>
        </w:rPr>
        <w:t xml:space="preserve">Available at: </w:t>
      </w:r>
      <w:hyperlink r:id="rId48" w:history="1">
        <w:r w:rsidRPr="00210F54">
          <w:rPr>
            <w:rStyle w:val="Hyperlink"/>
            <w:rFonts w:ascii="Arial" w:hAnsi="Arial" w:cs="Arial"/>
          </w:rPr>
          <w:t>https://www.simonandschuster.com/books/Lean-Thinking/James-P-Womack/9780743249270</w:t>
        </w:r>
      </w:hyperlink>
      <w:r>
        <w:rPr>
          <w:rFonts w:ascii="Arial" w:hAnsi="Arial" w:cs="Arial"/>
        </w:rPr>
        <w:t xml:space="preserve"> </w:t>
      </w:r>
    </w:p>
    <w:p w:rsidR="00206632" w:rsidRPr="009B6430" w:rsidRDefault="009B6430" w:rsidP="009B6430">
      <w:pPr>
        <w:pStyle w:val="ListParagraph"/>
        <w:numPr>
          <w:ilvl w:val="0"/>
          <w:numId w:val="2"/>
        </w:numPr>
        <w:spacing w:line="480" w:lineRule="auto"/>
        <w:jc w:val="both"/>
        <w:rPr>
          <w:rFonts w:ascii="Arial" w:hAnsi="Arial" w:cs="Arial"/>
        </w:rPr>
      </w:pPr>
      <w:r w:rsidRPr="009B6430">
        <w:rPr>
          <w:rFonts w:ascii="Arial" w:hAnsi="Arial" w:cs="Arial"/>
        </w:rPr>
        <w:t>World Health Organization (2023) Global Health Cybersecurity Outlook.</w:t>
      </w:r>
      <w:r>
        <w:rPr>
          <w:rFonts w:ascii="Arial" w:hAnsi="Arial" w:cs="Arial"/>
        </w:rPr>
        <w:t xml:space="preserve"> </w:t>
      </w:r>
      <w:r w:rsidRPr="009B6430">
        <w:rPr>
          <w:rFonts w:ascii="Arial" w:hAnsi="Arial" w:cs="Arial"/>
        </w:rPr>
        <w:t xml:space="preserve">Available at: </w:t>
      </w:r>
      <w:hyperlink r:id="rId49" w:history="1">
        <w:r w:rsidRPr="00210F54">
          <w:rPr>
            <w:rStyle w:val="Hyperlink"/>
            <w:rFonts w:ascii="Arial" w:hAnsi="Arial" w:cs="Arial"/>
          </w:rPr>
          <w:t>https://www.who.int/publications/i/item/9789240050869</w:t>
        </w:r>
      </w:hyperlink>
      <w:r>
        <w:rPr>
          <w:rFonts w:ascii="Arial" w:hAnsi="Arial" w:cs="Arial"/>
        </w:rPr>
        <w:t xml:space="preserve"> </w:t>
      </w:r>
    </w:p>
    <w:sectPr w:rsidR="00206632" w:rsidRPr="009B6430" w:rsidSect="00836873">
      <w:footerReference w:type="default" r:id="rId50"/>
      <w:pgSz w:w="12240" w:h="15840"/>
      <w:pgMar w:top="1440" w:right="1440" w:bottom="360" w:left="1440" w:header="720" w:footer="720" w:gutter="0"/>
      <w:pgBorders w:offsetFrom="page">
        <w:top w:val="thinThickThinLargeGap" w:sz="24" w:space="24" w:color="auto"/>
        <w:left w:val="thinThickThinLargeGap" w:sz="24" w:space="24" w:color="auto"/>
        <w:bottom w:val="thinThickThinLargeGap" w:sz="24" w:space="24" w:color="auto"/>
        <w:right w:val="thinThickThinLarge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84C12" w:rsidRDefault="00984C12" w:rsidP="00B30DE9">
      <w:pPr>
        <w:spacing w:after="0" w:line="240" w:lineRule="auto"/>
      </w:pPr>
      <w:r>
        <w:separator/>
      </w:r>
    </w:p>
  </w:endnote>
  <w:endnote w:type="continuationSeparator" w:id="0">
    <w:p w:rsidR="00984C12" w:rsidRDefault="00984C12" w:rsidP="00B30D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5447364"/>
      <w:docPartObj>
        <w:docPartGallery w:val="Page Numbers (Bottom of Page)"/>
        <w:docPartUnique/>
      </w:docPartObj>
    </w:sdtPr>
    <w:sdtEndPr>
      <w:rPr>
        <w:noProof/>
      </w:rPr>
    </w:sdtEndPr>
    <w:sdtContent>
      <w:p w:rsidR="00B30DE9" w:rsidRDefault="00B30DE9">
        <w:pPr>
          <w:pStyle w:val="Footer"/>
          <w:jc w:val="center"/>
        </w:pPr>
        <w:r>
          <w:fldChar w:fldCharType="begin"/>
        </w:r>
        <w:r>
          <w:instrText xml:space="preserve"> PAGE   \* MERGEFORMAT </w:instrText>
        </w:r>
        <w:r>
          <w:fldChar w:fldCharType="separate"/>
        </w:r>
        <w:r w:rsidR="00630C3E">
          <w:rPr>
            <w:noProof/>
          </w:rPr>
          <w:t>21</w:t>
        </w:r>
        <w:r>
          <w:rPr>
            <w:noProof/>
          </w:rPr>
          <w:fldChar w:fldCharType="end"/>
        </w:r>
      </w:p>
    </w:sdtContent>
  </w:sdt>
  <w:p w:rsidR="00B30DE9" w:rsidRDefault="00B30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84C12" w:rsidRDefault="00984C12" w:rsidP="00B30DE9">
      <w:pPr>
        <w:spacing w:after="0" w:line="240" w:lineRule="auto"/>
      </w:pPr>
      <w:r>
        <w:separator/>
      </w:r>
    </w:p>
  </w:footnote>
  <w:footnote w:type="continuationSeparator" w:id="0">
    <w:p w:rsidR="00984C12" w:rsidRDefault="00984C12" w:rsidP="00B30D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5E27E3"/>
    <w:multiLevelType w:val="hybridMultilevel"/>
    <w:tmpl w:val="BBEE0A00"/>
    <w:lvl w:ilvl="0" w:tplc="4009000B">
      <w:start w:val="1"/>
      <w:numFmt w:val="bullet"/>
      <w:lvlText w:val=""/>
      <w:lvlJc w:val="left"/>
      <w:pPr>
        <w:ind w:left="720" w:hanging="360"/>
      </w:pPr>
      <w:rPr>
        <w:rFonts w:ascii="Wingdings" w:hAnsi="Wingding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2525D8E"/>
    <w:multiLevelType w:val="hybridMultilevel"/>
    <w:tmpl w:val="4AF62B8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53C0140"/>
    <w:multiLevelType w:val="hybridMultilevel"/>
    <w:tmpl w:val="00FACA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2D35A5C"/>
    <w:multiLevelType w:val="hybridMultilevel"/>
    <w:tmpl w:val="00FACA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7997161"/>
    <w:multiLevelType w:val="hybridMultilevel"/>
    <w:tmpl w:val="E18A0E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02F43E2"/>
    <w:multiLevelType w:val="hybridMultilevel"/>
    <w:tmpl w:val="0B16B8B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5953F3C"/>
    <w:multiLevelType w:val="hybridMultilevel"/>
    <w:tmpl w:val="271E10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5D31C4A"/>
    <w:multiLevelType w:val="hybridMultilevel"/>
    <w:tmpl w:val="D71E2D3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02918E6"/>
    <w:multiLevelType w:val="hybridMultilevel"/>
    <w:tmpl w:val="3118D9B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52E3B5E"/>
    <w:multiLevelType w:val="hybridMultilevel"/>
    <w:tmpl w:val="839220C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EBB1B7A"/>
    <w:multiLevelType w:val="hybridMultilevel"/>
    <w:tmpl w:val="8724091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FED6D6C"/>
    <w:multiLevelType w:val="hybridMultilevel"/>
    <w:tmpl w:val="2698E8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3"/>
  </w:num>
  <w:num w:numId="3">
    <w:abstractNumId w:val="11"/>
  </w:num>
  <w:num w:numId="4">
    <w:abstractNumId w:val="4"/>
  </w:num>
  <w:num w:numId="5">
    <w:abstractNumId w:val="6"/>
  </w:num>
  <w:num w:numId="6">
    <w:abstractNumId w:val="0"/>
  </w:num>
  <w:num w:numId="7">
    <w:abstractNumId w:val="1"/>
  </w:num>
  <w:num w:numId="8">
    <w:abstractNumId w:val="5"/>
  </w:num>
  <w:num w:numId="9">
    <w:abstractNumId w:val="7"/>
  </w:num>
  <w:num w:numId="10">
    <w:abstractNumId w:val="9"/>
  </w:num>
  <w:num w:numId="11">
    <w:abstractNumId w:val="10"/>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6632"/>
    <w:rsid w:val="00007596"/>
    <w:rsid w:val="00075804"/>
    <w:rsid w:val="000929CE"/>
    <w:rsid w:val="00130651"/>
    <w:rsid w:val="001376A9"/>
    <w:rsid w:val="00145918"/>
    <w:rsid w:val="0018096C"/>
    <w:rsid w:val="00206632"/>
    <w:rsid w:val="00366EB0"/>
    <w:rsid w:val="00443B69"/>
    <w:rsid w:val="004C26CF"/>
    <w:rsid w:val="005139EC"/>
    <w:rsid w:val="00590D20"/>
    <w:rsid w:val="00630C3E"/>
    <w:rsid w:val="00655181"/>
    <w:rsid w:val="00671CEC"/>
    <w:rsid w:val="00752EF8"/>
    <w:rsid w:val="007D3526"/>
    <w:rsid w:val="008071DC"/>
    <w:rsid w:val="00836873"/>
    <w:rsid w:val="008D5183"/>
    <w:rsid w:val="008E456C"/>
    <w:rsid w:val="00984C12"/>
    <w:rsid w:val="009B6430"/>
    <w:rsid w:val="009F6EEC"/>
    <w:rsid w:val="00A6522D"/>
    <w:rsid w:val="00A706D6"/>
    <w:rsid w:val="00AA706E"/>
    <w:rsid w:val="00B05353"/>
    <w:rsid w:val="00B30DE9"/>
    <w:rsid w:val="00B63218"/>
    <w:rsid w:val="00B828DA"/>
    <w:rsid w:val="00BE74BD"/>
    <w:rsid w:val="00C02B2A"/>
    <w:rsid w:val="00C4734C"/>
    <w:rsid w:val="00C91836"/>
    <w:rsid w:val="00CB358E"/>
    <w:rsid w:val="00D5345D"/>
    <w:rsid w:val="00D8121A"/>
    <w:rsid w:val="00FD5A86"/>
  </w:rsids>
  <m:mathPr>
    <m:mathFont m:val="Cambria Math"/>
    <m:brkBin m:val="before"/>
    <m:brkBinSub m:val="--"/>
    <m:smallFrac m:val="0"/>
    <m:dispDef/>
    <m:lMargin m:val="0"/>
    <m:rMargin m:val="0"/>
    <m:defJc m:val="centerGroup"/>
    <m:wrapIndent m:val="1440"/>
    <m:intLim m:val="subSup"/>
    <m:naryLim m:val="undOvr"/>
  </m:mathPr>
  <w:themeFontLang w:val="en-US"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5998E"/>
  <w15:chartTrackingRefBased/>
  <w15:docId w15:val="{16B7CBC7-F2DA-4C36-96A6-5EC2D4E48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06632"/>
    <w:pPr>
      <w:spacing w:before="100" w:beforeAutospacing="1" w:after="100" w:afterAutospacing="1" w:line="240" w:lineRule="auto"/>
      <w:outlineLvl w:val="0"/>
    </w:pPr>
    <w:rPr>
      <w:rFonts w:ascii="Times New Roman" w:eastAsia="Times New Roman" w:hAnsi="Times New Roman" w:cs="Times New Roman"/>
      <w:b/>
      <w:bCs/>
      <w:kern w:val="36"/>
      <w:sz w:val="48"/>
      <w:szCs w:val="48"/>
      <w:lang w:bidi="mr-IN"/>
    </w:rPr>
  </w:style>
  <w:style w:type="paragraph" w:styleId="Heading2">
    <w:name w:val="heading 2"/>
    <w:basedOn w:val="Normal"/>
    <w:next w:val="Normal"/>
    <w:link w:val="Heading2Char"/>
    <w:uiPriority w:val="9"/>
    <w:semiHidden/>
    <w:unhideWhenUsed/>
    <w:qFormat/>
    <w:rsid w:val="0020663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0663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632"/>
    <w:rPr>
      <w:rFonts w:ascii="Times New Roman" w:eastAsia="Times New Roman" w:hAnsi="Times New Roman" w:cs="Times New Roman"/>
      <w:b/>
      <w:bCs/>
      <w:kern w:val="36"/>
      <w:sz w:val="48"/>
      <w:szCs w:val="48"/>
      <w:lang w:bidi="mr-IN"/>
    </w:rPr>
  </w:style>
  <w:style w:type="character" w:styleId="Strong">
    <w:name w:val="Strong"/>
    <w:basedOn w:val="DefaultParagraphFont"/>
    <w:uiPriority w:val="22"/>
    <w:qFormat/>
    <w:rsid w:val="00206632"/>
    <w:rPr>
      <w:b/>
      <w:bCs/>
    </w:rPr>
  </w:style>
  <w:style w:type="paragraph" w:styleId="NormalWeb">
    <w:name w:val="Normal (Web)"/>
    <w:basedOn w:val="Normal"/>
    <w:uiPriority w:val="99"/>
    <w:semiHidden/>
    <w:unhideWhenUsed/>
    <w:rsid w:val="00206632"/>
    <w:pPr>
      <w:spacing w:before="100" w:beforeAutospacing="1" w:after="100" w:afterAutospacing="1" w:line="240" w:lineRule="auto"/>
    </w:pPr>
    <w:rPr>
      <w:rFonts w:ascii="Times New Roman" w:eastAsia="Times New Roman" w:hAnsi="Times New Roman" w:cs="Times New Roman"/>
      <w:sz w:val="24"/>
      <w:szCs w:val="24"/>
      <w:lang w:bidi="mr-IN"/>
    </w:rPr>
  </w:style>
  <w:style w:type="paragraph" w:styleId="BalloonText">
    <w:name w:val="Balloon Text"/>
    <w:basedOn w:val="Normal"/>
    <w:link w:val="BalloonTextChar"/>
    <w:uiPriority w:val="99"/>
    <w:semiHidden/>
    <w:unhideWhenUsed/>
    <w:rsid w:val="002066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6632"/>
    <w:rPr>
      <w:rFonts w:ascii="Segoe UI" w:hAnsi="Segoe UI" w:cs="Segoe UI"/>
      <w:sz w:val="18"/>
      <w:szCs w:val="18"/>
    </w:rPr>
  </w:style>
  <w:style w:type="character" w:customStyle="1" w:styleId="Heading2Char">
    <w:name w:val="Heading 2 Char"/>
    <w:basedOn w:val="DefaultParagraphFont"/>
    <w:link w:val="Heading2"/>
    <w:uiPriority w:val="9"/>
    <w:semiHidden/>
    <w:rsid w:val="0020663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206632"/>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206632"/>
    <w:pPr>
      <w:ind w:left="720"/>
      <w:contextualSpacing/>
    </w:pPr>
  </w:style>
  <w:style w:type="character" w:styleId="Hyperlink">
    <w:name w:val="Hyperlink"/>
    <w:basedOn w:val="DefaultParagraphFont"/>
    <w:uiPriority w:val="99"/>
    <w:unhideWhenUsed/>
    <w:rsid w:val="00206632"/>
    <w:rPr>
      <w:color w:val="0563C1" w:themeColor="hyperlink"/>
      <w:u w:val="single"/>
    </w:rPr>
  </w:style>
  <w:style w:type="paragraph" w:styleId="Header">
    <w:name w:val="header"/>
    <w:basedOn w:val="Normal"/>
    <w:link w:val="HeaderChar"/>
    <w:uiPriority w:val="99"/>
    <w:unhideWhenUsed/>
    <w:rsid w:val="00B30D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0DE9"/>
  </w:style>
  <w:style w:type="paragraph" w:styleId="Footer">
    <w:name w:val="footer"/>
    <w:basedOn w:val="Normal"/>
    <w:link w:val="FooterChar"/>
    <w:uiPriority w:val="99"/>
    <w:unhideWhenUsed/>
    <w:rsid w:val="00B30D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0DE9"/>
  </w:style>
  <w:style w:type="paragraph" w:styleId="TOCHeading">
    <w:name w:val="TOC Heading"/>
    <w:basedOn w:val="Heading1"/>
    <w:next w:val="Normal"/>
    <w:uiPriority w:val="39"/>
    <w:unhideWhenUsed/>
    <w:qFormat/>
    <w:rsid w:val="00836873"/>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bidi="ar-SA"/>
    </w:rPr>
  </w:style>
  <w:style w:type="paragraph" w:styleId="TOC2">
    <w:name w:val="toc 2"/>
    <w:basedOn w:val="Normal"/>
    <w:next w:val="Normal"/>
    <w:autoRedefine/>
    <w:uiPriority w:val="39"/>
    <w:unhideWhenUsed/>
    <w:rsid w:val="00836873"/>
    <w:pPr>
      <w:spacing w:after="100"/>
      <w:ind w:left="220"/>
    </w:pPr>
    <w:rPr>
      <w:rFonts w:eastAsiaTheme="minorEastAsia" w:cs="Times New Roman"/>
    </w:rPr>
  </w:style>
  <w:style w:type="paragraph" w:styleId="TOC1">
    <w:name w:val="toc 1"/>
    <w:basedOn w:val="Normal"/>
    <w:next w:val="Normal"/>
    <w:autoRedefine/>
    <w:uiPriority w:val="39"/>
    <w:unhideWhenUsed/>
    <w:rsid w:val="00836873"/>
    <w:pPr>
      <w:spacing w:after="100"/>
    </w:pPr>
    <w:rPr>
      <w:rFonts w:eastAsiaTheme="minorEastAsia" w:cs="Times New Roman"/>
    </w:rPr>
  </w:style>
  <w:style w:type="paragraph" w:styleId="TOC3">
    <w:name w:val="toc 3"/>
    <w:basedOn w:val="Normal"/>
    <w:next w:val="Normal"/>
    <w:autoRedefine/>
    <w:uiPriority w:val="39"/>
    <w:unhideWhenUsed/>
    <w:rsid w:val="00B63218"/>
    <w:pPr>
      <w:spacing w:after="100" w:line="600" w:lineRule="auto"/>
      <w:ind w:left="446"/>
    </w:pPr>
    <w:rPr>
      <w:rFonts w:ascii="Arial" w:hAnsi="Arial" w:cs="Arial"/>
      <w:b/>
      <w:bCs/>
      <w:sz w:val="24"/>
      <w:szCs w:val="24"/>
    </w:rPr>
  </w:style>
  <w:style w:type="paragraph" w:customStyle="1" w:styleId="Normal1">
    <w:name w:val="Normal1"/>
    <w:rsid w:val="00630C3E"/>
    <w:pPr>
      <w:spacing w:after="0" w:line="360" w:lineRule="auto"/>
      <w:jc w:val="both"/>
    </w:pPr>
    <w:rPr>
      <w:rFonts w:ascii="Arial" w:eastAsia="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9047268">
      <w:bodyDiv w:val="1"/>
      <w:marLeft w:val="0"/>
      <w:marRight w:val="0"/>
      <w:marTop w:val="0"/>
      <w:marBottom w:val="0"/>
      <w:divBdr>
        <w:top w:val="none" w:sz="0" w:space="0" w:color="auto"/>
        <w:left w:val="none" w:sz="0" w:space="0" w:color="auto"/>
        <w:bottom w:val="none" w:sz="0" w:space="0" w:color="auto"/>
        <w:right w:val="none" w:sz="0" w:space="0" w:color="auto"/>
      </w:divBdr>
    </w:div>
    <w:div w:id="1136295409">
      <w:bodyDiv w:val="1"/>
      <w:marLeft w:val="0"/>
      <w:marRight w:val="0"/>
      <w:marTop w:val="0"/>
      <w:marBottom w:val="0"/>
      <w:divBdr>
        <w:top w:val="none" w:sz="0" w:space="0" w:color="auto"/>
        <w:left w:val="none" w:sz="0" w:space="0" w:color="auto"/>
        <w:bottom w:val="none" w:sz="0" w:space="0" w:color="auto"/>
        <w:right w:val="none" w:sz="0" w:space="0" w:color="auto"/>
      </w:divBdr>
    </w:div>
    <w:div w:id="1302467702">
      <w:bodyDiv w:val="1"/>
      <w:marLeft w:val="0"/>
      <w:marRight w:val="0"/>
      <w:marTop w:val="0"/>
      <w:marBottom w:val="0"/>
      <w:divBdr>
        <w:top w:val="none" w:sz="0" w:space="0" w:color="auto"/>
        <w:left w:val="none" w:sz="0" w:space="0" w:color="auto"/>
        <w:bottom w:val="none" w:sz="0" w:space="0" w:color="auto"/>
        <w:right w:val="none" w:sz="0" w:space="0" w:color="auto"/>
      </w:divBdr>
    </w:div>
    <w:div w:id="1426924048">
      <w:bodyDiv w:val="1"/>
      <w:marLeft w:val="0"/>
      <w:marRight w:val="0"/>
      <w:marTop w:val="0"/>
      <w:marBottom w:val="0"/>
      <w:divBdr>
        <w:top w:val="none" w:sz="0" w:space="0" w:color="auto"/>
        <w:left w:val="none" w:sz="0" w:space="0" w:color="auto"/>
        <w:bottom w:val="none" w:sz="0" w:space="0" w:color="auto"/>
        <w:right w:val="none" w:sz="0" w:space="0" w:color="auto"/>
      </w:divBdr>
      <w:divsChild>
        <w:div w:id="238441099">
          <w:marLeft w:val="0"/>
          <w:marRight w:val="0"/>
          <w:marTop w:val="0"/>
          <w:marBottom w:val="0"/>
          <w:divBdr>
            <w:top w:val="none" w:sz="0" w:space="0" w:color="auto"/>
            <w:left w:val="none" w:sz="0" w:space="0" w:color="auto"/>
            <w:bottom w:val="none" w:sz="0" w:space="0" w:color="auto"/>
            <w:right w:val="none" w:sz="0" w:space="0" w:color="auto"/>
          </w:divBdr>
        </w:div>
        <w:div w:id="796803004">
          <w:marLeft w:val="0"/>
          <w:marRight w:val="0"/>
          <w:marTop w:val="0"/>
          <w:marBottom w:val="0"/>
          <w:divBdr>
            <w:top w:val="none" w:sz="0" w:space="0" w:color="auto"/>
            <w:left w:val="none" w:sz="0" w:space="0" w:color="auto"/>
            <w:bottom w:val="none" w:sz="0" w:space="0" w:color="auto"/>
            <w:right w:val="none" w:sz="0" w:space="0" w:color="auto"/>
          </w:divBdr>
        </w:div>
        <w:div w:id="899828256">
          <w:marLeft w:val="0"/>
          <w:marRight w:val="0"/>
          <w:marTop w:val="0"/>
          <w:marBottom w:val="0"/>
          <w:divBdr>
            <w:top w:val="none" w:sz="0" w:space="0" w:color="auto"/>
            <w:left w:val="none" w:sz="0" w:space="0" w:color="auto"/>
            <w:bottom w:val="none" w:sz="0" w:space="0" w:color="auto"/>
            <w:right w:val="none" w:sz="0" w:space="0" w:color="auto"/>
          </w:divBdr>
        </w:div>
      </w:divsChild>
    </w:div>
    <w:div w:id="2086535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diagramDrawing" Target="diagrams/drawing1.xml"/><Relationship Id="rId26" Type="http://schemas.openxmlformats.org/officeDocument/2006/relationships/hyperlink" Target="https://doi.org/10.1503/cmaj.1095434" TargetMode="External"/><Relationship Id="rId39" Type="http://schemas.openxmlformats.org/officeDocument/2006/relationships/hyperlink" Target="https://doi.org/10.1186/s12913-023-09627-x" TargetMode="External"/><Relationship Id="rId21" Type="http://schemas.openxmlformats.org/officeDocument/2006/relationships/hyperlink" Target="https://www.theguardian.com/technology/2022/aug/04/nhs-cyber-attack-advanced" TargetMode="External"/><Relationship Id="rId34" Type="http://schemas.openxmlformats.org/officeDocument/2006/relationships/hyperlink" Target="https://doi.org/10.1109/MSEC.2021.3075851" TargetMode="External"/><Relationship Id="rId42" Type="http://schemas.openxmlformats.org/officeDocument/2006/relationships/hyperlink" Target="https://www.england.nhs.uk" TargetMode="External"/><Relationship Id="rId47" Type="http://schemas.openxmlformats.org/officeDocument/2006/relationships/hyperlink" Target="https://doi.org/10.1177/135638909500100101"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hyperlink" Target="https://doi.org/10.2307/3348969" TargetMode="External"/><Relationship Id="rId11" Type="http://schemas.openxmlformats.org/officeDocument/2006/relationships/image" Target="media/image4.png"/><Relationship Id="rId24" Type="http://schemas.openxmlformats.org/officeDocument/2006/relationships/hyperlink" Target="https://doi.org/10.1136/leader-2021-000593" TargetMode="External"/><Relationship Id="rId32" Type="http://schemas.openxmlformats.org/officeDocument/2006/relationships/hyperlink" Target="https://www.sosyalarastirmalar.com/articles/swot-analysis-a-theoretical-review.pdf" TargetMode="External"/><Relationship Id="rId37" Type="http://schemas.openxmlformats.org/officeDocument/2006/relationships/hyperlink" Target="https://www.theguardian.com/technology/2022/aug/11/nhs-ransomware-attack-what-happened-and-how-bad-is-it" TargetMode="External"/><Relationship Id="rId40" Type="http://schemas.openxmlformats.org/officeDocument/2006/relationships/hyperlink" Target="https://www.gov.uk/government/statistics/cyber-security-breaches-survey-2023" TargetMode="External"/><Relationship Id="rId45" Type="http://schemas.openxmlformats.org/officeDocument/2006/relationships/hyperlink" Target="https://doi.org/10.1136/bmjoq-2019-000606" TargetMode="Externa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hyperlink" Target="https://doi.org/10.1080/14697017.2019.1572063" TargetMode="External"/><Relationship Id="rId28" Type="http://schemas.openxmlformats.org/officeDocument/2006/relationships/hyperlink" Target="https://www.gov.uk/government/publications/data-saves-lives" TargetMode="External"/><Relationship Id="rId36" Type="http://schemas.openxmlformats.org/officeDocument/2006/relationships/hyperlink" Target="https://doi.org/10.1080/07421222.2020.1757590" TargetMode="External"/><Relationship Id="rId49" Type="http://schemas.openxmlformats.org/officeDocument/2006/relationships/hyperlink" Target="https://www.who.int/publications/i/item/9789240050869" TargetMode="External"/><Relationship Id="rId10" Type="http://schemas.openxmlformats.org/officeDocument/2006/relationships/image" Target="media/image3.png"/><Relationship Id="rId19" Type="http://schemas.openxmlformats.org/officeDocument/2006/relationships/image" Target="media/image7.jpeg"/><Relationship Id="rId31" Type="http://schemas.openxmlformats.org/officeDocument/2006/relationships/hyperlink" Target="https://www.europol.europa.eu/publications-events/main-reports/internet-organised-crime-threat-assessment-iocta-2022" TargetMode="External"/><Relationship Id="rId44" Type="http://schemas.openxmlformats.org/officeDocument/2006/relationships/hyperlink" Target="https://doi.org/10.1017/CBO9781139062367"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Data" Target="diagrams/data1.xml"/><Relationship Id="rId22" Type="http://schemas.openxmlformats.org/officeDocument/2006/relationships/hyperlink" Target="https://doi.org/10.1108/JHOM-09-2014-0164" TargetMode="External"/><Relationship Id="rId27" Type="http://schemas.openxmlformats.org/officeDocument/2006/relationships/hyperlink" Target="https://mitpress.mit.edu/9780262541169/out-of-the-crisis/" TargetMode="External"/><Relationship Id="rId30" Type="http://schemas.openxmlformats.org/officeDocument/2006/relationships/hyperlink" Target="https://www.enisa.europa.eu/publications" TargetMode="External"/><Relationship Id="rId35" Type="http://schemas.openxmlformats.org/officeDocument/2006/relationships/hyperlink" Target="https://doi.org/10.1177/14604582231223500" TargetMode="External"/><Relationship Id="rId43" Type="http://schemas.openxmlformats.org/officeDocument/2006/relationships/hyperlink" Target="https://www.england.nhs.uk" TargetMode="External"/><Relationship Id="rId48" Type="http://schemas.openxmlformats.org/officeDocument/2006/relationships/hyperlink" Target="https://www.simonandschuster.com/books/Lean-Thinking/James-P-Womack/9780743249270"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diagramColors" Target="diagrams/colors1.xml"/><Relationship Id="rId25" Type="http://schemas.openxmlformats.org/officeDocument/2006/relationships/hyperlink" Target="https://www.cqc.org.uk" TargetMode="External"/><Relationship Id="rId33" Type="http://schemas.openxmlformats.org/officeDocument/2006/relationships/hyperlink" Target="https://doi.org/10.1016/S2589-7500(23)00245-7" TargetMode="External"/><Relationship Id="rId38" Type="http://schemas.openxmlformats.org/officeDocument/2006/relationships/hyperlink" Target="https://doi.org/10.1016/j.healthpol.2023.104902" TargetMode="External"/><Relationship Id="rId46" Type="http://schemas.openxmlformats.org/officeDocument/2006/relationships/hyperlink" Target="https://doi.org/10.1177/18333583241234567" TargetMode="External"/><Relationship Id="rId20" Type="http://schemas.openxmlformats.org/officeDocument/2006/relationships/hyperlink" Target="https://doi.org/10.1108/IJQRM-04-2022-0134" TargetMode="External"/><Relationship Id="rId41" Type="http://schemas.openxmlformats.org/officeDocument/2006/relationships/hyperlink" Target="https://www.ncqa.org/hedis/" TargetMode="External"/><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5D6908-AA8C-4F47-847B-99E3B44E119A}" type="doc">
      <dgm:prSet loTypeId="urn:microsoft.com/office/officeart/2005/8/layout/radial3" loCatId="cycle" qsTypeId="urn:microsoft.com/office/officeart/2005/8/quickstyle/simple3" qsCatId="simple" csTypeId="urn:microsoft.com/office/officeart/2005/8/colors/colorful1#1" csCatId="colorful" phldr="1"/>
      <dgm:spPr/>
      <dgm:t>
        <a:bodyPr/>
        <a:lstStyle/>
        <a:p>
          <a:endParaRPr lang="en-US"/>
        </a:p>
      </dgm:t>
    </dgm:pt>
    <dgm:pt modelId="{BDAFB962-D25C-42BE-9B1F-2C0086447005}">
      <dgm:prSet phldrT="[Text]" custT="1"/>
      <dgm:spPr/>
      <dgm:t>
        <a:bodyPr/>
        <a:lstStyle/>
        <a:p>
          <a:r>
            <a:rPr lang="en-US" sz="1100">
              <a:latin typeface="Arial" pitchFamily="34" charset="0"/>
              <a:cs typeface="Arial" pitchFamily="34" charset="0"/>
            </a:rPr>
            <a:t>well -led</a:t>
          </a:r>
        </a:p>
      </dgm:t>
    </dgm:pt>
    <dgm:pt modelId="{ECC12500-2D16-448B-8B40-BF5E1FCCEA48}" type="sibTrans" cxnId="{99ED0D9E-283A-4044-8D28-450A97FB73C8}">
      <dgm:prSet/>
      <dgm:spPr/>
      <dgm:t>
        <a:bodyPr/>
        <a:lstStyle/>
        <a:p>
          <a:endParaRPr lang="en-US"/>
        </a:p>
      </dgm:t>
    </dgm:pt>
    <dgm:pt modelId="{A567B6B7-7D7A-4397-97B2-5DDDFC35E841}" type="parTrans" cxnId="{99ED0D9E-283A-4044-8D28-450A97FB73C8}">
      <dgm:prSet/>
      <dgm:spPr/>
      <dgm:t>
        <a:bodyPr/>
        <a:lstStyle/>
        <a:p>
          <a:endParaRPr lang="en-US"/>
        </a:p>
      </dgm:t>
    </dgm:pt>
    <dgm:pt modelId="{B1738C11-97AD-48BE-BAC2-B42A81531609}">
      <dgm:prSet phldrT="[Text]" custT="1"/>
      <dgm:spPr/>
      <dgm:t>
        <a:bodyPr/>
        <a:lstStyle/>
        <a:p>
          <a:r>
            <a:rPr lang="en-US" sz="1100">
              <a:latin typeface="Arial" pitchFamily="34" charset="0"/>
              <a:cs typeface="Arial" pitchFamily="34" charset="0"/>
            </a:rPr>
            <a:t>Responsive</a:t>
          </a:r>
        </a:p>
      </dgm:t>
    </dgm:pt>
    <dgm:pt modelId="{F208573D-580E-478E-8E9F-0EF1151EDFEB}" type="sibTrans" cxnId="{E8ED0A0F-F67C-47E1-823A-4E514BCC44B3}">
      <dgm:prSet/>
      <dgm:spPr/>
      <dgm:t>
        <a:bodyPr/>
        <a:lstStyle/>
        <a:p>
          <a:endParaRPr lang="en-US"/>
        </a:p>
      </dgm:t>
    </dgm:pt>
    <dgm:pt modelId="{6CC56371-1DEA-4795-8CF3-E64759313122}" type="parTrans" cxnId="{E8ED0A0F-F67C-47E1-823A-4E514BCC44B3}">
      <dgm:prSet/>
      <dgm:spPr/>
      <dgm:t>
        <a:bodyPr/>
        <a:lstStyle/>
        <a:p>
          <a:endParaRPr lang="en-US"/>
        </a:p>
      </dgm:t>
    </dgm:pt>
    <dgm:pt modelId="{084AFFCF-CA9F-484C-B726-7BECDB457029}">
      <dgm:prSet phldrT="[Text]" custT="1"/>
      <dgm:spPr/>
      <dgm:t>
        <a:bodyPr/>
        <a:lstStyle/>
        <a:p>
          <a:r>
            <a:rPr lang="en-US" sz="1100" dirty="0" smtClean="0">
              <a:latin typeface="Arial" pitchFamily="34" charset="0"/>
              <a:cs typeface="Arial" pitchFamily="34" charset="0"/>
            </a:rPr>
            <a:t>Caring</a:t>
          </a:r>
          <a:endParaRPr lang="en-US" sz="1100" dirty="0">
            <a:latin typeface="Arial" pitchFamily="34" charset="0"/>
            <a:cs typeface="Arial" pitchFamily="34" charset="0"/>
          </a:endParaRPr>
        </a:p>
      </dgm:t>
    </dgm:pt>
    <dgm:pt modelId="{4C0231FE-91C3-4926-A3D4-6DF276397329}" type="sibTrans" cxnId="{A119E983-BB1E-4D6C-B7AE-17C2C89DFD7D}">
      <dgm:prSet/>
      <dgm:spPr/>
      <dgm:t>
        <a:bodyPr/>
        <a:lstStyle/>
        <a:p>
          <a:endParaRPr lang="en-US"/>
        </a:p>
      </dgm:t>
    </dgm:pt>
    <dgm:pt modelId="{6044E53C-02EB-492B-954E-A6238F48AE27}" type="parTrans" cxnId="{A119E983-BB1E-4D6C-B7AE-17C2C89DFD7D}">
      <dgm:prSet/>
      <dgm:spPr/>
      <dgm:t>
        <a:bodyPr/>
        <a:lstStyle/>
        <a:p>
          <a:endParaRPr lang="en-US"/>
        </a:p>
      </dgm:t>
    </dgm:pt>
    <dgm:pt modelId="{44AAF19C-A926-440C-B7B2-BC8A06E59E64}">
      <dgm:prSet phldrT="[Text]" custT="1"/>
      <dgm:spPr/>
      <dgm:t>
        <a:bodyPr/>
        <a:lstStyle/>
        <a:p>
          <a:r>
            <a:rPr lang="en-US" sz="1100">
              <a:latin typeface="Arial" pitchFamily="34" charset="0"/>
              <a:cs typeface="Arial" pitchFamily="34" charset="0"/>
            </a:rPr>
            <a:t>Effective</a:t>
          </a:r>
        </a:p>
      </dgm:t>
    </dgm:pt>
    <dgm:pt modelId="{F25D5E64-350C-4829-9AEE-CAF8B3B4A3FE}" type="sibTrans" cxnId="{E018D9F8-ED5C-4614-9935-9B67550EFFCF}">
      <dgm:prSet/>
      <dgm:spPr/>
      <dgm:t>
        <a:bodyPr/>
        <a:lstStyle/>
        <a:p>
          <a:endParaRPr lang="en-US"/>
        </a:p>
      </dgm:t>
    </dgm:pt>
    <dgm:pt modelId="{37655630-91B5-4674-A59F-805FCF090350}" type="parTrans" cxnId="{E018D9F8-ED5C-4614-9935-9B67550EFFCF}">
      <dgm:prSet/>
      <dgm:spPr/>
      <dgm:t>
        <a:bodyPr/>
        <a:lstStyle/>
        <a:p>
          <a:endParaRPr lang="en-US"/>
        </a:p>
      </dgm:t>
    </dgm:pt>
    <dgm:pt modelId="{2E667779-19FA-43C2-9ADD-06D1096DA02C}">
      <dgm:prSet phldrT="[Text]" custT="1"/>
      <dgm:spPr/>
      <dgm:t>
        <a:bodyPr/>
        <a:lstStyle/>
        <a:p>
          <a:r>
            <a:rPr lang="en-US" sz="1100">
              <a:latin typeface="Arial" pitchFamily="34" charset="0"/>
              <a:cs typeface="Arial" pitchFamily="34" charset="0"/>
            </a:rPr>
            <a:t>Safe</a:t>
          </a:r>
        </a:p>
      </dgm:t>
    </dgm:pt>
    <dgm:pt modelId="{15384655-D882-4FA0-A992-1B33A8C5770F}" type="sibTrans" cxnId="{B042D54A-552D-4147-A274-6736D76939ED}">
      <dgm:prSet/>
      <dgm:spPr/>
      <dgm:t>
        <a:bodyPr/>
        <a:lstStyle/>
        <a:p>
          <a:endParaRPr lang="en-US"/>
        </a:p>
      </dgm:t>
    </dgm:pt>
    <dgm:pt modelId="{AB729BDD-C2A1-4548-82BA-2653D80BD987}" type="parTrans" cxnId="{B042D54A-552D-4147-A274-6736D76939ED}">
      <dgm:prSet/>
      <dgm:spPr/>
      <dgm:t>
        <a:bodyPr/>
        <a:lstStyle/>
        <a:p>
          <a:endParaRPr lang="en-US"/>
        </a:p>
      </dgm:t>
    </dgm:pt>
    <dgm:pt modelId="{05E92D5C-B725-44FE-90AB-B20822B0703A}">
      <dgm:prSet phldrT="[Text]" custT="1"/>
      <dgm:spPr/>
      <dgm:t>
        <a:bodyPr/>
        <a:lstStyle/>
        <a:p>
          <a:r>
            <a:rPr lang="en-US" sz="1100" b="1">
              <a:latin typeface="Arial" pitchFamily="34" charset="0"/>
              <a:cs typeface="Arial" pitchFamily="34" charset="0"/>
            </a:rPr>
            <a:t>CQC Five domain</a:t>
          </a:r>
        </a:p>
      </dgm:t>
    </dgm:pt>
    <dgm:pt modelId="{9CE90B23-ABD5-48C2-A722-48D35226F19B}" type="sibTrans" cxnId="{9FA7E235-C8B1-40BB-99E0-B5E118D417AF}">
      <dgm:prSet/>
      <dgm:spPr/>
      <dgm:t>
        <a:bodyPr/>
        <a:lstStyle/>
        <a:p>
          <a:endParaRPr lang="en-US"/>
        </a:p>
      </dgm:t>
    </dgm:pt>
    <dgm:pt modelId="{5BED40CC-5CC0-49B7-AACD-CC464AD2AD7A}" type="parTrans" cxnId="{9FA7E235-C8B1-40BB-99E0-B5E118D417AF}">
      <dgm:prSet/>
      <dgm:spPr/>
      <dgm:t>
        <a:bodyPr/>
        <a:lstStyle/>
        <a:p>
          <a:endParaRPr lang="en-US"/>
        </a:p>
      </dgm:t>
    </dgm:pt>
    <dgm:pt modelId="{36EB068D-7745-4233-B25D-232EC1B31095}" type="pres">
      <dgm:prSet presAssocID="{195D6908-AA8C-4F47-847B-99E3B44E119A}" presName="composite" presStyleCnt="0">
        <dgm:presLayoutVars>
          <dgm:chMax val="1"/>
          <dgm:dir/>
          <dgm:resizeHandles val="exact"/>
        </dgm:presLayoutVars>
      </dgm:prSet>
      <dgm:spPr/>
      <dgm:t>
        <a:bodyPr/>
        <a:lstStyle/>
        <a:p>
          <a:endParaRPr lang="en-US"/>
        </a:p>
      </dgm:t>
    </dgm:pt>
    <dgm:pt modelId="{184520B1-B032-471B-9D46-DFF34EAABD42}" type="pres">
      <dgm:prSet presAssocID="{195D6908-AA8C-4F47-847B-99E3B44E119A}" presName="radial" presStyleCnt="0">
        <dgm:presLayoutVars>
          <dgm:animLvl val="ctr"/>
        </dgm:presLayoutVars>
      </dgm:prSet>
      <dgm:spPr/>
      <dgm:t>
        <a:bodyPr/>
        <a:lstStyle/>
        <a:p>
          <a:endParaRPr lang="en-US"/>
        </a:p>
      </dgm:t>
    </dgm:pt>
    <dgm:pt modelId="{C28D4B94-828A-4EE2-9C73-D90EC5BD6EA8}" type="pres">
      <dgm:prSet presAssocID="{05E92D5C-B725-44FE-90AB-B20822B0703A}" presName="centerShape" presStyleLbl="vennNode1" presStyleIdx="0" presStyleCnt="6"/>
      <dgm:spPr/>
      <dgm:t>
        <a:bodyPr/>
        <a:lstStyle/>
        <a:p>
          <a:endParaRPr lang="en-US"/>
        </a:p>
      </dgm:t>
    </dgm:pt>
    <dgm:pt modelId="{EE1ACE5A-B158-4FE1-AAA9-D9095C3C09BD}" type="pres">
      <dgm:prSet presAssocID="{2E667779-19FA-43C2-9ADD-06D1096DA02C}" presName="node" presStyleLbl="vennNode1" presStyleIdx="1" presStyleCnt="6">
        <dgm:presLayoutVars>
          <dgm:bulletEnabled val="1"/>
        </dgm:presLayoutVars>
      </dgm:prSet>
      <dgm:spPr/>
      <dgm:t>
        <a:bodyPr/>
        <a:lstStyle/>
        <a:p>
          <a:endParaRPr lang="en-US"/>
        </a:p>
      </dgm:t>
    </dgm:pt>
    <dgm:pt modelId="{AA7EC85B-7F6D-47DC-9B21-9181B9870D00}" type="pres">
      <dgm:prSet presAssocID="{44AAF19C-A926-440C-B7B2-BC8A06E59E64}" presName="node" presStyleLbl="vennNode1" presStyleIdx="2" presStyleCnt="6">
        <dgm:presLayoutVars>
          <dgm:bulletEnabled val="1"/>
        </dgm:presLayoutVars>
      </dgm:prSet>
      <dgm:spPr/>
      <dgm:t>
        <a:bodyPr/>
        <a:lstStyle/>
        <a:p>
          <a:endParaRPr lang="en-US"/>
        </a:p>
      </dgm:t>
    </dgm:pt>
    <dgm:pt modelId="{C68BC1A1-3FA5-4D31-8C88-5BC64D132D43}" type="pres">
      <dgm:prSet presAssocID="{084AFFCF-CA9F-484C-B726-7BECDB457029}" presName="node" presStyleLbl="vennNode1" presStyleIdx="3" presStyleCnt="6">
        <dgm:presLayoutVars>
          <dgm:bulletEnabled val="1"/>
        </dgm:presLayoutVars>
      </dgm:prSet>
      <dgm:spPr/>
      <dgm:t>
        <a:bodyPr/>
        <a:lstStyle/>
        <a:p>
          <a:endParaRPr lang="en-US"/>
        </a:p>
      </dgm:t>
    </dgm:pt>
    <dgm:pt modelId="{361A9E8C-E466-4CFA-8751-CED3DDAD6CF9}" type="pres">
      <dgm:prSet presAssocID="{B1738C11-97AD-48BE-BAC2-B42A81531609}" presName="node" presStyleLbl="vennNode1" presStyleIdx="4" presStyleCnt="6">
        <dgm:presLayoutVars>
          <dgm:bulletEnabled val="1"/>
        </dgm:presLayoutVars>
      </dgm:prSet>
      <dgm:spPr/>
      <dgm:t>
        <a:bodyPr/>
        <a:lstStyle/>
        <a:p>
          <a:endParaRPr lang="en-US"/>
        </a:p>
      </dgm:t>
    </dgm:pt>
    <dgm:pt modelId="{E9A730DC-7B18-4701-B6A8-3A4F092DCD9B}" type="pres">
      <dgm:prSet presAssocID="{BDAFB962-D25C-42BE-9B1F-2C0086447005}" presName="node" presStyleLbl="vennNode1" presStyleIdx="5" presStyleCnt="6">
        <dgm:presLayoutVars>
          <dgm:bulletEnabled val="1"/>
        </dgm:presLayoutVars>
      </dgm:prSet>
      <dgm:spPr/>
      <dgm:t>
        <a:bodyPr/>
        <a:lstStyle/>
        <a:p>
          <a:endParaRPr lang="en-US"/>
        </a:p>
      </dgm:t>
    </dgm:pt>
  </dgm:ptLst>
  <dgm:cxnLst>
    <dgm:cxn modelId="{DAA03663-AE42-4AA2-A8BD-85476679C2DD}" type="presOf" srcId="{195D6908-AA8C-4F47-847B-99E3B44E119A}" destId="{36EB068D-7745-4233-B25D-232EC1B31095}" srcOrd="0" destOrd="0" presId="urn:microsoft.com/office/officeart/2005/8/layout/radial3"/>
    <dgm:cxn modelId="{7909EA9F-1D6E-43EA-8AAE-6A14BDB5DEA8}" type="presOf" srcId="{2E667779-19FA-43C2-9ADD-06D1096DA02C}" destId="{EE1ACE5A-B158-4FE1-AAA9-D9095C3C09BD}" srcOrd="0" destOrd="0" presId="urn:microsoft.com/office/officeart/2005/8/layout/radial3"/>
    <dgm:cxn modelId="{B042D54A-552D-4147-A274-6736D76939ED}" srcId="{05E92D5C-B725-44FE-90AB-B20822B0703A}" destId="{2E667779-19FA-43C2-9ADD-06D1096DA02C}" srcOrd="0" destOrd="0" parTransId="{AB729BDD-C2A1-4548-82BA-2653D80BD987}" sibTransId="{15384655-D882-4FA0-A992-1B33A8C5770F}"/>
    <dgm:cxn modelId="{E018D9F8-ED5C-4614-9935-9B67550EFFCF}" srcId="{05E92D5C-B725-44FE-90AB-B20822B0703A}" destId="{44AAF19C-A926-440C-B7B2-BC8A06E59E64}" srcOrd="1" destOrd="0" parTransId="{37655630-91B5-4674-A59F-805FCF090350}" sibTransId="{F25D5E64-350C-4829-9AEE-CAF8B3B4A3FE}"/>
    <dgm:cxn modelId="{3CF3DC86-BB11-414D-B8E8-3FF192DF770D}" type="presOf" srcId="{B1738C11-97AD-48BE-BAC2-B42A81531609}" destId="{361A9E8C-E466-4CFA-8751-CED3DDAD6CF9}" srcOrd="0" destOrd="0" presId="urn:microsoft.com/office/officeart/2005/8/layout/radial3"/>
    <dgm:cxn modelId="{199B66B9-193B-4477-B105-3D5A6C483CB7}" type="presOf" srcId="{44AAF19C-A926-440C-B7B2-BC8A06E59E64}" destId="{AA7EC85B-7F6D-47DC-9B21-9181B9870D00}" srcOrd="0" destOrd="0" presId="urn:microsoft.com/office/officeart/2005/8/layout/radial3"/>
    <dgm:cxn modelId="{E711EACE-AC4E-4DE1-94D1-A2C5DDD2FF0B}" type="presOf" srcId="{05E92D5C-B725-44FE-90AB-B20822B0703A}" destId="{C28D4B94-828A-4EE2-9C73-D90EC5BD6EA8}" srcOrd="0" destOrd="0" presId="urn:microsoft.com/office/officeart/2005/8/layout/radial3"/>
    <dgm:cxn modelId="{A119E983-BB1E-4D6C-B7AE-17C2C89DFD7D}" srcId="{05E92D5C-B725-44FE-90AB-B20822B0703A}" destId="{084AFFCF-CA9F-484C-B726-7BECDB457029}" srcOrd="2" destOrd="0" parTransId="{6044E53C-02EB-492B-954E-A6238F48AE27}" sibTransId="{4C0231FE-91C3-4926-A3D4-6DF276397329}"/>
    <dgm:cxn modelId="{99ED0D9E-283A-4044-8D28-450A97FB73C8}" srcId="{05E92D5C-B725-44FE-90AB-B20822B0703A}" destId="{BDAFB962-D25C-42BE-9B1F-2C0086447005}" srcOrd="4" destOrd="0" parTransId="{A567B6B7-7D7A-4397-97B2-5DDDFC35E841}" sibTransId="{ECC12500-2D16-448B-8B40-BF5E1FCCEA48}"/>
    <dgm:cxn modelId="{9FA7E235-C8B1-40BB-99E0-B5E118D417AF}" srcId="{195D6908-AA8C-4F47-847B-99E3B44E119A}" destId="{05E92D5C-B725-44FE-90AB-B20822B0703A}" srcOrd="0" destOrd="0" parTransId="{5BED40CC-5CC0-49B7-AACD-CC464AD2AD7A}" sibTransId="{9CE90B23-ABD5-48C2-A722-48D35226F19B}"/>
    <dgm:cxn modelId="{E8ED0A0F-F67C-47E1-823A-4E514BCC44B3}" srcId="{05E92D5C-B725-44FE-90AB-B20822B0703A}" destId="{B1738C11-97AD-48BE-BAC2-B42A81531609}" srcOrd="3" destOrd="0" parTransId="{6CC56371-1DEA-4795-8CF3-E64759313122}" sibTransId="{F208573D-580E-478E-8E9F-0EF1151EDFEB}"/>
    <dgm:cxn modelId="{BA55A2AE-4E8D-4098-AE7C-C591A9593E8E}" type="presOf" srcId="{BDAFB962-D25C-42BE-9B1F-2C0086447005}" destId="{E9A730DC-7B18-4701-B6A8-3A4F092DCD9B}" srcOrd="0" destOrd="0" presId="urn:microsoft.com/office/officeart/2005/8/layout/radial3"/>
    <dgm:cxn modelId="{98E107C2-9EE1-451E-A8C3-A6016BFAFFCC}" type="presOf" srcId="{084AFFCF-CA9F-484C-B726-7BECDB457029}" destId="{C68BC1A1-3FA5-4D31-8C88-5BC64D132D43}" srcOrd="0" destOrd="0" presId="urn:microsoft.com/office/officeart/2005/8/layout/radial3"/>
    <dgm:cxn modelId="{DE55528D-1F14-46D6-9AC7-8191B21A6D16}" type="presParOf" srcId="{36EB068D-7745-4233-B25D-232EC1B31095}" destId="{184520B1-B032-471B-9D46-DFF34EAABD42}" srcOrd="0" destOrd="0" presId="urn:microsoft.com/office/officeart/2005/8/layout/radial3"/>
    <dgm:cxn modelId="{B8C10E51-E0DB-44D6-8B0D-0C230431CF6E}" type="presParOf" srcId="{184520B1-B032-471B-9D46-DFF34EAABD42}" destId="{C28D4B94-828A-4EE2-9C73-D90EC5BD6EA8}" srcOrd="0" destOrd="0" presId="urn:microsoft.com/office/officeart/2005/8/layout/radial3"/>
    <dgm:cxn modelId="{7260E4FB-B802-4DCE-8ED4-75E818BB72F0}" type="presParOf" srcId="{184520B1-B032-471B-9D46-DFF34EAABD42}" destId="{EE1ACE5A-B158-4FE1-AAA9-D9095C3C09BD}" srcOrd="1" destOrd="0" presId="urn:microsoft.com/office/officeart/2005/8/layout/radial3"/>
    <dgm:cxn modelId="{7F7F515A-B272-488E-AA89-4EE4FDD35613}" type="presParOf" srcId="{184520B1-B032-471B-9D46-DFF34EAABD42}" destId="{AA7EC85B-7F6D-47DC-9B21-9181B9870D00}" srcOrd="2" destOrd="0" presId="urn:microsoft.com/office/officeart/2005/8/layout/radial3"/>
    <dgm:cxn modelId="{34E66F3E-E4FD-431F-8B8F-BFB97ED9430B}" type="presParOf" srcId="{184520B1-B032-471B-9D46-DFF34EAABD42}" destId="{C68BC1A1-3FA5-4D31-8C88-5BC64D132D43}" srcOrd="3" destOrd="0" presId="urn:microsoft.com/office/officeart/2005/8/layout/radial3"/>
    <dgm:cxn modelId="{FA855617-34B2-4E6C-B8B0-F9EEBED4EB8A}" type="presParOf" srcId="{184520B1-B032-471B-9D46-DFF34EAABD42}" destId="{361A9E8C-E466-4CFA-8751-CED3DDAD6CF9}" srcOrd="4" destOrd="0" presId="urn:microsoft.com/office/officeart/2005/8/layout/radial3"/>
    <dgm:cxn modelId="{5F7C386F-8284-482D-9D13-CDA238618121}" type="presParOf" srcId="{184520B1-B032-471B-9D46-DFF34EAABD42}" destId="{E9A730DC-7B18-4701-B6A8-3A4F092DCD9B}" srcOrd="5" destOrd="0" presId="urn:microsoft.com/office/officeart/2005/8/layout/radial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8D4B94-828A-4EE2-9C73-D90EC5BD6EA8}">
      <dsp:nvSpPr>
        <dsp:cNvPr id="0" name=""/>
        <dsp:cNvSpPr/>
      </dsp:nvSpPr>
      <dsp:spPr>
        <a:xfrm>
          <a:off x="723337" y="522328"/>
          <a:ext cx="1210800" cy="1210800"/>
        </a:xfrm>
        <a:prstGeom prst="ellipse">
          <a:avLst/>
        </a:prstGeom>
        <a:gradFill rotWithShape="0">
          <a:gsLst>
            <a:gs pos="0">
              <a:schemeClr val="accent2">
                <a:alpha val="50000"/>
                <a:hueOff val="0"/>
                <a:satOff val="0"/>
                <a:lumOff val="0"/>
                <a:alphaOff val="0"/>
                <a:lumMod val="110000"/>
                <a:satMod val="105000"/>
                <a:tint val="67000"/>
              </a:schemeClr>
            </a:gs>
            <a:gs pos="50000">
              <a:schemeClr val="accent2">
                <a:alpha val="50000"/>
                <a:hueOff val="0"/>
                <a:satOff val="0"/>
                <a:lumOff val="0"/>
                <a:alphaOff val="0"/>
                <a:lumMod val="105000"/>
                <a:satMod val="103000"/>
                <a:tint val="73000"/>
              </a:schemeClr>
            </a:gs>
            <a:gs pos="100000">
              <a:schemeClr val="accent2">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b="1" kern="1200">
              <a:latin typeface="Arial" pitchFamily="34" charset="0"/>
              <a:cs typeface="Arial" pitchFamily="34" charset="0"/>
            </a:rPr>
            <a:t>CQC Five domain</a:t>
          </a:r>
        </a:p>
      </dsp:txBody>
      <dsp:txXfrm>
        <a:off x="900655" y="699646"/>
        <a:ext cx="856164" cy="856164"/>
      </dsp:txXfrm>
    </dsp:sp>
    <dsp:sp modelId="{EE1ACE5A-B158-4FE1-AAA9-D9095C3C09BD}">
      <dsp:nvSpPr>
        <dsp:cNvPr id="0" name=""/>
        <dsp:cNvSpPr/>
      </dsp:nvSpPr>
      <dsp:spPr>
        <a:xfrm>
          <a:off x="1026037" y="37356"/>
          <a:ext cx="605400" cy="605400"/>
        </a:xfrm>
        <a:prstGeom prst="ellipse">
          <a:avLst/>
        </a:prstGeom>
        <a:gradFill rotWithShape="0">
          <a:gsLst>
            <a:gs pos="0">
              <a:schemeClr val="accent3">
                <a:alpha val="50000"/>
                <a:hueOff val="0"/>
                <a:satOff val="0"/>
                <a:lumOff val="0"/>
                <a:alphaOff val="0"/>
                <a:lumMod val="110000"/>
                <a:satMod val="105000"/>
                <a:tint val="67000"/>
              </a:schemeClr>
            </a:gs>
            <a:gs pos="50000">
              <a:schemeClr val="accent3">
                <a:alpha val="50000"/>
                <a:hueOff val="0"/>
                <a:satOff val="0"/>
                <a:lumOff val="0"/>
                <a:alphaOff val="0"/>
                <a:lumMod val="105000"/>
                <a:satMod val="103000"/>
                <a:tint val="73000"/>
              </a:schemeClr>
            </a:gs>
            <a:gs pos="100000">
              <a:schemeClr val="accent3">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Safe</a:t>
          </a:r>
        </a:p>
      </dsp:txBody>
      <dsp:txXfrm>
        <a:off x="1114696" y="126015"/>
        <a:ext cx="428082" cy="428082"/>
      </dsp:txXfrm>
    </dsp:sp>
    <dsp:sp modelId="{AA7EC85B-7F6D-47DC-9B21-9181B9870D00}">
      <dsp:nvSpPr>
        <dsp:cNvPr id="0" name=""/>
        <dsp:cNvSpPr/>
      </dsp:nvSpPr>
      <dsp:spPr>
        <a:xfrm>
          <a:off x="1775158" y="581624"/>
          <a:ext cx="605400" cy="605400"/>
        </a:xfrm>
        <a:prstGeom prst="ellipse">
          <a:avLst/>
        </a:prstGeom>
        <a:gradFill rotWithShape="0">
          <a:gsLst>
            <a:gs pos="0">
              <a:schemeClr val="accent4">
                <a:alpha val="50000"/>
                <a:hueOff val="0"/>
                <a:satOff val="0"/>
                <a:lumOff val="0"/>
                <a:alphaOff val="0"/>
                <a:lumMod val="110000"/>
                <a:satMod val="105000"/>
                <a:tint val="67000"/>
              </a:schemeClr>
            </a:gs>
            <a:gs pos="50000">
              <a:schemeClr val="accent4">
                <a:alpha val="50000"/>
                <a:hueOff val="0"/>
                <a:satOff val="0"/>
                <a:lumOff val="0"/>
                <a:alphaOff val="0"/>
                <a:lumMod val="105000"/>
                <a:satMod val="103000"/>
                <a:tint val="73000"/>
              </a:schemeClr>
            </a:gs>
            <a:gs pos="100000">
              <a:schemeClr val="accent4">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Effective</a:t>
          </a:r>
        </a:p>
      </dsp:txBody>
      <dsp:txXfrm>
        <a:off x="1863817" y="670283"/>
        <a:ext cx="428082" cy="428082"/>
      </dsp:txXfrm>
    </dsp:sp>
    <dsp:sp modelId="{C68BC1A1-3FA5-4D31-8C88-5BC64D132D43}">
      <dsp:nvSpPr>
        <dsp:cNvPr id="0" name=""/>
        <dsp:cNvSpPr/>
      </dsp:nvSpPr>
      <dsp:spPr>
        <a:xfrm>
          <a:off x="1489019" y="1462268"/>
          <a:ext cx="605400" cy="605400"/>
        </a:xfrm>
        <a:prstGeom prst="ellipse">
          <a:avLst/>
        </a:prstGeom>
        <a:gradFill rotWithShape="0">
          <a:gsLst>
            <a:gs pos="0">
              <a:schemeClr val="accent5">
                <a:alpha val="50000"/>
                <a:hueOff val="0"/>
                <a:satOff val="0"/>
                <a:lumOff val="0"/>
                <a:alphaOff val="0"/>
                <a:lumMod val="110000"/>
                <a:satMod val="105000"/>
                <a:tint val="67000"/>
              </a:schemeClr>
            </a:gs>
            <a:gs pos="50000">
              <a:schemeClr val="accent5">
                <a:alpha val="50000"/>
                <a:hueOff val="0"/>
                <a:satOff val="0"/>
                <a:lumOff val="0"/>
                <a:alphaOff val="0"/>
                <a:lumMod val="105000"/>
                <a:satMod val="103000"/>
                <a:tint val="73000"/>
              </a:schemeClr>
            </a:gs>
            <a:gs pos="100000">
              <a:schemeClr val="accent5">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dirty="0" smtClean="0">
              <a:latin typeface="Arial" pitchFamily="34" charset="0"/>
              <a:cs typeface="Arial" pitchFamily="34" charset="0"/>
            </a:rPr>
            <a:t>Caring</a:t>
          </a:r>
          <a:endParaRPr lang="en-US" sz="1100" kern="1200" dirty="0">
            <a:latin typeface="Arial" pitchFamily="34" charset="0"/>
            <a:cs typeface="Arial" pitchFamily="34" charset="0"/>
          </a:endParaRPr>
        </a:p>
      </dsp:txBody>
      <dsp:txXfrm>
        <a:off x="1577678" y="1550927"/>
        <a:ext cx="428082" cy="428082"/>
      </dsp:txXfrm>
    </dsp:sp>
    <dsp:sp modelId="{361A9E8C-E466-4CFA-8751-CED3DDAD6CF9}">
      <dsp:nvSpPr>
        <dsp:cNvPr id="0" name=""/>
        <dsp:cNvSpPr/>
      </dsp:nvSpPr>
      <dsp:spPr>
        <a:xfrm>
          <a:off x="563055" y="1462268"/>
          <a:ext cx="605400" cy="605400"/>
        </a:xfrm>
        <a:prstGeom prst="ellipse">
          <a:avLst/>
        </a:prstGeom>
        <a:gradFill rotWithShape="0">
          <a:gsLst>
            <a:gs pos="0">
              <a:schemeClr val="accent6">
                <a:alpha val="50000"/>
                <a:hueOff val="0"/>
                <a:satOff val="0"/>
                <a:lumOff val="0"/>
                <a:alphaOff val="0"/>
                <a:lumMod val="110000"/>
                <a:satMod val="105000"/>
                <a:tint val="67000"/>
              </a:schemeClr>
            </a:gs>
            <a:gs pos="50000">
              <a:schemeClr val="accent6">
                <a:alpha val="50000"/>
                <a:hueOff val="0"/>
                <a:satOff val="0"/>
                <a:lumOff val="0"/>
                <a:alphaOff val="0"/>
                <a:lumMod val="105000"/>
                <a:satMod val="103000"/>
                <a:tint val="73000"/>
              </a:schemeClr>
            </a:gs>
            <a:gs pos="100000">
              <a:schemeClr val="accent6">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Responsive</a:t>
          </a:r>
        </a:p>
      </dsp:txBody>
      <dsp:txXfrm>
        <a:off x="651714" y="1550927"/>
        <a:ext cx="428082" cy="428082"/>
      </dsp:txXfrm>
    </dsp:sp>
    <dsp:sp modelId="{E9A730DC-7B18-4701-B6A8-3A4F092DCD9B}">
      <dsp:nvSpPr>
        <dsp:cNvPr id="0" name=""/>
        <dsp:cNvSpPr/>
      </dsp:nvSpPr>
      <dsp:spPr>
        <a:xfrm>
          <a:off x="276916" y="581624"/>
          <a:ext cx="605400" cy="605400"/>
        </a:xfrm>
        <a:prstGeom prst="ellipse">
          <a:avLst/>
        </a:prstGeom>
        <a:gradFill rotWithShape="0">
          <a:gsLst>
            <a:gs pos="0">
              <a:schemeClr val="accent2">
                <a:alpha val="50000"/>
                <a:hueOff val="0"/>
                <a:satOff val="0"/>
                <a:lumOff val="0"/>
                <a:alphaOff val="0"/>
                <a:lumMod val="110000"/>
                <a:satMod val="105000"/>
                <a:tint val="67000"/>
              </a:schemeClr>
            </a:gs>
            <a:gs pos="50000">
              <a:schemeClr val="accent2">
                <a:alpha val="50000"/>
                <a:hueOff val="0"/>
                <a:satOff val="0"/>
                <a:lumOff val="0"/>
                <a:alphaOff val="0"/>
                <a:lumMod val="105000"/>
                <a:satMod val="103000"/>
                <a:tint val="73000"/>
              </a:schemeClr>
            </a:gs>
            <a:gs pos="100000">
              <a:schemeClr val="accent2">
                <a:alpha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Arial" pitchFamily="34" charset="0"/>
              <a:cs typeface="Arial" pitchFamily="34" charset="0"/>
            </a:rPr>
            <a:t>well -led</a:t>
          </a:r>
        </a:p>
      </dsp:txBody>
      <dsp:txXfrm>
        <a:off x="365575" y="670283"/>
        <a:ext cx="428082" cy="428082"/>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64E36-B353-4FB0-A436-97BA62B9A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23</Pages>
  <Words>5008</Words>
  <Characters>28551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User</cp:lastModifiedBy>
  <cp:revision>36</cp:revision>
  <dcterms:created xsi:type="dcterms:W3CDTF">2025-12-11T10:25:00Z</dcterms:created>
  <dcterms:modified xsi:type="dcterms:W3CDTF">2025-12-11T14:55:00Z</dcterms:modified>
</cp:coreProperties>
</file>